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B729" w14:textId="77777777" w:rsidR="00A85570" w:rsidRDefault="00A85570" w:rsidP="006C3C9A">
      <w:pPr>
        <w:jc w:val="center"/>
        <w:rPr>
          <w:b/>
          <w:bCs/>
          <w:sz w:val="28"/>
          <w:szCs w:val="28"/>
        </w:rPr>
      </w:pPr>
    </w:p>
    <w:p w14:paraId="171205A7" w14:textId="77777777" w:rsidR="00A85570" w:rsidRDefault="00A85570" w:rsidP="006C3C9A">
      <w:pPr>
        <w:jc w:val="center"/>
        <w:rPr>
          <w:b/>
          <w:bCs/>
          <w:sz w:val="28"/>
          <w:szCs w:val="28"/>
        </w:rPr>
      </w:pPr>
    </w:p>
    <w:p w14:paraId="1C9B76F3" w14:textId="632B8173" w:rsidR="004F673E" w:rsidRPr="003C1255" w:rsidRDefault="004F673E" w:rsidP="006C3C9A">
      <w:pPr>
        <w:jc w:val="center"/>
        <w:rPr>
          <w:b/>
          <w:bCs/>
          <w:sz w:val="28"/>
          <w:szCs w:val="28"/>
        </w:rPr>
      </w:pPr>
      <w:r w:rsidRPr="003C1255">
        <w:rPr>
          <w:b/>
          <w:bCs/>
          <w:sz w:val="28"/>
          <w:szCs w:val="28"/>
        </w:rPr>
        <w:t>Bath and North East Somerset Council.</w:t>
      </w:r>
    </w:p>
    <w:p w14:paraId="73C1D567" w14:textId="54B63977" w:rsidR="004F673E" w:rsidRPr="003C1255" w:rsidRDefault="004F673E" w:rsidP="006C3C9A">
      <w:pPr>
        <w:jc w:val="center"/>
        <w:rPr>
          <w:b/>
          <w:bCs/>
          <w:sz w:val="28"/>
          <w:szCs w:val="28"/>
        </w:rPr>
      </w:pPr>
      <w:r w:rsidRPr="003C1255">
        <w:rPr>
          <w:b/>
          <w:bCs/>
          <w:sz w:val="28"/>
          <w:szCs w:val="28"/>
        </w:rPr>
        <w:t>Only Mile Delivery project</w:t>
      </w:r>
      <w:r w:rsidR="006C3C9A" w:rsidRPr="003C1255">
        <w:rPr>
          <w:b/>
          <w:bCs/>
          <w:sz w:val="28"/>
          <w:szCs w:val="28"/>
        </w:rPr>
        <w:t>; s</w:t>
      </w:r>
      <w:r w:rsidRPr="003C1255">
        <w:rPr>
          <w:b/>
          <w:bCs/>
          <w:sz w:val="28"/>
          <w:szCs w:val="28"/>
        </w:rPr>
        <w:t>upplier engagement event.</w:t>
      </w:r>
    </w:p>
    <w:p w14:paraId="6DC76A83" w14:textId="77777777" w:rsidR="006F780D" w:rsidRDefault="006F780D" w:rsidP="006C3C9A">
      <w:pPr>
        <w:jc w:val="center"/>
      </w:pPr>
    </w:p>
    <w:p w14:paraId="05E05F1A" w14:textId="6DA3FEF7" w:rsidR="006C3C9A" w:rsidRDefault="006C3C9A">
      <w:r w:rsidRPr="00FF2CF6">
        <w:rPr>
          <w:b/>
          <w:bCs/>
        </w:rPr>
        <w:t>For attendees:</w:t>
      </w:r>
      <w:r>
        <w:t xml:space="preserve">  To hear about the Council’s plans to support the uptake of only mile delivery services using e-cargo bikes </w:t>
      </w:r>
      <w:r w:rsidR="006F780D">
        <w:t xml:space="preserve">through </w:t>
      </w:r>
      <w:r>
        <w:t xml:space="preserve">seed-funding to establish a </w:t>
      </w:r>
      <w:r w:rsidR="000334EE">
        <w:t xml:space="preserve">non-polluting delivery option and </w:t>
      </w:r>
      <w:r w:rsidR="001E17DF">
        <w:t xml:space="preserve">a </w:t>
      </w:r>
      <w:r>
        <w:t>commercially viable and enduring enterprise.</w:t>
      </w:r>
    </w:p>
    <w:p w14:paraId="5538656D" w14:textId="35902F70" w:rsidR="006C3C9A" w:rsidRDefault="006C3C9A">
      <w:r w:rsidRPr="00FF2CF6">
        <w:rPr>
          <w:b/>
          <w:bCs/>
        </w:rPr>
        <w:t>For Bath and North East Somerset Council:</w:t>
      </w:r>
      <w:r>
        <w:t xml:space="preserve">  To learn more about the current</w:t>
      </w:r>
      <w:r w:rsidR="00046F13">
        <w:t xml:space="preserve"> electric cargo bike </w:t>
      </w:r>
      <w:r>
        <w:t>only mile delivery market</w:t>
      </w:r>
      <w:r w:rsidR="006F780D">
        <w:t xml:space="preserve">, how it operates, the use of IT in aggregating local retailer collections and </w:t>
      </w:r>
      <w:r w:rsidR="00A85570">
        <w:t xml:space="preserve">consignee </w:t>
      </w:r>
      <w:r w:rsidR="006F780D">
        <w:t>deliveries, lessons learnt</w:t>
      </w:r>
      <w:r w:rsidR="003C1255">
        <w:t xml:space="preserve"> and avoidance of market failure mechanisms</w:t>
      </w:r>
      <w:r w:rsidR="006F780D">
        <w:t>.</w:t>
      </w:r>
    </w:p>
    <w:p w14:paraId="6E5944F1" w14:textId="01991056" w:rsidR="00575AA3" w:rsidRDefault="00575AA3">
      <w:r>
        <w:t xml:space="preserve">We are researching conference software platforms with the </w:t>
      </w:r>
      <w:r w:rsidR="008D2BA6">
        <w:t xml:space="preserve">online </w:t>
      </w:r>
      <w:r>
        <w:t>event planned as follows:</w:t>
      </w:r>
    </w:p>
    <w:p w14:paraId="72E275E0" w14:textId="7CFE2613" w:rsidR="00046F13" w:rsidRDefault="00046F13">
      <w:r>
        <w:t xml:space="preserve">This </w:t>
      </w:r>
      <w:r w:rsidR="00575AA3">
        <w:t xml:space="preserve">supplier engagement </w:t>
      </w:r>
      <w:r>
        <w:t>event is eligible to those businesses that operate an electric cargo bike delivery service and aspirant operators of the same.</w:t>
      </w:r>
      <w:r w:rsidR="0078358C">
        <w:t xml:space="preserve">  </w:t>
      </w:r>
      <w:r w:rsidR="00575AA3">
        <w:t>Other support businesses, f</w:t>
      </w:r>
      <w:r w:rsidR="00A85570">
        <w:t>or example, m</w:t>
      </w:r>
      <w:r w:rsidR="0078358C">
        <w:t xml:space="preserve">anufacturers and vendors </w:t>
      </w:r>
      <w:r w:rsidR="003C1255">
        <w:t xml:space="preserve">whose business relates solely to the provision of </w:t>
      </w:r>
      <w:r w:rsidR="0078358C">
        <w:t>electric cargo bikes or logistics software</w:t>
      </w:r>
      <w:r w:rsidR="00575AA3">
        <w:t>,</w:t>
      </w:r>
      <w:r w:rsidR="0078358C">
        <w:t xml:space="preserve"> </w:t>
      </w:r>
      <w:r w:rsidR="00BF0A50">
        <w:t>may</w:t>
      </w:r>
      <w:r w:rsidR="00575AA3">
        <w:t xml:space="preserve"> be able to attend as exhibitors but will not be able to attend the planned delivery operator breakout sessions</w:t>
      </w:r>
      <w:r w:rsidR="0078358C">
        <w:t>.</w:t>
      </w:r>
    </w:p>
    <w:p w14:paraId="30E2DDBE" w14:textId="15257BC9" w:rsidR="006C3C9A" w:rsidRDefault="001C2B9F">
      <w:r>
        <w:t xml:space="preserve">The event is scheduled to </w:t>
      </w:r>
      <w:r w:rsidRPr="00FF2CF6">
        <w:rPr>
          <w:b/>
          <w:bCs/>
        </w:rPr>
        <w:t xml:space="preserve">take </w:t>
      </w:r>
      <w:r w:rsidR="005234B8" w:rsidRPr="00FF2CF6">
        <w:rPr>
          <w:b/>
          <w:bCs/>
        </w:rPr>
        <w:t>place, online,</w:t>
      </w:r>
      <w:r w:rsidRPr="00FF2CF6">
        <w:rPr>
          <w:b/>
          <w:bCs/>
        </w:rPr>
        <w:t xml:space="preserve"> </w:t>
      </w:r>
      <w:r w:rsidR="006B0871" w:rsidRPr="00FF2CF6">
        <w:rPr>
          <w:b/>
          <w:bCs/>
        </w:rPr>
        <w:t>on 21</w:t>
      </w:r>
      <w:r w:rsidR="006B0871" w:rsidRPr="00FF2CF6">
        <w:rPr>
          <w:b/>
          <w:bCs/>
          <w:vertAlign w:val="superscript"/>
        </w:rPr>
        <w:t>st</w:t>
      </w:r>
      <w:r w:rsidR="006B0871" w:rsidRPr="00FF2CF6">
        <w:rPr>
          <w:b/>
          <w:bCs/>
        </w:rPr>
        <w:t xml:space="preserve"> </w:t>
      </w:r>
      <w:r w:rsidR="003C1255" w:rsidRPr="00FF2CF6">
        <w:rPr>
          <w:b/>
          <w:bCs/>
        </w:rPr>
        <w:t>June</w:t>
      </w:r>
      <w:r w:rsidR="00FF2CF6">
        <w:rPr>
          <w:b/>
          <w:bCs/>
        </w:rPr>
        <w:t xml:space="preserve"> </w:t>
      </w:r>
      <w:r w:rsidR="006B0871" w:rsidRPr="00FF2CF6">
        <w:rPr>
          <w:b/>
          <w:bCs/>
        </w:rPr>
        <w:t>2021</w:t>
      </w:r>
      <w:r w:rsidR="006B0871">
        <w:t xml:space="preserve"> (subject to confirmation)</w:t>
      </w:r>
      <w:r w:rsidR="005234B8">
        <w:t>;</w:t>
      </w:r>
      <w:r>
        <w:t xml:space="preserve"> further details will be provided closer to the time.</w:t>
      </w:r>
    </w:p>
    <w:p w14:paraId="60C57706" w14:textId="3A2216A8" w:rsidR="000334EE" w:rsidRDefault="000334EE">
      <w:r>
        <w:br w:type="page"/>
      </w:r>
    </w:p>
    <w:p w14:paraId="48CBFCED" w14:textId="77777777" w:rsidR="001C2B9F" w:rsidRDefault="001C2B9F"/>
    <w:p w14:paraId="42FFD97C" w14:textId="1FC196DE" w:rsidR="004F673E" w:rsidRPr="001C2B9F" w:rsidRDefault="00D44DB6">
      <w:pPr>
        <w:rPr>
          <w:b/>
          <w:bCs/>
        </w:rPr>
      </w:pPr>
      <w:r w:rsidRPr="001C2B9F">
        <w:rPr>
          <w:b/>
          <w:bCs/>
        </w:rPr>
        <w:t>Introduction</w:t>
      </w:r>
    </w:p>
    <w:p w14:paraId="17D4CE3B" w14:textId="06789FF9" w:rsidR="004F673E" w:rsidRDefault="004F673E">
      <w:bookmarkStart w:id="0" w:name="_Hlk70497525"/>
      <w:r>
        <w:t xml:space="preserve">Bath and North East Somerset Council (B&amp;NES) has been awarded </w:t>
      </w:r>
      <w:r w:rsidR="00DA4925">
        <w:t>a grant</w:t>
      </w:r>
      <w:r>
        <w:t xml:space="preserve"> from DEFRA</w:t>
      </w:r>
      <w:r w:rsidR="005C07DB">
        <w:t>/</w:t>
      </w:r>
      <w:r w:rsidR="00C87DF5">
        <w:t>DfT</w:t>
      </w:r>
      <w:r>
        <w:t xml:space="preserve"> to provide seed funding to establish a</w:t>
      </w:r>
      <w:r w:rsidR="000334EE">
        <w:t xml:space="preserve">n </w:t>
      </w:r>
      <w:r w:rsidR="00D35837">
        <w:t xml:space="preserve">electric cargo bike </w:t>
      </w:r>
      <w:r>
        <w:t xml:space="preserve">only mile delivery service in Bath.  This </w:t>
      </w:r>
      <w:r w:rsidR="00DA4925">
        <w:t>grant</w:t>
      </w:r>
      <w:r>
        <w:t xml:space="preserve"> is one component of the </w:t>
      </w:r>
      <w:r w:rsidR="007B461B">
        <w:t>support package that B&amp;NES is making available to assist those in adapting to the Clean Air Zone introduced in March 2021.</w:t>
      </w:r>
    </w:p>
    <w:bookmarkEnd w:id="0"/>
    <w:p w14:paraId="15E90BC6" w14:textId="77F1850D" w:rsidR="00134F01" w:rsidRDefault="00134F01">
      <w:r>
        <w:t xml:space="preserve">B&amp;NES intends to award a contract to one or more suppliers of an only mile </w:t>
      </w:r>
      <w:r w:rsidR="00A74869">
        <w:t xml:space="preserve">e-cargo bike </w:t>
      </w:r>
      <w:r>
        <w:t xml:space="preserve">delivery service, </w:t>
      </w:r>
      <w:r w:rsidR="00193AE5">
        <w:t>funded</w:t>
      </w:r>
      <w:r>
        <w:t xml:space="preserve"> from the </w:t>
      </w:r>
      <w:r w:rsidR="00DA4925">
        <w:t>grant</w:t>
      </w:r>
      <w:r>
        <w:t xml:space="preserve"> received from DEFRA</w:t>
      </w:r>
      <w:r w:rsidR="00C87DF5">
        <w:t>/DfT</w:t>
      </w:r>
      <w:r w:rsidR="006F780D">
        <w:t xml:space="preserve">, for deliveries in and around </w:t>
      </w:r>
      <w:r w:rsidR="000334EE">
        <w:t xml:space="preserve">Bath’s </w:t>
      </w:r>
      <w:r w:rsidR="006F780D">
        <w:t>Clean Air Zone</w:t>
      </w:r>
      <w:r>
        <w:t>.</w:t>
      </w:r>
    </w:p>
    <w:p w14:paraId="681BE9A7" w14:textId="77777777" w:rsidR="00193AE5" w:rsidRDefault="00193AE5"/>
    <w:p w14:paraId="63ACFA3B" w14:textId="13DAA0BC" w:rsidR="00DC4475" w:rsidRPr="00193AE5" w:rsidRDefault="00DC4475">
      <w:pPr>
        <w:rPr>
          <w:b/>
          <w:bCs/>
        </w:rPr>
      </w:pPr>
      <w:r w:rsidRPr="00DC4475">
        <w:rPr>
          <w:b/>
          <w:bCs/>
        </w:rPr>
        <w:t>Project Objectives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3594"/>
        <w:gridCol w:w="4627"/>
      </w:tblGrid>
      <w:tr w:rsidR="00C74720" w14:paraId="48FFE96F" w14:textId="77777777" w:rsidTr="00C74720">
        <w:tc>
          <w:tcPr>
            <w:tcW w:w="846" w:type="dxa"/>
          </w:tcPr>
          <w:p w14:paraId="201983C7" w14:textId="1E2C9091" w:rsidR="00C74720" w:rsidRDefault="00C74720">
            <w:r>
              <w:t>Rank</w:t>
            </w:r>
          </w:p>
        </w:tc>
        <w:tc>
          <w:tcPr>
            <w:tcW w:w="3594" w:type="dxa"/>
          </w:tcPr>
          <w:p w14:paraId="1FE62001" w14:textId="7C994C85" w:rsidR="00C74720" w:rsidRDefault="00C74720">
            <w:r>
              <w:t>Objective</w:t>
            </w:r>
          </w:p>
        </w:tc>
        <w:tc>
          <w:tcPr>
            <w:tcW w:w="4627" w:type="dxa"/>
          </w:tcPr>
          <w:p w14:paraId="2D1CE813" w14:textId="5C4FA65D" w:rsidR="00C74720" w:rsidRDefault="00C74720">
            <w:r>
              <w:t>Evidence</w:t>
            </w:r>
          </w:p>
        </w:tc>
      </w:tr>
      <w:tr w:rsidR="00C74720" w14:paraId="42D01FA7" w14:textId="77777777" w:rsidTr="00C74720">
        <w:tc>
          <w:tcPr>
            <w:tcW w:w="846" w:type="dxa"/>
          </w:tcPr>
          <w:p w14:paraId="12A32604" w14:textId="088C7EA9" w:rsidR="00C74720" w:rsidRDefault="00C74720" w:rsidP="00DC447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94" w:type="dxa"/>
          </w:tcPr>
          <w:p w14:paraId="1CAB1A92" w14:textId="0DE12DB5" w:rsidR="00C74720" w:rsidRDefault="00C74720">
            <w:r>
              <w:t>Reducing non-compliant LGV movements</w:t>
            </w:r>
          </w:p>
        </w:tc>
        <w:tc>
          <w:tcPr>
            <w:tcW w:w="4627" w:type="dxa"/>
          </w:tcPr>
          <w:p w14:paraId="57CF3279" w14:textId="2D924EFB" w:rsidR="00C74720" w:rsidRDefault="007C65BE">
            <w:r>
              <w:t>ANPR M</w:t>
            </w:r>
            <w:r w:rsidR="00A85570">
              <w:t>onitoring and evaluation</w:t>
            </w:r>
          </w:p>
        </w:tc>
      </w:tr>
      <w:tr w:rsidR="00C74720" w14:paraId="0B7341FE" w14:textId="77777777" w:rsidTr="00C74720">
        <w:tc>
          <w:tcPr>
            <w:tcW w:w="846" w:type="dxa"/>
          </w:tcPr>
          <w:p w14:paraId="55CA8146" w14:textId="10E3CCB9" w:rsidR="00C74720" w:rsidRDefault="00C74720" w:rsidP="00DC447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94" w:type="dxa"/>
          </w:tcPr>
          <w:p w14:paraId="455B1F63" w14:textId="17F60FD8" w:rsidR="00C74720" w:rsidRDefault="00C74720">
            <w:r>
              <w:t>Reducing any LGV movements</w:t>
            </w:r>
          </w:p>
        </w:tc>
        <w:tc>
          <w:tcPr>
            <w:tcW w:w="4627" w:type="dxa"/>
          </w:tcPr>
          <w:p w14:paraId="6A77A7F5" w14:textId="2B033C55" w:rsidR="00C74720" w:rsidRDefault="007C65BE">
            <w:r>
              <w:t>ANPR M&amp;E</w:t>
            </w:r>
          </w:p>
        </w:tc>
      </w:tr>
      <w:tr w:rsidR="00C74720" w14:paraId="0106908A" w14:textId="77777777" w:rsidTr="00C74720">
        <w:tc>
          <w:tcPr>
            <w:tcW w:w="846" w:type="dxa"/>
          </w:tcPr>
          <w:p w14:paraId="77020742" w14:textId="77777777" w:rsidR="00C74720" w:rsidRDefault="00C74720" w:rsidP="00DC447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94" w:type="dxa"/>
          </w:tcPr>
          <w:p w14:paraId="23DD6B36" w14:textId="52AD9516" w:rsidR="00C74720" w:rsidRDefault="00C74720">
            <w:r>
              <w:t>Establishing an enduring service beyond funding period</w:t>
            </w:r>
          </w:p>
        </w:tc>
        <w:tc>
          <w:tcPr>
            <w:tcW w:w="4627" w:type="dxa"/>
          </w:tcPr>
          <w:p w14:paraId="7E89A186" w14:textId="3FDD5B45" w:rsidR="00C74720" w:rsidRDefault="007C65BE">
            <w:r>
              <w:t>Open book accounting</w:t>
            </w:r>
            <w:r w:rsidR="000334EE">
              <w:t>, subsidy tapering</w:t>
            </w:r>
          </w:p>
        </w:tc>
      </w:tr>
      <w:tr w:rsidR="00C74720" w14:paraId="1D010E4D" w14:textId="77777777" w:rsidTr="00C74720">
        <w:tc>
          <w:tcPr>
            <w:tcW w:w="846" w:type="dxa"/>
          </w:tcPr>
          <w:p w14:paraId="0511543E" w14:textId="0E3198F2" w:rsidR="00C74720" w:rsidRDefault="00C74720" w:rsidP="00DC447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94" w:type="dxa"/>
          </w:tcPr>
          <w:p w14:paraId="5FB75489" w14:textId="07E43272" w:rsidR="00C74720" w:rsidRDefault="009F28BC">
            <w:r w:rsidRPr="009F28BC">
              <w:t>Reducing non-compliant passenger car movements</w:t>
            </w:r>
          </w:p>
        </w:tc>
        <w:tc>
          <w:tcPr>
            <w:tcW w:w="4627" w:type="dxa"/>
          </w:tcPr>
          <w:p w14:paraId="17A7D773" w14:textId="03A066B5" w:rsidR="00C74720" w:rsidRDefault="000334EE">
            <w:r w:rsidRPr="000334EE">
              <w:t>ANPR M&amp;E</w:t>
            </w:r>
          </w:p>
        </w:tc>
      </w:tr>
      <w:tr w:rsidR="00C87DF5" w14:paraId="2CEB2D86" w14:textId="77777777" w:rsidTr="00C74720">
        <w:tc>
          <w:tcPr>
            <w:tcW w:w="846" w:type="dxa"/>
          </w:tcPr>
          <w:p w14:paraId="541D12A1" w14:textId="77777777" w:rsidR="00C87DF5" w:rsidRDefault="00C87DF5" w:rsidP="00DC447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94" w:type="dxa"/>
          </w:tcPr>
          <w:p w14:paraId="7A6099D4" w14:textId="6204962F" w:rsidR="00C87DF5" w:rsidRDefault="00C87DF5">
            <w:r>
              <w:t xml:space="preserve">Reducing </w:t>
            </w:r>
            <w:r w:rsidR="009F28BC">
              <w:t>p</w:t>
            </w:r>
            <w:r>
              <w:t>assenger car movements</w:t>
            </w:r>
          </w:p>
        </w:tc>
        <w:tc>
          <w:tcPr>
            <w:tcW w:w="4627" w:type="dxa"/>
          </w:tcPr>
          <w:p w14:paraId="66FA5712" w14:textId="05D9B47D" w:rsidR="00C87DF5" w:rsidRDefault="00C87DF5">
            <w:r w:rsidRPr="00C87DF5">
              <w:t>ANPR M&amp;E</w:t>
            </w:r>
          </w:p>
        </w:tc>
      </w:tr>
      <w:tr w:rsidR="00C74720" w14:paraId="1FDB42B1" w14:textId="77777777" w:rsidTr="00C74720">
        <w:tc>
          <w:tcPr>
            <w:tcW w:w="846" w:type="dxa"/>
          </w:tcPr>
          <w:p w14:paraId="289EFD30" w14:textId="1FC5372F" w:rsidR="00C74720" w:rsidRDefault="00C74720" w:rsidP="00DC447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94" w:type="dxa"/>
          </w:tcPr>
          <w:p w14:paraId="4C8E6A4D" w14:textId="04D98A65" w:rsidR="00C74720" w:rsidRDefault="00C74720">
            <w:r>
              <w:t>Increasing well-being of operatives</w:t>
            </w:r>
          </w:p>
        </w:tc>
        <w:tc>
          <w:tcPr>
            <w:tcW w:w="4627" w:type="dxa"/>
          </w:tcPr>
          <w:p w14:paraId="68E121D1" w14:textId="65026935" w:rsidR="00C74720" w:rsidRDefault="007C65BE">
            <w:r>
              <w:t>M&amp;E, baseline, interim and exit wellbeing self</w:t>
            </w:r>
            <w:r w:rsidR="009F28BC">
              <w:t>-</w:t>
            </w:r>
            <w:r>
              <w:t xml:space="preserve"> assessment form</w:t>
            </w:r>
          </w:p>
        </w:tc>
      </w:tr>
      <w:tr w:rsidR="00C74720" w14:paraId="1F8A888A" w14:textId="77777777" w:rsidTr="00C74720">
        <w:tc>
          <w:tcPr>
            <w:tcW w:w="846" w:type="dxa"/>
          </w:tcPr>
          <w:p w14:paraId="735FDC4F" w14:textId="6BE2D38C" w:rsidR="00C74720" w:rsidRDefault="00C74720" w:rsidP="00DC447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94" w:type="dxa"/>
          </w:tcPr>
          <w:p w14:paraId="399A4C21" w14:textId="00C52F67" w:rsidR="00C74720" w:rsidRDefault="00C74720">
            <w:r>
              <w:t>Reduced congestion</w:t>
            </w:r>
          </w:p>
        </w:tc>
        <w:tc>
          <w:tcPr>
            <w:tcW w:w="4627" w:type="dxa"/>
          </w:tcPr>
          <w:p w14:paraId="6BFE8D95" w14:textId="4F66EADA" w:rsidR="00C74720" w:rsidRDefault="007C65BE">
            <w:r>
              <w:t>ANPR</w:t>
            </w:r>
          </w:p>
        </w:tc>
      </w:tr>
      <w:tr w:rsidR="00C74720" w14:paraId="67425843" w14:textId="77777777" w:rsidTr="00C74720">
        <w:tc>
          <w:tcPr>
            <w:tcW w:w="846" w:type="dxa"/>
          </w:tcPr>
          <w:p w14:paraId="1EEE949A" w14:textId="77777777" w:rsidR="00C74720" w:rsidRDefault="00C74720" w:rsidP="00DC447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94" w:type="dxa"/>
          </w:tcPr>
          <w:p w14:paraId="0C88EA37" w14:textId="0025112A" w:rsidR="00C74720" w:rsidRDefault="007C65BE">
            <w:r>
              <w:t>Retailer and customer satisfaction</w:t>
            </w:r>
          </w:p>
        </w:tc>
        <w:tc>
          <w:tcPr>
            <w:tcW w:w="4627" w:type="dxa"/>
          </w:tcPr>
          <w:p w14:paraId="0E29738B" w14:textId="2950E88B" w:rsidR="00C74720" w:rsidRDefault="007C65BE">
            <w:r>
              <w:t>“How did we do?” enquiries</w:t>
            </w:r>
            <w:r w:rsidR="000334EE">
              <w:t>, implementing learnings</w:t>
            </w:r>
          </w:p>
        </w:tc>
      </w:tr>
      <w:tr w:rsidR="00C74720" w14:paraId="04C8289D" w14:textId="77777777" w:rsidTr="00C74720">
        <w:tc>
          <w:tcPr>
            <w:tcW w:w="846" w:type="dxa"/>
          </w:tcPr>
          <w:p w14:paraId="2407E8B0" w14:textId="77777777" w:rsidR="00C74720" w:rsidRDefault="00C74720" w:rsidP="00DC447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594" w:type="dxa"/>
          </w:tcPr>
          <w:p w14:paraId="7740E817" w14:textId="7F164014" w:rsidR="00C74720" w:rsidRDefault="007C65BE">
            <w:r>
              <w:t>KPI compliance</w:t>
            </w:r>
          </w:p>
        </w:tc>
        <w:tc>
          <w:tcPr>
            <w:tcW w:w="4627" w:type="dxa"/>
          </w:tcPr>
          <w:p w14:paraId="045D27AF" w14:textId="0E4EA701" w:rsidR="00C74720" w:rsidRDefault="007C65BE">
            <w:r>
              <w:t xml:space="preserve">Metrics </w:t>
            </w:r>
            <w:r w:rsidR="00DF3976">
              <w:t>collection</w:t>
            </w:r>
            <w:r>
              <w:t xml:space="preserve"> </w:t>
            </w:r>
          </w:p>
        </w:tc>
      </w:tr>
    </w:tbl>
    <w:p w14:paraId="2C2A31DB" w14:textId="4DE1ECD9" w:rsidR="00DC4475" w:rsidRDefault="00DC4475"/>
    <w:p w14:paraId="2A7A375B" w14:textId="2929F99B" w:rsidR="007B461B" w:rsidRPr="001C2B9F" w:rsidRDefault="007B461B">
      <w:pPr>
        <w:rPr>
          <w:b/>
          <w:bCs/>
        </w:rPr>
      </w:pPr>
      <w:r w:rsidRPr="001C2B9F">
        <w:rPr>
          <w:b/>
          <w:bCs/>
        </w:rPr>
        <w:t>Definitions:</w:t>
      </w:r>
    </w:p>
    <w:p w14:paraId="4A597ECF" w14:textId="1AB8E7DC" w:rsidR="007B461B" w:rsidRDefault="007B461B" w:rsidP="006F780D">
      <w:pPr>
        <w:pStyle w:val="ListParagraph"/>
        <w:numPr>
          <w:ilvl w:val="0"/>
          <w:numId w:val="2"/>
        </w:numPr>
      </w:pPr>
      <w:r>
        <w:t>Clean Air Zone (CAZ): The area within the City of Bath for which charges are levied against non-compliant vehicle</w:t>
      </w:r>
      <w:r w:rsidR="009A1E61">
        <w:t xml:space="preserve"> use</w:t>
      </w:r>
      <w:r>
        <w:t xml:space="preserve">.  More details about the CAZ are available </w:t>
      </w:r>
      <w:hyperlink r:id="rId7" w:history="1">
        <w:r w:rsidRPr="007B461B">
          <w:rPr>
            <w:rStyle w:val="Hyperlink"/>
          </w:rPr>
          <w:t>here</w:t>
        </w:r>
      </w:hyperlink>
      <w:r>
        <w:t>.</w:t>
      </w:r>
    </w:p>
    <w:p w14:paraId="0A3BE33F" w14:textId="4F884B52" w:rsidR="007B461B" w:rsidRDefault="007B461B" w:rsidP="006F780D">
      <w:pPr>
        <w:pStyle w:val="ListParagraph"/>
        <w:numPr>
          <w:ilvl w:val="0"/>
          <w:numId w:val="2"/>
        </w:numPr>
      </w:pPr>
      <w:r>
        <w:t>Only Mile Delivery (OMD):</w:t>
      </w:r>
      <w:r w:rsidR="00134F01">
        <w:t xml:space="preserve">  A delivery service </w:t>
      </w:r>
      <w:r w:rsidR="00134F01" w:rsidRPr="00134F01">
        <w:t>represent</w:t>
      </w:r>
      <w:r w:rsidR="00134F01">
        <w:t>ing</w:t>
      </w:r>
      <w:r w:rsidR="00134F01" w:rsidRPr="00134F01">
        <w:t xml:space="preserve"> the only journey required as part of a distribution process which is </w:t>
      </w:r>
      <w:r w:rsidR="00134F01">
        <w:t>fully</w:t>
      </w:r>
      <w:r w:rsidR="00134F01" w:rsidRPr="00134F01">
        <w:t xml:space="preserve"> within a </w:t>
      </w:r>
      <w:r w:rsidR="00134F01">
        <w:t>small</w:t>
      </w:r>
      <w:r w:rsidR="00134F01" w:rsidRPr="00134F01">
        <w:t xml:space="preserve"> area</w:t>
      </w:r>
      <w:r w:rsidR="00134F01">
        <w:t xml:space="preserve">, typically from a local bricks and mortar retailer to a local consumer or from local business to local business.  This is quite distinct from a last mile delivery (LMD) which </w:t>
      </w:r>
      <w:r w:rsidR="00134F01" w:rsidRPr="00134F01">
        <w:t>provides the last component of a wider journey for goods, which could encompass national and international distribution networks</w:t>
      </w:r>
      <w:r w:rsidR="00134F01">
        <w:t xml:space="preserve">.  For the purposes of clarity, the Council’s present intention is that the grant is being made available for OMD </w:t>
      </w:r>
      <w:r w:rsidR="009A1E61">
        <w:t xml:space="preserve">services </w:t>
      </w:r>
      <w:r w:rsidR="00134F01">
        <w:t>only.</w:t>
      </w:r>
    </w:p>
    <w:p w14:paraId="134A939B" w14:textId="1A4D9809" w:rsidR="00134F01" w:rsidRDefault="00134F01" w:rsidP="006F780D">
      <w:pPr>
        <w:pStyle w:val="ListParagraph"/>
        <w:numPr>
          <w:ilvl w:val="0"/>
          <w:numId w:val="2"/>
        </w:numPr>
      </w:pPr>
      <w:r>
        <w:t>Aggregation:  The facility, either virtually o</w:t>
      </w:r>
      <w:r w:rsidR="00E516C8">
        <w:t>r</w:t>
      </w:r>
      <w:r>
        <w:t xml:space="preserve"> physically</w:t>
      </w:r>
      <w:r w:rsidR="00E516C8">
        <w:t xml:space="preserve">, to consolidate goods for more efficient </w:t>
      </w:r>
      <w:r w:rsidR="00A74869">
        <w:t xml:space="preserve">collection at the point of origin and </w:t>
      </w:r>
      <w:r w:rsidR="00E516C8">
        <w:t xml:space="preserve">delivery at </w:t>
      </w:r>
      <w:r w:rsidR="00A74869">
        <w:t xml:space="preserve">the </w:t>
      </w:r>
      <w:r w:rsidR="00E516C8">
        <w:t>destination.</w:t>
      </w:r>
    </w:p>
    <w:p w14:paraId="0FADA06D" w14:textId="30D0E849" w:rsidR="007B461B" w:rsidRDefault="00DA4925" w:rsidP="006F780D">
      <w:pPr>
        <w:pStyle w:val="ListParagraph"/>
        <w:numPr>
          <w:ilvl w:val="0"/>
          <w:numId w:val="2"/>
        </w:numPr>
      </w:pPr>
      <w:r>
        <w:t>Funding</w:t>
      </w:r>
      <w:r w:rsidR="00E516C8">
        <w:t xml:space="preserve">:  That portion of the </w:t>
      </w:r>
      <w:r>
        <w:t>grant</w:t>
      </w:r>
      <w:r w:rsidR="00E516C8">
        <w:t xml:space="preserve"> received by B&amp;NES from DEFRA</w:t>
      </w:r>
      <w:r w:rsidR="00C87DF5">
        <w:t>/DfT</w:t>
      </w:r>
      <w:r w:rsidR="00E516C8">
        <w:t xml:space="preserve"> which will </w:t>
      </w:r>
      <w:r>
        <w:t>be used to pay</w:t>
      </w:r>
      <w:r w:rsidR="00E516C8">
        <w:t xml:space="preserve"> the successful tenderer</w:t>
      </w:r>
      <w:r w:rsidR="00493638">
        <w:t>(</w:t>
      </w:r>
      <w:r w:rsidR="00E516C8">
        <w:t>s</w:t>
      </w:r>
      <w:r w:rsidR="00493638">
        <w:t>)</w:t>
      </w:r>
      <w:r>
        <w:t>.</w:t>
      </w:r>
    </w:p>
    <w:p w14:paraId="5774DDAE" w14:textId="676616E4" w:rsidR="00BB43E3" w:rsidRDefault="00BB43E3" w:rsidP="006F780D">
      <w:pPr>
        <w:pStyle w:val="ListParagraph"/>
        <w:numPr>
          <w:ilvl w:val="0"/>
          <w:numId w:val="2"/>
        </w:numPr>
      </w:pPr>
      <w:r>
        <w:lastRenderedPageBreak/>
        <w:t xml:space="preserve">E-cargo bike:  A cycle having two, three or more wheels </w:t>
      </w:r>
      <w:r w:rsidR="00A74869">
        <w:t xml:space="preserve">which nevertheless complies with </w:t>
      </w:r>
      <w:r w:rsidR="00A74869" w:rsidRPr="00A74869">
        <w:t>t</w:t>
      </w:r>
      <w:r w:rsidR="00A74869">
        <w:t xml:space="preserve">he </w:t>
      </w:r>
      <w:r w:rsidR="00A74869" w:rsidRPr="00A74869">
        <w:t>Electrically Assisted Pedal Cycles (EAPC) Regulations</w:t>
      </w:r>
    </w:p>
    <w:p w14:paraId="1B5CE747" w14:textId="3E9A557E" w:rsidR="00DA4925" w:rsidRDefault="00DA4925" w:rsidP="006F780D">
      <w:pPr>
        <w:pStyle w:val="ListParagraph"/>
        <w:numPr>
          <w:ilvl w:val="0"/>
          <w:numId w:val="2"/>
        </w:numPr>
      </w:pPr>
      <w:r>
        <w:t xml:space="preserve">Subsidy:  B&amp;NES intends to </w:t>
      </w:r>
      <w:r w:rsidR="00BB43E3" w:rsidRPr="00BB43E3">
        <w:t xml:space="preserve">incentivise uptake of the scheme from eligible businesses </w:t>
      </w:r>
      <w:r w:rsidR="002454D2">
        <w:t xml:space="preserve">and consumers </w:t>
      </w:r>
      <w:r w:rsidR="00BB43E3" w:rsidRPr="00BB43E3">
        <w:t xml:space="preserve">by </w:t>
      </w:r>
      <w:r w:rsidR="00BB43E3">
        <w:t>subsidising</w:t>
      </w:r>
      <w:r w:rsidR="00BB43E3" w:rsidRPr="00BB43E3">
        <w:t xml:space="preserve"> standard service charges to a level that makes E-Cargo bike use more attractive than ongoing non-compliant LGV </w:t>
      </w:r>
      <w:r w:rsidR="00493638">
        <w:t xml:space="preserve">or other motor vehicle </w:t>
      </w:r>
      <w:r w:rsidR="00BB43E3" w:rsidRPr="00BB43E3">
        <w:t>use in the short and medium term</w:t>
      </w:r>
      <w:r w:rsidR="00A1381C">
        <w:t xml:space="preserve">.  </w:t>
      </w:r>
      <w:proofErr w:type="gramStart"/>
      <w:r w:rsidR="00A1381C">
        <w:t>Alternatively</w:t>
      </w:r>
      <w:proofErr w:type="gramEnd"/>
      <w:r w:rsidR="00A1381C">
        <w:t xml:space="preserve"> or in tandem, a retailer delivery credit may be provided to encourage uptake.</w:t>
      </w:r>
    </w:p>
    <w:p w14:paraId="07C19018" w14:textId="514F0116" w:rsidR="00D44DB6" w:rsidRDefault="00D44DB6"/>
    <w:p w14:paraId="4A5B32C8" w14:textId="307073C0" w:rsidR="00D44DB6" w:rsidRPr="001C2B9F" w:rsidRDefault="0003404E">
      <w:pPr>
        <w:rPr>
          <w:b/>
          <w:bCs/>
        </w:rPr>
      </w:pPr>
      <w:r w:rsidRPr="001C2B9F">
        <w:rPr>
          <w:b/>
          <w:bCs/>
        </w:rPr>
        <w:t>Key data</w:t>
      </w:r>
    </w:p>
    <w:p w14:paraId="57EFF33B" w14:textId="0104E0EB" w:rsidR="00D44DB6" w:rsidRDefault="00D44DB6" w:rsidP="00046F13">
      <w:pPr>
        <w:pStyle w:val="ListParagraph"/>
        <w:numPr>
          <w:ilvl w:val="0"/>
          <w:numId w:val="3"/>
        </w:numPr>
      </w:pPr>
      <w:r w:rsidRPr="00D44DB6">
        <w:t xml:space="preserve">There are </w:t>
      </w:r>
      <w:r>
        <w:t>about</w:t>
      </w:r>
      <w:r w:rsidRPr="00D44DB6">
        <w:t xml:space="preserve"> 2,000 firms in the central Bath area likely to be directly impacted by the CAZ</w:t>
      </w:r>
      <w:r w:rsidR="0003404E">
        <w:t xml:space="preserve">.  </w:t>
      </w:r>
    </w:p>
    <w:p w14:paraId="333556C3" w14:textId="6A9145FA" w:rsidR="0003404E" w:rsidRDefault="0003404E" w:rsidP="00046F13">
      <w:pPr>
        <w:pStyle w:val="ListParagraph"/>
        <w:numPr>
          <w:ilvl w:val="0"/>
          <w:numId w:val="3"/>
        </w:numPr>
      </w:pPr>
      <w:r w:rsidRPr="0003404E">
        <w:t xml:space="preserve">In March 2019 </w:t>
      </w:r>
      <w:r>
        <w:t>B&amp;NES</w:t>
      </w:r>
      <w:r w:rsidRPr="0003404E">
        <w:t xml:space="preserve"> </w:t>
      </w:r>
      <w:hyperlink r:id="rId8" w:history="1">
        <w:r w:rsidRPr="0003404E">
          <w:rPr>
            <w:rStyle w:val="Hyperlink"/>
          </w:rPr>
          <w:t>declared a Climate Emergency</w:t>
        </w:r>
      </w:hyperlink>
      <w:r w:rsidRPr="0003404E">
        <w:t>, resolving to provide the leadership enabling the Bath and North East Somerset area to be carbon neutral by 2030</w:t>
      </w:r>
      <w:r>
        <w:t>.</w:t>
      </w:r>
    </w:p>
    <w:p w14:paraId="49F04CF6" w14:textId="25AB168D" w:rsidR="0003404E" w:rsidRDefault="0003404E" w:rsidP="00046F13">
      <w:pPr>
        <w:pStyle w:val="ListParagraph"/>
        <w:numPr>
          <w:ilvl w:val="0"/>
          <w:numId w:val="3"/>
        </w:numPr>
      </w:pPr>
      <w:r>
        <w:t xml:space="preserve">The centre of Bath features a narrow, flat river corridor around the River Avon which flows approximately westwards.  The </w:t>
      </w:r>
      <w:r w:rsidR="00C87DF5">
        <w:t>Central Business District (</w:t>
      </w:r>
      <w:r>
        <w:t>CBD</w:t>
      </w:r>
      <w:r w:rsidR="00C87DF5">
        <w:t>)</w:t>
      </w:r>
      <w:r>
        <w:t xml:space="preserve"> </w:t>
      </w:r>
      <w:proofErr w:type="gramStart"/>
      <w:r>
        <w:t>is located in</w:t>
      </w:r>
      <w:proofErr w:type="gramEnd"/>
      <w:r>
        <w:t xml:space="preserve"> this area and has a narrow and often congested road network.  To the north and south are the principal residential areas, characterised by steep topography rising to 160m above the valley bottom.</w:t>
      </w:r>
    </w:p>
    <w:p w14:paraId="3A251D79" w14:textId="3ABE6ED8" w:rsidR="00092C85" w:rsidRDefault="00092C85" w:rsidP="00046F13">
      <w:pPr>
        <w:pStyle w:val="ListParagraph"/>
        <w:numPr>
          <w:ilvl w:val="0"/>
          <w:numId w:val="3"/>
        </w:numPr>
      </w:pPr>
      <w:r>
        <w:t>The contract term will be three years.</w:t>
      </w:r>
    </w:p>
    <w:p w14:paraId="36AF1715" w14:textId="2111CFC5" w:rsidR="009A1E61" w:rsidRDefault="009A1E61" w:rsidP="00046F13">
      <w:pPr>
        <w:pStyle w:val="ListParagraph"/>
        <w:numPr>
          <w:ilvl w:val="0"/>
          <w:numId w:val="3"/>
        </w:numPr>
      </w:pPr>
      <w:r>
        <w:t xml:space="preserve">The funding will be available for OMD using ecargo bikes; no other type of EAV will be funded. </w:t>
      </w:r>
    </w:p>
    <w:p w14:paraId="534A07AD" w14:textId="7FF5B54C" w:rsidR="0003404E" w:rsidRDefault="0003404E" w:rsidP="00046F13">
      <w:pPr>
        <w:pStyle w:val="ListParagraph"/>
        <w:numPr>
          <w:ilvl w:val="0"/>
          <w:numId w:val="3"/>
        </w:numPr>
      </w:pPr>
      <w:r>
        <w:t>The grant breakdown is as follows (all figures are approximate)</w:t>
      </w:r>
      <w:r w:rsidR="00BB30E2">
        <w:t xml:space="preserve"> and will be adjusted to account for B&amp;NES own costs in administering the project</w:t>
      </w:r>
      <w:r w:rsidR="00493638">
        <w:t xml:space="preserve"> or other necessary measures to implement a successful service</w:t>
      </w:r>
      <w:r w:rsidR="00BB30E2">
        <w:t>.</w:t>
      </w:r>
    </w:p>
    <w:p w14:paraId="621565F2" w14:textId="37D9E81A" w:rsidR="0003404E" w:rsidRDefault="00BF72BB" w:rsidP="0003404E">
      <w:pPr>
        <w:pStyle w:val="ListParagraph"/>
        <w:numPr>
          <w:ilvl w:val="0"/>
          <w:numId w:val="1"/>
        </w:numPr>
      </w:pPr>
      <w:r>
        <w:t>£</w:t>
      </w:r>
      <w:r w:rsidR="00552060">
        <w:t>60</w:t>
      </w:r>
      <w:r>
        <w:t>,000</w:t>
      </w:r>
      <w:r w:rsidR="00552060">
        <w:t>.  For the purchase of ecargo bikes.  Presently B&amp;NES intends to purchase these ecargo bikes and provide them to the OMD supplier on a free, fixed-term loan.</w:t>
      </w:r>
    </w:p>
    <w:p w14:paraId="5250697C" w14:textId="24ACD4A6" w:rsidR="00552060" w:rsidRDefault="00BF72BB" w:rsidP="0003404E">
      <w:pPr>
        <w:pStyle w:val="ListParagraph"/>
        <w:numPr>
          <w:ilvl w:val="0"/>
          <w:numId w:val="1"/>
        </w:numPr>
      </w:pPr>
      <w:r>
        <w:t>£</w:t>
      </w:r>
      <w:r w:rsidR="00092C85">
        <w:t>50</w:t>
      </w:r>
      <w:r>
        <w:t>,000</w:t>
      </w:r>
      <w:r w:rsidR="00092C85">
        <w:t>.  For the purchase of consolidation hub infrastructure</w:t>
      </w:r>
    </w:p>
    <w:p w14:paraId="79D7C38A" w14:textId="537695CB" w:rsidR="00092C85" w:rsidRDefault="00BF72BB" w:rsidP="0003404E">
      <w:pPr>
        <w:pStyle w:val="ListParagraph"/>
        <w:numPr>
          <w:ilvl w:val="0"/>
          <w:numId w:val="1"/>
        </w:numPr>
      </w:pPr>
      <w:r>
        <w:t>£</w:t>
      </w:r>
      <w:r w:rsidR="00092C85">
        <w:t>30</w:t>
      </w:r>
      <w:r>
        <w:t>,000</w:t>
      </w:r>
      <w:r w:rsidR="00092C85">
        <w:t>.  F</w:t>
      </w:r>
      <w:r w:rsidR="00092C85" w:rsidRPr="00092C85">
        <w:t>or supporting infrastructure encompassing office and communications equipment (including software)</w:t>
      </w:r>
    </w:p>
    <w:p w14:paraId="40BBB717" w14:textId="0964626B" w:rsidR="00092C85" w:rsidRDefault="00BF72BB" w:rsidP="0003404E">
      <w:pPr>
        <w:pStyle w:val="ListParagraph"/>
        <w:numPr>
          <w:ilvl w:val="0"/>
          <w:numId w:val="1"/>
        </w:numPr>
      </w:pPr>
      <w:r>
        <w:t>£</w:t>
      </w:r>
      <w:r w:rsidR="00092C85">
        <w:t>60</w:t>
      </w:r>
      <w:r>
        <w:t>,000</w:t>
      </w:r>
      <w:r w:rsidR="00092C85">
        <w:t xml:space="preserve"> per year.  </w:t>
      </w:r>
      <w:r w:rsidR="00092C85" w:rsidRPr="00092C85">
        <w:t>Operating and maintaining cargo bike functions</w:t>
      </w:r>
    </w:p>
    <w:p w14:paraId="1F5B0ADD" w14:textId="1F12ABB6" w:rsidR="00092C85" w:rsidRDefault="00BF72BB" w:rsidP="0003404E">
      <w:pPr>
        <w:pStyle w:val="ListParagraph"/>
        <w:numPr>
          <w:ilvl w:val="0"/>
          <w:numId w:val="1"/>
        </w:numPr>
      </w:pPr>
      <w:r>
        <w:t>£</w:t>
      </w:r>
      <w:r w:rsidR="00BB30E2">
        <w:t>189</w:t>
      </w:r>
      <w:r>
        <w:t>,000</w:t>
      </w:r>
      <w:r w:rsidR="00BB30E2">
        <w:t xml:space="preserve"> for each of the first two years.  Delivery subsidy</w:t>
      </w:r>
      <w:r w:rsidR="00C87DF5">
        <w:t>/credit</w:t>
      </w:r>
    </w:p>
    <w:p w14:paraId="5A757972" w14:textId="68145EA0" w:rsidR="00BB30E2" w:rsidRDefault="00BB30E2" w:rsidP="0003404E">
      <w:pPr>
        <w:pStyle w:val="ListParagraph"/>
        <w:numPr>
          <w:ilvl w:val="0"/>
          <w:numId w:val="1"/>
        </w:numPr>
      </w:pPr>
      <w:r>
        <w:t>Total:  £700</w:t>
      </w:r>
      <w:r w:rsidR="00BF72BB">
        <w:t>,000</w:t>
      </w:r>
      <w:r w:rsidR="008D2BA6">
        <w:t>.</w:t>
      </w:r>
      <w:r w:rsidR="002D7DCD">
        <w:t xml:space="preserve">  Note, of this total only £400k is presently available; the remaining £300k requires evidence of successful delivery of the first tranche supported by robust monitoring and evaluation data. </w:t>
      </w:r>
    </w:p>
    <w:p w14:paraId="0649D919" w14:textId="288AF1D1" w:rsidR="00F71A00" w:rsidRDefault="00F71A00" w:rsidP="00F71A00">
      <w:pPr>
        <w:pStyle w:val="ListParagraph"/>
        <w:numPr>
          <w:ilvl w:val="0"/>
          <w:numId w:val="3"/>
        </w:numPr>
      </w:pPr>
      <w:r>
        <w:t>Useful cycling maps, showing in particular permeable cycling route</w:t>
      </w:r>
      <w:r w:rsidR="009F28BC">
        <w:t>s</w:t>
      </w:r>
      <w:r>
        <w:t xml:space="preserve"> in the city centre and elsewhere, can be found </w:t>
      </w:r>
      <w:hyperlink r:id="rId9" w:anchor="bath-north-east-somerset" w:history="1">
        <w:r w:rsidRPr="00F71A00">
          <w:rPr>
            <w:rStyle w:val="Hyperlink"/>
          </w:rPr>
          <w:t>here</w:t>
        </w:r>
      </w:hyperlink>
      <w:r>
        <w:t>.</w:t>
      </w:r>
    </w:p>
    <w:p w14:paraId="00F9A6F2" w14:textId="7A699A91" w:rsidR="0003404E" w:rsidRDefault="0003404E">
      <w:r w:rsidRPr="00BF72BB">
        <w:rPr>
          <w:b/>
          <w:bCs/>
        </w:rPr>
        <w:t xml:space="preserve">What B&amp;NES intends to </w:t>
      </w:r>
      <w:proofErr w:type="gramStart"/>
      <w:r w:rsidRPr="00BF72BB">
        <w:rPr>
          <w:b/>
          <w:bCs/>
        </w:rPr>
        <w:t>provide</w:t>
      </w:r>
      <w:r w:rsidR="00CB5866">
        <w:t>.</w:t>
      </w:r>
      <w:proofErr w:type="gramEnd"/>
    </w:p>
    <w:p w14:paraId="5383AD87" w14:textId="3D5A9E53" w:rsidR="00E3227F" w:rsidRDefault="00E3227F" w:rsidP="00BB6453">
      <w:pPr>
        <w:pStyle w:val="ListParagraph"/>
        <w:numPr>
          <w:ilvl w:val="0"/>
          <w:numId w:val="5"/>
        </w:numPr>
      </w:pPr>
      <w:r>
        <w:t xml:space="preserve">A tender opportunity for the provision </w:t>
      </w:r>
      <w:r w:rsidR="00493638">
        <w:t xml:space="preserve">and payment </w:t>
      </w:r>
      <w:r>
        <w:t>of seed-funding for an OMD service in Bath</w:t>
      </w:r>
      <w:r w:rsidR="00BB6453">
        <w:t>.</w:t>
      </w:r>
    </w:p>
    <w:p w14:paraId="0C78D28E" w14:textId="6FFE249E" w:rsidR="00CB5866" w:rsidRDefault="009A1E61" w:rsidP="00BB6453">
      <w:pPr>
        <w:pStyle w:val="ListParagraph"/>
        <w:numPr>
          <w:ilvl w:val="0"/>
          <w:numId w:val="5"/>
        </w:numPr>
      </w:pPr>
      <w:r>
        <w:t xml:space="preserve">A cost reimbursable contract </w:t>
      </w:r>
      <w:r w:rsidR="00985D0A">
        <w:t>(likely to be the NEC</w:t>
      </w:r>
      <w:r w:rsidR="00E73842">
        <w:t>4</w:t>
      </w:r>
      <w:r w:rsidR="00985D0A">
        <w:t xml:space="preserve"> Terms Service Contract) </w:t>
      </w:r>
      <w:r w:rsidR="00E3227F">
        <w:t>to those successful</w:t>
      </w:r>
      <w:r w:rsidR="00493638">
        <w:t xml:space="preserve"> tenderer(s)</w:t>
      </w:r>
    </w:p>
    <w:p w14:paraId="495D3C30" w14:textId="0B83F4C9" w:rsidR="00E3227F" w:rsidRDefault="00E3227F" w:rsidP="00BB6453">
      <w:pPr>
        <w:pStyle w:val="ListParagraph"/>
        <w:numPr>
          <w:ilvl w:val="0"/>
          <w:numId w:val="5"/>
        </w:numPr>
      </w:pPr>
      <w:r>
        <w:t xml:space="preserve">Free loan of </w:t>
      </w:r>
      <w:proofErr w:type="gramStart"/>
      <w:r>
        <w:t>a number of</w:t>
      </w:r>
      <w:proofErr w:type="gramEnd"/>
      <w:r>
        <w:t xml:space="preserve"> </w:t>
      </w:r>
      <w:r w:rsidR="00493638">
        <w:t xml:space="preserve">suitable </w:t>
      </w:r>
      <w:r>
        <w:t>eCargo bikes</w:t>
      </w:r>
      <w:r w:rsidR="001C2B9F">
        <w:t xml:space="preserve"> for the duration of the contract.</w:t>
      </w:r>
    </w:p>
    <w:p w14:paraId="3121E73B" w14:textId="15F552A1" w:rsidR="00E3227F" w:rsidRDefault="00E3227F" w:rsidP="00BB6453">
      <w:pPr>
        <w:pStyle w:val="ListParagraph"/>
        <w:numPr>
          <w:ilvl w:val="0"/>
          <w:numId w:val="5"/>
        </w:numPr>
      </w:pPr>
      <w:r>
        <w:t xml:space="preserve">Support for the </w:t>
      </w:r>
      <w:r w:rsidR="001C2B9F">
        <w:t xml:space="preserve">OMD </w:t>
      </w:r>
      <w:r>
        <w:t>service including promotion and business intelligence.</w:t>
      </w:r>
    </w:p>
    <w:p w14:paraId="6CB76968" w14:textId="556C81E4" w:rsidR="009A1E61" w:rsidRDefault="009A1E61"/>
    <w:p w14:paraId="5FDDEA03" w14:textId="31A93246" w:rsidR="0003404E" w:rsidRDefault="0003404E">
      <w:r w:rsidRPr="00BF72BB">
        <w:rPr>
          <w:b/>
          <w:bCs/>
        </w:rPr>
        <w:t>What you should provide</w:t>
      </w:r>
      <w:r w:rsidR="008D2BA6">
        <w:rPr>
          <w:b/>
          <w:bCs/>
        </w:rPr>
        <w:t xml:space="preserve"> ahead of the Supplier Engagement Event</w:t>
      </w:r>
      <w:r w:rsidR="00BB6453">
        <w:t>:</w:t>
      </w:r>
    </w:p>
    <w:p w14:paraId="62EBFAD8" w14:textId="248B8240" w:rsidR="0003404E" w:rsidRDefault="008D2BA6" w:rsidP="008960AD">
      <w:r>
        <w:t xml:space="preserve">If you intend to participate in this </w:t>
      </w:r>
      <w:proofErr w:type="gramStart"/>
      <w:r>
        <w:t>event</w:t>
      </w:r>
      <w:proofErr w:type="gramEnd"/>
      <w:r>
        <w:t xml:space="preserve"> please</w:t>
      </w:r>
      <w:r w:rsidR="00BB6453">
        <w:t xml:space="preserve"> provide e</w:t>
      </w:r>
      <w:r w:rsidR="0003404E">
        <w:t>vidence of:</w:t>
      </w:r>
    </w:p>
    <w:p w14:paraId="558E07EB" w14:textId="7D1DD5B3" w:rsidR="0003404E" w:rsidRDefault="0003404E" w:rsidP="00BB6453">
      <w:pPr>
        <w:pStyle w:val="ListParagraph"/>
        <w:numPr>
          <w:ilvl w:val="0"/>
          <w:numId w:val="6"/>
        </w:numPr>
      </w:pPr>
      <w:r>
        <w:t>Operation of an OMD service</w:t>
      </w:r>
      <w:r w:rsidR="00A7068C">
        <w:t xml:space="preserve"> or other eCargo bike delivery service</w:t>
      </w:r>
      <w:r w:rsidR="00BB6453">
        <w:t>.</w:t>
      </w:r>
      <w:r w:rsidR="00BF72BB">
        <w:t xml:space="preserve">  A business website and </w:t>
      </w:r>
      <w:r w:rsidR="00641385">
        <w:t xml:space="preserve">short </w:t>
      </w:r>
      <w:r w:rsidR="00BF72BB">
        <w:t>testimonial will suffice for this.</w:t>
      </w:r>
    </w:p>
    <w:p w14:paraId="6F56D940" w14:textId="1CC7BF5B" w:rsidR="0003404E" w:rsidRDefault="00346459" w:rsidP="00BB6453">
      <w:pPr>
        <w:pStyle w:val="ListParagraph"/>
        <w:numPr>
          <w:ilvl w:val="0"/>
          <w:numId w:val="6"/>
        </w:numPr>
      </w:pPr>
      <w:r>
        <w:t>Experience</w:t>
      </w:r>
      <w:r w:rsidR="0003404E">
        <w:t xml:space="preserve"> of </w:t>
      </w:r>
      <w:r w:rsidR="00627D2D">
        <w:t xml:space="preserve">use of </w:t>
      </w:r>
      <w:r w:rsidR="0003404E">
        <w:t xml:space="preserve">ecargo bikes </w:t>
      </w:r>
      <w:r>
        <w:t>suitable for hilly areas.</w:t>
      </w:r>
      <w:r w:rsidR="00C8286F">
        <w:t xml:space="preserve">  A generic specification for a suitable eCargo bike (bike or trike, torque, battery size, cargo carrying requirement, layout etc) should be stated.</w:t>
      </w:r>
    </w:p>
    <w:p w14:paraId="18C8C57D" w14:textId="7C714038" w:rsidR="001C2B9F" w:rsidRDefault="001C2B9F" w:rsidP="00BB6453">
      <w:pPr>
        <w:pStyle w:val="ListParagraph"/>
        <w:numPr>
          <w:ilvl w:val="0"/>
          <w:numId w:val="6"/>
        </w:numPr>
      </w:pPr>
      <w:r>
        <w:t>A short (</w:t>
      </w:r>
      <w:r w:rsidR="00627D2D">
        <w:t>4</w:t>
      </w:r>
      <w:r>
        <w:t>00 words maximum) introduction of your business</w:t>
      </w:r>
      <w:r w:rsidR="00627D2D">
        <w:t xml:space="preserve">, to include details of geographic area(s) of operation, experience in goods aggregation, use of software for both </w:t>
      </w:r>
      <w:proofErr w:type="gramStart"/>
      <w:r w:rsidR="00627D2D">
        <w:t>good</w:t>
      </w:r>
      <w:r w:rsidR="00273B61">
        <w:t>s</w:t>
      </w:r>
      <w:proofErr w:type="gramEnd"/>
      <w:r w:rsidR="00627D2D">
        <w:t xml:space="preserve"> aggregation and route planning</w:t>
      </w:r>
      <w:r w:rsidR="00273B61">
        <w:t>,</w:t>
      </w:r>
      <w:r w:rsidR="00627D2D">
        <w:t xml:space="preserve"> and growing business efficiencies.</w:t>
      </w:r>
    </w:p>
    <w:p w14:paraId="0680E5FB" w14:textId="072DE101" w:rsidR="00E06C3E" w:rsidRDefault="00E06C3E" w:rsidP="00BB6453">
      <w:pPr>
        <w:pStyle w:val="ListParagraph"/>
        <w:numPr>
          <w:ilvl w:val="0"/>
          <w:numId w:val="6"/>
        </w:numPr>
      </w:pPr>
      <w:r>
        <w:t>The name(s) of your team members wishing to attend the event (maximum of two).</w:t>
      </w:r>
    </w:p>
    <w:p w14:paraId="14892216" w14:textId="2EFFC122" w:rsidR="00BB6453" w:rsidRDefault="00BB6453"/>
    <w:p w14:paraId="24A0F7BD" w14:textId="626582C9" w:rsidR="00BF72BB" w:rsidRDefault="00BF72BB">
      <w:r>
        <w:t xml:space="preserve">Those that pre-qualify by providing satisfactory evidence will then receive a Zoom </w:t>
      </w:r>
      <w:r w:rsidR="00D30626">
        <w:t xml:space="preserve">or Teams </w:t>
      </w:r>
      <w:r w:rsidR="00326F73">
        <w:t xml:space="preserve">or similar </w:t>
      </w:r>
      <w:r>
        <w:t>invitation to attend the event.</w:t>
      </w:r>
    </w:p>
    <w:p w14:paraId="60048573" w14:textId="77777777" w:rsidR="00BB6453" w:rsidRDefault="00BB6453"/>
    <w:p w14:paraId="139CC15A" w14:textId="2DDB9F9A" w:rsidR="001C2B9F" w:rsidRPr="00FF2CF6" w:rsidRDefault="00BB6453">
      <w:pPr>
        <w:rPr>
          <w:b/>
          <w:bCs/>
        </w:rPr>
      </w:pPr>
      <w:r>
        <w:t xml:space="preserve">If you </w:t>
      </w:r>
      <w:r w:rsidR="00BF72BB">
        <w:t xml:space="preserve">are interested in </w:t>
      </w:r>
      <w:r w:rsidR="00D30626">
        <w:t>participating</w:t>
      </w:r>
      <w:r>
        <w:t xml:space="preserve">, please email </w:t>
      </w:r>
      <w:hyperlink r:id="rId10" w:history="1">
        <w:r w:rsidRPr="00BB6453">
          <w:rPr>
            <w:rStyle w:val="Hyperlink"/>
            <w:u w:val="none"/>
          </w:rPr>
          <w:t>paul_thompson@bathnes.gov.uk</w:t>
        </w:r>
      </w:hyperlink>
      <w:r>
        <w:t xml:space="preserve"> entitling your email “Engagement Event </w:t>
      </w:r>
      <w:r w:rsidR="008960AD">
        <w:t>B</w:t>
      </w:r>
      <w:r>
        <w:t>7</w:t>
      </w:r>
      <w:r w:rsidR="00D30626">
        <w:t xml:space="preserve"> </w:t>
      </w:r>
      <w:r w:rsidR="00D30626" w:rsidRPr="00D30626">
        <w:rPr>
          <w:i/>
          <w:iCs/>
        </w:rPr>
        <w:t>your business name</w:t>
      </w:r>
      <w:r>
        <w:t xml:space="preserve">” </w:t>
      </w:r>
      <w:r w:rsidR="00BF72BB">
        <w:t>with the evidence requested above</w:t>
      </w:r>
      <w:r w:rsidR="00D30626">
        <w:t xml:space="preserve"> </w:t>
      </w:r>
      <w:r w:rsidR="00D30626" w:rsidRPr="00FF2CF6">
        <w:rPr>
          <w:b/>
          <w:bCs/>
        </w:rPr>
        <w:t>not later than 1</w:t>
      </w:r>
      <w:r w:rsidR="00D30626" w:rsidRPr="00FF2CF6">
        <w:rPr>
          <w:b/>
          <w:bCs/>
          <w:vertAlign w:val="superscript"/>
        </w:rPr>
        <w:t>st</w:t>
      </w:r>
      <w:r w:rsidR="00D30626" w:rsidRPr="00FF2CF6">
        <w:rPr>
          <w:b/>
          <w:bCs/>
        </w:rPr>
        <w:t xml:space="preserve"> June.</w:t>
      </w:r>
    </w:p>
    <w:p w14:paraId="18B8AF8E" w14:textId="77777777" w:rsidR="00DA4925" w:rsidRDefault="00DA4925"/>
    <w:p w14:paraId="298E74F0" w14:textId="77777777" w:rsidR="00E25364" w:rsidRDefault="00E25364" w:rsidP="00985D0A"/>
    <w:p w14:paraId="4727BA08" w14:textId="77777777" w:rsidR="00955C56" w:rsidRDefault="00955C56" w:rsidP="00985D0A"/>
    <w:sectPr w:rsidR="00955C5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9B57B" w14:textId="77777777" w:rsidR="00A85570" w:rsidRDefault="00A85570" w:rsidP="00A85570">
      <w:pPr>
        <w:spacing w:after="0" w:line="240" w:lineRule="auto"/>
      </w:pPr>
      <w:r>
        <w:separator/>
      </w:r>
    </w:p>
  </w:endnote>
  <w:endnote w:type="continuationSeparator" w:id="0">
    <w:p w14:paraId="3095A435" w14:textId="77777777" w:rsidR="00A85570" w:rsidRDefault="00A85570" w:rsidP="00A8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1132" w14:textId="77777777" w:rsidR="00A85570" w:rsidRDefault="00A85570" w:rsidP="00A85570">
      <w:pPr>
        <w:spacing w:after="0" w:line="240" w:lineRule="auto"/>
      </w:pPr>
      <w:r>
        <w:separator/>
      </w:r>
    </w:p>
  </w:footnote>
  <w:footnote w:type="continuationSeparator" w:id="0">
    <w:p w14:paraId="370124E1" w14:textId="77777777" w:rsidR="00A85570" w:rsidRDefault="00A85570" w:rsidP="00A8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1870" w14:textId="585A0639" w:rsidR="00A85570" w:rsidRDefault="00A85570" w:rsidP="00A85570">
    <w:pPr>
      <w:pStyle w:val="Header"/>
      <w:jc w:val="both"/>
    </w:pPr>
    <w:r>
      <w:rPr>
        <w:noProof/>
      </w:rPr>
      <w:drawing>
        <wp:inline distT="0" distB="0" distL="0" distR="0" wp14:anchorId="17C9E306" wp14:editId="62141D67">
          <wp:extent cx="1188720" cy="6584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sz w:val="24"/>
        <w:szCs w:val="24"/>
      </w:rPr>
      <w:t xml:space="preserve">                                                                                                                  </w:t>
    </w:r>
    <w:r w:rsidRPr="00A85570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10AD9ED6" wp14:editId="6FB34152">
          <wp:extent cx="1466850" cy="75861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531" cy="771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5888"/>
    <w:multiLevelType w:val="hybridMultilevel"/>
    <w:tmpl w:val="22DA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629F"/>
    <w:multiLevelType w:val="hybridMultilevel"/>
    <w:tmpl w:val="19FE7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ADD"/>
    <w:multiLevelType w:val="hybridMultilevel"/>
    <w:tmpl w:val="92207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6398"/>
    <w:multiLevelType w:val="hybridMultilevel"/>
    <w:tmpl w:val="222C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7E68"/>
    <w:multiLevelType w:val="hybridMultilevel"/>
    <w:tmpl w:val="7C9CF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72ED"/>
    <w:multiLevelType w:val="hybridMultilevel"/>
    <w:tmpl w:val="6CE2B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9071D7"/>
    <w:multiLevelType w:val="hybridMultilevel"/>
    <w:tmpl w:val="12C0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91879"/>
    <w:multiLevelType w:val="hybridMultilevel"/>
    <w:tmpl w:val="2C76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3E"/>
    <w:rsid w:val="000334EE"/>
    <w:rsid w:val="0003404E"/>
    <w:rsid w:val="00046F13"/>
    <w:rsid w:val="0009094B"/>
    <w:rsid w:val="00092C85"/>
    <w:rsid w:val="00134F01"/>
    <w:rsid w:val="00185A72"/>
    <w:rsid w:val="00193AE5"/>
    <w:rsid w:val="001C2B9F"/>
    <w:rsid w:val="001E17DF"/>
    <w:rsid w:val="002454D2"/>
    <w:rsid w:val="0026785C"/>
    <w:rsid w:val="00273B61"/>
    <w:rsid w:val="002D7DCD"/>
    <w:rsid w:val="00321D39"/>
    <w:rsid w:val="00326F73"/>
    <w:rsid w:val="00346459"/>
    <w:rsid w:val="003C1255"/>
    <w:rsid w:val="003C2479"/>
    <w:rsid w:val="00493638"/>
    <w:rsid w:val="004B3E83"/>
    <w:rsid w:val="004F673E"/>
    <w:rsid w:val="005234B8"/>
    <w:rsid w:val="00552060"/>
    <w:rsid w:val="00575AA3"/>
    <w:rsid w:val="005912BE"/>
    <w:rsid w:val="005C07DB"/>
    <w:rsid w:val="00627D2D"/>
    <w:rsid w:val="00641385"/>
    <w:rsid w:val="0068562F"/>
    <w:rsid w:val="006B0871"/>
    <w:rsid w:val="006C3C9A"/>
    <w:rsid w:val="006F780D"/>
    <w:rsid w:val="0078358C"/>
    <w:rsid w:val="007B461B"/>
    <w:rsid w:val="007C65BE"/>
    <w:rsid w:val="008512C6"/>
    <w:rsid w:val="008960AD"/>
    <w:rsid w:val="008B7D61"/>
    <w:rsid w:val="008D2BA6"/>
    <w:rsid w:val="00955C56"/>
    <w:rsid w:val="00985D0A"/>
    <w:rsid w:val="009A1E61"/>
    <w:rsid w:val="009F28BC"/>
    <w:rsid w:val="00A1381C"/>
    <w:rsid w:val="00A7068C"/>
    <w:rsid w:val="00A72FA8"/>
    <w:rsid w:val="00A74869"/>
    <w:rsid w:val="00A85570"/>
    <w:rsid w:val="00BB30E2"/>
    <w:rsid w:val="00BB43E3"/>
    <w:rsid w:val="00BB6453"/>
    <w:rsid w:val="00BF0A50"/>
    <w:rsid w:val="00BF72BB"/>
    <w:rsid w:val="00C74720"/>
    <w:rsid w:val="00C8286F"/>
    <w:rsid w:val="00C87DF5"/>
    <w:rsid w:val="00CB5866"/>
    <w:rsid w:val="00CE4832"/>
    <w:rsid w:val="00D30626"/>
    <w:rsid w:val="00D35837"/>
    <w:rsid w:val="00D44DB6"/>
    <w:rsid w:val="00D577E5"/>
    <w:rsid w:val="00DA4925"/>
    <w:rsid w:val="00DC4475"/>
    <w:rsid w:val="00DF3976"/>
    <w:rsid w:val="00E06C3E"/>
    <w:rsid w:val="00E17A70"/>
    <w:rsid w:val="00E25364"/>
    <w:rsid w:val="00E3227F"/>
    <w:rsid w:val="00E516C8"/>
    <w:rsid w:val="00E73842"/>
    <w:rsid w:val="00F71A00"/>
    <w:rsid w:val="00FC1E05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619CE5"/>
  <w15:chartTrackingRefBased/>
  <w15:docId w15:val="{D3676430-D362-492B-AC8E-A060768F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04E"/>
    <w:pPr>
      <w:ind w:left="720"/>
      <w:contextualSpacing/>
    </w:pPr>
  </w:style>
  <w:style w:type="table" w:styleId="TableGrid">
    <w:name w:val="Table Grid"/>
    <w:basedOn w:val="TableNormal"/>
    <w:uiPriority w:val="39"/>
    <w:rsid w:val="00E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70"/>
  </w:style>
  <w:style w:type="paragraph" w:styleId="Footer">
    <w:name w:val="footer"/>
    <w:basedOn w:val="Normal"/>
    <w:link w:val="FooterChar"/>
    <w:uiPriority w:val="99"/>
    <w:unhideWhenUsed/>
    <w:rsid w:val="00A85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570"/>
  </w:style>
  <w:style w:type="character" w:styleId="FollowedHyperlink">
    <w:name w:val="FollowedHyperlink"/>
    <w:basedOn w:val="DefaultParagraphFont"/>
    <w:uiPriority w:val="99"/>
    <w:semiHidden/>
    <w:unhideWhenUsed/>
    <w:rsid w:val="00F71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nes.gov.uk/climate-emergen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ta.bathnes.gov.uk/bath-clean-air-zo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ul_thompson@bathne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tterbybike.info/maps-and-guides/regional-cycle-map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1137</Words>
  <Characters>6484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Michelle Vittozzi</cp:lastModifiedBy>
  <cp:revision>2</cp:revision>
  <dcterms:created xsi:type="dcterms:W3CDTF">2021-05-18T12:49:00Z</dcterms:created>
  <dcterms:modified xsi:type="dcterms:W3CDTF">2021-05-18T12:49:00Z</dcterms:modified>
</cp:coreProperties>
</file>