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3A" w:rsidRDefault="00F32CE3" w:rsidP="00667BE4">
      <w:pPr>
        <w:spacing w:after="0" w:line="240" w:lineRule="auto"/>
        <w:contextualSpacing/>
        <w:jc w:val="center"/>
      </w:pPr>
      <w:r>
        <w:rPr>
          <w:noProof/>
          <w:lang w:eastAsia="en-GB"/>
        </w:rPr>
        <w:drawing>
          <wp:inline distT="0" distB="0" distL="0" distR="0" wp14:anchorId="3A398D75" wp14:editId="4CF4A1F0">
            <wp:extent cx="3170967" cy="586629"/>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093" cy="593682"/>
                    </a:xfrm>
                    <a:prstGeom prst="rect">
                      <a:avLst/>
                    </a:prstGeom>
                  </pic:spPr>
                </pic:pic>
              </a:graphicData>
            </a:graphic>
          </wp:inline>
        </w:drawing>
      </w:r>
    </w:p>
    <w:p w:rsidR="00667BE4" w:rsidRDefault="00667BE4" w:rsidP="00667BE4">
      <w:pPr>
        <w:jc w:val="center"/>
        <w:rPr>
          <w:rFonts w:ascii="Raleway" w:hAnsi="Raleway"/>
          <w:color w:val="548DD4" w:themeColor="text2" w:themeTint="99"/>
          <w:sz w:val="44"/>
          <w:szCs w:val="44"/>
        </w:rPr>
      </w:pPr>
      <w:r w:rsidRPr="00667BE4">
        <w:rPr>
          <w:rFonts w:ascii="Raleway" w:hAnsi="Raleway"/>
          <w:color w:val="548DD4" w:themeColor="text2" w:themeTint="99"/>
          <w:sz w:val="44"/>
          <w:szCs w:val="44"/>
        </w:rPr>
        <w:t>HERITAGE ACTION ZONE</w:t>
      </w:r>
    </w:p>
    <w:p w:rsidR="005025EA" w:rsidRPr="007041E7" w:rsidRDefault="005025EA" w:rsidP="005025EA">
      <w:pPr>
        <w:jc w:val="center"/>
        <w:rPr>
          <w:rFonts w:cstheme="minorHAnsi"/>
          <w:b/>
          <w:sz w:val="24"/>
          <w:szCs w:val="24"/>
        </w:rPr>
      </w:pPr>
      <w:r w:rsidRPr="007041E7">
        <w:rPr>
          <w:rFonts w:cstheme="minorHAnsi"/>
          <w:b/>
          <w:sz w:val="24"/>
          <w:szCs w:val="24"/>
        </w:rPr>
        <w:t>INVITATION TO QUOTE</w:t>
      </w:r>
      <w:r w:rsidR="00A0550A">
        <w:rPr>
          <w:rFonts w:cstheme="minorHAnsi"/>
          <w:b/>
          <w:sz w:val="24"/>
          <w:szCs w:val="24"/>
        </w:rPr>
        <w:t xml:space="preserve"> </w:t>
      </w:r>
    </w:p>
    <w:p w:rsidR="005025EA" w:rsidRPr="007041E7" w:rsidRDefault="00A21A7F" w:rsidP="005025EA">
      <w:pPr>
        <w:jc w:val="center"/>
        <w:rPr>
          <w:rFonts w:cstheme="minorHAnsi"/>
          <w:b/>
          <w:sz w:val="24"/>
          <w:szCs w:val="24"/>
        </w:rPr>
      </w:pPr>
      <w:r>
        <w:rPr>
          <w:rFonts w:cstheme="minorHAnsi"/>
          <w:b/>
          <w:sz w:val="24"/>
          <w:szCs w:val="24"/>
        </w:rPr>
        <w:t xml:space="preserve"> PUBLISH DATE: Monday 2</w:t>
      </w:r>
      <w:r w:rsidRPr="00A21A7F">
        <w:rPr>
          <w:rFonts w:cstheme="minorHAnsi"/>
          <w:b/>
          <w:sz w:val="24"/>
          <w:szCs w:val="24"/>
          <w:vertAlign w:val="superscript"/>
        </w:rPr>
        <w:t>nd</w:t>
      </w:r>
      <w:r>
        <w:rPr>
          <w:rFonts w:cstheme="minorHAnsi"/>
          <w:b/>
          <w:sz w:val="24"/>
          <w:szCs w:val="24"/>
        </w:rPr>
        <w:t xml:space="preserve"> May 2022</w:t>
      </w:r>
    </w:p>
    <w:p w:rsidR="005025EA" w:rsidRPr="007041E7" w:rsidRDefault="002A5503" w:rsidP="005025EA">
      <w:pPr>
        <w:jc w:val="center"/>
        <w:rPr>
          <w:rFonts w:cstheme="minorHAnsi"/>
          <w:b/>
          <w:sz w:val="24"/>
          <w:szCs w:val="24"/>
        </w:rPr>
      </w:pPr>
      <w:r>
        <w:rPr>
          <w:rFonts w:cstheme="minorHAnsi"/>
          <w:b/>
          <w:sz w:val="24"/>
          <w:szCs w:val="24"/>
        </w:rPr>
        <w:t xml:space="preserve">Heritage Consultant for </w:t>
      </w:r>
      <w:proofErr w:type="spellStart"/>
      <w:r>
        <w:rPr>
          <w:rFonts w:cstheme="minorHAnsi"/>
          <w:b/>
          <w:sz w:val="24"/>
          <w:szCs w:val="24"/>
        </w:rPr>
        <w:t>Priddy’s</w:t>
      </w:r>
      <w:proofErr w:type="spellEnd"/>
      <w:r>
        <w:rPr>
          <w:rFonts w:cstheme="minorHAnsi"/>
          <w:b/>
          <w:sz w:val="24"/>
          <w:szCs w:val="24"/>
        </w:rPr>
        <w:t xml:space="preserve"> Hard Conservation Management Plan</w:t>
      </w:r>
      <w:r w:rsidR="00C4441F">
        <w:rPr>
          <w:rFonts w:cstheme="minorHAnsi"/>
          <w:b/>
          <w:sz w:val="24"/>
          <w:szCs w:val="24"/>
        </w:rPr>
        <w:t xml:space="preserve"> and Character Assessment</w:t>
      </w:r>
    </w:p>
    <w:p w:rsidR="005025EA" w:rsidRDefault="005025EA" w:rsidP="005025EA">
      <w:pPr>
        <w:pBdr>
          <w:bottom w:val="single" w:sz="4" w:space="1" w:color="auto"/>
        </w:pBdr>
        <w:spacing w:after="0"/>
        <w:jc w:val="center"/>
        <w:rPr>
          <w:rFonts w:cstheme="minorHAnsi"/>
          <w:b/>
          <w:sz w:val="24"/>
          <w:szCs w:val="24"/>
        </w:rPr>
      </w:pPr>
      <w:r w:rsidRPr="007041E7">
        <w:rPr>
          <w:rFonts w:cstheme="minorHAnsi"/>
          <w:b/>
          <w:sz w:val="24"/>
          <w:szCs w:val="24"/>
        </w:rPr>
        <w:t xml:space="preserve">RESPONSE DEADLINE: 12 NOON </w:t>
      </w:r>
      <w:r w:rsidR="00A21A7F">
        <w:rPr>
          <w:rFonts w:cstheme="minorHAnsi"/>
          <w:b/>
          <w:sz w:val="24"/>
          <w:szCs w:val="24"/>
        </w:rPr>
        <w:t>31</w:t>
      </w:r>
      <w:r w:rsidR="00A21A7F" w:rsidRPr="00A21A7F">
        <w:rPr>
          <w:rFonts w:cstheme="minorHAnsi"/>
          <w:b/>
          <w:sz w:val="24"/>
          <w:szCs w:val="24"/>
          <w:vertAlign w:val="superscript"/>
        </w:rPr>
        <w:t>st</w:t>
      </w:r>
      <w:r w:rsidR="00A21A7F">
        <w:rPr>
          <w:rFonts w:cstheme="minorHAnsi"/>
          <w:b/>
          <w:sz w:val="24"/>
          <w:szCs w:val="24"/>
        </w:rPr>
        <w:t xml:space="preserve"> May 2022</w:t>
      </w:r>
    </w:p>
    <w:p w:rsidR="005025EA" w:rsidRPr="007041E7" w:rsidRDefault="005025EA" w:rsidP="005025EA">
      <w:pPr>
        <w:pBdr>
          <w:bottom w:val="single" w:sz="4" w:space="1" w:color="auto"/>
        </w:pBdr>
        <w:jc w:val="center"/>
        <w:rPr>
          <w:rFonts w:cstheme="minorHAnsi"/>
          <w:b/>
          <w:sz w:val="24"/>
          <w:szCs w:val="24"/>
        </w:rPr>
      </w:pPr>
    </w:p>
    <w:p w:rsidR="005025EA" w:rsidRDefault="005025EA" w:rsidP="005025EA">
      <w:pPr>
        <w:pStyle w:val="Default"/>
        <w:ind w:left="420"/>
        <w:rPr>
          <w:rFonts w:asciiTheme="minorHAnsi" w:hAnsiTheme="minorHAnsi" w:cstheme="minorHAnsi"/>
          <w:b/>
          <w:bCs/>
          <w:sz w:val="22"/>
          <w:szCs w:val="22"/>
        </w:rPr>
      </w:pPr>
    </w:p>
    <w:p w:rsidR="005025EA" w:rsidRPr="00337D16" w:rsidRDefault="005025EA" w:rsidP="005025EA">
      <w:pPr>
        <w:pStyle w:val="Default"/>
        <w:numPr>
          <w:ilvl w:val="0"/>
          <w:numId w:val="1"/>
        </w:numPr>
        <w:ind w:hanging="420"/>
        <w:rPr>
          <w:rFonts w:asciiTheme="minorHAnsi" w:hAnsiTheme="minorHAnsi" w:cstheme="minorHAnsi"/>
          <w:b/>
          <w:bCs/>
          <w:sz w:val="22"/>
          <w:szCs w:val="22"/>
        </w:rPr>
      </w:pPr>
      <w:r>
        <w:rPr>
          <w:rFonts w:asciiTheme="minorHAnsi" w:hAnsiTheme="minorHAnsi" w:cstheme="minorHAnsi"/>
          <w:b/>
          <w:bCs/>
          <w:sz w:val="22"/>
          <w:szCs w:val="22"/>
        </w:rPr>
        <w:t xml:space="preserve">CONTENTS AND </w:t>
      </w:r>
      <w:r w:rsidRPr="00337D16">
        <w:rPr>
          <w:rFonts w:asciiTheme="minorHAnsi" w:hAnsiTheme="minorHAnsi" w:cstheme="minorHAnsi"/>
          <w:b/>
          <w:bCs/>
          <w:sz w:val="22"/>
          <w:szCs w:val="22"/>
        </w:rPr>
        <w:t xml:space="preserve">INTRODUCTION </w:t>
      </w:r>
    </w:p>
    <w:p w:rsidR="005025EA" w:rsidRPr="00337D16" w:rsidRDefault="005025EA" w:rsidP="005025EA">
      <w:pPr>
        <w:pStyle w:val="Default"/>
        <w:numPr>
          <w:ilvl w:val="1"/>
          <w:numId w:val="1"/>
        </w:numPr>
        <w:rPr>
          <w:rFonts w:asciiTheme="minorHAnsi" w:hAnsiTheme="minorHAnsi" w:cstheme="minorHAnsi"/>
          <w:b/>
          <w:color w:val="FF0000"/>
          <w:sz w:val="22"/>
          <w:szCs w:val="22"/>
        </w:rPr>
      </w:pPr>
      <w:r w:rsidRPr="00337D16">
        <w:rPr>
          <w:rFonts w:asciiTheme="minorHAnsi" w:hAnsiTheme="minorHAnsi" w:cstheme="minorHAnsi"/>
          <w:b/>
          <w:sz w:val="22"/>
          <w:szCs w:val="22"/>
        </w:rPr>
        <w:t>Contents of this ITQ</w:t>
      </w:r>
    </w:p>
    <w:p w:rsidR="005025EA" w:rsidRPr="00337D16" w:rsidRDefault="005025EA" w:rsidP="005025EA">
      <w:pPr>
        <w:pStyle w:val="Default"/>
        <w:rPr>
          <w:rFonts w:asciiTheme="minorHAnsi" w:hAnsiTheme="minorHAnsi" w:cstheme="minorHAnsi"/>
          <w:sz w:val="22"/>
          <w:szCs w:val="22"/>
        </w:rPr>
      </w:pPr>
      <w:r w:rsidRPr="00337D16">
        <w:rPr>
          <w:rFonts w:asciiTheme="minorHAnsi" w:hAnsiTheme="minorHAnsi" w:cstheme="minorHAnsi"/>
          <w:sz w:val="22"/>
          <w:szCs w:val="22"/>
        </w:rPr>
        <w:t>This Invitation to Quote (ITQ) comprises</w:t>
      </w:r>
      <w:r>
        <w:rPr>
          <w:rFonts w:asciiTheme="minorHAnsi" w:hAnsiTheme="minorHAnsi" w:cstheme="minorHAnsi"/>
          <w:sz w:val="22"/>
          <w:szCs w:val="22"/>
        </w:rPr>
        <w:t xml:space="preserve"> this </w:t>
      </w:r>
      <w:r w:rsidRPr="00337D16">
        <w:rPr>
          <w:rFonts w:asciiTheme="minorHAnsi" w:hAnsiTheme="minorHAnsi" w:cstheme="minorHAnsi"/>
          <w:sz w:val="22"/>
          <w:szCs w:val="22"/>
        </w:rPr>
        <w:t xml:space="preserve">main ITQ document </w:t>
      </w:r>
      <w:proofErr w:type="gramStart"/>
      <w:r w:rsidRPr="00337D16">
        <w:rPr>
          <w:rFonts w:asciiTheme="minorHAnsi" w:hAnsiTheme="minorHAnsi" w:cstheme="minorHAnsi"/>
          <w:sz w:val="22"/>
          <w:szCs w:val="22"/>
        </w:rPr>
        <w:t>together with</w:t>
      </w:r>
      <w:proofErr w:type="gramEnd"/>
      <w:r>
        <w:rPr>
          <w:rFonts w:asciiTheme="minorHAnsi" w:hAnsiTheme="minorHAnsi" w:cstheme="minorHAnsi"/>
          <w:sz w:val="22"/>
          <w:szCs w:val="22"/>
        </w:rPr>
        <w:t>:</w:t>
      </w:r>
    </w:p>
    <w:p w:rsidR="005025EA" w:rsidRPr="00337D16" w:rsidRDefault="005025EA" w:rsidP="005025EA">
      <w:pPr>
        <w:pStyle w:val="Default"/>
        <w:numPr>
          <w:ilvl w:val="0"/>
          <w:numId w:val="16"/>
        </w:numPr>
        <w:spacing w:after="20"/>
        <w:ind w:left="426" w:hanging="360"/>
        <w:rPr>
          <w:rFonts w:asciiTheme="minorHAnsi" w:hAnsiTheme="minorHAnsi" w:cstheme="minorHAnsi"/>
          <w:sz w:val="22"/>
          <w:szCs w:val="22"/>
        </w:rPr>
      </w:pPr>
      <w:r>
        <w:rPr>
          <w:rFonts w:asciiTheme="minorHAnsi" w:hAnsiTheme="minorHAnsi" w:cstheme="minorHAnsi"/>
          <w:sz w:val="22"/>
          <w:szCs w:val="22"/>
        </w:rPr>
        <w:t>Quotation</w:t>
      </w:r>
      <w:r w:rsidRPr="00337D16">
        <w:rPr>
          <w:rFonts w:asciiTheme="minorHAnsi" w:hAnsiTheme="minorHAnsi" w:cstheme="minorHAnsi"/>
          <w:sz w:val="22"/>
          <w:szCs w:val="22"/>
        </w:rPr>
        <w:t xml:space="preserve"> Response Document</w:t>
      </w:r>
    </w:p>
    <w:p w:rsidR="005025EA" w:rsidRDefault="005025EA" w:rsidP="005025EA">
      <w:pPr>
        <w:pStyle w:val="Default"/>
        <w:numPr>
          <w:ilvl w:val="0"/>
          <w:numId w:val="16"/>
        </w:numPr>
        <w:spacing w:after="20"/>
        <w:ind w:left="426" w:hanging="360"/>
        <w:rPr>
          <w:rFonts w:asciiTheme="minorHAnsi" w:hAnsiTheme="minorHAnsi" w:cstheme="minorHAnsi"/>
          <w:sz w:val="22"/>
          <w:szCs w:val="22"/>
        </w:rPr>
      </w:pPr>
      <w:r w:rsidRPr="00337D16">
        <w:rPr>
          <w:rFonts w:asciiTheme="minorHAnsi" w:hAnsiTheme="minorHAnsi" w:cstheme="minorHAnsi"/>
          <w:sz w:val="22"/>
          <w:szCs w:val="22"/>
        </w:rPr>
        <w:t>Schedule 1 – Commercially Sensitive Information</w:t>
      </w:r>
    </w:p>
    <w:p w:rsidR="005025EA" w:rsidRPr="00337D16" w:rsidRDefault="005025EA" w:rsidP="005025EA">
      <w:pPr>
        <w:pStyle w:val="Default"/>
        <w:numPr>
          <w:ilvl w:val="0"/>
          <w:numId w:val="16"/>
        </w:numPr>
        <w:spacing w:after="20"/>
        <w:ind w:left="426" w:hanging="360"/>
        <w:rPr>
          <w:rFonts w:asciiTheme="minorHAnsi" w:hAnsiTheme="minorHAnsi" w:cstheme="minorHAnsi"/>
          <w:sz w:val="22"/>
          <w:szCs w:val="22"/>
        </w:rPr>
      </w:pPr>
      <w:r>
        <w:rPr>
          <w:rFonts w:asciiTheme="minorHAnsi" w:hAnsiTheme="minorHAnsi" w:cstheme="minorHAnsi"/>
          <w:sz w:val="22"/>
          <w:szCs w:val="22"/>
        </w:rPr>
        <w:t>Schedule 2 – Form of Quote</w:t>
      </w:r>
    </w:p>
    <w:p w:rsidR="005025EA" w:rsidRPr="00337D16" w:rsidRDefault="005025EA" w:rsidP="005025EA">
      <w:pPr>
        <w:pStyle w:val="Default"/>
        <w:spacing w:after="20"/>
        <w:rPr>
          <w:sz w:val="22"/>
          <w:szCs w:val="22"/>
        </w:rPr>
      </w:pPr>
    </w:p>
    <w:p w:rsidR="005025EA" w:rsidRPr="001F0D78" w:rsidRDefault="005025EA" w:rsidP="005025EA">
      <w:pPr>
        <w:pStyle w:val="Default"/>
        <w:numPr>
          <w:ilvl w:val="1"/>
          <w:numId w:val="1"/>
        </w:numPr>
        <w:rPr>
          <w:rFonts w:asciiTheme="minorHAnsi" w:hAnsiTheme="minorHAnsi" w:cstheme="minorHAnsi"/>
          <w:b/>
          <w:sz w:val="22"/>
          <w:szCs w:val="22"/>
        </w:rPr>
      </w:pPr>
      <w:r w:rsidRPr="00337D16">
        <w:rPr>
          <w:rFonts w:asciiTheme="minorHAnsi" w:hAnsiTheme="minorHAnsi" w:cstheme="minorHAnsi"/>
          <w:b/>
          <w:sz w:val="22"/>
          <w:szCs w:val="22"/>
        </w:rPr>
        <w:t xml:space="preserve">Introduction </w:t>
      </w:r>
    </w:p>
    <w:p w:rsidR="005025EA" w:rsidRDefault="005025EA" w:rsidP="005025EA">
      <w:pPr>
        <w:spacing w:after="0"/>
        <w:rPr>
          <w:rFonts w:cstheme="minorHAnsi"/>
        </w:rPr>
      </w:pPr>
      <w:r>
        <w:rPr>
          <w:rFonts w:cstheme="minorHAnsi"/>
        </w:rPr>
        <w:t>This ITQ</w:t>
      </w:r>
      <w:r w:rsidRPr="00337D16">
        <w:rPr>
          <w:rFonts w:cstheme="minorHAnsi"/>
        </w:rPr>
        <w:t xml:space="preserve"> contains further information about the procurement process, the services, and the assessment questions for </w:t>
      </w:r>
      <w:r>
        <w:rPr>
          <w:rFonts w:cstheme="minorHAnsi"/>
        </w:rPr>
        <w:t>Respondents</w:t>
      </w:r>
      <w:r w:rsidRPr="00337D16">
        <w:rPr>
          <w:rFonts w:cstheme="minorHAnsi"/>
        </w:rPr>
        <w:t xml:space="preserve"> to complete. Each </w:t>
      </w:r>
      <w:r>
        <w:rPr>
          <w:rFonts w:cstheme="minorHAnsi"/>
        </w:rPr>
        <w:t>Respondent</w:t>
      </w:r>
      <w:r w:rsidRPr="00337D16">
        <w:rPr>
          <w:rFonts w:cstheme="minorHAnsi"/>
        </w:rPr>
        <w:t xml:space="preserve"> submission should be detailed enough to allow the Council to make an informed selection </w:t>
      </w:r>
      <w:r>
        <w:rPr>
          <w:rFonts w:cstheme="minorHAnsi"/>
        </w:rPr>
        <w:t>of the most appropriate quote.</w:t>
      </w:r>
    </w:p>
    <w:p w:rsidR="00C4441F" w:rsidRDefault="00C4441F" w:rsidP="00C4441F">
      <w:pPr>
        <w:spacing w:after="0"/>
        <w:rPr>
          <w:rFonts w:cstheme="minorHAnsi"/>
        </w:rPr>
      </w:pPr>
    </w:p>
    <w:p w:rsidR="005025EA" w:rsidRPr="00C4441F" w:rsidRDefault="00C4441F" w:rsidP="00C4441F">
      <w:r w:rsidRPr="00427197">
        <w:t xml:space="preserve">Gosport Borough Council, with financial support and advice from Historic England, is seeking </w:t>
      </w:r>
      <w:r>
        <w:t>Quotes</w:t>
      </w:r>
      <w:r w:rsidRPr="00427197">
        <w:t xml:space="preserve"> </w:t>
      </w:r>
      <w:r>
        <w:t xml:space="preserve">to complete a conservation management plan </w:t>
      </w:r>
      <w:r w:rsidR="00454846">
        <w:t>within their Bo</w:t>
      </w:r>
      <w:r>
        <w:t>rough.</w:t>
      </w:r>
    </w:p>
    <w:p w:rsidR="005025EA" w:rsidRPr="0097773D" w:rsidRDefault="005025EA" w:rsidP="005025EA">
      <w:pPr>
        <w:spacing w:after="0"/>
        <w:rPr>
          <w:rFonts w:cstheme="minorHAnsi"/>
        </w:rPr>
      </w:pPr>
    </w:p>
    <w:p w:rsidR="005025EA" w:rsidRPr="00B721C6" w:rsidRDefault="005025EA" w:rsidP="005025EA">
      <w:pPr>
        <w:shd w:val="clear" w:color="auto" w:fill="FFFFFF"/>
        <w:spacing w:after="0"/>
        <w:rPr>
          <w:rFonts w:eastAsia="Times New Roman" w:cstheme="minorHAnsi"/>
          <w:b/>
          <w:color w:val="0A0A0A"/>
          <w:lang w:eastAsia="en-GB"/>
        </w:rPr>
      </w:pPr>
      <w:r>
        <w:rPr>
          <w:b/>
        </w:rPr>
        <w:t>2</w:t>
      </w:r>
      <w:r>
        <w:rPr>
          <w:b/>
        </w:rPr>
        <w:tab/>
        <w:t xml:space="preserve">PROJECT SUMMARY </w:t>
      </w:r>
    </w:p>
    <w:p w:rsidR="005025EA" w:rsidRDefault="005025EA" w:rsidP="005025EA">
      <w:pPr>
        <w:shd w:val="clear" w:color="auto" w:fill="FFFFFF"/>
        <w:spacing w:after="0"/>
        <w:rPr>
          <w:rFonts w:eastAsia="Times New Roman" w:cstheme="minorHAnsi"/>
          <w:b/>
          <w:color w:val="0A0A0A"/>
          <w:lang w:eastAsia="en-GB"/>
        </w:rPr>
      </w:pPr>
      <w:r w:rsidRPr="006167EA">
        <w:rPr>
          <w:rFonts w:eastAsia="Times New Roman" w:cstheme="minorHAnsi"/>
          <w:b/>
          <w:color w:val="0A0A0A"/>
          <w:lang w:eastAsia="en-GB"/>
        </w:rPr>
        <w:t>2.1</w:t>
      </w:r>
      <w:r w:rsidRPr="006167EA">
        <w:rPr>
          <w:rFonts w:eastAsia="Times New Roman" w:cstheme="minorHAnsi"/>
          <w:b/>
          <w:color w:val="0A0A0A"/>
          <w:lang w:eastAsia="en-GB"/>
        </w:rPr>
        <w:tab/>
        <w:t>Context</w:t>
      </w:r>
    </w:p>
    <w:p w:rsidR="00C4441F" w:rsidRDefault="00C4441F" w:rsidP="005025EA">
      <w:pPr>
        <w:shd w:val="clear" w:color="auto" w:fill="FFFFFF"/>
        <w:spacing w:after="0"/>
        <w:rPr>
          <w:rFonts w:eastAsia="Times New Roman" w:cstheme="minorHAnsi"/>
          <w:color w:val="0A0A0A"/>
          <w:lang w:eastAsia="en-GB"/>
        </w:rPr>
      </w:pPr>
      <w:r>
        <w:rPr>
          <w:rFonts w:eastAsia="Times New Roman" w:cstheme="minorHAnsi"/>
          <w:color w:val="0A0A0A"/>
          <w:lang w:eastAsia="en-GB"/>
        </w:rPr>
        <w:t xml:space="preserve">In 2019 Gosport Borough Council </w:t>
      </w:r>
      <w:proofErr w:type="gramStart"/>
      <w:r>
        <w:rPr>
          <w:rFonts w:eastAsia="Times New Roman" w:cstheme="minorHAnsi"/>
          <w:color w:val="0A0A0A"/>
          <w:lang w:eastAsia="en-GB"/>
        </w:rPr>
        <w:t>were awarded</w:t>
      </w:r>
      <w:proofErr w:type="gramEnd"/>
      <w:r>
        <w:rPr>
          <w:rFonts w:eastAsia="Times New Roman" w:cstheme="minorHAnsi"/>
          <w:color w:val="0A0A0A"/>
          <w:lang w:eastAsia="en-GB"/>
        </w:rPr>
        <w:t xml:space="preserve"> a Borough wide Heritage Action Zone by Historic England.  It is a </w:t>
      </w:r>
      <w:proofErr w:type="gramStart"/>
      <w:r>
        <w:rPr>
          <w:rFonts w:eastAsia="Times New Roman" w:cstheme="minorHAnsi"/>
          <w:color w:val="0A0A0A"/>
          <w:lang w:eastAsia="en-GB"/>
        </w:rPr>
        <w:t>five year</w:t>
      </w:r>
      <w:proofErr w:type="gramEnd"/>
      <w:r>
        <w:rPr>
          <w:rFonts w:eastAsia="Times New Roman" w:cstheme="minorHAnsi"/>
          <w:color w:val="0A0A0A"/>
          <w:lang w:eastAsia="en-GB"/>
        </w:rPr>
        <w:t xml:space="preserve"> programme of work to conclude in 2024.  The HAZ </w:t>
      </w:r>
      <w:proofErr w:type="gramStart"/>
      <w:r>
        <w:rPr>
          <w:rFonts w:eastAsia="Times New Roman" w:cstheme="minorHAnsi"/>
          <w:color w:val="0A0A0A"/>
          <w:lang w:eastAsia="en-GB"/>
        </w:rPr>
        <w:t>is delivered</w:t>
      </w:r>
      <w:proofErr w:type="gramEnd"/>
      <w:r>
        <w:rPr>
          <w:rFonts w:eastAsia="Times New Roman" w:cstheme="minorHAnsi"/>
          <w:color w:val="0A0A0A"/>
          <w:lang w:eastAsia="en-GB"/>
        </w:rPr>
        <w:t xml:space="preserve"> in partnership with Historic England, Defence Infrastructure Organisation, Gosport Society and Hampshire County Council.  A Partnership Team of two representatives from each Partner organisation make up the HAZ Partnership Team mentioned in the Project Brief.</w:t>
      </w:r>
    </w:p>
    <w:p w:rsidR="00C4441F" w:rsidRPr="006167EA" w:rsidRDefault="00C4441F" w:rsidP="005025EA">
      <w:pPr>
        <w:shd w:val="clear" w:color="auto" w:fill="FFFFFF"/>
        <w:spacing w:after="0"/>
        <w:rPr>
          <w:rFonts w:eastAsia="Times New Roman" w:cstheme="minorHAnsi"/>
          <w:b/>
          <w:color w:val="0A0A0A"/>
          <w:lang w:eastAsia="en-GB"/>
        </w:rPr>
      </w:pPr>
    </w:p>
    <w:p w:rsidR="00C4441F" w:rsidRDefault="000F2964" w:rsidP="005025EA">
      <w:pPr>
        <w:shd w:val="clear" w:color="auto" w:fill="FFFFFF"/>
        <w:spacing w:after="0"/>
        <w:rPr>
          <w:rFonts w:eastAsia="Times New Roman" w:cstheme="minorHAnsi"/>
          <w:color w:val="0A0A0A"/>
          <w:lang w:eastAsia="en-GB"/>
        </w:rPr>
      </w:pPr>
      <w:r>
        <w:rPr>
          <w:rFonts w:eastAsia="Times New Roman" w:cstheme="minorHAnsi"/>
          <w:b/>
          <w:color w:val="0A0A0A"/>
          <w:lang w:eastAsia="en-GB"/>
        </w:rPr>
        <w:t>2.2</w:t>
      </w:r>
      <w:r w:rsidR="005025EA">
        <w:rPr>
          <w:rFonts w:eastAsia="Times New Roman" w:cstheme="minorHAnsi"/>
          <w:b/>
          <w:color w:val="0A0A0A"/>
          <w:lang w:eastAsia="en-GB"/>
        </w:rPr>
        <w:tab/>
      </w:r>
      <w:proofErr w:type="spellStart"/>
      <w:r w:rsidR="00454846">
        <w:rPr>
          <w:rFonts w:eastAsia="Times New Roman" w:cstheme="minorHAnsi"/>
          <w:b/>
          <w:color w:val="0A0A0A"/>
          <w:lang w:eastAsia="en-GB"/>
        </w:rPr>
        <w:t>Priddy’s</w:t>
      </w:r>
      <w:proofErr w:type="spellEnd"/>
      <w:r w:rsidR="00454846">
        <w:rPr>
          <w:rFonts w:eastAsia="Times New Roman" w:cstheme="minorHAnsi"/>
          <w:b/>
          <w:color w:val="0A0A0A"/>
          <w:lang w:eastAsia="en-GB"/>
        </w:rPr>
        <w:t xml:space="preserve"> Hard</w:t>
      </w:r>
      <w:r w:rsidR="00A0550A">
        <w:rPr>
          <w:rFonts w:eastAsia="Times New Roman" w:cstheme="minorHAnsi"/>
          <w:b/>
          <w:color w:val="0A0A0A"/>
          <w:lang w:eastAsia="en-GB"/>
        </w:rPr>
        <w:t xml:space="preserve"> Heritage Consultant</w:t>
      </w:r>
      <w:r w:rsidR="005025EA" w:rsidRPr="00D660FB">
        <w:rPr>
          <w:rFonts w:eastAsia="Times New Roman" w:cstheme="minorHAnsi"/>
          <w:color w:val="0A0A0A"/>
          <w:lang w:eastAsia="en-GB"/>
        </w:rPr>
        <w:t xml:space="preserve"> </w:t>
      </w:r>
    </w:p>
    <w:p w:rsidR="005025EA" w:rsidRDefault="00C4441F" w:rsidP="005025EA">
      <w:pPr>
        <w:shd w:val="clear" w:color="auto" w:fill="FFFFFF"/>
        <w:spacing w:after="0"/>
        <w:rPr>
          <w:rFonts w:eastAsia="Times New Roman" w:cstheme="minorHAnsi"/>
          <w:color w:val="0A0A0A"/>
          <w:lang w:eastAsia="en-GB"/>
        </w:rPr>
      </w:pPr>
      <w:r w:rsidRPr="006878FB">
        <w:t>The successful consultant will be required</w:t>
      </w:r>
      <w:r>
        <w:t xml:space="preserve"> to deliver a conservation management plan and character assessment within </w:t>
      </w:r>
      <w:r w:rsidR="00454846">
        <w:t>nine</w:t>
      </w:r>
      <w:r>
        <w:t xml:space="preserve"> months</w:t>
      </w:r>
      <w:r w:rsidRPr="006878FB">
        <w:t>. They will be required to review and synthesise the findings of a number of surveys by Historic England’s research and listing teams, undertake their own research and survey, as well as engaging with communities</w:t>
      </w:r>
      <w:r>
        <w:t xml:space="preserve"> with interest in the </w:t>
      </w:r>
      <w:proofErr w:type="spellStart"/>
      <w:r>
        <w:t>Priddy’s</w:t>
      </w:r>
      <w:proofErr w:type="spellEnd"/>
      <w:r>
        <w:t xml:space="preserve"> Hard</w:t>
      </w:r>
      <w:r w:rsidRPr="006878FB">
        <w:t xml:space="preserve"> area – </w:t>
      </w:r>
      <w:r w:rsidR="00454846">
        <w:lastRenderedPageBreak/>
        <w:t>potentially through either in-</w:t>
      </w:r>
      <w:r w:rsidRPr="006878FB">
        <w:t>person or remote (online) engagement workshops, interviews or set tasks</w:t>
      </w:r>
    </w:p>
    <w:p w:rsidR="005025EA" w:rsidRPr="006167EA" w:rsidRDefault="005025EA" w:rsidP="005025EA">
      <w:pPr>
        <w:shd w:val="clear" w:color="auto" w:fill="FFFFFF"/>
        <w:spacing w:after="0"/>
        <w:rPr>
          <w:rFonts w:eastAsia="Times New Roman" w:cstheme="minorHAnsi"/>
          <w:color w:val="0A0A0A"/>
          <w:lang w:eastAsia="en-GB"/>
        </w:rPr>
      </w:pPr>
    </w:p>
    <w:p w:rsidR="005025EA" w:rsidRDefault="005025EA" w:rsidP="005025EA">
      <w:pPr>
        <w:spacing w:after="0"/>
        <w:rPr>
          <w:b/>
        </w:rPr>
      </w:pPr>
      <w:r>
        <w:rPr>
          <w:b/>
        </w:rPr>
        <w:t>3</w:t>
      </w:r>
      <w:r>
        <w:rPr>
          <w:b/>
        </w:rPr>
        <w:tab/>
        <w:t>SCOPE AND SPECIFICATION</w:t>
      </w:r>
    </w:p>
    <w:p w:rsidR="005025EA" w:rsidRPr="00ED6D3D" w:rsidRDefault="005025EA" w:rsidP="005025EA">
      <w:pPr>
        <w:spacing w:after="0"/>
        <w:rPr>
          <w:b/>
        </w:rPr>
      </w:pPr>
      <w:r>
        <w:rPr>
          <w:b/>
        </w:rPr>
        <w:t>3.1</w:t>
      </w:r>
      <w:r>
        <w:rPr>
          <w:b/>
        </w:rPr>
        <w:tab/>
        <w:t>Scope</w:t>
      </w:r>
    </w:p>
    <w:p w:rsidR="00535007" w:rsidRDefault="00535007" w:rsidP="005025EA">
      <w:pPr>
        <w:shd w:val="clear" w:color="auto" w:fill="FFFFFF"/>
        <w:spacing w:after="0"/>
        <w:rPr>
          <w:rFonts w:cstheme="minorHAnsi"/>
          <w:szCs w:val="24"/>
        </w:rPr>
      </w:pPr>
      <w:r>
        <w:rPr>
          <w:rFonts w:cstheme="minorHAnsi"/>
          <w:szCs w:val="24"/>
        </w:rPr>
        <w:t xml:space="preserve">Gosport Borough Council require an independent appraisal of the conservation area through the </w:t>
      </w:r>
      <w:r w:rsidR="00454846">
        <w:rPr>
          <w:rFonts w:cstheme="minorHAnsi"/>
          <w:szCs w:val="24"/>
        </w:rPr>
        <w:t>production of a Conservation Management Plan and Character Assessment</w:t>
      </w:r>
      <w:r>
        <w:rPr>
          <w:rFonts w:cstheme="minorHAnsi"/>
          <w:szCs w:val="24"/>
        </w:rPr>
        <w:t>.</w:t>
      </w:r>
      <w:r w:rsidR="00214929">
        <w:rPr>
          <w:rFonts w:cstheme="minorHAnsi"/>
          <w:szCs w:val="24"/>
        </w:rPr>
        <w:t xml:space="preserve"> </w:t>
      </w:r>
      <w:proofErr w:type="spellStart"/>
      <w:r w:rsidR="00214929">
        <w:rPr>
          <w:rFonts w:cstheme="minorHAnsi"/>
          <w:szCs w:val="24"/>
        </w:rPr>
        <w:t>Priddy’s</w:t>
      </w:r>
      <w:proofErr w:type="spellEnd"/>
      <w:r w:rsidR="00214929">
        <w:rPr>
          <w:rFonts w:cstheme="minorHAnsi"/>
          <w:szCs w:val="24"/>
        </w:rPr>
        <w:t xml:space="preserve"> Hard is a </w:t>
      </w:r>
      <w:proofErr w:type="spellStart"/>
      <w:proofErr w:type="gramStart"/>
      <w:r w:rsidR="00214929">
        <w:rPr>
          <w:rFonts w:cstheme="minorHAnsi"/>
          <w:szCs w:val="24"/>
        </w:rPr>
        <w:t>well defined</w:t>
      </w:r>
      <w:proofErr w:type="spellEnd"/>
      <w:proofErr w:type="gramEnd"/>
      <w:r w:rsidR="00214929">
        <w:rPr>
          <w:rFonts w:cstheme="minorHAnsi"/>
          <w:szCs w:val="24"/>
        </w:rPr>
        <w:t xml:space="preserve"> </w:t>
      </w:r>
      <w:r w:rsidR="00454846">
        <w:rPr>
          <w:rFonts w:cstheme="minorHAnsi"/>
          <w:szCs w:val="24"/>
        </w:rPr>
        <w:t xml:space="preserve">conservation </w:t>
      </w:r>
      <w:r w:rsidR="00214929">
        <w:rPr>
          <w:rFonts w:cstheme="minorHAnsi"/>
          <w:szCs w:val="24"/>
        </w:rPr>
        <w:t>area, as explained in the Project Brief.</w:t>
      </w:r>
    </w:p>
    <w:p w:rsidR="00535007" w:rsidRDefault="00535007" w:rsidP="005025EA">
      <w:pPr>
        <w:shd w:val="clear" w:color="auto" w:fill="FFFFFF"/>
        <w:spacing w:after="0"/>
        <w:rPr>
          <w:rFonts w:cstheme="minorHAnsi"/>
          <w:szCs w:val="24"/>
        </w:rPr>
      </w:pPr>
    </w:p>
    <w:p w:rsidR="005025EA" w:rsidRDefault="0026753C" w:rsidP="005025EA">
      <w:pPr>
        <w:shd w:val="clear" w:color="auto" w:fill="FFFFFF"/>
        <w:spacing w:after="0"/>
        <w:rPr>
          <w:rFonts w:cstheme="minorHAnsi"/>
          <w:szCs w:val="24"/>
        </w:rPr>
      </w:pPr>
      <w:r w:rsidRPr="0026753C">
        <w:rPr>
          <w:rFonts w:cstheme="minorHAnsi"/>
          <w:szCs w:val="24"/>
        </w:rPr>
        <w:t>The de</w:t>
      </w:r>
      <w:r w:rsidR="00454846">
        <w:rPr>
          <w:rFonts w:cstheme="minorHAnsi"/>
          <w:szCs w:val="24"/>
        </w:rPr>
        <w:t>velopment of the Conservation Management Plan and Character Assessment</w:t>
      </w:r>
      <w:r w:rsidR="00535007">
        <w:rPr>
          <w:rFonts w:cstheme="minorHAnsi"/>
          <w:szCs w:val="24"/>
        </w:rPr>
        <w:t xml:space="preserve"> </w:t>
      </w:r>
      <w:r w:rsidRPr="0026753C">
        <w:rPr>
          <w:rFonts w:cstheme="minorHAnsi"/>
          <w:szCs w:val="24"/>
        </w:rPr>
        <w:t>is time critical to inform further stages of the Heritage Action Zone programme. Consultants will need to demonstrate their ability to deliver the appraisal within the timescale, including providing evidence of their organisational resilience and quality assurance measures. The report will be prepared to a second draft stage allowing the Council to undertake public consultation by end of March 2023.</w:t>
      </w:r>
    </w:p>
    <w:p w:rsidR="0026753C" w:rsidRDefault="0026753C" w:rsidP="005025EA">
      <w:pPr>
        <w:shd w:val="clear" w:color="auto" w:fill="FFFFFF"/>
        <w:spacing w:after="0"/>
        <w:rPr>
          <w:rFonts w:eastAsia="Times New Roman" w:cstheme="minorHAnsi"/>
          <w:color w:val="0A0A0A"/>
          <w:lang w:eastAsia="en-GB"/>
        </w:rPr>
      </w:pPr>
    </w:p>
    <w:p w:rsidR="005025EA" w:rsidRDefault="005025EA" w:rsidP="005025EA">
      <w:pPr>
        <w:pStyle w:val="Heading2"/>
        <w:spacing w:line="276" w:lineRule="auto"/>
        <w:rPr>
          <w:rFonts w:ascii="Calibri" w:hAnsi="Calibri"/>
          <w:b/>
          <w:color w:val="auto"/>
          <w:sz w:val="22"/>
          <w:szCs w:val="22"/>
        </w:rPr>
      </w:pPr>
      <w:r>
        <w:rPr>
          <w:rFonts w:ascii="Calibri" w:hAnsi="Calibri"/>
          <w:b/>
          <w:color w:val="auto"/>
          <w:sz w:val="22"/>
          <w:szCs w:val="22"/>
        </w:rPr>
        <w:t>3.2</w:t>
      </w:r>
      <w:r>
        <w:rPr>
          <w:rFonts w:ascii="Calibri" w:hAnsi="Calibri"/>
          <w:b/>
          <w:color w:val="auto"/>
          <w:sz w:val="22"/>
          <w:szCs w:val="22"/>
        </w:rPr>
        <w:tab/>
        <w:t>Specification</w:t>
      </w:r>
    </w:p>
    <w:p w:rsidR="00E7460A" w:rsidRPr="00E7460A" w:rsidRDefault="00E7460A" w:rsidP="00E7460A">
      <w:pPr>
        <w:rPr>
          <w:rFonts w:cstheme="minorHAnsi"/>
          <w:szCs w:val="24"/>
        </w:rPr>
      </w:pPr>
      <w:proofErr w:type="gramStart"/>
      <w:r w:rsidRPr="00E7460A">
        <w:rPr>
          <w:rFonts w:cstheme="minorHAnsi"/>
          <w:szCs w:val="24"/>
        </w:rPr>
        <w:t>As a result</w:t>
      </w:r>
      <w:proofErr w:type="gramEnd"/>
      <w:r w:rsidRPr="00E7460A">
        <w:rPr>
          <w:rFonts w:cstheme="minorHAnsi"/>
          <w:szCs w:val="24"/>
        </w:rPr>
        <w:t xml:space="preserve"> of previous studies and research, there is a considerable body of data on the architecture, historic development and archaeology of the </w:t>
      </w:r>
      <w:proofErr w:type="spellStart"/>
      <w:r w:rsidRPr="00E7460A">
        <w:rPr>
          <w:rFonts w:cstheme="minorHAnsi"/>
          <w:szCs w:val="24"/>
        </w:rPr>
        <w:t>Priddy’s</w:t>
      </w:r>
      <w:proofErr w:type="spellEnd"/>
      <w:r w:rsidRPr="00E7460A">
        <w:rPr>
          <w:rFonts w:cstheme="minorHAnsi"/>
          <w:szCs w:val="24"/>
        </w:rPr>
        <w:t xml:space="preserve"> Hard Conservation Area and wider area of the borough and marine landscapes.  Historical information and maps held by Gosport Borough Council will be available to the consultant to inform assessments of architectural and historic interest, although it is expected that the consultants will identify relevant repositories and information that should be accessed and undertake research as necessary to fill any information gaps necessary to complete the report. Additional survey of the area’s character and appearance and condition will be required. </w:t>
      </w:r>
    </w:p>
    <w:p w:rsidR="0026753C" w:rsidRPr="00AE37FB" w:rsidRDefault="0026753C" w:rsidP="0026753C">
      <w:r w:rsidRPr="00AE37FB">
        <w:t>The consultant will receive and review data from Historic England and Gosport Borough Council and identify any data gaps they need to fill.</w:t>
      </w:r>
      <w:r w:rsidRPr="009543F4">
        <w:t xml:space="preserve"> </w:t>
      </w:r>
      <w:r w:rsidRPr="00AE37FB">
        <w:t xml:space="preserve">The consultant will </w:t>
      </w:r>
      <w:r>
        <w:t xml:space="preserve">then </w:t>
      </w:r>
      <w:r w:rsidRPr="00AE37FB">
        <w:t xml:space="preserve">attend a virtual inception meeting with the </w:t>
      </w:r>
      <w:r w:rsidR="00454846">
        <w:t>Client Project Team</w:t>
      </w:r>
      <w:r>
        <w:t xml:space="preserve"> and agree where data gaps lie that they will need to fill and their approach, including any alterations the consultant may wish to suggest for the boundary of the study area or integration of later project steps. This will be set out in an inception report.</w:t>
      </w:r>
    </w:p>
    <w:p w:rsidR="0026753C" w:rsidRDefault="0026753C" w:rsidP="0026753C">
      <w:r>
        <w:t xml:space="preserve">It </w:t>
      </w:r>
      <w:proofErr w:type="gramStart"/>
      <w:r>
        <w:t>is expected</w:t>
      </w:r>
      <w:proofErr w:type="gramEnd"/>
      <w:r>
        <w:t xml:space="preserve"> that the consultants will engage with relevant stakeholders to access information and understand the heritage values of the study area and other ways in which the character or appearance may be considered desirable to preserve or enhance. Proposals will need to set out how stakeholders including residents, landowners, </w:t>
      </w:r>
      <w:proofErr w:type="gramStart"/>
      <w:r>
        <w:t>interest</w:t>
      </w:r>
      <w:proofErr w:type="gramEnd"/>
      <w:r>
        <w:t xml:space="preserve"> groups will be engaged including proposals for meetings, workshops, questionnaire survey, tasks or interviews. </w:t>
      </w:r>
    </w:p>
    <w:p w:rsidR="0026753C" w:rsidRDefault="0026753C" w:rsidP="0026753C">
      <w:r>
        <w:t xml:space="preserve">It </w:t>
      </w:r>
      <w:proofErr w:type="gramStart"/>
      <w:r>
        <w:t xml:space="preserve">is </w:t>
      </w:r>
      <w:r w:rsidRPr="00DA05ED">
        <w:t>expected</w:t>
      </w:r>
      <w:proofErr w:type="gramEnd"/>
      <w:r w:rsidRPr="00DA05ED">
        <w:t xml:space="preserve"> that following research (including literature review), survey and engagement the consultant will prepare a first draft version of the designation assessment report for review by the Borough Council and, following one round of amendment, by the Heritage Action Zone Partnership members</w:t>
      </w:r>
      <w:r>
        <w:t xml:space="preserve"> and the appropriate Ward Councillors for the area covered by the study</w:t>
      </w:r>
      <w:r w:rsidRPr="00DA05ED">
        <w:t xml:space="preserve">. The latter </w:t>
      </w:r>
      <w:proofErr w:type="gramStart"/>
      <w:r w:rsidRPr="00DA05ED">
        <w:t>will be consulted</w:t>
      </w:r>
      <w:proofErr w:type="gramEnd"/>
      <w:r w:rsidRPr="00DA05ED">
        <w:t xml:space="preserve"> through </w:t>
      </w:r>
      <w:r>
        <w:t>an</w:t>
      </w:r>
      <w:r w:rsidRPr="00DA05ED">
        <w:t xml:space="preserve"> online meeting. Having collected feedback from this forum the consultant will agree amendments with the Borough Council via the Heritage Action Zone </w:t>
      </w:r>
      <w:r>
        <w:t>Programme</w:t>
      </w:r>
      <w:r w:rsidRPr="00DA05ED">
        <w:t xml:space="preserve"> Manager and produce a Second Draft of the appraisal in a format suitable for public consultati</w:t>
      </w:r>
      <w:r w:rsidR="000F2964">
        <w:t xml:space="preserve">on and editable by the Borough </w:t>
      </w:r>
      <w:r w:rsidRPr="00DA05ED">
        <w:t>Council.</w:t>
      </w:r>
      <w:r w:rsidRPr="00D94D8A">
        <w:t xml:space="preserve"> </w:t>
      </w:r>
    </w:p>
    <w:p w:rsidR="005025EA" w:rsidRPr="000F2964" w:rsidRDefault="0026753C" w:rsidP="000F2964">
      <w:r>
        <w:lastRenderedPageBreak/>
        <w:t xml:space="preserve">All engagement activities </w:t>
      </w:r>
      <w:proofErr w:type="gramStart"/>
      <w:r>
        <w:t>must be designed</w:t>
      </w:r>
      <w:proofErr w:type="gramEnd"/>
      <w:r>
        <w:t xml:space="preserve"> with awareness of and inclusive of the needs of people with protected characteristics as defined by Chapter 1 of the Equalities Act 2010. It should support the B</w:t>
      </w:r>
      <w:r w:rsidR="000F2964">
        <w:t>orough Council in delivering it</w:t>
      </w:r>
      <w:r>
        <w:t xml:space="preserve">s duties </w:t>
      </w:r>
      <w:r w:rsidRPr="00D365ED">
        <w:t>to “… reduce the inequalities of outcome which result from socio-economic disadvantage” required by Section 1 of the Act.</w:t>
      </w:r>
    </w:p>
    <w:p w:rsidR="005025EA" w:rsidRDefault="005025EA" w:rsidP="005025EA">
      <w:pPr>
        <w:pStyle w:val="Default"/>
        <w:rPr>
          <w:rFonts w:asciiTheme="minorHAnsi" w:hAnsiTheme="minorHAnsi" w:cs="Calibri"/>
          <w:b/>
          <w:bCs/>
          <w:sz w:val="22"/>
          <w:szCs w:val="22"/>
        </w:rPr>
      </w:pPr>
    </w:p>
    <w:p w:rsidR="005025EA" w:rsidRPr="003505D1" w:rsidRDefault="005025EA" w:rsidP="005025EA">
      <w:pPr>
        <w:pStyle w:val="Default"/>
      </w:pPr>
      <w:r>
        <w:rPr>
          <w:rFonts w:asciiTheme="minorHAnsi" w:hAnsiTheme="minorHAnsi" w:cs="Calibri"/>
          <w:b/>
          <w:bCs/>
          <w:sz w:val="22"/>
          <w:szCs w:val="22"/>
        </w:rPr>
        <w:t>4</w:t>
      </w:r>
      <w:r>
        <w:rPr>
          <w:rFonts w:asciiTheme="minorHAnsi" w:hAnsiTheme="minorHAnsi" w:cs="Calibri"/>
          <w:b/>
          <w:bCs/>
          <w:sz w:val="22"/>
          <w:szCs w:val="22"/>
        </w:rPr>
        <w:tab/>
        <w:t>INSURANCE</w:t>
      </w:r>
    </w:p>
    <w:p w:rsidR="005025EA" w:rsidRPr="0087531E" w:rsidRDefault="005025EA" w:rsidP="005025EA">
      <w:pPr>
        <w:autoSpaceDE w:val="0"/>
        <w:autoSpaceDN w:val="0"/>
        <w:adjustRightInd w:val="0"/>
        <w:spacing w:after="0" w:line="240" w:lineRule="auto"/>
        <w:rPr>
          <w:rFonts w:cstheme="minorHAnsi"/>
          <w:color w:val="000000"/>
        </w:rPr>
      </w:pPr>
      <w:r w:rsidRPr="0087531E">
        <w:rPr>
          <w:rFonts w:cstheme="minorHAnsi"/>
          <w:color w:val="000000"/>
        </w:rPr>
        <w:t xml:space="preserve">The successful </w:t>
      </w:r>
      <w:r>
        <w:rPr>
          <w:rFonts w:cstheme="minorHAnsi"/>
          <w:color w:val="000000"/>
        </w:rPr>
        <w:t>Respondent</w:t>
      </w:r>
      <w:r w:rsidRPr="0087531E">
        <w:rPr>
          <w:rFonts w:cstheme="minorHAnsi"/>
          <w:color w:val="000000"/>
        </w:rPr>
        <w:t xml:space="preserve"> </w:t>
      </w:r>
      <w:r>
        <w:rPr>
          <w:rFonts w:cstheme="minorHAnsi"/>
          <w:color w:val="000000"/>
        </w:rPr>
        <w:t>will maintain the following i</w:t>
      </w:r>
      <w:r w:rsidRPr="0087531E">
        <w:rPr>
          <w:rFonts w:cstheme="minorHAnsi"/>
          <w:color w:val="000000"/>
        </w:rPr>
        <w:t xml:space="preserve">nsurance cover for the duration of the </w:t>
      </w:r>
      <w:r>
        <w:rPr>
          <w:rFonts w:cstheme="minorHAnsi"/>
          <w:color w:val="000000"/>
        </w:rPr>
        <w:t xml:space="preserve">commission </w:t>
      </w:r>
      <w:r w:rsidRPr="0087531E">
        <w:rPr>
          <w:rFonts w:cstheme="minorHAnsi"/>
          <w:color w:val="000000"/>
        </w:rPr>
        <w:t xml:space="preserve">and provide evidence of cover to the Council at any time when requested by the </w:t>
      </w:r>
      <w:r>
        <w:rPr>
          <w:rFonts w:cstheme="minorHAnsi"/>
          <w:color w:val="000000"/>
        </w:rPr>
        <w:t>GBC.</w:t>
      </w:r>
    </w:p>
    <w:p w:rsidR="005025EA" w:rsidRPr="0087531E" w:rsidRDefault="005025EA" w:rsidP="005025EA">
      <w:pPr>
        <w:autoSpaceDE w:val="0"/>
        <w:autoSpaceDN w:val="0"/>
        <w:adjustRightInd w:val="0"/>
        <w:spacing w:after="0" w:line="240" w:lineRule="auto"/>
        <w:rPr>
          <w:rFonts w:cstheme="minorHAnsi"/>
          <w:color w:val="000000"/>
        </w:rPr>
      </w:pPr>
    </w:p>
    <w:tbl>
      <w:tblPr>
        <w:tblStyle w:val="TableGrid"/>
        <w:tblW w:w="0" w:type="auto"/>
        <w:jc w:val="center"/>
        <w:tblLook w:val="04A0" w:firstRow="1" w:lastRow="0" w:firstColumn="1" w:lastColumn="0" w:noHBand="0" w:noVBand="1"/>
      </w:tblPr>
      <w:tblGrid>
        <w:gridCol w:w="2977"/>
        <w:gridCol w:w="3260"/>
      </w:tblGrid>
      <w:tr w:rsidR="005025EA" w:rsidRPr="0087531E" w:rsidTr="00C4441F">
        <w:trPr>
          <w:jc w:val="center"/>
        </w:trPr>
        <w:tc>
          <w:tcPr>
            <w:tcW w:w="2977" w:type="dxa"/>
            <w:shd w:val="clear" w:color="auto" w:fill="F2F2F2" w:themeFill="background1" w:themeFillShade="F2"/>
          </w:tcPr>
          <w:p w:rsidR="005025EA" w:rsidRPr="0087531E" w:rsidRDefault="005025EA" w:rsidP="00C4441F">
            <w:pPr>
              <w:autoSpaceDE w:val="0"/>
              <w:autoSpaceDN w:val="0"/>
              <w:adjustRightInd w:val="0"/>
              <w:ind w:left="142"/>
              <w:rPr>
                <w:rFonts w:cstheme="minorHAnsi"/>
                <w:b/>
                <w:color w:val="000000"/>
              </w:rPr>
            </w:pPr>
            <w:r w:rsidRPr="0087531E">
              <w:rPr>
                <w:rFonts w:cstheme="minorHAnsi"/>
                <w:b/>
                <w:color w:val="000000"/>
              </w:rPr>
              <w:t>Insurance:</w:t>
            </w:r>
          </w:p>
        </w:tc>
        <w:tc>
          <w:tcPr>
            <w:tcW w:w="3260" w:type="dxa"/>
            <w:shd w:val="clear" w:color="auto" w:fill="F2F2F2" w:themeFill="background1" w:themeFillShade="F2"/>
          </w:tcPr>
          <w:p w:rsidR="005025EA" w:rsidRPr="0087531E" w:rsidRDefault="005025EA" w:rsidP="00C4441F">
            <w:pPr>
              <w:autoSpaceDE w:val="0"/>
              <w:autoSpaceDN w:val="0"/>
              <w:adjustRightInd w:val="0"/>
              <w:ind w:left="57" w:hanging="57"/>
              <w:jc w:val="both"/>
              <w:rPr>
                <w:rFonts w:cstheme="minorHAnsi"/>
                <w:b/>
                <w:color w:val="000000"/>
              </w:rPr>
            </w:pPr>
            <w:r w:rsidRPr="0087531E">
              <w:rPr>
                <w:rFonts w:cstheme="minorHAnsi"/>
                <w:b/>
                <w:color w:val="000000"/>
              </w:rPr>
              <w:t>Minimum value required</w:t>
            </w:r>
          </w:p>
        </w:tc>
      </w:tr>
      <w:tr w:rsidR="005025EA" w:rsidRPr="0087531E" w:rsidTr="00C4441F">
        <w:trPr>
          <w:jc w:val="center"/>
        </w:trPr>
        <w:tc>
          <w:tcPr>
            <w:tcW w:w="2977" w:type="dxa"/>
          </w:tcPr>
          <w:p w:rsidR="005025EA" w:rsidRPr="0087531E" w:rsidRDefault="005025EA" w:rsidP="00C4441F">
            <w:pPr>
              <w:autoSpaceDE w:val="0"/>
              <w:autoSpaceDN w:val="0"/>
              <w:adjustRightInd w:val="0"/>
              <w:ind w:left="142"/>
              <w:rPr>
                <w:rFonts w:cstheme="minorHAnsi"/>
                <w:color w:val="000000"/>
              </w:rPr>
            </w:pPr>
            <w:r w:rsidRPr="0087531E">
              <w:rPr>
                <w:rFonts w:cstheme="minorHAnsi"/>
                <w:color w:val="000000"/>
              </w:rPr>
              <w:t xml:space="preserve">Public Liability </w:t>
            </w:r>
          </w:p>
        </w:tc>
        <w:tc>
          <w:tcPr>
            <w:tcW w:w="3260" w:type="dxa"/>
          </w:tcPr>
          <w:p w:rsidR="005025EA" w:rsidRPr="0087531E" w:rsidRDefault="005025EA" w:rsidP="00C4441F">
            <w:pPr>
              <w:autoSpaceDE w:val="0"/>
              <w:autoSpaceDN w:val="0"/>
              <w:adjustRightInd w:val="0"/>
              <w:ind w:left="57" w:hanging="57"/>
              <w:jc w:val="both"/>
              <w:rPr>
                <w:rFonts w:cstheme="minorHAnsi"/>
                <w:color w:val="000000"/>
              </w:rPr>
            </w:pPr>
            <w:r w:rsidRPr="0087531E">
              <w:rPr>
                <w:rFonts w:cstheme="minorHAnsi"/>
                <w:color w:val="000000"/>
              </w:rPr>
              <w:t>£</w:t>
            </w:r>
            <w:r>
              <w:rPr>
                <w:rFonts w:cstheme="minorHAnsi"/>
                <w:color w:val="000000"/>
              </w:rPr>
              <w:t>5</w:t>
            </w:r>
            <w:r w:rsidRPr="0087531E">
              <w:rPr>
                <w:rFonts w:cstheme="minorHAnsi"/>
                <w:color w:val="000000"/>
              </w:rPr>
              <w:t xml:space="preserve"> million </w:t>
            </w:r>
          </w:p>
        </w:tc>
      </w:tr>
      <w:tr w:rsidR="005025EA" w:rsidRPr="0087531E" w:rsidTr="00C4441F">
        <w:trPr>
          <w:jc w:val="center"/>
        </w:trPr>
        <w:tc>
          <w:tcPr>
            <w:tcW w:w="2977" w:type="dxa"/>
          </w:tcPr>
          <w:p w:rsidR="005025EA" w:rsidRPr="0087531E" w:rsidRDefault="005025EA" w:rsidP="00C4441F">
            <w:pPr>
              <w:autoSpaceDE w:val="0"/>
              <w:autoSpaceDN w:val="0"/>
              <w:adjustRightInd w:val="0"/>
              <w:ind w:left="142"/>
              <w:rPr>
                <w:rFonts w:cstheme="minorHAnsi"/>
                <w:color w:val="000000"/>
              </w:rPr>
            </w:pPr>
            <w:r w:rsidRPr="0087531E">
              <w:rPr>
                <w:rFonts w:cstheme="minorHAnsi"/>
                <w:color w:val="000000"/>
              </w:rPr>
              <w:t xml:space="preserve">Professional Indemnity </w:t>
            </w:r>
          </w:p>
        </w:tc>
        <w:tc>
          <w:tcPr>
            <w:tcW w:w="3260" w:type="dxa"/>
          </w:tcPr>
          <w:p w:rsidR="005025EA" w:rsidRPr="0087531E" w:rsidRDefault="005025EA" w:rsidP="00C4441F">
            <w:pPr>
              <w:autoSpaceDE w:val="0"/>
              <w:autoSpaceDN w:val="0"/>
              <w:adjustRightInd w:val="0"/>
              <w:rPr>
                <w:rFonts w:cstheme="minorHAnsi"/>
                <w:color w:val="000000"/>
              </w:rPr>
            </w:pPr>
            <w:r w:rsidRPr="0087531E">
              <w:rPr>
                <w:rFonts w:cstheme="minorHAnsi"/>
                <w:color w:val="000000"/>
              </w:rPr>
              <w:t>£</w:t>
            </w:r>
            <w:r>
              <w:rPr>
                <w:rFonts w:cstheme="minorHAnsi"/>
                <w:color w:val="000000"/>
              </w:rPr>
              <w:t>5</w:t>
            </w:r>
            <w:r w:rsidRPr="0087531E">
              <w:rPr>
                <w:rFonts w:cstheme="minorHAnsi"/>
                <w:color w:val="000000"/>
              </w:rPr>
              <w:t xml:space="preserve"> million</w:t>
            </w:r>
          </w:p>
        </w:tc>
      </w:tr>
    </w:tbl>
    <w:p w:rsidR="005025EA" w:rsidRDefault="005025EA" w:rsidP="005025EA">
      <w:pPr>
        <w:pStyle w:val="Default"/>
        <w:rPr>
          <w:rFonts w:asciiTheme="minorHAnsi" w:hAnsiTheme="minorHAnsi" w:cstheme="minorHAnsi"/>
          <w:sz w:val="22"/>
          <w:szCs w:val="22"/>
        </w:rPr>
      </w:pPr>
    </w:p>
    <w:p w:rsidR="005025EA" w:rsidRPr="003F5ECD" w:rsidRDefault="005025EA" w:rsidP="005025EA">
      <w:pPr>
        <w:pStyle w:val="Default"/>
        <w:rPr>
          <w:rFonts w:asciiTheme="minorHAnsi" w:hAnsiTheme="minorHAnsi" w:cstheme="minorHAnsi"/>
          <w:color w:val="auto"/>
          <w:sz w:val="22"/>
          <w:szCs w:val="22"/>
        </w:rPr>
      </w:pPr>
      <w:r>
        <w:rPr>
          <w:rFonts w:ascii="Calibri" w:eastAsia="Calibri" w:hAnsi="Calibri" w:cs="Times New Roman"/>
          <w:color w:val="auto"/>
          <w:sz w:val="22"/>
          <w:szCs w:val="22"/>
        </w:rPr>
        <w:t xml:space="preserve">Appropriate </w:t>
      </w:r>
      <w:r w:rsidRPr="003F5ECD">
        <w:rPr>
          <w:rFonts w:ascii="Calibri" w:eastAsia="Calibri" w:hAnsi="Calibri" w:cs="Times New Roman"/>
          <w:color w:val="auto"/>
          <w:sz w:val="22"/>
          <w:szCs w:val="22"/>
        </w:rPr>
        <w:t>COVID</w:t>
      </w:r>
      <w:r>
        <w:rPr>
          <w:rFonts w:ascii="Calibri" w:eastAsia="Calibri" w:hAnsi="Calibri" w:cs="Times New Roman"/>
          <w:color w:val="auto"/>
          <w:sz w:val="22"/>
          <w:szCs w:val="22"/>
        </w:rPr>
        <w:t>-19</w:t>
      </w:r>
      <w:r w:rsidRPr="003F5ECD">
        <w:rPr>
          <w:rFonts w:ascii="Calibri" w:eastAsia="Calibri" w:hAnsi="Calibri" w:cs="Times New Roman"/>
          <w:color w:val="auto"/>
          <w:sz w:val="22"/>
          <w:szCs w:val="22"/>
        </w:rPr>
        <w:t xml:space="preserve"> guidelines </w:t>
      </w:r>
      <w:proofErr w:type="gramStart"/>
      <w:r w:rsidRPr="003F5ECD">
        <w:rPr>
          <w:rFonts w:ascii="Calibri" w:eastAsia="Calibri" w:hAnsi="Calibri" w:cs="Times New Roman"/>
          <w:color w:val="auto"/>
          <w:sz w:val="22"/>
          <w:szCs w:val="22"/>
        </w:rPr>
        <w:t>must be adhered</w:t>
      </w:r>
      <w:proofErr w:type="gramEnd"/>
      <w:r w:rsidRPr="003F5ECD">
        <w:rPr>
          <w:rFonts w:ascii="Calibri" w:eastAsia="Calibri" w:hAnsi="Calibri" w:cs="Times New Roman"/>
          <w:color w:val="auto"/>
          <w:sz w:val="22"/>
          <w:szCs w:val="22"/>
        </w:rPr>
        <w:t xml:space="preserve"> </w:t>
      </w:r>
      <w:r>
        <w:rPr>
          <w:rFonts w:ascii="Calibri" w:eastAsia="Calibri" w:hAnsi="Calibri" w:cs="Times New Roman"/>
          <w:color w:val="auto"/>
          <w:sz w:val="22"/>
          <w:szCs w:val="22"/>
        </w:rPr>
        <w:t>to for the duration of the work.</w:t>
      </w:r>
    </w:p>
    <w:p w:rsidR="005025EA" w:rsidRDefault="005025EA" w:rsidP="005025EA">
      <w:pPr>
        <w:spacing w:after="0"/>
        <w:rPr>
          <w:rFonts w:cstheme="minorHAnsi"/>
          <w:b/>
          <w:color w:val="000000"/>
        </w:rPr>
      </w:pPr>
    </w:p>
    <w:p w:rsidR="005025EA" w:rsidRDefault="005025EA" w:rsidP="005025EA">
      <w:pPr>
        <w:spacing w:after="0"/>
        <w:rPr>
          <w:rFonts w:cstheme="minorHAnsi"/>
          <w:b/>
          <w:color w:val="000000"/>
        </w:rPr>
      </w:pPr>
      <w:r>
        <w:rPr>
          <w:rFonts w:cstheme="minorHAnsi"/>
          <w:b/>
          <w:color w:val="000000"/>
        </w:rPr>
        <w:t>5</w:t>
      </w:r>
      <w:r w:rsidRPr="0087531E">
        <w:rPr>
          <w:rFonts w:cstheme="minorHAnsi"/>
          <w:b/>
          <w:color w:val="000000"/>
        </w:rPr>
        <w:tab/>
        <w:t>TIMETABLE</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The key dates for this procurement </w:t>
      </w:r>
      <w:r>
        <w:rPr>
          <w:rFonts w:cs="Calibri"/>
          <w:color w:val="000000"/>
        </w:rPr>
        <w:t>are</w:t>
      </w:r>
      <w:r w:rsidRPr="006941F7">
        <w:rPr>
          <w:rFonts w:cs="Calibri"/>
          <w:color w:val="000000"/>
        </w:rPr>
        <w:t xml:space="preserve"> as follows:</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1"/>
        <w:gridCol w:w="3969"/>
      </w:tblGrid>
      <w:tr w:rsidR="005025EA" w:rsidRPr="006941F7" w:rsidTr="00C4441F">
        <w:trPr>
          <w:jc w:val="center"/>
        </w:trPr>
        <w:tc>
          <w:tcPr>
            <w:tcW w:w="3681" w:type="dxa"/>
            <w:shd w:val="clear" w:color="auto" w:fill="F2F2F2" w:themeFill="background1" w:themeFillShade="F2"/>
            <w:tcMar>
              <w:left w:w="30" w:type="dxa"/>
              <w:right w:w="30" w:type="dxa"/>
            </w:tcMar>
          </w:tcPr>
          <w:p w:rsidR="005025EA" w:rsidRPr="006941F7" w:rsidRDefault="005025EA" w:rsidP="00C4441F">
            <w:pPr>
              <w:widowControl w:val="0"/>
              <w:autoSpaceDE w:val="0"/>
              <w:autoSpaceDN w:val="0"/>
              <w:adjustRightInd w:val="0"/>
              <w:spacing w:after="0" w:line="240" w:lineRule="auto"/>
              <w:ind w:left="30" w:right="50"/>
              <w:rPr>
                <w:rFonts w:cs="Calibri"/>
                <w:b/>
                <w:bCs/>
                <w:color w:val="000000"/>
              </w:rPr>
            </w:pPr>
            <w:r w:rsidRPr="006941F7">
              <w:rPr>
                <w:rFonts w:cs="Calibri"/>
                <w:b/>
                <w:bCs/>
                <w:color w:val="000000"/>
              </w:rPr>
              <w:t>Event</w:t>
            </w:r>
          </w:p>
        </w:tc>
        <w:tc>
          <w:tcPr>
            <w:tcW w:w="3969" w:type="dxa"/>
            <w:shd w:val="clear" w:color="auto" w:fill="F2F2F2" w:themeFill="background1" w:themeFillShade="F2"/>
            <w:tcMar>
              <w:left w:w="30" w:type="dxa"/>
              <w:right w:w="30" w:type="dxa"/>
            </w:tcMar>
          </w:tcPr>
          <w:p w:rsidR="005025EA" w:rsidRPr="006941F7" w:rsidRDefault="005025EA" w:rsidP="00C4441F">
            <w:pPr>
              <w:widowControl w:val="0"/>
              <w:autoSpaceDE w:val="0"/>
              <w:autoSpaceDN w:val="0"/>
              <w:adjustRightInd w:val="0"/>
              <w:spacing w:after="0" w:line="240" w:lineRule="auto"/>
              <w:ind w:left="30" w:right="50"/>
              <w:rPr>
                <w:rFonts w:cs="Calibri"/>
                <w:b/>
                <w:bCs/>
                <w:color w:val="000000"/>
              </w:rPr>
            </w:pPr>
            <w:r>
              <w:rPr>
                <w:rFonts w:cs="Calibri"/>
                <w:b/>
                <w:bCs/>
                <w:color w:val="000000"/>
              </w:rPr>
              <w:t>Date</w:t>
            </w:r>
          </w:p>
        </w:tc>
      </w:tr>
      <w:tr w:rsidR="005025EA" w:rsidRPr="006941F7" w:rsidTr="00C4441F">
        <w:trPr>
          <w:jc w:val="center"/>
        </w:trPr>
        <w:tc>
          <w:tcPr>
            <w:tcW w:w="3681" w:type="dxa"/>
            <w:tcMar>
              <w:left w:w="30" w:type="dxa"/>
              <w:right w:w="30" w:type="dxa"/>
            </w:tcMar>
          </w:tcPr>
          <w:p w:rsidR="005025EA" w:rsidRPr="006941F7" w:rsidRDefault="005025EA" w:rsidP="00C4441F">
            <w:pPr>
              <w:widowControl w:val="0"/>
              <w:autoSpaceDE w:val="0"/>
              <w:autoSpaceDN w:val="0"/>
              <w:adjustRightInd w:val="0"/>
              <w:spacing w:after="0" w:line="240" w:lineRule="auto"/>
              <w:ind w:left="30" w:right="50"/>
              <w:rPr>
                <w:rFonts w:cs="Calibri"/>
                <w:color w:val="000000"/>
              </w:rPr>
            </w:pPr>
            <w:r w:rsidRPr="006941F7">
              <w:rPr>
                <w:rFonts w:cs="Calibri"/>
                <w:color w:val="000000"/>
                <w:shd w:val="clear" w:color="auto" w:fill="FFFFFF"/>
              </w:rPr>
              <w:t>Issue Invitation to Quote</w:t>
            </w:r>
          </w:p>
        </w:tc>
        <w:tc>
          <w:tcPr>
            <w:tcW w:w="3969" w:type="dxa"/>
            <w:tcMar>
              <w:left w:w="30" w:type="dxa"/>
              <w:right w:w="30" w:type="dxa"/>
            </w:tcMar>
          </w:tcPr>
          <w:p w:rsidR="005025EA" w:rsidRPr="006941F7" w:rsidDel="00F33B10" w:rsidRDefault="00A21A7F" w:rsidP="005025EA">
            <w:pPr>
              <w:widowControl w:val="0"/>
              <w:autoSpaceDE w:val="0"/>
              <w:autoSpaceDN w:val="0"/>
              <w:adjustRightInd w:val="0"/>
              <w:spacing w:after="0" w:line="240" w:lineRule="auto"/>
              <w:ind w:right="50"/>
              <w:rPr>
                <w:rFonts w:cs="Calibri"/>
                <w:color w:val="000000"/>
              </w:rPr>
            </w:pPr>
            <w:r>
              <w:rPr>
                <w:rFonts w:cs="Calibri"/>
                <w:color w:val="000000"/>
              </w:rPr>
              <w:t>2 May 2022</w:t>
            </w:r>
          </w:p>
        </w:tc>
      </w:tr>
      <w:tr w:rsidR="005025EA" w:rsidRPr="006941F7" w:rsidTr="00C4441F">
        <w:trPr>
          <w:jc w:val="center"/>
        </w:trPr>
        <w:tc>
          <w:tcPr>
            <w:tcW w:w="3681" w:type="dxa"/>
            <w:tcMar>
              <w:left w:w="30" w:type="dxa"/>
              <w:right w:w="30" w:type="dxa"/>
            </w:tcMar>
          </w:tcPr>
          <w:p w:rsidR="005025EA" w:rsidRPr="006941F7" w:rsidRDefault="005025EA" w:rsidP="00C4441F">
            <w:pPr>
              <w:widowControl w:val="0"/>
              <w:autoSpaceDE w:val="0"/>
              <w:autoSpaceDN w:val="0"/>
              <w:adjustRightInd w:val="0"/>
              <w:spacing w:after="0" w:line="240" w:lineRule="auto"/>
              <w:ind w:left="30" w:right="50"/>
              <w:rPr>
                <w:rFonts w:cs="Calibri"/>
                <w:color w:val="000000"/>
              </w:rPr>
            </w:pPr>
            <w:r w:rsidRPr="006941F7">
              <w:rPr>
                <w:rFonts w:cs="Calibri"/>
                <w:color w:val="000000"/>
              </w:rPr>
              <w:t>Deadline for receipt of clarifications</w:t>
            </w:r>
          </w:p>
        </w:tc>
        <w:tc>
          <w:tcPr>
            <w:tcW w:w="3969" w:type="dxa"/>
            <w:tcMar>
              <w:left w:w="30" w:type="dxa"/>
              <w:right w:w="30" w:type="dxa"/>
            </w:tcMar>
          </w:tcPr>
          <w:p w:rsidR="005025EA" w:rsidRPr="006941F7" w:rsidRDefault="00A21A7F" w:rsidP="005025EA">
            <w:pPr>
              <w:widowControl w:val="0"/>
              <w:autoSpaceDE w:val="0"/>
              <w:autoSpaceDN w:val="0"/>
              <w:adjustRightInd w:val="0"/>
              <w:spacing w:after="0" w:line="240" w:lineRule="auto"/>
              <w:ind w:right="50"/>
              <w:rPr>
                <w:rFonts w:cs="Calibri"/>
                <w:color w:val="000000"/>
              </w:rPr>
            </w:pPr>
            <w:r>
              <w:rPr>
                <w:rFonts w:cs="Calibri"/>
                <w:color w:val="000000"/>
              </w:rPr>
              <w:t>11 May 2022</w:t>
            </w:r>
          </w:p>
        </w:tc>
      </w:tr>
      <w:tr w:rsidR="005025EA" w:rsidRPr="006941F7" w:rsidTr="00C4441F">
        <w:trPr>
          <w:jc w:val="center"/>
        </w:trPr>
        <w:tc>
          <w:tcPr>
            <w:tcW w:w="3681" w:type="dxa"/>
            <w:tcMar>
              <w:left w:w="30" w:type="dxa"/>
              <w:right w:w="30" w:type="dxa"/>
            </w:tcMar>
          </w:tcPr>
          <w:p w:rsidR="005025EA" w:rsidRPr="006941F7" w:rsidRDefault="005025EA" w:rsidP="00C4441F">
            <w:pPr>
              <w:widowControl w:val="0"/>
              <w:autoSpaceDE w:val="0"/>
              <w:autoSpaceDN w:val="0"/>
              <w:adjustRightInd w:val="0"/>
              <w:spacing w:after="0" w:line="240" w:lineRule="auto"/>
              <w:ind w:right="50"/>
              <w:rPr>
                <w:rFonts w:cs="Calibri"/>
                <w:b/>
                <w:color w:val="000000"/>
                <w:shd w:val="clear" w:color="auto" w:fill="FFFFFF"/>
              </w:rPr>
            </w:pPr>
            <w:r w:rsidRPr="006941F7">
              <w:rPr>
                <w:rFonts w:cs="Calibri"/>
                <w:b/>
                <w:color w:val="000000"/>
              </w:rPr>
              <w:t>Deadline for receipt of Quotes</w:t>
            </w:r>
          </w:p>
        </w:tc>
        <w:tc>
          <w:tcPr>
            <w:tcW w:w="3969" w:type="dxa"/>
            <w:tcMar>
              <w:left w:w="30" w:type="dxa"/>
              <w:right w:w="30" w:type="dxa"/>
            </w:tcMar>
          </w:tcPr>
          <w:p w:rsidR="005025EA" w:rsidRPr="006941F7" w:rsidRDefault="00A21A7F" w:rsidP="005025EA">
            <w:pPr>
              <w:widowControl w:val="0"/>
              <w:autoSpaceDE w:val="0"/>
              <w:autoSpaceDN w:val="0"/>
              <w:adjustRightInd w:val="0"/>
              <w:spacing w:after="0" w:line="240" w:lineRule="auto"/>
              <w:ind w:right="50"/>
              <w:rPr>
                <w:rFonts w:cs="Calibri"/>
                <w:b/>
                <w:color w:val="000000"/>
                <w:shd w:val="clear" w:color="auto" w:fill="FFFFFF"/>
              </w:rPr>
            </w:pPr>
            <w:r>
              <w:rPr>
                <w:rFonts w:cs="Calibri"/>
                <w:b/>
                <w:color w:val="000000"/>
                <w:shd w:val="clear" w:color="auto" w:fill="FFFFFF"/>
              </w:rPr>
              <w:t>31 May 2022</w:t>
            </w:r>
          </w:p>
        </w:tc>
      </w:tr>
      <w:tr w:rsidR="005025EA" w:rsidRPr="006941F7" w:rsidTr="00C4441F">
        <w:trPr>
          <w:jc w:val="center"/>
        </w:trPr>
        <w:tc>
          <w:tcPr>
            <w:tcW w:w="3681" w:type="dxa"/>
            <w:tcMar>
              <w:left w:w="30" w:type="dxa"/>
              <w:right w:w="30" w:type="dxa"/>
            </w:tcMar>
          </w:tcPr>
          <w:p w:rsidR="005025EA" w:rsidRPr="006941F7" w:rsidRDefault="005025EA" w:rsidP="00C4441F">
            <w:pPr>
              <w:widowControl w:val="0"/>
              <w:autoSpaceDE w:val="0"/>
              <w:autoSpaceDN w:val="0"/>
              <w:adjustRightInd w:val="0"/>
              <w:spacing w:after="0" w:line="240" w:lineRule="auto"/>
              <w:ind w:left="30" w:right="50"/>
              <w:rPr>
                <w:rFonts w:cs="Calibri"/>
                <w:color w:val="000000"/>
                <w:shd w:val="clear" w:color="auto" w:fill="FFFFFF"/>
              </w:rPr>
            </w:pPr>
            <w:r w:rsidRPr="006941F7">
              <w:rPr>
                <w:rFonts w:cs="Calibri"/>
                <w:color w:val="000000"/>
              </w:rPr>
              <w:t>Evaluation of Quotes</w:t>
            </w:r>
          </w:p>
        </w:tc>
        <w:tc>
          <w:tcPr>
            <w:tcW w:w="3969" w:type="dxa"/>
            <w:tcMar>
              <w:left w:w="30" w:type="dxa"/>
              <w:right w:w="30" w:type="dxa"/>
            </w:tcMar>
          </w:tcPr>
          <w:p w:rsidR="005025EA" w:rsidRPr="006941F7" w:rsidRDefault="00A21A7F" w:rsidP="005025EA">
            <w:pPr>
              <w:widowControl w:val="0"/>
              <w:autoSpaceDE w:val="0"/>
              <w:autoSpaceDN w:val="0"/>
              <w:adjustRightInd w:val="0"/>
              <w:spacing w:after="0" w:line="240" w:lineRule="auto"/>
              <w:ind w:right="50"/>
              <w:rPr>
                <w:rFonts w:cs="Calibri"/>
                <w:color w:val="000000"/>
                <w:shd w:val="clear" w:color="auto" w:fill="FFFFFF"/>
              </w:rPr>
            </w:pPr>
            <w:r>
              <w:rPr>
                <w:rFonts w:cs="Calibri"/>
                <w:color w:val="000000"/>
                <w:shd w:val="clear" w:color="auto" w:fill="FFFFFF"/>
              </w:rPr>
              <w:t>6 June 2022</w:t>
            </w:r>
          </w:p>
        </w:tc>
      </w:tr>
      <w:tr w:rsidR="005025EA" w:rsidRPr="006941F7" w:rsidTr="00C4441F">
        <w:trPr>
          <w:jc w:val="center"/>
        </w:trPr>
        <w:tc>
          <w:tcPr>
            <w:tcW w:w="3681" w:type="dxa"/>
            <w:tcMar>
              <w:left w:w="30" w:type="dxa"/>
              <w:right w:w="30" w:type="dxa"/>
            </w:tcMar>
          </w:tcPr>
          <w:p w:rsidR="005025EA" w:rsidRPr="006941F7" w:rsidRDefault="005025EA" w:rsidP="00C4441F">
            <w:pPr>
              <w:widowControl w:val="0"/>
              <w:autoSpaceDE w:val="0"/>
              <w:autoSpaceDN w:val="0"/>
              <w:adjustRightInd w:val="0"/>
              <w:spacing w:after="0" w:line="240" w:lineRule="auto"/>
              <w:ind w:left="30" w:right="50"/>
              <w:rPr>
                <w:rFonts w:cs="Calibri"/>
                <w:color w:val="000000"/>
              </w:rPr>
            </w:pPr>
            <w:r w:rsidRPr="006941F7">
              <w:rPr>
                <w:rFonts w:cs="Calibri"/>
                <w:color w:val="000000"/>
              </w:rPr>
              <w:t>Notification of contract award decision</w:t>
            </w:r>
          </w:p>
        </w:tc>
        <w:tc>
          <w:tcPr>
            <w:tcW w:w="3969" w:type="dxa"/>
            <w:tcMar>
              <w:left w:w="30" w:type="dxa"/>
              <w:right w:w="30" w:type="dxa"/>
            </w:tcMar>
          </w:tcPr>
          <w:p w:rsidR="005025EA" w:rsidRPr="006941F7" w:rsidRDefault="00A21A7F" w:rsidP="005025EA">
            <w:pPr>
              <w:widowControl w:val="0"/>
              <w:autoSpaceDE w:val="0"/>
              <w:autoSpaceDN w:val="0"/>
              <w:adjustRightInd w:val="0"/>
              <w:spacing w:after="0" w:line="240" w:lineRule="auto"/>
              <w:ind w:right="50"/>
              <w:rPr>
                <w:rFonts w:cs="Calibri"/>
                <w:color w:val="000000"/>
              </w:rPr>
            </w:pPr>
            <w:r>
              <w:rPr>
                <w:rFonts w:cs="Calibri"/>
                <w:color w:val="000000"/>
              </w:rPr>
              <w:t>8 June 2022</w:t>
            </w:r>
          </w:p>
        </w:tc>
      </w:tr>
      <w:tr w:rsidR="005025EA" w:rsidRPr="006941F7" w:rsidTr="00C4441F">
        <w:trPr>
          <w:jc w:val="center"/>
        </w:trPr>
        <w:tc>
          <w:tcPr>
            <w:tcW w:w="3681" w:type="dxa"/>
            <w:tcMar>
              <w:left w:w="30" w:type="dxa"/>
              <w:right w:w="30" w:type="dxa"/>
            </w:tcMar>
          </w:tcPr>
          <w:p w:rsidR="005025EA" w:rsidRPr="006941F7" w:rsidRDefault="005025EA" w:rsidP="00C4441F">
            <w:pPr>
              <w:widowControl w:val="0"/>
              <w:autoSpaceDE w:val="0"/>
              <w:autoSpaceDN w:val="0"/>
              <w:adjustRightInd w:val="0"/>
              <w:spacing w:after="0" w:line="240" w:lineRule="auto"/>
              <w:ind w:left="30" w:right="50"/>
              <w:rPr>
                <w:rFonts w:cs="Calibri"/>
                <w:b/>
                <w:color w:val="000000"/>
              </w:rPr>
            </w:pPr>
            <w:r w:rsidRPr="006941F7">
              <w:rPr>
                <w:rFonts w:cs="Calibri"/>
                <w:b/>
                <w:color w:val="000000"/>
              </w:rPr>
              <w:t>Target service commencement date</w:t>
            </w:r>
          </w:p>
        </w:tc>
        <w:tc>
          <w:tcPr>
            <w:tcW w:w="3969" w:type="dxa"/>
            <w:tcMar>
              <w:left w:w="30" w:type="dxa"/>
              <w:right w:w="30" w:type="dxa"/>
            </w:tcMar>
          </w:tcPr>
          <w:p w:rsidR="005025EA" w:rsidRPr="006941F7" w:rsidRDefault="00A21A7F" w:rsidP="005025EA">
            <w:pPr>
              <w:widowControl w:val="0"/>
              <w:autoSpaceDE w:val="0"/>
              <w:autoSpaceDN w:val="0"/>
              <w:adjustRightInd w:val="0"/>
              <w:spacing w:after="0" w:line="240" w:lineRule="auto"/>
              <w:ind w:right="50"/>
              <w:rPr>
                <w:rFonts w:cs="Calibri"/>
                <w:b/>
                <w:color w:val="000000"/>
              </w:rPr>
            </w:pPr>
            <w:r>
              <w:rPr>
                <w:rFonts w:cs="Calibri"/>
                <w:b/>
                <w:color w:val="000000"/>
              </w:rPr>
              <w:t>13 June 2022</w:t>
            </w:r>
          </w:p>
        </w:tc>
      </w:tr>
      <w:tr w:rsidR="005025EA" w:rsidRPr="006941F7" w:rsidTr="00C4441F">
        <w:trPr>
          <w:jc w:val="center"/>
        </w:trPr>
        <w:tc>
          <w:tcPr>
            <w:tcW w:w="3681" w:type="dxa"/>
            <w:tcMar>
              <w:left w:w="30" w:type="dxa"/>
              <w:right w:w="30" w:type="dxa"/>
            </w:tcMar>
          </w:tcPr>
          <w:p w:rsidR="005025EA" w:rsidRPr="006941F7" w:rsidRDefault="005025EA" w:rsidP="00C4441F">
            <w:pPr>
              <w:widowControl w:val="0"/>
              <w:autoSpaceDE w:val="0"/>
              <w:autoSpaceDN w:val="0"/>
              <w:adjustRightInd w:val="0"/>
              <w:spacing w:after="0" w:line="240" w:lineRule="auto"/>
              <w:ind w:left="30" w:right="50"/>
              <w:rPr>
                <w:rFonts w:cs="Calibri"/>
                <w:b/>
                <w:color w:val="000000"/>
              </w:rPr>
            </w:pPr>
            <w:r>
              <w:rPr>
                <w:rFonts w:cs="Calibri"/>
                <w:b/>
                <w:color w:val="000000"/>
              </w:rPr>
              <w:t>Contract completion date</w:t>
            </w:r>
          </w:p>
        </w:tc>
        <w:tc>
          <w:tcPr>
            <w:tcW w:w="3969" w:type="dxa"/>
            <w:tcMar>
              <w:left w:w="30" w:type="dxa"/>
              <w:right w:w="30" w:type="dxa"/>
            </w:tcMar>
          </w:tcPr>
          <w:p w:rsidR="005025EA" w:rsidRDefault="00A21A7F" w:rsidP="005025EA">
            <w:pPr>
              <w:widowControl w:val="0"/>
              <w:autoSpaceDE w:val="0"/>
              <w:autoSpaceDN w:val="0"/>
              <w:adjustRightInd w:val="0"/>
              <w:spacing w:after="0" w:line="240" w:lineRule="auto"/>
              <w:ind w:right="50"/>
              <w:rPr>
                <w:rFonts w:cs="Calibri"/>
                <w:b/>
                <w:color w:val="000000"/>
              </w:rPr>
            </w:pPr>
            <w:r>
              <w:rPr>
                <w:rFonts w:cs="Calibri"/>
                <w:b/>
                <w:color w:val="000000"/>
              </w:rPr>
              <w:t>30 March 2023</w:t>
            </w:r>
          </w:p>
        </w:tc>
      </w:tr>
    </w:tbl>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Any changes to the procurement </w:t>
      </w:r>
      <w:r>
        <w:rPr>
          <w:rFonts w:cs="Calibri"/>
          <w:color w:val="000000"/>
        </w:rPr>
        <w:t>t</w:t>
      </w:r>
      <w:r w:rsidRPr="006941F7">
        <w:rPr>
          <w:rFonts w:cs="Calibri"/>
          <w:color w:val="000000"/>
        </w:rPr>
        <w:t xml:space="preserve">imetable </w:t>
      </w:r>
      <w:proofErr w:type="gramStart"/>
      <w:r w:rsidRPr="006941F7">
        <w:rPr>
          <w:rFonts w:cs="Calibri"/>
          <w:color w:val="000000"/>
        </w:rPr>
        <w:t>shall be notified</w:t>
      </w:r>
      <w:proofErr w:type="gramEnd"/>
      <w:r w:rsidRPr="006941F7">
        <w:rPr>
          <w:rFonts w:cs="Calibri"/>
          <w:color w:val="000000"/>
        </w:rPr>
        <w:t xml:space="preserve"> to all Respondents as soon as practicable.</w:t>
      </w:r>
    </w:p>
    <w:p w:rsidR="005025EA" w:rsidRPr="00454846" w:rsidRDefault="005025EA" w:rsidP="00454846">
      <w:pPr>
        <w:widowControl w:val="0"/>
        <w:autoSpaceDE w:val="0"/>
        <w:autoSpaceDN w:val="0"/>
        <w:adjustRightInd w:val="0"/>
        <w:spacing w:after="0" w:line="240" w:lineRule="auto"/>
        <w:jc w:val="both"/>
        <w:rPr>
          <w:rFonts w:cs="Calibri"/>
          <w:b/>
          <w:bCs/>
          <w:color w:val="000000"/>
        </w:rPr>
      </w:pPr>
      <w:r w:rsidRPr="006941F7">
        <w:rPr>
          <w:rFonts w:cs="Calibri"/>
          <w:color w:val="000000"/>
        </w:rPr>
        <w:t> </w:t>
      </w:r>
      <w:bookmarkStart w:id="0" w:name="_GoBack"/>
      <w:bookmarkEnd w:id="0"/>
    </w:p>
    <w:p w:rsidR="005025EA" w:rsidRPr="00A33CB8" w:rsidRDefault="005025EA" w:rsidP="005025EA">
      <w:pPr>
        <w:spacing w:after="0"/>
        <w:rPr>
          <w:rFonts w:cstheme="minorHAnsi"/>
          <w:b/>
          <w:color w:val="000000"/>
        </w:rPr>
      </w:pPr>
      <w:r>
        <w:rPr>
          <w:rFonts w:cstheme="minorHAnsi"/>
          <w:b/>
          <w:bCs/>
          <w:color w:val="000000"/>
        </w:rPr>
        <w:t>6</w:t>
      </w:r>
      <w:r>
        <w:rPr>
          <w:rFonts w:cstheme="minorHAnsi"/>
          <w:b/>
          <w:bCs/>
          <w:color w:val="000000"/>
        </w:rPr>
        <w:tab/>
      </w:r>
      <w:r w:rsidRPr="00A33CB8">
        <w:rPr>
          <w:rFonts w:cstheme="minorHAnsi"/>
          <w:b/>
          <w:bCs/>
          <w:color w:val="000000"/>
        </w:rPr>
        <w:t>INSTRUCTION</w:t>
      </w:r>
      <w:r>
        <w:rPr>
          <w:rFonts w:cstheme="minorHAnsi"/>
          <w:b/>
          <w:bCs/>
          <w:color w:val="000000"/>
        </w:rPr>
        <w:t>S ON</w:t>
      </w:r>
      <w:r w:rsidRPr="00A33CB8">
        <w:rPr>
          <w:rFonts w:cstheme="minorHAnsi"/>
          <w:b/>
          <w:bCs/>
          <w:color w:val="000000"/>
        </w:rPr>
        <w:t xml:space="preserve"> </w:t>
      </w:r>
      <w:r>
        <w:rPr>
          <w:rFonts w:cstheme="minorHAnsi"/>
          <w:b/>
          <w:bCs/>
          <w:color w:val="000000"/>
        </w:rPr>
        <w:t>COMPLETING THE</w:t>
      </w:r>
      <w:r w:rsidRPr="00A33CB8">
        <w:rPr>
          <w:rFonts w:cstheme="minorHAnsi"/>
          <w:b/>
          <w:bCs/>
          <w:color w:val="000000"/>
        </w:rPr>
        <w:t xml:space="preserve"> </w:t>
      </w:r>
      <w:r>
        <w:rPr>
          <w:rFonts w:cstheme="minorHAnsi"/>
          <w:b/>
          <w:bCs/>
          <w:color w:val="000000"/>
        </w:rPr>
        <w:t>QUOTE</w:t>
      </w:r>
    </w:p>
    <w:p w:rsidR="005025EA" w:rsidRPr="00EB13F7" w:rsidRDefault="005025EA" w:rsidP="005025EA">
      <w:pPr>
        <w:autoSpaceDE w:val="0"/>
        <w:autoSpaceDN w:val="0"/>
        <w:adjustRightInd w:val="0"/>
        <w:spacing w:after="0" w:line="240" w:lineRule="auto"/>
        <w:rPr>
          <w:rFonts w:cstheme="minorHAnsi"/>
          <w:b/>
          <w:bCs/>
          <w:color w:val="000000"/>
        </w:rPr>
      </w:pPr>
      <w:r>
        <w:rPr>
          <w:rFonts w:cstheme="minorHAnsi"/>
          <w:b/>
          <w:bCs/>
          <w:color w:val="000000"/>
        </w:rPr>
        <w:t>6</w:t>
      </w:r>
      <w:r w:rsidRPr="00EB13F7">
        <w:rPr>
          <w:rFonts w:cstheme="minorHAnsi"/>
          <w:b/>
          <w:bCs/>
          <w:color w:val="000000"/>
        </w:rPr>
        <w:t xml:space="preserve">.1 </w:t>
      </w:r>
      <w:r>
        <w:rPr>
          <w:rFonts w:cstheme="minorHAnsi"/>
          <w:b/>
          <w:bCs/>
          <w:color w:val="000000"/>
        </w:rPr>
        <w:tab/>
      </w:r>
      <w:r w:rsidRPr="00EB13F7">
        <w:rPr>
          <w:rFonts w:cstheme="minorHAnsi"/>
          <w:b/>
          <w:bCs/>
          <w:color w:val="000000"/>
        </w:rPr>
        <w:t>Submitting a Quote</w:t>
      </w:r>
    </w:p>
    <w:p w:rsidR="005025EA" w:rsidRPr="00A33CB8" w:rsidRDefault="005025EA" w:rsidP="005025EA">
      <w:pPr>
        <w:autoSpaceDE w:val="0"/>
        <w:autoSpaceDN w:val="0"/>
        <w:adjustRightInd w:val="0"/>
        <w:spacing w:after="0" w:line="240" w:lineRule="auto"/>
        <w:rPr>
          <w:rFonts w:cstheme="minorHAnsi"/>
          <w:bCs/>
          <w:color w:val="000000"/>
        </w:rPr>
      </w:pPr>
      <w:r>
        <w:rPr>
          <w:rFonts w:cstheme="minorHAnsi"/>
          <w:bCs/>
          <w:color w:val="000000"/>
        </w:rPr>
        <w:t>Quotes</w:t>
      </w:r>
      <w:r w:rsidRPr="00A33CB8">
        <w:rPr>
          <w:rFonts w:cstheme="minorHAnsi"/>
          <w:bCs/>
          <w:color w:val="000000"/>
        </w:rPr>
        <w:t xml:space="preserve"> </w:t>
      </w:r>
      <w:proofErr w:type="gramStart"/>
      <w:r w:rsidRPr="00A33CB8">
        <w:rPr>
          <w:rFonts w:cstheme="minorHAnsi"/>
          <w:bCs/>
          <w:color w:val="000000"/>
        </w:rPr>
        <w:t>must be uploaded</w:t>
      </w:r>
      <w:proofErr w:type="gramEnd"/>
      <w:r w:rsidRPr="00A33CB8">
        <w:rPr>
          <w:rFonts w:cstheme="minorHAnsi"/>
          <w:bCs/>
          <w:color w:val="000000"/>
        </w:rPr>
        <w:t xml:space="preserve"> via the South East</w:t>
      </w:r>
      <w:r>
        <w:rPr>
          <w:rFonts w:cstheme="minorHAnsi"/>
          <w:bCs/>
          <w:color w:val="000000"/>
        </w:rPr>
        <w:t xml:space="preserve"> Business Portal also known as </w:t>
      </w:r>
      <w:proofErr w:type="spellStart"/>
      <w:r>
        <w:rPr>
          <w:rFonts w:cstheme="minorHAnsi"/>
          <w:bCs/>
          <w:color w:val="000000"/>
        </w:rPr>
        <w:t>P</w:t>
      </w:r>
      <w:r w:rsidRPr="00A33CB8">
        <w:rPr>
          <w:rFonts w:cstheme="minorHAnsi"/>
          <w:bCs/>
          <w:color w:val="000000"/>
        </w:rPr>
        <w:t>roactis</w:t>
      </w:r>
      <w:proofErr w:type="spellEnd"/>
      <w:r w:rsidRPr="00A33CB8">
        <w:rPr>
          <w:rFonts w:cstheme="minorHAnsi"/>
          <w:bCs/>
          <w:color w:val="000000"/>
        </w:rPr>
        <w:t xml:space="preserve">. </w:t>
      </w:r>
    </w:p>
    <w:p w:rsidR="005025EA" w:rsidRPr="00A33CB8" w:rsidRDefault="005025EA" w:rsidP="005025EA">
      <w:pPr>
        <w:autoSpaceDE w:val="0"/>
        <w:autoSpaceDN w:val="0"/>
        <w:adjustRightInd w:val="0"/>
        <w:spacing w:after="0" w:line="240" w:lineRule="auto"/>
        <w:rPr>
          <w:rFonts w:cstheme="minorHAnsi"/>
          <w:bCs/>
          <w:color w:val="000000"/>
        </w:rPr>
      </w:pPr>
    </w:p>
    <w:p w:rsidR="005025EA" w:rsidRPr="00A33CB8" w:rsidRDefault="005025EA" w:rsidP="005025EA">
      <w:pPr>
        <w:autoSpaceDE w:val="0"/>
        <w:autoSpaceDN w:val="0"/>
        <w:adjustRightInd w:val="0"/>
        <w:spacing w:after="0" w:line="240" w:lineRule="auto"/>
        <w:rPr>
          <w:rFonts w:cstheme="minorHAnsi"/>
          <w:bCs/>
          <w:color w:val="000000"/>
        </w:rPr>
      </w:pPr>
      <w:r>
        <w:rPr>
          <w:rFonts w:cstheme="minorHAnsi"/>
          <w:bCs/>
          <w:color w:val="000000"/>
        </w:rPr>
        <w:t>The l</w:t>
      </w:r>
      <w:r w:rsidRPr="00A33CB8">
        <w:rPr>
          <w:rFonts w:cstheme="minorHAnsi"/>
          <w:bCs/>
          <w:color w:val="000000"/>
        </w:rPr>
        <w:t>ink to the portal</w:t>
      </w:r>
      <w:r>
        <w:rPr>
          <w:rFonts w:cstheme="minorHAnsi"/>
          <w:bCs/>
          <w:color w:val="000000"/>
        </w:rPr>
        <w:t xml:space="preserve"> </w:t>
      </w:r>
      <w:proofErr w:type="gramStart"/>
      <w:r>
        <w:rPr>
          <w:rFonts w:cstheme="minorHAnsi"/>
          <w:bCs/>
          <w:color w:val="000000"/>
        </w:rPr>
        <w:t>is</w:t>
      </w:r>
      <w:r w:rsidRPr="00A33CB8">
        <w:rPr>
          <w:rFonts w:cstheme="minorHAnsi"/>
          <w:bCs/>
          <w:color w:val="000000"/>
        </w:rPr>
        <w:t>:</w:t>
      </w:r>
      <w:proofErr w:type="gramEnd"/>
      <w:r w:rsidRPr="00A33CB8">
        <w:rPr>
          <w:rFonts w:cstheme="minorHAnsi"/>
          <w:bCs/>
          <w:color w:val="000000"/>
        </w:rPr>
        <w:t xml:space="preserve"> </w:t>
      </w:r>
      <w:hyperlink r:id="rId9" w:history="1">
        <w:r w:rsidRPr="00A33CB8">
          <w:rPr>
            <w:rStyle w:val="Hyperlink"/>
            <w:rFonts w:cstheme="minorHAnsi"/>
            <w:bCs/>
          </w:rPr>
          <w:t>https://sebp.due-north.com/</w:t>
        </w:r>
      </w:hyperlink>
    </w:p>
    <w:p w:rsidR="005025EA" w:rsidRPr="00A33CB8" w:rsidRDefault="005025EA" w:rsidP="005025EA">
      <w:pPr>
        <w:autoSpaceDE w:val="0"/>
        <w:autoSpaceDN w:val="0"/>
        <w:adjustRightInd w:val="0"/>
        <w:spacing w:after="0" w:line="240" w:lineRule="auto"/>
        <w:rPr>
          <w:rFonts w:cstheme="minorHAnsi"/>
          <w:b/>
          <w:bCs/>
          <w:color w:val="000000"/>
        </w:rPr>
      </w:pPr>
    </w:p>
    <w:p w:rsidR="005025EA" w:rsidRPr="00A33CB8" w:rsidRDefault="005025EA" w:rsidP="005025EA">
      <w:pPr>
        <w:autoSpaceDE w:val="0"/>
        <w:autoSpaceDN w:val="0"/>
        <w:adjustRightInd w:val="0"/>
        <w:spacing w:after="0" w:line="240" w:lineRule="auto"/>
        <w:rPr>
          <w:rFonts w:cstheme="minorHAnsi"/>
          <w:bCs/>
          <w:color w:val="000000"/>
        </w:rPr>
      </w:pPr>
      <w:r w:rsidRPr="00A33CB8">
        <w:rPr>
          <w:rFonts w:cstheme="minorHAnsi"/>
          <w:bCs/>
          <w:color w:val="000000"/>
        </w:rPr>
        <w:t xml:space="preserve">Your </w:t>
      </w:r>
      <w:r>
        <w:rPr>
          <w:rFonts w:cstheme="minorHAnsi"/>
          <w:bCs/>
          <w:color w:val="000000"/>
        </w:rPr>
        <w:t>Quote</w:t>
      </w:r>
      <w:r w:rsidRPr="00A33CB8">
        <w:rPr>
          <w:rFonts w:cstheme="minorHAnsi"/>
          <w:bCs/>
          <w:color w:val="000000"/>
        </w:rPr>
        <w:t xml:space="preserve"> must include:</w:t>
      </w:r>
    </w:p>
    <w:p w:rsidR="005025EA" w:rsidRPr="00A33CB8" w:rsidRDefault="005025EA" w:rsidP="005025EA">
      <w:pPr>
        <w:pStyle w:val="ListParagraph"/>
        <w:numPr>
          <w:ilvl w:val="0"/>
          <w:numId w:val="2"/>
        </w:numPr>
        <w:autoSpaceDE w:val="0"/>
        <w:autoSpaceDN w:val="0"/>
        <w:adjustRightInd w:val="0"/>
        <w:spacing w:after="0" w:line="240" w:lineRule="auto"/>
        <w:rPr>
          <w:rFonts w:cstheme="minorHAnsi"/>
          <w:bCs/>
          <w:color w:val="000000"/>
        </w:rPr>
      </w:pPr>
      <w:r w:rsidRPr="00A33CB8">
        <w:rPr>
          <w:rFonts w:cstheme="minorHAnsi"/>
          <w:bCs/>
          <w:color w:val="000000"/>
        </w:rPr>
        <w:t xml:space="preserve">Completed </w:t>
      </w:r>
      <w:r>
        <w:rPr>
          <w:rFonts w:cstheme="minorHAnsi"/>
          <w:bCs/>
          <w:color w:val="000000"/>
        </w:rPr>
        <w:t>ITQ</w:t>
      </w:r>
      <w:r w:rsidRPr="00A33CB8">
        <w:rPr>
          <w:rFonts w:cstheme="minorHAnsi"/>
          <w:bCs/>
          <w:color w:val="000000"/>
        </w:rPr>
        <w:t xml:space="preserve"> response document </w:t>
      </w:r>
    </w:p>
    <w:p w:rsidR="005025EA" w:rsidRDefault="005025EA" w:rsidP="005025EA">
      <w:pPr>
        <w:pStyle w:val="ListParagraph"/>
        <w:numPr>
          <w:ilvl w:val="0"/>
          <w:numId w:val="2"/>
        </w:numPr>
        <w:autoSpaceDE w:val="0"/>
        <w:autoSpaceDN w:val="0"/>
        <w:adjustRightInd w:val="0"/>
        <w:spacing w:after="0" w:line="240" w:lineRule="auto"/>
        <w:rPr>
          <w:rFonts w:cstheme="minorHAnsi"/>
          <w:bCs/>
          <w:color w:val="000000"/>
        </w:rPr>
      </w:pPr>
      <w:r w:rsidRPr="00A33CB8">
        <w:rPr>
          <w:rFonts w:cstheme="minorHAnsi"/>
          <w:bCs/>
          <w:color w:val="000000"/>
        </w:rPr>
        <w:t>Completed Schedule 1 – Commercially Sensitive Information</w:t>
      </w:r>
    </w:p>
    <w:p w:rsidR="005025EA" w:rsidRPr="003B1E64" w:rsidRDefault="005025EA" w:rsidP="005025EA">
      <w:pPr>
        <w:pStyle w:val="Default"/>
        <w:numPr>
          <w:ilvl w:val="0"/>
          <w:numId w:val="2"/>
        </w:numPr>
        <w:spacing w:after="20"/>
        <w:rPr>
          <w:rFonts w:asciiTheme="minorHAnsi" w:hAnsiTheme="minorHAnsi" w:cstheme="minorHAnsi"/>
          <w:sz w:val="22"/>
          <w:szCs w:val="22"/>
        </w:rPr>
      </w:pPr>
      <w:r>
        <w:rPr>
          <w:rFonts w:asciiTheme="minorHAnsi" w:hAnsiTheme="minorHAnsi" w:cstheme="minorHAnsi"/>
          <w:sz w:val="22"/>
          <w:szCs w:val="22"/>
        </w:rPr>
        <w:t>Schedule 2 – Form of Quote</w:t>
      </w:r>
    </w:p>
    <w:p w:rsidR="005025EA" w:rsidRPr="00A33CB8" w:rsidRDefault="005025EA" w:rsidP="005025EA">
      <w:pPr>
        <w:autoSpaceDE w:val="0"/>
        <w:autoSpaceDN w:val="0"/>
        <w:adjustRightInd w:val="0"/>
        <w:spacing w:after="0" w:line="240" w:lineRule="auto"/>
        <w:rPr>
          <w:rFonts w:cstheme="minorHAnsi"/>
          <w:bCs/>
          <w:color w:val="000000"/>
        </w:rPr>
      </w:pPr>
    </w:p>
    <w:p w:rsidR="005025EA" w:rsidRPr="00A33CB8" w:rsidRDefault="005025EA" w:rsidP="005025EA">
      <w:pPr>
        <w:autoSpaceDE w:val="0"/>
        <w:autoSpaceDN w:val="0"/>
        <w:adjustRightInd w:val="0"/>
        <w:spacing w:after="0" w:line="240" w:lineRule="auto"/>
        <w:rPr>
          <w:rFonts w:cstheme="minorHAnsi"/>
          <w:color w:val="000000"/>
        </w:rPr>
      </w:pPr>
      <w:r>
        <w:rPr>
          <w:rFonts w:cstheme="minorHAnsi"/>
          <w:color w:val="000000"/>
        </w:rPr>
        <w:t>Quotes</w:t>
      </w:r>
      <w:r w:rsidRPr="00A33CB8">
        <w:rPr>
          <w:rFonts w:cstheme="minorHAnsi"/>
          <w:color w:val="000000"/>
        </w:rPr>
        <w:t xml:space="preserve"> </w:t>
      </w:r>
      <w:proofErr w:type="gramStart"/>
      <w:r w:rsidRPr="00A33CB8">
        <w:rPr>
          <w:rFonts w:cstheme="minorHAnsi"/>
          <w:color w:val="000000"/>
        </w:rPr>
        <w:t>must be submitted</w:t>
      </w:r>
      <w:proofErr w:type="gramEnd"/>
      <w:r w:rsidRPr="00A33CB8">
        <w:rPr>
          <w:rFonts w:cstheme="minorHAnsi"/>
          <w:color w:val="000000"/>
        </w:rPr>
        <w:t xml:space="preserve"> in the manner prescribed in this document, no later than the deadline set out in the timetable above.</w:t>
      </w:r>
    </w:p>
    <w:p w:rsidR="005025EA" w:rsidRPr="003505D1" w:rsidRDefault="005025EA" w:rsidP="005025EA">
      <w:pPr>
        <w:autoSpaceDE w:val="0"/>
        <w:autoSpaceDN w:val="0"/>
        <w:adjustRightInd w:val="0"/>
        <w:spacing w:after="0" w:line="240" w:lineRule="auto"/>
        <w:rPr>
          <w:rFonts w:ascii="Arial" w:hAnsi="Arial" w:cs="Arial"/>
          <w:color w:val="000000"/>
          <w:sz w:val="24"/>
          <w:szCs w:val="24"/>
        </w:rPr>
      </w:pPr>
    </w:p>
    <w:p w:rsidR="005025EA" w:rsidRPr="003505D1" w:rsidRDefault="005025EA" w:rsidP="005025EA">
      <w:pPr>
        <w:autoSpaceDE w:val="0"/>
        <w:autoSpaceDN w:val="0"/>
        <w:adjustRightInd w:val="0"/>
        <w:spacing w:after="0" w:line="240" w:lineRule="auto"/>
        <w:rPr>
          <w:rFonts w:ascii="Arial" w:hAnsi="Arial" w:cs="Arial"/>
          <w:color w:val="000000"/>
          <w:sz w:val="24"/>
          <w:szCs w:val="24"/>
        </w:rPr>
      </w:pPr>
      <w:r w:rsidRPr="00A33CB8">
        <w:rPr>
          <w:rFonts w:cstheme="minorHAnsi"/>
          <w:color w:val="000000"/>
        </w:rPr>
        <w:t xml:space="preserve">Any </w:t>
      </w:r>
      <w:r>
        <w:rPr>
          <w:rFonts w:cstheme="minorHAnsi"/>
          <w:color w:val="000000"/>
        </w:rPr>
        <w:t>Quote</w:t>
      </w:r>
      <w:r w:rsidRPr="00A33CB8">
        <w:rPr>
          <w:rFonts w:cstheme="minorHAnsi"/>
          <w:color w:val="000000"/>
        </w:rPr>
        <w:t xml:space="preserve"> received after the deadline </w:t>
      </w:r>
      <w:proofErr w:type="gramStart"/>
      <w:r w:rsidRPr="00A33CB8">
        <w:rPr>
          <w:rFonts w:cstheme="minorHAnsi"/>
          <w:color w:val="000000"/>
        </w:rPr>
        <w:t>shall not be opened or considered</w:t>
      </w:r>
      <w:proofErr w:type="gramEnd"/>
      <w:r w:rsidRPr="00A33CB8">
        <w:rPr>
          <w:rFonts w:cstheme="minorHAnsi"/>
          <w:color w:val="000000"/>
        </w:rPr>
        <w:t xml:space="preserve">. </w:t>
      </w:r>
      <w:r>
        <w:rPr>
          <w:rFonts w:cstheme="minorHAnsi"/>
          <w:color w:val="000000"/>
        </w:rPr>
        <w:t>GBC</w:t>
      </w:r>
      <w:r w:rsidRPr="00A33CB8">
        <w:rPr>
          <w:rFonts w:cstheme="minorHAnsi"/>
          <w:color w:val="000000"/>
        </w:rPr>
        <w:t xml:space="preserve"> may, however, in its own absolute discretion extend the deadline and in such </w:t>
      </w:r>
      <w:proofErr w:type="gramStart"/>
      <w:r w:rsidRPr="00A33CB8">
        <w:rPr>
          <w:rFonts w:cstheme="minorHAnsi"/>
          <w:color w:val="000000"/>
        </w:rPr>
        <w:t>circumstances</w:t>
      </w:r>
      <w:proofErr w:type="gramEnd"/>
      <w:r w:rsidRPr="00A33CB8">
        <w:rPr>
          <w:rFonts w:cstheme="minorHAnsi"/>
          <w:color w:val="000000"/>
        </w:rPr>
        <w:t xml:space="preserve"> the </w:t>
      </w:r>
      <w:r>
        <w:rPr>
          <w:rFonts w:cstheme="minorHAnsi"/>
          <w:color w:val="000000"/>
        </w:rPr>
        <w:t>GBC</w:t>
      </w:r>
      <w:r w:rsidRPr="00A33CB8">
        <w:rPr>
          <w:rFonts w:cstheme="minorHAnsi"/>
          <w:color w:val="000000"/>
        </w:rPr>
        <w:t xml:space="preserve"> will notify all </w:t>
      </w:r>
      <w:r>
        <w:rPr>
          <w:rFonts w:cstheme="minorHAnsi"/>
          <w:color w:val="000000"/>
        </w:rPr>
        <w:t>Respondents</w:t>
      </w:r>
      <w:r w:rsidRPr="00A33CB8">
        <w:rPr>
          <w:rFonts w:cstheme="minorHAnsi"/>
          <w:color w:val="000000"/>
        </w:rPr>
        <w:t xml:space="preserve"> of any change</w:t>
      </w:r>
      <w:r w:rsidRPr="003505D1">
        <w:rPr>
          <w:rFonts w:ascii="Arial" w:hAnsi="Arial" w:cs="Arial"/>
          <w:color w:val="000000"/>
          <w:sz w:val="24"/>
          <w:szCs w:val="24"/>
        </w:rPr>
        <w:t>.</w:t>
      </w:r>
    </w:p>
    <w:p w:rsidR="005025EA" w:rsidRPr="003505D1" w:rsidRDefault="005025EA" w:rsidP="005025EA">
      <w:pPr>
        <w:autoSpaceDE w:val="0"/>
        <w:autoSpaceDN w:val="0"/>
        <w:adjustRightInd w:val="0"/>
        <w:spacing w:after="0" w:line="240" w:lineRule="auto"/>
        <w:rPr>
          <w:rFonts w:ascii="Arial" w:hAnsi="Arial" w:cs="Arial"/>
          <w:bCs/>
          <w:color w:val="000000"/>
          <w:sz w:val="24"/>
          <w:szCs w:val="24"/>
        </w:rPr>
      </w:pPr>
    </w:p>
    <w:p w:rsidR="005025EA" w:rsidRPr="00EB13F7" w:rsidRDefault="005025EA" w:rsidP="005025EA">
      <w:pPr>
        <w:pStyle w:val="NoSpacing"/>
        <w:rPr>
          <w:rFonts w:cstheme="minorHAnsi"/>
          <w:color w:val="FF0000"/>
        </w:rPr>
      </w:pPr>
      <w:r w:rsidRPr="00A33CB8">
        <w:rPr>
          <w:rFonts w:cstheme="minorHAnsi"/>
        </w:rPr>
        <w:lastRenderedPageBreak/>
        <w:t xml:space="preserve">Any questions relating to this </w:t>
      </w:r>
      <w:r>
        <w:rPr>
          <w:rFonts w:cstheme="minorHAnsi"/>
        </w:rPr>
        <w:t>ITQ</w:t>
      </w:r>
      <w:r w:rsidRPr="00A33CB8">
        <w:rPr>
          <w:rFonts w:cstheme="minorHAnsi"/>
        </w:rPr>
        <w:t xml:space="preserve"> </w:t>
      </w:r>
      <w:proofErr w:type="gramStart"/>
      <w:r w:rsidRPr="00A33CB8">
        <w:rPr>
          <w:rFonts w:cstheme="minorHAnsi"/>
        </w:rPr>
        <w:t>must be raised</w:t>
      </w:r>
      <w:proofErr w:type="gramEnd"/>
      <w:r w:rsidRPr="00A33CB8">
        <w:rPr>
          <w:rFonts w:cstheme="minorHAnsi"/>
        </w:rPr>
        <w:t xml:space="preserve"> </w:t>
      </w:r>
      <w:r w:rsidRPr="00A33CB8">
        <w:rPr>
          <w:rFonts w:cstheme="minorHAnsi"/>
          <w:b/>
        </w:rPr>
        <w:t>only</w:t>
      </w:r>
      <w:r w:rsidRPr="00A33CB8">
        <w:rPr>
          <w:rFonts w:cstheme="minorHAnsi"/>
        </w:rPr>
        <w:t xml:space="preserve"> as a clarification via the messaging function on the South East Business Portal/</w:t>
      </w:r>
      <w:proofErr w:type="spellStart"/>
      <w:r w:rsidRPr="00A33CB8">
        <w:rPr>
          <w:rFonts w:cstheme="minorHAnsi"/>
        </w:rPr>
        <w:t>Proactis</w:t>
      </w:r>
      <w:proofErr w:type="spellEnd"/>
      <w:r w:rsidRPr="00A33CB8">
        <w:rPr>
          <w:rFonts w:cstheme="minorHAnsi"/>
        </w:rPr>
        <w:t xml:space="preserve"> (link above). </w:t>
      </w:r>
      <w:r>
        <w:rPr>
          <w:rFonts w:cstheme="minorHAnsi"/>
        </w:rPr>
        <w:t xml:space="preserve">GBC </w:t>
      </w:r>
      <w:r w:rsidRPr="00A33CB8">
        <w:rPr>
          <w:rFonts w:cstheme="minorHAnsi"/>
        </w:rPr>
        <w:t xml:space="preserve">will not enter into exclusive discussions regarding the requirements of this </w:t>
      </w:r>
      <w:r>
        <w:rPr>
          <w:rFonts w:cstheme="minorHAnsi"/>
        </w:rPr>
        <w:t>ITQ</w:t>
      </w:r>
      <w:r w:rsidRPr="00A33CB8">
        <w:rPr>
          <w:rFonts w:cstheme="minorHAnsi"/>
        </w:rPr>
        <w:t xml:space="preserve"> with potential providers.</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sidRPr="00A33CB8">
        <w:rPr>
          <w:rFonts w:cstheme="minorHAnsi"/>
        </w:rPr>
        <w:t xml:space="preserve">To ensure a transparent and consistent approach all clarifications statements </w:t>
      </w:r>
      <w:proofErr w:type="gramStart"/>
      <w:r w:rsidRPr="00A33CB8">
        <w:rPr>
          <w:rFonts w:cstheme="minorHAnsi"/>
        </w:rPr>
        <w:t>will be made</w:t>
      </w:r>
      <w:proofErr w:type="gramEnd"/>
      <w:r w:rsidRPr="00A33CB8">
        <w:rPr>
          <w:rFonts w:cstheme="minorHAnsi"/>
        </w:rPr>
        <w:t xml:space="preserve"> available to all providers apart from where commercial sensitivity exists. </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sidRPr="00A33CB8">
        <w:rPr>
          <w:rFonts w:cstheme="minorHAnsi"/>
        </w:rPr>
        <w:t xml:space="preserve">Clarifications in relation to </w:t>
      </w:r>
      <w:r>
        <w:rPr>
          <w:rFonts w:cstheme="minorHAnsi"/>
        </w:rPr>
        <w:t xml:space="preserve">this ITQ </w:t>
      </w:r>
      <w:proofErr w:type="gramStart"/>
      <w:r w:rsidRPr="00A33CB8">
        <w:rPr>
          <w:rFonts w:cstheme="minorHAnsi"/>
        </w:rPr>
        <w:t>must be raised</w:t>
      </w:r>
      <w:proofErr w:type="gramEnd"/>
      <w:r w:rsidRPr="00A33CB8">
        <w:rPr>
          <w:rFonts w:cstheme="minorHAnsi"/>
        </w:rPr>
        <w:t xml:space="preserve"> within the timescales provided. </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Pr>
          <w:rFonts w:cstheme="minorHAnsi"/>
        </w:rPr>
        <w:t>Respondents</w:t>
      </w:r>
      <w:r w:rsidRPr="00A33CB8">
        <w:rPr>
          <w:rFonts w:cstheme="minorHAnsi"/>
        </w:rPr>
        <w:t xml:space="preserve"> are required to respond to requests for clarification as requested and no later than within 3 working</w:t>
      </w:r>
      <w:r>
        <w:rPr>
          <w:rFonts w:cstheme="minorHAnsi"/>
        </w:rPr>
        <w:t xml:space="preserve"> days. If in the opinion of GBC </w:t>
      </w:r>
      <w:r w:rsidRPr="00A33CB8">
        <w:rPr>
          <w:rFonts w:cstheme="minorHAnsi"/>
        </w:rPr>
        <w:t xml:space="preserve">the </w:t>
      </w:r>
      <w:r>
        <w:rPr>
          <w:rFonts w:cstheme="minorHAnsi"/>
        </w:rPr>
        <w:t>Respondent</w:t>
      </w:r>
      <w:r w:rsidRPr="00A33CB8">
        <w:rPr>
          <w:rFonts w:cstheme="minorHAnsi"/>
        </w:rPr>
        <w:t xml:space="preserve"> fails to provide an adequate response to one or more points of clarification, the </w:t>
      </w:r>
      <w:r>
        <w:rPr>
          <w:rFonts w:cstheme="minorHAnsi"/>
        </w:rPr>
        <w:t>Respondent</w:t>
      </w:r>
      <w:r w:rsidRPr="00A33CB8">
        <w:rPr>
          <w:rFonts w:cstheme="minorHAnsi"/>
        </w:rPr>
        <w:t xml:space="preserve"> </w:t>
      </w:r>
      <w:proofErr w:type="gramStart"/>
      <w:r w:rsidRPr="00A33CB8">
        <w:rPr>
          <w:rFonts w:cstheme="minorHAnsi"/>
        </w:rPr>
        <w:t>may be excluded</w:t>
      </w:r>
      <w:proofErr w:type="gramEnd"/>
      <w:r w:rsidRPr="00A33CB8">
        <w:rPr>
          <w:rFonts w:cstheme="minorHAnsi"/>
        </w:rPr>
        <w:t xml:space="preserve"> from progressing further in the process.</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Pr>
          <w:rFonts w:cstheme="minorHAnsi"/>
        </w:rPr>
        <w:t>GBC</w:t>
      </w:r>
      <w:r w:rsidRPr="00A33CB8">
        <w:rPr>
          <w:rFonts w:cstheme="minorHAnsi"/>
        </w:rPr>
        <w:t xml:space="preserve"> reserve the right to decline to make an award for the service requirements, or to abandon or cancel the </w:t>
      </w:r>
      <w:r>
        <w:rPr>
          <w:rFonts w:cstheme="minorHAnsi"/>
        </w:rPr>
        <w:t>ITQ</w:t>
      </w:r>
      <w:r w:rsidRPr="00A33CB8">
        <w:rPr>
          <w:rFonts w:cstheme="minorHAnsi"/>
        </w:rPr>
        <w:t xml:space="preserve"> process. </w:t>
      </w:r>
      <w:r>
        <w:rPr>
          <w:rFonts w:cstheme="minorHAnsi"/>
        </w:rPr>
        <w:t>GBC</w:t>
      </w:r>
      <w:r w:rsidRPr="00A33CB8">
        <w:rPr>
          <w:rFonts w:cstheme="minorHAnsi"/>
        </w:rPr>
        <w:t xml:space="preserve"> will not be responsible for any costs or expenses incurred </w:t>
      </w:r>
      <w:proofErr w:type="gramStart"/>
      <w:r w:rsidRPr="00A33CB8">
        <w:rPr>
          <w:rFonts w:cstheme="minorHAnsi"/>
        </w:rPr>
        <w:t>as a result</w:t>
      </w:r>
      <w:proofErr w:type="gramEnd"/>
      <w:r w:rsidRPr="00A33CB8">
        <w:rPr>
          <w:rFonts w:cstheme="minorHAnsi"/>
        </w:rPr>
        <w:t xml:space="preserve"> of following this course of action.</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sidRPr="00A33CB8">
        <w:rPr>
          <w:rFonts w:cstheme="minorHAnsi"/>
        </w:rPr>
        <w:t xml:space="preserve">Any costs incurred by the </w:t>
      </w:r>
      <w:r>
        <w:rPr>
          <w:rFonts w:cstheme="minorHAnsi"/>
        </w:rPr>
        <w:t>Respondent</w:t>
      </w:r>
      <w:r w:rsidRPr="00A33CB8">
        <w:rPr>
          <w:rFonts w:cstheme="minorHAnsi"/>
        </w:rPr>
        <w:t xml:space="preserve"> in responding to this </w:t>
      </w:r>
      <w:r>
        <w:rPr>
          <w:rFonts w:cstheme="minorHAnsi"/>
        </w:rPr>
        <w:t>ITQ</w:t>
      </w:r>
      <w:r w:rsidRPr="00A33CB8">
        <w:rPr>
          <w:rFonts w:cstheme="minorHAnsi"/>
        </w:rPr>
        <w:t xml:space="preserve"> or in support of activities associated with the response to this opportunity are to be borne by </w:t>
      </w:r>
      <w:r>
        <w:rPr>
          <w:rFonts w:cstheme="minorHAnsi"/>
        </w:rPr>
        <w:t>themselves and are not reimbursable by GBC</w:t>
      </w:r>
      <w:r w:rsidRPr="00A33CB8">
        <w:rPr>
          <w:rFonts w:cstheme="minorHAnsi"/>
        </w:rPr>
        <w:t>.</w:t>
      </w:r>
    </w:p>
    <w:p w:rsidR="005025EA" w:rsidRPr="003505D1" w:rsidRDefault="005025EA" w:rsidP="005025EA">
      <w:pPr>
        <w:pStyle w:val="NoSpacing"/>
        <w:rPr>
          <w:rFonts w:ascii="Arial" w:hAnsi="Arial" w:cs="Arial"/>
          <w:sz w:val="24"/>
          <w:szCs w:val="24"/>
        </w:rPr>
      </w:pPr>
    </w:p>
    <w:p w:rsidR="005025EA" w:rsidRPr="006941F7"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6.2</w:t>
      </w:r>
      <w:r>
        <w:rPr>
          <w:rFonts w:cs="Calibri"/>
          <w:color w:val="000000"/>
        </w:rPr>
        <w:tab/>
      </w:r>
      <w:r w:rsidRPr="006941F7">
        <w:rPr>
          <w:rFonts w:cs="Calibri"/>
          <w:b/>
          <w:bCs/>
          <w:color w:val="000000"/>
        </w:rPr>
        <w:t>Formalities</w:t>
      </w:r>
    </w:p>
    <w:p w:rsidR="005025EA" w:rsidRPr="006941F7" w:rsidRDefault="005025EA" w:rsidP="005025EA">
      <w:pPr>
        <w:widowControl w:val="0"/>
        <w:autoSpaceDE w:val="0"/>
        <w:autoSpaceDN w:val="0"/>
        <w:adjustRightInd w:val="0"/>
        <w:spacing w:after="0" w:line="240" w:lineRule="auto"/>
        <w:jc w:val="both"/>
        <w:rPr>
          <w:rFonts w:cs="Calibri"/>
          <w:color w:val="000000"/>
        </w:rPr>
      </w:pPr>
      <w:r>
        <w:rPr>
          <w:rFonts w:cs="Calibri"/>
          <w:color w:val="000000"/>
        </w:rPr>
        <w:t> </w:t>
      </w:r>
      <w:r w:rsidRPr="006941F7">
        <w:rPr>
          <w:rFonts w:cs="Calibri"/>
          <w:color w:val="000000"/>
        </w:rPr>
        <w:t>The following requirements must be adhered to when submitting Quotes</w:t>
      </w:r>
      <w:r>
        <w:rPr>
          <w:rFonts w:cs="Calibri"/>
          <w:color w:val="000000"/>
        </w:rPr>
        <w:t>:</w:t>
      </w:r>
    </w:p>
    <w:p w:rsidR="005025EA" w:rsidRPr="006941F7" w:rsidRDefault="005025EA" w:rsidP="005025EA">
      <w:pPr>
        <w:widowControl w:val="0"/>
        <w:numPr>
          <w:ilvl w:val="0"/>
          <w:numId w:val="3"/>
        </w:numPr>
        <w:autoSpaceDE w:val="0"/>
        <w:autoSpaceDN w:val="0"/>
        <w:adjustRightInd w:val="0"/>
        <w:spacing w:after="0" w:line="240" w:lineRule="auto"/>
        <w:ind w:left="480" w:hanging="360"/>
        <w:jc w:val="both"/>
        <w:rPr>
          <w:rFonts w:cs="Calibri"/>
          <w:color w:val="000000"/>
        </w:rPr>
      </w:pPr>
      <w:r w:rsidRPr="006941F7">
        <w:rPr>
          <w:rFonts w:cs="Calibri"/>
          <w:color w:val="000000"/>
        </w:rPr>
        <w:t>A detailed timeline and milestones for the completion of the work must be included</w:t>
      </w:r>
    </w:p>
    <w:p w:rsidR="005025EA" w:rsidRPr="006941F7" w:rsidRDefault="005025EA" w:rsidP="005025EA">
      <w:pPr>
        <w:widowControl w:val="0"/>
        <w:numPr>
          <w:ilvl w:val="0"/>
          <w:numId w:val="3"/>
        </w:numPr>
        <w:autoSpaceDE w:val="0"/>
        <w:autoSpaceDN w:val="0"/>
        <w:adjustRightInd w:val="0"/>
        <w:spacing w:after="0" w:line="240" w:lineRule="auto"/>
        <w:ind w:left="480" w:hanging="360"/>
        <w:jc w:val="both"/>
        <w:rPr>
          <w:rFonts w:cs="Calibri"/>
          <w:color w:val="000000"/>
        </w:rPr>
      </w:pPr>
      <w:r w:rsidRPr="006941F7">
        <w:rPr>
          <w:rFonts w:cs="Calibri"/>
          <w:color w:val="000000"/>
        </w:rPr>
        <w:t>A table of Consultants individual time to be spent on the project, day rate and overall cost must be provided</w:t>
      </w:r>
    </w:p>
    <w:p w:rsidR="005025EA" w:rsidRPr="006941F7" w:rsidRDefault="005025EA" w:rsidP="005025EA">
      <w:pPr>
        <w:widowControl w:val="0"/>
        <w:numPr>
          <w:ilvl w:val="0"/>
          <w:numId w:val="3"/>
        </w:numPr>
        <w:autoSpaceDE w:val="0"/>
        <w:autoSpaceDN w:val="0"/>
        <w:adjustRightInd w:val="0"/>
        <w:spacing w:after="0" w:line="240" w:lineRule="auto"/>
        <w:ind w:left="480" w:hanging="360"/>
        <w:jc w:val="both"/>
        <w:rPr>
          <w:rFonts w:cs="Calibri"/>
          <w:color w:val="000000"/>
        </w:rPr>
      </w:pPr>
      <w:r w:rsidRPr="006941F7">
        <w:rPr>
          <w:rFonts w:cs="Calibri"/>
          <w:color w:val="000000"/>
        </w:rPr>
        <w:t>The Quote must be in English and drafted in accordance with the drafting guidance set out in this ITQ.</w:t>
      </w:r>
    </w:p>
    <w:p w:rsidR="005025EA" w:rsidRPr="006941F7" w:rsidRDefault="005025EA" w:rsidP="005025EA">
      <w:pPr>
        <w:widowControl w:val="0"/>
        <w:numPr>
          <w:ilvl w:val="0"/>
          <w:numId w:val="4"/>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The Quote must </w:t>
      </w:r>
      <w:r>
        <w:rPr>
          <w:rFonts w:cs="Calibri"/>
          <w:color w:val="000000"/>
        </w:rPr>
        <w:t>only include what is requested in this ITQ and submitted using the ITQ response document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The Quote must be c</w:t>
      </w:r>
      <w:r>
        <w:rPr>
          <w:rFonts w:cs="Calibri"/>
          <w:color w:val="000000"/>
        </w:rPr>
        <w:t xml:space="preserve">lear, concise and complete. GBC </w:t>
      </w:r>
      <w:r w:rsidRPr="006941F7">
        <w:rPr>
          <w:rFonts w:cs="Calibri"/>
          <w:color w:val="000000"/>
        </w:rPr>
        <w:t xml:space="preserve">reserves the right to mark a Respondent down or exclude them from the procurement if its Quote contains any ambiguities, caveats or lacks clarity. Respondents should submit only such information as is necessary to respond effectively to this ITQ. Quotes will be evaluated </w:t>
      </w:r>
      <w:proofErr w:type="gramStart"/>
      <w:r w:rsidRPr="006941F7">
        <w:rPr>
          <w:rFonts w:cs="Calibri"/>
          <w:color w:val="000000"/>
        </w:rPr>
        <w:t>on the basis of</w:t>
      </w:r>
      <w:proofErr w:type="gramEnd"/>
      <w:r w:rsidRPr="006941F7">
        <w:rPr>
          <w:rFonts w:cs="Calibri"/>
          <w:color w:val="000000"/>
        </w:rPr>
        <w:t xml:space="preserve"> information submitted by the Deadline.</w:t>
      </w:r>
    </w:p>
    <w:p w:rsidR="005025EA" w:rsidRDefault="005025EA" w:rsidP="005025EA">
      <w:pPr>
        <w:widowControl w:val="0"/>
        <w:autoSpaceDE w:val="0"/>
        <w:autoSpaceDN w:val="0"/>
        <w:adjustRightInd w:val="0"/>
        <w:spacing w:after="0" w:line="240" w:lineRule="auto"/>
        <w:jc w:val="both"/>
        <w:rPr>
          <w:rFonts w:cs="Calibri"/>
          <w:color w:val="000000"/>
        </w:rPr>
      </w:pPr>
    </w:p>
    <w:p w:rsidR="005025EA"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The Respondent must download, complete and include a duly ex</w:t>
      </w:r>
      <w:r w:rsidR="000F2964">
        <w:rPr>
          <w:rFonts w:cs="Calibri"/>
          <w:color w:val="000000"/>
        </w:rPr>
        <w:t>ecuted Form of Quote (Schedule 2</w:t>
      </w:r>
      <w:r w:rsidRPr="006941F7">
        <w:rPr>
          <w:rFonts w:cs="Calibri"/>
          <w:color w:val="000000"/>
        </w:rPr>
        <w:t>)</w:t>
      </w:r>
    </w:p>
    <w:p w:rsidR="005025EA" w:rsidRDefault="005025EA" w:rsidP="005025EA">
      <w:pPr>
        <w:widowControl w:val="0"/>
        <w:autoSpaceDE w:val="0"/>
        <w:autoSpaceDN w:val="0"/>
        <w:adjustRightInd w:val="0"/>
        <w:spacing w:after="0" w:line="240" w:lineRule="auto"/>
        <w:jc w:val="both"/>
        <w:rPr>
          <w:rFonts w:cs="Calibri"/>
          <w:color w:val="000000"/>
        </w:rPr>
      </w:pP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Where the Respondent is a company, </w:t>
      </w:r>
      <w:proofErr w:type="gramStart"/>
      <w:r w:rsidRPr="006941F7">
        <w:rPr>
          <w:rFonts w:cs="Calibri"/>
          <w:color w:val="000000"/>
        </w:rPr>
        <w:t>the Quote must be signed by a duly authorised representative of that company</w:t>
      </w:r>
      <w:proofErr w:type="gramEnd"/>
      <w:r w:rsidRPr="006941F7">
        <w:rPr>
          <w:rFonts w:cs="Calibri"/>
          <w:color w:val="000000"/>
        </w:rPr>
        <w:t xml:space="preserve">. Where the Respondent is a consortium, the Quote </w:t>
      </w:r>
      <w:proofErr w:type="gramStart"/>
      <w:r w:rsidRPr="006941F7">
        <w:rPr>
          <w:rFonts w:cs="Calibri"/>
          <w:color w:val="000000"/>
        </w:rPr>
        <w:t>must be signed</w:t>
      </w:r>
      <w:proofErr w:type="gramEnd"/>
      <w:r w:rsidRPr="006941F7">
        <w:rPr>
          <w:rFonts w:cs="Calibri"/>
          <w:color w:val="000000"/>
        </w:rPr>
        <w:t xml:space="preserve">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Council to sign on behalf of the other partner(s). The names of all the partners </w:t>
      </w:r>
      <w:proofErr w:type="gramStart"/>
      <w:r w:rsidRPr="006941F7">
        <w:rPr>
          <w:rFonts w:cs="Calibri"/>
          <w:color w:val="000000"/>
        </w:rPr>
        <w:t>should be given</w:t>
      </w:r>
      <w:proofErr w:type="gramEnd"/>
      <w:r w:rsidRPr="006941F7">
        <w:rPr>
          <w:rFonts w:cs="Calibri"/>
          <w:color w:val="000000"/>
        </w:rPr>
        <w:t xml:space="preserve"> in full together with the trading name of the partnership. In the case of a sole trader, s/he should sign and give his/her name in full together with the name under which s/he is trading.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747541"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3</w:t>
      </w:r>
      <w:r>
        <w:rPr>
          <w:rFonts w:cs="Calibri"/>
          <w:color w:val="000000"/>
        </w:rPr>
        <w:tab/>
      </w:r>
      <w:r>
        <w:rPr>
          <w:rFonts w:cs="Calibri"/>
          <w:b/>
          <w:bCs/>
          <w:color w:val="000000"/>
        </w:rPr>
        <w:t>Warnings and disclaimers</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While the information contained in this ITQ </w:t>
      </w:r>
      <w:proofErr w:type="gramStart"/>
      <w:r w:rsidRPr="006941F7">
        <w:rPr>
          <w:rFonts w:cs="Calibri"/>
          <w:color w:val="000000"/>
        </w:rPr>
        <w:t>is believed</w:t>
      </w:r>
      <w:proofErr w:type="gramEnd"/>
      <w:r w:rsidRPr="006941F7">
        <w:rPr>
          <w:rFonts w:cs="Calibri"/>
          <w:color w:val="000000"/>
        </w:rPr>
        <w:t xml:space="preserve"> to be correct a</w:t>
      </w:r>
      <w:r>
        <w:rPr>
          <w:rFonts w:cs="Calibri"/>
          <w:color w:val="000000"/>
        </w:rPr>
        <w:t>t the time of issue, neither GBC</w:t>
      </w:r>
      <w:r w:rsidRPr="006941F7">
        <w:rPr>
          <w:rFonts w:cs="Calibri"/>
          <w:color w:val="000000"/>
        </w:rPr>
        <w:t xml:space="preserve">, its advisors, nor any other awarding authorities will accept any liability for its accuracy, adequacy or completeness, nor will any express or implied warranty be given. This exclusion extends to liability in </w:t>
      </w:r>
      <w:r w:rsidRPr="006941F7">
        <w:rPr>
          <w:rFonts w:cs="Calibri"/>
          <w:color w:val="000000"/>
        </w:rPr>
        <w:lastRenderedPageBreak/>
        <w:t>relation to any statement, opinion or conclusion contained in or any omission from, this ITQ (including its appendices) and in respect of any other written or oral communication transmitted (or otherwise made available) to any Respondents. This exclusion does not extend to any fraudulent misrepresentation made by or on behalf of the Council.</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If a Respondent proposes to enter into a Contract with the Council, it must rely on its own enquiries and on the terms and conditions set out in the Contract(s) (as and when finally executed), subject to the limitations and restrictions specified in it.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proofErr w:type="gramStart"/>
      <w:r w:rsidRPr="006941F7">
        <w:rPr>
          <w:rFonts w:cs="Calibri"/>
          <w:color w:val="000000"/>
        </w:rPr>
        <w:t>Neither the issue</w:t>
      </w:r>
      <w:proofErr w:type="gramEnd"/>
      <w:r w:rsidRPr="006941F7">
        <w:rPr>
          <w:rFonts w:cs="Calibri"/>
          <w:color w:val="000000"/>
        </w:rPr>
        <w:t xml:space="preserve"> of this ITQ, nor any of the information presented in it, should be regarded as a commitment or representation on the part of the Council (or any other person) to enter into a contractual arrangement.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bookmarkStart w:id="1" w:name="co_anchor_a400850_1"/>
      <w:bookmarkEnd w:id="1"/>
    </w:p>
    <w:p w:rsidR="005025EA" w:rsidRPr="006941F7" w:rsidRDefault="005025EA" w:rsidP="005025EA">
      <w:pPr>
        <w:widowControl w:val="0"/>
        <w:autoSpaceDE w:val="0"/>
        <w:autoSpaceDN w:val="0"/>
        <w:adjustRightInd w:val="0"/>
        <w:spacing w:after="0" w:line="240" w:lineRule="auto"/>
        <w:jc w:val="both"/>
        <w:rPr>
          <w:rFonts w:cs="Calibri"/>
          <w:color w:val="000000"/>
        </w:rPr>
      </w:pPr>
      <w:r>
        <w:rPr>
          <w:rFonts w:cs="Calibri"/>
          <w:b/>
          <w:bCs/>
          <w:color w:val="000000"/>
        </w:rPr>
        <w:t>6</w:t>
      </w:r>
      <w:r w:rsidRPr="006941F7">
        <w:rPr>
          <w:rFonts w:cs="Calibri"/>
          <w:b/>
          <w:bCs/>
          <w:color w:val="000000"/>
        </w:rPr>
        <w:t>.</w:t>
      </w:r>
      <w:r>
        <w:rPr>
          <w:rFonts w:cs="Calibri"/>
          <w:b/>
          <w:bCs/>
          <w:color w:val="000000"/>
        </w:rPr>
        <w:t>4</w:t>
      </w:r>
      <w:r>
        <w:rPr>
          <w:rFonts w:cs="Calibri"/>
          <w:b/>
          <w:bCs/>
          <w:color w:val="000000"/>
        </w:rPr>
        <w:tab/>
      </w:r>
      <w:r w:rsidRPr="006941F7">
        <w:rPr>
          <w:rFonts w:cs="Calibri"/>
          <w:b/>
          <w:color w:val="000000"/>
        </w:rPr>
        <w:t>Confidentiality</w:t>
      </w:r>
      <w:r w:rsidRPr="006941F7">
        <w:rPr>
          <w:rFonts w:cs="Calibri"/>
          <w:b/>
          <w:bCs/>
          <w:color w:val="000000"/>
        </w:rPr>
        <w:t xml:space="preserve"> and Freedom of Information</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This ITQ is made available on condition that its contents (including the fact that the Respondent has received this ITQ) is kept confidential by the Respondent and is not copied, reproduced, distributed or passed to any other person at any time, except for the purpose of enabling the Respondent to submit a Quote.</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As a public body, </w:t>
      </w:r>
      <w:r>
        <w:rPr>
          <w:rFonts w:cs="Calibri"/>
          <w:color w:val="000000"/>
        </w:rPr>
        <w:t>GBC</w:t>
      </w:r>
      <w:r w:rsidRPr="006941F7">
        <w:rPr>
          <w:rFonts w:cs="Calibri"/>
          <w:color w:val="000000"/>
        </w:rPr>
        <w:t xml:space="preserve"> is subject to the provisions of the Freedom of Information Act 2000 (FOIA) in respect of information it holds (including third-party information). Any member of the public or other interested party may make a request for information.</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Respondents should be aware that, in compliance with its transparency obligations, the Council routinely publishes details of its contract(s), including the contract values and the identities of its suppliers on its website without consulting the provider of that information.</w:t>
      </w:r>
    </w:p>
    <w:p w:rsidR="005025EA"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Default="005025EA" w:rsidP="005025EA">
      <w:pPr>
        <w:widowControl w:val="0"/>
        <w:autoSpaceDE w:val="0"/>
        <w:autoSpaceDN w:val="0"/>
        <w:adjustRightInd w:val="0"/>
        <w:spacing w:after="0" w:line="240" w:lineRule="auto"/>
        <w:jc w:val="both"/>
        <w:rPr>
          <w:rFonts w:cs="Calibri"/>
          <w:color w:val="000000"/>
        </w:rPr>
      </w:pPr>
    </w:p>
    <w:p w:rsidR="005025EA" w:rsidRDefault="005025EA" w:rsidP="005025EA">
      <w:pPr>
        <w:widowControl w:val="0"/>
        <w:autoSpaceDE w:val="0"/>
        <w:autoSpaceDN w:val="0"/>
        <w:adjustRightInd w:val="0"/>
        <w:spacing w:after="0" w:line="240" w:lineRule="auto"/>
        <w:jc w:val="both"/>
        <w:rPr>
          <w:rFonts w:cs="Calibri"/>
          <w:color w:val="000000"/>
        </w:rPr>
      </w:pPr>
    </w:p>
    <w:p w:rsidR="005025EA" w:rsidRPr="006941F7" w:rsidRDefault="005025EA" w:rsidP="005025EA">
      <w:pPr>
        <w:widowControl w:val="0"/>
        <w:autoSpaceDE w:val="0"/>
        <w:autoSpaceDN w:val="0"/>
        <w:adjustRightInd w:val="0"/>
        <w:spacing w:after="0" w:line="240" w:lineRule="auto"/>
        <w:jc w:val="both"/>
        <w:rPr>
          <w:rFonts w:cs="Calibri"/>
          <w:color w:val="000000"/>
        </w:rPr>
      </w:pPr>
      <w:r>
        <w:rPr>
          <w:rFonts w:cs="Calibri"/>
          <w:color w:val="000000"/>
        </w:rPr>
        <w:t>GBC</w:t>
      </w:r>
      <w:r w:rsidRPr="006941F7">
        <w:rPr>
          <w:rFonts w:cs="Calibri"/>
          <w:color w:val="000000"/>
        </w:rPr>
        <w:t xml:space="preserve">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w:t>
      </w:r>
      <w:proofErr w:type="gramStart"/>
      <w:r w:rsidRPr="006941F7">
        <w:rPr>
          <w:rFonts w:cs="Calibri"/>
          <w:color w:val="000000"/>
        </w:rPr>
        <w:t>example</w:t>
      </w:r>
      <w:proofErr w:type="gramEnd"/>
      <w:r w:rsidRPr="006941F7">
        <w:rPr>
          <w:rFonts w:cs="Calibri"/>
          <w:color w:val="000000"/>
        </w:rPr>
        <w:t xml:space="preserve"> where disclosure would be prejudicial to a party’s commercial intere</w:t>
      </w:r>
      <w:r>
        <w:rPr>
          <w:rFonts w:cs="Calibri"/>
          <w:color w:val="000000"/>
        </w:rPr>
        <w:t xml:space="preserve">sts, and in accordance with GBC’s </w:t>
      </w:r>
      <w:r w:rsidRPr="006941F7">
        <w:rPr>
          <w:rFonts w:cs="Calibri"/>
          <w:color w:val="000000"/>
        </w:rPr>
        <w:t>transparency obligations.</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Therefore, Respondents are responsible for ensuring that any confidential or commercially sensitive information, the disclosure of which would be likely to diminish the Respondents competitive edge, </w:t>
      </w:r>
      <w:proofErr w:type="gramStart"/>
      <w:r w:rsidRPr="006941F7">
        <w:rPr>
          <w:rFonts w:cs="Calibri"/>
          <w:color w:val="000000"/>
        </w:rPr>
        <w:t>has been clearly identified</w:t>
      </w:r>
      <w:proofErr w:type="gramEnd"/>
      <w:r w:rsidRPr="006941F7">
        <w:rPr>
          <w:rFonts w:cs="Calibri"/>
          <w:color w:val="000000"/>
        </w:rPr>
        <w:t xml:space="preserve"> to </w:t>
      </w:r>
      <w:r>
        <w:rPr>
          <w:rFonts w:cs="Calibri"/>
          <w:color w:val="000000"/>
        </w:rPr>
        <w:t>GBC</w:t>
      </w:r>
      <w:r w:rsidRPr="006941F7">
        <w:rPr>
          <w:rFonts w:cs="Calibri"/>
          <w:color w:val="000000"/>
        </w:rPr>
        <w:t xml:space="preserve"> in the template provided at Schedule </w:t>
      </w:r>
      <w:r>
        <w:rPr>
          <w:rFonts w:cs="Calibri"/>
          <w:color w:val="000000"/>
        </w:rPr>
        <w:t>1</w:t>
      </w:r>
      <w:r w:rsidRPr="006941F7">
        <w:rPr>
          <w:rFonts w:cs="Calibri"/>
          <w:color w:val="000000"/>
        </w:rPr>
        <w:t xml:space="preserve">.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747541"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5</w:t>
      </w:r>
      <w:r>
        <w:rPr>
          <w:rFonts w:cs="Calibri"/>
          <w:color w:val="000000"/>
        </w:rPr>
        <w:tab/>
      </w:r>
      <w:r>
        <w:rPr>
          <w:rFonts w:cs="Calibri"/>
          <w:b/>
          <w:bCs/>
          <w:color w:val="000000"/>
        </w:rPr>
        <w:t>Publicity</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C25E54">
        <w:rPr>
          <w:rFonts w:cs="Calibri"/>
          <w:color w:val="000000"/>
        </w:rPr>
        <w:t>N</w:t>
      </w:r>
      <w:r w:rsidRPr="006941F7">
        <w:rPr>
          <w:rFonts w:cs="Calibri"/>
          <w:color w:val="000000"/>
        </w:rPr>
        <w:t xml:space="preserve">o publicity regarding the Services or the award of any Contract </w:t>
      </w:r>
      <w:proofErr w:type="gramStart"/>
      <w:r w:rsidRPr="006941F7">
        <w:rPr>
          <w:rFonts w:cs="Calibri"/>
          <w:color w:val="000000"/>
        </w:rPr>
        <w:t>will be</w:t>
      </w:r>
      <w:r>
        <w:rPr>
          <w:rFonts w:cs="Calibri"/>
          <w:color w:val="000000"/>
        </w:rPr>
        <w:t xml:space="preserve"> permitted</w:t>
      </w:r>
      <w:proofErr w:type="gramEnd"/>
      <w:r>
        <w:rPr>
          <w:rFonts w:cs="Calibri"/>
          <w:color w:val="000000"/>
        </w:rPr>
        <w:t xml:space="preserve"> unless and until GBC </w:t>
      </w:r>
      <w:r w:rsidRPr="006941F7">
        <w:rPr>
          <w:rFonts w:cs="Calibri"/>
          <w:color w:val="000000"/>
        </w:rPr>
        <w:t xml:space="preserve">has given express written consent to the relevant communication. For example, no statements </w:t>
      </w:r>
      <w:proofErr w:type="gramStart"/>
      <w:r w:rsidRPr="006941F7">
        <w:rPr>
          <w:rFonts w:cs="Calibri"/>
          <w:color w:val="000000"/>
        </w:rPr>
        <w:t>may be made</w:t>
      </w:r>
      <w:proofErr w:type="gramEnd"/>
      <w:r w:rsidRPr="006941F7">
        <w:rPr>
          <w:rFonts w:cs="Calibri"/>
          <w:color w:val="000000"/>
        </w:rPr>
        <w:t xml:space="preserve"> to the media regarding the nature of any Quote, its contents or any proposals relating to it without </w:t>
      </w:r>
      <w:r>
        <w:rPr>
          <w:rFonts w:cs="Calibri"/>
          <w:color w:val="000000"/>
        </w:rPr>
        <w:t>the prior written consent of GBC</w:t>
      </w:r>
      <w:r w:rsidRPr="006941F7">
        <w:rPr>
          <w:rFonts w:cs="Calibri"/>
          <w:color w:val="000000"/>
        </w:rPr>
        <w: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747541"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6</w:t>
      </w:r>
      <w:r>
        <w:rPr>
          <w:rFonts w:cs="Calibri"/>
          <w:color w:val="000000"/>
        </w:rPr>
        <w:tab/>
      </w:r>
      <w:r w:rsidRPr="006941F7">
        <w:rPr>
          <w:rFonts w:cs="Calibri"/>
          <w:b/>
          <w:color w:val="000000"/>
        </w:rPr>
        <w:t>Respondent</w:t>
      </w:r>
      <w:r w:rsidRPr="006941F7">
        <w:rPr>
          <w:rFonts w:cs="Calibri"/>
          <w:b/>
          <w:bCs/>
          <w:color w:val="000000"/>
        </w:rPr>
        <w:t xml:space="preserve"> co</w:t>
      </w:r>
      <w:r>
        <w:rPr>
          <w:rFonts w:cs="Calibri"/>
          <w:b/>
          <w:bCs/>
          <w:color w:val="000000"/>
        </w:rPr>
        <w:t>nduct and conflicts of interest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Any attempt by Respondents or their advisors to influence the contract award process in any way may result in the Respondent </w:t>
      </w:r>
      <w:proofErr w:type="gramStart"/>
      <w:r w:rsidRPr="006941F7">
        <w:rPr>
          <w:rFonts w:cs="Calibri"/>
          <w:color w:val="000000"/>
        </w:rPr>
        <w:t>being disqualified</w:t>
      </w:r>
      <w:proofErr w:type="gramEnd"/>
      <w:r w:rsidRPr="006941F7">
        <w:rPr>
          <w:rFonts w:cs="Calibri"/>
          <w:color w:val="000000"/>
        </w:rPr>
        <w:t>. Specifically, Respondents shall not directly or indirectly at any</w:t>
      </w:r>
      <w:r>
        <w:rPr>
          <w:rFonts w:cs="Calibri"/>
          <w:color w:val="000000"/>
        </w:rPr>
        <w:t xml:space="preserve"> time:</w:t>
      </w:r>
    </w:p>
    <w:p w:rsidR="005025EA" w:rsidRPr="006941F7" w:rsidRDefault="005025EA" w:rsidP="005025EA">
      <w:pPr>
        <w:widowControl w:val="0"/>
        <w:numPr>
          <w:ilvl w:val="0"/>
          <w:numId w:val="5"/>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Devise or amend the content of their Quote in accordance with any agreement or arrangement with any other person, other than in good faith with a person who is a proposed partner, </w:t>
      </w:r>
      <w:r w:rsidRPr="006941F7">
        <w:rPr>
          <w:rFonts w:cs="Calibri"/>
          <w:color w:val="000000"/>
        </w:rPr>
        <w:lastRenderedPageBreak/>
        <w:t>supplier, or provider of finance.</w:t>
      </w:r>
    </w:p>
    <w:p w:rsidR="005025EA" w:rsidRPr="006941F7" w:rsidRDefault="005025EA" w:rsidP="005025EA">
      <w:pPr>
        <w:widowControl w:val="0"/>
        <w:numPr>
          <w:ilvl w:val="0"/>
          <w:numId w:val="6"/>
        </w:numPr>
        <w:autoSpaceDE w:val="0"/>
        <w:autoSpaceDN w:val="0"/>
        <w:adjustRightInd w:val="0"/>
        <w:spacing w:after="0" w:line="240" w:lineRule="auto"/>
        <w:ind w:left="480" w:hanging="360"/>
        <w:jc w:val="both"/>
        <w:rPr>
          <w:rFonts w:cs="Calibri"/>
          <w:color w:val="000000"/>
        </w:rPr>
      </w:pPr>
      <w:r w:rsidRPr="006941F7">
        <w:rPr>
          <w:rFonts w:cs="Calibri"/>
          <w:color w:val="000000"/>
        </w:rPr>
        <w:t>Enter into any agreement or arrangement with any other person as to the form or content of any other Quote, or offer to pay any sum of money or valuable consideration to any person to effect changes to the form or content of any other Quote.</w:t>
      </w:r>
    </w:p>
    <w:p w:rsidR="005025EA" w:rsidRPr="006941F7" w:rsidRDefault="005025EA" w:rsidP="005025EA">
      <w:pPr>
        <w:widowControl w:val="0"/>
        <w:numPr>
          <w:ilvl w:val="0"/>
          <w:numId w:val="7"/>
        </w:numPr>
        <w:autoSpaceDE w:val="0"/>
        <w:autoSpaceDN w:val="0"/>
        <w:adjustRightInd w:val="0"/>
        <w:spacing w:after="0" w:line="240" w:lineRule="auto"/>
        <w:ind w:left="480" w:hanging="360"/>
        <w:jc w:val="both"/>
        <w:rPr>
          <w:rFonts w:cs="Calibri"/>
          <w:color w:val="000000"/>
        </w:rPr>
      </w:pPr>
      <w:r w:rsidRPr="006941F7">
        <w:rPr>
          <w:rFonts w:cs="Calibri"/>
          <w:color w:val="000000"/>
        </w:rPr>
        <w:t>Enter into any agreement or arrangement with any other person that has the effect of prohibiting or excluding that person from submitting a Quote.</w:t>
      </w:r>
    </w:p>
    <w:p w:rsidR="005025EA" w:rsidRPr="006941F7" w:rsidRDefault="005025EA" w:rsidP="005025EA">
      <w:pPr>
        <w:widowControl w:val="0"/>
        <w:numPr>
          <w:ilvl w:val="0"/>
          <w:numId w:val="8"/>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Canvass </w:t>
      </w:r>
      <w:r>
        <w:rPr>
          <w:rFonts w:cs="Calibri"/>
          <w:color w:val="000000"/>
        </w:rPr>
        <w:t>GBC</w:t>
      </w:r>
      <w:r w:rsidRPr="006941F7">
        <w:rPr>
          <w:rFonts w:cs="Calibri"/>
          <w:color w:val="000000"/>
        </w:rPr>
        <w:t xml:space="preserve"> or any employees or agents of the Council in relation to this procurement.</w:t>
      </w:r>
    </w:p>
    <w:p w:rsidR="005025EA" w:rsidRPr="006941F7" w:rsidRDefault="005025EA" w:rsidP="005025EA">
      <w:pPr>
        <w:widowControl w:val="0"/>
        <w:numPr>
          <w:ilvl w:val="0"/>
          <w:numId w:val="9"/>
        </w:numPr>
        <w:autoSpaceDE w:val="0"/>
        <w:autoSpaceDN w:val="0"/>
        <w:adjustRightInd w:val="0"/>
        <w:spacing w:after="0" w:line="240" w:lineRule="auto"/>
        <w:ind w:left="480" w:hanging="360"/>
        <w:jc w:val="both"/>
        <w:rPr>
          <w:rFonts w:cs="Calibri"/>
          <w:color w:val="000000"/>
        </w:rPr>
      </w:pPr>
      <w:r w:rsidRPr="006941F7">
        <w:rPr>
          <w:rFonts w:cs="Calibri"/>
          <w:color w:val="000000"/>
        </w:rPr>
        <w:t>Attempt to obtain information from any of the employees or agents of the Council or their advisors concerning another Respondent or Quote.</w:t>
      </w:r>
    </w:p>
    <w:p w:rsidR="005025EA" w:rsidRPr="006941F7" w:rsidRDefault="005025EA" w:rsidP="005025EA">
      <w:pPr>
        <w:widowControl w:val="0"/>
        <w:autoSpaceDE w:val="0"/>
        <w:autoSpaceDN w:val="0"/>
        <w:adjustRightInd w:val="0"/>
        <w:spacing w:before="200" w:after="0" w:line="240" w:lineRule="auto"/>
        <w:jc w:val="both"/>
        <w:rPr>
          <w:rFonts w:cs="Calibri"/>
          <w:color w:val="000000"/>
        </w:rPr>
      </w:pPr>
      <w:r w:rsidRPr="006941F7">
        <w:rPr>
          <w:rFonts w:cs="Calibri"/>
          <w:color w:val="000000"/>
        </w:rPr>
        <w:t xml:space="preserve">Respondents are responsible for ensuring that no conflicts of interest exist between the Respondent and its advisers, and </w:t>
      </w:r>
      <w:r>
        <w:rPr>
          <w:rFonts w:cs="Calibri"/>
          <w:color w:val="000000"/>
        </w:rPr>
        <w:t>GBC</w:t>
      </w:r>
      <w:r w:rsidRPr="006941F7">
        <w:rPr>
          <w:rFonts w:cs="Calibri"/>
          <w:color w:val="000000"/>
        </w:rPr>
        <w:t xml:space="preserve"> and its advisors. Any Respondent who fails to comply with this requirement </w:t>
      </w:r>
      <w:proofErr w:type="gramStart"/>
      <w:r w:rsidRPr="006941F7">
        <w:rPr>
          <w:rFonts w:cs="Calibri"/>
          <w:color w:val="000000"/>
        </w:rPr>
        <w:t>may be disqualified</w:t>
      </w:r>
      <w:proofErr w:type="gramEnd"/>
      <w:r w:rsidRPr="006941F7">
        <w:rPr>
          <w:rFonts w:cs="Calibri"/>
          <w:color w:val="000000"/>
        </w:rPr>
        <w:t xml:space="preserve"> from the procurement at the discretion of </w:t>
      </w:r>
      <w:r>
        <w:rPr>
          <w:rFonts w:cs="Calibri"/>
          <w:color w:val="000000"/>
        </w:rPr>
        <w:t>GBC</w:t>
      </w:r>
      <w:r w:rsidRPr="006941F7">
        <w:rPr>
          <w:rFonts w:cs="Calibri"/>
          <w:color w:val="000000"/>
        </w:rPr>
        <w:t>.</w:t>
      </w:r>
    </w:p>
    <w:p w:rsidR="005025EA" w:rsidRDefault="005025EA" w:rsidP="005025EA">
      <w:pPr>
        <w:widowControl w:val="0"/>
        <w:autoSpaceDE w:val="0"/>
        <w:autoSpaceDN w:val="0"/>
        <w:adjustRightInd w:val="0"/>
        <w:spacing w:after="0" w:line="240" w:lineRule="auto"/>
        <w:jc w:val="both"/>
        <w:rPr>
          <w:rFonts w:cs="Calibri"/>
          <w:b/>
          <w:bCs/>
          <w:color w:val="000000"/>
        </w:rPr>
      </w:pPr>
    </w:p>
    <w:p w:rsidR="005025EA" w:rsidRPr="00EB13F7"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7</w:t>
      </w:r>
      <w:r>
        <w:rPr>
          <w:rFonts w:cs="Calibri"/>
          <w:color w:val="000000"/>
        </w:rPr>
        <w:tab/>
      </w:r>
      <w:r w:rsidRPr="006941F7">
        <w:rPr>
          <w:rFonts w:cs="Calibri"/>
          <w:b/>
          <w:bCs/>
          <w:color w:val="000000"/>
        </w:rPr>
        <w:t>Council’s rights</w:t>
      </w:r>
    </w:p>
    <w:p w:rsidR="005025EA" w:rsidRPr="006941F7" w:rsidRDefault="005025EA" w:rsidP="005025EA">
      <w:pPr>
        <w:widowControl w:val="0"/>
        <w:autoSpaceDE w:val="0"/>
        <w:autoSpaceDN w:val="0"/>
        <w:adjustRightInd w:val="0"/>
        <w:spacing w:after="0" w:line="240" w:lineRule="auto"/>
        <w:jc w:val="both"/>
        <w:rPr>
          <w:rFonts w:cs="Calibri"/>
          <w:color w:val="000000"/>
        </w:rPr>
      </w:pPr>
      <w:r>
        <w:rPr>
          <w:rFonts w:cs="Calibri"/>
          <w:color w:val="000000"/>
        </w:rPr>
        <w:t xml:space="preserve">GBC reserves the right </w:t>
      </w:r>
      <w:proofErr w:type="gramStart"/>
      <w:r>
        <w:rPr>
          <w:rFonts w:cs="Calibri"/>
          <w:color w:val="000000"/>
        </w:rPr>
        <w:t>to</w:t>
      </w:r>
      <w:proofErr w:type="gramEnd"/>
      <w:r>
        <w:rPr>
          <w:rFonts w:cs="Calibri"/>
          <w:color w:val="000000"/>
        </w:rPr>
        <w:t>:</w:t>
      </w:r>
    </w:p>
    <w:p w:rsidR="005025EA" w:rsidRPr="006941F7" w:rsidRDefault="005025EA" w:rsidP="005025EA">
      <w:pPr>
        <w:widowControl w:val="0"/>
        <w:numPr>
          <w:ilvl w:val="0"/>
          <w:numId w:val="10"/>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Waive or change the requirements of this ITQ from time to time without prior (or any) notice </w:t>
      </w:r>
      <w:proofErr w:type="gramStart"/>
      <w:r w:rsidRPr="006941F7">
        <w:rPr>
          <w:rFonts w:cs="Calibri"/>
          <w:color w:val="000000"/>
        </w:rPr>
        <w:t>being given</w:t>
      </w:r>
      <w:proofErr w:type="gramEnd"/>
      <w:r w:rsidRPr="006941F7">
        <w:rPr>
          <w:rFonts w:cs="Calibri"/>
          <w:color w:val="000000"/>
        </w:rPr>
        <w:t xml:space="preserve"> by </w:t>
      </w:r>
      <w:r>
        <w:rPr>
          <w:rFonts w:cs="Calibri"/>
          <w:color w:val="000000"/>
        </w:rPr>
        <w:t>GBC</w:t>
      </w:r>
      <w:r w:rsidRPr="006941F7">
        <w:rPr>
          <w:rFonts w:cs="Calibri"/>
          <w:color w:val="000000"/>
        </w:rPr>
        <w:t>.</w:t>
      </w:r>
    </w:p>
    <w:p w:rsidR="005025EA" w:rsidRPr="006941F7" w:rsidRDefault="005025EA" w:rsidP="005025EA">
      <w:pPr>
        <w:widowControl w:val="0"/>
        <w:numPr>
          <w:ilvl w:val="0"/>
          <w:numId w:val="11"/>
        </w:numPr>
        <w:autoSpaceDE w:val="0"/>
        <w:autoSpaceDN w:val="0"/>
        <w:adjustRightInd w:val="0"/>
        <w:spacing w:after="0" w:line="240" w:lineRule="auto"/>
        <w:ind w:left="480" w:hanging="360"/>
        <w:jc w:val="both"/>
        <w:rPr>
          <w:rFonts w:cs="Calibri"/>
          <w:color w:val="000000"/>
        </w:rPr>
      </w:pPr>
      <w:r w:rsidRPr="006941F7">
        <w:rPr>
          <w:rFonts w:cs="Calibri"/>
          <w:color w:val="000000"/>
        </w:rPr>
        <w:t>Seek clarification or documents in respect of a Respondent’s submission.</w:t>
      </w:r>
    </w:p>
    <w:p w:rsidR="005025EA" w:rsidRPr="006941F7" w:rsidRDefault="005025EA" w:rsidP="005025EA">
      <w:pPr>
        <w:widowControl w:val="0"/>
        <w:numPr>
          <w:ilvl w:val="0"/>
          <w:numId w:val="12"/>
        </w:numPr>
        <w:autoSpaceDE w:val="0"/>
        <w:autoSpaceDN w:val="0"/>
        <w:adjustRightInd w:val="0"/>
        <w:spacing w:after="0" w:line="240" w:lineRule="auto"/>
        <w:ind w:left="480" w:hanging="360"/>
        <w:jc w:val="both"/>
        <w:rPr>
          <w:rFonts w:cs="Calibri"/>
          <w:color w:val="000000"/>
        </w:rPr>
      </w:pPr>
      <w:r w:rsidRPr="006941F7">
        <w:rPr>
          <w:rFonts w:cs="Calibri"/>
          <w:color w:val="000000"/>
        </w:rPr>
        <w:t>Disqualify any Respondent that does not submit a compliant Quote in accordance with the instructions in this ITQ.</w:t>
      </w:r>
    </w:p>
    <w:p w:rsidR="005025EA" w:rsidRPr="006941F7" w:rsidRDefault="005025EA" w:rsidP="005025EA">
      <w:pPr>
        <w:widowControl w:val="0"/>
        <w:numPr>
          <w:ilvl w:val="0"/>
          <w:numId w:val="13"/>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Disqualify any Respondent that is guilty of serious misrepresentation in relation to its Quote, expression of interest, or the Invitation to </w:t>
      </w:r>
      <w:proofErr w:type="gramStart"/>
      <w:r w:rsidRPr="006941F7">
        <w:rPr>
          <w:rFonts w:cs="Calibri"/>
          <w:color w:val="000000"/>
        </w:rPr>
        <w:t>Quote</w:t>
      </w:r>
      <w:proofErr w:type="gramEnd"/>
      <w:r w:rsidRPr="006941F7">
        <w:rPr>
          <w:rFonts w:cs="Calibri"/>
          <w:color w:val="000000"/>
        </w:rPr>
        <w:t xml:space="preserve"> process.</w:t>
      </w:r>
    </w:p>
    <w:p w:rsidR="005025EA" w:rsidRPr="006941F7" w:rsidRDefault="005025EA" w:rsidP="005025EA">
      <w:pPr>
        <w:widowControl w:val="0"/>
        <w:numPr>
          <w:ilvl w:val="0"/>
          <w:numId w:val="14"/>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Withdraw this ITQ </w:t>
      </w:r>
      <w:proofErr w:type="gramStart"/>
      <w:r w:rsidRPr="006941F7">
        <w:rPr>
          <w:rFonts w:cs="Calibri"/>
          <w:color w:val="000000"/>
        </w:rPr>
        <w:t>at any time, or to re-invite Quotations on the same or any alternative basis</w:t>
      </w:r>
      <w:proofErr w:type="gramEnd"/>
      <w:r w:rsidRPr="006941F7">
        <w:rPr>
          <w:rFonts w:cs="Calibri"/>
          <w:color w:val="000000"/>
        </w:rPr>
        <w:t>.</w:t>
      </w:r>
    </w:p>
    <w:p w:rsidR="005025EA" w:rsidRPr="006941F7" w:rsidRDefault="005025EA" w:rsidP="005025EA">
      <w:pPr>
        <w:widowControl w:val="0"/>
        <w:numPr>
          <w:ilvl w:val="0"/>
          <w:numId w:val="15"/>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Choose not to award any Contract </w:t>
      </w:r>
      <w:proofErr w:type="gramStart"/>
      <w:r w:rsidRPr="006941F7">
        <w:rPr>
          <w:rFonts w:cs="Calibri"/>
          <w:color w:val="000000"/>
        </w:rPr>
        <w:t>as a result</w:t>
      </w:r>
      <w:proofErr w:type="gramEnd"/>
      <w:r w:rsidRPr="006941F7">
        <w:rPr>
          <w:rFonts w:cs="Calibri"/>
          <w:color w:val="000000"/>
        </w:rPr>
        <w:t xml:space="preserve"> of the current procurement process.</w:t>
      </w:r>
    </w:p>
    <w:p w:rsidR="005025EA" w:rsidRPr="006941F7" w:rsidRDefault="005025EA" w:rsidP="005025EA">
      <w:pPr>
        <w:widowControl w:val="0"/>
        <w:autoSpaceDE w:val="0"/>
        <w:autoSpaceDN w:val="0"/>
        <w:adjustRightInd w:val="0"/>
        <w:spacing w:after="0" w:line="240" w:lineRule="auto"/>
        <w:ind w:left="480"/>
        <w:jc w:val="both"/>
        <w:rPr>
          <w:rFonts w:cs="Calibri"/>
          <w:color w:val="000000"/>
        </w:rPr>
      </w:pPr>
      <w:r w:rsidRPr="006941F7">
        <w:rPr>
          <w:rFonts w:cs="Calibri"/>
          <w:color w:val="000000"/>
        </w:rPr>
        <w:t>Make whatever changes it sees fit to the Timetable, structure or content of the procurement process, depending on approvals processes or for any other reason</w:t>
      </w:r>
    </w:p>
    <w:p w:rsidR="005025EA" w:rsidRPr="00747541" w:rsidRDefault="005025EA" w:rsidP="005025EA">
      <w:pPr>
        <w:widowControl w:val="0"/>
        <w:autoSpaceDE w:val="0"/>
        <w:autoSpaceDN w:val="0"/>
        <w:adjustRightInd w:val="0"/>
        <w:spacing w:before="200"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8</w:t>
      </w:r>
      <w:r>
        <w:rPr>
          <w:rFonts w:cs="Calibri"/>
          <w:color w:val="000000"/>
        </w:rPr>
        <w:tab/>
      </w:r>
      <w:r>
        <w:rPr>
          <w:rFonts w:cs="Calibri"/>
          <w:b/>
          <w:bCs/>
          <w:color w:val="000000"/>
        </w:rPr>
        <w:t>Bid costs</w:t>
      </w:r>
    </w:p>
    <w:p w:rsidR="005025EA" w:rsidRDefault="005025EA" w:rsidP="005025EA">
      <w:pPr>
        <w:widowControl w:val="0"/>
        <w:autoSpaceDE w:val="0"/>
        <w:autoSpaceDN w:val="0"/>
        <w:adjustRightInd w:val="0"/>
        <w:spacing w:after="0" w:line="240" w:lineRule="auto"/>
        <w:jc w:val="both"/>
        <w:rPr>
          <w:rFonts w:cs="Calibri"/>
          <w:color w:val="000000"/>
        </w:rPr>
      </w:pPr>
      <w:r>
        <w:rPr>
          <w:rFonts w:cs="Calibri"/>
          <w:color w:val="000000"/>
        </w:rPr>
        <w:t>GBC</w:t>
      </w:r>
      <w:r w:rsidRPr="006941F7">
        <w:rPr>
          <w:rFonts w:cs="Calibri"/>
          <w:color w:val="000000"/>
        </w:rPr>
        <w:t xml:space="preserve"> will not be liable for any bid costs, expenditure, work or effort incurred by a Respondent in proceeding with or participating in this procurement, including if the procurement process </w:t>
      </w:r>
      <w:proofErr w:type="gramStart"/>
      <w:r w:rsidRPr="006941F7">
        <w:rPr>
          <w:rFonts w:cs="Calibri"/>
          <w:color w:val="000000"/>
        </w:rPr>
        <w:t>is terminated or amended by the Council</w:t>
      </w:r>
      <w:proofErr w:type="gramEnd"/>
      <w:r w:rsidRPr="006941F7">
        <w:rPr>
          <w:rFonts w:cs="Calibri"/>
          <w:color w:val="000000"/>
        </w:rPr>
        <w:t>.</w:t>
      </w:r>
    </w:p>
    <w:p w:rsidR="005025EA" w:rsidRPr="00C765DD" w:rsidRDefault="005025EA" w:rsidP="005025EA">
      <w:pPr>
        <w:widowControl w:val="0"/>
        <w:autoSpaceDE w:val="0"/>
        <w:autoSpaceDN w:val="0"/>
        <w:adjustRightInd w:val="0"/>
        <w:spacing w:after="0" w:line="240" w:lineRule="auto"/>
        <w:jc w:val="both"/>
        <w:rPr>
          <w:rFonts w:cs="Calibri"/>
          <w:color w:val="000000"/>
        </w:rPr>
      </w:pPr>
    </w:p>
    <w:p w:rsidR="005025EA" w:rsidRDefault="005025EA" w:rsidP="005025EA">
      <w:pPr>
        <w:spacing w:after="0"/>
        <w:rPr>
          <w:rFonts w:cstheme="minorHAnsi"/>
          <w:b/>
          <w:sz w:val="24"/>
          <w:szCs w:val="24"/>
        </w:rPr>
      </w:pPr>
      <w:r>
        <w:rPr>
          <w:rFonts w:cstheme="minorHAnsi"/>
          <w:b/>
          <w:sz w:val="24"/>
          <w:szCs w:val="24"/>
        </w:rPr>
        <w:t>7</w:t>
      </w:r>
      <w:r w:rsidRPr="00C25E54">
        <w:rPr>
          <w:rFonts w:cstheme="minorHAnsi"/>
          <w:b/>
          <w:sz w:val="24"/>
          <w:szCs w:val="24"/>
        </w:rPr>
        <w:t xml:space="preserve">. </w:t>
      </w:r>
      <w:r>
        <w:rPr>
          <w:rFonts w:cstheme="minorHAnsi"/>
          <w:b/>
          <w:sz w:val="24"/>
          <w:szCs w:val="24"/>
        </w:rPr>
        <w:tab/>
      </w:r>
      <w:r w:rsidRPr="00C25E54">
        <w:rPr>
          <w:rFonts w:cstheme="minorHAnsi"/>
          <w:b/>
          <w:sz w:val="24"/>
          <w:szCs w:val="24"/>
        </w:rPr>
        <w:t>EVALUATION AND SCORING</w:t>
      </w:r>
    </w:p>
    <w:p w:rsidR="005025EA" w:rsidRDefault="005025EA" w:rsidP="005025EA">
      <w:pPr>
        <w:spacing w:after="0"/>
        <w:rPr>
          <w:rFonts w:cstheme="minorHAnsi"/>
          <w:b/>
          <w:sz w:val="24"/>
          <w:szCs w:val="24"/>
        </w:rPr>
      </w:pPr>
      <w:r>
        <w:rPr>
          <w:rFonts w:cs="Calibri"/>
          <w:b/>
          <w:bCs/>
          <w:color w:val="000000"/>
        </w:rPr>
        <w:t>7</w:t>
      </w:r>
      <w:r w:rsidRPr="006941F7">
        <w:rPr>
          <w:rFonts w:cs="Calibri"/>
          <w:b/>
          <w:bCs/>
          <w:color w:val="000000"/>
        </w:rPr>
        <w:t>.1</w:t>
      </w:r>
      <w:r>
        <w:rPr>
          <w:rFonts w:cs="Calibri"/>
          <w:color w:val="000000"/>
        </w:rPr>
        <w:tab/>
      </w:r>
      <w:r w:rsidRPr="006941F7">
        <w:rPr>
          <w:rFonts w:cs="Calibri"/>
          <w:b/>
          <w:bCs/>
          <w:color w:val="000000"/>
        </w:rPr>
        <w:t>Award Criteria and Evaluation Criteria</w:t>
      </w:r>
    </w:p>
    <w:p w:rsidR="005025EA" w:rsidRPr="00C765DD" w:rsidRDefault="005025EA" w:rsidP="005025EA">
      <w:pPr>
        <w:spacing w:after="0"/>
        <w:rPr>
          <w:rFonts w:cstheme="minorHAnsi"/>
          <w:b/>
          <w:sz w:val="24"/>
          <w:szCs w:val="24"/>
        </w:rPr>
      </w:pPr>
      <w:r w:rsidRPr="006941F7">
        <w:rPr>
          <w:rFonts w:cs="Calibri"/>
          <w:color w:val="000000"/>
        </w:rPr>
        <w:t xml:space="preserve">Any Contract(s) awarded </w:t>
      </w:r>
      <w:proofErr w:type="gramStart"/>
      <w:r w:rsidRPr="006941F7">
        <w:rPr>
          <w:rFonts w:cs="Calibri"/>
          <w:color w:val="000000"/>
        </w:rPr>
        <w:t>as a result</w:t>
      </w:r>
      <w:proofErr w:type="gramEnd"/>
      <w:r w:rsidRPr="006941F7">
        <w:rPr>
          <w:rFonts w:cs="Calibri"/>
          <w:color w:val="000000"/>
        </w:rPr>
        <w:t xml:space="preserve"> of this procurement will be awarded on the basis of the offer that is the most economically advantageous to </w:t>
      </w:r>
      <w:r>
        <w:rPr>
          <w:rFonts w:cs="Calibri"/>
          <w:color w:val="000000"/>
        </w:rPr>
        <w:t>GBC. The Award Criteria are:</w:t>
      </w:r>
    </w:p>
    <w:p w:rsidR="005025EA" w:rsidRPr="006941F7" w:rsidRDefault="005025EA" w:rsidP="005025EA">
      <w:pPr>
        <w:widowControl w:val="0"/>
        <w:numPr>
          <w:ilvl w:val="0"/>
          <w:numId w:val="17"/>
        </w:numPr>
        <w:autoSpaceDE w:val="0"/>
        <w:autoSpaceDN w:val="0"/>
        <w:adjustRightInd w:val="0"/>
        <w:spacing w:after="0" w:line="240" w:lineRule="auto"/>
        <w:ind w:left="480" w:hanging="360"/>
        <w:jc w:val="both"/>
        <w:rPr>
          <w:rFonts w:cs="Calibri"/>
          <w:color w:val="000000"/>
        </w:rPr>
      </w:pPr>
      <w:proofErr w:type="gramStart"/>
      <w:r w:rsidRPr="006941F7">
        <w:rPr>
          <w:rFonts w:cs="Calibri"/>
          <w:color w:val="000000"/>
        </w:rPr>
        <w:t>75%</w:t>
      </w:r>
      <w:proofErr w:type="gramEnd"/>
      <w:r w:rsidRPr="006941F7">
        <w:rPr>
          <w:rFonts w:cs="Calibri"/>
          <w:color w:val="000000"/>
        </w:rPr>
        <w:t xml:space="preserve"> technical or quality.</w:t>
      </w:r>
    </w:p>
    <w:p w:rsidR="005025EA" w:rsidRPr="00C765DD" w:rsidRDefault="005025EA" w:rsidP="005025EA">
      <w:pPr>
        <w:widowControl w:val="0"/>
        <w:numPr>
          <w:ilvl w:val="0"/>
          <w:numId w:val="18"/>
        </w:numPr>
        <w:autoSpaceDE w:val="0"/>
        <w:autoSpaceDN w:val="0"/>
        <w:adjustRightInd w:val="0"/>
        <w:spacing w:after="0" w:line="240" w:lineRule="auto"/>
        <w:ind w:left="480" w:hanging="360"/>
        <w:jc w:val="both"/>
        <w:rPr>
          <w:rFonts w:cs="Calibri"/>
          <w:color w:val="000000"/>
        </w:rPr>
      </w:pPr>
      <w:proofErr w:type="gramStart"/>
      <w:r w:rsidRPr="006941F7">
        <w:rPr>
          <w:rFonts w:cs="Calibri"/>
          <w:color w:val="000000"/>
        </w:rPr>
        <w:t>25%</w:t>
      </w:r>
      <w:proofErr w:type="gramEnd"/>
      <w:r w:rsidRPr="006941F7">
        <w:rPr>
          <w:rFonts w:cs="Calibri"/>
          <w:color w:val="000000"/>
        </w:rPr>
        <w:t xml:space="preserve"> cost.</w:t>
      </w:r>
    </w:p>
    <w:p w:rsidR="005025EA" w:rsidRPr="006941F7" w:rsidRDefault="005025EA" w:rsidP="005025EA">
      <w:pPr>
        <w:widowControl w:val="0"/>
        <w:autoSpaceDE w:val="0"/>
        <w:autoSpaceDN w:val="0"/>
        <w:adjustRightInd w:val="0"/>
        <w:spacing w:before="200" w:after="0" w:line="240" w:lineRule="auto"/>
        <w:jc w:val="both"/>
        <w:rPr>
          <w:rFonts w:cs="Calibri"/>
          <w:color w:val="000000"/>
        </w:rPr>
      </w:pPr>
      <w:r w:rsidRPr="006941F7">
        <w:rPr>
          <w:rFonts w:cs="Calibri"/>
          <w:color w:val="000000"/>
        </w:rPr>
        <w:t>Scores are arrived at following the application of the Evaluation Criteria (Evaluation</w:t>
      </w:r>
      <w:r w:rsidRPr="006941F7">
        <w:rPr>
          <w:rFonts w:cs="Calibri"/>
          <w:b/>
          <w:bCs/>
          <w:color w:val="000000"/>
        </w:rPr>
        <w:t xml:space="preserve"> Criteria</w:t>
      </w:r>
      <w:r w:rsidRPr="006941F7">
        <w:rPr>
          <w:rFonts w:cs="Calibri"/>
          <w:color w:val="000000"/>
        </w:rPr>
        <w:t>) set out below to the Respondent’s Quote.</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Respondents are required to submit a Quote strictly in accordance with the requirements set out in this ITQ, to ensure </w:t>
      </w:r>
      <w:r>
        <w:rPr>
          <w:rFonts w:cs="Calibri"/>
          <w:color w:val="000000"/>
        </w:rPr>
        <w:t>GBC</w:t>
      </w:r>
      <w:r w:rsidRPr="006941F7">
        <w:rPr>
          <w:rFonts w:cs="Calibri"/>
          <w:color w:val="000000"/>
        </w:rPr>
        <w:t xml:space="preserve"> has the correct information to make the evaluation. Evasive, unclear or hedged Quotes </w:t>
      </w:r>
      <w:proofErr w:type="gramStart"/>
      <w:r w:rsidRPr="006941F7">
        <w:rPr>
          <w:rFonts w:cs="Calibri"/>
          <w:color w:val="000000"/>
        </w:rPr>
        <w:t>may be discounted</w:t>
      </w:r>
      <w:proofErr w:type="gramEnd"/>
      <w:r w:rsidRPr="006941F7">
        <w:rPr>
          <w:rFonts w:cs="Calibri"/>
          <w:color w:val="000000"/>
        </w:rPr>
        <w:t xml:space="preserve"> in evaluation and may, at the Council’s discretion, be taken as a rejection by the Respondent of the terms set out in this ITQ.</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The Quote Evaluation Model showing the Evaluation Criteria and the maximum scores attributable to them is set out below. </w:t>
      </w:r>
    </w:p>
    <w:p w:rsidR="005025EA" w:rsidRPr="006941F7" w:rsidRDefault="005025EA" w:rsidP="005025EA">
      <w:pPr>
        <w:widowControl w:val="0"/>
        <w:autoSpaceDE w:val="0"/>
        <w:autoSpaceDN w:val="0"/>
        <w:adjustRightInd w:val="0"/>
        <w:spacing w:after="0" w:line="240" w:lineRule="auto"/>
        <w:jc w:val="both"/>
        <w:rPr>
          <w:rFonts w:cs="Calibri"/>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25"/>
        <w:gridCol w:w="1701"/>
      </w:tblGrid>
      <w:tr w:rsidR="005025EA" w:rsidRPr="006941F7" w:rsidTr="00C4441F">
        <w:tc>
          <w:tcPr>
            <w:tcW w:w="7825" w:type="dxa"/>
            <w:gridSpan w:val="2"/>
            <w:shd w:val="clear" w:color="auto" w:fill="F2F2F2" w:themeFill="background1" w:themeFillShade="F2"/>
          </w:tcPr>
          <w:p w:rsidR="005025EA" w:rsidRPr="006941F7" w:rsidRDefault="005025EA" w:rsidP="00C4441F">
            <w:pPr>
              <w:widowControl w:val="0"/>
              <w:adjustRightInd w:val="0"/>
              <w:spacing w:after="0" w:line="240" w:lineRule="auto"/>
              <w:jc w:val="both"/>
              <w:textAlignment w:val="baseline"/>
              <w:rPr>
                <w:rFonts w:cs="Calibri"/>
                <w:b/>
              </w:rPr>
            </w:pPr>
            <w:r w:rsidRPr="006941F7">
              <w:rPr>
                <w:rFonts w:cs="Calibri"/>
                <w:b/>
              </w:rPr>
              <w:lastRenderedPageBreak/>
              <w:t>Criteria</w:t>
            </w:r>
          </w:p>
        </w:tc>
        <w:tc>
          <w:tcPr>
            <w:tcW w:w="1701" w:type="dxa"/>
            <w:shd w:val="clear" w:color="auto" w:fill="F2F2F2" w:themeFill="background1" w:themeFillShade="F2"/>
          </w:tcPr>
          <w:p w:rsidR="005025EA" w:rsidRPr="006941F7" w:rsidRDefault="005025EA" w:rsidP="00C4441F">
            <w:pPr>
              <w:widowControl w:val="0"/>
              <w:adjustRightInd w:val="0"/>
              <w:spacing w:after="0" w:line="240" w:lineRule="auto"/>
              <w:jc w:val="center"/>
              <w:textAlignment w:val="baseline"/>
              <w:rPr>
                <w:rFonts w:cs="Calibri"/>
                <w:b/>
              </w:rPr>
            </w:pPr>
            <w:r w:rsidRPr="006941F7">
              <w:rPr>
                <w:rFonts w:cs="Calibri"/>
                <w:b/>
              </w:rPr>
              <w:t>Weighting</w:t>
            </w:r>
          </w:p>
        </w:tc>
      </w:tr>
      <w:tr w:rsidR="005025EA" w:rsidRPr="006941F7" w:rsidTr="00C4441F">
        <w:tc>
          <w:tcPr>
            <w:tcW w:w="700" w:type="dxa"/>
          </w:tcPr>
          <w:p w:rsidR="005025EA" w:rsidRDefault="005025EA" w:rsidP="00C4441F">
            <w:pPr>
              <w:widowControl w:val="0"/>
              <w:adjustRightInd w:val="0"/>
              <w:spacing w:after="0" w:line="240" w:lineRule="auto"/>
              <w:jc w:val="center"/>
              <w:textAlignment w:val="baseline"/>
              <w:rPr>
                <w:rFonts w:cs="Calibri"/>
                <w:i/>
              </w:rPr>
            </w:pPr>
            <w:r w:rsidRPr="006941F7">
              <w:rPr>
                <w:rFonts w:cs="Calibri"/>
                <w:i/>
              </w:rPr>
              <w:t>1</w:t>
            </w:r>
          </w:p>
          <w:p w:rsidR="005025EA" w:rsidRDefault="005025EA" w:rsidP="00C4441F">
            <w:pPr>
              <w:widowControl w:val="0"/>
              <w:adjustRightInd w:val="0"/>
              <w:spacing w:after="0" w:line="240" w:lineRule="auto"/>
              <w:jc w:val="center"/>
              <w:textAlignment w:val="baseline"/>
              <w:rPr>
                <w:rFonts w:cs="Calibri"/>
                <w:i/>
              </w:rPr>
            </w:pPr>
          </w:p>
          <w:p w:rsidR="005025EA" w:rsidRDefault="005025EA" w:rsidP="00C4441F">
            <w:pPr>
              <w:widowControl w:val="0"/>
              <w:adjustRightInd w:val="0"/>
              <w:spacing w:after="0" w:line="240" w:lineRule="auto"/>
              <w:jc w:val="center"/>
              <w:textAlignment w:val="baseline"/>
              <w:rPr>
                <w:rFonts w:cs="Calibri"/>
                <w:i/>
              </w:rPr>
            </w:pPr>
          </w:p>
          <w:p w:rsidR="005025EA" w:rsidRDefault="005025EA" w:rsidP="00C4441F">
            <w:pPr>
              <w:widowControl w:val="0"/>
              <w:adjustRightInd w:val="0"/>
              <w:spacing w:after="0" w:line="240" w:lineRule="auto"/>
              <w:jc w:val="center"/>
              <w:textAlignment w:val="baseline"/>
              <w:rPr>
                <w:rFonts w:cs="Calibri"/>
                <w:i/>
              </w:rPr>
            </w:pPr>
          </w:p>
          <w:p w:rsidR="005025EA" w:rsidRDefault="005025EA" w:rsidP="00C4441F">
            <w:pPr>
              <w:widowControl w:val="0"/>
              <w:adjustRightInd w:val="0"/>
              <w:spacing w:after="0" w:line="240" w:lineRule="auto"/>
              <w:jc w:val="center"/>
              <w:textAlignment w:val="baseline"/>
              <w:rPr>
                <w:rFonts w:cs="Calibri"/>
                <w:i/>
              </w:rPr>
            </w:pPr>
          </w:p>
          <w:p w:rsidR="005025EA" w:rsidRDefault="005025EA" w:rsidP="00C4441F">
            <w:pPr>
              <w:widowControl w:val="0"/>
              <w:adjustRightInd w:val="0"/>
              <w:spacing w:after="0" w:line="240" w:lineRule="auto"/>
              <w:jc w:val="center"/>
              <w:textAlignment w:val="baseline"/>
              <w:rPr>
                <w:rFonts w:cs="Calibri"/>
                <w:i/>
              </w:rPr>
            </w:pPr>
            <w:r>
              <w:rPr>
                <w:rFonts w:cs="Calibri"/>
                <w:i/>
              </w:rPr>
              <w:t>1a</w:t>
            </w:r>
          </w:p>
          <w:p w:rsidR="005025EA" w:rsidRDefault="005025EA" w:rsidP="00C4441F">
            <w:pPr>
              <w:widowControl w:val="0"/>
              <w:adjustRightInd w:val="0"/>
              <w:spacing w:after="0" w:line="240" w:lineRule="auto"/>
              <w:jc w:val="center"/>
              <w:textAlignment w:val="baseline"/>
              <w:rPr>
                <w:rFonts w:cs="Calibri"/>
                <w:i/>
              </w:rPr>
            </w:pPr>
            <w:r>
              <w:rPr>
                <w:rFonts w:cs="Calibri"/>
                <w:i/>
              </w:rPr>
              <w:t>1b</w:t>
            </w:r>
          </w:p>
          <w:p w:rsidR="005025EA" w:rsidRDefault="005025EA" w:rsidP="00C4441F">
            <w:pPr>
              <w:widowControl w:val="0"/>
              <w:adjustRightInd w:val="0"/>
              <w:spacing w:after="0" w:line="240" w:lineRule="auto"/>
              <w:jc w:val="center"/>
              <w:textAlignment w:val="baseline"/>
              <w:rPr>
                <w:rFonts w:cs="Calibri"/>
                <w:i/>
              </w:rPr>
            </w:pPr>
            <w:r>
              <w:rPr>
                <w:rFonts w:cs="Calibri"/>
                <w:i/>
              </w:rPr>
              <w:t>1c</w:t>
            </w:r>
          </w:p>
          <w:p w:rsidR="005025EA" w:rsidRDefault="005025EA" w:rsidP="00C4441F">
            <w:pPr>
              <w:widowControl w:val="0"/>
              <w:adjustRightInd w:val="0"/>
              <w:spacing w:after="0" w:line="240" w:lineRule="auto"/>
              <w:jc w:val="center"/>
              <w:textAlignment w:val="baseline"/>
              <w:rPr>
                <w:rFonts w:cs="Calibri"/>
                <w:i/>
              </w:rPr>
            </w:pPr>
            <w:r>
              <w:rPr>
                <w:rFonts w:cs="Calibri"/>
                <w:i/>
              </w:rPr>
              <w:t>1d</w:t>
            </w:r>
          </w:p>
          <w:p w:rsidR="005025EA" w:rsidRDefault="005025EA" w:rsidP="00C4441F">
            <w:pPr>
              <w:widowControl w:val="0"/>
              <w:adjustRightInd w:val="0"/>
              <w:spacing w:after="0" w:line="240" w:lineRule="auto"/>
              <w:jc w:val="center"/>
              <w:textAlignment w:val="baseline"/>
              <w:rPr>
                <w:rFonts w:cs="Calibri"/>
                <w:i/>
              </w:rPr>
            </w:pPr>
            <w:r>
              <w:rPr>
                <w:rFonts w:cs="Calibri"/>
                <w:i/>
              </w:rPr>
              <w:t>1e</w:t>
            </w:r>
          </w:p>
          <w:p w:rsidR="005025EA" w:rsidRPr="006941F7" w:rsidRDefault="005025EA" w:rsidP="00C4441F">
            <w:pPr>
              <w:widowControl w:val="0"/>
              <w:adjustRightInd w:val="0"/>
              <w:spacing w:after="0" w:line="240" w:lineRule="auto"/>
              <w:jc w:val="center"/>
              <w:textAlignment w:val="baseline"/>
              <w:rPr>
                <w:rFonts w:cs="Calibri"/>
                <w:i/>
              </w:rPr>
            </w:pPr>
            <w:r>
              <w:rPr>
                <w:rFonts w:cs="Calibri"/>
                <w:i/>
              </w:rPr>
              <w:t>1f</w:t>
            </w:r>
          </w:p>
        </w:tc>
        <w:tc>
          <w:tcPr>
            <w:tcW w:w="7125" w:type="dxa"/>
          </w:tcPr>
          <w:p w:rsidR="005025EA" w:rsidRPr="007B26D5" w:rsidRDefault="005025EA" w:rsidP="00C4441F">
            <w:pPr>
              <w:widowControl w:val="0"/>
              <w:adjustRightInd w:val="0"/>
              <w:spacing w:after="0" w:line="240" w:lineRule="auto"/>
              <w:textAlignment w:val="baseline"/>
              <w:rPr>
                <w:rFonts w:cs="Calibri"/>
                <w:b/>
              </w:rPr>
            </w:pPr>
            <w:r w:rsidRPr="007B26D5">
              <w:rPr>
                <w:rFonts w:cs="Calibri"/>
                <w:b/>
              </w:rPr>
              <w:t>Response to specification</w:t>
            </w:r>
          </w:p>
          <w:p w:rsidR="005025EA" w:rsidRDefault="005025EA" w:rsidP="00C4441F">
            <w:pPr>
              <w:widowControl w:val="0"/>
              <w:adjustRightInd w:val="0"/>
              <w:spacing w:after="0" w:line="240" w:lineRule="auto"/>
              <w:jc w:val="both"/>
              <w:textAlignment w:val="baseline"/>
              <w:rPr>
                <w:rFonts w:cs="Calibri"/>
              </w:rPr>
            </w:pPr>
            <w:r w:rsidRPr="007B26D5">
              <w:rPr>
                <w:rFonts w:cs="Calibri"/>
              </w:rPr>
              <w:t xml:space="preserve">Quotes will be evaluated in accordance with the scoring model set out at Section </w:t>
            </w:r>
            <w:r>
              <w:rPr>
                <w:rFonts w:cs="Calibri"/>
              </w:rPr>
              <w:t>7</w:t>
            </w:r>
            <w:r w:rsidRPr="007B26D5">
              <w:rPr>
                <w:rFonts w:cs="Calibri"/>
              </w:rPr>
              <w:t xml:space="preserve"> of the ITQ as to the proposed method for delivery of the </w:t>
            </w:r>
            <w:r>
              <w:rPr>
                <w:rFonts w:cs="Calibri"/>
              </w:rPr>
              <w:t>Commission</w:t>
            </w:r>
            <w:r w:rsidRPr="007B26D5">
              <w:rPr>
                <w:rFonts w:cs="Calibri"/>
              </w:rPr>
              <w:t xml:space="preserve">  in accordance with this ITQ including:</w:t>
            </w:r>
          </w:p>
          <w:p w:rsidR="005025EA" w:rsidRDefault="005025EA" w:rsidP="00C4441F">
            <w:pPr>
              <w:widowControl w:val="0"/>
              <w:adjustRightInd w:val="0"/>
              <w:spacing w:after="0" w:line="240" w:lineRule="auto"/>
              <w:jc w:val="both"/>
              <w:textAlignment w:val="baseline"/>
              <w:rPr>
                <w:rFonts w:cs="Calibri"/>
              </w:rPr>
            </w:pPr>
          </w:p>
          <w:p w:rsidR="005025EA" w:rsidRDefault="005025EA" w:rsidP="00C4441F">
            <w:pPr>
              <w:widowControl w:val="0"/>
              <w:adjustRightInd w:val="0"/>
              <w:spacing w:after="0" w:line="240" w:lineRule="auto"/>
              <w:jc w:val="both"/>
              <w:textAlignment w:val="baseline"/>
              <w:rPr>
                <w:rFonts w:cs="Calibri"/>
              </w:rPr>
            </w:pPr>
            <w:r>
              <w:rPr>
                <w:rFonts w:cs="Calibri"/>
              </w:rPr>
              <w:t>Structure and experience of project team</w:t>
            </w:r>
          </w:p>
          <w:p w:rsidR="005025EA" w:rsidRDefault="005025EA" w:rsidP="00C4441F">
            <w:pPr>
              <w:widowControl w:val="0"/>
              <w:adjustRightInd w:val="0"/>
              <w:spacing w:after="0" w:line="240" w:lineRule="auto"/>
              <w:jc w:val="both"/>
              <w:textAlignment w:val="baseline"/>
              <w:rPr>
                <w:rFonts w:cs="Calibri"/>
              </w:rPr>
            </w:pPr>
            <w:r>
              <w:rPr>
                <w:rFonts w:cs="Calibri"/>
              </w:rPr>
              <w:t>Timetable and key milestones for project delivery</w:t>
            </w:r>
          </w:p>
          <w:p w:rsidR="005025EA" w:rsidRPr="007B26D5" w:rsidRDefault="005025EA" w:rsidP="00C4441F">
            <w:pPr>
              <w:widowControl w:val="0"/>
              <w:adjustRightInd w:val="0"/>
              <w:spacing w:after="0" w:line="240" w:lineRule="auto"/>
              <w:jc w:val="both"/>
              <w:textAlignment w:val="baseline"/>
              <w:rPr>
                <w:rFonts w:cs="Calibri"/>
              </w:rPr>
            </w:pPr>
            <w:r w:rsidRPr="007B26D5">
              <w:rPr>
                <w:rFonts w:cs="Calibri"/>
              </w:rPr>
              <w:t>Overall a</w:t>
            </w:r>
            <w:r>
              <w:rPr>
                <w:rFonts w:cs="Calibri"/>
              </w:rPr>
              <w:t xml:space="preserve">pproach to delivering the specification </w:t>
            </w:r>
          </w:p>
          <w:p w:rsidR="005025EA" w:rsidRPr="007B26D5" w:rsidRDefault="005025EA" w:rsidP="00C4441F">
            <w:pPr>
              <w:widowControl w:val="0"/>
              <w:adjustRightInd w:val="0"/>
              <w:spacing w:after="0" w:line="240" w:lineRule="auto"/>
              <w:jc w:val="both"/>
              <w:textAlignment w:val="baseline"/>
              <w:rPr>
                <w:rFonts w:cs="Calibri"/>
              </w:rPr>
            </w:pPr>
            <w:r>
              <w:rPr>
                <w:rFonts w:cs="Calibri"/>
              </w:rPr>
              <w:t>M</w:t>
            </w:r>
            <w:r w:rsidRPr="007B26D5">
              <w:rPr>
                <w:rFonts w:cs="Calibri"/>
              </w:rPr>
              <w:t xml:space="preserve">ethod for </w:t>
            </w:r>
            <w:r>
              <w:rPr>
                <w:rFonts w:cs="Calibri"/>
              </w:rPr>
              <w:t>carrying out</w:t>
            </w:r>
            <w:r w:rsidRPr="007B26D5">
              <w:rPr>
                <w:rFonts w:cs="Calibri"/>
              </w:rPr>
              <w:t xml:space="preserve"> communications</w:t>
            </w:r>
          </w:p>
          <w:p w:rsidR="005025EA" w:rsidRDefault="005025EA" w:rsidP="00C4441F">
            <w:pPr>
              <w:widowControl w:val="0"/>
              <w:adjustRightInd w:val="0"/>
              <w:spacing w:after="0" w:line="240" w:lineRule="auto"/>
              <w:jc w:val="both"/>
              <w:textAlignment w:val="baseline"/>
              <w:rPr>
                <w:rFonts w:cs="Calibri"/>
              </w:rPr>
            </w:pPr>
            <w:r>
              <w:rPr>
                <w:rFonts w:cs="Calibri"/>
              </w:rPr>
              <w:t>A</w:t>
            </w:r>
            <w:r w:rsidRPr="007B26D5">
              <w:rPr>
                <w:rFonts w:cs="Calibri"/>
              </w:rPr>
              <w:t xml:space="preserve">rrangements for </w:t>
            </w:r>
            <w:r>
              <w:rPr>
                <w:rFonts w:cs="Calibri"/>
              </w:rPr>
              <w:t xml:space="preserve">managing working relationships </w:t>
            </w:r>
          </w:p>
          <w:p w:rsidR="005025EA" w:rsidRPr="007B26D5" w:rsidRDefault="005025EA" w:rsidP="00C4441F">
            <w:pPr>
              <w:widowControl w:val="0"/>
              <w:adjustRightInd w:val="0"/>
              <w:spacing w:after="0" w:line="240" w:lineRule="auto"/>
              <w:jc w:val="both"/>
              <w:textAlignment w:val="baseline"/>
              <w:rPr>
                <w:rFonts w:cs="Calibri"/>
              </w:rPr>
            </w:pPr>
            <w:r>
              <w:rPr>
                <w:rFonts w:cs="Calibri"/>
              </w:rPr>
              <w:t>M</w:t>
            </w:r>
            <w:r w:rsidRPr="007B26D5">
              <w:rPr>
                <w:rFonts w:cs="Calibri"/>
              </w:rPr>
              <w:t>ethod for monitoring of performance and quality assurance</w:t>
            </w:r>
          </w:p>
          <w:p w:rsidR="005025EA" w:rsidRPr="006941F7" w:rsidRDefault="005025EA" w:rsidP="00C4441F">
            <w:pPr>
              <w:widowControl w:val="0"/>
              <w:adjustRightInd w:val="0"/>
              <w:spacing w:after="0" w:line="240" w:lineRule="auto"/>
              <w:ind w:left="504"/>
              <w:jc w:val="both"/>
              <w:textAlignment w:val="baseline"/>
              <w:rPr>
                <w:rFonts w:cs="Calibri"/>
                <w:i/>
              </w:rPr>
            </w:pPr>
          </w:p>
        </w:tc>
        <w:tc>
          <w:tcPr>
            <w:tcW w:w="1701" w:type="dxa"/>
          </w:tcPr>
          <w:p w:rsidR="005025EA" w:rsidRDefault="005025EA" w:rsidP="00C4441F">
            <w:pPr>
              <w:widowControl w:val="0"/>
              <w:adjustRightInd w:val="0"/>
              <w:spacing w:after="0" w:line="240" w:lineRule="auto"/>
              <w:jc w:val="center"/>
              <w:textAlignment w:val="baseline"/>
              <w:rPr>
                <w:rFonts w:cs="Calibri"/>
                <w:b/>
                <w:iCs/>
              </w:rPr>
            </w:pPr>
          </w:p>
          <w:p w:rsidR="005025EA" w:rsidRDefault="005025EA" w:rsidP="00C4441F">
            <w:pPr>
              <w:widowControl w:val="0"/>
              <w:adjustRightInd w:val="0"/>
              <w:spacing w:after="0" w:line="240" w:lineRule="auto"/>
              <w:jc w:val="center"/>
              <w:textAlignment w:val="baseline"/>
              <w:rPr>
                <w:rFonts w:cs="Calibri"/>
                <w:b/>
                <w:iCs/>
              </w:rPr>
            </w:pPr>
            <w:r w:rsidRPr="006941F7">
              <w:rPr>
                <w:rFonts w:cs="Calibri"/>
                <w:b/>
                <w:iCs/>
              </w:rPr>
              <w:t>75%</w:t>
            </w:r>
          </w:p>
          <w:p w:rsidR="005025EA" w:rsidRDefault="005025EA" w:rsidP="00C4441F">
            <w:pPr>
              <w:widowControl w:val="0"/>
              <w:adjustRightInd w:val="0"/>
              <w:spacing w:after="0" w:line="240" w:lineRule="auto"/>
              <w:jc w:val="center"/>
              <w:textAlignment w:val="baseline"/>
              <w:rPr>
                <w:rFonts w:cs="Calibri"/>
                <w:b/>
                <w:iCs/>
              </w:rPr>
            </w:pPr>
          </w:p>
          <w:p w:rsidR="005025EA" w:rsidRDefault="005025EA" w:rsidP="00C4441F">
            <w:pPr>
              <w:widowControl w:val="0"/>
              <w:adjustRightInd w:val="0"/>
              <w:spacing w:after="0" w:line="240" w:lineRule="auto"/>
              <w:jc w:val="center"/>
              <w:textAlignment w:val="baseline"/>
              <w:rPr>
                <w:rFonts w:cs="Calibri"/>
                <w:b/>
                <w:iCs/>
              </w:rPr>
            </w:pPr>
          </w:p>
          <w:p w:rsidR="005025EA" w:rsidRDefault="005025EA" w:rsidP="00C4441F">
            <w:pPr>
              <w:widowControl w:val="0"/>
              <w:adjustRightInd w:val="0"/>
              <w:spacing w:after="0" w:line="240" w:lineRule="auto"/>
              <w:jc w:val="center"/>
              <w:textAlignment w:val="baseline"/>
              <w:rPr>
                <w:rFonts w:cs="Calibri"/>
                <w:b/>
                <w:iCs/>
              </w:rPr>
            </w:pPr>
          </w:p>
          <w:p w:rsidR="005025EA" w:rsidRDefault="00A21A7F" w:rsidP="00C4441F">
            <w:pPr>
              <w:widowControl w:val="0"/>
              <w:adjustRightInd w:val="0"/>
              <w:spacing w:after="0" w:line="240" w:lineRule="auto"/>
              <w:jc w:val="center"/>
              <w:textAlignment w:val="baseline"/>
              <w:rPr>
                <w:rFonts w:cs="Calibri"/>
                <w:b/>
                <w:iCs/>
              </w:rPr>
            </w:pPr>
            <w:r>
              <w:rPr>
                <w:rFonts w:cs="Calibri"/>
                <w:b/>
                <w:iCs/>
              </w:rPr>
              <w:t>5</w:t>
            </w:r>
            <w:r w:rsidR="005025EA">
              <w:rPr>
                <w:rFonts w:cs="Calibri"/>
                <w:b/>
                <w:iCs/>
              </w:rPr>
              <w:t>%</w:t>
            </w:r>
          </w:p>
          <w:p w:rsidR="005025EA" w:rsidRDefault="00A21A7F" w:rsidP="00C4441F">
            <w:pPr>
              <w:widowControl w:val="0"/>
              <w:adjustRightInd w:val="0"/>
              <w:spacing w:after="0" w:line="240" w:lineRule="auto"/>
              <w:jc w:val="center"/>
              <w:textAlignment w:val="baseline"/>
              <w:rPr>
                <w:rFonts w:cs="Calibri"/>
                <w:b/>
                <w:iCs/>
              </w:rPr>
            </w:pPr>
            <w:r>
              <w:rPr>
                <w:rFonts w:cs="Calibri"/>
                <w:b/>
                <w:iCs/>
              </w:rPr>
              <w:t>10</w:t>
            </w:r>
            <w:r w:rsidR="005025EA">
              <w:rPr>
                <w:rFonts w:cs="Calibri"/>
                <w:b/>
                <w:iCs/>
              </w:rPr>
              <w:t>%</w:t>
            </w:r>
          </w:p>
          <w:p w:rsidR="005025EA" w:rsidRDefault="005025EA" w:rsidP="00C4441F">
            <w:pPr>
              <w:widowControl w:val="0"/>
              <w:adjustRightInd w:val="0"/>
              <w:spacing w:after="0" w:line="240" w:lineRule="auto"/>
              <w:jc w:val="center"/>
              <w:textAlignment w:val="baseline"/>
              <w:rPr>
                <w:rFonts w:cs="Calibri"/>
                <w:b/>
                <w:iCs/>
              </w:rPr>
            </w:pPr>
            <w:r>
              <w:rPr>
                <w:rFonts w:cs="Calibri"/>
                <w:b/>
                <w:iCs/>
              </w:rPr>
              <w:t>40%</w:t>
            </w:r>
          </w:p>
          <w:p w:rsidR="005025EA" w:rsidRDefault="005025EA" w:rsidP="00C4441F">
            <w:pPr>
              <w:widowControl w:val="0"/>
              <w:adjustRightInd w:val="0"/>
              <w:spacing w:after="0" w:line="240" w:lineRule="auto"/>
              <w:jc w:val="center"/>
              <w:textAlignment w:val="baseline"/>
              <w:rPr>
                <w:rFonts w:cs="Calibri"/>
                <w:b/>
                <w:iCs/>
              </w:rPr>
            </w:pPr>
            <w:r>
              <w:rPr>
                <w:rFonts w:cs="Calibri"/>
                <w:b/>
                <w:iCs/>
              </w:rPr>
              <w:t>10%</w:t>
            </w:r>
          </w:p>
          <w:p w:rsidR="005025EA" w:rsidRDefault="005025EA" w:rsidP="00C4441F">
            <w:pPr>
              <w:widowControl w:val="0"/>
              <w:adjustRightInd w:val="0"/>
              <w:spacing w:after="0" w:line="240" w:lineRule="auto"/>
              <w:jc w:val="center"/>
              <w:textAlignment w:val="baseline"/>
              <w:rPr>
                <w:rFonts w:cs="Calibri"/>
                <w:b/>
                <w:iCs/>
              </w:rPr>
            </w:pPr>
            <w:r>
              <w:rPr>
                <w:rFonts w:cs="Calibri"/>
                <w:b/>
                <w:iCs/>
              </w:rPr>
              <w:t>5%</w:t>
            </w:r>
          </w:p>
          <w:p w:rsidR="005025EA" w:rsidRPr="006941F7" w:rsidRDefault="005025EA" w:rsidP="00C4441F">
            <w:pPr>
              <w:widowControl w:val="0"/>
              <w:adjustRightInd w:val="0"/>
              <w:spacing w:after="0" w:line="240" w:lineRule="auto"/>
              <w:jc w:val="center"/>
              <w:textAlignment w:val="baseline"/>
              <w:rPr>
                <w:rFonts w:cs="Calibri"/>
                <w:b/>
                <w:iCs/>
              </w:rPr>
            </w:pPr>
            <w:r>
              <w:rPr>
                <w:rFonts w:cs="Calibri"/>
                <w:b/>
                <w:iCs/>
              </w:rPr>
              <w:t>5%</w:t>
            </w:r>
          </w:p>
        </w:tc>
      </w:tr>
    </w:tbl>
    <w:p w:rsidR="005025EA" w:rsidRPr="006941F7" w:rsidRDefault="005025EA" w:rsidP="005025EA">
      <w:pPr>
        <w:rPr>
          <w:rFonts w:cs="Calibri"/>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5025EA" w:rsidRPr="006941F7" w:rsidTr="00C4441F">
        <w:tc>
          <w:tcPr>
            <w:tcW w:w="7800" w:type="dxa"/>
            <w:gridSpan w:val="2"/>
            <w:shd w:val="clear" w:color="auto" w:fill="D9D9D9"/>
          </w:tcPr>
          <w:p w:rsidR="005025EA" w:rsidRPr="006941F7" w:rsidRDefault="005025EA" w:rsidP="00C4441F">
            <w:pPr>
              <w:widowControl w:val="0"/>
              <w:adjustRightInd w:val="0"/>
              <w:spacing w:after="0" w:line="240" w:lineRule="auto"/>
              <w:jc w:val="both"/>
              <w:textAlignment w:val="baseline"/>
              <w:rPr>
                <w:rFonts w:cs="Calibri"/>
                <w:b/>
              </w:rPr>
            </w:pPr>
            <w:r w:rsidRPr="006941F7">
              <w:rPr>
                <w:rFonts w:cs="Calibri"/>
                <w:b/>
              </w:rPr>
              <w:t>Criteria</w:t>
            </w:r>
          </w:p>
        </w:tc>
        <w:tc>
          <w:tcPr>
            <w:tcW w:w="1500" w:type="dxa"/>
            <w:shd w:val="clear" w:color="auto" w:fill="D9D9D9"/>
          </w:tcPr>
          <w:p w:rsidR="005025EA" w:rsidRPr="006941F7" w:rsidRDefault="005025EA" w:rsidP="00C4441F">
            <w:pPr>
              <w:widowControl w:val="0"/>
              <w:adjustRightInd w:val="0"/>
              <w:spacing w:after="0" w:line="240" w:lineRule="auto"/>
              <w:jc w:val="center"/>
              <w:textAlignment w:val="baseline"/>
              <w:rPr>
                <w:rFonts w:cs="Calibri"/>
                <w:b/>
              </w:rPr>
            </w:pPr>
            <w:r w:rsidRPr="006941F7">
              <w:rPr>
                <w:rFonts w:cs="Calibri"/>
                <w:b/>
              </w:rPr>
              <w:t>Weighting</w:t>
            </w:r>
          </w:p>
        </w:tc>
      </w:tr>
      <w:tr w:rsidR="005025EA" w:rsidRPr="006941F7" w:rsidTr="00C4441F">
        <w:tc>
          <w:tcPr>
            <w:tcW w:w="700" w:type="dxa"/>
          </w:tcPr>
          <w:p w:rsidR="005025EA" w:rsidRDefault="005025EA" w:rsidP="00C4441F">
            <w:pPr>
              <w:widowControl w:val="0"/>
              <w:adjustRightInd w:val="0"/>
              <w:spacing w:after="0" w:line="240" w:lineRule="auto"/>
              <w:jc w:val="center"/>
              <w:textAlignment w:val="baseline"/>
              <w:rPr>
                <w:rFonts w:cs="Calibri"/>
                <w:i/>
              </w:rPr>
            </w:pPr>
            <w:r>
              <w:rPr>
                <w:rFonts w:cs="Calibri"/>
                <w:i/>
              </w:rPr>
              <w:t>2</w:t>
            </w:r>
          </w:p>
          <w:p w:rsidR="005025EA" w:rsidRDefault="005025EA" w:rsidP="00C4441F">
            <w:pPr>
              <w:widowControl w:val="0"/>
              <w:adjustRightInd w:val="0"/>
              <w:spacing w:after="0" w:line="240" w:lineRule="auto"/>
              <w:jc w:val="center"/>
              <w:textAlignment w:val="baseline"/>
              <w:rPr>
                <w:rFonts w:cs="Calibri"/>
                <w:i/>
              </w:rPr>
            </w:pPr>
          </w:p>
          <w:p w:rsidR="005025EA" w:rsidRDefault="005025EA" w:rsidP="00C4441F">
            <w:pPr>
              <w:widowControl w:val="0"/>
              <w:adjustRightInd w:val="0"/>
              <w:spacing w:after="0" w:line="240" w:lineRule="auto"/>
              <w:jc w:val="center"/>
              <w:textAlignment w:val="baseline"/>
              <w:rPr>
                <w:rFonts w:cs="Calibri"/>
                <w:i/>
              </w:rPr>
            </w:pPr>
          </w:p>
          <w:p w:rsidR="005025EA" w:rsidRDefault="005025EA" w:rsidP="00C4441F">
            <w:pPr>
              <w:widowControl w:val="0"/>
              <w:adjustRightInd w:val="0"/>
              <w:spacing w:after="0" w:line="240" w:lineRule="auto"/>
              <w:jc w:val="center"/>
              <w:textAlignment w:val="baseline"/>
              <w:rPr>
                <w:rFonts w:cs="Calibri"/>
                <w:i/>
              </w:rPr>
            </w:pPr>
          </w:p>
          <w:p w:rsidR="005025EA" w:rsidRDefault="005025EA" w:rsidP="00C4441F">
            <w:pPr>
              <w:widowControl w:val="0"/>
              <w:adjustRightInd w:val="0"/>
              <w:spacing w:after="0" w:line="240" w:lineRule="auto"/>
              <w:jc w:val="center"/>
              <w:textAlignment w:val="baseline"/>
              <w:rPr>
                <w:rFonts w:cs="Calibri"/>
                <w:i/>
              </w:rPr>
            </w:pPr>
            <w:r>
              <w:rPr>
                <w:rFonts w:cs="Calibri"/>
                <w:i/>
              </w:rPr>
              <w:t>2a</w:t>
            </w:r>
          </w:p>
          <w:p w:rsidR="005025EA" w:rsidRDefault="005025EA" w:rsidP="00C4441F">
            <w:pPr>
              <w:widowControl w:val="0"/>
              <w:adjustRightInd w:val="0"/>
              <w:spacing w:after="0" w:line="240" w:lineRule="auto"/>
              <w:jc w:val="center"/>
              <w:textAlignment w:val="baseline"/>
              <w:rPr>
                <w:rFonts w:cs="Calibri"/>
                <w:i/>
              </w:rPr>
            </w:pPr>
          </w:p>
          <w:p w:rsidR="005025EA" w:rsidRPr="006941F7" w:rsidRDefault="005025EA" w:rsidP="00C4441F">
            <w:pPr>
              <w:widowControl w:val="0"/>
              <w:adjustRightInd w:val="0"/>
              <w:spacing w:after="0" w:line="240" w:lineRule="auto"/>
              <w:textAlignment w:val="baseline"/>
              <w:rPr>
                <w:rFonts w:cs="Calibri"/>
                <w:i/>
              </w:rPr>
            </w:pPr>
          </w:p>
        </w:tc>
        <w:tc>
          <w:tcPr>
            <w:tcW w:w="7100" w:type="dxa"/>
          </w:tcPr>
          <w:p w:rsidR="005025EA" w:rsidRPr="00A816D3" w:rsidRDefault="005025EA" w:rsidP="00C4441F">
            <w:pPr>
              <w:widowControl w:val="0"/>
              <w:adjustRightInd w:val="0"/>
              <w:spacing w:after="0" w:line="240" w:lineRule="auto"/>
              <w:jc w:val="both"/>
              <w:textAlignment w:val="baseline"/>
              <w:rPr>
                <w:rFonts w:cs="Calibri"/>
                <w:b/>
              </w:rPr>
            </w:pPr>
            <w:r w:rsidRPr="00A816D3">
              <w:rPr>
                <w:rFonts w:cs="Calibri"/>
                <w:b/>
              </w:rPr>
              <w:t>Quote Sum</w:t>
            </w:r>
          </w:p>
          <w:p w:rsidR="005025EA" w:rsidRDefault="005025EA" w:rsidP="00C4441F">
            <w:pPr>
              <w:widowControl w:val="0"/>
              <w:adjustRightInd w:val="0"/>
              <w:spacing w:after="0" w:line="240" w:lineRule="auto"/>
              <w:textAlignment w:val="baseline"/>
              <w:rPr>
                <w:rFonts w:cs="Calibri"/>
              </w:rPr>
            </w:pPr>
            <w:r w:rsidRPr="00ED01CA">
              <w:rPr>
                <w:rFonts w:cs="Calibri"/>
              </w:rPr>
              <w:t xml:space="preserve">Quote sum will be evaluated by the application of the formula in </w:t>
            </w:r>
            <w:r>
              <w:rPr>
                <w:rFonts w:cs="Calibri"/>
              </w:rPr>
              <w:t>7.3</w:t>
            </w:r>
            <w:r w:rsidRPr="00ED01CA">
              <w:rPr>
                <w:rFonts w:cs="Calibri"/>
              </w:rPr>
              <w:t xml:space="preserve"> of the ITQ </w:t>
            </w:r>
          </w:p>
          <w:p w:rsidR="005025EA" w:rsidRDefault="005025EA" w:rsidP="00C4441F">
            <w:pPr>
              <w:widowControl w:val="0"/>
              <w:adjustRightInd w:val="0"/>
              <w:spacing w:after="0" w:line="240" w:lineRule="auto"/>
              <w:textAlignment w:val="baseline"/>
              <w:rPr>
                <w:rFonts w:cs="Calibri"/>
              </w:rPr>
            </w:pPr>
          </w:p>
          <w:p w:rsidR="005025EA" w:rsidRPr="00ED01CA" w:rsidRDefault="005025EA" w:rsidP="00C4441F">
            <w:pPr>
              <w:widowControl w:val="0"/>
              <w:adjustRightInd w:val="0"/>
              <w:spacing w:after="0" w:line="240" w:lineRule="auto"/>
              <w:textAlignment w:val="baseline"/>
              <w:rPr>
                <w:rFonts w:cs="Calibri"/>
              </w:rPr>
            </w:pPr>
            <w:proofErr w:type="gramStart"/>
            <w:r w:rsidRPr="00ED01CA">
              <w:rPr>
                <w:rFonts w:cs="Calibri"/>
              </w:rPr>
              <w:t xml:space="preserve">A schedule of costs itemised by work item </w:t>
            </w:r>
            <w:r>
              <w:rPr>
                <w:rFonts w:cs="Calibri"/>
              </w:rPr>
              <w:t>must</w:t>
            </w:r>
            <w:r w:rsidRPr="00ED01CA">
              <w:rPr>
                <w:rFonts w:cs="Calibri"/>
              </w:rPr>
              <w:t xml:space="preserve"> be provided </w:t>
            </w:r>
            <w:r>
              <w:rPr>
                <w:rFonts w:cs="Calibri"/>
              </w:rPr>
              <w:t>by the Respondent</w:t>
            </w:r>
            <w:proofErr w:type="gramEnd"/>
            <w:r>
              <w:rPr>
                <w:rFonts w:cs="Calibri"/>
              </w:rPr>
              <w:t xml:space="preserve"> </w:t>
            </w:r>
            <w:r w:rsidRPr="00ED01CA">
              <w:rPr>
                <w:rFonts w:cs="Calibri"/>
              </w:rPr>
              <w:t>with all prices stated in pounds sterling and exclusive of VAT</w:t>
            </w:r>
            <w:r>
              <w:rPr>
                <w:rFonts w:cs="Calibri"/>
              </w:rPr>
              <w:t>.</w:t>
            </w:r>
          </w:p>
        </w:tc>
        <w:tc>
          <w:tcPr>
            <w:tcW w:w="1500" w:type="dxa"/>
          </w:tcPr>
          <w:p w:rsidR="005025EA" w:rsidRDefault="005025EA" w:rsidP="00C4441F">
            <w:pPr>
              <w:widowControl w:val="0"/>
              <w:adjustRightInd w:val="0"/>
              <w:spacing w:after="0" w:line="240" w:lineRule="auto"/>
              <w:jc w:val="center"/>
              <w:textAlignment w:val="baseline"/>
              <w:rPr>
                <w:rFonts w:cs="Calibri"/>
                <w:b/>
                <w:iCs/>
              </w:rPr>
            </w:pPr>
          </w:p>
          <w:p w:rsidR="005025EA" w:rsidRDefault="005025EA" w:rsidP="00C4441F">
            <w:pPr>
              <w:widowControl w:val="0"/>
              <w:adjustRightInd w:val="0"/>
              <w:spacing w:after="0" w:line="240" w:lineRule="auto"/>
              <w:jc w:val="center"/>
              <w:textAlignment w:val="baseline"/>
              <w:rPr>
                <w:rFonts w:cs="Calibri"/>
                <w:b/>
                <w:iCs/>
              </w:rPr>
            </w:pPr>
            <w:r w:rsidRPr="006941F7">
              <w:rPr>
                <w:rFonts w:cs="Calibri"/>
                <w:b/>
                <w:iCs/>
              </w:rPr>
              <w:t>25%</w:t>
            </w:r>
          </w:p>
          <w:p w:rsidR="005025EA" w:rsidRDefault="005025EA" w:rsidP="00C4441F">
            <w:pPr>
              <w:widowControl w:val="0"/>
              <w:adjustRightInd w:val="0"/>
              <w:spacing w:after="0" w:line="240" w:lineRule="auto"/>
              <w:jc w:val="center"/>
              <w:textAlignment w:val="baseline"/>
              <w:rPr>
                <w:rFonts w:cs="Calibri"/>
                <w:b/>
                <w:iCs/>
              </w:rPr>
            </w:pPr>
          </w:p>
          <w:p w:rsidR="005025EA" w:rsidRDefault="005025EA" w:rsidP="00C4441F">
            <w:pPr>
              <w:widowControl w:val="0"/>
              <w:adjustRightInd w:val="0"/>
              <w:spacing w:after="0" w:line="240" w:lineRule="auto"/>
              <w:jc w:val="center"/>
              <w:textAlignment w:val="baseline"/>
              <w:rPr>
                <w:rFonts w:cs="Calibri"/>
                <w:b/>
                <w:iCs/>
              </w:rPr>
            </w:pPr>
          </w:p>
          <w:p w:rsidR="005025EA" w:rsidRPr="006941F7" w:rsidRDefault="005025EA" w:rsidP="00C4441F">
            <w:pPr>
              <w:widowControl w:val="0"/>
              <w:adjustRightInd w:val="0"/>
              <w:spacing w:after="0" w:line="240" w:lineRule="auto"/>
              <w:jc w:val="center"/>
              <w:textAlignment w:val="baseline"/>
              <w:rPr>
                <w:rFonts w:cs="Calibri"/>
                <w:iCs/>
              </w:rPr>
            </w:pPr>
          </w:p>
        </w:tc>
      </w:tr>
    </w:tbl>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Default="005025EA" w:rsidP="005025EA">
      <w:pPr>
        <w:widowControl w:val="0"/>
        <w:autoSpaceDE w:val="0"/>
        <w:autoSpaceDN w:val="0"/>
        <w:adjustRightInd w:val="0"/>
        <w:spacing w:after="0" w:line="240" w:lineRule="auto"/>
        <w:jc w:val="both"/>
        <w:rPr>
          <w:rFonts w:cs="Calibri"/>
          <w:b/>
          <w:bCs/>
          <w:color w:val="000000"/>
        </w:rPr>
      </w:pPr>
    </w:p>
    <w:p w:rsidR="005025EA" w:rsidRPr="006941F7" w:rsidRDefault="005025EA" w:rsidP="005025EA">
      <w:pPr>
        <w:widowControl w:val="0"/>
        <w:autoSpaceDE w:val="0"/>
        <w:autoSpaceDN w:val="0"/>
        <w:adjustRightInd w:val="0"/>
        <w:spacing w:after="0" w:line="240" w:lineRule="auto"/>
        <w:jc w:val="both"/>
        <w:rPr>
          <w:rFonts w:cs="Calibri"/>
          <w:b/>
          <w:bCs/>
          <w:color w:val="000000"/>
        </w:rPr>
      </w:pPr>
    </w:p>
    <w:p w:rsidR="005025EA" w:rsidRPr="006941F7"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7.2</w:t>
      </w:r>
      <w:r>
        <w:rPr>
          <w:rFonts w:cs="Calibri"/>
          <w:color w:val="000000"/>
        </w:rPr>
        <w:tab/>
      </w:r>
      <w:r>
        <w:rPr>
          <w:rFonts w:cs="Calibri"/>
          <w:b/>
          <w:bCs/>
          <w:color w:val="000000"/>
        </w:rPr>
        <w:t>Quality Evaluation</w:t>
      </w:r>
    </w:p>
    <w:p w:rsidR="005025EA" w:rsidRPr="00747541" w:rsidRDefault="005025EA" w:rsidP="005025EA">
      <w:pPr>
        <w:widowControl w:val="0"/>
        <w:autoSpaceDE w:val="0"/>
        <w:autoSpaceDN w:val="0"/>
        <w:adjustRightInd w:val="0"/>
        <w:spacing w:after="0" w:line="240" w:lineRule="auto"/>
        <w:jc w:val="both"/>
        <w:rPr>
          <w:rFonts w:cs="Calibri"/>
          <w:color w:val="000000"/>
        </w:rPr>
      </w:pPr>
      <w:r w:rsidRPr="006941F7">
        <w:rPr>
          <w:rFonts w:cs="Calibri"/>
          <w:b/>
          <w:bCs/>
          <w:color w:val="000000"/>
        </w:rPr>
        <w:t>Technical or quality evaluation</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The technical evaluation </w:t>
      </w:r>
      <w:proofErr w:type="gramStart"/>
      <w:r w:rsidRPr="006941F7">
        <w:rPr>
          <w:rFonts w:cs="Calibri"/>
          <w:color w:val="000000"/>
        </w:rPr>
        <w:t>will be scored</w:t>
      </w:r>
      <w:proofErr w:type="gramEnd"/>
      <w:r w:rsidRPr="006941F7">
        <w:rPr>
          <w:rFonts w:cs="Calibri"/>
          <w:color w:val="000000"/>
        </w:rPr>
        <w:t xml:space="preserve"> in accordance with the table below.</w:t>
      </w:r>
    </w:p>
    <w:p w:rsidR="005025EA" w:rsidRPr="006941F7" w:rsidRDefault="005025EA" w:rsidP="005025EA">
      <w:pPr>
        <w:widowControl w:val="0"/>
        <w:adjustRightInd w:val="0"/>
        <w:spacing w:after="0" w:line="360" w:lineRule="atLeast"/>
        <w:jc w:val="both"/>
        <w:textAlignment w:val="baseline"/>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5"/>
        <w:gridCol w:w="1559"/>
      </w:tblGrid>
      <w:tr w:rsidR="005025EA" w:rsidRPr="006941F7" w:rsidTr="00C4441F">
        <w:trPr>
          <w:tblHeader/>
          <w:jc w:val="center"/>
        </w:trPr>
        <w:tc>
          <w:tcPr>
            <w:tcW w:w="7215" w:type="dxa"/>
            <w:shd w:val="clear" w:color="auto" w:fill="F2F2F2" w:themeFill="background1" w:themeFillShade="F2"/>
          </w:tcPr>
          <w:p w:rsidR="005025EA" w:rsidRPr="006941F7" w:rsidRDefault="005025EA" w:rsidP="00C4441F">
            <w:pPr>
              <w:autoSpaceDE w:val="0"/>
              <w:autoSpaceDN w:val="0"/>
              <w:adjustRightInd w:val="0"/>
              <w:spacing w:before="60" w:after="60" w:line="240" w:lineRule="auto"/>
              <w:rPr>
                <w:rFonts w:cs="Calibri"/>
                <w:b/>
              </w:rPr>
            </w:pPr>
            <w:r w:rsidRPr="006941F7">
              <w:rPr>
                <w:rFonts w:cs="Calibri"/>
                <w:b/>
              </w:rPr>
              <w:t>Assessment</w:t>
            </w:r>
          </w:p>
        </w:tc>
        <w:tc>
          <w:tcPr>
            <w:tcW w:w="1559" w:type="dxa"/>
            <w:shd w:val="clear" w:color="auto" w:fill="F2F2F2" w:themeFill="background1" w:themeFillShade="F2"/>
          </w:tcPr>
          <w:p w:rsidR="005025EA" w:rsidRPr="006941F7" w:rsidRDefault="005025EA" w:rsidP="00C4441F">
            <w:pPr>
              <w:autoSpaceDE w:val="0"/>
              <w:autoSpaceDN w:val="0"/>
              <w:adjustRightInd w:val="0"/>
              <w:spacing w:before="60" w:after="60" w:line="240" w:lineRule="auto"/>
              <w:jc w:val="center"/>
              <w:rPr>
                <w:rFonts w:cs="Calibri"/>
                <w:b/>
              </w:rPr>
            </w:pPr>
            <w:r w:rsidRPr="006941F7">
              <w:rPr>
                <w:rFonts w:cs="Calibri"/>
                <w:b/>
              </w:rPr>
              <w:t>Allocated Score</w:t>
            </w:r>
          </w:p>
        </w:tc>
      </w:tr>
      <w:tr w:rsidR="005025EA" w:rsidRPr="006941F7" w:rsidTr="00C4441F">
        <w:trPr>
          <w:jc w:val="center"/>
        </w:trPr>
        <w:tc>
          <w:tcPr>
            <w:tcW w:w="7215" w:type="dxa"/>
          </w:tcPr>
          <w:p w:rsidR="005025EA" w:rsidRPr="006941F7" w:rsidRDefault="005025EA" w:rsidP="00C4441F">
            <w:pPr>
              <w:autoSpaceDE w:val="0"/>
              <w:autoSpaceDN w:val="0"/>
              <w:adjustRightInd w:val="0"/>
              <w:spacing w:before="60" w:after="60" w:line="240" w:lineRule="auto"/>
              <w:rPr>
                <w:rFonts w:cs="Calibri"/>
                <w:b/>
              </w:rPr>
            </w:pPr>
            <w:r w:rsidRPr="006941F7">
              <w:rPr>
                <w:rFonts w:cs="Calibri"/>
                <w:b/>
              </w:rPr>
              <w:t>Very Poor</w:t>
            </w:r>
            <w:r>
              <w:rPr>
                <w:rFonts w:cs="Calibri"/>
              </w:rPr>
              <w:t xml:space="preserve"> – </w:t>
            </w:r>
            <w:r w:rsidRPr="006941F7">
              <w:rPr>
                <w:rFonts w:cs="Calibri"/>
              </w:rPr>
              <w:t>completely fails to demonstrate</w:t>
            </w:r>
            <w:r>
              <w:rPr>
                <w:rFonts w:cs="Calibri"/>
              </w:rPr>
              <w:t xml:space="preserve"> that it will meet the criteria</w:t>
            </w:r>
          </w:p>
        </w:tc>
        <w:tc>
          <w:tcPr>
            <w:tcW w:w="1559" w:type="dxa"/>
          </w:tcPr>
          <w:p w:rsidR="005025EA" w:rsidRPr="006941F7" w:rsidRDefault="005025EA" w:rsidP="00C4441F">
            <w:pPr>
              <w:autoSpaceDE w:val="0"/>
              <w:autoSpaceDN w:val="0"/>
              <w:adjustRightInd w:val="0"/>
              <w:spacing w:before="60" w:after="60" w:line="240" w:lineRule="auto"/>
              <w:jc w:val="center"/>
              <w:rPr>
                <w:rFonts w:cs="Calibri"/>
              </w:rPr>
            </w:pPr>
            <w:r w:rsidRPr="006941F7">
              <w:rPr>
                <w:rFonts w:cs="Calibri"/>
              </w:rPr>
              <w:t>0</w:t>
            </w:r>
          </w:p>
        </w:tc>
      </w:tr>
      <w:tr w:rsidR="005025EA" w:rsidRPr="006941F7" w:rsidTr="00C4441F">
        <w:trPr>
          <w:jc w:val="center"/>
        </w:trPr>
        <w:tc>
          <w:tcPr>
            <w:tcW w:w="7215" w:type="dxa"/>
          </w:tcPr>
          <w:p w:rsidR="005025EA" w:rsidRPr="006941F7" w:rsidRDefault="005025EA" w:rsidP="00C4441F">
            <w:pPr>
              <w:autoSpaceDE w:val="0"/>
              <w:autoSpaceDN w:val="0"/>
              <w:adjustRightInd w:val="0"/>
              <w:spacing w:before="60" w:after="60" w:line="240" w:lineRule="auto"/>
              <w:rPr>
                <w:rFonts w:cs="Calibri"/>
                <w:b/>
              </w:rPr>
            </w:pPr>
            <w:r w:rsidRPr="006941F7">
              <w:rPr>
                <w:rFonts w:cs="Calibri"/>
                <w:b/>
              </w:rPr>
              <w:t>Poor</w:t>
            </w:r>
            <w:r>
              <w:rPr>
                <w:rFonts w:cs="Calibri"/>
              </w:rPr>
              <w:t xml:space="preserve"> – </w:t>
            </w:r>
            <w:r w:rsidRPr="006941F7">
              <w:rPr>
                <w:rFonts w:cs="Calibri"/>
              </w:rPr>
              <w:t>some, but very limited evidence of</w:t>
            </w:r>
            <w:r>
              <w:rPr>
                <w:rFonts w:cs="Calibri"/>
              </w:rPr>
              <w:t xml:space="preserve"> that it will meet the criteria</w:t>
            </w:r>
          </w:p>
        </w:tc>
        <w:tc>
          <w:tcPr>
            <w:tcW w:w="1559" w:type="dxa"/>
          </w:tcPr>
          <w:p w:rsidR="005025EA" w:rsidRPr="006941F7" w:rsidRDefault="005025EA" w:rsidP="00C4441F">
            <w:pPr>
              <w:autoSpaceDE w:val="0"/>
              <w:autoSpaceDN w:val="0"/>
              <w:adjustRightInd w:val="0"/>
              <w:spacing w:before="60" w:after="60" w:line="240" w:lineRule="auto"/>
              <w:jc w:val="center"/>
              <w:rPr>
                <w:rFonts w:cs="Calibri"/>
              </w:rPr>
            </w:pPr>
            <w:r w:rsidRPr="006941F7">
              <w:rPr>
                <w:rFonts w:cs="Calibri"/>
              </w:rPr>
              <w:t>1</w:t>
            </w:r>
          </w:p>
        </w:tc>
      </w:tr>
      <w:tr w:rsidR="005025EA" w:rsidRPr="006941F7" w:rsidTr="00C4441F">
        <w:trPr>
          <w:jc w:val="center"/>
        </w:trPr>
        <w:tc>
          <w:tcPr>
            <w:tcW w:w="7215" w:type="dxa"/>
          </w:tcPr>
          <w:p w:rsidR="005025EA" w:rsidRPr="006941F7" w:rsidRDefault="005025EA" w:rsidP="00C4441F">
            <w:pPr>
              <w:autoSpaceDE w:val="0"/>
              <w:autoSpaceDN w:val="0"/>
              <w:adjustRightInd w:val="0"/>
              <w:spacing w:before="60" w:after="60" w:line="240" w:lineRule="auto"/>
              <w:rPr>
                <w:rFonts w:cs="Calibri"/>
                <w:b/>
              </w:rPr>
            </w:pPr>
            <w:r w:rsidRPr="006941F7">
              <w:rPr>
                <w:rFonts w:cs="Calibri"/>
                <w:b/>
              </w:rPr>
              <w:t>Satisfactory</w:t>
            </w:r>
            <w:r>
              <w:rPr>
                <w:rFonts w:cs="Calibri"/>
              </w:rPr>
              <w:t xml:space="preserve"> – </w:t>
            </w:r>
            <w:r w:rsidRPr="006941F7">
              <w:rPr>
                <w:rFonts w:cs="Calibri"/>
              </w:rPr>
              <w:t>provides evidence that it will meet the criteria sufficientl</w:t>
            </w:r>
            <w:r>
              <w:rPr>
                <w:rFonts w:cs="Calibri"/>
              </w:rPr>
              <w:t>y</w:t>
            </w:r>
          </w:p>
        </w:tc>
        <w:tc>
          <w:tcPr>
            <w:tcW w:w="1559" w:type="dxa"/>
          </w:tcPr>
          <w:p w:rsidR="005025EA" w:rsidRPr="006941F7" w:rsidRDefault="005025EA" w:rsidP="00C4441F">
            <w:pPr>
              <w:autoSpaceDE w:val="0"/>
              <w:autoSpaceDN w:val="0"/>
              <w:adjustRightInd w:val="0"/>
              <w:spacing w:before="60" w:after="60" w:line="240" w:lineRule="auto"/>
              <w:jc w:val="center"/>
              <w:rPr>
                <w:rFonts w:cs="Calibri"/>
              </w:rPr>
            </w:pPr>
            <w:r>
              <w:rPr>
                <w:rFonts w:cs="Calibri"/>
              </w:rPr>
              <w:t>2</w:t>
            </w:r>
          </w:p>
        </w:tc>
      </w:tr>
      <w:tr w:rsidR="005025EA" w:rsidRPr="006941F7" w:rsidTr="00C4441F">
        <w:trPr>
          <w:jc w:val="center"/>
        </w:trPr>
        <w:tc>
          <w:tcPr>
            <w:tcW w:w="7215" w:type="dxa"/>
          </w:tcPr>
          <w:p w:rsidR="005025EA" w:rsidRPr="006941F7" w:rsidRDefault="005025EA" w:rsidP="00C4441F">
            <w:pPr>
              <w:autoSpaceDE w:val="0"/>
              <w:autoSpaceDN w:val="0"/>
              <w:adjustRightInd w:val="0"/>
              <w:spacing w:before="60" w:after="60" w:line="240" w:lineRule="auto"/>
              <w:rPr>
                <w:rFonts w:cs="Calibri"/>
                <w:b/>
              </w:rPr>
            </w:pPr>
            <w:r w:rsidRPr="006941F7">
              <w:rPr>
                <w:rFonts w:cs="Calibri"/>
                <w:b/>
              </w:rPr>
              <w:t>Good</w:t>
            </w:r>
            <w:r>
              <w:rPr>
                <w:rFonts w:cs="Calibri"/>
              </w:rPr>
              <w:t xml:space="preserve"> – </w:t>
            </w:r>
            <w:r w:rsidRPr="006941F7">
              <w:rPr>
                <w:rFonts w:cs="Calibri"/>
              </w:rPr>
              <w:t>shows attributes in a number of areas tha</w:t>
            </w:r>
            <w:r>
              <w:rPr>
                <w:rFonts w:cs="Calibri"/>
              </w:rPr>
              <w:t>t are in excess of the criteria</w:t>
            </w:r>
          </w:p>
        </w:tc>
        <w:tc>
          <w:tcPr>
            <w:tcW w:w="1559" w:type="dxa"/>
          </w:tcPr>
          <w:p w:rsidR="005025EA" w:rsidRPr="006941F7" w:rsidRDefault="005025EA" w:rsidP="00C4441F">
            <w:pPr>
              <w:autoSpaceDE w:val="0"/>
              <w:autoSpaceDN w:val="0"/>
              <w:adjustRightInd w:val="0"/>
              <w:spacing w:before="60" w:after="60" w:line="240" w:lineRule="auto"/>
              <w:jc w:val="center"/>
              <w:rPr>
                <w:rFonts w:cs="Calibri"/>
              </w:rPr>
            </w:pPr>
            <w:r>
              <w:rPr>
                <w:rFonts w:cs="Calibri"/>
              </w:rPr>
              <w:t>3</w:t>
            </w:r>
          </w:p>
        </w:tc>
      </w:tr>
      <w:tr w:rsidR="005025EA" w:rsidRPr="006941F7" w:rsidTr="00C4441F">
        <w:trPr>
          <w:trHeight w:val="469"/>
          <w:jc w:val="center"/>
        </w:trPr>
        <w:tc>
          <w:tcPr>
            <w:tcW w:w="7215" w:type="dxa"/>
          </w:tcPr>
          <w:p w:rsidR="005025EA" w:rsidRPr="006941F7" w:rsidRDefault="005025EA" w:rsidP="00C4441F">
            <w:pPr>
              <w:autoSpaceDE w:val="0"/>
              <w:autoSpaceDN w:val="0"/>
              <w:adjustRightInd w:val="0"/>
              <w:spacing w:before="60" w:after="60" w:line="240" w:lineRule="auto"/>
              <w:rPr>
                <w:rFonts w:cs="Calibri"/>
                <w:b/>
              </w:rPr>
            </w:pPr>
            <w:r w:rsidRPr="006941F7">
              <w:rPr>
                <w:rFonts w:cs="Calibri"/>
                <w:b/>
              </w:rPr>
              <w:t>Very good</w:t>
            </w:r>
            <w:r>
              <w:rPr>
                <w:rFonts w:cs="Calibri"/>
              </w:rPr>
              <w:t xml:space="preserve"> –</w:t>
            </w:r>
            <w:r w:rsidRPr="006941F7">
              <w:rPr>
                <w:rFonts w:cs="Calibri"/>
              </w:rPr>
              <w:t xml:space="preserve">in excess of the criteria in </w:t>
            </w:r>
            <w:r w:rsidRPr="006941F7">
              <w:rPr>
                <w:rFonts w:cs="Calibri"/>
                <w:u w:val="single"/>
              </w:rPr>
              <w:t>all</w:t>
            </w:r>
            <w:r>
              <w:rPr>
                <w:rFonts w:cs="Calibri"/>
              </w:rPr>
              <w:t xml:space="preserve"> areas</w:t>
            </w:r>
          </w:p>
        </w:tc>
        <w:tc>
          <w:tcPr>
            <w:tcW w:w="1559" w:type="dxa"/>
          </w:tcPr>
          <w:p w:rsidR="005025EA" w:rsidRPr="006941F7" w:rsidRDefault="005025EA" w:rsidP="00C4441F">
            <w:pPr>
              <w:autoSpaceDE w:val="0"/>
              <w:autoSpaceDN w:val="0"/>
              <w:adjustRightInd w:val="0"/>
              <w:spacing w:before="60" w:after="60" w:line="240" w:lineRule="auto"/>
              <w:jc w:val="center"/>
              <w:rPr>
                <w:rFonts w:cs="Calibri"/>
              </w:rPr>
            </w:pPr>
            <w:r>
              <w:rPr>
                <w:rFonts w:cs="Calibri"/>
              </w:rPr>
              <w:t>4</w:t>
            </w:r>
          </w:p>
        </w:tc>
      </w:tr>
    </w:tbl>
    <w:p w:rsidR="005025EA" w:rsidRPr="003505D1" w:rsidRDefault="005025EA" w:rsidP="005025EA">
      <w:pPr>
        <w:overflowPunct w:val="0"/>
        <w:autoSpaceDE w:val="0"/>
        <w:autoSpaceDN w:val="0"/>
        <w:adjustRightInd w:val="0"/>
        <w:spacing w:after="0" w:line="240" w:lineRule="auto"/>
        <w:textAlignment w:val="baseline"/>
        <w:rPr>
          <w:rFonts w:ascii="Arial" w:eastAsia="Calibri" w:hAnsi="Arial" w:cs="Arial"/>
          <w:color w:val="FF0000"/>
          <w:sz w:val="24"/>
          <w:szCs w:val="24"/>
        </w:rPr>
      </w:pPr>
    </w:p>
    <w:p w:rsidR="005025EA" w:rsidRDefault="005025EA" w:rsidP="005025EA">
      <w:r>
        <w:t xml:space="preserve">Quality </w:t>
      </w:r>
      <w:proofErr w:type="gramStart"/>
      <w:r>
        <w:t>will be scored</w:t>
      </w:r>
      <w:proofErr w:type="gramEnd"/>
      <w:r>
        <w:t xml:space="preserve"> in accordance with the methodology referred to in the table below. </w:t>
      </w:r>
      <w:r w:rsidRPr="004257A2">
        <w:rPr>
          <w:rFonts w:cstheme="minorHAnsi"/>
        </w:rPr>
        <w:t xml:space="preserve">A formula </w:t>
      </w:r>
      <w:proofErr w:type="gramStart"/>
      <w:r w:rsidRPr="004257A2">
        <w:rPr>
          <w:rFonts w:cstheme="minorHAnsi"/>
        </w:rPr>
        <w:t>will then be applied</w:t>
      </w:r>
      <w:proofErr w:type="gramEnd"/>
      <w:r w:rsidRPr="004257A2">
        <w:rPr>
          <w:rFonts w:cstheme="minorHAnsi"/>
        </w:rPr>
        <w:t xml:space="preserve"> to the total </w:t>
      </w:r>
      <w:r>
        <w:rPr>
          <w:rFonts w:cstheme="minorHAnsi"/>
        </w:rPr>
        <w:t>score</w:t>
      </w:r>
      <w:r w:rsidRPr="004257A2">
        <w:rPr>
          <w:rFonts w:cstheme="minorHAnsi"/>
        </w:rPr>
        <w:t xml:space="preserve"> and the </w:t>
      </w:r>
      <w:r>
        <w:rPr>
          <w:rFonts w:cstheme="minorHAnsi"/>
        </w:rPr>
        <w:t>best quality</w:t>
      </w:r>
      <w:r w:rsidRPr="004257A2">
        <w:rPr>
          <w:rFonts w:cstheme="minorHAnsi"/>
        </w:rPr>
        <w:t xml:space="preserve"> proposal will be awarded maximum points. All other proposals </w:t>
      </w:r>
      <w:proofErr w:type="gramStart"/>
      <w:r w:rsidRPr="004257A2">
        <w:rPr>
          <w:rFonts w:cstheme="minorHAnsi"/>
        </w:rPr>
        <w:t>will be scored</w:t>
      </w:r>
      <w:proofErr w:type="gramEnd"/>
      <w:r w:rsidRPr="004257A2">
        <w:rPr>
          <w:rFonts w:cstheme="minorHAnsi"/>
        </w:rPr>
        <w:t xml:space="preserve"> in proportion to the </w:t>
      </w:r>
      <w:r>
        <w:rPr>
          <w:rFonts w:cstheme="minorHAnsi"/>
        </w:rPr>
        <w:t>best quality</w:t>
      </w:r>
      <w:r w:rsidRPr="004257A2">
        <w:rPr>
          <w:rFonts w:cstheme="minorHAnsi"/>
        </w:rPr>
        <w:t xml:space="preserve"> complaint proposal. </w:t>
      </w:r>
      <w:r>
        <w:t xml:space="preserve"> </w:t>
      </w:r>
    </w:p>
    <w:p w:rsidR="005025EA" w:rsidRDefault="005025EA" w:rsidP="005025EA">
      <w:pPr>
        <w:spacing w:after="0"/>
      </w:pPr>
      <w:r>
        <w:t>Example:</w:t>
      </w:r>
    </w:p>
    <w:tbl>
      <w:tblPr>
        <w:tblW w:w="4767" w:type="pct"/>
        <w:tblInd w:w="421" w:type="dxa"/>
        <w:tblLayout w:type="fixed"/>
        <w:tblLook w:val="04A0" w:firstRow="1" w:lastRow="0" w:firstColumn="1" w:lastColumn="0" w:noHBand="0" w:noVBand="1"/>
      </w:tblPr>
      <w:tblGrid>
        <w:gridCol w:w="1275"/>
        <w:gridCol w:w="3688"/>
        <w:gridCol w:w="3633"/>
      </w:tblGrid>
      <w:tr w:rsidR="005025EA" w:rsidRPr="004257A2" w:rsidTr="00C4441F">
        <w:trPr>
          <w:trHeight w:val="333"/>
        </w:trPr>
        <w:tc>
          <w:tcPr>
            <w:tcW w:w="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025EA" w:rsidRPr="004257A2" w:rsidRDefault="005025EA" w:rsidP="00C4441F">
            <w:pPr>
              <w:pStyle w:val="NoSpacing"/>
              <w:jc w:val="center"/>
              <w:rPr>
                <w:rFonts w:cstheme="minorHAnsi"/>
                <w:b/>
                <w:lang w:eastAsia="en-GB"/>
              </w:rPr>
            </w:pPr>
            <w:r>
              <w:rPr>
                <w:rFonts w:cstheme="minorHAnsi"/>
                <w:b/>
                <w:lang w:eastAsia="en-GB"/>
              </w:rPr>
              <w:t>Quote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025EA" w:rsidRPr="004257A2" w:rsidRDefault="005025EA" w:rsidP="00C4441F">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A</w:t>
            </w:r>
          </w:p>
        </w:tc>
        <w:tc>
          <w:tcPr>
            <w:tcW w:w="211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025EA" w:rsidRPr="004257A2" w:rsidRDefault="005025EA" w:rsidP="00C4441F">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B</w:t>
            </w:r>
          </w:p>
        </w:tc>
      </w:tr>
      <w:tr w:rsidR="005025EA" w:rsidRPr="004257A2" w:rsidTr="00C4441F">
        <w:trPr>
          <w:trHeight w:hRule="exact" w:val="805"/>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5EA" w:rsidRPr="004257A2" w:rsidRDefault="005025EA" w:rsidP="00C4441F">
            <w:pPr>
              <w:pStyle w:val="NoSpacing"/>
              <w:jc w:val="center"/>
              <w:rPr>
                <w:rFonts w:cstheme="minorHAnsi"/>
                <w:lang w:eastAsia="en-GB"/>
              </w:rPr>
            </w:pPr>
            <w:r>
              <w:rPr>
                <w:rFonts w:cstheme="minorHAnsi"/>
                <w:lang w:eastAsia="en-GB"/>
              </w:rPr>
              <w:t>Points</w:t>
            </w:r>
            <w:r w:rsidRPr="004257A2">
              <w:rPr>
                <w:rFonts w:cstheme="minorHAnsi"/>
                <w:lang w:eastAsia="en-GB"/>
              </w:rPr>
              <w:t xml:space="preserve"> </w:t>
            </w:r>
            <w:r>
              <w:rPr>
                <w:rFonts w:cstheme="minorHAnsi"/>
                <w:lang w:eastAsia="en-GB"/>
              </w:rPr>
              <w:t xml:space="preserve">awarded </w:t>
            </w:r>
          </w:p>
          <w:p w:rsidR="005025EA" w:rsidRPr="004257A2" w:rsidRDefault="005025EA" w:rsidP="00C4441F">
            <w:pPr>
              <w:pStyle w:val="NoSpacing"/>
              <w:jc w:val="center"/>
              <w:rPr>
                <w:rFonts w:cstheme="minorHAnsi"/>
                <w:lang w:eastAsia="en-GB"/>
              </w:rPr>
            </w:pPr>
          </w:p>
        </w:tc>
        <w:tc>
          <w:tcPr>
            <w:tcW w:w="2145" w:type="pct"/>
            <w:tcBorders>
              <w:top w:val="single" w:sz="4" w:space="0" w:color="auto"/>
              <w:left w:val="nil"/>
              <w:bottom w:val="single" w:sz="4" w:space="0" w:color="auto"/>
              <w:right w:val="single" w:sz="4" w:space="0" w:color="auto"/>
            </w:tcBorders>
            <w:shd w:val="clear" w:color="auto" w:fill="auto"/>
            <w:noWrap/>
            <w:vAlign w:val="center"/>
          </w:tcPr>
          <w:p w:rsidR="005025EA" w:rsidRPr="004257A2" w:rsidRDefault="005025EA" w:rsidP="00C4441F">
            <w:pPr>
              <w:pStyle w:val="NoSpacing"/>
              <w:jc w:val="center"/>
              <w:rPr>
                <w:rFonts w:cstheme="minorHAnsi"/>
                <w:lang w:eastAsia="en-GB"/>
              </w:rPr>
            </w:pPr>
            <w:r>
              <w:rPr>
                <w:rFonts w:cstheme="minorHAnsi"/>
                <w:lang w:eastAsia="en-GB"/>
              </w:rPr>
              <w:t>24</w:t>
            </w:r>
          </w:p>
        </w:tc>
        <w:tc>
          <w:tcPr>
            <w:tcW w:w="2113" w:type="pct"/>
            <w:tcBorders>
              <w:top w:val="single" w:sz="4" w:space="0" w:color="auto"/>
              <w:left w:val="nil"/>
              <w:bottom w:val="single" w:sz="4" w:space="0" w:color="auto"/>
              <w:right w:val="single" w:sz="4" w:space="0" w:color="auto"/>
            </w:tcBorders>
            <w:shd w:val="clear" w:color="auto" w:fill="auto"/>
            <w:noWrap/>
            <w:vAlign w:val="center"/>
          </w:tcPr>
          <w:p w:rsidR="005025EA" w:rsidRPr="004257A2" w:rsidRDefault="005025EA" w:rsidP="00C4441F">
            <w:pPr>
              <w:pStyle w:val="NoSpacing"/>
              <w:jc w:val="center"/>
              <w:rPr>
                <w:rFonts w:cstheme="minorHAnsi"/>
                <w:lang w:eastAsia="en-GB"/>
              </w:rPr>
            </w:pPr>
            <w:r>
              <w:rPr>
                <w:rFonts w:cstheme="minorHAnsi"/>
                <w:lang w:eastAsia="en-GB"/>
              </w:rPr>
              <w:t>18</w:t>
            </w:r>
          </w:p>
        </w:tc>
      </w:tr>
      <w:tr w:rsidR="005025EA" w:rsidRPr="004257A2" w:rsidTr="00C4441F">
        <w:trPr>
          <w:trHeight w:hRule="exact" w:val="921"/>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25EA" w:rsidRPr="004257A2" w:rsidRDefault="005025EA" w:rsidP="00C4441F">
            <w:pPr>
              <w:pStyle w:val="NoSpacing"/>
              <w:jc w:val="center"/>
              <w:rPr>
                <w:rFonts w:cstheme="minorHAnsi"/>
                <w:lang w:eastAsia="en-GB"/>
              </w:rPr>
            </w:pPr>
            <w:r>
              <w:rPr>
                <w:rFonts w:cstheme="minorHAnsi"/>
                <w:lang w:eastAsia="en-GB"/>
              </w:rPr>
              <w:lastRenderedPageBreak/>
              <w:t>Total score</w:t>
            </w:r>
          </w:p>
        </w:tc>
        <w:tc>
          <w:tcPr>
            <w:tcW w:w="2145" w:type="pct"/>
            <w:tcBorders>
              <w:top w:val="single" w:sz="4" w:space="0" w:color="auto"/>
              <w:left w:val="nil"/>
              <w:bottom w:val="single" w:sz="4" w:space="0" w:color="auto"/>
              <w:right w:val="single" w:sz="4" w:space="0" w:color="auto"/>
            </w:tcBorders>
            <w:shd w:val="clear" w:color="auto" w:fill="auto"/>
            <w:noWrap/>
            <w:vAlign w:val="center"/>
          </w:tcPr>
          <w:p w:rsidR="005025EA" w:rsidRDefault="005025EA" w:rsidP="00C4441F">
            <w:pPr>
              <w:pStyle w:val="NoSpacing"/>
              <w:jc w:val="center"/>
              <w:rPr>
                <w:rFonts w:cstheme="minorHAnsi"/>
                <w:lang w:eastAsia="en-GB"/>
              </w:rPr>
            </w:pPr>
            <w:r>
              <w:rPr>
                <w:rFonts w:cstheme="minorHAnsi"/>
                <w:lang w:eastAsia="en-GB"/>
              </w:rPr>
              <w:t>Weighting/max score available x points awarded</w:t>
            </w:r>
          </w:p>
          <w:p w:rsidR="005025EA" w:rsidRPr="004257A2" w:rsidRDefault="005025EA" w:rsidP="00C4441F">
            <w:pPr>
              <w:pStyle w:val="NoSpacing"/>
              <w:jc w:val="center"/>
              <w:rPr>
                <w:rFonts w:cstheme="minorHAnsi"/>
                <w:lang w:eastAsia="en-GB"/>
              </w:rPr>
            </w:pPr>
            <w:r>
              <w:rPr>
                <w:rFonts w:cstheme="minorHAnsi"/>
                <w:lang w:eastAsia="en-GB"/>
              </w:rPr>
              <w:t xml:space="preserve">= </w:t>
            </w:r>
            <w:r w:rsidRPr="00FB756B">
              <w:rPr>
                <w:rFonts w:cstheme="minorHAnsi"/>
                <w:b/>
                <w:lang w:eastAsia="en-GB"/>
              </w:rPr>
              <w:t>75</w:t>
            </w:r>
          </w:p>
        </w:tc>
        <w:tc>
          <w:tcPr>
            <w:tcW w:w="2113" w:type="pct"/>
            <w:tcBorders>
              <w:top w:val="single" w:sz="4" w:space="0" w:color="auto"/>
              <w:left w:val="nil"/>
              <w:bottom w:val="single" w:sz="4" w:space="0" w:color="auto"/>
              <w:right w:val="single" w:sz="4" w:space="0" w:color="auto"/>
            </w:tcBorders>
            <w:shd w:val="clear" w:color="auto" w:fill="auto"/>
            <w:noWrap/>
            <w:vAlign w:val="center"/>
          </w:tcPr>
          <w:p w:rsidR="005025EA" w:rsidRDefault="005025EA" w:rsidP="00C4441F">
            <w:pPr>
              <w:pStyle w:val="NoSpacing"/>
              <w:jc w:val="center"/>
              <w:rPr>
                <w:rFonts w:cstheme="minorHAnsi"/>
                <w:lang w:eastAsia="en-GB"/>
              </w:rPr>
            </w:pPr>
            <w:r>
              <w:rPr>
                <w:rFonts w:cstheme="minorHAnsi"/>
                <w:lang w:eastAsia="en-GB"/>
              </w:rPr>
              <w:t>Weighting/max score available x points awarded</w:t>
            </w:r>
          </w:p>
          <w:p w:rsidR="005025EA" w:rsidRPr="00F93DC2" w:rsidRDefault="005025EA" w:rsidP="00C4441F">
            <w:pPr>
              <w:pStyle w:val="NoSpacing"/>
              <w:jc w:val="center"/>
              <w:rPr>
                <w:rFonts w:cstheme="minorHAnsi"/>
                <w:b/>
                <w:lang w:eastAsia="en-GB"/>
              </w:rPr>
            </w:pPr>
            <w:r w:rsidRPr="00F93DC2">
              <w:rPr>
                <w:rFonts w:cstheme="minorHAnsi"/>
                <w:b/>
                <w:lang w:eastAsia="en-GB"/>
              </w:rPr>
              <w:t>= 54</w:t>
            </w:r>
          </w:p>
        </w:tc>
      </w:tr>
    </w:tbl>
    <w:p w:rsidR="005025EA" w:rsidRDefault="005025EA" w:rsidP="005025EA">
      <w:pPr>
        <w:pStyle w:val="Headings"/>
        <w:ind w:left="0"/>
        <w:rPr>
          <w:rFonts w:asciiTheme="minorHAnsi" w:hAnsiTheme="minorHAnsi" w:cstheme="minorHAnsi"/>
          <w:color w:val="auto"/>
          <w:sz w:val="22"/>
        </w:rPr>
      </w:pPr>
    </w:p>
    <w:p w:rsidR="005025EA" w:rsidRPr="004257A2" w:rsidRDefault="005025EA" w:rsidP="005025EA">
      <w:pPr>
        <w:pStyle w:val="Headings"/>
        <w:ind w:left="0"/>
        <w:rPr>
          <w:rFonts w:asciiTheme="minorHAnsi" w:hAnsiTheme="minorHAnsi" w:cstheme="minorHAnsi"/>
          <w:color w:val="auto"/>
          <w:sz w:val="22"/>
        </w:rPr>
      </w:pPr>
      <w:r w:rsidRPr="004257A2">
        <w:rPr>
          <w:rFonts w:asciiTheme="minorHAnsi" w:hAnsiTheme="minorHAnsi" w:cstheme="minorHAnsi"/>
          <w:color w:val="auto"/>
          <w:sz w:val="22"/>
        </w:rPr>
        <w:t>7.3</w:t>
      </w:r>
      <w:r w:rsidRPr="004257A2">
        <w:rPr>
          <w:rFonts w:asciiTheme="minorHAnsi" w:hAnsiTheme="minorHAnsi" w:cstheme="minorHAnsi"/>
          <w:color w:val="auto"/>
          <w:sz w:val="22"/>
        </w:rPr>
        <w:tab/>
        <w:t xml:space="preserve">Price evaluation </w:t>
      </w:r>
    </w:p>
    <w:p w:rsidR="005025EA" w:rsidRPr="004257A2" w:rsidRDefault="005025EA" w:rsidP="005025EA">
      <w:pPr>
        <w:pStyle w:val="NoSpacing"/>
        <w:rPr>
          <w:rFonts w:cstheme="minorHAnsi"/>
        </w:rPr>
      </w:pPr>
      <w:r w:rsidRPr="004257A2">
        <w:rPr>
          <w:rFonts w:cstheme="minorHAnsi"/>
        </w:rPr>
        <w:t>Submitted prices must remain open for a period of 90 days from the closing date.</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color w:val="000000" w:themeColor="text1"/>
        </w:rPr>
      </w:pPr>
      <w:r>
        <w:rPr>
          <w:rFonts w:cstheme="minorHAnsi"/>
          <w:color w:val="000000" w:themeColor="text1"/>
        </w:rPr>
        <w:t>Respondents</w:t>
      </w:r>
      <w:r w:rsidRPr="004257A2">
        <w:rPr>
          <w:rFonts w:cstheme="minorHAnsi"/>
          <w:color w:val="000000" w:themeColor="text1"/>
        </w:rPr>
        <w:t xml:space="preserve"> are required to provide a total price for all the services detailed in the submission</w:t>
      </w:r>
      <w:r>
        <w:rPr>
          <w:rFonts w:cstheme="minorHAnsi"/>
          <w:color w:val="000000" w:themeColor="text1"/>
        </w:rPr>
        <w:t xml:space="preserve"> to GBC’s </w:t>
      </w:r>
      <w:r w:rsidRPr="004257A2">
        <w:rPr>
          <w:rFonts w:cstheme="minorHAnsi"/>
          <w:color w:val="000000" w:themeColor="text1"/>
        </w:rPr>
        <w:t xml:space="preserve">specification. </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rPr>
      </w:pPr>
      <w:r w:rsidRPr="004257A2">
        <w:rPr>
          <w:rFonts w:cstheme="minorHAnsi"/>
        </w:rPr>
        <w:t xml:space="preserve">The price </w:t>
      </w:r>
      <w:proofErr w:type="gramStart"/>
      <w:r w:rsidRPr="004257A2">
        <w:rPr>
          <w:rFonts w:cstheme="minorHAnsi"/>
        </w:rPr>
        <w:t>will be evaluated</w:t>
      </w:r>
      <w:proofErr w:type="gramEnd"/>
      <w:r w:rsidRPr="004257A2">
        <w:rPr>
          <w:rFonts w:cstheme="minorHAnsi"/>
        </w:rPr>
        <w:t xml:space="preserve"> in accordance to the scoring methodology referred to in the table below. A formula </w:t>
      </w:r>
      <w:proofErr w:type="gramStart"/>
      <w:r w:rsidRPr="004257A2">
        <w:rPr>
          <w:rFonts w:cstheme="minorHAnsi"/>
        </w:rPr>
        <w:t>will then be applied</w:t>
      </w:r>
      <w:proofErr w:type="gramEnd"/>
      <w:r w:rsidRPr="004257A2">
        <w:rPr>
          <w:rFonts w:cstheme="minorHAnsi"/>
        </w:rPr>
        <w:t xml:space="preserve"> to the total cost and the most competitively priced proposal will be awarded maximum points. All other proposals </w:t>
      </w:r>
      <w:proofErr w:type="gramStart"/>
      <w:r w:rsidRPr="004257A2">
        <w:rPr>
          <w:rFonts w:cstheme="minorHAnsi"/>
        </w:rPr>
        <w:t>will be scored</w:t>
      </w:r>
      <w:proofErr w:type="gramEnd"/>
      <w:r w:rsidRPr="004257A2">
        <w:rPr>
          <w:rFonts w:cstheme="minorHAnsi"/>
        </w:rPr>
        <w:t xml:space="preserve"> in proportion to the most competitively priced complaint proposal. </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rPr>
      </w:pPr>
      <w:r>
        <w:rPr>
          <w:rFonts w:cstheme="minorHAnsi"/>
        </w:rPr>
        <w:t>Example:</w:t>
      </w:r>
    </w:p>
    <w:tbl>
      <w:tblPr>
        <w:tblW w:w="5000" w:type="pct"/>
        <w:tblLook w:val="04A0" w:firstRow="1" w:lastRow="0" w:firstColumn="1" w:lastColumn="0" w:noHBand="0" w:noVBand="1"/>
      </w:tblPr>
      <w:tblGrid>
        <w:gridCol w:w="2087"/>
        <w:gridCol w:w="3534"/>
        <w:gridCol w:w="3395"/>
      </w:tblGrid>
      <w:tr w:rsidR="005025EA" w:rsidRPr="004257A2" w:rsidTr="00C4441F">
        <w:trPr>
          <w:trHeight w:val="227"/>
        </w:trPr>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25EA" w:rsidRPr="004257A2" w:rsidRDefault="005025EA" w:rsidP="00C4441F">
            <w:pPr>
              <w:pStyle w:val="NoSpacing"/>
              <w:jc w:val="center"/>
              <w:rPr>
                <w:rFonts w:cstheme="minorHAnsi"/>
                <w:b/>
                <w:lang w:eastAsia="en-GB"/>
              </w:rPr>
            </w:pPr>
            <w:r>
              <w:rPr>
                <w:rFonts w:cstheme="minorHAnsi"/>
                <w:b/>
                <w:lang w:eastAsia="en-GB"/>
              </w:rPr>
              <w:t>Quote</w:t>
            </w:r>
          </w:p>
        </w:tc>
        <w:tc>
          <w:tcPr>
            <w:tcW w:w="19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25EA" w:rsidRPr="004257A2" w:rsidRDefault="005025EA" w:rsidP="00C4441F">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A</w:t>
            </w: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25EA" w:rsidRPr="004257A2" w:rsidRDefault="005025EA" w:rsidP="00C4441F">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B</w:t>
            </w:r>
          </w:p>
        </w:tc>
      </w:tr>
      <w:tr w:rsidR="005025EA" w:rsidRPr="004257A2" w:rsidTr="00C4441F">
        <w:trPr>
          <w:trHeight w:hRule="exact" w:val="340"/>
        </w:trPr>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5EA" w:rsidRPr="004257A2" w:rsidRDefault="005025EA" w:rsidP="00C4441F">
            <w:pPr>
              <w:pStyle w:val="NoSpacing"/>
              <w:jc w:val="center"/>
              <w:rPr>
                <w:rFonts w:cstheme="minorHAnsi"/>
                <w:lang w:eastAsia="en-GB"/>
              </w:rPr>
            </w:pPr>
            <w:r w:rsidRPr="004257A2">
              <w:rPr>
                <w:rFonts w:cstheme="minorHAnsi"/>
                <w:lang w:eastAsia="en-GB"/>
              </w:rPr>
              <w:t>Price</w:t>
            </w:r>
          </w:p>
          <w:p w:rsidR="005025EA" w:rsidRPr="004257A2" w:rsidRDefault="005025EA" w:rsidP="00C4441F">
            <w:pPr>
              <w:pStyle w:val="NoSpacing"/>
              <w:jc w:val="center"/>
              <w:rPr>
                <w:rFonts w:cstheme="minorHAnsi"/>
                <w:lang w:eastAsia="en-GB"/>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5025EA" w:rsidRPr="004257A2" w:rsidRDefault="005025EA" w:rsidP="00C4441F">
            <w:pPr>
              <w:pStyle w:val="NoSpacing"/>
              <w:jc w:val="center"/>
              <w:rPr>
                <w:rFonts w:cstheme="minorHAnsi"/>
                <w:lang w:eastAsia="en-GB"/>
              </w:rPr>
            </w:pPr>
            <w:r w:rsidRPr="004257A2">
              <w:rPr>
                <w:rFonts w:cstheme="minorHAnsi"/>
                <w:lang w:eastAsia="en-GB"/>
              </w:rPr>
              <w:t>£15,000</w:t>
            </w:r>
          </w:p>
        </w:tc>
        <w:tc>
          <w:tcPr>
            <w:tcW w:w="1883" w:type="pct"/>
            <w:tcBorders>
              <w:top w:val="single" w:sz="4" w:space="0" w:color="auto"/>
              <w:left w:val="nil"/>
              <w:bottom w:val="single" w:sz="4" w:space="0" w:color="auto"/>
              <w:right w:val="single" w:sz="4" w:space="0" w:color="auto"/>
            </w:tcBorders>
            <w:shd w:val="clear" w:color="auto" w:fill="auto"/>
            <w:noWrap/>
            <w:vAlign w:val="center"/>
          </w:tcPr>
          <w:p w:rsidR="005025EA" w:rsidRPr="004257A2" w:rsidRDefault="005025EA" w:rsidP="00C4441F">
            <w:pPr>
              <w:pStyle w:val="NoSpacing"/>
              <w:jc w:val="center"/>
              <w:rPr>
                <w:rFonts w:cstheme="minorHAnsi"/>
                <w:lang w:eastAsia="en-GB"/>
              </w:rPr>
            </w:pPr>
            <w:r w:rsidRPr="004257A2">
              <w:rPr>
                <w:rFonts w:cstheme="minorHAnsi"/>
                <w:lang w:eastAsia="en-GB"/>
              </w:rPr>
              <w:t>£17,000</w:t>
            </w:r>
          </w:p>
        </w:tc>
      </w:tr>
      <w:tr w:rsidR="005025EA" w:rsidRPr="004257A2" w:rsidTr="00C4441F">
        <w:trPr>
          <w:trHeight w:hRule="exact" w:val="627"/>
        </w:trPr>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25EA" w:rsidRPr="004257A2" w:rsidRDefault="005025EA" w:rsidP="00C4441F">
            <w:pPr>
              <w:pStyle w:val="NoSpacing"/>
              <w:jc w:val="center"/>
              <w:rPr>
                <w:rFonts w:cstheme="minorHAnsi"/>
                <w:lang w:eastAsia="en-GB"/>
              </w:rPr>
            </w:pPr>
            <w:r w:rsidRPr="004257A2">
              <w:rPr>
                <w:rFonts w:cstheme="minorHAnsi"/>
                <w:lang w:eastAsia="en-GB"/>
              </w:rPr>
              <w:t>Score</w:t>
            </w: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5025EA" w:rsidRDefault="005025EA" w:rsidP="00C4441F">
            <w:pPr>
              <w:pStyle w:val="NoSpacing"/>
              <w:jc w:val="center"/>
              <w:rPr>
                <w:rFonts w:cstheme="minorHAnsi"/>
                <w:lang w:eastAsia="en-GB"/>
              </w:rPr>
            </w:pPr>
            <w:r>
              <w:rPr>
                <w:rFonts w:cstheme="minorHAnsi"/>
                <w:lang w:eastAsia="en-GB"/>
              </w:rPr>
              <w:t xml:space="preserve">Lowest price / bid price x weighting </w:t>
            </w:r>
          </w:p>
          <w:p w:rsidR="005025EA" w:rsidRPr="00800133" w:rsidRDefault="005025EA" w:rsidP="00C4441F">
            <w:pPr>
              <w:pStyle w:val="NoSpacing"/>
              <w:jc w:val="center"/>
              <w:rPr>
                <w:rFonts w:cstheme="minorHAnsi"/>
                <w:b/>
                <w:lang w:eastAsia="en-GB"/>
              </w:rPr>
            </w:pPr>
            <w:r w:rsidRPr="00800133">
              <w:rPr>
                <w:rFonts w:cstheme="minorHAnsi"/>
                <w:b/>
                <w:lang w:eastAsia="en-GB"/>
              </w:rPr>
              <w:t>= 25</w:t>
            </w:r>
          </w:p>
        </w:tc>
        <w:tc>
          <w:tcPr>
            <w:tcW w:w="1883" w:type="pct"/>
            <w:tcBorders>
              <w:top w:val="single" w:sz="4" w:space="0" w:color="auto"/>
              <w:left w:val="nil"/>
              <w:bottom w:val="single" w:sz="4" w:space="0" w:color="auto"/>
              <w:right w:val="single" w:sz="4" w:space="0" w:color="auto"/>
            </w:tcBorders>
            <w:shd w:val="clear" w:color="auto" w:fill="auto"/>
            <w:noWrap/>
            <w:vAlign w:val="center"/>
          </w:tcPr>
          <w:p w:rsidR="005025EA" w:rsidRDefault="005025EA" w:rsidP="00C4441F">
            <w:pPr>
              <w:pStyle w:val="NoSpacing"/>
              <w:jc w:val="center"/>
              <w:rPr>
                <w:rFonts w:cstheme="minorHAnsi"/>
                <w:lang w:eastAsia="en-GB"/>
              </w:rPr>
            </w:pPr>
            <w:r>
              <w:rPr>
                <w:rFonts w:cstheme="minorHAnsi"/>
                <w:lang w:eastAsia="en-GB"/>
              </w:rPr>
              <w:t xml:space="preserve">Lowest price / bid price x weighting </w:t>
            </w:r>
          </w:p>
          <w:p w:rsidR="005025EA" w:rsidRPr="00800133" w:rsidRDefault="005025EA" w:rsidP="00C4441F">
            <w:pPr>
              <w:pStyle w:val="NoSpacing"/>
              <w:jc w:val="center"/>
              <w:rPr>
                <w:rFonts w:cstheme="minorHAnsi"/>
                <w:b/>
                <w:lang w:eastAsia="en-GB"/>
              </w:rPr>
            </w:pPr>
            <w:r w:rsidRPr="00800133">
              <w:rPr>
                <w:rFonts w:cstheme="minorHAnsi"/>
                <w:b/>
                <w:lang w:eastAsia="en-GB"/>
              </w:rPr>
              <w:t>= 22</w:t>
            </w:r>
          </w:p>
        </w:tc>
      </w:tr>
    </w:tbl>
    <w:p w:rsidR="005025EA" w:rsidRPr="004257A2" w:rsidRDefault="005025EA" w:rsidP="005025EA">
      <w:pPr>
        <w:rPr>
          <w:rFonts w:cstheme="minorHAnsi"/>
          <w:b/>
          <w:color w:val="5F497A"/>
        </w:rPr>
      </w:pPr>
    </w:p>
    <w:p w:rsidR="005025EA" w:rsidRPr="004257A2" w:rsidRDefault="005025EA" w:rsidP="005025EA">
      <w:pPr>
        <w:pStyle w:val="Headings"/>
        <w:ind w:left="0"/>
        <w:rPr>
          <w:rFonts w:asciiTheme="minorHAnsi" w:hAnsiTheme="minorHAnsi" w:cstheme="minorHAnsi"/>
          <w:color w:val="auto"/>
          <w:sz w:val="22"/>
        </w:rPr>
      </w:pPr>
      <w:r w:rsidRPr="004257A2">
        <w:rPr>
          <w:rFonts w:asciiTheme="minorHAnsi" w:hAnsiTheme="minorHAnsi" w:cstheme="minorHAnsi"/>
          <w:color w:val="auto"/>
          <w:sz w:val="22"/>
        </w:rPr>
        <w:t xml:space="preserve">8. CONTRACT AWARD </w:t>
      </w:r>
    </w:p>
    <w:p w:rsidR="005025EA" w:rsidRPr="004257A2" w:rsidRDefault="005025EA" w:rsidP="005025EA">
      <w:pPr>
        <w:autoSpaceDE w:val="0"/>
        <w:autoSpaceDN w:val="0"/>
        <w:adjustRightInd w:val="0"/>
        <w:spacing w:after="0" w:line="240" w:lineRule="auto"/>
        <w:rPr>
          <w:rFonts w:cstheme="minorHAnsi"/>
          <w:color w:val="000000"/>
        </w:rPr>
      </w:pPr>
      <w:r w:rsidRPr="004257A2">
        <w:rPr>
          <w:rFonts w:cstheme="minorHAnsi"/>
          <w:color w:val="000000"/>
        </w:rPr>
        <w:t>The Council will award</w:t>
      </w:r>
      <w:r>
        <w:rPr>
          <w:rFonts w:cstheme="minorHAnsi"/>
          <w:color w:val="000000"/>
        </w:rPr>
        <w:t xml:space="preserve"> the Contract on the basis of the Quote </w:t>
      </w:r>
      <w:r w:rsidRPr="004257A2">
        <w:rPr>
          <w:rFonts w:cstheme="minorHAnsi"/>
          <w:color w:val="000000"/>
        </w:rPr>
        <w:t>submitted and will</w:t>
      </w:r>
      <w:r>
        <w:rPr>
          <w:rFonts w:cstheme="minorHAnsi"/>
          <w:color w:val="000000"/>
        </w:rPr>
        <w:t xml:space="preserve"> be based upon all of the quotation</w:t>
      </w:r>
      <w:r w:rsidRPr="004257A2">
        <w:rPr>
          <w:rFonts w:cstheme="minorHAnsi"/>
          <w:color w:val="000000"/>
        </w:rPr>
        <w:t xml:space="preserve"> documents issued by the Council including the Council’s standard terms and conditions. </w:t>
      </w:r>
    </w:p>
    <w:p w:rsidR="005025EA" w:rsidRPr="004257A2" w:rsidRDefault="005025EA" w:rsidP="005025EA">
      <w:pPr>
        <w:pStyle w:val="NoSpacing"/>
        <w:rPr>
          <w:rFonts w:cstheme="minorHAnsi"/>
          <w:lang w:val="en-US"/>
        </w:rPr>
      </w:pPr>
    </w:p>
    <w:p w:rsidR="005025EA" w:rsidRPr="004257A2" w:rsidRDefault="005025EA" w:rsidP="005025EA">
      <w:pPr>
        <w:pStyle w:val="NoSpacing"/>
        <w:rPr>
          <w:rFonts w:cstheme="minorHAnsi"/>
        </w:rPr>
      </w:pPr>
      <w:r w:rsidRPr="004257A2">
        <w:rPr>
          <w:rFonts w:cstheme="minorHAnsi"/>
        </w:rPr>
        <w:t xml:space="preserve">Contract award under this procurement </w:t>
      </w:r>
      <w:proofErr w:type="gramStart"/>
      <w:r w:rsidRPr="004257A2">
        <w:rPr>
          <w:rFonts w:cstheme="minorHAnsi"/>
        </w:rPr>
        <w:t>will be awarded</w:t>
      </w:r>
      <w:proofErr w:type="gramEnd"/>
      <w:r w:rsidRPr="004257A2">
        <w:rPr>
          <w:rFonts w:cstheme="minorHAnsi"/>
        </w:rPr>
        <w:t xml:space="preserve"> based on the offer that is the most </w:t>
      </w:r>
      <w:r>
        <w:rPr>
          <w:rFonts w:cstheme="minorHAnsi"/>
        </w:rPr>
        <w:t>advantageous to GBC.</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rPr>
      </w:pPr>
      <w:r w:rsidRPr="004257A2">
        <w:rPr>
          <w:rFonts w:cstheme="minorHAnsi"/>
        </w:rPr>
        <w:t xml:space="preserve">The </w:t>
      </w:r>
      <w:r>
        <w:rPr>
          <w:rFonts w:cstheme="minorHAnsi"/>
        </w:rPr>
        <w:t>Respondent</w:t>
      </w:r>
      <w:r w:rsidRPr="004257A2">
        <w:rPr>
          <w:rFonts w:cstheme="minorHAnsi"/>
        </w:rPr>
        <w:t xml:space="preserve"> that achieves the highest total score </w:t>
      </w:r>
      <w:proofErr w:type="gramStart"/>
      <w:r w:rsidRPr="004257A2">
        <w:rPr>
          <w:rFonts w:cstheme="minorHAnsi"/>
        </w:rPr>
        <w:t>will be awarded</w:t>
      </w:r>
      <w:proofErr w:type="gramEnd"/>
      <w:r w:rsidRPr="004257A2">
        <w:rPr>
          <w:rFonts w:cstheme="minorHAnsi"/>
        </w:rPr>
        <w:t xml:space="preserve"> the Contract. </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rPr>
      </w:pPr>
      <w:r w:rsidRPr="004257A2">
        <w:rPr>
          <w:rFonts w:cstheme="minorHAnsi"/>
        </w:rPr>
        <w:t>In striving for a high standar</w:t>
      </w:r>
      <w:r>
        <w:rPr>
          <w:rFonts w:cstheme="minorHAnsi"/>
        </w:rPr>
        <w:t xml:space="preserve">d of quality / </w:t>
      </w:r>
      <w:proofErr w:type="gramStart"/>
      <w:r>
        <w:rPr>
          <w:rFonts w:cstheme="minorHAnsi"/>
        </w:rPr>
        <w:t>service</w:t>
      </w:r>
      <w:proofErr w:type="gramEnd"/>
      <w:r>
        <w:rPr>
          <w:rFonts w:cstheme="minorHAnsi"/>
        </w:rPr>
        <w:t xml:space="preserve"> any quotation</w:t>
      </w:r>
      <w:r w:rsidRPr="004257A2">
        <w:rPr>
          <w:rFonts w:cstheme="minorHAnsi"/>
        </w:rPr>
        <w:t xml:space="preserve"> which achieves an unsatisfactory score (0) in any of the quality submissions will be rejected.</w:t>
      </w:r>
    </w:p>
    <w:p w:rsidR="005025EA" w:rsidRPr="004257A2" w:rsidRDefault="005025EA" w:rsidP="005025EA">
      <w:pPr>
        <w:pStyle w:val="NoSpacing"/>
        <w:rPr>
          <w:rFonts w:cstheme="minorHAnsi"/>
        </w:rPr>
      </w:pPr>
    </w:p>
    <w:p w:rsidR="005025EA" w:rsidRPr="006A5A22" w:rsidRDefault="005025EA" w:rsidP="005025EA">
      <w:pPr>
        <w:pStyle w:val="NoSpacing"/>
        <w:rPr>
          <w:rFonts w:cstheme="minorHAnsi"/>
        </w:rPr>
      </w:pPr>
      <w:r w:rsidRPr="004257A2">
        <w:rPr>
          <w:rFonts w:cstheme="minorHAnsi"/>
          <w:color w:val="000000"/>
        </w:rPr>
        <w:t xml:space="preserve">All bidders </w:t>
      </w:r>
      <w:proofErr w:type="gramStart"/>
      <w:r w:rsidRPr="004257A2">
        <w:rPr>
          <w:rFonts w:cstheme="minorHAnsi"/>
          <w:color w:val="000000"/>
        </w:rPr>
        <w:t>will be notified</w:t>
      </w:r>
      <w:proofErr w:type="gramEnd"/>
      <w:r w:rsidRPr="004257A2">
        <w:rPr>
          <w:rFonts w:cstheme="minorHAnsi"/>
          <w:color w:val="000000"/>
        </w:rPr>
        <w:t xml:space="preserve"> of the outcome of their </w:t>
      </w:r>
      <w:r>
        <w:rPr>
          <w:rFonts w:cstheme="minorHAnsi"/>
          <w:color w:val="000000"/>
        </w:rPr>
        <w:t>submission</w:t>
      </w:r>
      <w:r w:rsidRPr="004257A2">
        <w:rPr>
          <w:rFonts w:cstheme="minorHAnsi"/>
          <w:color w:val="000000"/>
        </w:rPr>
        <w:t xml:space="preserve"> via </w:t>
      </w:r>
      <w:proofErr w:type="spellStart"/>
      <w:r w:rsidRPr="004257A2">
        <w:rPr>
          <w:rFonts w:cstheme="minorHAnsi"/>
          <w:color w:val="000000"/>
        </w:rPr>
        <w:t>Proactis</w:t>
      </w:r>
      <w:proofErr w:type="spellEnd"/>
      <w:r w:rsidRPr="004257A2">
        <w:rPr>
          <w:rFonts w:cstheme="minorHAnsi"/>
          <w:color w:val="000000"/>
        </w:rPr>
        <w:t>.</w:t>
      </w:r>
    </w:p>
    <w:p w:rsidR="00667BE4" w:rsidRPr="00667BE4" w:rsidRDefault="00667BE4" w:rsidP="00667BE4">
      <w:pPr>
        <w:rPr>
          <w:rFonts w:ascii="Raleway" w:hAnsi="Raleway"/>
          <w:color w:val="548DD4" w:themeColor="text2" w:themeTint="99"/>
        </w:rPr>
      </w:pPr>
    </w:p>
    <w:sectPr w:rsidR="00667BE4" w:rsidRPr="00667B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0A" w:rsidRDefault="00E7460A" w:rsidP="00101C3A">
      <w:pPr>
        <w:spacing w:after="0" w:line="240" w:lineRule="auto"/>
      </w:pPr>
      <w:r>
        <w:separator/>
      </w:r>
    </w:p>
  </w:endnote>
  <w:endnote w:type="continuationSeparator" w:id="0">
    <w:p w:rsidR="00E7460A" w:rsidRDefault="00E7460A" w:rsidP="0010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altName w:val="Corbel"/>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0A" w:rsidRDefault="00E7460A">
    <w:pPr>
      <w:pStyle w:val="Footer"/>
    </w:pPr>
    <w:r>
      <w:rPr>
        <w:noProof/>
        <w:lang w:eastAsia="en-GB"/>
      </w:rPr>
      <w:drawing>
        <wp:inline distT="0" distB="0" distL="0" distR="0" wp14:anchorId="17CCF433" wp14:editId="2CC10F09">
          <wp:extent cx="1552754" cy="54559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26" cy="546183"/>
                  </a:xfrm>
                  <a:prstGeom prst="rect">
                    <a:avLst/>
                  </a:prstGeom>
                  <a:noFill/>
                  <a:ln>
                    <a:noFill/>
                  </a:ln>
                </pic:spPr>
              </pic:pic>
            </a:graphicData>
          </a:graphic>
        </wp:inline>
      </w:drawing>
    </w:r>
    <w:r>
      <w:tab/>
    </w:r>
    <w:r>
      <w:tab/>
    </w:r>
    <w:r>
      <w:rPr>
        <w:noProof/>
        <w:lang w:eastAsia="en-GB"/>
      </w:rPr>
      <w:drawing>
        <wp:inline distT="0" distB="0" distL="0" distR="0" wp14:anchorId="015D8320" wp14:editId="7B7C223C">
          <wp:extent cx="1604513" cy="53060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0A" w:rsidRDefault="00E7460A" w:rsidP="00101C3A">
      <w:pPr>
        <w:spacing w:after="0" w:line="240" w:lineRule="auto"/>
      </w:pPr>
      <w:r>
        <w:separator/>
      </w:r>
    </w:p>
  </w:footnote>
  <w:footnote w:type="continuationSeparator" w:id="0">
    <w:p w:rsidR="00E7460A" w:rsidRDefault="00E7460A" w:rsidP="0010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7FAD0"/>
    <w:multiLevelType w:val="singleLevel"/>
    <w:tmpl w:val="4CCACDBD"/>
    <w:lvl w:ilvl="0">
      <w:numFmt w:val="decimal"/>
      <w:lvlText w:val="•"/>
      <w:lvlJc w:val="left"/>
      <w:rPr>
        <w:rFonts w:cs="Times New Roman"/>
      </w:rPr>
    </w:lvl>
  </w:abstractNum>
  <w:abstractNum w:abstractNumId="1" w15:restartNumberingAfterBreak="0">
    <w:nsid w:val="B46B299A"/>
    <w:multiLevelType w:val="singleLevel"/>
    <w:tmpl w:val="F5276F10"/>
    <w:lvl w:ilvl="0">
      <w:numFmt w:val="decimal"/>
      <w:lvlText w:val="•"/>
      <w:lvlJc w:val="left"/>
      <w:rPr>
        <w:rFonts w:cs="Times New Roman"/>
      </w:rPr>
    </w:lvl>
  </w:abstractNum>
  <w:abstractNum w:abstractNumId="2" w15:restartNumberingAfterBreak="0">
    <w:nsid w:val="B61ED163"/>
    <w:multiLevelType w:val="singleLevel"/>
    <w:tmpl w:val="CC140681"/>
    <w:lvl w:ilvl="0">
      <w:numFmt w:val="decimal"/>
      <w:lvlText w:val="•"/>
      <w:lvlJc w:val="left"/>
      <w:rPr>
        <w:rFonts w:cs="Times New Roman"/>
      </w:rPr>
    </w:lvl>
  </w:abstractNum>
  <w:abstractNum w:abstractNumId="3" w15:restartNumberingAfterBreak="0">
    <w:nsid w:val="B807EA96"/>
    <w:multiLevelType w:val="singleLevel"/>
    <w:tmpl w:val="42C5A194"/>
    <w:lvl w:ilvl="0">
      <w:numFmt w:val="decimal"/>
      <w:lvlText w:val="•"/>
      <w:lvlJc w:val="left"/>
      <w:rPr>
        <w:rFonts w:cs="Times New Roman"/>
      </w:rPr>
    </w:lvl>
  </w:abstractNum>
  <w:abstractNum w:abstractNumId="4" w15:restartNumberingAfterBreak="0">
    <w:nsid w:val="BADA85B8"/>
    <w:multiLevelType w:val="singleLevel"/>
    <w:tmpl w:val="BC9BDD84"/>
    <w:lvl w:ilvl="0">
      <w:numFmt w:val="decimal"/>
      <w:lvlText w:val="•"/>
      <w:lvlJc w:val="left"/>
      <w:rPr>
        <w:rFonts w:cs="Times New Roman"/>
      </w:rPr>
    </w:lvl>
  </w:abstractNum>
  <w:abstractNum w:abstractNumId="5" w15:restartNumberingAfterBreak="0">
    <w:nsid w:val="BF536F0E"/>
    <w:multiLevelType w:val="singleLevel"/>
    <w:tmpl w:val="9B8170EA"/>
    <w:lvl w:ilvl="0">
      <w:numFmt w:val="decimal"/>
      <w:lvlText w:val="•"/>
      <w:lvlJc w:val="left"/>
      <w:rPr>
        <w:rFonts w:cs="Times New Roman"/>
      </w:rPr>
    </w:lvl>
  </w:abstractNum>
  <w:abstractNum w:abstractNumId="6" w15:restartNumberingAfterBreak="0">
    <w:nsid w:val="DC13C8BA"/>
    <w:multiLevelType w:val="singleLevel"/>
    <w:tmpl w:val="FE53F56C"/>
    <w:lvl w:ilvl="0">
      <w:numFmt w:val="decimal"/>
      <w:lvlText w:val="•"/>
      <w:lvlJc w:val="left"/>
      <w:rPr>
        <w:rFonts w:cs="Times New Roman"/>
      </w:rPr>
    </w:lvl>
  </w:abstractNum>
  <w:abstractNum w:abstractNumId="7" w15:restartNumberingAfterBreak="0">
    <w:nsid w:val="DDF72445"/>
    <w:multiLevelType w:val="singleLevel"/>
    <w:tmpl w:val="DC25A7BE"/>
    <w:lvl w:ilvl="0">
      <w:numFmt w:val="decimal"/>
      <w:lvlText w:val="•"/>
      <w:lvlJc w:val="left"/>
      <w:rPr>
        <w:rFonts w:cs="Times New Roman"/>
      </w:rPr>
    </w:lvl>
  </w:abstractNum>
  <w:abstractNum w:abstractNumId="8" w15:restartNumberingAfterBreak="0">
    <w:nsid w:val="F7C4B1C5"/>
    <w:multiLevelType w:val="singleLevel"/>
    <w:tmpl w:val="9D8D9840"/>
    <w:lvl w:ilvl="0">
      <w:numFmt w:val="decimal"/>
      <w:lvlText w:val="•"/>
      <w:lvlJc w:val="left"/>
      <w:rPr>
        <w:rFonts w:cs="Times New Roman"/>
      </w:rPr>
    </w:lvl>
  </w:abstractNum>
  <w:abstractNum w:abstractNumId="9" w15:restartNumberingAfterBreak="0">
    <w:nsid w:val="0DE98E25"/>
    <w:multiLevelType w:val="singleLevel"/>
    <w:tmpl w:val="F39284D8"/>
    <w:lvl w:ilvl="0">
      <w:numFmt w:val="decimal"/>
      <w:lvlText w:val="•"/>
      <w:lvlJc w:val="left"/>
      <w:rPr>
        <w:rFonts w:cs="Times New Roman"/>
      </w:rPr>
    </w:lvl>
  </w:abstractNum>
  <w:abstractNum w:abstractNumId="10" w15:restartNumberingAfterBreak="0">
    <w:nsid w:val="0F368EA8"/>
    <w:multiLevelType w:val="singleLevel"/>
    <w:tmpl w:val="DEEDBE67"/>
    <w:lvl w:ilvl="0">
      <w:numFmt w:val="decimal"/>
      <w:lvlText w:val="•"/>
      <w:lvlJc w:val="left"/>
      <w:rPr>
        <w:rFonts w:cs="Times New Roman"/>
      </w:rPr>
    </w:lvl>
  </w:abstractNum>
  <w:abstractNum w:abstractNumId="11" w15:restartNumberingAfterBreak="0">
    <w:nsid w:val="1D45085D"/>
    <w:multiLevelType w:val="hybridMultilevel"/>
    <w:tmpl w:val="1558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70E24"/>
    <w:multiLevelType w:val="hybridMultilevel"/>
    <w:tmpl w:val="5A281166"/>
    <w:lvl w:ilvl="0" w:tplc="9D8D9840">
      <w:numFmt w:val="decimal"/>
      <w:lvlText w:val="•"/>
      <w:lvlJc w:val="left"/>
      <w:rPr>
        <w:rFonts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45E44E3"/>
    <w:multiLevelType w:val="multilevel"/>
    <w:tmpl w:val="C882A212"/>
    <w:lvl w:ilvl="0">
      <w:start w:val="1"/>
      <w:numFmt w:val="decimal"/>
      <w:lvlText w:val="%1."/>
      <w:lvlJc w:val="left"/>
      <w:pPr>
        <w:ind w:left="420" w:hanging="360"/>
      </w:pPr>
      <w:rPr>
        <w:rFonts w:hint="default"/>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4" w15:restartNumberingAfterBreak="0">
    <w:nsid w:val="36EA5EA0"/>
    <w:multiLevelType w:val="singleLevel"/>
    <w:tmpl w:val="D62D052C"/>
    <w:lvl w:ilvl="0">
      <w:numFmt w:val="decimal"/>
      <w:lvlText w:val="•"/>
      <w:lvlJc w:val="left"/>
      <w:rPr>
        <w:rFonts w:cs="Times New Roman"/>
      </w:rPr>
    </w:lvl>
  </w:abstractNum>
  <w:abstractNum w:abstractNumId="15" w15:restartNumberingAfterBreak="0">
    <w:nsid w:val="3C7D486C"/>
    <w:multiLevelType w:val="hybridMultilevel"/>
    <w:tmpl w:val="335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C775E"/>
    <w:multiLevelType w:val="singleLevel"/>
    <w:tmpl w:val="09DBAA6D"/>
    <w:lvl w:ilvl="0">
      <w:numFmt w:val="decimal"/>
      <w:lvlText w:val="•"/>
      <w:lvlJc w:val="left"/>
      <w:rPr>
        <w:rFonts w:cs="Times New Roman"/>
      </w:rPr>
    </w:lvl>
  </w:abstractNum>
  <w:abstractNum w:abstractNumId="17" w15:restartNumberingAfterBreak="0">
    <w:nsid w:val="63BFF6D9"/>
    <w:multiLevelType w:val="singleLevel"/>
    <w:tmpl w:val="D4D44392"/>
    <w:lvl w:ilvl="0">
      <w:numFmt w:val="decimal"/>
      <w:lvlText w:val="•"/>
      <w:lvlJc w:val="left"/>
      <w:rPr>
        <w:rFonts w:cs="Times New Roman"/>
      </w:rPr>
    </w:lvl>
  </w:abstractNum>
  <w:abstractNum w:abstractNumId="18" w15:restartNumberingAfterBreak="0">
    <w:nsid w:val="6939524B"/>
    <w:multiLevelType w:val="singleLevel"/>
    <w:tmpl w:val="AF377CE7"/>
    <w:lvl w:ilvl="0">
      <w:numFmt w:val="decimal"/>
      <w:lvlText w:val="•"/>
      <w:lvlJc w:val="left"/>
      <w:rPr>
        <w:rFonts w:cs="Times New Roman"/>
      </w:rPr>
    </w:lvl>
  </w:abstractNum>
  <w:num w:numId="1">
    <w:abstractNumId w:val="13"/>
  </w:num>
  <w:num w:numId="2">
    <w:abstractNumId w:val="15"/>
  </w:num>
  <w:num w:numId="3">
    <w:abstractNumId w:val="8"/>
  </w:num>
  <w:num w:numId="4">
    <w:abstractNumId w:val="7"/>
  </w:num>
  <w:num w:numId="5">
    <w:abstractNumId w:val="1"/>
  </w:num>
  <w:num w:numId="6">
    <w:abstractNumId w:val="16"/>
  </w:num>
  <w:num w:numId="7">
    <w:abstractNumId w:val="9"/>
  </w:num>
  <w:num w:numId="8">
    <w:abstractNumId w:val="18"/>
  </w:num>
  <w:num w:numId="9">
    <w:abstractNumId w:val="3"/>
  </w:num>
  <w:num w:numId="10">
    <w:abstractNumId w:val="5"/>
  </w:num>
  <w:num w:numId="11">
    <w:abstractNumId w:val="17"/>
  </w:num>
  <w:num w:numId="12">
    <w:abstractNumId w:val="0"/>
  </w:num>
  <w:num w:numId="13">
    <w:abstractNumId w:val="14"/>
  </w:num>
  <w:num w:numId="14">
    <w:abstractNumId w:val="6"/>
  </w:num>
  <w:num w:numId="15">
    <w:abstractNumId w:val="2"/>
  </w:num>
  <w:num w:numId="16">
    <w:abstractNumId w:val="12"/>
  </w:num>
  <w:num w:numId="17">
    <w:abstractNumId w:val="1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E4"/>
    <w:rsid w:val="000F2964"/>
    <w:rsid w:val="00101C3A"/>
    <w:rsid w:val="001F0D78"/>
    <w:rsid w:val="00214929"/>
    <w:rsid w:val="0026753C"/>
    <w:rsid w:val="002A5503"/>
    <w:rsid w:val="00454846"/>
    <w:rsid w:val="005025EA"/>
    <w:rsid w:val="00535007"/>
    <w:rsid w:val="00667BE4"/>
    <w:rsid w:val="0067123A"/>
    <w:rsid w:val="00A0550A"/>
    <w:rsid w:val="00A21A7F"/>
    <w:rsid w:val="00C4441F"/>
    <w:rsid w:val="00E7460A"/>
    <w:rsid w:val="00F3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9517"/>
  <w15:chartTrackingRefBased/>
  <w15:docId w15:val="{313E5B07-553E-442D-A91B-2867E74E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25E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C3A"/>
  </w:style>
  <w:style w:type="paragraph" w:styleId="Footer">
    <w:name w:val="footer"/>
    <w:basedOn w:val="Normal"/>
    <w:link w:val="FooterChar"/>
    <w:uiPriority w:val="99"/>
    <w:unhideWhenUsed/>
    <w:rsid w:val="0010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C3A"/>
  </w:style>
  <w:style w:type="character" w:customStyle="1" w:styleId="Heading2Char">
    <w:name w:val="Heading 2 Char"/>
    <w:basedOn w:val="DefaultParagraphFont"/>
    <w:link w:val="Heading2"/>
    <w:uiPriority w:val="9"/>
    <w:semiHidden/>
    <w:rsid w:val="005025EA"/>
    <w:rPr>
      <w:rFonts w:asciiTheme="majorHAnsi" w:eastAsiaTheme="majorEastAsia" w:hAnsiTheme="majorHAnsi" w:cstheme="majorBidi"/>
      <w:color w:val="365F91" w:themeColor="accent1" w:themeShade="BF"/>
      <w:sz w:val="26"/>
      <w:szCs w:val="26"/>
    </w:rPr>
  </w:style>
  <w:style w:type="paragraph" w:customStyle="1" w:styleId="Default">
    <w:name w:val="Default"/>
    <w:rsid w:val="005025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25EA"/>
    <w:pPr>
      <w:spacing w:after="160" w:line="259" w:lineRule="auto"/>
      <w:ind w:left="720"/>
      <w:contextualSpacing/>
    </w:pPr>
  </w:style>
  <w:style w:type="table" w:styleId="TableGrid">
    <w:name w:val="Table Grid"/>
    <w:basedOn w:val="TableNormal"/>
    <w:uiPriority w:val="59"/>
    <w:rsid w:val="005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5025EA"/>
    <w:pPr>
      <w:spacing w:after="0" w:line="240" w:lineRule="auto"/>
    </w:pPr>
  </w:style>
  <w:style w:type="character" w:customStyle="1" w:styleId="NoSpacingChar">
    <w:name w:val="No Spacing Char"/>
    <w:aliases w:val="Text Char"/>
    <w:basedOn w:val="DefaultParagraphFont"/>
    <w:link w:val="NoSpacing"/>
    <w:uiPriority w:val="1"/>
    <w:rsid w:val="005025EA"/>
  </w:style>
  <w:style w:type="paragraph" w:customStyle="1" w:styleId="Headings">
    <w:name w:val="Headings"/>
    <w:basedOn w:val="Normal"/>
    <w:next w:val="NoSpacing"/>
    <w:uiPriority w:val="1"/>
    <w:qFormat/>
    <w:rsid w:val="005025EA"/>
    <w:pPr>
      <w:widowControl w:val="0"/>
      <w:autoSpaceDE w:val="0"/>
      <w:autoSpaceDN w:val="0"/>
      <w:spacing w:before="117" w:after="0" w:line="240" w:lineRule="auto"/>
      <w:ind w:left="103"/>
    </w:pPr>
    <w:rPr>
      <w:rFonts w:ascii="Verdana" w:eastAsia="Arial" w:hAnsi="Verdana" w:cs="Arial"/>
      <w:b/>
      <w:color w:val="7030A0"/>
      <w:sz w:val="24"/>
      <w:lang w:val="en-US"/>
    </w:rPr>
  </w:style>
  <w:style w:type="character" w:styleId="Hyperlink">
    <w:name w:val="Hyperlink"/>
    <w:basedOn w:val="DefaultParagraphFont"/>
    <w:uiPriority w:val="99"/>
    <w:unhideWhenUsed/>
    <w:rsid w:val="00502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bp.due-north.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11C2-1334-46E8-A67F-BA0536F4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Michelle</dc:creator>
  <cp:keywords/>
  <dc:description/>
  <cp:lastModifiedBy>Lees, Michelle</cp:lastModifiedBy>
  <cp:revision>9</cp:revision>
  <dcterms:created xsi:type="dcterms:W3CDTF">2022-02-28T09:36:00Z</dcterms:created>
  <dcterms:modified xsi:type="dcterms:W3CDTF">2022-03-23T15:07:00Z</dcterms:modified>
</cp:coreProperties>
</file>