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9642A" w14:textId="2C5B0C9D" w:rsidR="00A6728A" w:rsidRPr="00AB124C" w:rsidRDefault="000953ED" w:rsidP="00AB124C">
      <w:pPr>
        <w:jc w:val="both"/>
        <w:rPr>
          <w:b/>
          <w:lang w:val="en-US"/>
        </w:rPr>
      </w:pPr>
      <w:r>
        <w:rPr>
          <w:b/>
          <w:lang w:val="en-US"/>
        </w:rPr>
        <w:t xml:space="preserve"> </w:t>
      </w:r>
    </w:p>
    <w:p w14:paraId="18A5043C" w14:textId="3D504AEB" w:rsidR="00A6728A" w:rsidRPr="00AB124C" w:rsidRDefault="00A6728A" w:rsidP="00316F8C">
      <w:pPr>
        <w:jc w:val="center"/>
        <w:rPr>
          <w:b/>
          <w:lang w:val="en-US"/>
        </w:rPr>
      </w:pPr>
      <w:r w:rsidRPr="00AB124C">
        <w:rPr>
          <w:b/>
          <w:lang w:val="en-US"/>
        </w:rPr>
        <w:t>GOSPORT BOROUGH COUNCIL (GBC)</w:t>
      </w:r>
    </w:p>
    <w:p w14:paraId="0DA03889" w14:textId="77777777" w:rsidR="00A6728A" w:rsidRPr="00AB124C" w:rsidRDefault="00A6728A" w:rsidP="009716EA">
      <w:pPr>
        <w:jc w:val="center"/>
        <w:rPr>
          <w:b/>
          <w:lang w:val="en-US"/>
        </w:rPr>
      </w:pPr>
    </w:p>
    <w:p w14:paraId="56A595DE" w14:textId="77777777" w:rsidR="008320E9" w:rsidRPr="00AB124C" w:rsidRDefault="00C00D19" w:rsidP="009716EA">
      <w:pPr>
        <w:jc w:val="center"/>
        <w:rPr>
          <w:b/>
          <w:lang w:val="en-US"/>
        </w:rPr>
      </w:pPr>
      <w:r w:rsidRPr="00AB124C">
        <w:rPr>
          <w:b/>
          <w:lang w:val="en-US"/>
        </w:rPr>
        <w:t>INVITATION TO QUOTE (ITQ)</w:t>
      </w:r>
    </w:p>
    <w:p w14:paraId="29734509" w14:textId="77777777" w:rsidR="00C00D19" w:rsidRPr="00AB124C" w:rsidRDefault="00C00D19" w:rsidP="009716EA">
      <w:pPr>
        <w:jc w:val="center"/>
        <w:rPr>
          <w:b/>
          <w:lang w:val="en-US"/>
        </w:rPr>
      </w:pPr>
    </w:p>
    <w:p w14:paraId="4F70455C" w14:textId="4ED9E6D1" w:rsidR="001A5259" w:rsidRDefault="00C00D19" w:rsidP="009716EA">
      <w:pPr>
        <w:jc w:val="center"/>
        <w:rPr>
          <w:b/>
          <w:color w:val="auto"/>
          <w:lang w:val="en-US"/>
        </w:rPr>
      </w:pPr>
      <w:r w:rsidRPr="00316F8C">
        <w:rPr>
          <w:b/>
          <w:color w:val="auto"/>
          <w:lang w:val="en-US"/>
        </w:rPr>
        <w:t xml:space="preserve">PUBLISHED: </w:t>
      </w:r>
      <w:r w:rsidR="001A5259">
        <w:rPr>
          <w:b/>
          <w:color w:val="auto"/>
          <w:lang w:val="en-US"/>
        </w:rPr>
        <w:t xml:space="preserve"> </w:t>
      </w:r>
      <w:r w:rsidR="002E583B">
        <w:rPr>
          <w:b/>
          <w:color w:val="auto"/>
          <w:lang w:val="en-US"/>
        </w:rPr>
        <w:t xml:space="preserve">31 July </w:t>
      </w:r>
      <w:r w:rsidR="009361EE">
        <w:rPr>
          <w:b/>
          <w:color w:val="auto"/>
          <w:lang w:val="en-US"/>
        </w:rPr>
        <w:t>2024</w:t>
      </w:r>
    </w:p>
    <w:p w14:paraId="531D500C" w14:textId="3E524BC0" w:rsidR="00C00D19" w:rsidRPr="00316F8C" w:rsidRDefault="00C00D19" w:rsidP="001A5259">
      <w:pPr>
        <w:jc w:val="center"/>
        <w:rPr>
          <w:b/>
          <w:color w:val="auto"/>
          <w:lang w:val="en-US"/>
        </w:rPr>
      </w:pPr>
      <w:r w:rsidRPr="00316F8C">
        <w:rPr>
          <w:b/>
          <w:color w:val="auto"/>
          <w:lang w:val="en-US"/>
        </w:rPr>
        <w:t>FOR:</w:t>
      </w:r>
      <w:r w:rsidR="001A5259">
        <w:rPr>
          <w:b/>
          <w:color w:val="auto"/>
          <w:lang w:val="en-US"/>
        </w:rPr>
        <w:t xml:space="preserve"> </w:t>
      </w:r>
      <w:r w:rsidR="00FB51A8">
        <w:rPr>
          <w:b/>
          <w:color w:val="auto"/>
          <w:lang w:val="en-US"/>
        </w:rPr>
        <w:t>Centralized Logging and SIEM Solution</w:t>
      </w:r>
    </w:p>
    <w:p w14:paraId="2694B00E" w14:textId="77777777" w:rsidR="00C00D19" w:rsidRPr="00316F8C" w:rsidRDefault="00C00D19" w:rsidP="009716EA">
      <w:pPr>
        <w:jc w:val="center"/>
        <w:rPr>
          <w:b/>
          <w:color w:val="auto"/>
          <w:lang w:val="en-US"/>
        </w:rPr>
      </w:pPr>
    </w:p>
    <w:p w14:paraId="3132DECE" w14:textId="77C59D76" w:rsidR="00C00D19" w:rsidRPr="00316F8C" w:rsidRDefault="00C00D19" w:rsidP="009716EA">
      <w:pPr>
        <w:jc w:val="center"/>
        <w:rPr>
          <w:b/>
          <w:color w:val="auto"/>
          <w:lang w:val="en-US"/>
        </w:rPr>
      </w:pPr>
      <w:r w:rsidRPr="00316F8C">
        <w:rPr>
          <w:b/>
          <w:color w:val="auto"/>
          <w:lang w:val="en-US"/>
        </w:rPr>
        <w:t xml:space="preserve">RESPONSE DEADLINE: </w:t>
      </w:r>
      <w:r w:rsidR="009361EE">
        <w:rPr>
          <w:b/>
          <w:color w:val="auto"/>
          <w:lang w:val="en-US"/>
        </w:rPr>
        <w:t>5</w:t>
      </w:r>
      <w:r w:rsidR="002E583B">
        <w:rPr>
          <w:b/>
          <w:color w:val="auto"/>
          <w:lang w:val="en-US"/>
        </w:rPr>
        <w:t xml:space="preserve"> September </w:t>
      </w:r>
      <w:r w:rsidR="009361EE">
        <w:rPr>
          <w:b/>
          <w:color w:val="auto"/>
          <w:lang w:val="en-US"/>
        </w:rPr>
        <w:t xml:space="preserve">2024 </w:t>
      </w:r>
      <w:r w:rsidR="005E3921">
        <w:rPr>
          <w:b/>
          <w:color w:val="auto"/>
          <w:lang w:val="en-US"/>
        </w:rPr>
        <w:t>12:00pm</w:t>
      </w:r>
    </w:p>
    <w:p w14:paraId="079A56E3" w14:textId="77777777" w:rsidR="00C00D19" w:rsidRPr="00AB124C" w:rsidRDefault="00C00D19" w:rsidP="00AB124C">
      <w:pPr>
        <w:jc w:val="both"/>
        <w:rPr>
          <w:b/>
          <w:lang w:val="en-US"/>
        </w:rPr>
      </w:pPr>
    </w:p>
    <w:sdt>
      <w:sdtPr>
        <w:rPr>
          <w:rFonts w:eastAsiaTheme="minorHAnsi" w:cs="Arial"/>
          <w:b w:val="0"/>
          <w:color w:val="000000" w:themeColor="text1"/>
          <w:szCs w:val="24"/>
          <w:u w:val="none"/>
          <w:lang w:val="en-GB"/>
        </w:rPr>
        <w:id w:val="750856773"/>
        <w:docPartObj>
          <w:docPartGallery w:val="Table of Contents"/>
          <w:docPartUnique/>
        </w:docPartObj>
      </w:sdtPr>
      <w:sdtEndPr>
        <w:rPr>
          <w:bCs/>
          <w:noProof/>
        </w:rPr>
      </w:sdtEndPr>
      <w:sdtContent>
        <w:p w14:paraId="4703F1F8" w14:textId="77777777" w:rsidR="00C00D19" w:rsidRPr="00AB124C" w:rsidRDefault="00C00D19" w:rsidP="00AB124C">
          <w:pPr>
            <w:pStyle w:val="TOCHeading"/>
            <w:jc w:val="both"/>
            <w:rPr>
              <w:rFonts w:cs="Arial"/>
              <w:szCs w:val="24"/>
            </w:rPr>
          </w:pPr>
          <w:r w:rsidRPr="00AB124C">
            <w:rPr>
              <w:rFonts w:cs="Arial"/>
              <w:szCs w:val="24"/>
            </w:rPr>
            <w:t>Contents</w:t>
          </w:r>
        </w:p>
        <w:p w14:paraId="7D669713" w14:textId="77777777" w:rsidR="00A76F29" w:rsidRPr="00AB124C" w:rsidRDefault="00A76F29" w:rsidP="00AB124C">
          <w:pPr>
            <w:jc w:val="both"/>
            <w:rPr>
              <w:lang w:val="en-US"/>
            </w:rPr>
          </w:pPr>
        </w:p>
        <w:p w14:paraId="431F4E0A" w14:textId="07558322" w:rsidR="002E583B" w:rsidRDefault="00C00D19">
          <w:pPr>
            <w:pStyle w:val="TOC1"/>
            <w:tabs>
              <w:tab w:val="left" w:pos="440"/>
              <w:tab w:val="right" w:leader="dot" w:pos="9016"/>
            </w:tabs>
            <w:rPr>
              <w:rFonts w:asciiTheme="minorHAnsi" w:eastAsiaTheme="minorEastAsia" w:hAnsiTheme="minorHAnsi" w:cstheme="minorBidi"/>
              <w:noProof/>
              <w:color w:val="auto"/>
              <w:sz w:val="22"/>
              <w:szCs w:val="22"/>
              <w:lang w:eastAsia="en-GB"/>
            </w:rPr>
          </w:pPr>
          <w:r w:rsidRPr="00AB124C">
            <w:fldChar w:fldCharType="begin"/>
          </w:r>
          <w:r w:rsidRPr="00AB124C">
            <w:instrText xml:space="preserve"> TOC \o "1-3" \h \z \u </w:instrText>
          </w:r>
          <w:r w:rsidRPr="00AB124C">
            <w:fldChar w:fldCharType="separate"/>
          </w:r>
          <w:hyperlink w:anchor="_Toc173233592" w:history="1">
            <w:r w:rsidR="002E583B" w:rsidRPr="00CD5994">
              <w:rPr>
                <w:rStyle w:val="Hyperlink"/>
                <w:noProof/>
                <w:lang w:val="en-US"/>
              </w:rPr>
              <w:t>1.</w:t>
            </w:r>
            <w:r w:rsidR="002E583B">
              <w:rPr>
                <w:rFonts w:asciiTheme="minorHAnsi" w:eastAsiaTheme="minorEastAsia" w:hAnsiTheme="minorHAnsi" w:cstheme="minorBidi"/>
                <w:noProof/>
                <w:color w:val="auto"/>
                <w:sz w:val="22"/>
                <w:szCs w:val="22"/>
                <w:lang w:eastAsia="en-GB"/>
              </w:rPr>
              <w:tab/>
            </w:r>
            <w:r w:rsidR="002E583B" w:rsidRPr="00CD5994">
              <w:rPr>
                <w:rStyle w:val="Hyperlink"/>
                <w:noProof/>
                <w:lang w:val="en-US"/>
              </w:rPr>
              <w:t>Introduction</w:t>
            </w:r>
            <w:r w:rsidR="002E583B">
              <w:rPr>
                <w:noProof/>
                <w:webHidden/>
              </w:rPr>
              <w:tab/>
            </w:r>
            <w:r w:rsidR="002E583B">
              <w:rPr>
                <w:noProof/>
                <w:webHidden/>
              </w:rPr>
              <w:fldChar w:fldCharType="begin"/>
            </w:r>
            <w:r w:rsidR="002E583B">
              <w:rPr>
                <w:noProof/>
                <w:webHidden/>
              </w:rPr>
              <w:instrText xml:space="preserve"> PAGEREF _Toc173233592 \h </w:instrText>
            </w:r>
            <w:r w:rsidR="002E583B">
              <w:rPr>
                <w:noProof/>
                <w:webHidden/>
              </w:rPr>
            </w:r>
            <w:r w:rsidR="002E583B">
              <w:rPr>
                <w:noProof/>
                <w:webHidden/>
              </w:rPr>
              <w:fldChar w:fldCharType="separate"/>
            </w:r>
            <w:r w:rsidR="002E583B">
              <w:rPr>
                <w:noProof/>
                <w:webHidden/>
              </w:rPr>
              <w:t>2</w:t>
            </w:r>
            <w:r w:rsidR="002E583B">
              <w:rPr>
                <w:noProof/>
                <w:webHidden/>
              </w:rPr>
              <w:fldChar w:fldCharType="end"/>
            </w:r>
          </w:hyperlink>
        </w:p>
        <w:p w14:paraId="2301A0B7" w14:textId="1B2776CD" w:rsidR="002E583B" w:rsidRDefault="002E583B">
          <w:pPr>
            <w:pStyle w:val="TOC1"/>
            <w:tabs>
              <w:tab w:val="left" w:pos="440"/>
              <w:tab w:val="right" w:leader="dot" w:pos="9016"/>
            </w:tabs>
            <w:rPr>
              <w:rFonts w:asciiTheme="minorHAnsi" w:eastAsiaTheme="minorEastAsia" w:hAnsiTheme="minorHAnsi" w:cstheme="minorBidi"/>
              <w:noProof/>
              <w:color w:val="auto"/>
              <w:sz w:val="22"/>
              <w:szCs w:val="22"/>
              <w:lang w:eastAsia="en-GB"/>
            </w:rPr>
          </w:pPr>
          <w:hyperlink w:anchor="_Toc173233593" w:history="1">
            <w:r w:rsidRPr="00CD5994">
              <w:rPr>
                <w:rStyle w:val="Hyperlink"/>
                <w:bCs/>
                <w:noProof/>
                <w:lang w:val="en-US"/>
              </w:rPr>
              <w:t>2.</w:t>
            </w:r>
            <w:r>
              <w:rPr>
                <w:rFonts w:asciiTheme="minorHAnsi" w:eastAsiaTheme="minorEastAsia" w:hAnsiTheme="minorHAnsi" w:cstheme="minorBidi"/>
                <w:noProof/>
                <w:color w:val="auto"/>
                <w:sz w:val="22"/>
                <w:szCs w:val="22"/>
                <w:lang w:eastAsia="en-GB"/>
              </w:rPr>
              <w:tab/>
            </w:r>
            <w:r w:rsidRPr="00CD5994">
              <w:rPr>
                <w:rStyle w:val="Hyperlink"/>
                <w:noProof/>
                <w:lang w:val="en-US"/>
              </w:rPr>
              <w:t>Specification</w:t>
            </w:r>
            <w:r w:rsidRPr="00CD5994">
              <w:rPr>
                <w:rStyle w:val="Hyperlink"/>
                <w:bCs/>
                <w:noProof/>
                <w:lang w:val="en-US"/>
              </w:rPr>
              <w:t xml:space="preserve"> / Requirements</w:t>
            </w:r>
            <w:r>
              <w:rPr>
                <w:noProof/>
                <w:webHidden/>
              </w:rPr>
              <w:tab/>
            </w:r>
            <w:r>
              <w:rPr>
                <w:noProof/>
                <w:webHidden/>
              </w:rPr>
              <w:fldChar w:fldCharType="begin"/>
            </w:r>
            <w:r>
              <w:rPr>
                <w:noProof/>
                <w:webHidden/>
              </w:rPr>
              <w:instrText xml:space="preserve"> PAGEREF _Toc173233593 \h </w:instrText>
            </w:r>
            <w:r>
              <w:rPr>
                <w:noProof/>
                <w:webHidden/>
              </w:rPr>
            </w:r>
            <w:r>
              <w:rPr>
                <w:noProof/>
                <w:webHidden/>
              </w:rPr>
              <w:fldChar w:fldCharType="separate"/>
            </w:r>
            <w:r>
              <w:rPr>
                <w:noProof/>
                <w:webHidden/>
              </w:rPr>
              <w:t>3</w:t>
            </w:r>
            <w:r>
              <w:rPr>
                <w:noProof/>
                <w:webHidden/>
              </w:rPr>
              <w:fldChar w:fldCharType="end"/>
            </w:r>
          </w:hyperlink>
        </w:p>
        <w:p w14:paraId="107F401C" w14:textId="43C79443" w:rsidR="002E583B" w:rsidRDefault="002E583B">
          <w:pPr>
            <w:pStyle w:val="TOC1"/>
            <w:tabs>
              <w:tab w:val="left" w:pos="440"/>
              <w:tab w:val="right" w:leader="dot" w:pos="9016"/>
            </w:tabs>
            <w:rPr>
              <w:rFonts w:asciiTheme="minorHAnsi" w:eastAsiaTheme="minorEastAsia" w:hAnsiTheme="minorHAnsi" w:cstheme="minorBidi"/>
              <w:noProof/>
              <w:color w:val="auto"/>
              <w:sz w:val="22"/>
              <w:szCs w:val="22"/>
              <w:lang w:eastAsia="en-GB"/>
            </w:rPr>
          </w:pPr>
          <w:hyperlink w:anchor="_Toc173233594" w:history="1">
            <w:r w:rsidRPr="00CD5994">
              <w:rPr>
                <w:rStyle w:val="Hyperlink"/>
                <w:noProof/>
                <w:lang w:val="en-US"/>
              </w:rPr>
              <w:t>3.</w:t>
            </w:r>
            <w:r>
              <w:rPr>
                <w:rFonts w:asciiTheme="minorHAnsi" w:eastAsiaTheme="minorEastAsia" w:hAnsiTheme="minorHAnsi" w:cstheme="minorBidi"/>
                <w:noProof/>
                <w:color w:val="auto"/>
                <w:sz w:val="22"/>
                <w:szCs w:val="22"/>
                <w:lang w:eastAsia="en-GB"/>
              </w:rPr>
              <w:tab/>
            </w:r>
            <w:r w:rsidRPr="00CD5994">
              <w:rPr>
                <w:rStyle w:val="Hyperlink"/>
                <w:noProof/>
                <w:lang w:val="en-US"/>
              </w:rPr>
              <w:t>Insurance</w:t>
            </w:r>
            <w:r>
              <w:rPr>
                <w:noProof/>
                <w:webHidden/>
              </w:rPr>
              <w:tab/>
            </w:r>
            <w:r>
              <w:rPr>
                <w:noProof/>
                <w:webHidden/>
              </w:rPr>
              <w:fldChar w:fldCharType="begin"/>
            </w:r>
            <w:r>
              <w:rPr>
                <w:noProof/>
                <w:webHidden/>
              </w:rPr>
              <w:instrText xml:space="preserve"> PAGEREF _Toc173233594 \h </w:instrText>
            </w:r>
            <w:r>
              <w:rPr>
                <w:noProof/>
                <w:webHidden/>
              </w:rPr>
            </w:r>
            <w:r>
              <w:rPr>
                <w:noProof/>
                <w:webHidden/>
              </w:rPr>
              <w:fldChar w:fldCharType="separate"/>
            </w:r>
            <w:r>
              <w:rPr>
                <w:noProof/>
                <w:webHidden/>
              </w:rPr>
              <w:t>5</w:t>
            </w:r>
            <w:r>
              <w:rPr>
                <w:noProof/>
                <w:webHidden/>
              </w:rPr>
              <w:fldChar w:fldCharType="end"/>
            </w:r>
          </w:hyperlink>
        </w:p>
        <w:p w14:paraId="7CCB2B6A" w14:textId="660B4B1E" w:rsidR="002E583B" w:rsidRDefault="002E583B">
          <w:pPr>
            <w:pStyle w:val="TOC1"/>
            <w:tabs>
              <w:tab w:val="left" w:pos="440"/>
              <w:tab w:val="right" w:leader="dot" w:pos="9016"/>
            </w:tabs>
            <w:rPr>
              <w:rFonts w:asciiTheme="minorHAnsi" w:eastAsiaTheme="minorEastAsia" w:hAnsiTheme="minorHAnsi" w:cstheme="minorBidi"/>
              <w:noProof/>
              <w:color w:val="auto"/>
              <w:sz w:val="22"/>
              <w:szCs w:val="22"/>
              <w:lang w:eastAsia="en-GB"/>
            </w:rPr>
          </w:pPr>
          <w:hyperlink w:anchor="_Toc173233595" w:history="1">
            <w:r w:rsidRPr="00CD5994">
              <w:rPr>
                <w:rStyle w:val="Hyperlink"/>
                <w:noProof/>
                <w:lang w:val="en-US"/>
              </w:rPr>
              <w:t>4.</w:t>
            </w:r>
            <w:r>
              <w:rPr>
                <w:rFonts w:asciiTheme="minorHAnsi" w:eastAsiaTheme="minorEastAsia" w:hAnsiTheme="minorHAnsi" w:cstheme="minorBidi"/>
                <w:noProof/>
                <w:color w:val="auto"/>
                <w:sz w:val="22"/>
                <w:szCs w:val="22"/>
                <w:lang w:eastAsia="en-GB"/>
              </w:rPr>
              <w:tab/>
            </w:r>
            <w:r w:rsidRPr="00CD5994">
              <w:rPr>
                <w:rStyle w:val="Hyperlink"/>
                <w:noProof/>
                <w:lang w:val="en-US"/>
              </w:rPr>
              <w:t>Procurement Timetable</w:t>
            </w:r>
            <w:r>
              <w:rPr>
                <w:noProof/>
                <w:webHidden/>
              </w:rPr>
              <w:tab/>
            </w:r>
            <w:r>
              <w:rPr>
                <w:noProof/>
                <w:webHidden/>
              </w:rPr>
              <w:fldChar w:fldCharType="begin"/>
            </w:r>
            <w:r>
              <w:rPr>
                <w:noProof/>
                <w:webHidden/>
              </w:rPr>
              <w:instrText xml:space="preserve"> PAGEREF _Toc173233595 \h </w:instrText>
            </w:r>
            <w:r>
              <w:rPr>
                <w:noProof/>
                <w:webHidden/>
              </w:rPr>
            </w:r>
            <w:r>
              <w:rPr>
                <w:noProof/>
                <w:webHidden/>
              </w:rPr>
              <w:fldChar w:fldCharType="separate"/>
            </w:r>
            <w:r>
              <w:rPr>
                <w:noProof/>
                <w:webHidden/>
              </w:rPr>
              <w:t>5</w:t>
            </w:r>
            <w:r>
              <w:rPr>
                <w:noProof/>
                <w:webHidden/>
              </w:rPr>
              <w:fldChar w:fldCharType="end"/>
            </w:r>
          </w:hyperlink>
        </w:p>
        <w:p w14:paraId="194D7905" w14:textId="5286FB73" w:rsidR="002E583B" w:rsidRDefault="002E583B">
          <w:pPr>
            <w:pStyle w:val="TOC1"/>
            <w:tabs>
              <w:tab w:val="left" w:pos="440"/>
              <w:tab w:val="right" w:leader="dot" w:pos="9016"/>
            </w:tabs>
            <w:rPr>
              <w:rFonts w:asciiTheme="minorHAnsi" w:eastAsiaTheme="minorEastAsia" w:hAnsiTheme="minorHAnsi" w:cstheme="minorBidi"/>
              <w:noProof/>
              <w:color w:val="auto"/>
              <w:sz w:val="22"/>
              <w:szCs w:val="22"/>
              <w:lang w:eastAsia="en-GB"/>
            </w:rPr>
          </w:pPr>
          <w:hyperlink w:anchor="_Toc173233596" w:history="1">
            <w:r w:rsidRPr="00CD5994">
              <w:rPr>
                <w:rStyle w:val="Hyperlink"/>
                <w:noProof/>
                <w:lang w:val="en-US"/>
              </w:rPr>
              <w:t>5.</w:t>
            </w:r>
            <w:r>
              <w:rPr>
                <w:rFonts w:asciiTheme="minorHAnsi" w:eastAsiaTheme="minorEastAsia" w:hAnsiTheme="minorHAnsi" w:cstheme="minorBidi"/>
                <w:noProof/>
                <w:color w:val="auto"/>
                <w:sz w:val="22"/>
                <w:szCs w:val="22"/>
                <w:lang w:eastAsia="en-GB"/>
              </w:rPr>
              <w:tab/>
            </w:r>
            <w:r w:rsidRPr="00CD5994">
              <w:rPr>
                <w:rStyle w:val="Hyperlink"/>
                <w:noProof/>
                <w:lang w:val="en-US"/>
              </w:rPr>
              <w:t>Instructions on submitting a response</w:t>
            </w:r>
            <w:r>
              <w:rPr>
                <w:noProof/>
                <w:webHidden/>
              </w:rPr>
              <w:tab/>
            </w:r>
            <w:r>
              <w:rPr>
                <w:noProof/>
                <w:webHidden/>
              </w:rPr>
              <w:fldChar w:fldCharType="begin"/>
            </w:r>
            <w:r>
              <w:rPr>
                <w:noProof/>
                <w:webHidden/>
              </w:rPr>
              <w:instrText xml:space="preserve"> PAGEREF _Toc173233596 \h </w:instrText>
            </w:r>
            <w:r>
              <w:rPr>
                <w:noProof/>
                <w:webHidden/>
              </w:rPr>
            </w:r>
            <w:r>
              <w:rPr>
                <w:noProof/>
                <w:webHidden/>
              </w:rPr>
              <w:fldChar w:fldCharType="separate"/>
            </w:r>
            <w:r>
              <w:rPr>
                <w:noProof/>
                <w:webHidden/>
              </w:rPr>
              <w:t>5</w:t>
            </w:r>
            <w:r>
              <w:rPr>
                <w:noProof/>
                <w:webHidden/>
              </w:rPr>
              <w:fldChar w:fldCharType="end"/>
            </w:r>
          </w:hyperlink>
        </w:p>
        <w:p w14:paraId="4C2883DE" w14:textId="2BBD7048" w:rsidR="002E583B" w:rsidRDefault="002E583B">
          <w:pPr>
            <w:pStyle w:val="TOC1"/>
            <w:tabs>
              <w:tab w:val="left" w:pos="440"/>
              <w:tab w:val="right" w:leader="dot" w:pos="9016"/>
            </w:tabs>
            <w:rPr>
              <w:rFonts w:asciiTheme="minorHAnsi" w:eastAsiaTheme="minorEastAsia" w:hAnsiTheme="minorHAnsi" w:cstheme="minorBidi"/>
              <w:noProof/>
              <w:color w:val="auto"/>
              <w:sz w:val="22"/>
              <w:szCs w:val="22"/>
              <w:lang w:eastAsia="en-GB"/>
            </w:rPr>
          </w:pPr>
          <w:hyperlink w:anchor="_Toc173233597" w:history="1">
            <w:r w:rsidRPr="00CD5994">
              <w:rPr>
                <w:rStyle w:val="Hyperlink"/>
                <w:noProof/>
                <w:lang w:val="en-US"/>
              </w:rPr>
              <w:t>6.</w:t>
            </w:r>
            <w:r>
              <w:rPr>
                <w:rFonts w:asciiTheme="minorHAnsi" w:eastAsiaTheme="minorEastAsia" w:hAnsiTheme="minorHAnsi" w:cstheme="minorBidi"/>
                <w:noProof/>
                <w:color w:val="auto"/>
                <w:sz w:val="22"/>
                <w:szCs w:val="22"/>
                <w:lang w:eastAsia="en-GB"/>
              </w:rPr>
              <w:tab/>
            </w:r>
            <w:r w:rsidRPr="00CD5994">
              <w:rPr>
                <w:rStyle w:val="Hyperlink"/>
                <w:noProof/>
                <w:lang w:val="en-US"/>
              </w:rPr>
              <w:t>Clarifications</w:t>
            </w:r>
            <w:r>
              <w:rPr>
                <w:noProof/>
                <w:webHidden/>
              </w:rPr>
              <w:tab/>
            </w:r>
            <w:r>
              <w:rPr>
                <w:noProof/>
                <w:webHidden/>
              </w:rPr>
              <w:fldChar w:fldCharType="begin"/>
            </w:r>
            <w:r>
              <w:rPr>
                <w:noProof/>
                <w:webHidden/>
              </w:rPr>
              <w:instrText xml:space="preserve"> PAGEREF _Toc173233597 \h </w:instrText>
            </w:r>
            <w:r>
              <w:rPr>
                <w:noProof/>
                <w:webHidden/>
              </w:rPr>
            </w:r>
            <w:r>
              <w:rPr>
                <w:noProof/>
                <w:webHidden/>
              </w:rPr>
              <w:fldChar w:fldCharType="separate"/>
            </w:r>
            <w:r>
              <w:rPr>
                <w:noProof/>
                <w:webHidden/>
              </w:rPr>
              <w:t>6</w:t>
            </w:r>
            <w:r>
              <w:rPr>
                <w:noProof/>
                <w:webHidden/>
              </w:rPr>
              <w:fldChar w:fldCharType="end"/>
            </w:r>
          </w:hyperlink>
        </w:p>
        <w:p w14:paraId="4957A753" w14:textId="04FE8220" w:rsidR="002E583B" w:rsidRDefault="002E583B">
          <w:pPr>
            <w:pStyle w:val="TOC1"/>
            <w:tabs>
              <w:tab w:val="left" w:pos="440"/>
              <w:tab w:val="right" w:leader="dot" w:pos="9016"/>
            </w:tabs>
            <w:rPr>
              <w:rFonts w:asciiTheme="minorHAnsi" w:eastAsiaTheme="minorEastAsia" w:hAnsiTheme="minorHAnsi" w:cstheme="minorBidi"/>
              <w:noProof/>
              <w:color w:val="auto"/>
              <w:sz w:val="22"/>
              <w:szCs w:val="22"/>
              <w:lang w:eastAsia="en-GB"/>
            </w:rPr>
          </w:pPr>
          <w:hyperlink w:anchor="_Toc173233598" w:history="1">
            <w:r w:rsidRPr="00CD5994">
              <w:rPr>
                <w:rStyle w:val="Hyperlink"/>
                <w:noProof/>
                <w:lang w:val="en-US"/>
              </w:rPr>
              <w:t>7.</w:t>
            </w:r>
            <w:r>
              <w:rPr>
                <w:rFonts w:asciiTheme="minorHAnsi" w:eastAsiaTheme="minorEastAsia" w:hAnsiTheme="minorHAnsi" w:cstheme="minorBidi"/>
                <w:noProof/>
                <w:color w:val="auto"/>
                <w:sz w:val="22"/>
                <w:szCs w:val="22"/>
                <w:lang w:eastAsia="en-GB"/>
              </w:rPr>
              <w:tab/>
            </w:r>
            <w:r w:rsidRPr="00CD5994">
              <w:rPr>
                <w:rStyle w:val="Hyperlink"/>
                <w:noProof/>
                <w:lang w:val="en-US"/>
              </w:rPr>
              <w:t>Evaluation</w:t>
            </w:r>
            <w:r>
              <w:rPr>
                <w:noProof/>
                <w:webHidden/>
              </w:rPr>
              <w:tab/>
            </w:r>
            <w:r>
              <w:rPr>
                <w:noProof/>
                <w:webHidden/>
              </w:rPr>
              <w:fldChar w:fldCharType="begin"/>
            </w:r>
            <w:r>
              <w:rPr>
                <w:noProof/>
                <w:webHidden/>
              </w:rPr>
              <w:instrText xml:space="preserve"> PAGEREF _Toc173233598 \h </w:instrText>
            </w:r>
            <w:r>
              <w:rPr>
                <w:noProof/>
                <w:webHidden/>
              </w:rPr>
            </w:r>
            <w:r>
              <w:rPr>
                <w:noProof/>
                <w:webHidden/>
              </w:rPr>
              <w:fldChar w:fldCharType="separate"/>
            </w:r>
            <w:r>
              <w:rPr>
                <w:noProof/>
                <w:webHidden/>
              </w:rPr>
              <w:t>6</w:t>
            </w:r>
            <w:r>
              <w:rPr>
                <w:noProof/>
                <w:webHidden/>
              </w:rPr>
              <w:fldChar w:fldCharType="end"/>
            </w:r>
          </w:hyperlink>
        </w:p>
        <w:p w14:paraId="42BB0686" w14:textId="3A5A7045" w:rsidR="002E583B" w:rsidRDefault="002E583B">
          <w:pPr>
            <w:pStyle w:val="TOC1"/>
            <w:tabs>
              <w:tab w:val="left" w:pos="440"/>
              <w:tab w:val="right" w:leader="dot" w:pos="9016"/>
            </w:tabs>
            <w:rPr>
              <w:rFonts w:asciiTheme="minorHAnsi" w:eastAsiaTheme="minorEastAsia" w:hAnsiTheme="minorHAnsi" w:cstheme="minorBidi"/>
              <w:noProof/>
              <w:color w:val="auto"/>
              <w:sz w:val="22"/>
              <w:szCs w:val="22"/>
              <w:lang w:eastAsia="en-GB"/>
            </w:rPr>
          </w:pPr>
          <w:hyperlink w:anchor="_Toc173233599" w:history="1">
            <w:r w:rsidRPr="00CD5994">
              <w:rPr>
                <w:rStyle w:val="Hyperlink"/>
                <w:noProof/>
                <w:lang w:val="en-US"/>
              </w:rPr>
              <w:t>8.</w:t>
            </w:r>
            <w:r>
              <w:rPr>
                <w:rFonts w:asciiTheme="minorHAnsi" w:eastAsiaTheme="minorEastAsia" w:hAnsiTheme="minorHAnsi" w:cstheme="minorBidi"/>
                <w:noProof/>
                <w:color w:val="auto"/>
                <w:sz w:val="22"/>
                <w:szCs w:val="22"/>
                <w:lang w:eastAsia="en-GB"/>
              </w:rPr>
              <w:tab/>
            </w:r>
            <w:r w:rsidRPr="00CD5994">
              <w:rPr>
                <w:rStyle w:val="Hyperlink"/>
                <w:noProof/>
                <w:lang w:val="en-US"/>
              </w:rPr>
              <w:t>Award</w:t>
            </w:r>
            <w:r>
              <w:rPr>
                <w:noProof/>
                <w:webHidden/>
              </w:rPr>
              <w:tab/>
            </w:r>
            <w:r>
              <w:rPr>
                <w:noProof/>
                <w:webHidden/>
              </w:rPr>
              <w:fldChar w:fldCharType="begin"/>
            </w:r>
            <w:r>
              <w:rPr>
                <w:noProof/>
                <w:webHidden/>
              </w:rPr>
              <w:instrText xml:space="preserve"> PAGEREF _Toc173233599 \h </w:instrText>
            </w:r>
            <w:r>
              <w:rPr>
                <w:noProof/>
                <w:webHidden/>
              </w:rPr>
            </w:r>
            <w:r>
              <w:rPr>
                <w:noProof/>
                <w:webHidden/>
              </w:rPr>
              <w:fldChar w:fldCharType="separate"/>
            </w:r>
            <w:r>
              <w:rPr>
                <w:noProof/>
                <w:webHidden/>
              </w:rPr>
              <w:t>8</w:t>
            </w:r>
            <w:r>
              <w:rPr>
                <w:noProof/>
                <w:webHidden/>
              </w:rPr>
              <w:fldChar w:fldCharType="end"/>
            </w:r>
          </w:hyperlink>
        </w:p>
        <w:p w14:paraId="1BF627B0" w14:textId="4E353BE1" w:rsidR="002E583B" w:rsidRDefault="002E583B">
          <w:pPr>
            <w:pStyle w:val="TOC1"/>
            <w:tabs>
              <w:tab w:val="left" w:pos="440"/>
              <w:tab w:val="right" w:leader="dot" w:pos="9016"/>
            </w:tabs>
            <w:rPr>
              <w:rFonts w:asciiTheme="minorHAnsi" w:eastAsiaTheme="minorEastAsia" w:hAnsiTheme="minorHAnsi" w:cstheme="minorBidi"/>
              <w:noProof/>
              <w:color w:val="auto"/>
              <w:sz w:val="22"/>
              <w:szCs w:val="22"/>
              <w:lang w:eastAsia="en-GB"/>
            </w:rPr>
          </w:pPr>
          <w:hyperlink w:anchor="_Toc173233600" w:history="1">
            <w:r w:rsidRPr="00CD5994">
              <w:rPr>
                <w:rStyle w:val="Hyperlink"/>
                <w:noProof/>
                <w:lang w:val="en-US"/>
              </w:rPr>
              <w:t>9.</w:t>
            </w:r>
            <w:r>
              <w:rPr>
                <w:rFonts w:asciiTheme="minorHAnsi" w:eastAsiaTheme="minorEastAsia" w:hAnsiTheme="minorHAnsi" w:cstheme="minorBidi"/>
                <w:noProof/>
                <w:color w:val="auto"/>
                <w:sz w:val="22"/>
                <w:szCs w:val="22"/>
                <w:lang w:eastAsia="en-GB"/>
              </w:rPr>
              <w:tab/>
            </w:r>
            <w:r w:rsidRPr="00CD5994">
              <w:rPr>
                <w:rStyle w:val="Hyperlink"/>
                <w:noProof/>
                <w:lang w:val="en-US"/>
              </w:rPr>
              <w:t>Terms and Conditions</w:t>
            </w:r>
            <w:r>
              <w:rPr>
                <w:noProof/>
                <w:webHidden/>
              </w:rPr>
              <w:tab/>
            </w:r>
            <w:r>
              <w:rPr>
                <w:noProof/>
                <w:webHidden/>
              </w:rPr>
              <w:fldChar w:fldCharType="begin"/>
            </w:r>
            <w:r>
              <w:rPr>
                <w:noProof/>
                <w:webHidden/>
              </w:rPr>
              <w:instrText xml:space="preserve"> PAGEREF _Toc173233600 \h </w:instrText>
            </w:r>
            <w:r>
              <w:rPr>
                <w:noProof/>
                <w:webHidden/>
              </w:rPr>
            </w:r>
            <w:r>
              <w:rPr>
                <w:noProof/>
                <w:webHidden/>
              </w:rPr>
              <w:fldChar w:fldCharType="separate"/>
            </w:r>
            <w:r>
              <w:rPr>
                <w:noProof/>
                <w:webHidden/>
              </w:rPr>
              <w:t>9</w:t>
            </w:r>
            <w:r>
              <w:rPr>
                <w:noProof/>
                <w:webHidden/>
              </w:rPr>
              <w:fldChar w:fldCharType="end"/>
            </w:r>
          </w:hyperlink>
        </w:p>
        <w:p w14:paraId="4D5D38B8" w14:textId="6463EE38" w:rsidR="002E583B" w:rsidRDefault="002E583B">
          <w:pPr>
            <w:pStyle w:val="TOC1"/>
            <w:tabs>
              <w:tab w:val="left" w:pos="660"/>
              <w:tab w:val="right" w:leader="dot" w:pos="9016"/>
            </w:tabs>
            <w:rPr>
              <w:rFonts w:asciiTheme="minorHAnsi" w:eastAsiaTheme="minorEastAsia" w:hAnsiTheme="minorHAnsi" w:cstheme="minorBidi"/>
              <w:noProof/>
              <w:color w:val="auto"/>
              <w:sz w:val="22"/>
              <w:szCs w:val="22"/>
              <w:lang w:eastAsia="en-GB"/>
            </w:rPr>
          </w:pPr>
          <w:hyperlink w:anchor="_Toc173233601" w:history="1">
            <w:r w:rsidRPr="00CD5994">
              <w:rPr>
                <w:rStyle w:val="Hyperlink"/>
                <w:noProof/>
                <w:lang w:val="en-US"/>
              </w:rPr>
              <w:t>10.</w:t>
            </w:r>
            <w:r>
              <w:rPr>
                <w:rFonts w:asciiTheme="minorHAnsi" w:eastAsiaTheme="minorEastAsia" w:hAnsiTheme="minorHAnsi" w:cstheme="minorBidi"/>
                <w:noProof/>
                <w:color w:val="auto"/>
                <w:sz w:val="22"/>
                <w:szCs w:val="22"/>
                <w:lang w:eastAsia="en-GB"/>
              </w:rPr>
              <w:tab/>
            </w:r>
            <w:r w:rsidRPr="00CD5994">
              <w:rPr>
                <w:rStyle w:val="Hyperlink"/>
                <w:noProof/>
                <w:lang w:val="en-US"/>
              </w:rPr>
              <w:t>Conduct and Conflicts of interest</w:t>
            </w:r>
            <w:r>
              <w:rPr>
                <w:noProof/>
                <w:webHidden/>
              </w:rPr>
              <w:tab/>
            </w:r>
            <w:r>
              <w:rPr>
                <w:noProof/>
                <w:webHidden/>
              </w:rPr>
              <w:fldChar w:fldCharType="begin"/>
            </w:r>
            <w:r>
              <w:rPr>
                <w:noProof/>
                <w:webHidden/>
              </w:rPr>
              <w:instrText xml:space="preserve"> PAGEREF _Toc173233601 \h </w:instrText>
            </w:r>
            <w:r>
              <w:rPr>
                <w:noProof/>
                <w:webHidden/>
              </w:rPr>
            </w:r>
            <w:r>
              <w:rPr>
                <w:noProof/>
                <w:webHidden/>
              </w:rPr>
              <w:fldChar w:fldCharType="separate"/>
            </w:r>
            <w:r>
              <w:rPr>
                <w:noProof/>
                <w:webHidden/>
              </w:rPr>
              <w:t>9</w:t>
            </w:r>
            <w:r>
              <w:rPr>
                <w:noProof/>
                <w:webHidden/>
              </w:rPr>
              <w:fldChar w:fldCharType="end"/>
            </w:r>
          </w:hyperlink>
        </w:p>
        <w:p w14:paraId="7188514F" w14:textId="5B6169A9" w:rsidR="006C4F4D" w:rsidRDefault="00C00D19" w:rsidP="006C4F4D">
          <w:pPr>
            <w:jc w:val="both"/>
            <w:rPr>
              <w:bCs/>
              <w:noProof/>
            </w:rPr>
          </w:pPr>
          <w:r w:rsidRPr="00AB124C">
            <w:rPr>
              <w:b/>
              <w:bCs/>
              <w:noProof/>
            </w:rPr>
            <w:fldChar w:fldCharType="end"/>
          </w:r>
        </w:p>
      </w:sdtContent>
    </w:sdt>
    <w:p w14:paraId="603D697D" w14:textId="77777777" w:rsidR="00405389" w:rsidRDefault="00405389" w:rsidP="00405389">
      <w:pPr>
        <w:jc w:val="both"/>
        <w:rPr>
          <w:lang w:val="en-US"/>
        </w:rPr>
      </w:pPr>
      <w:r>
        <w:rPr>
          <w:lang w:val="en-US"/>
        </w:rPr>
        <w:t>Schedules / Appendices (supplied separately)</w:t>
      </w:r>
    </w:p>
    <w:p w14:paraId="714D45DA" w14:textId="7140339E" w:rsidR="000953ED" w:rsidRPr="006C4F4D" w:rsidRDefault="00405389" w:rsidP="00405389">
      <w:pPr>
        <w:pStyle w:val="ListParagraph"/>
        <w:numPr>
          <w:ilvl w:val="0"/>
          <w:numId w:val="17"/>
        </w:numPr>
        <w:jc w:val="both"/>
      </w:pPr>
      <w:r w:rsidRPr="00405389">
        <w:rPr>
          <w:lang w:val="en-US"/>
        </w:rPr>
        <w:t>Schedule 1 – Quotation Response Document</w:t>
      </w:r>
      <w:r w:rsidR="000953ED" w:rsidRPr="00405389">
        <w:rPr>
          <w:lang w:val="en-US"/>
        </w:rPr>
        <w:br w:type="page"/>
      </w:r>
    </w:p>
    <w:p w14:paraId="0120158B" w14:textId="1691E97A" w:rsidR="00C00D19" w:rsidRDefault="00C00D19" w:rsidP="00AB124C">
      <w:pPr>
        <w:pStyle w:val="Heading1"/>
        <w:numPr>
          <w:ilvl w:val="0"/>
          <w:numId w:val="1"/>
        </w:numPr>
        <w:ind w:left="426" w:hanging="426"/>
        <w:jc w:val="both"/>
        <w:rPr>
          <w:rFonts w:cs="Arial"/>
          <w:szCs w:val="24"/>
          <w:lang w:val="en-US"/>
        </w:rPr>
      </w:pPr>
      <w:bookmarkStart w:id="0" w:name="_Toc173233592"/>
      <w:r w:rsidRPr="00AB124C">
        <w:rPr>
          <w:rFonts w:cs="Arial"/>
          <w:szCs w:val="24"/>
          <w:lang w:val="en-US"/>
        </w:rPr>
        <w:lastRenderedPageBreak/>
        <w:t>Introduction</w:t>
      </w:r>
      <w:bookmarkEnd w:id="0"/>
    </w:p>
    <w:p w14:paraId="76B6A19E" w14:textId="77777777" w:rsidR="00405389" w:rsidRPr="00405389" w:rsidRDefault="00405389" w:rsidP="00405389">
      <w:pPr>
        <w:rPr>
          <w:lang w:val="en-US"/>
        </w:rPr>
      </w:pPr>
    </w:p>
    <w:p w14:paraId="3E48A159" w14:textId="57B2650E" w:rsidR="00FB51A8" w:rsidRDefault="00D85C57" w:rsidP="00AB124C">
      <w:pPr>
        <w:jc w:val="both"/>
        <w:rPr>
          <w:color w:val="auto"/>
          <w:lang w:val="en-US"/>
        </w:rPr>
      </w:pPr>
      <w:proofErr w:type="gramStart"/>
      <w:r w:rsidRPr="00953358">
        <w:rPr>
          <w:color w:val="auto"/>
          <w:lang w:val="en-US"/>
        </w:rPr>
        <w:t>Gosport Borough Council (GBC) is inviting quotations f</w:t>
      </w:r>
      <w:r w:rsidR="0036270D" w:rsidRPr="00953358">
        <w:rPr>
          <w:color w:val="auto"/>
          <w:lang w:val="en-US"/>
        </w:rPr>
        <w:t xml:space="preserve">or </w:t>
      </w:r>
      <w:r w:rsidR="00FB51A8">
        <w:rPr>
          <w:color w:val="auto"/>
          <w:lang w:val="en-US"/>
        </w:rPr>
        <w:t xml:space="preserve">a combined solution that </w:t>
      </w:r>
      <w:r w:rsidR="0036270D" w:rsidRPr="00953358">
        <w:rPr>
          <w:color w:val="auto"/>
          <w:lang w:val="en-US"/>
        </w:rPr>
        <w:t xml:space="preserve">will be </w:t>
      </w:r>
      <w:r w:rsidR="00FB51A8">
        <w:rPr>
          <w:color w:val="auto"/>
          <w:lang w:val="en-US"/>
        </w:rPr>
        <w:t xml:space="preserve">used as both a centralized logging solution and  a Security Event Information Manager (SEIM) </w:t>
      </w:r>
      <w:r w:rsidR="000953ED">
        <w:rPr>
          <w:color w:val="auto"/>
          <w:lang w:val="en-US"/>
        </w:rPr>
        <w:t>, enabling the Council</w:t>
      </w:r>
      <w:r w:rsidR="0036270D" w:rsidRPr="00953358">
        <w:rPr>
          <w:color w:val="auto"/>
          <w:lang w:val="en-US"/>
        </w:rPr>
        <w:t xml:space="preserve"> to </w:t>
      </w:r>
      <w:r w:rsidR="00FB51A8" w:rsidRPr="00FB51A8">
        <w:rPr>
          <w:color w:val="auto"/>
          <w:lang w:val="en-US"/>
        </w:rPr>
        <w:t>collect, store, and retrieve log data in real time across operating systems, security devices, network infrastructure, systems, and applications</w:t>
      </w:r>
      <w:r w:rsidR="00FB51A8">
        <w:rPr>
          <w:color w:val="auto"/>
          <w:lang w:val="en-US"/>
        </w:rPr>
        <w:t xml:space="preserve">, </w:t>
      </w:r>
      <w:r w:rsidR="00FB51A8" w:rsidRPr="00FB51A8">
        <w:rPr>
          <w:color w:val="auto"/>
          <w:lang w:val="en-US"/>
        </w:rPr>
        <w:t>provid</w:t>
      </w:r>
      <w:r w:rsidR="00FB51A8">
        <w:rPr>
          <w:color w:val="auto"/>
          <w:lang w:val="en-US"/>
        </w:rPr>
        <w:t>ing</w:t>
      </w:r>
      <w:r w:rsidR="00FB51A8" w:rsidRPr="00FB51A8">
        <w:rPr>
          <w:color w:val="auto"/>
          <w:lang w:val="en-US"/>
        </w:rPr>
        <w:t xml:space="preserve"> real-time and historical threat analysis based on log data</w:t>
      </w:r>
      <w:r w:rsidR="00FB51A8">
        <w:rPr>
          <w:color w:val="auto"/>
          <w:lang w:val="en-US"/>
        </w:rPr>
        <w:t>, as well as</w:t>
      </w:r>
      <w:r w:rsidR="00FB51A8" w:rsidRPr="00FB51A8">
        <w:rPr>
          <w:color w:val="auto"/>
          <w:lang w:val="en-US"/>
        </w:rPr>
        <w:t xml:space="preserve"> send</w:t>
      </w:r>
      <w:r w:rsidR="00FB51A8">
        <w:rPr>
          <w:color w:val="auto"/>
          <w:lang w:val="en-US"/>
        </w:rPr>
        <w:t>ing</w:t>
      </w:r>
      <w:r w:rsidR="00FB51A8" w:rsidRPr="00FB51A8">
        <w:rPr>
          <w:color w:val="auto"/>
          <w:lang w:val="en-US"/>
        </w:rPr>
        <w:t xml:space="preserve"> alerts when potential security threats are detected, prioritiz</w:t>
      </w:r>
      <w:r w:rsidR="00FB51A8">
        <w:rPr>
          <w:color w:val="auto"/>
          <w:lang w:val="en-US"/>
        </w:rPr>
        <w:t>ing</w:t>
      </w:r>
      <w:r w:rsidR="00FB51A8" w:rsidRPr="00FB51A8">
        <w:rPr>
          <w:color w:val="auto"/>
          <w:lang w:val="en-US"/>
        </w:rPr>
        <w:t xml:space="preserve"> threats based on severity, </w:t>
      </w:r>
      <w:r w:rsidR="00FB51A8">
        <w:rPr>
          <w:color w:val="auto"/>
          <w:lang w:val="en-US"/>
        </w:rPr>
        <w:t>allowing us to</w:t>
      </w:r>
      <w:r w:rsidR="00FB51A8" w:rsidRPr="00FB51A8">
        <w:rPr>
          <w:color w:val="auto"/>
          <w:lang w:val="en-US"/>
        </w:rPr>
        <w:t xml:space="preserve"> systematically address issue</w:t>
      </w:r>
      <w:r w:rsidR="00FB51A8">
        <w:rPr>
          <w:color w:val="auto"/>
          <w:lang w:val="en-US"/>
        </w:rPr>
        <w:t>s.</w:t>
      </w:r>
      <w:proofErr w:type="gramEnd"/>
    </w:p>
    <w:p w14:paraId="638243AF" w14:textId="6583E699" w:rsidR="000953ED" w:rsidRPr="00953358" w:rsidRDefault="00FB51A8" w:rsidP="00AB124C">
      <w:pPr>
        <w:jc w:val="both"/>
        <w:rPr>
          <w:color w:val="auto"/>
          <w:lang w:val="en-US"/>
        </w:rPr>
      </w:pPr>
      <w:r>
        <w:rPr>
          <w:color w:val="auto"/>
          <w:lang w:val="en-US"/>
        </w:rPr>
        <w:t xml:space="preserve">The solution must </w:t>
      </w:r>
      <w:r w:rsidRPr="00FB51A8">
        <w:rPr>
          <w:color w:val="auto"/>
          <w:lang w:val="en-US"/>
        </w:rPr>
        <w:t>aggregate and normalizes logs into a unified format to ensure consistency across all log data.</w:t>
      </w:r>
    </w:p>
    <w:p w14:paraId="4DECC018" w14:textId="77777777" w:rsidR="00BE00EA" w:rsidRPr="00953358" w:rsidRDefault="00BE00EA" w:rsidP="00AB124C">
      <w:pPr>
        <w:jc w:val="both"/>
        <w:rPr>
          <w:color w:val="auto"/>
          <w:lang w:val="en-US"/>
        </w:rPr>
      </w:pPr>
      <w:bookmarkStart w:id="1" w:name="_GoBack"/>
      <w:bookmarkEnd w:id="1"/>
    </w:p>
    <w:p w14:paraId="644940D8" w14:textId="222E5D50" w:rsidR="0036270D" w:rsidRPr="00953358" w:rsidRDefault="0036270D" w:rsidP="0036270D">
      <w:pPr>
        <w:jc w:val="both"/>
        <w:rPr>
          <w:color w:val="auto"/>
          <w:lang w:val="en-US"/>
        </w:rPr>
      </w:pPr>
      <w:r w:rsidRPr="00953358">
        <w:rPr>
          <w:color w:val="auto"/>
          <w:lang w:val="en-US"/>
        </w:rPr>
        <w:t xml:space="preserve">GBC is a small local government authority located in the town of Gosport, Hampshire, and is conducting this procurement to </w:t>
      </w:r>
      <w:r w:rsidR="000953ED">
        <w:rPr>
          <w:color w:val="auto"/>
          <w:lang w:val="en-US"/>
        </w:rPr>
        <w:t xml:space="preserve">enable the Council to </w:t>
      </w:r>
      <w:r w:rsidR="00FB51A8">
        <w:rPr>
          <w:color w:val="auto"/>
          <w:lang w:val="en-US"/>
        </w:rPr>
        <w:t xml:space="preserve">have a robust </w:t>
      </w:r>
      <w:r w:rsidR="00DB577C">
        <w:rPr>
          <w:color w:val="auto"/>
          <w:lang w:val="en-US"/>
        </w:rPr>
        <w:t xml:space="preserve">level of </w:t>
      </w:r>
      <w:r w:rsidR="00FB51A8">
        <w:rPr>
          <w:color w:val="auto"/>
          <w:lang w:val="en-US"/>
        </w:rPr>
        <w:t xml:space="preserve">cyber security </w:t>
      </w:r>
      <w:r w:rsidR="00DB577C">
        <w:rPr>
          <w:color w:val="auto"/>
          <w:lang w:val="en-US"/>
        </w:rPr>
        <w:t>in place.</w:t>
      </w:r>
    </w:p>
    <w:p w14:paraId="454B2155" w14:textId="253E7383" w:rsidR="00405389" w:rsidRDefault="00405389">
      <w:pPr>
        <w:rPr>
          <w:color w:val="4F81BD" w:themeColor="accent1"/>
          <w:lang w:val="en-US"/>
        </w:rPr>
      </w:pPr>
      <w:r>
        <w:rPr>
          <w:color w:val="4F81BD" w:themeColor="accent1"/>
          <w:lang w:val="en-US"/>
        </w:rPr>
        <w:br w:type="page"/>
      </w:r>
    </w:p>
    <w:p w14:paraId="40288B0B" w14:textId="0828B408" w:rsidR="00C00D19" w:rsidRPr="00316F8C" w:rsidRDefault="00C00D19" w:rsidP="006C4F4D">
      <w:pPr>
        <w:pStyle w:val="Heading1"/>
        <w:numPr>
          <w:ilvl w:val="0"/>
          <w:numId w:val="1"/>
        </w:numPr>
        <w:ind w:left="426" w:hanging="426"/>
        <w:jc w:val="both"/>
        <w:rPr>
          <w:b w:val="0"/>
          <w:bCs/>
          <w:lang w:val="en-US"/>
        </w:rPr>
      </w:pPr>
      <w:bookmarkStart w:id="2" w:name="_Toc173233593"/>
      <w:r w:rsidRPr="006C4F4D">
        <w:rPr>
          <w:rFonts w:cs="Arial"/>
          <w:szCs w:val="24"/>
          <w:lang w:val="en-US"/>
        </w:rPr>
        <w:lastRenderedPageBreak/>
        <w:t>Specification</w:t>
      </w:r>
      <w:r w:rsidRPr="00316F8C">
        <w:rPr>
          <w:bCs/>
          <w:lang w:val="en-US"/>
        </w:rPr>
        <w:t xml:space="preserve"> / Requirements</w:t>
      </w:r>
      <w:bookmarkEnd w:id="2"/>
    </w:p>
    <w:p w14:paraId="3A9BF77F" w14:textId="77777777" w:rsidR="00643F40" w:rsidRDefault="00643F40" w:rsidP="00643F40">
      <w:pPr>
        <w:jc w:val="both"/>
        <w:rPr>
          <w:color w:val="FF0000"/>
          <w:lang w:val="en-US"/>
        </w:rPr>
      </w:pPr>
    </w:p>
    <w:p w14:paraId="4586A754" w14:textId="019FED27" w:rsidR="00FE4B21" w:rsidRDefault="00953358" w:rsidP="00DB577C">
      <w:pPr>
        <w:spacing w:after="200" w:line="276" w:lineRule="auto"/>
        <w:rPr>
          <w:color w:val="auto"/>
          <w:lang w:val="en-US"/>
        </w:rPr>
      </w:pPr>
      <w:r w:rsidRPr="00953358">
        <w:rPr>
          <w:color w:val="auto"/>
          <w:lang w:val="en-US"/>
        </w:rPr>
        <w:t xml:space="preserve">The successful supplier (mentioned hereafter as ‘the </w:t>
      </w:r>
      <w:r w:rsidR="000953ED">
        <w:rPr>
          <w:color w:val="auto"/>
          <w:lang w:val="en-US"/>
        </w:rPr>
        <w:t>Supplier</w:t>
      </w:r>
      <w:r w:rsidRPr="00953358">
        <w:rPr>
          <w:color w:val="auto"/>
          <w:lang w:val="en-US"/>
        </w:rPr>
        <w:t xml:space="preserve">) will supply and </w:t>
      </w:r>
      <w:r w:rsidR="00DB577C">
        <w:rPr>
          <w:color w:val="auto"/>
          <w:lang w:val="en-US"/>
        </w:rPr>
        <w:t>support a Centralized Logging and SEIM Solution</w:t>
      </w:r>
      <w:r w:rsidR="00BE00EA">
        <w:rPr>
          <w:color w:val="auto"/>
          <w:lang w:val="en-US"/>
        </w:rPr>
        <w:t>.</w:t>
      </w:r>
    </w:p>
    <w:p w14:paraId="327825A2" w14:textId="77777777" w:rsidR="00DB577C" w:rsidRDefault="00DB577C" w:rsidP="00DB577C">
      <w:pPr>
        <w:spacing w:after="200" w:line="276" w:lineRule="auto"/>
        <w:rPr>
          <w:color w:val="auto"/>
          <w:lang w:val="en-US"/>
        </w:rPr>
      </w:pPr>
    </w:p>
    <w:p w14:paraId="3181AD38" w14:textId="77777777" w:rsidR="00EC266D" w:rsidRPr="008C6DFF" w:rsidRDefault="00EC266D" w:rsidP="00EC266D">
      <w:pPr>
        <w:rPr>
          <w:b/>
          <w:bCs/>
          <w:u w:val="single"/>
        </w:rPr>
      </w:pPr>
      <w:r w:rsidRPr="008C6DFF">
        <w:rPr>
          <w:b/>
          <w:bCs/>
          <w:u w:val="single"/>
        </w:rPr>
        <w:t>Functional Requirements</w:t>
      </w:r>
    </w:p>
    <w:p w14:paraId="56DF1D1A" w14:textId="77777777" w:rsidR="00EC266D" w:rsidRPr="008C6DFF" w:rsidRDefault="00EC266D" w:rsidP="00EC266D">
      <w:pPr>
        <w:rPr>
          <w:u w:val="single"/>
        </w:rPr>
      </w:pPr>
      <w:r w:rsidRPr="008C6DFF">
        <w:rPr>
          <w:u w:val="single"/>
        </w:rPr>
        <w:t>Log Collection and Aggregation</w:t>
      </w:r>
    </w:p>
    <w:p w14:paraId="486C4D87" w14:textId="77777777" w:rsidR="00EC266D" w:rsidRDefault="00EC266D" w:rsidP="00EC266D">
      <w:r>
        <w:t>Sources: Collect logs from servers, network devices, firewalls, applications, and endpoints.</w:t>
      </w:r>
    </w:p>
    <w:p w14:paraId="7DE72123" w14:textId="77777777" w:rsidR="00EC266D" w:rsidRDefault="00EC266D" w:rsidP="00EC266D">
      <w:r>
        <w:t>Protocols: Support for common logging protocols (e.g., Syslog, SNMP, Windows Event Forwarding).</w:t>
      </w:r>
    </w:p>
    <w:p w14:paraId="26EF278A" w14:textId="77777777" w:rsidR="00EC266D" w:rsidRDefault="00EC266D" w:rsidP="00EC266D">
      <w:r>
        <w:t>Real-time Collection: Ability to ingest logs in real-time.</w:t>
      </w:r>
    </w:p>
    <w:p w14:paraId="3FCC9B4B" w14:textId="77777777" w:rsidR="00EC266D" w:rsidRDefault="00EC266D" w:rsidP="00EC266D"/>
    <w:p w14:paraId="276E74FF" w14:textId="77777777" w:rsidR="00EC266D" w:rsidRPr="008C6DFF" w:rsidRDefault="00EC266D" w:rsidP="00EC266D">
      <w:pPr>
        <w:rPr>
          <w:u w:val="single"/>
        </w:rPr>
      </w:pPr>
      <w:r w:rsidRPr="008C6DFF">
        <w:rPr>
          <w:u w:val="single"/>
        </w:rPr>
        <w:t>Data Normalization and Enrichment</w:t>
      </w:r>
    </w:p>
    <w:p w14:paraId="538B31ED" w14:textId="77777777" w:rsidR="00EC266D" w:rsidRDefault="00EC266D" w:rsidP="00EC266D">
      <w:r>
        <w:t>Normalization: Convert logs into a consistent format.</w:t>
      </w:r>
    </w:p>
    <w:p w14:paraId="1E074264" w14:textId="77777777" w:rsidR="00EC266D" w:rsidRDefault="00EC266D" w:rsidP="00EC266D">
      <w:r>
        <w:t>Enrichment: Add context to logs (e.g., geo-location, user details, asset information).</w:t>
      </w:r>
    </w:p>
    <w:p w14:paraId="178AC262" w14:textId="77777777" w:rsidR="00EC266D" w:rsidRDefault="00EC266D" w:rsidP="00EC266D"/>
    <w:p w14:paraId="414FEB17" w14:textId="77777777" w:rsidR="00EC266D" w:rsidRPr="008C6DFF" w:rsidRDefault="00EC266D" w:rsidP="00EC266D">
      <w:pPr>
        <w:rPr>
          <w:u w:val="single"/>
        </w:rPr>
      </w:pPr>
      <w:r w:rsidRPr="008C6DFF">
        <w:rPr>
          <w:u w:val="single"/>
        </w:rPr>
        <w:t>Correlation and Analysis</w:t>
      </w:r>
    </w:p>
    <w:p w14:paraId="31FAA1C1" w14:textId="77777777" w:rsidR="00EC266D" w:rsidRDefault="00EC266D" w:rsidP="00EC266D">
      <w:r>
        <w:t>Correlation Rules: Define rules to correlate events across different sources.</w:t>
      </w:r>
    </w:p>
    <w:p w14:paraId="771C3F21" w14:textId="2E162C6D" w:rsidR="00EC266D" w:rsidRDefault="00BE00EA" w:rsidP="00EC266D">
      <w:r>
        <w:t>Behavioural</w:t>
      </w:r>
      <w:r w:rsidR="00EC266D">
        <w:t xml:space="preserve"> Analysis: Detect anomalies based on baseline </w:t>
      </w:r>
      <w:r w:rsidR="002E583B">
        <w:t>behaviour</w:t>
      </w:r>
      <w:r w:rsidR="00EC266D">
        <w:t>.</w:t>
      </w:r>
    </w:p>
    <w:p w14:paraId="11AEC2E9" w14:textId="77777777" w:rsidR="00EC266D" w:rsidRDefault="00EC266D" w:rsidP="00EC266D">
      <w:r>
        <w:t>Machine Learning: Use ML algorithms to identify patterns and predict threats.</w:t>
      </w:r>
    </w:p>
    <w:p w14:paraId="78782A1A" w14:textId="77777777" w:rsidR="00EC266D" w:rsidRDefault="00EC266D" w:rsidP="00EC266D"/>
    <w:p w14:paraId="34F40FE5" w14:textId="77777777" w:rsidR="00EC266D" w:rsidRPr="008C6DFF" w:rsidRDefault="00EC266D" w:rsidP="00EC266D">
      <w:pPr>
        <w:rPr>
          <w:u w:val="single"/>
        </w:rPr>
      </w:pPr>
      <w:r w:rsidRPr="008C6DFF">
        <w:rPr>
          <w:u w:val="single"/>
        </w:rPr>
        <w:t>Alerting and Reporting</w:t>
      </w:r>
    </w:p>
    <w:p w14:paraId="1212A620" w14:textId="77777777" w:rsidR="00EC266D" w:rsidRDefault="00EC266D" w:rsidP="00EC266D">
      <w:r>
        <w:t>Alerting: Real-time alerts via email, SMS, or integrated messaging systems.</w:t>
      </w:r>
    </w:p>
    <w:p w14:paraId="707BDC9C" w14:textId="77777777" w:rsidR="00EC266D" w:rsidRDefault="00EC266D" w:rsidP="00EC266D">
      <w:r>
        <w:t>Dashboards: Customizable dashboards for different user roles.</w:t>
      </w:r>
    </w:p>
    <w:p w14:paraId="2F80C633" w14:textId="19FF23BB" w:rsidR="00EC266D" w:rsidRDefault="00EC266D" w:rsidP="00EC266D">
      <w:r>
        <w:t>Reports: Pre-defined and custom reports for compliance and management.</w:t>
      </w:r>
    </w:p>
    <w:p w14:paraId="6C0A7EB8" w14:textId="77777777" w:rsidR="00F87224" w:rsidRDefault="00F87224" w:rsidP="00EC266D"/>
    <w:p w14:paraId="7A4057E8" w14:textId="644E3955" w:rsidR="00405389" w:rsidRDefault="00405389">
      <w:r>
        <w:br w:type="page"/>
      </w:r>
    </w:p>
    <w:p w14:paraId="11796721" w14:textId="77777777" w:rsidR="00EC266D" w:rsidRDefault="00EC266D" w:rsidP="00EC266D">
      <w:pPr>
        <w:rPr>
          <w:b/>
          <w:bCs/>
          <w:u w:val="single"/>
        </w:rPr>
      </w:pPr>
      <w:r w:rsidRPr="008C6DFF">
        <w:rPr>
          <w:b/>
          <w:bCs/>
          <w:u w:val="single"/>
        </w:rPr>
        <w:lastRenderedPageBreak/>
        <w:t>Security Requirements</w:t>
      </w:r>
    </w:p>
    <w:p w14:paraId="5FDC1FC2" w14:textId="77777777" w:rsidR="00EC266D" w:rsidRPr="008C6DFF" w:rsidRDefault="00EC266D" w:rsidP="00EC266D">
      <w:pPr>
        <w:rPr>
          <w:b/>
          <w:bCs/>
          <w:u w:val="single"/>
        </w:rPr>
      </w:pPr>
    </w:p>
    <w:p w14:paraId="79761C99" w14:textId="77777777" w:rsidR="00EC266D" w:rsidRDefault="00EC266D" w:rsidP="00EC266D">
      <w:r>
        <w:t xml:space="preserve">Authentication: </w:t>
      </w:r>
      <w:proofErr w:type="gramStart"/>
      <w:r>
        <w:t>Strong user authentication mechanisms</w:t>
      </w:r>
      <w:proofErr w:type="gramEnd"/>
      <w:r>
        <w:t xml:space="preserve"> (e.g., MFA).</w:t>
      </w:r>
    </w:p>
    <w:p w14:paraId="433421F4" w14:textId="77777777" w:rsidR="00EC266D" w:rsidRDefault="00EC266D" w:rsidP="00EC266D">
      <w:r>
        <w:t>Authorization: Role-based access control (RBAC) to restrict access based on roles.</w:t>
      </w:r>
    </w:p>
    <w:p w14:paraId="42075798" w14:textId="77777777" w:rsidR="00EC266D" w:rsidRDefault="00EC266D" w:rsidP="00EC266D">
      <w:r>
        <w:t>Encryption: Encrypt log data at rest and in transit.</w:t>
      </w:r>
    </w:p>
    <w:p w14:paraId="2EB846C6" w14:textId="1DDE9C63" w:rsidR="00EC266D" w:rsidRDefault="00EC266D" w:rsidP="00EC266D">
      <w:r>
        <w:t xml:space="preserve">Compliance: Ensure compliance with local and national regulations. </w:t>
      </w:r>
    </w:p>
    <w:p w14:paraId="67DC328D" w14:textId="77777777" w:rsidR="00DB577C" w:rsidRDefault="00DB577C" w:rsidP="00DB577C">
      <w:pPr>
        <w:spacing w:after="200" w:line="276" w:lineRule="auto"/>
        <w:rPr>
          <w:color w:val="auto"/>
          <w:lang w:val="en-US"/>
        </w:rPr>
      </w:pPr>
    </w:p>
    <w:p w14:paraId="032F1289" w14:textId="77777777" w:rsidR="00EC266D" w:rsidRPr="008C6DFF" w:rsidRDefault="00EC266D" w:rsidP="00EC266D">
      <w:pPr>
        <w:rPr>
          <w:b/>
          <w:bCs/>
          <w:u w:val="single"/>
        </w:rPr>
      </w:pPr>
      <w:r w:rsidRPr="008C6DFF">
        <w:rPr>
          <w:b/>
          <w:bCs/>
          <w:u w:val="single"/>
        </w:rPr>
        <w:t>Integration Requirements</w:t>
      </w:r>
    </w:p>
    <w:p w14:paraId="3FE6C911" w14:textId="77777777" w:rsidR="00EC266D" w:rsidRDefault="00EC266D" w:rsidP="00EC266D">
      <w:r>
        <w:t>ITSM Integration: Integrate with IT Service Management (ITSM) tools for ticketing and incident response.</w:t>
      </w:r>
    </w:p>
    <w:p w14:paraId="13BC6CF8" w14:textId="77777777" w:rsidR="00EC266D" w:rsidRDefault="00EC266D" w:rsidP="00EC266D">
      <w:r>
        <w:t>Threat Intelligence Feeds: Integration with external threat intelligence sources.</w:t>
      </w:r>
    </w:p>
    <w:p w14:paraId="3EAD1DC4" w14:textId="77777777" w:rsidR="00EC266D" w:rsidRDefault="00EC266D" w:rsidP="00EC266D">
      <w:r>
        <w:t>Third-party Tools: Compatibility with other security tools (e.g., IDS/IPS, DLP).</w:t>
      </w:r>
    </w:p>
    <w:p w14:paraId="0E3E8A19" w14:textId="77777777" w:rsidR="00EC266D" w:rsidRDefault="00EC266D" w:rsidP="00DB577C">
      <w:pPr>
        <w:spacing w:after="200" w:line="276" w:lineRule="auto"/>
        <w:rPr>
          <w:color w:val="auto"/>
          <w:lang w:val="en-US"/>
        </w:rPr>
      </w:pPr>
    </w:p>
    <w:p w14:paraId="5023B829" w14:textId="77777777" w:rsidR="00EC266D" w:rsidRPr="008C6DFF" w:rsidRDefault="00EC266D" w:rsidP="00EC266D">
      <w:pPr>
        <w:rPr>
          <w:b/>
          <w:bCs/>
          <w:u w:val="single"/>
        </w:rPr>
      </w:pPr>
      <w:r w:rsidRPr="008C6DFF">
        <w:rPr>
          <w:b/>
          <w:bCs/>
          <w:u w:val="single"/>
        </w:rPr>
        <w:t>Performance and Scalability</w:t>
      </w:r>
    </w:p>
    <w:p w14:paraId="055CE1AD" w14:textId="3AD74A14" w:rsidR="00EC266D" w:rsidRDefault="00EC266D" w:rsidP="00EC266D">
      <w:r>
        <w:t xml:space="preserve">Scalability: Ability to scale horizontally by adding more nodes should they become </w:t>
      </w:r>
      <w:r w:rsidR="0057426C">
        <w:t>necessary</w:t>
      </w:r>
      <w:r>
        <w:t>.</w:t>
      </w:r>
    </w:p>
    <w:p w14:paraId="574A6916" w14:textId="77777777" w:rsidR="00EC266D" w:rsidRDefault="00EC266D" w:rsidP="00EC266D">
      <w:r>
        <w:t>Performance: Handle high log volumes and provide fast query responses.</w:t>
      </w:r>
    </w:p>
    <w:p w14:paraId="5CAE5685" w14:textId="77777777" w:rsidR="00EC266D" w:rsidRDefault="00EC266D" w:rsidP="00EC266D">
      <w:r>
        <w:t xml:space="preserve">Load Balancing: Implement load balancing to distribute the </w:t>
      </w:r>
      <w:proofErr w:type="gramStart"/>
      <w:r>
        <w:t>log processing</w:t>
      </w:r>
      <w:proofErr w:type="gramEnd"/>
      <w:r>
        <w:t xml:space="preserve"> load.</w:t>
      </w:r>
    </w:p>
    <w:p w14:paraId="4ACAFDC2" w14:textId="77777777" w:rsidR="00407AF6" w:rsidRDefault="00407AF6" w:rsidP="00EC266D">
      <w:pPr>
        <w:rPr>
          <w:b/>
          <w:bCs/>
          <w:u w:val="single"/>
        </w:rPr>
      </w:pPr>
    </w:p>
    <w:p w14:paraId="78C0160D" w14:textId="19C8E377" w:rsidR="00EC266D" w:rsidRPr="008C6DFF" w:rsidRDefault="00EC266D" w:rsidP="00EC266D">
      <w:pPr>
        <w:rPr>
          <w:b/>
          <w:bCs/>
          <w:u w:val="single"/>
        </w:rPr>
      </w:pPr>
      <w:r w:rsidRPr="008C6DFF">
        <w:rPr>
          <w:b/>
          <w:bCs/>
          <w:u w:val="single"/>
        </w:rPr>
        <w:t>Management and Maintenance</w:t>
      </w:r>
    </w:p>
    <w:p w14:paraId="7C1AF963" w14:textId="77777777" w:rsidR="00EC266D" w:rsidRDefault="00EC266D" w:rsidP="00EC266D">
      <w:r>
        <w:t>Centralized Management: Single pane of glass for managing the entire SIEM solution.</w:t>
      </w:r>
    </w:p>
    <w:p w14:paraId="31DE5728" w14:textId="77777777" w:rsidR="00EC266D" w:rsidRDefault="00EC266D" w:rsidP="00EC266D">
      <w:r>
        <w:t>Automation: Automate routine tasks (e.g., log rotation, backups).</w:t>
      </w:r>
    </w:p>
    <w:p w14:paraId="39C26DAD" w14:textId="77777777" w:rsidR="00EC266D" w:rsidRDefault="00EC266D" w:rsidP="00EC266D">
      <w:proofErr w:type="gramStart"/>
      <w:r>
        <w:t>Monitoring: Continuous</w:t>
      </w:r>
      <w:proofErr w:type="gramEnd"/>
      <w:r>
        <w:t xml:space="preserve"> monitoring of the SIEM infrastructure for health and performance.</w:t>
      </w:r>
    </w:p>
    <w:p w14:paraId="61472BBF" w14:textId="77777777" w:rsidR="00EC266D" w:rsidRDefault="00EC266D" w:rsidP="00DB577C">
      <w:pPr>
        <w:spacing w:after="200" w:line="276" w:lineRule="auto"/>
        <w:rPr>
          <w:color w:val="auto"/>
          <w:lang w:val="en-US"/>
        </w:rPr>
      </w:pPr>
    </w:p>
    <w:p w14:paraId="0E6D5559" w14:textId="77777777" w:rsidR="00EC266D" w:rsidRPr="008C6DFF" w:rsidRDefault="00EC266D" w:rsidP="00EC266D">
      <w:pPr>
        <w:rPr>
          <w:b/>
          <w:bCs/>
          <w:u w:val="single"/>
        </w:rPr>
      </w:pPr>
      <w:r w:rsidRPr="008C6DFF">
        <w:rPr>
          <w:b/>
          <w:bCs/>
          <w:u w:val="single"/>
        </w:rPr>
        <w:t>Training and Support</w:t>
      </w:r>
    </w:p>
    <w:p w14:paraId="136FFA3F" w14:textId="77777777" w:rsidR="00EC266D" w:rsidRDefault="00EC266D" w:rsidP="00EC266D">
      <w:r>
        <w:t>Training: Provide the option of training for IT staff on managing and using the SIEM solution.</w:t>
      </w:r>
    </w:p>
    <w:p w14:paraId="49DFFE3B" w14:textId="77777777" w:rsidR="00EC266D" w:rsidRDefault="00EC266D" w:rsidP="00EC266D">
      <w:r>
        <w:t>Support: Ensure vendor support or third-party support contracts for critical issues.</w:t>
      </w:r>
    </w:p>
    <w:p w14:paraId="30EA504C" w14:textId="77777777" w:rsidR="00EC266D" w:rsidRDefault="00EC266D" w:rsidP="00DB577C">
      <w:pPr>
        <w:spacing w:after="200" w:line="276" w:lineRule="auto"/>
        <w:rPr>
          <w:color w:val="auto"/>
          <w:lang w:val="en-US"/>
        </w:rPr>
      </w:pPr>
    </w:p>
    <w:p w14:paraId="5503F8F6" w14:textId="77777777" w:rsidR="00EC266D" w:rsidRDefault="00EC266D" w:rsidP="00EC266D"/>
    <w:p w14:paraId="1472DD72" w14:textId="77777777" w:rsidR="00EC266D" w:rsidRPr="008C6DFF" w:rsidRDefault="00EC266D" w:rsidP="00EC266D">
      <w:pPr>
        <w:rPr>
          <w:b/>
          <w:bCs/>
          <w:u w:val="single"/>
        </w:rPr>
      </w:pPr>
      <w:r w:rsidRPr="008C6DFF">
        <w:rPr>
          <w:b/>
          <w:bCs/>
          <w:u w:val="single"/>
        </w:rPr>
        <w:lastRenderedPageBreak/>
        <w:t>Documentation</w:t>
      </w:r>
    </w:p>
    <w:p w14:paraId="15A61D5B" w14:textId="77777777" w:rsidR="00EC266D" w:rsidRDefault="00EC266D" w:rsidP="00EC266D">
      <w:r>
        <w:t>Documentation: Comprehensive documentation for installation, configuration, and operation.</w:t>
      </w:r>
    </w:p>
    <w:p w14:paraId="20C0F5B7" w14:textId="77777777" w:rsidR="00EC266D" w:rsidRDefault="00EC266D" w:rsidP="00EC266D">
      <w:r>
        <w:t>Playbooks: Develop Playbooks for common incident response scenarios.</w:t>
      </w:r>
    </w:p>
    <w:p w14:paraId="0C1635DB" w14:textId="77777777" w:rsidR="00953358" w:rsidRPr="00953358" w:rsidRDefault="00953358" w:rsidP="00953358">
      <w:pPr>
        <w:spacing w:line="276" w:lineRule="auto"/>
        <w:ind w:right="-46" w:hanging="11"/>
      </w:pPr>
    </w:p>
    <w:p w14:paraId="2A51FC94" w14:textId="77777777" w:rsidR="00953358" w:rsidRPr="00953358" w:rsidRDefault="00953358" w:rsidP="00953358">
      <w:pPr>
        <w:spacing w:line="240" w:lineRule="auto"/>
        <w:rPr>
          <w:color w:val="auto"/>
          <w:lang w:val="en-US"/>
        </w:rPr>
      </w:pPr>
    </w:p>
    <w:p w14:paraId="57EB2099" w14:textId="77777777" w:rsidR="00C00D19" w:rsidRPr="00AB124C" w:rsidRDefault="00C00D19" w:rsidP="00AB124C">
      <w:pPr>
        <w:pStyle w:val="Heading1"/>
        <w:numPr>
          <w:ilvl w:val="0"/>
          <w:numId w:val="1"/>
        </w:numPr>
        <w:ind w:left="426" w:hanging="426"/>
        <w:jc w:val="both"/>
        <w:rPr>
          <w:rFonts w:cs="Arial"/>
          <w:szCs w:val="24"/>
          <w:lang w:val="en-US"/>
        </w:rPr>
      </w:pPr>
      <w:bookmarkStart w:id="3" w:name="_Toc173233594"/>
      <w:r w:rsidRPr="00AB124C">
        <w:rPr>
          <w:rFonts w:cs="Arial"/>
          <w:szCs w:val="24"/>
          <w:lang w:val="en-US"/>
        </w:rPr>
        <w:t>Insurance</w:t>
      </w:r>
      <w:bookmarkEnd w:id="3"/>
    </w:p>
    <w:p w14:paraId="724E66F8" w14:textId="77777777" w:rsidR="00C00D19" w:rsidRPr="00AB124C" w:rsidRDefault="00C00D19" w:rsidP="00AB124C">
      <w:pPr>
        <w:ind w:left="426" w:hanging="426"/>
        <w:jc w:val="both"/>
        <w:rPr>
          <w:lang w:val="en-US"/>
        </w:rPr>
      </w:pPr>
    </w:p>
    <w:p w14:paraId="623E7CAC" w14:textId="77777777" w:rsidR="00736C9B" w:rsidRPr="00405389" w:rsidRDefault="00736C9B" w:rsidP="00736C9B">
      <w:pPr>
        <w:autoSpaceDE w:val="0"/>
        <w:autoSpaceDN w:val="0"/>
        <w:adjustRightInd w:val="0"/>
        <w:spacing w:line="240" w:lineRule="auto"/>
        <w:jc w:val="both"/>
        <w:rPr>
          <w:color w:val="auto"/>
        </w:rPr>
      </w:pPr>
      <w:r w:rsidRPr="00405389">
        <w:rPr>
          <w:color w:val="auto"/>
        </w:rPr>
        <w:t>The Supplier will maintain the following insurance cover for the duration of the commission and provide evidence of cover to the Council at any time when requested by GBC.</w:t>
      </w:r>
    </w:p>
    <w:p w14:paraId="1241C461" w14:textId="77777777" w:rsidR="00736C9B" w:rsidRPr="00405389" w:rsidRDefault="00736C9B" w:rsidP="00736C9B">
      <w:pPr>
        <w:autoSpaceDE w:val="0"/>
        <w:autoSpaceDN w:val="0"/>
        <w:adjustRightInd w:val="0"/>
        <w:spacing w:line="240" w:lineRule="auto"/>
        <w:jc w:val="both"/>
        <w:rPr>
          <w:color w:val="auto"/>
        </w:rPr>
      </w:pPr>
    </w:p>
    <w:tbl>
      <w:tblPr>
        <w:tblStyle w:val="TableGrid"/>
        <w:tblW w:w="0" w:type="auto"/>
        <w:jc w:val="center"/>
        <w:tblLook w:val="04A0" w:firstRow="1" w:lastRow="0" w:firstColumn="1" w:lastColumn="0" w:noHBand="0" w:noVBand="1"/>
      </w:tblPr>
      <w:tblGrid>
        <w:gridCol w:w="2977"/>
        <w:gridCol w:w="3260"/>
      </w:tblGrid>
      <w:tr w:rsidR="00405389" w:rsidRPr="00405389" w14:paraId="0F300250" w14:textId="77777777" w:rsidTr="00736C9B">
        <w:trPr>
          <w:jc w:val="center"/>
        </w:trPr>
        <w:tc>
          <w:tcPr>
            <w:tcW w:w="2977" w:type="dxa"/>
            <w:shd w:val="clear" w:color="auto" w:fill="F2F2F2" w:themeFill="background1" w:themeFillShade="F2"/>
          </w:tcPr>
          <w:p w14:paraId="00177451" w14:textId="77777777" w:rsidR="00736C9B" w:rsidRPr="00405389" w:rsidRDefault="00736C9B" w:rsidP="00736C9B">
            <w:pPr>
              <w:autoSpaceDE w:val="0"/>
              <w:autoSpaceDN w:val="0"/>
              <w:adjustRightInd w:val="0"/>
              <w:ind w:left="142"/>
              <w:jc w:val="both"/>
              <w:rPr>
                <w:rFonts w:ascii="Arial" w:hAnsi="Arial" w:cs="Arial"/>
                <w:b/>
              </w:rPr>
            </w:pPr>
            <w:r w:rsidRPr="00405389">
              <w:rPr>
                <w:rFonts w:ascii="Arial" w:hAnsi="Arial" w:cs="Arial"/>
                <w:b/>
              </w:rPr>
              <w:t>Insurance:</w:t>
            </w:r>
          </w:p>
        </w:tc>
        <w:tc>
          <w:tcPr>
            <w:tcW w:w="3260" w:type="dxa"/>
            <w:shd w:val="clear" w:color="auto" w:fill="F2F2F2" w:themeFill="background1" w:themeFillShade="F2"/>
          </w:tcPr>
          <w:p w14:paraId="1ED5E7F2" w14:textId="77777777" w:rsidR="00736C9B" w:rsidRPr="00405389" w:rsidRDefault="00736C9B" w:rsidP="00736C9B">
            <w:pPr>
              <w:autoSpaceDE w:val="0"/>
              <w:autoSpaceDN w:val="0"/>
              <w:adjustRightInd w:val="0"/>
              <w:ind w:left="57" w:hanging="57"/>
              <w:jc w:val="both"/>
              <w:rPr>
                <w:rFonts w:ascii="Arial" w:hAnsi="Arial" w:cs="Arial"/>
                <w:b/>
              </w:rPr>
            </w:pPr>
            <w:r w:rsidRPr="00405389">
              <w:rPr>
                <w:rFonts w:ascii="Arial" w:hAnsi="Arial" w:cs="Arial"/>
                <w:b/>
              </w:rPr>
              <w:t>Minimum value required</w:t>
            </w:r>
          </w:p>
        </w:tc>
      </w:tr>
      <w:tr w:rsidR="00405389" w:rsidRPr="00405389" w14:paraId="36738609" w14:textId="77777777" w:rsidTr="00736C9B">
        <w:trPr>
          <w:jc w:val="center"/>
        </w:trPr>
        <w:tc>
          <w:tcPr>
            <w:tcW w:w="2977" w:type="dxa"/>
          </w:tcPr>
          <w:p w14:paraId="3FD57E8B" w14:textId="77777777" w:rsidR="00736C9B" w:rsidRPr="00405389" w:rsidRDefault="00736C9B" w:rsidP="00736C9B">
            <w:pPr>
              <w:autoSpaceDE w:val="0"/>
              <w:autoSpaceDN w:val="0"/>
              <w:adjustRightInd w:val="0"/>
              <w:ind w:left="142"/>
              <w:jc w:val="both"/>
              <w:rPr>
                <w:rFonts w:ascii="Arial" w:hAnsi="Arial" w:cs="Arial"/>
              </w:rPr>
            </w:pPr>
            <w:r w:rsidRPr="00405389">
              <w:rPr>
                <w:rFonts w:ascii="Arial" w:hAnsi="Arial" w:cs="Arial"/>
              </w:rPr>
              <w:t xml:space="preserve">Public Liability </w:t>
            </w:r>
          </w:p>
        </w:tc>
        <w:tc>
          <w:tcPr>
            <w:tcW w:w="3260" w:type="dxa"/>
          </w:tcPr>
          <w:p w14:paraId="7C647F45" w14:textId="77777777" w:rsidR="00736C9B" w:rsidRPr="00405389" w:rsidRDefault="00736C9B" w:rsidP="00736C9B">
            <w:pPr>
              <w:autoSpaceDE w:val="0"/>
              <w:autoSpaceDN w:val="0"/>
              <w:adjustRightInd w:val="0"/>
              <w:ind w:left="57" w:hanging="57"/>
              <w:jc w:val="both"/>
              <w:rPr>
                <w:rFonts w:ascii="Arial" w:hAnsi="Arial" w:cs="Arial"/>
              </w:rPr>
            </w:pPr>
            <w:r w:rsidRPr="00405389">
              <w:rPr>
                <w:rFonts w:ascii="Arial" w:hAnsi="Arial" w:cs="Arial"/>
              </w:rPr>
              <w:t xml:space="preserve">£10 million </w:t>
            </w:r>
          </w:p>
        </w:tc>
      </w:tr>
      <w:tr w:rsidR="00405389" w:rsidRPr="00405389" w14:paraId="6CCA56BD" w14:textId="77777777" w:rsidTr="00736C9B">
        <w:trPr>
          <w:jc w:val="center"/>
        </w:trPr>
        <w:tc>
          <w:tcPr>
            <w:tcW w:w="2977" w:type="dxa"/>
          </w:tcPr>
          <w:p w14:paraId="2CC097E4" w14:textId="28BFBDA9" w:rsidR="00405389" w:rsidRPr="00405389" w:rsidRDefault="00405389" w:rsidP="00736C9B">
            <w:pPr>
              <w:autoSpaceDE w:val="0"/>
              <w:autoSpaceDN w:val="0"/>
              <w:adjustRightInd w:val="0"/>
              <w:ind w:left="142"/>
              <w:jc w:val="both"/>
              <w:rPr>
                <w:rFonts w:ascii="Arial" w:hAnsi="Arial" w:cs="Arial"/>
              </w:rPr>
            </w:pPr>
            <w:r w:rsidRPr="00405389">
              <w:rPr>
                <w:rFonts w:ascii="Arial" w:hAnsi="Arial" w:cs="Arial"/>
              </w:rPr>
              <w:t>Employers Liability</w:t>
            </w:r>
          </w:p>
        </w:tc>
        <w:tc>
          <w:tcPr>
            <w:tcW w:w="3260" w:type="dxa"/>
          </w:tcPr>
          <w:p w14:paraId="738FC01F" w14:textId="244DDDC2" w:rsidR="00405389" w:rsidRPr="00405389" w:rsidRDefault="00405389" w:rsidP="00736C9B">
            <w:pPr>
              <w:autoSpaceDE w:val="0"/>
              <w:autoSpaceDN w:val="0"/>
              <w:adjustRightInd w:val="0"/>
              <w:ind w:left="57" w:hanging="57"/>
              <w:jc w:val="both"/>
              <w:rPr>
                <w:rFonts w:ascii="Arial" w:hAnsi="Arial" w:cs="Arial"/>
              </w:rPr>
            </w:pPr>
            <w:r w:rsidRPr="00405389">
              <w:rPr>
                <w:rFonts w:ascii="Arial" w:hAnsi="Arial" w:cs="Arial"/>
              </w:rPr>
              <w:t>£5 million</w:t>
            </w:r>
          </w:p>
        </w:tc>
      </w:tr>
      <w:tr w:rsidR="00405389" w:rsidRPr="00405389" w14:paraId="26A0B6C9" w14:textId="77777777" w:rsidTr="00736C9B">
        <w:trPr>
          <w:jc w:val="center"/>
        </w:trPr>
        <w:tc>
          <w:tcPr>
            <w:tcW w:w="2977" w:type="dxa"/>
          </w:tcPr>
          <w:p w14:paraId="08E9C670" w14:textId="4EF52AB8" w:rsidR="00407AF6" w:rsidRPr="00405389" w:rsidRDefault="00407AF6" w:rsidP="00736C9B">
            <w:pPr>
              <w:autoSpaceDE w:val="0"/>
              <w:autoSpaceDN w:val="0"/>
              <w:adjustRightInd w:val="0"/>
              <w:ind w:left="142"/>
              <w:jc w:val="both"/>
              <w:rPr>
                <w:rFonts w:ascii="Arial" w:hAnsi="Arial" w:cs="Arial"/>
              </w:rPr>
            </w:pPr>
            <w:r w:rsidRPr="00405389">
              <w:rPr>
                <w:rFonts w:ascii="Arial" w:hAnsi="Arial" w:cs="Arial"/>
              </w:rPr>
              <w:t xml:space="preserve">Professional Indemnity </w:t>
            </w:r>
          </w:p>
        </w:tc>
        <w:tc>
          <w:tcPr>
            <w:tcW w:w="3260" w:type="dxa"/>
          </w:tcPr>
          <w:p w14:paraId="0B6E6EE3" w14:textId="4D782015" w:rsidR="00407AF6" w:rsidRPr="00405389" w:rsidRDefault="00407AF6" w:rsidP="00736C9B">
            <w:pPr>
              <w:autoSpaceDE w:val="0"/>
              <w:autoSpaceDN w:val="0"/>
              <w:adjustRightInd w:val="0"/>
              <w:ind w:left="57" w:hanging="57"/>
              <w:jc w:val="both"/>
              <w:rPr>
                <w:rFonts w:ascii="Arial" w:hAnsi="Arial" w:cs="Arial"/>
              </w:rPr>
            </w:pPr>
            <w:r w:rsidRPr="00405389">
              <w:rPr>
                <w:rFonts w:ascii="Arial" w:hAnsi="Arial" w:cs="Arial"/>
              </w:rPr>
              <w:t>£1 million</w:t>
            </w:r>
          </w:p>
        </w:tc>
      </w:tr>
    </w:tbl>
    <w:p w14:paraId="0F26E69C" w14:textId="77777777" w:rsidR="00736C9B" w:rsidRPr="00405389" w:rsidRDefault="00736C9B" w:rsidP="003C72DD">
      <w:pPr>
        <w:autoSpaceDE w:val="0"/>
        <w:autoSpaceDN w:val="0"/>
        <w:adjustRightInd w:val="0"/>
        <w:spacing w:line="240" w:lineRule="auto"/>
        <w:jc w:val="both"/>
        <w:rPr>
          <w:color w:val="auto"/>
        </w:rPr>
      </w:pPr>
    </w:p>
    <w:p w14:paraId="1BEFE10E" w14:textId="77777777" w:rsidR="00F94D4E" w:rsidRPr="00953358" w:rsidRDefault="00F94D4E" w:rsidP="003C72DD">
      <w:pPr>
        <w:autoSpaceDE w:val="0"/>
        <w:autoSpaceDN w:val="0"/>
        <w:adjustRightInd w:val="0"/>
        <w:spacing w:line="240" w:lineRule="auto"/>
        <w:jc w:val="both"/>
        <w:rPr>
          <w:color w:val="auto"/>
        </w:rPr>
      </w:pPr>
    </w:p>
    <w:p w14:paraId="7E6C3E58" w14:textId="77777777" w:rsidR="00C00D19" w:rsidRPr="00AB124C" w:rsidRDefault="00ED1BA4" w:rsidP="00AB124C">
      <w:pPr>
        <w:pStyle w:val="Heading1"/>
        <w:numPr>
          <w:ilvl w:val="0"/>
          <w:numId w:val="1"/>
        </w:numPr>
        <w:ind w:left="426" w:hanging="426"/>
        <w:jc w:val="both"/>
        <w:rPr>
          <w:rFonts w:cs="Arial"/>
          <w:szCs w:val="24"/>
          <w:lang w:val="en-US"/>
        </w:rPr>
      </w:pPr>
      <w:bookmarkStart w:id="4" w:name="_Toc173233595"/>
      <w:r>
        <w:rPr>
          <w:rFonts w:cs="Arial"/>
          <w:szCs w:val="24"/>
          <w:lang w:val="en-US"/>
        </w:rPr>
        <w:t xml:space="preserve">Procurement </w:t>
      </w:r>
      <w:r w:rsidR="00C00D19" w:rsidRPr="00AB124C">
        <w:rPr>
          <w:rFonts w:cs="Arial"/>
          <w:szCs w:val="24"/>
          <w:lang w:val="en-US"/>
        </w:rPr>
        <w:t>Timetable</w:t>
      </w:r>
      <w:bookmarkEnd w:id="4"/>
    </w:p>
    <w:tbl>
      <w:tblPr>
        <w:tblStyle w:val="TableGrid"/>
        <w:tblW w:w="0" w:type="auto"/>
        <w:tblInd w:w="108" w:type="dxa"/>
        <w:tblLook w:val="04A0" w:firstRow="1" w:lastRow="0" w:firstColumn="1" w:lastColumn="0" w:noHBand="0" w:noVBand="1"/>
      </w:tblPr>
      <w:tblGrid>
        <w:gridCol w:w="3715"/>
        <w:gridCol w:w="5193"/>
      </w:tblGrid>
      <w:tr w:rsidR="00316F8C" w:rsidRPr="00316F8C" w14:paraId="6C4A3318" w14:textId="77777777" w:rsidTr="00F94D4E">
        <w:tc>
          <w:tcPr>
            <w:tcW w:w="3715" w:type="dxa"/>
          </w:tcPr>
          <w:p w14:paraId="43A21CF1" w14:textId="77777777" w:rsidR="00A76F29" w:rsidRPr="00316F8C" w:rsidRDefault="00A76F29" w:rsidP="00AB124C">
            <w:pPr>
              <w:jc w:val="both"/>
              <w:rPr>
                <w:rFonts w:ascii="Arial" w:hAnsi="Arial" w:cs="Arial"/>
                <w:b/>
                <w:lang w:val="en-US"/>
              </w:rPr>
            </w:pPr>
            <w:r w:rsidRPr="00316F8C">
              <w:rPr>
                <w:rFonts w:ascii="Arial" w:hAnsi="Arial" w:cs="Arial"/>
                <w:b/>
                <w:lang w:val="en-US"/>
              </w:rPr>
              <w:t>Event</w:t>
            </w:r>
          </w:p>
        </w:tc>
        <w:tc>
          <w:tcPr>
            <w:tcW w:w="5193" w:type="dxa"/>
          </w:tcPr>
          <w:p w14:paraId="3D3D1B39" w14:textId="77777777" w:rsidR="00A76F29" w:rsidRPr="00316F8C" w:rsidRDefault="00A76F29" w:rsidP="00AB124C">
            <w:pPr>
              <w:jc w:val="both"/>
              <w:rPr>
                <w:rFonts w:ascii="Arial" w:hAnsi="Arial" w:cs="Arial"/>
                <w:b/>
                <w:lang w:val="en-US"/>
              </w:rPr>
            </w:pPr>
            <w:r w:rsidRPr="00316F8C">
              <w:rPr>
                <w:rFonts w:ascii="Arial" w:hAnsi="Arial" w:cs="Arial"/>
                <w:b/>
                <w:lang w:val="en-US"/>
              </w:rPr>
              <w:t>Indicative Date</w:t>
            </w:r>
          </w:p>
        </w:tc>
      </w:tr>
      <w:tr w:rsidR="00316F8C" w:rsidRPr="00316F8C" w14:paraId="647FBC31" w14:textId="77777777" w:rsidTr="00F94D4E">
        <w:tc>
          <w:tcPr>
            <w:tcW w:w="3715" w:type="dxa"/>
          </w:tcPr>
          <w:p w14:paraId="7597144E" w14:textId="77777777" w:rsidR="00C00D19" w:rsidRPr="00316F8C" w:rsidRDefault="00A76F29" w:rsidP="00AB124C">
            <w:pPr>
              <w:jc w:val="both"/>
              <w:rPr>
                <w:rFonts w:ascii="Arial" w:hAnsi="Arial" w:cs="Arial"/>
                <w:lang w:val="en-US"/>
              </w:rPr>
            </w:pPr>
            <w:r w:rsidRPr="00316F8C">
              <w:rPr>
                <w:rFonts w:ascii="Arial" w:hAnsi="Arial" w:cs="Arial"/>
                <w:lang w:val="en-US"/>
              </w:rPr>
              <w:t>Invitation to Quote published</w:t>
            </w:r>
          </w:p>
        </w:tc>
        <w:tc>
          <w:tcPr>
            <w:tcW w:w="5193" w:type="dxa"/>
          </w:tcPr>
          <w:p w14:paraId="3FF2E674" w14:textId="7F9C5B3B" w:rsidR="00C00D19" w:rsidRPr="00316F8C" w:rsidRDefault="002E583B" w:rsidP="002E583B">
            <w:pPr>
              <w:jc w:val="both"/>
              <w:rPr>
                <w:rFonts w:ascii="Arial" w:hAnsi="Arial" w:cs="Arial"/>
                <w:lang w:val="en-US"/>
              </w:rPr>
            </w:pPr>
            <w:r>
              <w:rPr>
                <w:rFonts w:ascii="Arial" w:hAnsi="Arial" w:cs="Arial"/>
                <w:lang w:val="en-US"/>
              </w:rPr>
              <w:t xml:space="preserve">31 July </w:t>
            </w:r>
            <w:r w:rsidR="00F94D4E">
              <w:rPr>
                <w:rFonts w:ascii="Arial" w:hAnsi="Arial" w:cs="Arial"/>
                <w:lang w:val="en-US"/>
              </w:rPr>
              <w:t>202</w:t>
            </w:r>
            <w:r w:rsidR="00936205">
              <w:rPr>
                <w:rFonts w:ascii="Arial" w:hAnsi="Arial" w:cs="Arial"/>
                <w:lang w:val="en-US"/>
              </w:rPr>
              <w:t>4</w:t>
            </w:r>
          </w:p>
        </w:tc>
      </w:tr>
      <w:tr w:rsidR="00316F8C" w:rsidRPr="00316F8C" w14:paraId="4CE6A0D7" w14:textId="77777777" w:rsidTr="00F94D4E">
        <w:tc>
          <w:tcPr>
            <w:tcW w:w="3715" w:type="dxa"/>
          </w:tcPr>
          <w:p w14:paraId="183165B9" w14:textId="77777777" w:rsidR="00C00D19" w:rsidRPr="00316F8C" w:rsidRDefault="00A76F29" w:rsidP="00AB124C">
            <w:pPr>
              <w:jc w:val="both"/>
              <w:rPr>
                <w:rFonts w:ascii="Arial" w:hAnsi="Arial" w:cs="Arial"/>
                <w:lang w:val="en-US"/>
              </w:rPr>
            </w:pPr>
            <w:r w:rsidRPr="00316F8C">
              <w:rPr>
                <w:rFonts w:ascii="Arial" w:hAnsi="Arial" w:cs="Arial"/>
                <w:lang w:val="en-US"/>
              </w:rPr>
              <w:t>Deadline for clarifications</w:t>
            </w:r>
          </w:p>
        </w:tc>
        <w:tc>
          <w:tcPr>
            <w:tcW w:w="5193" w:type="dxa"/>
          </w:tcPr>
          <w:p w14:paraId="3A182F98" w14:textId="73E99DF2" w:rsidR="00C00D19" w:rsidRPr="00316F8C" w:rsidRDefault="002E583B" w:rsidP="002E583B">
            <w:pPr>
              <w:jc w:val="both"/>
              <w:rPr>
                <w:rFonts w:ascii="Arial" w:hAnsi="Arial" w:cs="Arial"/>
                <w:lang w:val="en-US"/>
              </w:rPr>
            </w:pPr>
            <w:r>
              <w:rPr>
                <w:rFonts w:ascii="Arial" w:hAnsi="Arial" w:cs="Arial"/>
                <w:lang w:val="en-US"/>
              </w:rPr>
              <w:t xml:space="preserve">20 August </w:t>
            </w:r>
            <w:r w:rsidR="00B42907">
              <w:rPr>
                <w:rFonts w:ascii="Arial" w:hAnsi="Arial" w:cs="Arial"/>
                <w:lang w:val="en-US"/>
              </w:rPr>
              <w:t>2024</w:t>
            </w:r>
          </w:p>
        </w:tc>
      </w:tr>
      <w:tr w:rsidR="00316F8C" w:rsidRPr="00316F8C" w14:paraId="58E450D4" w14:textId="77777777" w:rsidTr="00F94D4E">
        <w:tc>
          <w:tcPr>
            <w:tcW w:w="3715" w:type="dxa"/>
          </w:tcPr>
          <w:p w14:paraId="46B52655" w14:textId="77777777" w:rsidR="00C00D19" w:rsidRPr="00316F8C" w:rsidRDefault="00A76F29" w:rsidP="00AB124C">
            <w:pPr>
              <w:jc w:val="both"/>
              <w:rPr>
                <w:rFonts w:ascii="Arial" w:hAnsi="Arial" w:cs="Arial"/>
                <w:lang w:val="en-US"/>
              </w:rPr>
            </w:pPr>
            <w:r w:rsidRPr="00316F8C">
              <w:rPr>
                <w:rFonts w:ascii="Arial" w:hAnsi="Arial" w:cs="Arial"/>
                <w:lang w:val="en-US"/>
              </w:rPr>
              <w:t>Deadline for receipt of quotes</w:t>
            </w:r>
          </w:p>
        </w:tc>
        <w:tc>
          <w:tcPr>
            <w:tcW w:w="5193" w:type="dxa"/>
          </w:tcPr>
          <w:p w14:paraId="2E8C56A2" w14:textId="2B407A31" w:rsidR="00C00D19" w:rsidRPr="00316F8C" w:rsidRDefault="00B42907" w:rsidP="002E583B">
            <w:pPr>
              <w:jc w:val="both"/>
              <w:rPr>
                <w:rFonts w:ascii="Arial" w:hAnsi="Arial" w:cs="Arial"/>
                <w:lang w:val="en-US"/>
              </w:rPr>
            </w:pPr>
            <w:r>
              <w:rPr>
                <w:rFonts w:ascii="Arial" w:hAnsi="Arial" w:cs="Arial"/>
                <w:lang w:val="en-US"/>
              </w:rPr>
              <w:t>12</w:t>
            </w:r>
            <w:r w:rsidR="005E3921">
              <w:rPr>
                <w:rFonts w:ascii="Arial" w:hAnsi="Arial" w:cs="Arial"/>
                <w:lang w:val="en-US"/>
              </w:rPr>
              <w:t xml:space="preserve">:00pm, </w:t>
            </w:r>
            <w:r>
              <w:rPr>
                <w:rFonts w:ascii="Arial" w:hAnsi="Arial" w:cs="Arial"/>
                <w:lang w:val="en-US"/>
              </w:rPr>
              <w:t>5</w:t>
            </w:r>
            <w:r w:rsidR="002E583B">
              <w:rPr>
                <w:rFonts w:ascii="Arial" w:hAnsi="Arial" w:cs="Arial"/>
                <w:lang w:val="en-US"/>
              </w:rPr>
              <w:t xml:space="preserve"> September </w:t>
            </w:r>
            <w:r>
              <w:rPr>
                <w:rFonts w:ascii="Arial" w:hAnsi="Arial" w:cs="Arial"/>
                <w:lang w:val="en-US"/>
              </w:rPr>
              <w:t>2024</w:t>
            </w:r>
          </w:p>
        </w:tc>
      </w:tr>
      <w:tr w:rsidR="00316F8C" w:rsidRPr="00316F8C" w14:paraId="725A678B" w14:textId="77777777" w:rsidTr="00F94D4E">
        <w:tc>
          <w:tcPr>
            <w:tcW w:w="3715" w:type="dxa"/>
          </w:tcPr>
          <w:p w14:paraId="49FDB5E6" w14:textId="77777777" w:rsidR="00A76F29" w:rsidRPr="00316F8C" w:rsidRDefault="00A76F29" w:rsidP="00AB124C">
            <w:pPr>
              <w:jc w:val="both"/>
              <w:rPr>
                <w:rFonts w:ascii="Arial" w:hAnsi="Arial" w:cs="Arial"/>
                <w:lang w:val="en-US"/>
              </w:rPr>
            </w:pPr>
            <w:r w:rsidRPr="00316F8C">
              <w:rPr>
                <w:rFonts w:ascii="Arial" w:hAnsi="Arial" w:cs="Arial"/>
                <w:lang w:val="en-US"/>
              </w:rPr>
              <w:t>Evaluation completed by</w:t>
            </w:r>
          </w:p>
        </w:tc>
        <w:tc>
          <w:tcPr>
            <w:tcW w:w="5193" w:type="dxa"/>
          </w:tcPr>
          <w:p w14:paraId="25380D13" w14:textId="657059E1" w:rsidR="00A76F29" w:rsidRPr="00316F8C" w:rsidRDefault="002E583B" w:rsidP="00AB124C">
            <w:pPr>
              <w:jc w:val="both"/>
              <w:rPr>
                <w:rFonts w:ascii="Arial" w:hAnsi="Arial" w:cs="Arial"/>
                <w:lang w:val="en-US"/>
              </w:rPr>
            </w:pPr>
            <w:r>
              <w:rPr>
                <w:rFonts w:ascii="Arial" w:hAnsi="Arial" w:cs="Arial"/>
                <w:lang w:val="en-US"/>
              </w:rPr>
              <w:t xml:space="preserve">19 September </w:t>
            </w:r>
            <w:r w:rsidR="00F94D4E">
              <w:rPr>
                <w:rFonts w:ascii="Arial" w:hAnsi="Arial" w:cs="Arial"/>
                <w:lang w:val="en-US"/>
              </w:rPr>
              <w:t>202</w:t>
            </w:r>
            <w:r w:rsidR="00936205">
              <w:rPr>
                <w:rFonts w:ascii="Arial" w:hAnsi="Arial" w:cs="Arial"/>
                <w:lang w:val="en-US"/>
              </w:rPr>
              <w:t>4</w:t>
            </w:r>
          </w:p>
        </w:tc>
      </w:tr>
      <w:tr w:rsidR="00316F8C" w:rsidRPr="00316F8C" w14:paraId="330BFAB3" w14:textId="77777777" w:rsidTr="00F94D4E">
        <w:tc>
          <w:tcPr>
            <w:tcW w:w="3715" w:type="dxa"/>
          </w:tcPr>
          <w:p w14:paraId="114330F1" w14:textId="77777777" w:rsidR="00A76F29" w:rsidRPr="00316F8C" w:rsidRDefault="00A76F29" w:rsidP="00AB124C">
            <w:pPr>
              <w:jc w:val="both"/>
              <w:rPr>
                <w:rFonts w:ascii="Arial" w:hAnsi="Arial" w:cs="Arial"/>
                <w:lang w:val="en-US"/>
              </w:rPr>
            </w:pPr>
            <w:r w:rsidRPr="00316F8C">
              <w:rPr>
                <w:rFonts w:ascii="Arial" w:hAnsi="Arial" w:cs="Arial"/>
                <w:lang w:val="en-US"/>
              </w:rPr>
              <w:t>Notification of award decision</w:t>
            </w:r>
          </w:p>
        </w:tc>
        <w:tc>
          <w:tcPr>
            <w:tcW w:w="5193" w:type="dxa"/>
          </w:tcPr>
          <w:p w14:paraId="59B94153" w14:textId="11DAE2C2" w:rsidR="00A76F29" w:rsidRPr="00316F8C" w:rsidRDefault="002E583B" w:rsidP="00AB124C">
            <w:pPr>
              <w:jc w:val="both"/>
              <w:rPr>
                <w:rFonts w:ascii="Arial" w:hAnsi="Arial" w:cs="Arial"/>
                <w:lang w:val="en-US"/>
              </w:rPr>
            </w:pPr>
            <w:r>
              <w:rPr>
                <w:rFonts w:ascii="Arial" w:hAnsi="Arial" w:cs="Arial"/>
                <w:lang w:val="en-US"/>
              </w:rPr>
              <w:t xml:space="preserve">20 September </w:t>
            </w:r>
            <w:r w:rsidR="00F94D4E">
              <w:rPr>
                <w:rFonts w:ascii="Arial" w:hAnsi="Arial" w:cs="Arial"/>
                <w:lang w:val="en-US"/>
              </w:rPr>
              <w:t>202</w:t>
            </w:r>
            <w:r w:rsidR="00936205">
              <w:rPr>
                <w:rFonts w:ascii="Arial" w:hAnsi="Arial" w:cs="Arial"/>
                <w:lang w:val="en-US"/>
              </w:rPr>
              <w:t>4</w:t>
            </w:r>
          </w:p>
        </w:tc>
      </w:tr>
      <w:tr w:rsidR="00316F8C" w:rsidRPr="00316F8C" w14:paraId="509F93E3" w14:textId="77777777" w:rsidTr="00F94D4E">
        <w:tc>
          <w:tcPr>
            <w:tcW w:w="3715" w:type="dxa"/>
          </w:tcPr>
          <w:p w14:paraId="6D9D6DEE" w14:textId="2E115FCE" w:rsidR="00A76F29" w:rsidRPr="00316F8C" w:rsidRDefault="00F94D4E" w:rsidP="00F94D4E">
            <w:pPr>
              <w:jc w:val="both"/>
              <w:rPr>
                <w:rFonts w:ascii="Arial" w:hAnsi="Arial" w:cs="Arial"/>
                <w:lang w:val="en-US"/>
              </w:rPr>
            </w:pPr>
            <w:r>
              <w:rPr>
                <w:rFonts w:ascii="Arial" w:hAnsi="Arial" w:cs="Arial"/>
                <w:lang w:val="en-US"/>
              </w:rPr>
              <w:t>S</w:t>
            </w:r>
            <w:r w:rsidR="00407AF6">
              <w:rPr>
                <w:rFonts w:ascii="Arial" w:hAnsi="Arial" w:cs="Arial"/>
                <w:lang w:val="en-US"/>
              </w:rPr>
              <w:t>ervice Commencement</w:t>
            </w:r>
            <w:r w:rsidR="00A76F29" w:rsidRPr="00316F8C">
              <w:rPr>
                <w:rFonts w:ascii="Arial" w:hAnsi="Arial" w:cs="Arial"/>
                <w:lang w:val="en-US"/>
              </w:rPr>
              <w:t xml:space="preserve"> date</w:t>
            </w:r>
          </w:p>
        </w:tc>
        <w:tc>
          <w:tcPr>
            <w:tcW w:w="5193" w:type="dxa"/>
          </w:tcPr>
          <w:p w14:paraId="4B8F398C" w14:textId="1FA584FD" w:rsidR="00A76F29" w:rsidRPr="00316F8C" w:rsidRDefault="002E583B" w:rsidP="00387E47">
            <w:pPr>
              <w:jc w:val="both"/>
              <w:rPr>
                <w:rFonts w:ascii="Arial" w:hAnsi="Arial" w:cs="Arial"/>
                <w:lang w:val="en-US"/>
              </w:rPr>
            </w:pPr>
            <w:r>
              <w:rPr>
                <w:rFonts w:ascii="Arial" w:hAnsi="Arial" w:cs="Arial"/>
                <w:lang w:val="en-US"/>
              </w:rPr>
              <w:t xml:space="preserve">21 October </w:t>
            </w:r>
            <w:r w:rsidR="00F94D4E">
              <w:rPr>
                <w:rFonts w:ascii="Arial" w:hAnsi="Arial" w:cs="Arial"/>
                <w:lang w:val="en-US"/>
              </w:rPr>
              <w:t>2024</w:t>
            </w:r>
          </w:p>
        </w:tc>
      </w:tr>
      <w:tr w:rsidR="00316F8C" w:rsidRPr="00316F8C" w14:paraId="2FF25FAC" w14:textId="77777777" w:rsidTr="00F94D4E">
        <w:tc>
          <w:tcPr>
            <w:tcW w:w="3715" w:type="dxa"/>
          </w:tcPr>
          <w:p w14:paraId="14F9581D" w14:textId="58B1E4DA" w:rsidR="00A76F29" w:rsidRPr="00316F8C" w:rsidRDefault="00407AF6" w:rsidP="00405389">
            <w:pPr>
              <w:jc w:val="both"/>
              <w:rPr>
                <w:rFonts w:ascii="Arial" w:hAnsi="Arial" w:cs="Arial"/>
                <w:lang w:val="en-US"/>
              </w:rPr>
            </w:pPr>
            <w:r>
              <w:rPr>
                <w:rFonts w:ascii="Arial" w:hAnsi="Arial" w:cs="Arial"/>
                <w:lang w:val="en-US"/>
              </w:rPr>
              <w:t xml:space="preserve">Service </w:t>
            </w:r>
            <w:r w:rsidR="00F94D4E">
              <w:rPr>
                <w:rFonts w:ascii="Arial" w:hAnsi="Arial" w:cs="Arial"/>
                <w:lang w:val="en-US"/>
              </w:rPr>
              <w:t>end</w:t>
            </w:r>
            <w:r w:rsidR="00A76F29" w:rsidRPr="00316F8C">
              <w:rPr>
                <w:rFonts w:ascii="Arial" w:hAnsi="Arial" w:cs="Arial"/>
                <w:lang w:val="en-US"/>
              </w:rPr>
              <w:t xml:space="preserve"> date</w:t>
            </w:r>
          </w:p>
        </w:tc>
        <w:tc>
          <w:tcPr>
            <w:tcW w:w="5193" w:type="dxa"/>
          </w:tcPr>
          <w:p w14:paraId="3CB6128C" w14:textId="2F7E68B1" w:rsidR="00A76F29" w:rsidRPr="00316F8C" w:rsidRDefault="002E583B" w:rsidP="00AB124C">
            <w:pPr>
              <w:jc w:val="both"/>
              <w:rPr>
                <w:rFonts w:ascii="Arial" w:hAnsi="Arial" w:cs="Arial"/>
                <w:lang w:val="en-US"/>
              </w:rPr>
            </w:pPr>
            <w:r>
              <w:rPr>
                <w:rFonts w:ascii="Arial" w:hAnsi="Arial" w:cs="Arial"/>
                <w:lang w:val="en-US"/>
              </w:rPr>
              <w:t xml:space="preserve">20 October </w:t>
            </w:r>
            <w:r w:rsidR="004D786A">
              <w:rPr>
                <w:rFonts w:ascii="Arial" w:hAnsi="Arial" w:cs="Arial"/>
                <w:lang w:val="en-US"/>
              </w:rPr>
              <w:t>2025</w:t>
            </w:r>
          </w:p>
        </w:tc>
      </w:tr>
    </w:tbl>
    <w:p w14:paraId="004D2906" w14:textId="77777777" w:rsidR="00C00D19" w:rsidRPr="00AB124C" w:rsidRDefault="00C00D19" w:rsidP="00AB124C">
      <w:pPr>
        <w:ind w:left="426" w:hanging="426"/>
        <w:jc w:val="both"/>
        <w:rPr>
          <w:lang w:val="en-US"/>
        </w:rPr>
      </w:pPr>
    </w:p>
    <w:p w14:paraId="3C4DFFBC" w14:textId="77777777" w:rsidR="00C00D19" w:rsidRPr="00AB124C" w:rsidRDefault="00C00D19" w:rsidP="00AB124C">
      <w:pPr>
        <w:pStyle w:val="Heading1"/>
        <w:numPr>
          <w:ilvl w:val="0"/>
          <w:numId w:val="1"/>
        </w:numPr>
        <w:ind w:left="426" w:hanging="426"/>
        <w:jc w:val="both"/>
        <w:rPr>
          <w:rFonts w:cs="Arial"/>
          <w:szCs w:val="24"/>
          <w:lang w:val="en-US"/>
        </w:rPr>
      </w:pPr>
      <w:bookmarkStart w:id="5" w:name="_Toc173233596"/>
      <w:r w:rsidRPr="00AB124C">
        <w:rPr>
          <w:rFonts w:cs="Arial"/>
          <w:szCs w:val="24"/>
          <w:lang w:val="en-US"/>
        </w:rPr>
        <w:t>Instructions on submitting a response</w:t>
      </w:r>
      <w:bookmarkEnd w:id="5"/>
    </w:p>
    <w:p w14:paraId="63F38D37" w14:textId="77777777" w:rsidR="00643F40" w:rsidRPr="004706D9" w:rsidRDefault="00643F40" w:rsidP="00643F40">
      <w:pPr>
        <w:rPr>
          <w:color w:val="auto"/>
          <w:lang w:val="en-US"/>
        </w:rPr>
      </w:pPr>
      <w:r w:rsidRPr="004706D9">
        <w:rPr>
          <w:color w:val="auto"/>
          <w:lang w:val="en-US"/>
        </w:rPr>
        <w:t xml:space="preserve">Responses/quotes must be uploaded via the Proactis portal, also known as the South East Business Portal: </w:t>
      </w:r>
      <w:hyperlink r:id="rId11" w:history="1">
        <w:proofErr w:type="gramStart"/>
        <w:r w:rsidRPr="004706D9">
          <w:rPr>
            <w:rStyle w:val="Hyperlink"/>
            <w:color w:val="auto"/>
          </w:rPr>
          <w:t>https://sebp.due-north.com/</w:t>
        </w:r>
      </w:hyperlink>
      <w:r w:rsidR="003C72DD" w:rsidRPr="004706D9">
        <w:rPr>
          <w:rStyle w:val="Hyperlink"/>
          <w:color w:val="auto"/>
          <w:u w:val="none"/>
        </w:rPr>
        <w:t>,</w:t>
      </w:r>
      <w:proofErr w:type="gramEnd"/>
      <w:r w:rsidR="003C72DD" w:rsidRPr="004706D9">
        <w:rPr>
          <w:rStyle w:val="Hyperlink"/>
          <w:color w:val="auto"/>
          <w:u w:val="none"/>
        </w:rPr>
        <w:t xml:space="preserve"> </w:t>
      </w:r>
      <w:r w:rsidR="00FD0BAA" w:rsidRPr="004706D9">
        <w:rPr>
          <w:rStyle w:val="Hyperlink"/>
          <w:color w:val="auto"/>
          <w:u w:val="none"/>
        </w:rPr>
        <w:t xml:space="preserve">and submitted </w:t>
      </w:r>
      <w:r w:rsidR="005E3F40" w:rsidRPr="004706D9">
        <w:rPr>
          <w:color w:val="auto"/>
          <w:lang w:val="en-US"/>
        </w:rPr>
        <w:t xml:space="preserve">no later than the time and date specified in the </w:t>
      </w:r>
      <w:r w:rsidR="003C72DD" w:rsidRPr="004706D9">
        <w:rPr>
          <w:color w:val="auto"/>
          <w:lang w:val="en-US"/>
        </w:rPr>
        <w:t>procurement</w:t>
      </w:r>
      <w:r w:rsidR="005E3F40" w:rsidRPr="004706D9">
        <w:rPr>
          <w:color w:val="auto"/>
          <w:lang w:val="en-US"/>
        </w:rPr>
        <w:t xml:space="preserve"> timetable.</w:t>
      </w:r>
      <w:r w:rsidRPr="004706D9">
        <w:rPr>
          <w:color w:val="auto"/>
          <w:lang w:val="en-US"/>
        </w:rPr>
        <w:t xml:space="preserve"> </w:t>
      </w:r>
    </w:p>
    <w:p w14:paraId="117D6A4C" w14:textId="77777777" w:rsidR="005E3F40" w:rsidRPr="004706D9" w:rsidRDefault="005E3F40" w:rsidP="00AB124C">
      <w:pPr>
        <w:jc w:val="both"/>
        <w:rPr>
          <w:color w:val="auto"/>
          <w:lang w:val="en-US"/>
        </w:rPr>
      </w:pPr>
    </w:p>
    <w:p w14:paraId="7B7DA491" w14:textId="0E923A12" w:rsidR="00F94D4E" w:rsidRDefault="005E3F40" w:rsidP="00F94D4E">
      <w:pPr>
        <w:pStyle w:val="NoSpacing"/>
        <w:rPr>
          <w:lang w:val="en-US"/>
        </w:rPr>
      </w:pPr>
      <w:r w:rsidRPr="004706D9">
        <w:rPr>
          <w:lang w:val="en-US"/>
        </w:rPr>
        <w:t>Your quote must includ</w:t>
      </w:r>
      <w:r w:rsidR="004706D9" w:rsidRPr="004706D9">
        <w:rPr>
          <w:lang w:val="en-US"/>
        </w:rPr>
        <w:t>e</w:t>
      </w:r>
      <w:r w:rsidR="00452121">
        <w:rPr>
          <w:lang w:val="en-US"/>
        </w:rPr>
        <w:t xml:space="preserve"> the completed response document</w:t>
      </w:r>
      <w:r w:rsidR="00171200">
        <w:rPr>
          <w:lang w:val="en-US"/>
        </w:rPr>
        <w:t xml:space="preserve"> (schedule 1 provided)</w:t>
      </w:r>
      <w:r w:rsidR="00452121">
        <w:rPr>
          <w:lang w:val="en-US"/>
        </w:rPr>
        <w:t xml:space="preserve"> with all questions completed. You must also supply a </w:t>
      </w:r>
      <w:r w:rsidR="00232250" w:rsidRPr="00232250">
        <w:rPr>
          <w:lang w:val="en-US"/>
        </w:rPr>
        <w:t>draft contract for the Council to consider</w:t>
      </w:r>
      <w:r w:rsidR="00232250">
        <w:rPr>
          <w:lang w:val="en-US"/>
        </w:rPr>
        <w:t>.</w:t>
      </w:r>
    </w:p>
    <w:p w14:paraId="1B179345" w14:textId="75F51727" w:rsidR="00435E15" w:rsidRDefault="00435E15">
      <w:pPr>
        <w:rPr>
          <w:lang w:val="en-US"/>
        </w:rPr>
      </w:pPr>
      <w:r>
        <w:rPr>
          <w:lang w:val="en-US"/>
        </w:rPr>
        <w:br w:type="page"/>
      </w:r>
    </w:p>
    <w:p w14:paraId="56862116" w14:textId="77777777" w:rsidR="00435E15" w:rsidRDefault="00435E15">
      <w:pPr>
        <w:rPr>
          <w:rFonts w:cstheme="minorBidi"/>
          <w:color w:val="auto"/>
          <w:szCs w:val="22"/>
          <w:lang w:val="en-US"/>
        </w:rPr>
      </w:pPr>
    </w:p>
    <w:p w14:paraId="6B3464A4" w14:textId="77777777" w:rsidR="003E043C" w:rsidRPr="00AB124C" w:rsidRDefault="003E043C" w:rsidP="00AB124C">
      <w:pPr>
        <w:pStyle w:val="Heading1"/>
        <w:numPr>
          <w:ilvl w:val="0"/>
          <w:numId w:val="1"/>
        </w:numPr>
        <w:ind w:left="426" w:hanging="426"/>
        <w:jc w:val="both"/>
        <w:rPr>
          <w:rFonts w:cs="Arial"/>
          <w:lang w:val="en-US"/>
        </w:rPr>
      </w:pPr>
      <w:bookmarkStart w:id="6" w:name="_Toc125559717"/>
      <w:bookmarkStart w:id="7" w:name="_Toc173233597"/>
      <w:r w:rsidRPr="00AB124C">
        <w:rPr>
          <w:rFonts w:cs="Arial"/>
          <w:lang w:val="en-US"/>
        </w:rPr>
        <w:t>Clarifications</w:t>
      </w:r>
      <w:bookmarkEnd w:id="6"/>
      <w:bookmarkEnd w:id="7"/>
    </w:p>
    <w:p w14:paraId="0FC10BC7" w14:textId="77777777" w:rsidR="003E043C" w:rsidRPr="003F77B1" w:rsidRDefault="003E043C" w:rsidP="00AB124C">
      <w:pPr>
        <w:jc w:val="both"/>
        <w:rPr>
          <w:color w:val="auto"/>
          <w:lang w:val="en-US"/>
        </w:rPr>
      </w:pPr>
      <w:r w:rsidRPr="003F77B1">
        <w:rPr>
          <w:color w:val="auto"/>
          <w:lang w:val="en-US"/>
        </w:rPr>
        <w:t xml:space="preserve">All requests for clarification </w:t>
      </w:r>
      <w:proofErr w:type="gramStart"/>
      <w:r w:rsidRPr="003F77B1">
        <w:rPr>
          <w:color w:val="auto"/>
          <w:lang w:val="en-US"/>
        </w:rPr>
        <w:t>should be submitted</w:t>
      </w:r>
      <w:proofErr w:type="gramEnd"/>
      <w:r w:rsidRPr="003F77B1">
        <w:rPr>
          <w:color w:val="auto"/>
          <w:lang w:val="en-US"/>
        </w:rPr>
        <w:t xml:space="preserve"> no later than the date specified in the Procurement timetable, using the messaging facility on the Proactis procurement portal.</w:t>
      </w:r>
    </w:p>
    <w:p w14:paraId="7BED97DF" w14:textId="77777777" w:rsidR="003E043C" w:rsidRPr="003F77B1" w:rsidRDefault="003E043C" w:rsidP="00AB124C">
      <w:pPr>
        <w:jc w:val="both"/>
        <w:rPr>
          <w:color w:val="auto"/>
          <w:lang w:val="en-US"/>
        </w:rPr>
      </w:pPr>
    </w:p>
    <w:p w14:paraId="64E84A42" w14:textId="77777777" w:rsidR="003E043C" w:rsidRPr="003F77B1" w:rsidRDefault="003E043C" w:rsidP="00AB124C">
      <w:pPr>
        <w:jc w:val="both"/>
        <w:rPr>
          <w:color w:val="auto"/>
          <w:lang w:val="en-US"/>
        </w:rPr>
      </w:pPr>
      <w:r w:rsidRPr="003F77B1">
        <w:rPr>
          <w:color w:val="auto"/>
          <w:lang w:val="en-US"/>
        </w:rPr>
        <w:t xml:space="preserve">Questions received after the deadline date </w:t>
      </w:r>
      <w:proofErr w:type="gramStart"/>
      <w:r w:rsidRPr="003F77B1">
        <w:rPr>
          <w:color w:val="auto"/>
          <w:lang w:val="en-US"/>
        </w:rPr>
        <w:t xml:space="preserve">may </w:t>
      </w:r>
      <w:r w:rsidRPr="00316F8C">
        <w:rPr>
          <w:color w:val="auto"/>
          <w:lang w:val="en-US"/>
        </w:rPr>
        <w:t>not be answered</w:t>
      </w:r>
      <w:proofErr w:type="gramEnd"/>
      <w:r w:rsidRPr="00316F8C">
        <w:rPr>
          <w:color w:val="auto"/>
          <w:lang w:val="en-US"/>
        </w:rPr>
        <w:t xml:space="preserve">. If the potential provider expresses that the question is confidential and GBC agrees that it is, then the response </w:t>
      </w:r>
      <w:proofErr w:type="gramStart"/>
      <w:r w:rsidRPr="00316F8C">
        <w:rPr>
          <w:color w:val="auto"/>
          <w:lang w:val="en-US"/>
        </w:rPr>
        <w:t>will be sent</w:t>
      </w:r>
      <w:proofErr w:type="gramEnd"/>
      <w:r w:rsidRPr="00316F8C">
        <w:rPr>
          <w:color w:val="auto"/>
          <w:lang w:val="en-US"/>
        </w:rPr>
        <w:t xml:space="preserve"> only to the potential provider raising</w:t>
      </w:r>
      <w:r w:rsidRPr="003F77B1">
        <w:rPr>
          <w:color w:val="auto"/>
          <w:lang w:val="en-US"/>
        </w:rPr>
        <w:t xml:space="preserve"> the question. If GBC disagrees, they will inform the potential provider and allow them to withdraw their question.</w:t>
      </w:r>
    </w:p>
    <w:p w14:paraId="3E75B6BE" w14:textId="77777777" w:rsidR="00D85C57" w:rsidRPr="003F77B1" w:rsidRDefault="00D85C57" w:rsidP="00AB124C">
      <w:pPr>
        <w:jc w:val="both"/>
        <w:rPr>
          <w:color w:val="auto"/>
          <w:lang w:val="en-US"/>
        </w:rPr>
      </w:pPr>
    </w:p>
    <w:p w14:paraId="44F07F06" w14:textId="77777777" w:rsidR="00D85C57" w:rsidRPr="003F77B1" w:rsidRDefault="00D85C57" w:rsidP="00AB124C">
      <w:pPr>
        <w:jc w:val="both"/>
        <w:rPr>
          <w:color w:val="auto"/>
          <w:lang w:val="en-US"/>
        </w:rPr>
      </w:pPr>
      <w:r w:rsidRPr="003F77B1">
        <w:rPr>
          <w:color w:val="auto"/>
          <w:lang w:val="en-US"/>
        </w:rPr>
        <w:t xml:space="preserve">Suppliers may be required to clarify their submission. Requests for clarification </w:t>
      </w:r>
      <w:proofErr w:type="gramStart"/>
      <w:r w:rsidRPr="003F77B1">
        <w:rPr>
          <w:color w:val="auto"/>
          <w:lang w:val="en-US"/>
        </w:rPr>
        <w:t>will be issued</w:t>
      </w:r>
      <w:proofErr w:type="gramEnd"/>
      <w:r w:rsidRPr="003F77B1">
        <w:rPr>
          <w:color w:val="auto"/>
          <w:lang w:val="en-US"/>
        </w:rPr>
        <w:t xml:space="preserve"> via the messaging function on the Proactis portal. Suppliers are required to respond to requests for clarification as requested and, no later than within 3 working days.</w:t>
      </w:r>
    </w:p>
    <w:p w14:paraId="5945E783" w14:textId="77777777" w:rsidR="00D85C57" w:rsidRPr="00AB124C" w:rsidRDefault="00D85C57" w:rsidP="00AB124C">
      <w:pPr>
        <w:jc w:val="both"/>
        <w:rPr>
          <w:color w:val="1F497D" w:themeColor="text2"/>
          <w:lang w:val="en-US"/>
        </w:rPr>
      </w:pPr>
    </w:p>
    <w:p w14:paraId="588A4E3D" w14:textId="77777777" w:rsidR="00C00D19" w:rsidRPr="00AB124C" w:rsidRDefault="00C00D19" w:rsidP="00AB124C">
      <w:pPr>
        <w:pStyle w:val="Heading1"/>
        <w:numPr>
          <w:ilvl w:val="0"/>
          <w:numId w:val="1"/>
        </w:numPr>
        <w:ind w:left="426" w:hanging="426"/>
        <w:jc w:val="both"/>
        <w:rPr>
          <w:rFonts w:cs="Arial"/>
          <w:szCs w:val="24"/>
          <w:lang w:val="en-US"/>
        </w:rPr>
      </w:pPr>
      <w:bookmarkStart w:id="8" w:name="_Toc173233598"/>
      <w:r w:rsidRPr="00AB124C">
        <w:rPr>
          <w:rFonts w:cs="Arial"/>
          <w:szCs w:val="24"/>
          <w:lang w:val="en-US"/>
        </w:rPr>
        <w:t>Evaluation</w:t>
      </w:r>
      <w:bookmarkEnd w:id="8"/>
    </w:p>
    <w:p w14:paraId="618956E6" w14:textId="409751FB" w:rsidR="009547DC" w:rsidRDefault="003E043C" w:rsidP="009547DC">
      <w:pPr>
        <w:jc w:val="both"/>
        <w:rPr>
          <w:color w:val="auto"/>
          <w:lang w:val="en-US"/>
        </w:rPr>
      </w:pPr>
      <w:r w:rsidRPr="00316F8C">
        <w:rPr>
          <w:color w:val="auto"/>
          <w:lang w:val="en-US"/>
        </w:rPr>
        <w:t xml:space="preserve">Quotes received on time will </w:t>
      </w:r>
      <w:r w:rsidR="00171200">
        <w:rPr>
          <w:color w:val="auto"/>
          <w:lang w:val="en-US"/>
        </w:rPr>
        <w:t xml:space="preserve">include a fully completed response document (schedule 1) and a contract draft for the Council to consider, the quotation response document </w:t>
      </w:r>
      <w:proofErr w:type="gramStart"/>
      <w:r w:rsidR="00171200">
        <w:rPr>
          <w:color w:val="auto"/>
          <w:lang w:val="en-US"/>
        </w:rPr>
        <w:t>will be</w:t>
      </w:r>
      <w:r w:rsidRPr="00316F8C">
        <w:rPr>
          <w:color w:val="auto"/>
          <w:lang w:val="en-US"/>
        </w:rPr>
        <w:t xml:space="preserve"> evaluated</w:t>
      </w:r>
      <w:proofErr w:type="gramEnd"/>
      <w:r w:rsidRPr="00316F8C">
        <w:rPr>
          <w:color w:val="auto"/>
          <w:lang w:val="en-US"/>
        </w:rPr>
        <w:t xml:space="preserve"> </w:t>
      </w:r>
      <w:r w:rsidR="00452121">
        <w:rPr>
          <w:color w:val="auto"/>
          <w:lang w:val="en-US"/>
        </w:rPr>
        <w:t xml:space="preserve">according to </w:t>
      </w:r>
      <w:r w:rsidR="009547DC" w:rsidRPr="00415896">
        <w:rPr>
          <w:color w:val="auto"/>
          <w:lang w:val="en-US"/>
        </w:rPr>
        <w:t>the following criteria</w:t>
      </w:r>
      <w:r w:rsidR="009547DC">
        <w:rPr>
          <w:color w:val="auto"/>
          <w:lang w:val="en-US"/>
        </w:rPr>
        <w:t>:</w:t>
      </w:r>
    </w:p>
    <w:p w14:paraId="6CD791CA" w14:textId="77777777" w:rsidR="009547DC" w:rsidRDefault="009547DC" w:rsidP="009547DC">
      <w:pPr>
        <w:jc w:val="both"/>
        <w:rPr>
          <w:color w:val="auto"/>
          <w:lang w:val="en-US"/>
        </w:rPr>
      </w:pPr>
    </w:p>
    <w:p w14:paraId="34E91B15" w14:textId="2CE3E61F" w:rsidR="00452121" w:rsidRPr="00171200" w:rsidRDefault="009547DC" w:rsidP="00171200">
      <w:pPr>
        <w:pStyle w:val="ListParagraph"/>
        <w:numPr>
          <w:ilvl w:val="0"/>
          <w:numId w:val="16"/>
        </w:numPr>
        <w:jc w:val="both"/>
        <w:rPr>
          <w:color w:val="auto"/>
          <w:lang w:val="en-US"/>
        </w:rPr>
      </w:pPr>
      <w:r>
        <w:rPr>
          <w:color w:val="auto"/>
          <w:lang w:val="en-US"/>
        </w:rPr>
        <w:t xml:space="preserve">Mandatory requirements: </w:t>
      </w:r>
      <w:r w:rsidRPr="00161461">
        <w:rPr>
          <w:color w:val="auto"/>
          <w:lang w:val="en-US"/>
        </w:rPr>
        <w:t>Pass/Fail</w:t>
      </w:r>
    </w:p>
    <w:p w14:paraId="2E19F0D4" w14:textId="74EF3F4C" w:rsidR="009547DC" w:rsidRDefault="00E86A56" w:rsidP="009547DC">
      <w:pPr>
        <w:pStyle w:val="ListParagraph"/>
        <w:numPr>
          <w:ilvl w:val="0"/>
          <w:numId w:val="16"/>
        </w:numPr>
        <w:jc w:val="both"/>
        <w:rPr>
          <w:color w:val="auto"/>
          <w:lang w:val="en-US"/>
        </w:rPr>
      </w:pPr>
      <w:r>
        <w:rPr>
          <w:color w:val="auto"/>
          <w:lang w:val="en-US"/>
        </w:rPr>
        <w:t xml:space="preserve">Quality: </w:t>
      </w:r>
      <w:r w:rsidR="00232250">
        <w:rPr>
          <w:color w:val="auto"/>
          <w:lang w:val="en-US"/>
        </w:rPr>
        <w:t>65</w:t>
      </w:r>
      <w:r w:rsidR="009547DC" w:rsidRPr="00161461">
        <w:rPr>
          <w:color w:val="auto"/>
          <w:lang w:val="en-US"/>
        </w:rPr>
        <w:t>%</w:t>
      </w:r>
    </w:p>
    <w:p w14:paraId="3542699B" w14:textId="360888C4" w:rsidR="00452121" w:rsidRDefault="00171200" w:rsidP="00452121">
      <w:pPr>
        <w:pStyle w:val="ListParagraph"/>
        <w:numPr>
          <w:ilvl w:val="1"/>
          <w:numId w:val="16"/>
        </w:numPr>
        <w:jc w:val="both"/>
        <w:rPr>
          <w:color w:val="auto"/>
          <w:lang w:val="en-US"/>
        </w:rPr>
      </w:pPr>
      <w:r>
        <w:rPr>
          <w:color w:val="auto"/>
          <w:lang w:val="en-US"/>
        </w:rPr>
        <w:t>S</w:t>
      </w:r>
      <w:r w:rsidR="00452121" w:rsidRPr="00452121">
        <w:rPr>
          <w:color w:val="auto"/>
          <w:lang w:val="en-US"/>
        </w:rPr>
        <w:t>olution</w:t>
      </w:r>
      <w:r>
        <w:rPr>
          <w:color w:val="auto"/>
          <w:lang w:val="en-US"/>
        </w:rPr>
        <w:t>:</w:t>
      </w:r>
      <w:r w:rsidR="00452121" w:rsidRPr="00452121">
        <w:rPr>
          <w:color w:val="auto"/>
          <w:lang w:val="en-US"/>
        </w:rPr>
        <w:t xml:space="preserve"> </w:t>
      </w:r>
      <w:r w:rsidR="00232250">
        <w:rPr>
          <w:color w:val="auto"/>
          <w:lang w:val="en-US"/>
        </w:rPr>
        <w:t>50</w:t>
      </w:r>
      <w:r w:rsidR="00452121" w:rsidRPr="00452121">
        <w:rPr>
          <w:color w:val="auto"/>
          <w:lang w:val="en-US"/>
        </w:rPr>
        <w:t xml:space="preserve">%, </w:t>
      </w:r>
    </w:p>
    <w:p w14:paraId="7E627FEB" w14:textId="5FEE2929" w:rsidR="00452121" w:rsidRDefault="00D710DB" w:rsidP="00452121">
      <w:pPr>
        <w:pStyle w:val="ListParagraph"/>
        <w:numPr>
          <w:ilvl w:val="1"/>
          <w:numId w:val="16"/>
        </w:numPr>
        <w:jc w:val="both"/>
        <w:rPr>
          <w:color w:val="auto"/>
          <w:lang w:val="en-US"/>
        </w:rPr>
      </w:pPr>
      <w:r>
        <w:rPr>
          <w:color w:val="auto"/>
          <w:lang w:val="en-US"/>
        </w:rPr>
        <w:t>C</w:t>
      </w:r>
      <w:r w:rsidR="00452121" w:rsidRPr="00452121">
        <w:rPr>
          <w:color w:val="auto"/>
          <w:lang w:val="en-US"/>
        </w:rPr>
        <w:t>ommunication</w:t>
      </w:r>
      <w:r>
        <w:rPr>
          <w:color w:val="auto"/>
          <w:lang w:val="en-US"/>
        </w:rPr>
        <w:t xml:space="preserve"> &amp; Training</w:t>
      </w:r>
      <w:r w:rsidR="00171200">
        <w:rPr>
          <w:color w:val="auto"/>
          <w:lang w:val="en-US"/>
        </w:rPr>
        <w:t>: 1</w:t>
      </w:r>
      <w:r w:rsidR="00171200" w:rsidRPr="00452121">
        <w:rPr>
          <w:color w:val="auto"/>
          <w:lang w:val="en-US"/>
        </w:rPr>
        <w:t>0%</w:t>
      </w:r>
    </w:p>
    <w:p w14:paraId="3491C761" w14:textId="2D263A75" w:rsidR="00452121" w:rsidRPr="00171200" w:rsidRDefault="00D710DB" w:rsidP="00452121">
      <w:pPr>
        <w:pStyle w:val="ListParagraph"/>
        <w:numPr>
          <w:ilvl w:val="1"/>
          <w:numId w:val="16"/>
        </w:numPr>
        <w:jc w:val="both"/>
        <w:rPr>
          <w:color w:val="auto"/>
          <w:lang w:val="en-US"/>
        </w:rPr>
      </w:pPr>
      <w:r>
        <w:rPr>
          <w:color w:val="auto"/>
          <w:lang w:val="en-US"/>
        </w:rPr>
        <w:t>U</w:t>
      </w:r>
      <w:r w:rsidR="00171200">
        <w:rPr>
          <w:color w:val="auto"/>
          <w:lang w:val="en-US"/>
        </w:rPr>
        <w:t>pdates process: 5</w:t>
      </w:r>
      <w:r w:rsidR="00171200" w:rsidRPr="00452121">
        <w:rPr>
          <w:color w:val="auto"/>
          <w:lang w:val="en-US"/>
        </w:rPr>
        <w:t>%</w:t>
      </w:r>
    </w:p>
    <w:p w14:paraId="5CB4CCCA" w14:textId="2F109D41" w:rsidR="009547DC" w:rsidRPr="00161461" w:rsidRDefault="009547DC" w:rsidP="009547DC">
      <w:pPr>
        <w:pStyle w:val="ListParagraph"/>
        <w:numPr>
          <w:ilvl w:val="0"/>
          <w:numId w:val="16"/>
        </w:numPr>
        <w:jc w:val="both"/>
        <w:rPr>
          <w:color w:val="auto"/>
          <w:lang w:val="en-US"/>
        </w:rPr>
      </w:pPr>
      <w:r w:rsidRPr="00161461">
        <w:rPr>
          <w:color w:val="auto"/>
          <w:lang w:val="en-US"/>
        </w:rPr>
        <w:t>Price</w:t>
      </w:r>
      <w:r w:rsidR="008C4FB3">
        <w:rPr>
          <w:color w:val="auto"/>
          <w:lang w:val="en-US"/>
        </w:rPr>
        <w:t>:</w:t>
      </w:r>
      <w:r w:rsidR="00E86A56">
        <w:rPr>
          <w:color w:val="auto"/>
          <w:lang w:val="en-US"/>
        </w:rPr>
        <w:t xml:space="preserve"> </w:t>
      </w:r>
      <w:r w:rsidR="00232250">
        <w:rPr>
          <w:color w:val="auto"/>
          <w:lang w:val="en-US"/>
        </w:rPr>
        <w:t>35</w:t>
      </w:r>
      <w:r w:rsidRPr="00161461">
        <w:rPr>
          <w:color w:val="auto"/>
          <w:lang w:val="en-US"/>
        </w:rPr>
        <w:t>%</w:t>
      </w:r>
    </w:p>
    <w:p w14:paraId="1F213F0C" w14:textId="77777777" w:rsidR="009547DC" w:rsidRDefault="009547DC" w:rsidP="009547DC">
      <w:pPr>
        <w:jc w:val="both"/>
        <w:rPr>
          <w:color w:val="auto"/>
          <w:lang w:val="en-US"/>
        </w:rPr>
      </w:pPr>
    </w:p>
    <w:p w14:paraId="0C46E60F" w14:textId="77777777" w:rsidR="009547DC" w:rsidRDefault="009547DC" w:rsidP="009547DC">
      <w:pPr>
        <w:jc w:val="both"/>
        <w:rPr>
          <w:color w:val="auto"/>
          <w:lang w:val="en-US"/>
        </w:rPr>
      </w:pPr>
    </w:p>
    <w:p w14:paraId="31D197AC" w14:textId="77777777" w:rsidR="00171200" w:rsidRDefault="00171200">
      <w:pPr>
        <w:rPr>
          <w:color w:val="auto"/>
          <w:lang w:val="en-US"/>
        </w:rPr>
      </w:pPr>
      <w:r>
        <w:rPr>
          <w:color w:val="auto"/>
          <w:lang w:val="en-US"/>
        </w:rPr>
        <w:br w:type="page"/>
      </w:r>
    </w:p>
    <w:p w14:paraId="16F47F0E" w14:textId="557CDA5A" w:rsidR="009547DC" w:rsidRDefault="009547DC" w:rsidP="009547DC">
      <w:pPr>
        <w:jc w:val="both"/>
        <w:rPr>
          <w:color w:val="auto"/>
          <w:lang w:val="en-US"/>
        </w:rPr>
      </w:pPr>
      <w:r>
        <w:rPr>
          <w:color w:val="auto"/>
          <w:lang w:val="en-US"/>
        </w:rPr>
        <w:lastRenderedPageBreak/>
        <w:t>Quality Evaluation:</w:t>
      </w:r>
    </w:p>
    <w:p w14:paraId="3CBAF901" w14:textId="77777777" w:rsidR="009547DC" w:rsidRDefault="009547DC" w:rsidP="009547DC">
      <w:pPr>
        <w:jc w:val="both"/>
        <w:rPr>
          <w:color w:val="auto"/>
          <w:lang w:val="en-US"/>
        </w:rPr>
      </w:pPr>
      <w:r>
        <w:rPr>
          <w:color w:val="auto"/>
          <w:lang w:val="en-US"/>
        </w:rPr>
        <w:t xml:space="preserve">Answers </w:t>
      </w:r>
      <w:proofErr w:type="gramStart"/>
      <w:r>
        <w:rPr>
          <w:color w:val="auto"/>
          <w:lang w:val="en-US"/>
        </w:rPr>
        <w:t>will be scored</w:t>
      </w:r>
      <w:proofErr w:type="gramEnd"/>
      <w:r>
        <w:rPr>
          <w:color w:val="auto"/>
          <w:lang w:val="en-US"/>
        </w:rPr>
        <w:t xml:space="preserve"> on the following criteria</w:t>
      </w:r>
    </w:p>
    <w:tbl>
      <w:tblPr>
        <w:tblW w:w="4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5"/>
      </w:tblGrid>
      <w:tr w:rsidR="009547DC" w14:paraId="5A901329" w14:textId="77777777" w:rsidTr="009547DC">
        <w:trPr>
          <w:trHeight w:val="904"/>
        </w:trPr>
        <w:tc>
          <w:tcPr>
            <w:tcW w:w="5000" w:type="pct"/>
            <w:tcBorders>
              <w:top w:val="single" w:sz="4" w:space="0" w:color="auto"/>
              <w:left w:val="single" w:sz="4" w:space="0" w:color="auto"/>
              <w:bottom w:val="single" w:sz="4" w:space="0" w:color="auto"/>
              <w:right w:val="single" w:sz="4" w:space="0" w:color="auto"/>
            </w:tcBorders>
            <w:vAlign w:val="center"/>
            <w:hideMark/>
          </w:tcPr>
          <w:p w14:paraId="6BEF68B0" w14:textId="77777777" w:rsidR="009547DC" w:rsidRDefault="009547DC" w:rsidP="009547DC">
            <w:pPr>
              <w:pStyle w:val="NoSpacing"/>
              <w:spacing w:line="276" w:lineRule="auto"/>
              <w:rPr>
                <w:color w:val="000000"/>
                <w:lang w:eastAsia="en-GB"/>
              </w:rPr>
            </w:pPr>
            <w:r>
              <w:rPr>
                <w:rFonts w:cs="Calibri"/>
                <w:b/>
              </w:rPr>
              <w:t xml:space="preserve">4 - </w:t>
            </w:r>
            <w:r w:rsidRPr="006941F7">
              <w:rPr>
                <w:rFonts w:cs="Calibri"/>
                <w:b/>
              </w:rPr>
              <w:t>Very good</w:t>
            </w:r>
            <w:r>
              <w:rPr>
                <w:rFonts w:cs="Calibri"/>
              </w:rPr>
              <w:t xml:space="preserve"> –</w:t>
            </w:r>
            <w:r w:rsidRPr="006941F7">
              <w:rPr>
                <w:rFonts w:cs="Calibri"/>
              </w:rPr>
              <w:t xml:space="preserve">in excess of the criteria in </w:t>
            </w:r>
            <w:r w:rsidRPr="006941F7">
              <w:rPr>
                <w:rFonts w:cs="Calibri"/>
                <w:u w:val="single"/>
              </w:rPr>
              <w:t>all</w:t>
            </w:r>
            <w:r>
              <w:rPr>
                <w:rFonts w:cs="Calibri"/>
              </w:rPr>
              <w:t xml:space="preserve"> areas</w:t>
            </w:r>
          </w:p>
        </w:tc>
      </w:tr>
      <w:tr w:rsidR="009547DC" w14:paraId="6881B39F" w14:textId="77777777" w:rsidTr="009547DC">
        <w:trPr>
          <w:trHeight w:val="892"/>
        </w:trPr>
        <w:tc>
          <w:tcPr>
            <w:tcW w:w="5000" w:type="pct"/>
            <w:tcBorders>
              <w:top w:val="single" w:sz="4" w:space="0" w:color="auto"/>
              <w:left w:val="single" w:sz="4" w:space="0" w:color="auto"/>
              <w:bottom w:val="single" w:sz="4" w:space="0" w:color="auto"/>
              <w:right w:val="single" w:sz="4" w:space="0" w:color="auto"/>
            </w:tcBorders>
            <w:vAlign w:val="center"/>
            <w:hideMark/>
          </w:tcPr>
          <w:p w14:paraId="643BE309" w14:textId="77777777" w:rsidR="009547DC" w:rsidRDefault="009547DC" w:rsidP="009547DC">
            <w:pPr>
              <w:pStyle w:val="NoSpacing"/>
              <w:spacing w:line="276" w:lineRule="auto"/>
              <w:rPr>
                <w:color w:val="000000"/>
                <w:lang w:eastAsia="en-GB"/>
              </w:rPr>
            </w:pPr>
            <w:r>
              <w:rPr>
                <w:rFonts w:cs="Calibri"/>
                <w:b/>
              </w:rPr>
              <w:t xml:space="preserve">3 - </w:t>
            </w:r>
            <w:r w:rsidRPr="006941F7">
              <w:rPr>
                <w:rFonts w:cs="Calibri"/>
                <w:b/>
              </w:rPr>
              <w:t>Good</w:t>
            </w:r>
            <w:r>
              <w:rPr>
                <w:rFonts w:cs="Calibri"/>
              </w:rPr>
              <w:t xml:space="preserve"> – </w:t>
            </w:r>
            <w:r w:rsidRPr="006941F7">
              <w:rPr>
                <w:rFonts w:cs="Calibri"/>
              </w:rPr>
              <w:t>shows attributes in a number of areas tha</w:t>
            </w:r>
            <w:r>
              <w:rPr>
                <w:rFonts w:cs="Calibri"/>
              </w:rPr>
              <w:t>t are in excess of the criteria</w:t>
            </w:r>
          </w:p>
        </w:tc>
      </w:tr>
      <w:tr w:rsidR="009547DC" w14:paraId="4A0C50F9" w14:textId="77777777" w:rsidTr="009547DC">
        <w:trPr>
          <w:trHeight w:val="801"/>
        </w:trPr>
        <w:tc>
          <w:tcPr>
            <w:tcW w:w="5000" w:type="pct"/>
            <w:tcBorders>
              <w:top w:val="single" w:sz="4" w:space="0" w:color="auto"/>
              <w:left w:val="single" w:sz="4" w:space="0" w:color="auto"/>
              <w:bottom w:val="single" w:sz="4" w:space="0" w:color="auto"/>
              <w:right w:val="single" w:sz="4" w:space="0" w:color="auto"/>
            </w:tcBorders>
            <w:vAlign w:val="center"/>
            <w:hideMark/>
          </w:tcPr>
          <w:p w14:paraId="52D4D56B" w14:textId="77777777" w:rsidR="009547DC" w:rsidRDefault="009547DC" w:rsidP="009547DC">
            <w:pPr>
              <w:pStyle w:val="NoSpacing"/>
              <w:spacing w:line="276" w:lineRule="auto"/>
              <w:rPr>
                <w:color w:val="000000"/>
                <w:lang w:eastAsia="en-GB"/>
              </w:rPr>
            </w:pPr>
            <w:r>
              <w:rPr>
                <w:rFonts w:cs="Calibri"/>
                <w:b/>
              </w:rPr>
              <w:t xml:space="preserve">2 - </w:t>
            </w:r>
            <w:r w:rsidRPr="006941F7">
              <w:rPr>
                <w:rFonts w:cs="Calibri"/>
                <w:b/>
              </w:rPr>
              <w:t>Satisfactory</w:t>
            </w:r>
            <w:r>
              <w:rPr>
                <w:rFonts w:cs="Calibri"/>
              </w:rPr>
              <w:t xml:space="preserve"> – </w:t>
            </w:r>
            <w:r w:rsidRPr="006941F7">
              <w:rPr>
                <w:rFonts w:cs="Calibri"/>
              </w:rPr>
              <w:t>provides evidence that it will meet the criteria sufficientl</w:t>
            </w:r>
            <w:r>
              <w:rPr>
                <w:rFonts w:cs="Calibri"/>
              </w:rPr>
              <w:t>y</w:t>
            </w:r>
          </w:p>
        </w:tc>
      </w:tr>
      <w:tr w:rsidR="009547DC" w14:paraId="58EC4B6B" w14:textId="77777777" w:rsidTr="009547DC">
        <w:trPr>
          <w:trHeight w:val="684"/>
        </w:trPr>
        <w:tc>
          <w:tcPr>
            <w:tcW w:w="5000" w:type="pct"/>
            <w:tcBorders>
              <w:top w:val="single" w:sz="4" w:space="0" w:color="auto"/>
              <w:left w:val="single" w:sz="4" w:space="0" w:color="auto"/>
              <w:bottom w:val="single" w:sz="4" w:space="0" w:color="auto"/>
              <w:right w:val="single" w:sz="4" w:space="0" w:color="auto"/>
            </w:tcBorders>
            <w:vAlign w:val="center"/>
            <w:hideMark/>
          </w:tcPr>
          <w:p w14:paraId="558B37E6" w14:textId="77777777" w:rsidR="009547DC" w:rsidRDefault="009547DC" w:rsidP="009547DC">
            <w:pPr>
              <w:pStyle w:val="NoSpacing"/>
              <w:spacing w:line="276" w:lineRule="auto"/>
              <w:rPr>
                <w:color w:val="000000"/>
                <w:lang w:eastAsia="en-GB"/>
              </w:rPr>
            </w:pPr>
            <w:r>
              <w:rPr>
                <w:rFonts w:cs="Calibri"/>
                <w:b/>
              </w:rPr>
              <w:t xml:space="preserve">1 - </w:t>
            </w:r>
            <w:r w:rsidRPr="006941F7">
              <w:rPr>
                <w:rFonts w:cs="Calibri"/>
                <w:b/>
              </w:rPr>
              <w:t>Poor</w:t>
            </w:r>
            <w:r>
              <w:rPr>
                <w:rFonts w:cs="Calibri"/>
              </w:rPr>
              <w:t xml:space="preserve"> – </w:t>
            </w:r>
            <w:r w:rsidRPr="006941F7">
              <w:rPr>
                <w:rFonts w:cs="Calibri"/>
              </w:rPr>
              <w:t>some, but very limited evidence of</w:t>
            </w:r>
            <w:r>
              <w:rPr>
                <w:rFonts w:cs="Calibri"/>
              </w:rPr>
              <w:t xml:space="preserve"> that it will meet the criteria</w:t>
            </w:r>
          </w:p>
        </w:tc>
      </w:tr>
      <w:tr w:rsidR="009547DC" w14:paraId="7A8AB898" w14:textId="77777777" w:rsidTr="009547DC">
        <w:trPr>
          <w:trHeight w:val="777"/>
        </w:trPr>
        <w:tc>
          <w:tcPr>
            <w:tcW w:w="5000" w:type="pct"/>
            <w:tcBorders>
              <w:top w:val="single" w:sz="4" w:space="0" w:color="auto"/>
              <w:left w:val="single" w:sz="4" w:space="0" w:color="auto"/>
              <w:bottom w:val="single" w:sz="4" w:space="0" w:color="auto"/>
              <w:right w:val="single" w:sz="4" w:space="0" w:color="auto"/>
            </w:tcBorders>
            <w:vAlign w:val="center"/>
            <w:hideMark/>
          </w:tcPr>
          <w:p w14:paraId="7C16320B" w14:textId="77777777" w:rsidR="009547DC" w:rsidRDefault="009547DC" w:rsidP="009547DC">
            <w:pPr>
              <w:pStyle w:val="NoSpacing"/>
              <w:spacing w:line="276" w:lineRule="auto"/>
              <w:rPr>
                <w:color w:val="000000"/>
                <w:lang w:eastAsia="en-GB"/>
              </w:rPr>
            </w:pPr>
            <w:r>
              <w:rPr>
                <w:rFonts w:cs="Calibri"/>
                <w:b/>
              </w:rPr>
              <w:t xml:space="preserve">0- </w:t>
            </w:r>
            <w:r w:rsidRPr="006941F7">
              <w:rPr>
                <w:rFonts w:cs="Calibri"/>
                <w:b/>
              </w:rPr>
              <w:t>Very Poor</w:t>
            </w:r>
            <w:r>
              <w:rPr>
                <w:rFonts w:cs="Calibri"/>
              </w:rPr>
              <w:t xml:space="preserve"> – </w:t>
            </w:r>
            <w:r w:rsidRPr="006941F7">
              <w:rPr>
                <w:rFonts w:cs="Calibri"/>
              </w:rPr>
              <w:t>completely fails to demonstrate</w:t>
            </w:r>
            <w:r>
              <w:rPr>
                <w:rFonts w:cs="Calibri"/>
              </w:rPr>
              <w:t xml:space="preserve"> that it will meet the criteria</w:t>
            </w:r>
          </w:p>
        </w:tc>
      </w:tr>
    </w:tbl>
    <w:p w14:paraId="36D88EF0" w14:textId="77777777" w:rsidR="009547DC" w:rsidRPr="003627F6" w:rsidRDefault="009547DC" w:rsidP="009547DC">
      <w:pPr>
        <w:pStyle w:val="Header"/>
        <w:tabs>
          <w:tab w:val="left" w:pos="851"/>
          <w:tab w:val="left" w:pos="2694"/>
          <w:tab w:val="left" w:pos="5387"/>
          <w:tab w:val="left" w:pos="9072"/>
          <w:tab w:val="left" w:pos="10773"/>
          <w:tab w:val="left" w:pos="11340"/>
          <w:tab w:val="left" w:pos="11766"/>
        </w:tabs>
        <w:spacing w:after="120"/>
        <w:jc w:val="both"/>
        <w:rPr>
          <w:i/>
          <w:sz w:val="22"/>
        </w:rPr>
      </w:pPr>
      <w:r w:rsidRPr="003627F6">
        <w:rPr>
          <w:i/>
          <w:sz w:val="22"/>
        </w:rPr>
        <w:t xml:space="preserve">Please note that scoring ‘1’ or less for any one or more quality questions will give grounds for excluding the response from further consideration.  For any quotes so excluded, that supplier’s price </w:t>
      </w:r>
      <w:proofErr w:type="gramStart"/>
      <w:r w:rsidRPr="003627F6">
        <w:rPr>
          <w:i/>
          <w:sz w:val="22"/>
        </w:rPr>
        <w:t>shall be excluded</w:t>
      </w:r>
      <w:proofErr w:type="gramEnd"/>
      <w:r w:rsidRPr="003627F6">
        <w:rPr>
          <w:i/>
          <w:sz w:val="22"/>
        </w:rPr>
        <w:t xml:space="preserve"> from the ‘price’ evaluation.</w:t>
      </w:r>
    </w:p>
    <w:p w14:paraId="2CF0606F" w14:textId="77777777" w:rsidR="009547DC" w:rsidRDefault="009547DC" w:rsidP="009547DC">
      <w:pPr>
        <w:pStyle w:val="Header"/>
        <w:tabs>
          <w:tab w:val="left" w:pos="851"/>
          <w:tab w:val="left" w:pos="2694"/>
          <w:tab w:val="left" w:pos="5387"/>
          <w:tab w:val="left" w:pos="9072"/>
          <w:tab w:val="left" w:pos="10773"/>
          <w:tab w:val="left" w:pos="11340"/>
          <w:tab w:val="left" w:pos="11766"/>
        </w:tabs>
        <w:spacing w:after="120"/>
        <w:jc w:val="both"/>
      </w:pPr>
    </w:p>
    <w:p w14:paraId="1895007C" w14:textId="77777777" w:rsidR="00171200" w:rsidRDefault="00171200" w:rsidP="009547DC">
      <w:pPr>
        <w:pStyle w:val="Header"/>
        <w:tabs>
          <w:tab w:val="left" w:pos="851"/>
          <w:tab w:val="left" w:pos="2694"/>
          <w:tab w:val="left" w:pos="5387"/>
          <w:tab w:val="left" w:pos="9072"/>
          <w:tab w:val="left" w:pos="10773"/>
          <w:tab w:val="left" w:pos="11340"/>
          <w:tab w:val="left" w:pos="11766"/>
        </w:tabs>
        <w:spacing w:after="120"/>
        <w:jc w:val="both"/>
      </w:pPr>
    </w:p>
    <w:p w14:paraId="22E6063B" w14:textId="0656966E" w:rsidR="00171200" w:rsidRDefault="00171200" w:rsidP="009547DC">
      <w:pPr>
        <w:pStyle w:val="Header"/>
        <w:tabs>
          <w:tab w:val="left" w:pos="851"/>
          <w:tab w:val="left" w:pos="2694"/>
          <w:tab w:val="left" w:pos="5387"/>
          <w:tab w:val="left" w:pos="9072"/>
          <w:tab w:val="left" w:pos="10773"/>
          <w:tab w:val="left" w:pos="11340"/>
          <w:tab w:val="left" w:pos="11766"/>
        </w:tabs>
        <w:spacing w:after="120"/>
        <w:jc w:val="both"/>
      </w:pPr>
      <w:r>
        <w:t>Price Evaluation:</w:t>
      </w:r>
    </w:p>
    <w:p w14:paraId="1CB05499" w14:textId="1F3A83FB" w:rsidR="009547DC" w:rsidRPr="001D675A" w:rsidRDefault="009547DC" w:rsidP="009547DC">
      <w:pPr>
        <w:pStyle w:val="Header"/>
        <w:tabs>
          <w:tab w:val="left" w:pos="851"/>
          <w:tab w:val="left" w:pos="2694"/>
          <w:tab w:val="left" w:pos="5387"/>
          <w:tab w:val="left" w:pos="9072"/>
          <w:tab w:val="left" w:pos="10773"/>
          <w:tab w:val="left" w:pos="11340"/>
          <w:tab w:val="left" w:pos="11766"/>
        </w:tabs>
        <w:spacing w:after="120"/>
        <w:jc w:val="both"/>
      </w:pPr>
      <w:r>
        <w:t>P</w:t>
      </w:r>
      <w:r w:rsidRPr="001D675A">
        <w:t xml:space="preserve">rice scores </w:t>
      </w:r>
      <w:proofErr w:type="gramStart"/>
      <w:r w:rsidRPr="001D675A">
        <w:t>will be calculated</w:t>
      </w:r>
      <w:proofErr w:type="gramEnd"/>
      <w:r w:rsidRPr="001D675A">
        <w:t xml:space="preserve"> based upon the lowest price.</w:t>
      </w:r>
    </w:p>
    <w:p w14:paraId="33AA35FE" w14:textId="54C70D62" w:rsidR="009547DC" w:rsidRPr="001D675A" w:rsidRDefault="009547DC" w:rsidP="009547DC">
      <w:pPr>
        <w:pStyle w:val="Header"/>
        <w:tabs>
          <w:tab w:val="left" w:pos="851"/>
          <w:tab w:val="left" w:pos="2694"/>
          <w:tab w:val="left" w:pos="5387"/>
          <w:tab w:val="left" w:pos="9072"/>
          <w:tab w:val="left" w:pos="10773"/>
          <w:tab w:val="left" w:pos="11340"/>
          <w:tab w:val="left" w:pos="11766"/>
        </w:tabs>
        <w:spacing w:after="120"/>
        <w:jc w:val="both"/>
      </w:pPr>
      <w:r w:rsidRPr="001D675A">
        <w:t xml:space="preserve">The </w:t>
      </w:r>
      <w:r>
        <w:t>response</w:t>
      </w:r>
      <w:r w:rsidRPr="001D675A">
        <w:t xml:space="preserve"> with the lowest price </w:t>
      </w:r>
      <w:proofErr w:type="gramStart"/>
      <w:r w:rsidRPr="001D675A">
        <w:t>will be awarded</w:t>
      </w:r>
      <w:proofErr w:type="gramEnd"/>
      <w:r w:rsidRPr="001D675A">
        <w:t xml:space="preserve"> the full score of </w:t>
      </w:r>
      <w:r w:rsidR="00A90424">
        <w:t>35.</w:t>
      </w:r>
      <w:r w:rsidRPr="001D675A">
        <w:t xml:space="preserve"> Higher-priced offers will receive a score proportionate to the lowest offer, calculated as follows:</w:t>
      </w:r>
    </w:p>
    <w:p w14:paraId="23E624E5" w14:textId="77777777" w:rsidR="009547DC" w:rsidRPr="001D675A" w:rsidRDefault="009547DC" w:rsidP="009547DC">
      <w:pPr>
        <w:pStyle w:val="Header"/>
        <w:tabs>
          <w:tab w:val="left" w:pos="851"/>
          <w:tab w:val="left" w:pos="2694"/>
          <w:tab w:val="left" w:pos="5387"/>
          <w:tab w:val="left" w:pos="9072"/>
          <w:tab w:val="left" w:pos="10773"/>
          <w:tab w:val="left" w:pos="11340"/>
          <w:tab w:val="left" w:pos="11766"/>
        </w:tabs>
        <w:spacing w:after="120"/>
        <w:rPr>
          <w:i/>
          <w:color w:val="FF0000"/>
        </w:rPr>
      </w:pPr>
    </w:p>
    <w:p w14:paraId="0C0E5174" w14:textId="4F2233F1" w:rsidR="009547DC" w:rsidRDefault="009547DC" w:rsidP="009547DC">
      <w:pPr>
        <w:jc w:val="both"/>
        <w:rPr>
          <w:color w:val="auto"/>
          <w:lang w:val="en-US"/>
        </w:rPr>
      </w:pPr>
      <w:r w:rsidRPr="001D675A">
        <w:rPr>
          <w:b/>
          <w:noProof/>
          <w:lang w:eastAsia="en-GB"/>
        </w:rPr>
        <w:drawing>
          <wp:inline distT="0" distB="0" distL="0" distR="0" wp14:anchorId="6E2F7AB7" wp14:editId="2E83BA57">
            <wp:extent cx="3219450" cy="45720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2" cstate="print"/>
                    <a:stretch>
                      <a:fillRect/>
                    </a:stretch>
                  </pic:blipFill>
                  <pic:spPr>
                    <a:xfrm>
                      <a:off x="0" y="0"/>
                      <a:ext cx="3238413" cy="459893"/>
                    </a:xfrm>
                    <a:prstGeom prst="rect">
                      <a:avLst/>
                    </a:prstGeom>
                  </pic:spPr>
                </pic:pic>
              </a:graphicData>
            </a:graphic>
          </wp:inline>
        </w:drawing>
      </w:r>
    </w:p>
    <w:p w14:paraId="72F2DDD6" w14:textId="528A0335" w:rsidR="00435E15" w:rsidRDefault="00435E15">
      <w:pPr>
        <w:rPr>
          <w:color w:val="auto"/>
          <w:lang w:val="en-US"/>
        </w:rPr>
      </w:pPr>
      <w:r>
        <w:rPr>
          <w:color w:val="auto"/>
          <w:lang w:val="en-US"/>
        </w:rPr>
        <w:br w:type="page"/>
      </w:r>
    </w:p>
    <w:p w14:paraId="4D8412A4" w14:textId="77777777" w:rsidR="00C00D19" w:rsidRPr="00AB124C" w:rsidRDefault="00C00D19" w:rsidP="00AB124C">
      <w:pPr>
        <w:pStyle w:val="Heading1"/>
        <w:numPr>
          <w:ilvl w:val="0"/>
          <w:numId w:val="1"/>
        </w:numPr>
        <w:ind w:left="426" w:hanging="426"/>
        <w:jc w:val="both"/>
        <w:rPr>
          <w:rFonts w:cs="Arial"/>
          <w:szCs w:val="24"/>
          <w:lang w:val="en-US"/>
        </w:rPr>
      </w:pPr>
      <w:bookmarkStart w:id="9" w:name="_Toc173233599"/>
      <w:r w:rsidRPr="00AB124C">
        <w:rPr>
          <w:rFonts w:cs="Arial"/>
          <w:szCs w:val="24"/>
          <w:lang w:val="en-US"/>
        </w:rPr>
        <w:lastRenderedPageBreak/>
        <w:t>Award</w:t>
      </w:r>
      <w:bookmarkEnd w:id="9"/>
    </w:p>
    <w:p w14:paraId="578A465A" w14:textId="77777777" w:rsidR="003E043C" w:rsidRPr="003F77B1" w:rsidRDefault="003E043C" w:rsidP="00AB124C">
      <w:pPr>
        <w:jc w:val="both"/>
        <w:rPr>
          <w:color w:val="auto"/>
          <w:lang w:val="en-US"/>
        </w:rPr>
      </w:pPr>
      <w:r w:rsidRPr="003F77B1">
        <w:rPr>
          <w:color w:val="auto"/>
          <w:lang w:val="en-US"/>
        </w:rPr>
        <w:t xml:space="preserve">The award decision </w:t>
      </w:r>
      <w:proofErr w:type="gramStart"/>
      <w:r w:rsidRPr="003F77B1">
        <w:rPr>
          <w:color w:val="auto"/>
          <w:lang w:val="en-US"/>
        </w:rPr>
        <w:t>will be notified</w:t>
      </w:r>
      <w:proofErr w:type="gramEnd"/>
      <w:r w:rsidRPr="003F77B1">
        <w:rPr>
          <w:color w:val="auto"/>
          <w:lang w:val="en-US"/>
        </w:rPr>
        <w:t xml:space="preserve"> via the Proactis portal after the deadline for responses has passed and the quotes have been evaluated. </w:t>
      </w:r>
    </w:p>
    <w:p w14:paraId="6EB9E247" w14:textId="77777777" w:rsidR="003E043C" w:rsidRPr="003F77B1" w:rsidRDefault="003E043C" w:rsidP="00AB124C">
      <w:pPr>
        <w:jc w:val="both"/>
        <w:rPr>
          <w:color w:val="auto"/>
          <w:lang w:val="en-US"/>
        </w:rPr>
      </w:pPr>
    </w:p>
    <w:p w14:paraId="6C2ABA19" w14:textId="77777777" w:rsidR="003E043C" w:rsidRPr="003F77B1" w:rsidRDefault="003E043C" w:rsidP="00AB124C">
      <w:pPr>
        <w:jc w:val="both"/>
        <w:rPr>
          <w:color w:val="auto"/>
          <w:lang w:val="en-US"/>
        </w:rPr>
      </w:pPr>
      <w:r w:rsidRPr="003F77B1">
        <w:rPr>
          <w:color w:val="auto"/>
          <w:lang w:val="en-US"/>
        </w:rPr>
        <w:t xml:space="preserve">GBC reserve the right to decline to make an award, or to abandon or cancel the procurement process. GBC will not be responsible for any costs or expenses incurred </w:t>
      </w:r>
      <w:proofErr w:type="gramStart"/>
      <w:r w:rsidRPr="003F77B1">
        <w:rPr>
          <w:color w:val="auto"/>
          <w:lang w:val="en-US"/>
        </w:rPr>
        <w:t>as a result</w:t>
      </w:r>
      <w:proofErr w:type="gramEnd"/>
      <w:r w:rsidRPr="003F77B1">
        <w:rPr>
          <w:color w:val="auto"/>
          <w:lang w:val="en-US"/>
        </w:rPr>
        <w:t xml:space="preserve"> of following this course of action.</w:t>
      </w:r>
    </w:p>
    <w:p w14:paraId="3E32381C" w14:textId="77777777" w:rsidR="003E043C" w:rsidRPr="003F77B1" w:rsidRDefault="003E043C" w:rsidP="00AB124C">
      <w:pPr>
        <w:jc w:val="both"/>
        <w:rPr>
          <w:color w:val="auto"/>
          <w:lang w:val="en-US"/>
        </w:rPr>
      </w:pPr>
    </w:p>
    <w:p w14:paraId="279F5AB9" w14:textId="77777777" w:rsidR="003E043C" w:rsidRPr="003F77B1" w:rsidRDefault="003E043C" w:rsidP="00AB124C">
      <w:pPr>
        <w:jc w:val="both"/>
        <w:rPr>
          <w:color w:val="auto"/>
          <w:lang w:val="en-US"/>
        </w:rPr>
      </w:pPr>
      <w:r w:rsidRPr="003F77B1">
        <w:rPr>
          <w:color w:val="auto"/>
          <w:lang w:val="en-US"/>
        </w:rPr>
        <w:t xml:space="preserve">Any costs incurred by the </w:t>
      </w:r>
      <w:r w:rsidR="00BE0858">
        <w:rPr>
          <w:color w:val="auto"/>
          <w:lang w:val="en-US"/>
        </w:rPr>
        <w:t>Supplier</w:t>
      </w:r>
      <w:r w:rsidRPr="003F77B1">
        <w:rPr>
          <w:color w:val="auto"/>
          <w:lang w:val="en-US"/>
        </w:rPr>
        <w:t xml:space="preserve"> in responding to this ITQ or in support of activities associated with the response to this ITQ are to be borne by the service provider and are not reimbursable by GBC.</w:t>
      </w:r>
    </w:p>
    <w:p w14:paraId="276828CD" w14:textId="77777777" w:rsidR="00643F40" w:rsidRDefault="00643F40" w:rsidP="00AB124C">
      <w:pPr>
        <w:jc w:val="both"/>
        <w:rPr>
          <w:color w:val="4F81BD" w:themeColor="accent1"/>
          <w:lang w:val="en-US"/>
        </w:rPr>
      </w:pPr>
    </w:p>
    <w:p w14:paraId="61F1FFC9" w14:textId="0772443A" w:rsidR="00643F40" w:rsidRPr="00387E47" w:rsidRDefault="00643F40" w:rsidP="00AB124C">
      <w:pPr>
        <w:jc w:val="both"/>
        <w:rPr>
          <w:color w:val="auto"/>
          <w:lang w:val="en-US"/>
        </w:rPr>
      </w:pPr>
      <w:r w:rsidRPr="00387E47">
        <w:rPr>
          <w:color w:val="auto"/>
          <w:lang w:val="en-US"/>
        </w:rPr>
        <w:t xml:space="preserve">Following award, </w:t>
      </w:r>
      <w:r w:rsidR="00C6735D" w:rsidRPr="00BE0858">
        <w:rPr>
          <w:color w:val="auto"/>
          <w:lang w:val="en-US"/>
        </w:rPr>
        <w:t>the Council</w:t>
      </w:r>
      <w:r w:rsidR="00C6735D" w:rsidRPr="00387E47">
        <w:rPr>
          <w:color w:val="auto"/>
          <w:lang w:val="en-US"/>
        </w:rPr>
        <w:t xml:space="preserve"> shall </w:t>
      </w:r>
      <w:r w:rsidR="00913DDF">
        <w:rPr>
          <w:color w:val="auto"/>
          <w:lang w:val="en-US"/>
        </w:rPr>
        <w:t xml:space="preserve">place an order for the </w:t>
      </w:r>
      <w:r w:rsidR="00171200">
        <w:rPr>
          <w:color w:val="auto"/>
          <w:lang w:val="en-US"/>
        </w:rPr>
        <w:t>solution</w:t>
      </w:r>
      <w:r w:rsidR="00316F8C" w:rsidRPr="00316F8C">
        <w:rPr>
          <w:color w:val="auto"/>
          <w:lang w:val="en-US"/>
        </w:rPr>
        <w:t xml:space="preserve"> </w:t>
      </w:r>
      <w:r w:rsidR="00C6735D" w:rsidRPr="00316F8C">
        <w:rPr>
          <w:color w:val="auto"/>
          <w:lang w:val="en-US"/>
        </w:rPr>
        <w:t xml:space="preserve">via purchase </w:t>
      </w:r>
      <w:proofErr w:type="gramStart"/>
      <w:r w:rsidR="00C6735D" w:rsidRPr="00316F8C">
        <w:rPr>
          <w:color w:val="auto"/>
          <w:lang w:val="en-US"/>
        </w:rPr>
        <w:t>order which</w:t>
      </w:r>
      <w:proofErr w:type="gramEnd"/>
      <w:r w:rsidR="00C6735D" w:rsidRPr="00316F8C">
        <w:rPr>
          <w:color w:val="auto"/>
          <w:lang w:val="en-US"/>
        </w:rPr>
        <w:t xml:space="preserve"> is sent electronically via email. This document will include a unique reference number, which </w:t>
      </w:r>
      <w:proofErr w:type="gramStart"/>
      <w:r w:rsidR="00C6735D" w:rsidRPr="00316F8C">
        <w:rPr>
          <w:color w:val="auto"/>
          <w:lang w:val="en-US"/>
        </w:rPr>
        <w:t>must be stated</w:t>
      </w:r>
      <w:proofErr w:type="gramEnd"/>
      <w:r w:rsidR="00C6735D" w:rsidRPr="00316F8C">
        <w:rPr>
          <w:color w:val="auto"/>
          <w:lang w:val="en-US"/>
        </w:rPr>
        <w:t xml:space="preserve"> on associated documentation</w:t>
      </w:r>
      <w:r w:rsidR="00C6735D" w:rsidRPr="00387E47">
        <w:rPr>
          <w:color w:val="auto"/>
          <w:lang w:val="en-US"/>
        </w:rPr>
        <w:t>, such as delivery notes and invoices.</w:t>
      </w:r>
    </w:p>
    <w:p w14:paraId="1BEEAE85" w14:textId="77777777" w:rsidR="00C6735D" w:rsidRPr="00387E47" w:rsidRDefault="00C6735D" w:rsidP="00AB124C">
      <w:pPr>
        <w:jc w:val="both"/>
        <w:rPr>
          <w:color w:val="auto"/>
          <w:lang w:val="en-US"/>
        </w:rPr>
      </w:pPr>
    </w:p>
    <w:p w14:paraId="2EA9D865" w14:textId="0B953882" w:rsidR="00C6735D" w:rsidRPr="00387E47" w:rsidRDefault="00C6735D" w:rsidP="00C6735D">
      <w:pPr>
        <w:jc w:val="both"/>
        <w:rPr>
          <w:color w:val="auto"/>
          <w:lang w:val="en-US"/>
        </w:rPr>
      </w:pPr>
      <w:r w:rsidRPr="00387E47">
        <w:rPr>
          <w:color w:val="auto"/>
          <w:lang w:val="en-US"/>
        </w:rPr>
        <w:t xml:space="preserve">The Council pay all invoices in arrears following completion of the </w:t>
      </w:r>
      <w:r w:rsidR="00171200">
        <w:rPr>
          <w:color w:val="auto"/>
          <w:lang w:val="en-US"/>
        </w:rPr>
        <w:t xml:space="preserve">successful delivery of the </w:t>
      </w:r>
      <w:r w:rsidRPr="00316F8C">
        <w:rPr>
          <w:color w:val="auto"/>
          <w:lang w:val="en-US"/>
        </w:rPr>
        <w:t>s</w:t>
      </w:r>
      <w:r w:rsidR="00171200">
        <w:rPr>
          <w:color w:val="auto"/>
          <w:lang w:val="en-US"/>
        </w:rPr>
        <w:t>ervices</w:t>
      </w:r>
      <w:r w:rsidRPr="00316F8C">
        <w:rPr>
          <w:color w:val="auto"/>
          <w:lang w:val="en-US"/>
        </w:rPr>
        <w:t xml:space="preserve">. The </w:t>
      </w:r>
      <w:r w:rsidR="00171200">
        <w:rPr>
          <w:color w:val="auto"/>
          <w:lang w:val="en-US"/>
        </w:rPr>
        <w:t xml:space="preserve">supplier </w:t>
      </w:r>
      <w:r w:rsidRPr="00316F8C">
        <w:rPr>
          <w:color w:val="auto"/>
          <w:lang w:val="en-US"/>
        </w:rPr>
        <w:t>shall provide the Council with an inv</w:t>
      </w:r>
      <w:r w:rsidR="00600DFA">
        <w:rPr>
          <w:color w:val="auto"/>
          <w:lang w:val="en-US"/>
        </w:rPr>
        <w:t xml:space="preserve">oice within 30 days of </w:t>
      </w:r>
      <w:r w:rsidR="00171200">
        <w:rPr>
          <w:color w:val="auto"/>
          <w:lang w:val="en-US"/>
        </w:rPr>
        <w:t>service</w:t>
      </w:r>
      <w:r w:rsidRPr="00387E47">
        <w:rPr>
          <w:color w:val="auto"/>
          <w:lang w:val="en-US"/>
        </w:rPr>
        <w:t>. Invoices must detail:</w:t>
      </w:r>
    </w:p>
    <w:p w14:paraId="44DF5762" w14:textId="77777777" w:rsidR="00C6735D" w:rsidRPr="00387E47" w:rsidRDefault="00C6735D" w:rsidP="00C6735D">
      <w:pPr>
        <w:pStyle w:val="ListParagraph"/>
        <w:numPr>
          <w:ilvl w:val="0"/>
          <w:numId w:val="6"/>
        </w:numPr>
        <w:jc w:val="both"/>
        <w:rPr>
          <w:color w:val="auto"/>
          <w:lang w:val="en-US"/>
        </w:rPr>
      </w:pPr>
      <w:r w:rsidRPr="00387E47">
        <w:rPr>
          <w:color w:val="auto"/>
          <w:lang w:val="en-US"/>
        </w:rPr>
        <w:t>The name and address of the Council Representative (as displayed on the purchase order)</w:t>
      </w:r>
    </w:p>
    <w:p w14:paraId="47282963" w14:textId="77777777" w:rsidR="00C6735D" w:rsidRPr="00387E47" w:rsidRDefault="00C6735D" w:rsidP="00C6735D">
      <w:pPr>
        <w:pStyle w:val="ListParagraph"/>
        <w:numPr>
          <w:ilvl w:val="0"/>
          <w:numId w:val="6"/>
        </w:numPr>
        <w:jc w:val="both"/>
        <w:rPr>
          <w:color w:val="auto"/>
          <w:lang w:val="en-US"/>
        </w:rPr>
      </w:pPr>
      <w:r w:rsidRPr="00387E47">
        <w:rPr>
          <w:color w:val="auto"/>
          <w:lang w:val="en-US"/>
        </w:rPr>
        <w:t>The Contractor name and address</w:t>
      </w:r>
    </w:p>
    <w:p w14:paraId="6AC88C2F" w14:textId="77777777" w:rsidR="00C6735D" w:rsidRPr="00387E47" w:rsidRDefault="00C6735D" w:rsidP="00C6735D">
      <w:pPr>
        <w:pStyle w:val="ListParagraph"/>
        <w:numPr>
          <w:ilvl w:val="0"/>
          <w:numId w:val="6"/>
        </w:numPr>
        <w:jc w:val="both"/>
        <w:rPr>
          <w:color w:val="auto"/>
          <w:lang w:val="en-US"/>
        </w:rPr>
      </w:pPr>
      <w:r w:rsidRPr="00387E47">
        <w:rPr>
          <w:color w:val="auto"/>
          <w:lang w:val="en-US"/>
        </w:rPr>
        <w:t>The Contractor bank details</w:t>
      </w:r>
    </w:p>
    <w:p w14:paraId="2AB6E362" w14:textId="77777777" w:rsidR="00C6735D" w:rsidRPr="00387E47" w:rsidRDefault="00C6735D" w:rsidP="00C6735D">
      <w:pPr>
        <w:pStyle w:val="ListParagraph"/>
        <w:numPr>
          <w:ilvl w:val="0"/>
          <w:numId w:val="6"/>
        </w:numPr>
        <w:jc w:val="both"/>
        <w:rPr>
          <w:color w:val="auto"/>
          <w:lang w:val="en-US"/>
        </w:rPr>
      </w:pPr>
      <w:r w:rsidRPr="00387E47">
        <w:rPr>
          <w:color w:val="auto"/>
          <w:lang w:val="en-US"/>
        </w:rPr>
        <w:t>The relevant Council Purchase Order number</w:t>
      </w:r>
    </w:p>
    <w:p w14:paraId="453DE744" w14:textId="77777777" w:rsidR="00C6735D" w:rsidRPr="00316F8C" w:rsidRDefault="00C6735D" w:rsidP="00C6735D">
      <w:pPr>
        <w:pStyle w:val="ListParagraph"/>
        <w:numPr>
          <w:ilvl w:val="0"/>
          <w:numId w:val="6"/>
        </w:numPr>
        <w:jc w:val="both"/>
        <w:rPr>
          <w:color w:val="auto"/>
          <w:lang w:val="en-US"/>
        </w:rPr>
      </w:pPr>
      <w:r w:rsidRPr="00387E47">
        <w:rPr>
          <w:color w:val="auto"/>
          <w:lang w:val="en-US"/>
        </w:rPr>
        <w:t xml:space="preserve">A unique invoice </w:t>
      </w:r>
      <w:r w:rsidRPr="00316F8C">
        <w:rPr>
          <w:color w:val="auto"/>
          <w:lang w:val="en-US"/>
        </w:rPr>
        <w:t>number</w:t>
      </w:r>
    </w:p>
    <w:p w14:paraId="72DDEC2C" w14:textId="5CC2A5D9" w:rsidR="00C6735D" w:rsidRPr="00316F8C" w:rsidRDefault="00C6735D" w:rsidP="00C6735D">
      <w:pPr>
        <w:pStyle w:val="ListParagraph"/>
        <w:numPr>
          <w:ilvl w:val="0"/>
          <w:numId w:val="6"/>
        </w:numPr>
        <w:jc w:val="both"/>
        <w:rPr>
          <w:color w:val="auto"/>
          <w:lang w:val="en-US"/>
        </w:rPr>
      </w:pPr>
      <w:r w:rsidRPr="00316F8C">
        <w:rPr>
          <w:color w:val="auto"/>
          <w:lang w:val="en-US"/>
        </w:rPr>
        <w:t xml:space="preserve">Full breakdown of the </w:t>
      </w:r>
      <w:r w:rsidR="00171200">
        <w:rPr>
          <w:color w:val="auto"/>
          <w:lang w:val="en-US"/>
        </w:rPr>
        <w:t>services</w:t>
      </w:r>
      <w:r w:rsidRPr="00316F8C">
        <w:rPr>
          <w:color w:val="auto"/>
          <w:lang w:val="en-US"/>
        </w:rPr>
        <w:t xml:space="preserve"> provided</w:t>
      </w:r>
    </w:p>
    <w:p w14:paraId="46BA5755" w14:textId="77777777" w:rsidR="00C6735D" w:rsidRPr="00387E47" w:rsidRDefault="00C6735D" w:rsidP="00C6735D">
      <w:pPr>
        <w:pStyle w:val="ListParagraph"/>
        <w:numPr>
          <w:ilvl w:val="0"/>
          <w:numId w:val="6"/>
        </w:numPr>
        <w:jc w:val="both"/>
        <w:rPr>
          <w:color w:val="auto"/>
          <w:lang w:val="en-US"/>
        </w:rPr>
      </w:pPr>
      <w:r w:rsidRPr="00316F8C">
        <w:rPr>
          <w:color w:val="auto"/>
          <w:lang w:val="en-US"/>
        </w:rPr>
        <w:t xml:space="preserve">All costs, VAT charged and VAT </w:t>
      </w:r>
      <w:r w:rsidRPr="00387E47">
        <w:rPr>
          <w:color w:val="auto"/>
          <w:lang w:val="en-US"/>
        </w:rPr>
        <w:t>number (if applicable)</w:t>
      </w:r>
    </w:p>
    <w:p w14:paraId="75B541C0" w14:textId="77777777" w:rsidR="00C6735D" w:rsidRPr="00387E47" w:rsidRDefault="00C6735D" w:rsidP="00AB124C">
      <w:pPr>
        <w:jc w:val="both"/>
        <w:rPr>
          <w:color w:val="auto"/>
          <w:lang w:val="en-US"/>
        </w:rPr>
      </w:pPr>
      <w:r w:rsidRPr="00387E47">
        <w:rPr>
          <w:color w:val="auto"/>
          <w:lang w:val="en-US"/>
        </w:rPr>
        <w:t xml:space="preserve">Invoice can be submitted via post or electronically via </w:t>
      </w:r>
      <w:proofErr w:type="gramStart"/>
      <w:r w:rsidRPr="00387E47">
        <w:rPr>
          <w:color w:val="auto"/>
          <w:lang w:val="en-US"/>
        </w:rPr>
        <w:t>email,</w:t>
      </w:r>
      <w:proofErr w:type="gramEnd"/>
      <w:r w:rsidRPr="00387E47">
        <w:rPr>
          <w:color w:val="auto"/>
          <w:lang w:val="en-US"/>
        </w:rPr>
        <w:t xml:space="preserve"> the email address will be displayed on the purchase order.</w:t>
      </w:r>
    </w:p>
    <w:p w14:paraId="65F1F2F1" w14:textId="77777777" w:rsidR="00A76F29" w:rsidRPr="00AB124C" w:rsidRDefault="00A76F29" w:rsidP="00AB124C">
      <w:pPr>
        <w:pStyle w:val="Heading1"/>
        <w:numPr>
          <w:ilvl w:val="0"/>
          <w:numId w:val="1"/>
        </w:numPr>
        <w:ind w:left="426" w:hanging="426"/>
        <w:jc w:val="both"/>
        <w:rPr>
          <w:rFonts w:cs="Arial"/>
          <w:lang w:val="en-US"/>
        </w:rPr>
      </w:pPr>
      <w:bookmarkStart w:id="10" w:name="_Toc173233600"/>
      <w:r w:rsidRPr="00AB124C">
        <w:rPr>
          <w:rFonts w:cs="Arial"/>
          <w:lang w:val="en-US"/>
        </w:rPr>
        <w:lastRenderedPageBreak/>
        <w:t>Terms and Conditions</w:t>
      </w:r>
      <w:bookmarkEnd w:id="10"/>
    </w:p>
    <w:p w14:paraId="2BF0B767" w14:textId="35A31C2D" w:rsidR="00913DDF" w:rsidRDefault="007F23D5" w:rsidP="00AB124C">
      <w:pPr>
        <w:spacing w:before="120" w:after="120" w:line="249" w:lineRule="auto"/>
        <w:ind w:left="-5" w:right="5" w:hanging="10"/>
        <w:jc w:val="both"/>
        <w:rPr>
          <w:rFonts w:eastAsia="Verdana"/>
          <w:color w:val="auto"/>
        </w:rPr>
      </w:pPr>
      <w:r w:rsidRPr="00316F8C">
        <w:rPr>
          <w:rFonts w:eastAsia="Verdana"/>
          <w:color w:val="auto"/>
        </w:rPr>
        <w:t xml:space="preserve">In submitting a response to this Invitation to Quote, </w:t>
      </w:r>
      <w:r w:rsidR="00BE0858" w:rsidRPr="00316F8C">
        <w:rPr>
          <w:rFonts w:eastAsia="Verdana"/>
          <w:color w:val="auto"/>
        </w:rPr>
        <w:t>potential Suppliers</w:t>
      </w:r>
      <w:r w:rsidRPr="00316F8C">
        <w:rPr>
          <w:rFonts w:eastAsia="Verdana"/>
          <w:color w:val="auto"/>
        </w:rPr>
        <w:t xml:space="preserve"> do so on the conditions set out in</w:t>
      </w:r>
      <w:r w:rsidR="00913DDF">
        <w:rPr>
          <w:rFonts w:eastAsia="Verdana"/>
          <w:color w:val="auto"/>
        </w:rPr>
        <w:t xml:space="preserve"> their contract, a copy of which </w:t>
      </w:r>
      <w:proofErr w:type="gramStart"/>
      <w:r w:rsidR="00913DDF">
        <w:rPr>
          <w:rFonts w:eastAsia="Verdana"/>
          <w:color w:val="auto"/>
        </w:rPr>
        <w:t>must be supplied</w:t>
      </w:r>
      <w:proofErr w:type="gramEnd"/>
      <w:r w:rsidR="00913DDF">
        <w:rPr>
          <w:rFonts w:eastAsia="Verdana"/>
          <w:color w:val="auto"/>
        </w:rPr>
        <w:t xml:space="preserve"> for our consideration when submitting the response.</w:t>
      </w:r>
      <w:r w:rsidRPr="00316F8C">
        <w:rPr>
          <w:rFonts w:eastAsia="Verdana"/>
          <w:color w:val="auto"/>
        </w:rPr>
        <w:t xml:space="preserve"> </w:t>
      </w:r>
    </w:p>
    <w:p w14:paraId="15DAF24B" w14:textId="62E8C24C" w:rsidR="005D1421" w:rsidRDefault="00387E47" w:rsidP="00387E47">
      <w:pPr>
        <w:spacing w:before="120" w:after="120" w:line="249" w:lineRule="auto"/>
        <w:ind w:left="-5" w:right="5" w:hanging="10"/>
        <w:jc w:val="both"/>
        <w:rPr>
          <w:rFonts w:eastAsia="Verdana"/>
          <w:color w:val="4F81BD" w:themeColor="accent1"/>
        </w:rPr>
      </w:pPr>
      <w:r w:rsidRPr="00AB124C">
        <w:rPr>
          <w:rFonts w:eastAsia="Verdana"/>
          <w:color w:val="4F81BD" w:themeColor="accent1"/>
        </w:rPr>
        <w:t xml:space="preserve"> </w:t>
      </w:r>
    </w:p>
    <w:p w14:paraId="0B8DE01F" w14:textId="77777777" w:rsidR="005D1421" w:rsidRPr="005D1421" w:rsidRDefault="005D1421" w:rsidP="005D1421">
      <w:pPr>
        <w:pStyle w:val="Heading1"/>
        <w:numPr>
          <w:ilvl w:val="0"/>
          <w:numId w:val="1"/>
        </w:numPr>
        <w:ind w:left="426" w:hanging="426"/>
        <w:jc w:val="both"/>
        <w:rPr>
          <w:rFonts w:cs="Arial"/>
          <w:lang w:val="en-US"/>
        </w:rPr>
      </w:pPr>
      <w:bookmarkStart w:id="11" w:name="_Toc173233601"/>
      <w:r>
        <w:rPr>
          <w:rFonts w:cs="Arial"/>
          <w:lang w:val="en-US"/>
        </w:rPr>
        <w:t xml:space="preserve">Conduct and </w:t>
      </w:r>
      <w:r w:rsidRPr="005D1421">
        <w:rPr>
          <w:rFonts w:cs="Arial"/>
          <w:lang w:val="en-US"/>
        </w:rPr>
        <w:t>Conflicts of interest</w:t>
      </w:r>
      <w:bookmarkEnd w:id="11"/>
    </w:p>
    <w:p w14:paraId="7384A541" w14:textId="77777777" w:rsidR="005D1421" w:rsidRDefault="005D1421" w:rsidP="005D1421">
      <w:pPr>
        <w:jc w:val="both"/>
        <w:rPr>
          <w:color w:val="auto"/>
          <w:lang w:val="en-US"/>
        </w:rPr>
      </w:pPr>
      <w:r>
        <w:rPr>
          <w:color w:val="auto"/>
          <w:lang w:val="en-US"/>
        </w:rPr>
        <w:t xml:space="preserve">The </w:t>
      </w:r>
      <w:r w:rsidR="00BE0858">
        <w:rPr>
          <w:color w:val="auto"/>
          <w:lang w:val="en-US"/>
        </w:rPr>
        <w:t>supplier</w:t>
      </w:r>
      <w:r w:rsidRPr="005D1421">
        <w:rPr>
          <w:color w:val="auto"/>
          <w:lang w:val="en-US"/>
        </w:rPr>
        <w:t xml:space="preserve"> shall not, before the date and time specified for return of the tender, communicate to any person the amount or approximate amount of the </w:t>
      </w:r>
      <w:r w:rsidR="00BE0858">
        <w:rPr>
          <w:color w:val="auto"/>
          <w:lang w:val="en-US"/>
        </w:rPr>
        <w:t>quote</w:t>
      </w:r>
      <w:r w:rsidRPr="005D1421">
        <w:rPr>
          <w:color w:val="auto"/>
          <w:lang w:val="en-US"/>
        </w:rPr>
        <w:t xml:space="preserve"> or proposed </w:t>
      </w:r>
      <w:r w:rsidR="00BE0858">
        <w:rPr>
          <w:color w:val="auto"/>
          <w:lang w:val="en-US"/>
        </w:rPr>
        <w:t>quote</w:t>
      </w:r>
      <w:r w:rsidRPr="005D1421">
        <w:rPr>
          <w:color w:val="auto"/>
          <w:lang w:val="en-US"/>
        </w:rPr>
        <w:t xml:space="preserve">, except where the disclosure in confidence of the approximate amount of </w:t>
      </w:r>
      <w:r w:rsidR="00BE0858">
        <w:rPr>
          <w:color w:val="auto"/>
          <w:lang w:val="en-US"/>
        </w:rPr>
        <w:t>quote</w:t>
      </w:r>
      <w:r w:rsidRPr="005D1421">
        <w:rPr>
          <w:color w:val="auto"/>
          <w:lang w:val="en-US"/>
        </w:rPr>
        <w:t xml:space="preserve"> is necessary to obtain insurance cover. </w:t>
      </w:r>
    </w:p>
    <w:p w14:paraId="42C497D0" w14:textId="77777777" w:rsidR="005D1421" w:rsidRPr="005D1421" w:rsidRDefault="005D1421" w:rsidP="005D1421">
      <w:pPr>
        <w:jc w:val="both"/>
        <w:rPr>
          <w:color w:val="auto"/>
          <w:lang w:val="en-US"/>
        </w:rPr>
      </w:pPr>
    </w:p>
    <w:p w14:paraId="0B00E14E" w14:textId="77777777" w:rsidR="005D1421" w:rsidRDefault="005D1421" w:rsidP="005D1421">
      <w:pPr>
        <w:jc w:val="both"/>
        <w:rPr>
          <w:color w:val="auto"/>
          <w:lang w:val="en-US"/>
        </w:rPr>
      </w:pPr>
      <w:r w:rsidRPr="005D1421">
        <w:rPr>
          <w:color w:val="auto"/>
          <w:lang w:val="en-US"/>
        </w:rPr>
        <w:t xml:space="preserve">The </w:t>
      </w:r>
      <w:r w:rsidR="00BE0858">
        <w:rPr>
          <w:color w:val="auto"/>
          <w:lang w:val="en-US"/>
        </w:rPr>
        <w:t>quote</w:t>
      </w:r>
      <w:r w:rsidRPr="005D1421">
        <w:rPr>
          <w:color w:val="auto"/>
          <w:lang w:val="en-US"/>
        </w:rPr>
        <w:t xml:space="preserve"> </w:t>
      </w:r>
      <w:proofErr w:type="gramStart"/>
      <w:r w:rsidRPr="005D1421">
        <w:rPr>
          <w:color w:val="auto"/>
          <w:lang w:val="en-US"/>
        </w:rPr>
        <w:t xml:space="preserve">shall be a bona-fide </w:t>
      </w:r>
      <w:r w:rsidR="00BE0858">
        <w:rPr>
          <w:color w:val="auto"/>
          <w:lang w:val="en-US"/>
        </w:rPr>
        <w:t>quote</w:t>
      </w:r>
      <w:r w:rsidRPr="005D1421">
        <w:rPr>
          <w:color w:val="auto"/>
          <w:lang w:val="en-US"/>
        </w:rPr>
        <w:t xml:space="preserve"> and shall not be fixed or adjusted by</w:t>
      </w:r>
      <w:r w:rsidR="00BE0858">
        <w:rPr>
          <w:color w:val="auto"/>
          <w:lang w:val="en-US"/>
        </w:rPr>
        <w:t>,</w:t>
      </w:r>
      <w:r w:rsidRPr="005D1421">
        <w:rPr>
          <w:color w:val="auto"/>
          <w:lang w:val="en-US"/>
        </w:rPr>
        <w:t xml:space="preserve"> under</w:t>
      </w:r>
      <w:r w:rsidR="00BE0858">
        <w:rPr>
          <w:color w:val="auto"/>
          <w:lang w:val="en-US"/>
        </w:rPr>
        <w:t>,</w:t>
      </w:r>
      <w:r w:rsidRPr="005D1421">
        <w:rPr>
          <w:color w:val="auto"/>
          <w:lang w:val="en-US"/>
        </w:rPr>
        <w:t xml:space="preserve"> or in accordance with any agreement or arrangement with any other person</w:t>
      </w:r>
      <w:proofErr w:type="gramEnd"/>
      <w:r w:rsidRPr="005D1421">
        <w:rPr>
          <w:color w:val="auto"/>
          <w:lang w:val="en-US"/>
        </w:rPr>
        <w:t xml:space="preserve">. </w:t>
      </w:r>
    </w:p>
    <w:p w14:paraId="3BD01F8A" w14:textId="77777777" w:rsidR="00BE0858" w:rsidRPr="005D1421" w:rsidRDefault="00BE0858" w:rsidP="005D1421">
      <w:pPr>
        <w:jc w:val="both"/>
        <w:rPr>
          <w:color w:val="auto"/>
          <w:lang w:val="en-US"/>
        </w:rPr>
      </w:pPr>
    </w:p>
    <w:p w14:paraId="3A56BF6F" w14:textId="77777777" w:rsidR="005D1421" w:rsidRDefault="00BE0858" w:rsidP="005D1421">
      <w:pPr>
        <w:jc w:val="both"/>
        <w:rPr>
          <w:color w:val="auto"/>
          <w:lang w:val="en-US"/>
        </w:rPr>
      </w:pPr>
      <w:r>
        <w:rPr>
          <w:color w:val="auto"/>
          <w:lang w:val="en-US"/>
        </w:rPr>
        <w:t>Suppliers</w:t>
      </w:r>
      <w:r w:rsidR="005D1421" w:rsidRPr="005D1421">
        <w:rPr>
          <w:color w:val="auto"/>
          <w:lang w:val="en-US"/>
        </w:rPr>
        <w:t xml:space="preserve"> shall not enter into any agreement or arrangement with any other person with the intent that the other person shall refrain from </w:t>
      </w:r>
      <w:r>
        <w:rPr>
          <w:color w:val="auto"/>
          <w:lang w:val="en-US"/>
        </w:rPr>
        <w:t>submitting a quote.</w:t>
      </w:r>
    </w:p>
    <w:p w14:paraId="2CFAD80C" w14:textId="77777777" w:rsidR="005D1421" w:rsidRPr="005D1421" w:rsidRDefault="005D1421" w:rsidP="005D1421">
      <w:pPr>
        <w:jc w:val="both"/>
        <w:rPr>
          <w:color w:val="auto"/>
          <w:lang w:val="en-US"/>
        </w:rPr>
      </w:pPr>
    </w:p>
    <w:p w14:paraId="2E3F0C38" w14:textId="77777777" w:rsidR="005D1421" w:rsidRPr="005D1421" w:rsidRDefault="00BE0858" w:rsidP="005D1421">
      <w:pPr>
        <w:jc w:val="both"/>
        <w:rPr>
          <w:color w:val="auto"/>
          <w:lang w:val="en-US"/>
        </w:rPr>
      </w:pPr>
      <w:r>
        <w:rPr>
          <w:color w:val="auto"/>
          <w:lang w:val="en-US"/>
        </w:rPr>
        <w:t>Suppliers</w:t>
      </w:r>
      <w:r w:rsidR="005D1421" w:rsidRPr="005D1421">
        <w:rPr>
          <w:color w:val="auto"/>
          <w:lang w:val="en-US"/>
        </w:rPr>
        <w:t xml:space="preserve"> must not, in connection with the proposed </w:t>
      </w:r>
      <w:r>
        <w:rPr>
          <w:color w:val="auto"/>
          <w:lang w:val="en-US"/>
        </w:rPr>
        <w:t>quote</w:t>
      </w:r>
      <w:r w:rsidR="005D1421" w:rsidRPr="005D1421">
        <w:rPr>
          <w:color w:val="auto"/>
          <w:lang w:val="en-US"/>
        </w:rPr>
        <w:t xml:space="preserve">: </w:t>
      </w:r>
    </w:p>
    <w:p w14:paraId="43C47B3D" w14:textId="77777777" w:rsidR="005D1421" w:rsidRPr="00D36BB4" w:rsidRDefault="005D1421" w:rsidP="005D1421">
      <w:pPr>
        <w:pStyle w:val="ListParagraph"/>
        <w:numPr>
          <w:ilvl w:val="0"/>
          <w:numId w:val="10"/>
        </w:numPr>
        <w:spacing w:before="120" w:after="120" w:line="249" w:lineRule="auto"/>
        <w:ind w:right="5"/>
        <w:jc w:val="both"/>
      </w:pPr>
      <w:r w:rsidRPr="00D36BB4">
        <w:rPr>
          <w:rFonts w:eastAsia="Verdana"/>
        </w:rPr>
        <w:t>offer any inducement, fee or reward to any mem</w:t>
      </w:r>
      <w:r w:rsidR="00BE0858">
        <w:rPr>
          <w:rFonts w:eastAsia="Verdana"/>
        </w:rPr>
        <w:t>ber or officer of the Authority/Council</w:t>
      </w:r>
    </w:p>
    <w:p w14:paraId="63B8A428" w14:textId="77777777" w:rsidR="005D1421" w:rsidRPr="00D36BB4" w:rsidRDefault="005D1421" w:rsidP="005D1421">
      <w:pPr>
        <w:pStyle w:val="ListParagraph"/>
        <w:numPr>
          <w:ilvl w:val="0"/>
          <w:numId w:val="10"/>
        </w:numPr>
        <w:spacing w:before="120" w:after="120" w:line="249" w:lineRule="auto"/>
        <w:ind w:right="5"/>
        <w:jc w:val="both"/>
      </w:pPr>
      <w:r w:rsidRPr="00D36BB4">
        <w:rPr>
          <w:rFonts w:eastAsia="Verdana"/>
        </w:rPr>
        <w:t xml:space="preserve">do anything which would constitute a breach of the Bribery Act 2010 or the Section 117 (2) Local Government Act 1972, or </w:t>
      </w:r>
    </w:p>
    <w:p w14:paraId="3D7E79EF" w14:textId="77777777" w:rsidR="00BE0858" w:rsidRPr="00BE0858" w:rsidRDefault="005D1421" w:rsidP="005D1421">
      <w:pPr>
        <w:pStyle w:val="ListParagraph"/>
        <w:numPr>
          <w:ilvl w:val="0"/>
          <w:numId w:val="10"/>
        </w:numPr>
        <w:spacing w:before="120" w:after="120" w:line="249" w:lineRule="auto"/>
        <w:ind w:right="5"/>
        <w:jc w:val="both"/>
      </w:pPr>
      <w:r w:rsidRPr="00D36BB4">
        <w:rPr>
          <w:rFonts w:eastAsia="Verdana"/>
        </w:rPr>
        <w:t>canvass any of the persons referred to above in connectio</w:t>
      </w:r>
      <w:r w:rsidR="00BE0858">
        <w:rPr>
          <w:rFonts w:eastAsia="Verdana"/>
        </w:rPr>
        <w:t>n with the provision;</w:t>
      </w:r>
    </w:p>
    <w:p w14:paraId="381892C7" w14:textId="77777777" w:rsidR="005D1421" w:rsidRPr="00D36BB4" w:rsidRDefault="00BE0858" w:rsidP="00BE0858">
      <w:pPr>
        <w:pStyle w:val="ListParagraph"/>
        <w:numPr>
          <w:ilvl w:val="1"/>
          <w:numId w:val="10"/>
        </w:numPr>
        <w:spacing w:before="120" w:after="120" w:line="249" w:lineRule="auto"/>
        <w:ind w:right="5"/>
        <w:jc w:val="both"/>
      </w:pPr>
      <w:r>
        <w:rPr>
          <w:rFonts w:eastAsia="Verdana"/>
        </w:rPr>
        <w:t xml:space="preserve">or contact, </w:t>
      </w:r>
      <w:r w:rsidR="005D1421" w:rsidRPr="00D36BB4">
        <w:rPr>
          <w:rFonts w:eastAsia="Verdana"/>
        </w:rPr>
        <w:t>any member or officer of the Authority</w:t>
      </w:r>
      <w:r>
        <w:rPr>
          <w:rFonts w:eastAsia="Verdana"/>
        </w:rPr>
        <w:t>/Council</w:t>
      </w:r>
      <w:r w:rsidR="005D1421" w:rsidRPr="00D36BB4">
        <w:rPr>
          <w:rFonts w:eastAsia="Verdana"/>
        </w:rPr>
        <w:t xml:space="preserve"> or any person acting as an advisor to the Authority</w:t>
      </w:r>
      <w:r>
        <w:rPr>
          <w:rFonts w:eastAsia="Verdana"/>
        </w:rPr>
        <w:t>/Council</w:t>
      </w:r>
      <w:r w:rsidR="005D1421" w:rsidRPr="00D36BB4">
        <w:rPr>
          <w:rFonts w:eastAsia="Verdana"/>
        </w:rPr>
        <w:t xml:space="preserve"> (except as authorised by this Invitation to </w:t>
      </w:r>
      <w:r>
        <w:rPr>
          <w:rFonts w:eastAsia="Verdana"/>
        </w:rPr>
        <w:t>Quote</w:t>
      </w:r>
      <w:r w:rsidR="005D1421" w:rsidRPr="00D36BB4">
        <w:rPr>
          <w:rFonts w:eastAsia="Verdana"/>
        </w:rPr>
        <w:t xml:space="preserve"> for the purpose of asking genuine questions about the process or the </w:t>
      </w:r>
      <w:r>
        <w:rPr>
          <w:rFonts w:eastAsia="Verdana"/>
        </w:rPr>
        <w:t>provision</w:t>
      </w:r>
      <w:r w:rsidR="005D1421" w:rsidRPr="00D36BB4">
        <w:rPr>
          <w:rFonts w:eastAsia="Verdana"/>
        </w:rPr>
        <w:t xml:space="preserve">) about any aspect of the proposed </w:t>
      </w:r>
      <w:r>
        <w:rPr>
          <w:rFonts w:eastAsia="Verdana"/>
        </w:rPr>
        <w:t>provision</w:t>
      </w:r>
      <w:r w:rsidR="005D1421" w:rsidRPr="00D36BB4">
        <w:rPr>
          <w:rFonts w:eastAsia="Verdana"/>
        </w:rPr>
        <w:t xml:space="preserve"> or for soliciting information in connection therewith. </w:t>
      </w:r>
    </w:p>
    <w:p w14:paraId="1ADB5B06" w14:textId="60F2B7CE" w:rsidR="00387E47" w:rsidRPr="00AB124C" w:rsidRDefault="008156A9" w:rsidP="006C4F4D">
      <w:pPr>
        <w:spacing w:before="120" w:after="120" w:line="249" w:lineRule="auto"/>
        <w:ind w:right="5"/>
        <w:rPr>
          <w:color w:val="FF0000"/>
          <w:lang w:val="en-US"/>
        </w:rPr>
      </w:pPr>
      <w:r>
        <w:rPr>
          <w:rFonts w:eastAsia="Verdana"/>
        </w:rPr>
        <w:t>Suppliers</w:t>
      </w:r>
      <w:r w:rsidR="005D1421" w:rsidRPr="00D36BB4">
        <w:rPr>
          <w:rFonts w:eastAsia="Verdana"/>
        </w:rPr>
        <w:t xml:space="preserve"> are responsible for ensuring that no conflicts of interest exist between the </w:t>
      </w:r>
      <w:r>
        <w:rPr>
          <w:rFonts w:eastAsia="Verdana"/>
        </w:rPr>
        <w:t>Supplier</w:t>
      </w:r>
      <w:r w:rsidR="005D1421" w:rsidRPr="00D36BB4">
        <w:rPr>
          <w:rFonts w:eastAsia="Verdana"/>
        </w:rPr>
        <w:t xml:space="preserve"> and its advisors and the C</w:t>
      </w:r>
      <w:r>
        <w:rPr>
          <w:rFonts w:eastAsia="Verdana"/>
        </w:rPr>
        <w:t>ouncil</w:t>
      </w:r>
      <w:r w:rsidR="005D1421" w:rsidRPr="00D36BB4">
        <w:rPr>
          <w:rFonts w:eastAsia="Verdana"/>
        </w:rPr>
        <w:t xml:space="preserve"> and its advisors.  Any </w:t>
      </w:r>
      <w:r>
        <w:rPr>
          <w:rFonts w:eastAsia="Verdana"/>
        </w:rPr>
        <w:t xml:space="preserve">Supplier </w:t>
      </w:r>
      <w:r w:rsidR="005D1421" w:rsidRPr="00D36BB4">
        <w:rPr>
          <w:rFonts w:eastAsia="Verdana"/>
        </w:rPr>
        <w:t xml:space="preserve">who fails to comply with this requirement </w:t>
      </w:r>
      <w:proofErr w:type="gramStart"/>
      <w:r w:rsidR="005D1421" w:rsidRPr="00D36BB4">
        <w:rPr>
          <w:rFonts w:eastAsia="Verdana"/>
        </w:rPr>
        <w:t>may be disqualified</w:t>
      </w:r>
      <w:proofErr w:type="gramEnd"/>
      <w:r w:rsidR="005D1421" w:rsidRPr="00D36BB4">
        <w:rPr>
          <w:rFonts w:eastAsia="Verdana"/>
        </w:rPr>
        <w:t xml:space="preserve"> from the procurement process at the discretion of the </w:t>
      </w:r>
      <w:r w:rsidR="00E571C6">
        <w:rPr>
          <w:rFonts w:eastAsia="Verdana"/>
        </w:rPr>
        <w:t>Council</w:t>
      </w:r>
      <w:r w:rsidR="005D1421" w:rsidRPr="00D36BB4">
        <w:rPr>
          <w:rFonts w:eastAsia="Verdana"/>
        </w:rPr>
        <w:t>. Any conflicts</w:t>
      </w:r>
      <w:r w:rsidR="00D36BB4" w:rsidRPr="00D36BB4">
        <w:rPr>
          <w:rFonts w:eastAsia="Verdana"/>
        </w:rPr>
        <w:t xml:space="preserve"> of interests</w:t>
      </w:r>
      <w:r w:rsidR="005D1421" w:rsidRPr="00D36BB4">
        <w:rPr>
          <w:rFonts w:eastAsia="Verdana"/>
        </w:rPr>
        <w:t xml:space="preserve"> </w:t>
      </w:r>
      <w:proofErr w:type="gramStart"/>
      <w:r w:rsidR="005D1421" w:rsidRPr="00D36BB4">
        <w:rPr>
          <w:rFonts w:eastAsia="Verdana"/>
        </w:rPr>
        <w:t>must be declared</w:t>
      </w:r>
      <w:proofErr w:type="gramEnd"/>
      <w:r w:rsidR="005D1421" w:rsidRPr="00D36BB4">
        <w:rPr>
          <w:rFonts w:eastAsia="Verdana"/>
        </w:rPr>
        <w:t xml:space="preserve"> to the Council at the earliest </w:t>
      </w:r>
      <w:r w:rsidR="006C4F4D">
        <w:rPr>
          <w:rFonts w:eastAsia="Verdana"/>
        </w:rPr>
        <w:t>opportunity.</w:t>
      </w:r>
    </w:p>
    <w:sectPr w:rsidR="00387E47" w:rsidRPr="00AB124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9132D" w14:textId="77777777" w:rsidR="004B1B1A" w:rsidRDefault="004B1B1A" w:rsidP="00A76F29">
      <w:pPr>
        <w:spacing w:line="240" w:lineRule="auto"/>
      </w:pPr>
      <w:r>
        <w:separator/>
      </w:r>
    </w:p>
  </w:endnote>
  <w:endnote w:type="continuationSeparator" w:id="0">
    <w:p w14:paraId="66049509" w14:textId="77777777" w:rsidR="004B1B1A" w:rsidRDefault="004B1B1A" w:rsidP="00A76F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BD0CC" w14:textId="77777777" w:rsidR="00405389" w:rsidRDefault="004053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601867"/>
      <w:docPartObj>
        <w:docPartGallery w:val="Page Numbers (Bottom of Page)"/>
        <w:docPartUnique/>
      </w:docPartObj>
    </w:sdtPr>
    <w:sdtEndPr>
      <w:rPr>
        <w:noProof/>
      </w:rPr>
    </w:sdtEndPr>
    <w:sdtContent>
      <w:p w14:paraId="1A55BBF4" w14:textId="1C0ED946" w:rsidR="00405389" w:rsidRDefault="00405389">
        <w:pPr>
          <w:pStyle w:val="Footer"/>
          <w:jc w:val="right"/>
        </w:pPr>
        <w:r>
          <w:fldChar w:fldCharType="begin"/>
        </w:r>
        <w:r>
          <w:instrText xml:space="preserve"> PAGE   \* MERGEFORMAT </w:instrText>
        </w:r>
        <w:r>
          <w:fldChar w:fldCharType="separate"/>
        </w:r>
        <w:r w:rsidR="002E583B">
          <w:rPr>
            <w:noProof/>
          </w:rPr>
          <w:t>9</w:t>
        </w:r>
        <w:r>
          <w:rPr>
            <w:noProof/>
          </w:rPr>
          <w:fldChar w:fldCharType="end"/>
        </w:r>
      </w:p>
    </w:sdtContent>
  </w:sdt>
  <w:p w14:paraId="661835BD" w14:textId="77777777" w:rsidR="00405389" w:rsidRDefault="004053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48E1A" w14:textId="77777777" w:rsidR="00405389" w:rsidRDefault="00405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2C31E" w14:textId="77777777" w:rsidR="004B1B1A" w:rsidRDefault="004B1B1A" w:rsidP="00A76F29">
      <w:pPr>
        <w:spacing w:line="240" w:lineRule="auto"/>
      </w:pPr>
      <w:r>
        <w:separator/>
      </w:r>
    </w:p>
  </w:footnote>
  <w:footnote w:type="continuationSeparator" w:id="0">
    <w:p w14:paraId="26B00DF3" w14:textId="77777777" w:rsidR="004B1B1A" w:rsidRDefault="004B1B1A" w:rsidP="00A76F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8AA5F" w14:textId="77777777" w:rsidR="00405389" w:rsidRDefault="004053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AA0C9" w14:textId="77777777" w:rsidR="00405389" w:rsidRDefault="00405389">
    <w:pPr>
      <w:pStyle w:val="Header"/>
    </w:pPr>
    <w:r>
      <w:tab/>
    </w:r>
    <w:r>
      <w:tab/>
    </w:r>
    <w:r>
      <w:rPr>
        <w:noProof/>
        <w:lang w:eastAsia="en-GB"/>
      </w:rPr>
      <w:drawing>
        <wp:inline distT="0" distB="0" distL="0" distR="0" wp14:anchorId="325FAF03" wp14:editId="1BC9D84A">
          <wp:extent cx="847725" cy="7241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5687" cy="73951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44F9A" w14:textId="77777777" w:rsidR="00405389" w:rsidRDefault="004053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B7F3B"/>
    <w:multiLevelType w:val="hybridMultilevel"/>
    <w:tmpl w:val="AE022C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43C60"/>
    <w:multiLevelType w:val="hybridMultilevel"/>
    <w:tmpl w:val="F8F8E5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9492F"/>
    <w:multiLevelType w:val="hybridMultilevel"/>
    <w:tmpl w:val="A502BB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B44268"/>
    <w:multiLevelType w:val="multilevel"/>
    <w:tmpl w:val="788039F6"/>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13A974E9"/>
    <w:multiLevelType w:val="hybridMultilevel"/>
    <w:tmpl w:val="1298D982"/>
    <w:lvl w:ilvl="0" w:tplc="0809000B">
      <w:start w:val="1"/>
      <w:numFmt w:val="bullet"/>
      <w:lvlText w:val=""/>
      <w:lvlJc w:val="left"/>
      <w:pPr>
        <w:ind w:left="795" w:hanging="360"/>
      </w:pPr>
      <w:rPr>
        <w:rFonts w:ascii="Wingdings" w:hAnsi="Wingdings"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5" w15:restartNumberingAfterBreak="0">
    <w:nsid w:val="1E2C2F84"/>
    <w:multiLevelType w:val="hybridMultilevel"/>
    <w:tmpl w:val="464C22D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7B74D5"/>
    <w:multiLevelType w:val="hybridMultilevel"/>
    <w:tmpl w:val="9CAACA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D4606E"/>
    <w:multiLevelType w:val="hybridMultilevel"/>
    <w:tmpl w:val="39A4BDC0"/>
    <w:lvl w:ilvl="0" w:tplc="FDDC95A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8C0F26">
      <w:start w:val="1"/>
      <w:numFmt w:val="bullet"/>
      <w:lvlText w:val="o"/>
      <w:lvlJc w:val="left"/>
      <w:pPr>
        <w:ind w:left="12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96A5F60">
      <w:start w:val="1"/>
      <w:numFmt w:val="bullet"/>
      <w:lvlText w:val="▪"/>
      <w:lvlJc w:val="left"/>
      <w:pPr>
        <w:ind w:left="19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22C328">
      <w:start w:val="1"/>
      <w:numFmt w:val="bullet"/>
      <w:lvlText w:val="•"/>
      <w:lvlJc w:val="left"/>
      <w:pPr>
        <w:ind w:left="2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68BEE4">
      <w:start w:val="1"/>
      <w:numFmt w:val="bullet"/>
      <w:lvlText w:val="o"/>
      <w:lvlJc w:val="left"/>
      <w:pPr>
        <w:ind w:left="33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6AD5A6">
      <w:start w:val="1"/>
      <w:numFmt w:val="bullet"/>
      <w:lvlText w:val="▪"/>
      <w:lvlJc w:val="left"/>
      <w:pPr>
        <w:ind w:left="40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C926F08">
      <w:start w:val="1"/>
      <w:numFmt w:val="bullet"/>
      <w:lvlText w:val="•"/>
      <w:lvlJc w:val="left"/>
      <w:pPr>
        <w:ind w:left="4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A4995E">
      <w:start w:val="1"/>
      <w:numFmt w:val="bullet"/>
      <w:lvlText w:val="o"/>
      <w:lvlJc w:val="left"/>
      <w:pPr>
        <w:ind w:left="55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1DA922C">
      <w:start w:val="1"/>
      <w:numFmt w:val="bullet"/>
      <w:lvlText w:val="▪"/>
      <w:lvlJc w:val="left"/>
      <w:pPr>
        <w:ind w:left="62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55A7C4A"/>
    <w:multiLevelType w:val="multilevel"/>
    <w:tmpl w:val="DBCCAD6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upperLetter"/>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45AF0E08"/>
    <w:multiLevelType w:val="hybridMultilevel"/>
    <w:tmpl w:val="52DAE6E8"/>
    <w:lvl w:ilvl="0" w:tplc="0809000B">
      <w:start w:val="1"/>
      <w:numFmt w:val="bullet"/>
      <w:lvlText w:val=""/>
      <w:lvlJc w:val="left"/>
      <w:pPr>
        <w:ind w:left="1080" w:hanging="360"/>
      </w:pPr>
      <w:rPr>
        <w:rFonts w:ascii="Wingdings" w:hAnsi="Wingdings" w:hint="default"/>
      </w:rPr>
    </w:lvl>
    <w:lvl w:ilvl="1" w:tplc="0809000B">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88D614E"/>
    <w:multiLevelType w:val="hybridMultilevel"/>
    <w:tmpl w:val="6B284156"/>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4E77A7"/>
    <w:multiLevelType w:val="hybridMultilevel"/>
    <w:tmpl w:val="302C6DD6"/>
    <w:lvl w:ilvl="0" w:tplc="0809000B">
      <w:start w:val="1"/>
      <w:numFmt w:val="bullet"/>
      <w:lvlText w:val=""/>
      <w:lvlJc w:val="left"/>
      <w:pPr>
        <w:ind w:left="3600" w:hanging="360"/>
      </w:pPr>
      <w:rPr>
        <w:rFonts w:ascii="Wingdings" w:hAnsi="Wingdings"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2" w15:restartNumberingAfterBreak="0">
    <w:nsid w:val="72A869A9"/>
    <w:multiLevelType w:val="hybridMultilevel"/>
    <w:tmpl w:val="8624B3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70198C"/>
    <w:multiLevelType w:val="hybridMultilevel"/>
    <w:tmpl w:val="65DC2D66"/>
    <w:lvl w:ilvl="0" w:tplc="0ED08F3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835C00"/>
    <w:multiLevelType w:val="hybridMultilevel"/>
    <w:tmpl w:val="47D8BC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831A70"/>
    <w:multiLevelType w:val="hybridMultilevel"/>
    <w:tmpl w:val="F1BA082E"/>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791B4249"/>
    <w:multiLevelType w:val="hybridMultilevel"/>
    <w:tmpl w:val="3794731A"/>
    <w:lvl w:ilvl="0" w:tplc="17E40F2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2"/>
  </w:num>
  <w:num w:numId="3">
    <w:abstractNumId w:val="0"/>
  </w:num>
  <w:num w:numId="4">
    <w:abstractNumId w:val="3"/>
  </w:num>
  <w:num w:numId="5">
    <w:abstractNumId w:val="4"/>
  </w:num>
  <w:num w:numId="6">
    <w:abstractNumId w:val="14"/>
  </w:num>
  <w:num w:numId="7">
    <w:abstractNumId w:val="2"/>
  </w:num>
  <w:num w:numId="8">
    <w:abstractNumId w:val="7"/>
  </w:num>
  <w:num w:numId="9">
    <w:abstractNumId w:val="15"/>
  </w:num>
  <w:num w:numId="10">
    <w:abstractNumId w:val="10"/>
  </w:num>
  <w:num w:numId="11">
    <w:abstractNumId w:val="13"/>
  </w:num>
  <w:num w:numId="12">
    <w:abstractNumId w:val="8"/>
  </w:num>
  <w:num w:numId="13">
    <w:abstractNumId w:val="11"/>
  </w:num>
  <w:num w:numId="14">
    <w:abstractNumId w:val="6"/>
  </w:num>
  <w:num w:numId="15">
    <w:abstractNumId w:val="9"/>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D19"/>
    <w:rsid w:val="000572F8"/>
    <w:rsid w:val="000771AE"/>
    <w:rsid w:val="000953ED"/>
    <w:rsid w:val="000E2E3A"/>
    <w:rsid w:val="000F29BC"/>
    <w:rsid w:val="00171200"/>
    <w:rsid w:val="001830B3"/>
    <w:rsid w:val="001A5259"/>
    <w:rsid w:val="00205CEA"/>
    <w:rsid w:val="00216C1E"/>
    <w:rsid w:val="00232250"/>
    <w:rsid w:val="0025062B"/>
    <w:rsid w:val="002A36DA"/>
    <w:rsid w:val="002E583B"/>
    <w:rsid w:val="002F637B"/>
    <w:rsid w:val="00302A14"/>
    <w:rsid w:val="00316F8C"/>
    <w:rsid w:val="0036270D"/>
    <w:rsid w:val="00385C57"/>
    <w:rsid w:val="00387E47"/>
    <w:rsid w:val="003A5805"/>
    <w:rsid w:val="003B0774"/>
    <w:rsid w:val="003C72DD"/>
    <w:rsid w:val="003D478E"/>
    <w:rsid w:val="003E043C"/>
    <w:rsid w:val="003F77B1"/>
    <w:rsid w:val="00405389"/>
    <w:rsid w:val="00407AF6"/>
    <w:rsid w:val="00415D04"/>
    <w:rsid w:val="00426193"/>
    <w:rsid w:val="00435E15"/>
    <w:rsid w:val="004411C8"/>
    <w:rsid w:val="00452121"/>
    <w:rsid w:val="004706D9"/>
    <w:rsid w:val="004B1B1A"/>
    <w:rsid w:val="004C22A4"/>
    <w:rsid w:val="004D786A"/>
    <w:rsid w:val="00561108"/>
    <w:rsid w:val="0057426C"/>
    <w:rsid w:val="0059320B"/>
    <w:rsid w:val="005A3180"/>
    <w:rsid w:val="005D1421"/>
    <w:rsid w:val="005E3921"/>
    <w:rsid w:val="005E3F40"/>
    <w:rsid w:val="005F047F"/>
    <w:rsid w:val="00600DFA"/>
    <w:rsid w:val="00643F40"/>
    <w:rsid w:val="006835E8"/>
    <w:rsid w:val="006C4F4D"/>
    <w:rsid w:val="006F338B"/>
    <w:rsid w:val="00736C9B"/>
    <w:rsid w:val="007414D0"/>
    <w:rsid w:val="007F17A4"/>
    <w:rsid w:val="007F23D5"/>
    <w:rsid w:val="00803094"/>
    <w:rsid w:val="008156A9"/>
    <w:rsid w:val="008320E9"/>
    <w:rsid w:val="00836A7E"/>
    <w:rsid w:val="00866F3C"/>
    <w:rsid w:val="008C4FB3"/>
    <w:rsid w:val="00913DDF"/>
    <w:rsid w:val="009361EE"/>
    <w:rsid w:val="00936205"/>
    <w:rsid w:val="00953358"/>
    <w:rsid w:val="009547DC"/>
    <w:rsid w:val="00966DA2"/>
    <w:rsid w:val="009716EA"/>
    <w:rsid w:val="009811C5"/>
    <w:rsid w:val="00983BEB"/>
    <w:rsid w:val="009D14ED"/>
    <w:rsid w:val="00A45FF7"/>
    <w:rsid w:val="00A6728A"/>
    <w:rsid w:val="00A76F29"/>
    <w:rsid w:val="00A80E21"/>
    <w:rsid w:val="00A90424"/>
    <w:rsid w:val="00A90B65"/>
    <w:rsid w:val="00AB124C"/>
    <w:rsid w:val="00AF5522"/>
    <w:rsid w:val="00B42907"/>
    <w:rsid w:val="00BE00EA"/>
    <w:rsid w:val="00BE0858"/>
    <w:rsid w:val="00C00D19"/>
    <w:rsid w:val="00C6735D"/>
    <w:rsid w:val="00CB34F0"/>
    <w:rsid w:val="00CD2ED1"/>
    <w:rsid w:val="00D36BB4"/>
    <w:rsid w:val="00D710DB"/>
    <w:rsid w:val="00D7210E"/>
    <w:rsid w:val="00D85C57"/>
    <w:rsid w:val="00D91EF0"/>
    <w:rsid w:val="00DB577C"/>
    <w:rsid w:val="00DC302E"/>
    <w:rsid w:val="00E47203"/>
    <w:rsid w:val="00E571C6"/>
    <w:rsid w:val="00E86A56"/>
    <w:rsid w:val="00EC266D"/>
    <w:rsid w:val="00ED1BA4"/>
    <w:rsid w:val="00F2376E"/>
    <w:rsid w:val="00F845E7"/>
    <w:rsid w:val="00F85C0C"/>
    <w:rsid w:val="00F87224"/>
    <w:rsid w:val="00F946EE"/>
    <w:rsid w:val="00F94D4E"/>
    <w:rsid w:val="00FB51A8"/>
    <w:rsid w:val="00FD0BAA"/>
    <w:rsid w:val="00FE4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0727F"/>
  <w15:chartTrackingRefBased/>
  <w15:docId w15:val="{613F8FE0-4C76-4744-B4CE-A52CE3620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themeColor="text1"/>
        <w:sz w:val="24"/>
        <w:szCs w:val="24"/>
        <w:lang w:val="en-GB"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00D19"/>
    <w:pPr>
      <w:keepNext/>
      <w:keepLines/>
      <w:spacing w:before="240"/>
      <w:outlineLvl w:val="0"/>
    </w:pPr>
    <w:rPr>
      <w:rFonts w:eastAsiaTheme="majorEastAsia" w:cstheme="majorBidi"/>
      <w:b/>
      <w:color w:val="auto"/>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D19"/>
    <w:rPr>
      <w:rFonts w:eastAsiaTheme="majorEastAsia" w:cstheme="majorBidi"/>
      <w:b/>
      <w:color w:val="auto"/>
      <w:szCs w:val="32"/>
      <w:u w:val="single"/>
    </w:rPr>
  </w:style>
  <w:style w:type="paragraph" w:styleId="TOCHeading">
    <w:name w:val="TOC Heading"/>
    <w:basedOn w:val="Heading1"/>
    <w:next w:val="Normal"/>
    <w:uiPriority w:val="39"/>
    <w:unhideWhenUsed/>
    <w:qFormat/>
    <w:rsid w:val="00C00D19"/>
    <w:pPr>
      <w:spacing w:line="259" w:lineRule="auto"/>
      <w:outlineLvl w:val="9"/>
    </w:pPr>
    <w:rPr>
      <w:lang w:val="en-US"/>
    </w:rPr>
  </w:style>
  <w:style w:type="table" w:styleId="TableGrid">
    <w:name w:val="Table Grid"/>
    <w:basedOn w:val="TableNormal"/>
    <w:uiPriority w:val="59"/>
    <w:rsid w:val="00C00D19"/>
    <w:pPr>
      <w:spacing w:line="240" w:lineRule="auto"/>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6F29"/>
    <w:pPr>
      <w:tabs>
        <w:tab w:val="center" w:pos="4513"/>
        <w:tab w:val="right" w:pos="9026"/>
      </w:tabs>
      <w:spacing w:line="240" w:lineRule="auto"/>
    </w:pPr>
  </w:style>
  <w:style w:type="character" w:customStyle="1" w:styleId="HeaderChar">
    <w:name w:val="Header Char"/>
    <w:basedOn w:val="DefaultParagraphFont"/>
    <w:link w:val="Header"/>
    <w:uiPriority w:val="99"/>
    <w:rsid w:val="00A76F29"/>
  </w:style>
  <w:style w:type="paragraph" w:styleId="Footer">
    <w:name w:val="footer"/>
    <w:basedOn w:val="Normal"/>
    <w:link w:val="FooterChar"/>
    <w:uiPriority w:val="99"/>
    <w:unhideWhenUsed/>
    <w:rsid w:val="00A76F29"/>
    <w:pPr>
      <w:tabs>
        <w:tab w:val="center" w:pos="4513"/>
        <w:tab w:val="right" w:pos="9026"/>
      </w:tabs>
      <w:spacing w:line="240" w:lineRule="auto"/>
    </w:pPr>
  </w:style>
  <w:style w:type="character" w:customStyle="1" w:styleId="FooterChar">
    <w:name w:val="Footer Char"/>
    <w:basedOn w:val="DefaultParagraphFont"/>
    <w:link w:val="Footer"/>
    <w:uiPriority w:val="99"/>
    <w:rsid w:val="00A76F29"/>
  </w:style>
  <w:style w:type="paragraph" w:styleId="TOC1">
    <w:name w:val="toc 1"/>
    <w:basedOn w:val="Normal"/>
    <w:next w:val="Normal"/>
    <w:autoRedefine/>
    <w:uiPriority w:val="39"/>
    <w:unhideWhenUsed/>
    <w:rsid w:val="00A76F29"/>
    <w:pPr>
      <w:spacing w:after="100"/>
    </w:pPr>
  </w:style>
  <w:style w:type="character" w:styleId="Hyperlink">
    <w:name w:val="Hyperlink"/>
    <w:basedOn w:val="DefaultParagraphFont"/>
    <w:uiPriority w:val="99"/>
    <w:unhideWhenUsed/>
    <w:rsid w:val="00A76F29"/>
    <w:rPr>
      <w:color w:val="0000FF" w:themeColor="hyperlink"/>
      <w:u w:val="single"/>
    </w:rPr>
  </w:style>
  <w:style w:type="paragraph" w:styleId="ListParagraph">
    <w:name w:val="List Paragraph"/>
    <w:basedOn w:val="Normal"/>
    <w:uiPriority w:val="34"/>
    <w:qFormat/>
    <w:rsid w:val="008320E9"/>
    <w:pPr>
      <w:ind w:left="720"/>
      <w:contextualSpacing/>
    </w:pPr>
  </w:style>
  <w:style w:type="paragraph" w:customStyle="1" w:styleId="Default">
    <w:name w:val="Default"/>
    <w:rsid w:val="00415D04"/>
    <w:pPr>
      <w:autoSpaceDE w:val="0"/>
      <w:autoSpaceDN w:val="0"/>
      <w:adjustRightInd w:val="0"/>
      <w:spacing w:line="240" w:lineRule="auto"/>
    </w:pPr>
    <w:rPr>
      <w:color w:val="000000"/>
    </w:rPr>
  </w:style>
  <w:style w:type="paragraph" w:styleId="NoSpacing">
    <w:name w:val="No Spacing"/>
    <w:aliases w:val="Text"/>
    <w:link w:val="NoSpacingChar"/>
    <w:uiPriority w:val="1"/>
    <w:qFormat/>
    <w:rsid w:val="00953358"/>
    <w:pPr>
      <w:spacing w:line="240" w:lineRule="auto"/>
    </w:pPr>
    <w:rPr>
      <w:rFonts w:cstheme="minorBidi"/>
      <w:color w:val="auto"/>
      <w:szCs w:val="22"/>
    </w:rPr>
  </w:style>
  <w:style w:type="character" w:customStyle="1" w:styleId="NoSpacingChar">
    <w:name w:val="No Spacing Char"/>
    <w:aliases w:val="Text Char"/>
    <w:basedOn w:val="DefaultParagraphFont"/>
    <w:link w:val="NoSpacing"/>
    <w:uiPriority w:val="1"/>
    <w:locked/>
    <w:rsid w:val="00953358"/>
    <w:rPr>
      <w:rFonts w:cstheme="minorBidi"/>
      <w:color w:val="auto"/>
      <w:szCs w:val="22"/>
    </w:rPr>
  </w:style>
  <w:style w:type="character" w:styleId="CommentReference">
    <w:name w:val="annotation reference"/>
    <w:basedOn w:val="DefaultParagraphFont"/>
    <w:uiPriority w:val="99"/>
    <w:semiHidden/>
    <w:unhideWhenUsed/>
    <w:rsid w:val="00A90B65"/>
    <w:rPr>
      <w:sz w:val="16"/>
      <w:szCs w:val="16"/>
    </w:rPr>
  </w:style>
  <w:style w:type="paragraph" w:styleId="CommentText">
    <w:name w:val="annotation text"/>
    <w:basedOn w:val="Normal"/>
    <w:link w:val="CommentTextChar"/>
    <w:uiPriority w:val="99"/>
    <w:unhideWhenUsed/>
    <w:rsid w:val="00A90B65"/>
    <w:pPr>
      <w:spacing w:line="240" w:lineRule="auto"/>
    </w:pPr>
    <w:rPr>
      <w:sz w:val="20"/>
      <w:szCs w:val="20"/>
    </w:rPr>
  </w:style>
  <w:style w:type="character" w:customStyle="1" w:styleId="CommentTextChar">
    <w:name w:val="Comment Text Char"/>
    <w:basedOn w:val="DefaultParagraphFont"/>
    <w:link w:val="CommentText"/>
    <w:uiPriority w:val="99"/>
    <w:rsid w:val="00A90B65"/>
    <w:rPr>
      <w:sz w:val="20"/>
      <w:szCs w:val="20"/>
    </w:rPr>
  </w:style>
  <w:style w:type="paragraph" w:styleId="CommentSubject">
    <w:name w:val="annotation subject"/>
    <w:basedOn w:val="CommentText"/>
    <w:next w:val="CommentText"/>
    <w:link w:val="CommentSubjectChar"/>
    <w:uiPriority w:val="99"/>
    <w:semiHidden/>
    <w:unhideWhenUsed/>
    <w:rsid w:val="00A90B65"/>
    <w:rPr>
      <w:b/>
      <w:bCs/>
    </w:rPr>
  </w:style>
  <w:style w:type="character" w:customStyle="1" w:styleId="CommentSubjectChar">
    <w:name w:val="Comment Subject Char"/>
    <w:basedOn w:val="CommentTextChar"/>
    <w:link w:val="CommentSubject"/>
    <w:uiPriority w:val="99"/>
    <w:semiHidden/>
    <w:rsid w:val="00A90B65"/>
    <w:rPr>
      <w:b/>
      <w:bCs/>
      <w:sz w:val="20"/>
      <w:szCs w:val="20"/>
    </w:rPr>
  </w:style>
  <w:style w:type="paragraph" w:styleId="BalloonText">
    <w:name w:val="Balloon Text"/>
    <w:basedOn w:val="Normal"/>
    <w:link w:val="BalloonTextChar"/>
    <w:uiPriority w:val="99"/>
    <w:semiHidden/>
    <w:unhideWhenUsed/>
    <w:rsid w:val="00A90B6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B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bp.due-north.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D17ABE2CCFB24B803480A66CC44F72" ma:contentTypeVersion="0" ma:contentTypeDescription="Create a new document." ma:contentTypeScope="" ma:versionID="9db9da7f8b8d48f202ca6fd5ee34b24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3C579E0-4134-4E72-9C42-C271E5B87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9C73503-1F61-4AD0-A18A-296CEF6751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F37749-7E88-46D9-AEF6-321EE6720373}">
  <ds:schemaRefs>
    <ds:schemaRef ds:uri="http://schemas.microsoft.com/sharepoint/v3/contenttype/forms"/>
  </ds:schemaRefs>
</ds:datastoreItem>
</file>

<file path=customXml/itemProps4.xml><?xml version="1.0" encoding="utf-8"?>
<ds:datastoreItem xmlns:ds="http://schemas.openxmlformats.org/officeDocument/2006/customXml" ds:itemID="{CAB26134-DBE5-4606-9E0B-FB6CBEFC1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1707</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Nicola</dc:creator>
  <cp:keywords/>
  <dc:description/>
  <cp:lastModifiedBy>Lee, Nicola</cp:lastModifiedBy>
  <cp:revision>7</cp:revision>
  <dcterms:created xsi:type="dcterms:W3CDTF">2024-07-19T08:10:00Z</dcterms:created>
  <dcterms:modified xsi:type="dcterms:W3CDTF">2024-07-30T11:06:00Z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0x01010020D17ABE2CCFB24B803480A66CC44F72</vt:lpwstr>
  </property>
</Properties>
</file>