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93C" w:rsidRPr="0069568B" w:rsidRDefault="00C71A27" w:rsidP="00FA393C">
      <w:pPr>
        <w:pStyle w:val="Default"/>
        <w:rPr>
          <w:b/>
          <w:bCs/>
        </w:rPr>
      </w:pPr>
      <w:r w:rsidRPr="00FA393C">
        <w:rPr>
          <w:b/>
          <w:bCs/>
        </w:rPr>
        <w:t>Call Reference:</w:t>
      </w:r>
      <w:r w:rsidRPr="0069568B">
        <w:rPr>
          <w:b/>
          <w:bCs/>
        </w:rPr>
        <w:t xml:space="preserve"> </w:t>
      </w:r>
      <w:r w:rsidR="007B74BE" w:rsidRPr="0069568B">
        <w:rPr>
          <w:b/>
          <w:bCs/>
        </w:rPr>
        <w:t>DN314629</w:t>
      </w:r>
    </w:p>
    <w:p w:rsidR="00C71A27" w:rsidRPr="0069568B" w:rsidRDefault="00C71A27" w:rsidP="00C71A27">
      <w:pPr>
        <w:pStyle w:val="Default"/>
        <w:rPr>
          <w:b/>
          <w:bCs/>
        </w:rPr>
      </w:pPr>
    </w:p>
    <w:p w:rsidR="00C71A27" w:rsidRDefault="00C71A27" w:rsidP="00C71A27">
      <w:pPr>
        <w:pStyle w:val="Default"/>
      </w:pPr>
      <w:r w:rsidRPr="00FA393C">
        <w:rPr>
          <w:i/>
          <w:sz w:val="22"/>
          <w:szCs w:val="22"/>
        </w:rPr>
        <w:t>Met Office tendering on behalf of BEIS</w:t>
      </w:r>
      <w:r w:rsidR="00E76AC6" w:rsidRPr="00FA393C">
        <w:rPr>
          <w:i/>
          <w:sz w:val="22"/>
          <w:szCs w:val="22"/>
        </w:rPr>
        <w:t>.</w:t>
      </w:r>
      <w:r w:rsidRPr="00FA393C">
        <w:rPr>
          <w:i/>
          <w:sz w:val="22"/>
          <w:szCs w:val="22"/>
        </w:rPr>
        <w:t xml:space="preserve"> </w:t>
      </w:r>
    </w:p>
    <w:p w:rsidR="00C71A27" w:rsidRPr="00C71A27" w:rsidRDefault="00566834" w:rsidP="00A01846">
      <w:pPr>
        <w:spacing w:before="100" w:beforeAutospacing="1" w:after="240" w:line="276" w:lineRule="auto"/>
        <w:rPr>
          <w:rFonts w:cs="Arial"/>
          <w:b/>
          <w:sz w:val="22"/>
          <w:szCs w:val="22"/>
        </w:rPr>
      </w:pPr>
      <w:r w:rsidRPr="00BB7E5B">
        <w:rPr>
          <w:rFonts w:cs="Arial"/>
          <w:b/>
          <w:sz w:val="22"/>
          <w:szCs w:val="22"/>
        </w:rPr>
        <w:t xml:space="preserve">Expressions of </w:t>
      </w:r>
      <w:r w:rsidRPr="00C71A27">
        <w:rPr>
          <w:rFonts w:cs="Arial"/>
          <w:b/>
          <w:sz w:val="22"/>
          <w:szCs w:val="22"/>
        </w:rPr>
        <w:t>Interest</w:t>
      </w:r>
      <w:r w:rsidR="00C71A27" w:rsidRPr="00C71A27">
        <w:rPr>
          <w:rFonts w:cs="Arial"/>
          <w:b/>
          <w:sz w:val="22"/>
          <w:szCs w:val="22"/>
        </w:rPr>
        <w:t xml:space="preserve"> </w:t>
      </w:r>
      <w:r w:rsidR="00EA7CBB">
        <w:rPr>
          <w:rFonts w:cs="Arial"/>
          <w:b/>
          <w:sz w:val="22"/>
          <w:szCs w:val="22"/>
        </w:rPr>
        <w:t>t</w:t>
      </w:r>
      <w:r w:rsidR="00EA7CBB" w:rsidRPr="00C71A27">
        <w:rPr>
          <w:rFonts w:cs="Arial"/>
          <w:b/>
          <w:sz w:val="22"/>
          <w:szCs w:val="22"/>
        </w:rPr>
        <w:t>itle</w:t>
      </w:r>
      <w:r w:rsidRPr="00C71A27">
        <w:rPr>
          <w:rFonts w:cs="Arial"/>
          <w:b/>
          <w:sz w:val="22"/>
          <w:szCs w:val="22"/>
        </w:rPr>
        <w:t>:</w:t>
      </w:r>
      <w:r w:rsidR="0080530A">
        <w:rPr>
          <w:rFonts w:cs="Arial"/>
          <w:b/>
          <w:sz w:val="22"/>
          <w:szCs w:val="22"/>
        </w:rPr>
        <w:t xml:space="preserve"> </w:t>
      </w:r>
      <w:r w:rsidR="00A01846">
        <w:rPr>
          <w:rFonts w:cs="Arial"/>
          <w:b/>
          <w:sz w:val="22"/>
          <w:szCs w:val="22"/>
        </w:rPr>
        <w:t>Vertical Structure of Weather over Southeast Asia</w:t>
      </w:r>
    </w:p>
    <w:p w:rsidR="0063003F" w:rsidRPr="00CB5075" w:rsidRDefault="0063003F" w:rsidP="0063003F">
      <w:pPr>
        <w:pStyle w:val="CommentText"/>
        <w:rPr>
          <w:b/>
          <w:sz w:val="22"/>
          <w:szCs w:val="22"/>
        </w:rPr>
      </w:pPr>
      <w:r w:rsidRPr="00CB5075">
        <w:rPr>
          <w:b/>
          <w:sz w:val="22"/>
          <w:szCs w:val="22"/>
        </w:rPr>
        <w:t xml:space="preserve">To register your interest, see notes at the end of this page. Registering interest requires no proposal detail at this stage and carries no obligation to bid. </w:t>
      </w:r>
      <w:r w:rsidR="009B1512" w:rsidRPr="00CB5075">
        <w:rPr>
          <w:rFonts w:cs="Arial"/>
          <w:sz w:val="22"/>
          <w:szCs w:val="22"/>
        </w:rPr>
        <w:t>Please note that this EOI is open to UK researchers only.</w:t>
      </w:r>
    </w:p>
    <w:p w:rsidR="0063003F" w:rsidRPr="00CB5075" w:rsidRDefault="0063003F" w:rsidP="0063003F">
      <w:pPr>
        <w:pStyle w:val="CommentText"/>
        <w:rPr>
          <w:b/>
          <w:sz w:val="22"/>
          <w:szCs w:val="22"/>
        </w:rPr>
      </w:pPr>
    </w:p>
    <w:p w:rsidR="002866CE" w:rsidRPr="00CB5075" w:rsidRDefault="002866CE" w:rsidP="00AB6FEF">
      <w:pPr>
        <w:rPr>
          <w:rFonts w:cs="Arial"/>
          <w:b/>
          <w:bCs/>
          <w:sz w:val="22"/>
          <w:szCs w:val="22"/>
        </w:rPr>
      </w:pPr>
    </w:p>
    <w:p w:rsidR="00406310" w:rsidRPr="00A15B4A" w:rsidRDefault="00C71A27" w:rsidP="00AB6FEF">
      <w:pPr>
        <w:rPr>
          <w:sz w:val="22"/>
          <w:szCs w:val="22"/>
        </w:rPr>
      </w:pPr>
      <w:r w:rsidRPr="00A15B4A">
        <w:rPr>
          <w:rFonts w:cs="Arial"/>
          <w:b/>
          <w:bCs/>
          <w:sz w:val="22"/>
          <w:szCs w:val="22"/>
        </w:rPr>
        <w:t>Estimated</w:t>
      </w:r>
      <w:r w:rsidR="00704493" w:rsidRPr="00A15B4A">
        <w:rPr>
          <w:rFonts w:cs="Arial"/>
          <w:b/>
          <w:bCs/>
          <w:sz w:val="22"/>
          <w:szCs w:val="22"/>
        </w:rPr>
        <w:t xml:space="preserve"> </w:t>
      </w:r>
      <w:r w:rsidR="0000786D" w:rsidRPr="00A15B4A">
        <w:rPr>
          <w:rFonts w:cs="Arial"/>
          <w:b/>
          <w:bCs/>
          <w:sz w:val="22"/>
          <w:szCs w:val="22"/>
        </w:rPr>
        <w:t>v</w:t>
      </w:r>
      <w:r w:rsidRPr="00A15B4A">
        <w:rPr>
          <w:rFonts w:cs="Arial"/>
          <w:b/>
          <w:bCs/>
          <w:sz w:val="22"/>
          <w:szCs w:val="22"/>
        </w:rPr>
        <w:t xml:space="preserve">alue: </w:t>
      </w:r>
      <w:r w:rsidR="002A0562" w:rsidRPr="00A15B4A">
        <w:rPr>
          <w:rFonts w:cs="Arial"/>
          <w:b/>
          <w:bCs/>
          <w:sz w:val="22"/>
          <w:szCs w:val="22"/>
        </w:rPr>
        <w:t xml:space="preserve">up to </w:t>
      </w:r>
      <w:r w:rsidR="00E76AC6" w:rsidRPr="00A15B4A">
        <w:rPr>
          <w:rFonts w:cs="Arial"/>
          <w:b/>
          <w:bCs/>
          <w:sz w:val="22"/>
          <w:szCs w:val="22"/>
        </w:rPr>
        <w:t>£</w:t>
      </w:r>
      <w:r w:rsidR="0080530A" w:rsidRPr="00A15B4A">
        <w:rPr>
          <w:rFonts w:cs="Arial"/>
          <w:b/>
          <w:bCs/>
          <w:sz w:val="22"/>
          <w:szCs w:val="22"/>
        </w:rPr>
        <w:t>300</w:t>
      </w:r>
      <w:r w:rsidR="00773F08" w:rsidRPr="00A15B4A">
        <w:rPr>
          <w:rFonts w:cs="Arial"/>
          <w:b/>
          <w:bCs/>
          <w:sz w:val="22"/>
          <w:szCs w:val="22"/>
        </w:rPr>
        <w:t>k</w:t>
      </w:r>
      <w:r w:rsidR="00DF6265" w:rsidRPr="00A15B4A">
        <w:rPr>
          <w:rFonts w:cs="Arial"/>
          <w:b/>
          <w:bCs/>
          <w:sz w:val="22"/>
          <w:szCs w:val="22"/>
        </w:rPr>
        <w:t xml:space="preserve"> </w:t>
      </w:r>
    </w:p>
    <w:p w:rsidR="002F691C" w:rsidRDefault="002F691C" w:rsidP="00C71A27">
      <w:pPr>
        <w:shd w:val="clear" w:color="auto" w:fill="FFFFFF"/>
        <w:rPr>
          <w:sz w:val="22"/>
          <w:szCs w:val="22"/>
        </w:rPr>
      </w:pPr>
    </w:p>
    <w:p w:rsidR="00C71A27" w:rsidRPr="00DE4AE1" w:rsidRDefault="00C71A27" w:rsidP="00C71A27">
      <w:pPr>
        <w:shd w:val="clear" w:color="auto" w:fill="FFFFFF"/>
        <w:rPr>
          <w:rFonts w:cs="Arial"/>
          <w:b/>
          <w:bCs/>
          <w:sz w:val="22"/>
          <w:szCs w:val="22"/>
        </w:rPr>
      </w:pPr>
      <w:bookmarkStart w:id="0" w:name="_GoBack"/>
      <w:bookmarkEnd w:id="0"/>
      <w:r w:rsidRPr="00DE4AE1">
        <w:rPr>
          <w:rFonts w:cs="Arial"/>
          <w:b/>
          <w:bCs/>
          <w:sz w:val="22"/>
          <w:szCs w:val="22"/>
        </w:rPr>
        <w:t>Key Dates</w:t>
      </w:r>
    </w:p>
    <w:p w:rsidR="00C71A27" w:rsidRPr="00DE4AE1" w:rsidRDefault="00C71A27" w:rsidP="00C71A27">
      <w:pPr>
        <w:shd w:val="clear" w:color="auto" w:fill="FFFFFF"/>
        <w:rPr>
          <w:rFonts w:cs="Arial"/>
          <w:b/>
          <w:bCs/>
          <w:sz w:val="8"/>
          <w:szCs w:val="8"/>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467"/>
        <w:gridCol w:w="6775"/>
      </w:tblGrid>
      <w:tr w:rsidR="001F7EF6" w:rsidRPr="00A15B4A" w:rsidTr="006B0717">
        <w:trPr>
          <w:trHeight w:val="655"/>
        </w:trPr>
        <w:tc>
          <w:tcPr>
            <w:tcW w:w="2467" w:type="dxa"/>
          </w:tcPr>
          <w:p w:rsidR="001F7EF6" w:rsidRPr="00A15B4A" w:rsidRDefault="001F7EF6" w:rsidP="006B0717">
            <w:pPr>
              <w:jc w:val="right"/>
              <w:rPr>
                <w:rFonts w:cs="Arial"/>
                <w:b/>
                <w:bCs/>
                <w:sz w:val="22"/>
                <w:szCs w:val="22"/>
              </w:rPr>
            </w:pPr>
            <w:r w:rsidRPr="00A15B4A">
              <w:rPr>
                <w:rFonts w:cs="Arial"/>
                <w:b/>
                <w:bCs/>
                <w:sz w:val="22"/>
                <w:szCs w:val="22"/>
              </w:rPr>
              <w:t>Estimated Publish of Call:</w:t>
            </w:r>
          </w:p>
          <w:p w:rsidR="001F7EF6" w:rsidRPr="00A15B4A" w:rsidRDefault="001F7EF6" w:rsidP="006B0717">
            <w:pPr>
              <w:shd w:val="clear" w:color="auto" w:fill="FFFFFF"/>
              <w:jc w:val="right"/>
              <w:rPr>
                <w:rFonts w:cs="Arial"/>
                <w:bCs/>
                <w:i/>
                <w:sz w:val="22"/>
                <w:szCs w:val="22"/>
              </w:rPr>
            </w:pPr>
            <w:r w:rsidRPr="00A15B4A">
              <w:rPr>
                <w:rFonts w:cs="Arial"/>
                <w:bCs/>
                <w:i/>
                <w:sz w:val="22"/>
                <w:szCs w:val="22"/>
              </w:rPr>
              <w:t xml:space="preserve">(Start of bidding period). </w:t>
            </w:r>
          </w:p>
        </w:tc>
        <w:tc>
          <w:tcPr>
            <w:tcW w:w="6775" w:type="dxa"/>
          </w:tcPr>
          <w:p w:rsidR="001F7EF6" w:rsidRPr="00A15B4A" w:rsidRDefault="006A0F87" w:rsidP="006B0717">
            <w:pPr>
              <w:rPr>
                <w:rFonts w:cs="Arial"/>
                <w:b/>
                <w:bCs/>
                <w:i/>
                <w:sz w:val="22"/>
                <w:szCs w:val="22"/>
              </w:rPr>
            </w:pPr>
            <w:r w:rsidRPr="00A15B4A">
              <w:rPr>
                <w:rFonts w:cs="Arial"/>
                <w:b/>
                <w:bCs/>
                <w:i/>
                <w:sz w:val="22"/>
                <w:szCs w:val="22"/>
              </w:rPr>
              <w:t>Mid-February</w:t>
            </w:r>
            <w:r w:rsidR="002A0562" w:rsidRPr="00A15B4A">
              <w:rPr>
                <w:rFonts w:cs="Arial"/>
                <w:b/>
                <w:bCs/>
                <w:i/>
                <w:sz w:val="22"/>
                <w:szCs w:val="22"/>
              </w:rPr>
              <w:t xml:space="preserve"> 2</w:t>
            </w:r>
            <w:r w:rsidR="001A5DE2" w:rsidRPr="00A15B4A">
              <w:rPr>
                <w:rFonts w:cs="Arial"/>
                <w:b/>
                <w:bCs/>
                <w:i/>
                <w:sz w:val="22"/>
                <w:szCs w:val="22"/>
              </w:rPr>
              <w:t>018</w:t>
            </w:r>
          </w:p>
          <w:p w:rsidR="001F7EF6" w:rsidRPr="00A15B4A" w:rsidRDefault="001F7EF6" w:rsidP="006B0717">
            <w:pPr>
              <w:rPr>
                <w:rFonts w:cs="Arial"/>
                <w:b/>
                <w:bCs/>
                <w:sz w:val="22"/>
                <w:szCs w:val="22"/>
              </w:rPr>
            </w:pPr>
            <w:r w:rsidRPr="00A15B4A">
              <w:rPr>
                <w:rFonts w:cs="Arial"/>
                <w:bCs/>
                <w:i/>
                <w:sz w:val="22"/>
                <w:szCs w:val="22"/>
              </w:rPr>
              <w:t xml:space="preserve">A notification email will be sent to parties who have formally registered their interest by way of clicking on the ‘Register Interest’ button displayed below the opportunity on the </w:t>
            </w:r>
            <w:proofErr w:type="spellStart"/>
            <w:r w:rsidRPr="00A15B4A">
              <w:rPr>
                <w:rFonts w:ascii="Calibri" w:hAnsi="Calibri"/>
                <w:i/>
                <w:sz w:val="22"/>
                <w:szCs w:val="22"/>
              </w:rPr>
              <w:t>ProContract</w:t>
            </w:r>
            <w:proofErr w:type="spellEnd"/>
            <w:r w:rsidRPr="00A15B4A">
              <w:rPr>
                <w:rFonts w:ascii="Calibri" w:hAnsi="Calibri"/>
                <w:i/>
                <w:sz w:val="22"/>
                <w:szCs w:val="22"/>
              </w:rPr>
              <w:t xml:space="preserve"> portal</w:t>
            </w:r>
          </w:p>
        </w:tc>
      </w:tr>
      <w:tr w:rsidR="001F7EF6" w:rsidRPr="00A15B4A" w:rsidTr="006B0717">
        <w:trPr>
          <w:trHeight w:val="228"/>
        </w:trPr>
        <w:tc>
          <w:tcPr>
            <w:tcW w:w="2467" w:type="dxa"/>
          </w:tcPr>
          <w:p w:rsidR="001F7EF6" w:rsidRPr="00A15B4A" w:rsidRDefault="001F7EF6" w:rsidP="006B0717">
            <w:pPr>
              <w:jc w:val="right"/>
              <w:rPr>
                <w:rFonts w:cs="Arial"/>
                <w:b/>
                <w:bCs/>
                <w:sz w:val="22"/>
                <w:szCs w:val="22"/>
              </w:rPr>
            </w:pPr>
            <w:r w:rsidRPr="00A15B4A">
              <w:rPr>
                <w:rFonts w:cs="Arial"/>
                <w:b/>
                <w:bCs/>
                <w:sz w:val="22"/>
                <w:szCs w:val="22"/>
              </w:rPr>
              <w:t xml:space="preserve">Estimated Bidding Period:       </w:t>
            </w:r>
          </w:p>
        </w:tc>
        <w:tc>
          <w:tcPr>
            <w:tcW w:w="6775" w:type="dxa"/>
          </w:tcPr>
          <w:p w:rsidR="001F7EF6" w:rsidRPr="00A15B4A" w:rsidRDefault="00561900" w:rsidP="006B0717">
            <w:pPr>
              <w:rPr>
                <w:rFonts w:cs="Arial"/>
                <w:b/>
                <w:bCs/>
                <w:sz w:val="22"/>
                <w:szCs w:val="22"/>
              </w:rPr>
            </w:pPr>
            <w:r w:rsidRPr="00A15B4A">
              <w:rPr>
                <w:rFonts w:cs="Arial"/>
                <w:b/>
                <w:bCs/>
                <w:sz w:val="22"/>
                <w:szCs w:val="22"/>
              </w:rPr>
              <w:t xml:space="preserve">6 </w:t>
            </w:r>
            <w:r w:rsidR="001F7EF6" w:rsidRPr="00A15B4A">
              <w:rPr>
                <w:rFonts w:cs="Arial"/>
                <w:b/>
                <w:bCs/>
                <w:sz w:val="22"/>
                <w:szCs w:val="22"/>
              </w:rPr>
              <w:t xml:space="preserve"> weeks</w:t>
            </w:r>
          </w:p>
        </w:tc>
      </w:tr>
      <w:tr w:rsidR="001F7EF6" w:rsidRPr="00A15B4A" w:rsidTr="006B0717">
        <w:trPr>
          <w:trHeight w:val="226"/>
        </w:trPr>
        <w:tc>
          <w:tcPr>
            <w:tcW w:w="2467" w:type="dxa"/>
          </w:tcPr>
          <w:p w:rsidR="001F7EF6" w:rsidRPr="00A15B4A" w:rsidRDefault="001F7EF6" w:rsidP="006B0717">
            <w:pPr>
              <w:jc w:val="right"/>
              <w:rPr>
                <w:rFonts w:cs="Arial"/>
                <w:b/>
                <w:bCs/>
                <w:sz w:val="22"/>
                <w:szCs w:val="22"/>
              </w:rPr>
            </w:pPr>
            <w:r w:rsidRPr="00A15B4A">
              <w:rPr>
                <w:rFonts w:cs="Arial"/>
                <w:b/>
                <w:bCs/>
                <w:sz w:val="22"/>
                <w:szCs w:val="22"/>
              </w:rPr>
              <w:t xml:space="preserve">Estimated Award of Call:       </w:t>
            </w:r>
          </w:p>
        </w:tc>
        <w:tc>
          <w:tcPr>
            <w:tcW w:w="6775" w:type="dxa"/>
          </w:tcPr>
          <w:p w:rsidR="001F7EF6" w:rsidRPr="00A15B4A" w:rsidRDefault="002A0562" w:rsidP="002814C6">
            <w:pPr>
              <w:rPr>
                <w:rFonts w:cs="Arial"/>
                <w:b/>
                <w:bCs/>
                <w:sz w:val="22"/>
                <w:szCs w:val="22"/>
              </w:rPr>
            </w:pPr>
            <w:r w:rsidRPr="00A15B4A">
              <w:rPr>
                <w:rFonts w:cs="Arial"/>
                <w:b/>
                <w:bCs/>
                <w:sz w:val="22"/>
                <w:szCs w:val="22"/>
              </w:rPr>
              <w:t xml:space="preserve">March/April </w:t>
            </w:r>
            <w:r w:rsidR="001A5DE2" w:rsidRPr="00A15B4A">
              <w:rPr>
                <w:rFonts w:cs="Arial"/>
                <w:b/>
                <w:bCs/>
                <w:sz w:val="22"/>
                <w:szCs w:val="22"/>
              </w:rPr>
              <w:t>2018</w:t>
            </w:r>
          </w:p>
        </w:tc>
      </w:tr>
    </w:tbl>
    <w:p w:rsidR="004F32DC" w:rsidRDefault="004F32DC" w:rsidP="004F32DC">
      <w:pPr>
        <w:spacing w:before="100" w:beforeAutospacing="1" w:after="240" w:line="276" w:lineRule="auto"/>
        <w:rPr>
          <w:rFonts w:cs="Arial"/>
          <w:b/>
          <w:sz w:val="22"/>
          <w:szCs w:val="22"/>
        </w:rPr>
      </w:pPr>
      <w:r w:rsidRPr="00DE4AE1">
        <w:rPr>
          <w:rFonts w:cs="Arial"/>
          <w:b/>
          <w:sz w:val="22"/>
          <w:szCs w:val="22"/>
        </w:rPr>
        <w:t>Background</w:t>
      </w:r>
    </w:p>
    <w:p w:rsidR="004F32DC" w:rsidRDefault="004F32DC" w:rsidP="004F32DC">
      <w:pPr>
        <w:spacing w:line="360" w:lineRule="auto"/>
        <w:rPr>
          <w:rFonts w:cs="Arial"/>
          <w:sz w:val="22"/>
          <w:szCs w:val="22"/>
        </w:rPr>
      </w:pPr>
      <w:r w:rsidRPr="00AA49EB">
        <w:rPr>
          <w:rFonts w:cs="Arial"/>
          <w:sz w:val="22"/>
          <w:szCs w:val="22"/>
        </w:rPr>
        <w:t>The Met Office anticipates holding a call for research proposals in</w:t>
      </w:r>
      <w:r>
        <w:rPr>
          <w:rFonts w:cs="Arial"/>
          <w:sz w:val="22"/>
          <w:szCs w:val="22"/>
        </w:rPr>
        <w:t xml:space="preserve"> </w:t>
      </w:r>
      <w:r w:rsidR="002814C6">
        <w:rPr>
          <w:rFonts w:cs="Arial"/>
          <w:sz w:val="22"/>
          <w:szCs w:val="22"/>
        </w:rPr>
        <w:t>January 2018</w:t>
      </w:r>
      <w:r w:rsidRPr="00AA49EB">
        <w:rPr>
          <w:rFonts w:cs="Arial"/>
          <w:sz w:val="22"/>
          <w:szCs w:val="22"/>
        </w:rPr>
        <w:t>. In preparation for the call, the Met Office is inviting expressions of interest from UK researchers.</w:t>
      </w:r>
      <w:r w:rsidR="009B1512">
        <w:rPr>
          <w:rFonts w:cs="Arial"/>
          <w:sz w:val="22"/>
          <w:szCs w:val="22"/>
        </w:rPr>
        <w:t xml:space="preserve"> </w:t>
      </w:r>
    </w:p>
    <w:p w:rsidR="009644DC" w:rsidRDefault="009644DC" w:rsidP="004F32DC">
      <w:pPr>
        <w:spacing w:line="360" w:lineRule="auto"/>
        <w:rPr>
          <w:rFonts w:cs="Arial"/>
          <w:sz w:val="22"/>
          <w:szCs w:val="22"/>
        </w:rPr>
      </w:pPr>
    </w:p>
    <w:p w:rsidR="00611C4D" w:rsidRPr="00611C4D" w:rsidRDefault="00611C4D" w:rsidP="00611C4D">
      <w:pPr>
        <w:spacing w:line="360" w:lineRule="auto"/>
        <w:rPr>
          <w:rFonts w:cs="Arial"/>
          <w:sz w:val="22"/>
          <w:szCs w:val="22"/>
          <w:lang w:val="en-US"/>
        </w:rPr>
      </w:pPr>
      <w:r w:rsidRPr="00611C4D">
        <w:rPr>
          <w:rFonts w:cs="Arial"/>
          <w:sz w:val="22"/>
          <w:szCs w:val="22"/>
        </w:rPr>
        <w:t>The Weather and Climate Science for Service Partnership for Southeast Asia (WCSSP S</w:t>
      </w:r>
      <w:r w:rsidR="00EA7CBB">
        <w:rPr>
          <w:rFonts w:cs="Arial"/>
          <w:sz w:val="22"/>
          <w:szCs w:val="22"/>
        </w:rPr>
        <w:t>outheast</w:t>
      </w:r>
      <w:r w:rsidRPr="00611C4D">
        <w:rPr>
          <w:rFonts w:cs="Arial"/>
          <w:sz w:val="22"/>
          <w:szCs w:val="22"/>
        </w:rPr>
        <w:t xml:space="preserve"> Asia), supported by the UK Government’s Newton Fund, </w:t>
      </w:r>
      <w:r w:rsidRPr="00611C4D">
        <w:rPr>
          <w:rFonts w:cs="Arial"/>
          <w:sz w:val="22"/>
          <w:szCs w:val="22"/>
          <w:lang w:val="en-US"/>
        </w:rPr>
        <w:t xml:space="preserve">is a research programme that will support the development of capability to underpin services to provide better advice of high impact weather and climate events and, therefore, </w:t>
      </w:r>
      <w:r w:rsidR="00390CA5">
        <w:rPr>
          <w:rFonts w:cs="Arial"/>
          <w:sz w:val="22"/>
          <w:szCs w:val="22"/>
          <w:lang w:val="en-US"/>
        </w:rPr>
        <w:t xml:space="preserve">will </w:t>
      </w:r>
      <w:r w:rsidRPr="00611C4D">
        <w:rPr>
          <w:rFonts w:cs="Arial"/>
          <w:sz w:val="22"/>
          <w:szCs w:val="22"/>
          <w:lang w:val="en-US"/>
        </w:rPr>
        <w:t>support climate and weather resilient economic development and social welfare.</w:t>
      </w:r>
    </w:p>
    <w:p w:rsidR="00611C4D" w:rsidRPr="00611C4D" w:rsidRDefault="00611C4D" w:rsidP="00611C4D">
      <w:pPr>
        <w:spacing w:line="360" w:lineRule="auto"/>
        <w:rPr>
          <w:rFonts w:cs="Arial"/>
          <w:b/>
          <w:sz w:val="22"/>
          <w:szCs w:val="22"/>
        </w:rPr>
      </w:pPr>
    </w:p>
    <w:p w:rsidR="00611C4D" w:rsidRPr="00611C4D" w:rsidRDefault="00611C4D" w:rsidP="00611C4D">
      <w:pPr>
        <w:spacing w:line="360" w:lineRule="auto"/>
        <w:rPr>
          <w:rFonts w:cs="Arial"/>
          <w:b/>
          <w:sz w:val="22"/>
          <w:szCs w:val="22"/>
        </w:rPr>
      </w:pPr>
      <w:r w:rsidRPr="00611C4D">
        <w:rPr>
          <w:rFonts w:cs="Arial"/>
          <w:b/>
          <w:sz w:val="22"/>
          <w:szCs w:val="22"/>
        </w:rPr>
        <w:t>Summary of WCSSP Southeast Asia aims</w:t>
      </w:r>
    </w:p>
    <w:p w:rsidR="00611C4D" w:rsidRPr="00611C4D" w:rsidRDefault="00611C4D" w:rsidP="00611C4D">
      <w:pPr>
        <w:spacing w:line="360" w:lineRule="auto"/>
        <w:rPr>
          <w:rFonts w:cs="Arial"/>
          <w:sz w:val="22"/>
          <w:szCs w:val="22"/>
          <w:lang w:val="en-US"/>
        </w:rPr>
      </w:pPr>
      <w:r w:rsidRPr="00611C4D">
        <w:rPr>
          <w:rFonts w:cs="Arial"/>
          <w:sz w:val="22"/>
          <w:szCs w:val="22"/>
        </w:rPr>
        <w:t xml:space="preserve">This project aims to develop </w:t>
      </w:r>
      <w:r w:rsidRPr="00611C4D">
        <w:rPr>
          <w:rFonts w:cs="Arial"/>
          <w:sz w:val="22"/>
          <w:szCs w:val="22"/>
          <w:lang w:val="en-US"/>
        </w:rPr>
        <w:t>underpinning capability in modeling at the global, regional and local scale, and advance the understanding of high-impact weather events in order to support services to improve advice and mitigate the impacts of extreme weather and climate events.</w:t>
      </w:r>
    </w:p>
    <w:p w:rsidR="00611C4D" w:rsidRPr="00611C4D" w:rsidRDefault="00611C4D" w:rsidP="00611C4D">
      <w:pPr>
        <w:spacing w:line="360" w:lineRule="auto"/>
        <w:rPr>
          <w:rFonts w:cs="Arial"/>
          <w:sz w:val="22"/>
          <w:szCs w:val="22"/>
        </w:rPr>
      </w:pPr>
    </w:p>
    <w:p w:rsidR="00611C4D" w:rsidRPr="00611C4D" w:rsidRDefault="00611C4D" w:rsidP="00611C4D">
      <w:pPr>
        <w:spacing w:line="360" w:lineRule="auto"/>
        <w:rPr>
          <w:rFonts w:cs="Arial"/>
          <w:sz w:val="22"/>
          <w:szCs w:val="22"/>
        </w:rPr>
      </w:pPr>
      <w:r w:rsidRPr="00611C4D">
        <w:rPr>
          <w:rFonts w:cs="Arial"/>
          <w:sz w:val="22"/>
          <w:szCs w:val="22"/>
        </w:rPr>
        <w:lastRenderedPageBreak/>
        <w:t>Specific aims include; improving the understanding of the impact of large scale atmospheric processes on the weather and climate of S</w:t>
      </w:r>
      <w:r w:rsidR="00EA7CBB">
        <w:rPr>
          <w:rFonts w:cs="Arial"/>
          <w:sz w:val="22"/>
          <w:szCs w:val="22"/>
        </w:rPr>
        <w:t>outheast</w:t>
      </w:r>
      <w:r w:rsidRPr="00611C4D">
        <w:rPr>
          <w:rFonts w:cs="Arial"/>
          <w:sz w:val="22"/>
          <w:szCs w:val="22"/>
        </w:rPr>
        <w:t xml:space="preserve"> Asia, assessment and improvement of Unified Model performance at both convective and non-convective scales, improving the understanding of the local impact of tropical weather systems and improving the interpretation of global and convective scale forecasts.</w:t>
      </w:r>
    </w:p>
    <w:p w:rsidR="003E2BD1" w:rsidRDefault="003E2BD1" w:rsidP="004F32DC">
      <w:pPr>
        <w:spacing w:line="360" w:lineRule="auto"/>
        <w:rPr>
          <w:rFonts w:cs="Arial"/>
          <w:sz w:val="22"/>
          <w:szCs w:val="22"/>
        </w:rPr>
      </w:pPr>
    </w:p>
    <w:p w:rsidR="004F32DC" w:rsidRPr="00114B31" w:rsidRDefault="004F32DC" w:rsidP="004F32DC">
      <w:pPr>
        <w:spacing w:line="360" w:lineRule="auto"/>
        <w:rPr>
          <w:rFonts w:ascii="Calibri" w:hAnsi="Calibri" w:cs="Calibri"/>
          <w:sz w:val="22"/>
          <w:szCs w:val="22"/>
        </w:rPr>
      </w:pPr>
      <w:r w:rsidRPr="00AA49EB">
        <w:rPr>
          <w:rFonts w:cs="Arial"/>
          <w:sz w:val="22"/>
          <w:szCs w:val="22"/>
        </w:rPr>
        <w:t xml:space="preserve">For further information please visit the </w:t>
      </w:r>
      <w:r w:rsidR="0055142C">
        <w:rPr>
          <w:rFonts w:cs="Arial"/>
          <w:sz w:val="22"/>
          <w:szCs w:val="22"/>
        </w:rPr>
        <w:t>programme website</w:t>
      </w:r>
      <w:r w:rsidRPr="00AA49EB">
        <w:rPr>
          <w:rFonts w:cs="Arial"/>
          <w:sz w:val="22"/>
          <w:szCs w:val="22"/>
        </w:rPr>
        <w:t xml:space="preserve"> - </w:t>
      </w:r>
    </w:p>
    <w:p w:rsidR="004F32DC" w:rsidRDefault="002F691C" w:rsidP="004F32DC">
      <w:pPr>
        <w:spacing w:line="360" w:lineRule="auto"/>
        <w:rPr>
          <w:rFonts w:cs="Arial"/>
          <w:sz w:val="22"/>
          <w:szCs w:val="22"/>
        </w:rPr>
      </w:pPr>
      <w:hyperlink r:id="rId8" w:history="1">
        <w:r w:rsidR="004F32DC" w:rsidRPr="00A85219">
          <w:rPr>
            <w:rStyle w:val="Hyperlink"/>
            <w:rFonts w:cs="Arial"/>
            <w:sz w:val="22"/>
            <w:szCs w:val="22"/>
          </w:rPr>
          <w:t>http://www.metoffice.gov.uk/research/collaboration/newton</w:t>
        </w:r>
      </w:hyperlink>
    </w:p>
    <w:p w:rsidR="004F32DC" w:rsidRDefault="004F32DC" w:rsidP="004F32DC">
      <w:pPr>
        <w:spacing w:before="240" w:after="120" w:line="276" w:lineRule="auto"/>
        <w:rPr>
          <w:rFonts w:cs="Arial"/>
          <w:b/>
          <w:sz w:val="22"/>
          <w:szCs w:val="22"/>
        </w:rPr>
      </w:pPr>
      <w:r w:rsidRPr="00FF6D07">
        <w:rPr>
          <w:rFonts w:cs="Arial"/>
          <w:b/>
          <w:sz w:val="22"/>
          <w:szCs w:val="22"/>
        </w:rPr>
        <w:t xml:space="preserve">Submissions </w:t>
      </w:r>
      <w:r>
        <w:rPr>
          <w:rFonts w:cs="Arial"/>
          <w:b/>
          <w:sz w:val="22"/>
          <w:szCs w:val="22"/>
        </w:rPr>
        <w:t>will be</w:t>
      </w:r>
      <w:r w:rsidRPr="00FF6D07">
        <w:rPr>
          <w:rFonts w:cs="Arial"/>
          <w:b/>
          <w:sz w:val="22"/>
          <w:szCs w:val="22"/>
        </w:rPr>
        <w:t xml:space="preserve"> sought on</w:t>
      </w:r>
      <w:r w:rsidRPr="00FF6D07">
        <w:rPr>
          <w:rFonts w:cs="Arial"/>
          <w:color w:val="0070C0"/>
          <w:sz w:val="22"/>
          <w:szCs w:val="22"/>
        </w:rPr>
        <w:t xml:space="preserve"> </w:t>
      </w:r>
      <w:r>
        <w:rPr>
          <w:rFonts w:cs="Arial"/>
          <w:b/>
          <w:sz w:val="22"/>
          <w:szCs w:val="22"/>
        </w:rPr>
        <w:t>‘</w:t>
      </w:r>
      <w:r w:rsidR="00A01846">
        <w:rPr>
          <w:rFonts w:cs="Arial"/>
          <w:b/>
          <w:sz w:val="22"/>
          <w:szCs w:val="22"/>
        </w:rPr>
        <w:t>Vertical Structure of Weather over Southeast Asia</w:t>
      </w:r>
      <w:r>
        <w:rPr>
          <w:rFonts w:cs="Arial"/>
          <w:b/>
          <w:sz w:val="22"/>
          <w:szCs w:val="22"/>
        </w:rPr>
        <w:t>’:</w:t>
      </w:r>
    </w:p>
    <w:p w:rsidR="00A01846" w:rsidRPr="002C0524" w:rsidRDefault="00A01846" w:rsidP="00A01846">
      <w:pPr>
        <w:spacing w:line="276" w:lineRule="auto"/>
        <w:rPr>
          <w:b/>
          <w:sz w:val="22"/>
          <w:szCs w:val="22"/>
        </w:rPr>
      </w:pPr>
      <w:r w:rsidRPr="002C0524">
        <w:rPr>
          <w:b/>
          <w:sz w:val="22"/>
          <w:szCs w:val="22"/>
        </w:rPr>
        <w:t xml:space="preserve">Rationale: </w:t>
      </w:r>
    </w:p>
    <w:p w:rsidR="00A01846" w:rsidRPr="0033000C" w:rsidRDefault="00A01846" w:rsidP="00A01846">
      <w:pPr>
        <w:spacing w:line="360" w:lineRule="auto"/>
        <w:rPr>
          <w:rFonts w:cs="Arial"/>
          <w:sz w:val="22"/>
          <w:szCs w:val="22"/>
        </w:rPr>
      </w:pPr>
      <w:r w:rsidRPr="0033000C">
        <w:rPr>
          <w:rFonts w:cs="Arial"/>
          <w:sz w:val="22"/>
          <w:szCs w:val="22"/>
        </w:rPr>
        <w:t>The weather of Southeast Asia is dominated by convective activity which is strongly influenced by both local and large scale processes</w:t>
      </w:r>
      <w:r>
        <w:rPr>
          <w:rFonts w:cs="Arial"/>
          <w:sz w:val="22"/>
          <w:szCs w:val="22"/>
        </w:rPr>
        <w:t>. The vertical structure of the atmosphere in the region has had little previous attention and there has been no systematic evaluation of model processes in the vertical, particularly with reference to their thermodynamic profiles and relevance to convection initiation. An accurate representation of the vertical structure of the atmosphere and its horizontal variability</w:t>
      </w:r>
      <w:r w:rsidRPr="00583E07">
        <w:rPr>
          <w:rFonts w:cs="Arial"/>
          <w:sz w:val="22"/>
          <w:szCs w:val="22"/>
        </w:rPr>
        <w:t xml:space="preserve"> </w:t>
      </w:r>
      <w:r>
        <w:rPr>
          <w:rFonts w:cs="Arial"/>
          <w:sz w:val="22"/>
          <w:szCs w:val="22"/>
        </w:rPr>
        <w:t>is likely to be key for models to accurately predict high impact weather in the region.</w:t>
      </w:r>
    </w:p>
    <w:p w:rsidR="00A01846" w:rsidRPr="00FF6D07" w:rsidRDefault="00A01846" w:rsidP="00A01846">
      <w:pPr>
        <w:spacing w:line="360" w:lineRule="auto"/>
        <w:rPr>
          <w:b/>
          <w:sz w:val="22"/>
          <w:szCs w:val="22"/>
        </w:rPr>
      </w:pPr>
    </w:p>
    <w:p w:rsidR="00A01846" w:rsidRPr="00FF6D07" w:rsidRDefault="00A01846" w:rsidP="00A01846">
      <w:pPr>
        <w:spacing w:line="276" w:lineRule="auto"/>
        <w:rPr>
          <w:sz w:val="22"/>
          <w:szCs w:val="22"/>
        </w:rPr>
      </w:pPr>
      <w:r w:rsidRPr="00FF6D07">
        <w:rPr>
          <w:b/>
          <w:sz w:val="22"/>
          <w:szCs w:val="22"/>
        </w:rPr>
        <w:t>Required activity:</w:t>
      </w:r>
      <w:r w:rsidRPr="00FF6D07">
        <w:rPr>
          <w:sz w:val="22"/>
          <w:szCs w:val="22"/>
        </w:rPr>
        <w:t xml:space="preserve"> </w:t>
      </w:r>
    </w:p>
    <w:p w:rsidR="00FA0F60" w:rsidRPr="00FA0F60" w:rsidRDefault="00A01846" w:rsidP="00FA0F60">
      <w:pPr>
        <w:spacing w:line="360" w:lineRule="auto"/>
        <w:rPr>
          <w:rStyle w:val="BookTitle"/>
          <w:rFonts w:cs="Arial"/>
          <w:b w:val="0"/>
          <w:i w:val="0"/>
          <w:sz w:val="22"/>
          <w:szCs w:val="22"/>
        </w:rPr>
      </w:pPr>
      <w:r>
        <w:rPr>
          <w:rStyle w:val="BookTitle"/>
          <w:rFonts w:cs="Arial"/>
          <w:b w:val="0"/>
          <w:i w:val="0"/>
          <w:sz w:val="22"/>
          <w:szCs w:val="22"/>
        </w:rPr>
        <w:t>The project will work</w:t>
      </w:r>
      <w:r w:rsidRPr="00623EC8">
        <w:rPr>
          <w:rStyle w:val="BookTitle"/>
          <w:rFonts w:cs="Arial"/>
          <w:b w:val="0"/>
          <w:i w:val="0"/>
          <w:sz w:val="22"/>
          <w:szCs w:val="22"/>
        </w:rPr>
        <w:t xml:space="preserve"> on the nature of weather events in the region</w:t>
      </w:r>
      <w:r>
        <w:rPr>
          <w:rStyle w:val="BookTitle"/>
          <w:rFonts w:cs="Arial"/>
          <w:b w:val="0"/>
          <w:i w:val="0"/>
          <w:sz w:val="22"/>
          <w:szCs w:val="22"/>
        </w:rPr>
        <w:t xml:space="preserve"> with a key focus on vertical processes and structures as captured in global and </w:t>
      </w:r>
      <w:r w:rsidR="00913AB1">
        <w:rPr>
          <w:rStyle w:val="BookTitle"/>
          <w:rFonts w:cs="Arial"/>
          <w:b w:val="0"/>
          <w:i w:val="0"/>
          <w:sz w:val="22"/>
          <w:szCs w:val="22"/>
        </w:rPr>
        <w:t xml:space="preserve">convection </w:t>
      </w:r>
      <w:r w:rsidR="00FA0F60">
        <w:rPr>
          <w:rStyle w:val="BookTitle"/>
          <w:rFonts w:cs="Arial"/>
          <w:b w:val="0"/>
          <w:i w:val="0"/>
          <w:sz w:val="22"/>
          <w:szCs w:val="22"/>
        </w:rPr>
        <w:t>permitting (CP)</w:t>
      </w:r>
      <w:r>
        <w:rPr>
          <w:rStyle w:val="BookTitle"/>
          <w:rFonts w:cs="Arial"/>
          <w:b w:val="0"/>
          <w:i w:val="0"/>
          <w:sz w:val="22"/>
          <w:szCs w:val="22"/>
        </w:rPr>
        <w:t xml:space="preserve"> models</w:t>
      </w:r>
      <w:r w:rsidRPr="00623EC8">
        <w:rPr>
          <w:rStyle w:val="BookTitle"/>
          <w:rFonts w:cs="Arial"/>
          <w:b w:val="0"/>
          <w:i w:val="0"/>
          <w:sz w:val="22"/>
          <w:szCs w:val="22"/>
        </w:rPr>
        <w:t xml:space="preserve">. </w:t>
      </w:r>
      <w:r w:rsidR="00FA0F60">
        <w:rPr>
          <w:rStyle w:val="BookTitle"/>
          <w:rFonts w:cs="Arial"/>
          <w:b w:val="0"/>
          <w:i w:val="0"/>
          <w:sz w:val="22"/>
          <w:szCs w:val="22"/>
        </w:rPr>
        <w:t>The overall aim is to identify model processes that play a key role in weather representation and work towards improving these in both parameterised and CP models. Specific examples of this may include:</w:t>
      </w:r>
    </w:p>
    <w:p w:rsidR="00FA0F60" w:rsidRDefault="00FA0F60" w:rsidP="00A01846">
      <w:pPr>
        <w:numPr>
          <w:ilvl w:val="0"/>
          <w:numId w:val="11"/>
        </w:numPr>
        <w:spacing w:line="360" w:lineRule="auto"/>
        <w:rPr>
          <w:rStyle w:val="BookTitle"/>
          <w:rFonts w:cs="Arial"/>
          <w:b w:val="0"/>
          <w:i w:val="0"/>
          <w:sz w:val="22"/>
          <w:szCs w:val="22"/>
        </w:rPr>
      </w:pPr>
      <w:r>
        <w:rPr>
          <w:rStyle w:val="BookTitle"/>
          <w:rFonts w:cs="Arial"/>
          <w:b w:val="0"/>
          <w:i w:val="0"/>
          <w:sz w:val="22"/>
          <w:szCs w:val="22"/>
        </w:rPr>
        <w:t>In-depth focus on model representation</w:t>
      </w:r>
      <w:r w:rsidR="00431EFC">
        <w:rPr>
          <w:rStyle w:val="BookTitle"/>
          <w:rFonts w:cs="Arial"/>
          <w:b w:val="0"/>
          <w:i w:val="0"/>
          <w:sz w:val="22"/>
          <w:szCs w:val="22"/>
        </w:rPr>
        <w:t xml:space="preserve"> (including the vertical structure)</w:t>
      </w:r>
      <w:r>
        <w:rPr>
          <w:rStyle w:val="BookTitle"/>
          <w:rFonts w:cs="Arial"/>
          <w:b w:val="0"/>
          <w:i w:val="0"/>
          <w:sz w:val="22"/>
          <w:szCs w:val="22"/>
        </w:rPr>
        <w:t xml:space="preserve"> of one or more local phenomena such as</w:t>
      </w:r>
      <w:r w:rsidRPr="00623EC8">
        <w:rPr>
          <w:rStyle w:val="BookTitle"/>
          <w:rFonts w:cs="Arial"/>
          <w:b w:val="0"/>
          <w:i w:val="0"/>
          <w:sz w:val="22"/>
          <w:szCs w:val="22"/>
        </w:rPr>
        <w:t xml:space="preserve"> cold surges, </w:t>
      </w:r>
      <w:r w:rsidR="00913AB1">
        <w:rPr>
          <w:rStyle w:val="BookTitle"/>
          <w:rFonts w:cs="Arial"/>
          <w:b w:val="0"/>
          <w:i w:val="0"/>
          <w:sz w:val="22"/>
          <w:szCs w:val="22"/>
        </w:rPr>
        <w:t xml:space="preserve">Borneo Vortex, </w:t>
      </w:r>
      <w:r w:rsidRPr="00623EC8">
        <w:rPr>
          <w:rStyle w:val="BookTitle"/>
          <w:rFonts w:cs="Arial"/>
          <w:b w:val="0"/>
          <w:i w:val="0"/>
          <w:sz w:val="22"/>
          <w:szCs w:val="22"/>
        </w:rPr>
        <w:t xml:space="preserve">sea breezes, </w:t>
      </w:r>
      <w:r w:rsidR="004F443D">
        <w:rPr>
          <w:rStyle w:val="BookTitle"/>
          <w:rFonts w:cs="Arial"/>
          <w:b w:val="0"/>
          <w:i w:val="0"/>
          <w:sz w:val="22"/>
          <w:szCs w:val="22"/>
        </w:rPr>
        <w:t xml:space="preserve">Tropical Cyclones, </w:t>
      </w:r>
      <w:r w:rsidRPr="00623EC8">
        <w:rPr>
          <w:rStyle w:val="BookTitle"/>
          <w:rFonts w:cs="Arial"/>
          <w:b w:val="0"/>
          <w:i w:val="0"/>
          <w:sz w:val="22"/>
          <w:szCs w:val="22"/>
        </w:rPr>
        <w:t>Sumatra s</w:t>
      </w:r>
      <w:r>
        <w:rPr>
          <w:rStyle w:val="BookTitle"/>
          <w:rFonts w:cs="Arial"/>
          <w:b w:val="0"/>
          <w:i w:val="0"/>
          <w:sz w:val="22"/>
          <w:szCs w:val="22"/>
        </w:rPr>
        <w:t>qualls and other relevant processes that are associated with High Impact Weather (HIW) events</w:t>
      </w:r>
    </w:p>
    <w:p w:rsidR="00FA0F60" w:rsidRDefault="00FA0F60" w:rsidP="00FA0F60">
      <w:pPr>
        <w:numPr>
          <w:ilvl w:val="0"/>
          <w:numId w:val="11"/>
        </w:numPr>
        <w:spacing w:line="360" w:lineRule="auto"/>
        <w:rPr>
          <w:rStyle w:val="BookTitle"/>
          <w:rFonts w:cs="Arial"/>
          <w:b w:val="0"/>
          <w:i w:val="0"/>
          <w:sz w:val="22"/>
          <w:szCs w:val="22"/>
        </w:rPr>
      </w:pPr>
      <w:r>
        <w:rPr>
          <w:rStyle w:val="BookTitle"/>
          <w:rFonts w:cs="Arial"/>
          <w:b w:val="0"/>
          <w:i w:val="0"/>
          <w:sz w:val="22"/>
          <w:szCs w:val="22"/>
        </w:rPr>
        <w:t>Convection initiation and its representation in models</w:t>
      </w:r>
    </w:p>
    <w:p w:rsidR="00FA0F60" w:rsidRDefault="00FA0F60" w:rsidP="00FA0F60">
      <w:pPr>
        <w:numPr>
          <w:ilvl w:val="0"/>
          <w:numId w:val="11"/>
        </w:numPr>
        <w:spacing w:line="360" w:lineRule="auto"/>
        <w:rPr>
          <w:rStyle w:val="BookTitle"/>
          <w:rFonts w:cs="Arial"/>
          <w:b w:val="0"/>
          <w:i w:val="0"/>
          <w:sz w:val="22"/>
          <w:szCs w:val="22"/>
        </w:rPr>
      </w:pPr>
      <w:r>
        <w:rPr>
          <w:rStyle w:val="BookTitle"/>
          <w:rFonts w:cs="Arial"/>
          <w:b w:val="0"/>
          <w:i w:val="0"/>
          <w:sz w:val="22"/>
          <w:szCs w:val="22"/>
        </w:rPr>
        <w:t xml:space="preserve">Forensic examination of thermodynamic profiles in models to identify the key processes in </w:t>
      </w:r>
      <w:r w:rsidR="004F443D">
        <w:rPr>
          <w:rStyle w:val="BookTitle"/>
          <w:rFonts w:cs="Arial"/>
          <w:b w:val="0"/>
          <w:i w:val="0"/>
          <w:sz w:val="22"/>
          <w:szCs w:val="22"/>
        </w:rPr>
        <w:t>global and CP models</w:t>
      </w:r>
      <w:r>
        <w:rPr>
          <w:rStyle w:val="BookTitle"/>
          <w:rFonts w:cs="Arial"/>
          <w:b w:val="0"/>
          <w:i w:val="0"/>
          <w:sz w:val="22"/>
          <w:szCs w:val="22"/>
        </w:rPr>
        <w:t xml:space="preserve"> which are least </w:t>
      </w:r>
      <w:r w:rsidR="004F443D">
        <w:rPr>
          <w:rStyle w:val="BookTitle"/>
          <w:rFonts w:cs="Arial"/>
          <w:b w:val="0"/>
          <w:i w:val="0"/>
          <w:sz w:val="22"/>
          <w:szCs w:val="22"/>
        </w:rPr>
        <w:t xml:space="preserve">well </w:t>
      </w:r>
      <w:r>
        <w:rPr>
          <w:rStyle w:val="BookTitle"/>
          <w:rFonts w:cs="Arial"/>
          <w:b w:val="0"/>
          <w:i w:val="0"/>
          <w:sz w:val="22"/>
          <w:szCs w:val="22"/>
        </w:rPr>
        <w:t xml:space="preserve">represented </w:t>
      </w:r>
    </w:p>
    <w:p w:rsidR="001A5DE2" w:rsidRDefault="001A5DE2" w:rsidP="00FA0F60">
      <w:pPr>
        <w:numPr>
          <w:ilvl w:val="0"/>
          <w:numId w:val="11"/>
        </w:numPr>
        <w:spacing w:line="360" w:lineRule="auto"/>
        <w:rPr>
          <w:rStyle w:val="BookTitle"/>
          <w:rFonts w:cs="Arial"/>
          <w:b w:val="0"/>
          <w:i w:val="0"/>
          <w:sz w:val="22"/>
          <w:szCs w:val="22"/>
        </w:rPr>
      </w:pPr>
      <w:r>
        <w:rPr>
          <w:rStyle w:val="BookTitle"/>
          <w:rFonts w:cs="Arial"/>
          <w:b w:val="0"/>
          <w:i w:val="0"/>
          <w:sz w:val="22"/>
          <w:szCs w:val="22"/>
        </w:rPr>
        <w:t xml:space="preserve">Model assessment against available observations such as radiosondes and interaction with the </w:t>
      </w:r>
      <w:r w:rsidR="00431EFC">
        <w:rPr>
          <w:rStyle w:val="BookTitle"/>
          <w:rFonts w:cs="Arial"/>
          <w:b w:val="0"/>
          <w:i w:val="0"/>
          <w:sz w:val="22"/>
          <w:szCs w:val="22"/>
        </w:rPr>
        <w:t xml:space="preserve">ongoing </w:t>
      </w:r>
      <w:r>
        <w:rPr>
          <w:rStyle w:val="BookTitle"/>
          <w:rFonts w:cs="Arial"/>
          <w:b w:val="0"/>
          <w:i w:val="0"/>
          <w:sz w:val="22"/>
          <w:szCs w:val="22"/>
        </w:rPr>
        <w:t>Years of Maritime Continent as appropriate</w:t>
      </w:r>
    </w:p>
    <w:p w:rsidR="001A5DE2" w:rsidRDefault="001A5DE2" w:rsidP="00FA0F60">
      <w:pPr>
        <w:numPr>
          <w:ilvl w:val="0"/>
          <w:numId w:val="11"/>
        </w:numPr>
        <w:spacing w:line="360" w:lineRule="auto"/>
        <w:rPr>
          <w:rStyle w:val="BookTitle"/>
          <w:rFonts w:cs="Arial"/>
          <w:b w:val="0"/>
          <w:i w:val="0"/>
          <w:sz w:val="22"/>
          <w:szCs w:val="22"/>
        </w:rPr>
      </w:pPr>
      <w:r>
        <w:rPr>
          <w:rStyle w:val="BookTitle"/>
          <w:rFonts w:cs="Arial"/>
          <w:b w:val="0"/>
          <w:i w:val="0"/>
          <w:sz w:val="22"/>
          <w:szCs w:val="22"/>
        </w:rPr>
        <w:lastRenderedPageBreak/>
        <w:t>Using sensitivity studies to examine the impact of model configuration on vertical structure over a convectively active tropical maritime region</w:t>
      </w:r>
    </w:p>
    <w:p w:rsidR="00A01846" w:rsidRDefault="00A01846" w:rsidP="00A01846">
      <w:pPr>
        <w:spacing w:before="240" w:line="276" w:lineRule="auto"/>
        <w:rPr>
          <w:rFonts w:cs="Arial"/>
          <w:b/>
          <w:sz w:val="22"/>
          <w:szCs w:val="22"/>
        </w:rPr>
      </w:pPr>
      <w:r w:rsidRPr="008265D9">
        <w:rPr>
          <w:rFonts w:cs="Arial"/>
          <w:b/>
          <w:sz w:val="22"/>
          <w:szCs w:val="22"/>
        </w:rPr>
        <w:t>Anticipated outputs or results:</w:t>
      </w:r>
    </w:p>
    <w:p w:rsidR="00A01846" w:rsidRPr="008265D9" w:rsidRDefault="00A01846" w:rsidP="00A01846">
      <w:pPr>
        <w:spacing w:line="360" w:lineRule="auto"/>
        <w:rPr>
          <w:rFonts w:cs="Arial"/>
          <w:sz w:val="22"/>
          <w:szCs w:val="22"/>
        </w:rPr>
      </w:pPr>
      <w:r w:rsidRPr="008265D9">
        <w:rPr>
          <w:rFonts w:cs="Arial"/>
          <w:sz w:val="22"/>
          <w:szCs w:val="22"/>
        </w:rPr>
        <w:t>Outputs could include:</w:t>
      </w:r>
    </w:p>
    <w:p w:rsidR="00A01846" w:rsidRDefault="00A01846" w:rsidP="00A01846">
      <w:pPr>
        <w:pStyle w:val="ListParagraph"/>
        <w:numPr>
          <w:ilvl w:val="0"/>
          <w:numId w:val="10"/>
        </w:numPr>
        <w:spacing w:after="200" w:line="360" w:lineRule="auto"/>
        <w:rPr>
          <w:rStyle w:val="BookTitle"/>
          <w:rFonts w:ascii="Arial" w:hAnsi="Arial" w:cs="Arial"/>
          <w:b w:val="0"/>
          <w:i w:val="0"/>
          <w:sz w:val="22"/>
          <w:szCs w:val="22"/>
        </w:rPr>
      </w:pPr>
      <w:r>
        <w:rPr>
          <w:rStyle w:val="BookTitle"/>
          <w:rFonts w:ascii="Arial" w:hAnsi="Arial" w:cs="Arial"/>
          <w:b w:val="0"/>
          <w:i w:val="0"/>
          <w:sz w:val="22"/>
          <w:szCs w:val="22"/>
        </w:rPr>
        <w:t>New information about the vertical structure of the atmosphere and its horizontal variability over Southeast Asia, as represented by models, reanalysis and in observations</w:t>
      </w:r>
    </w:p>
    <w:p w:rsidR="00A01846" w:rsidRDefault="00A01846" w:rsidP="00A01846">
      <w:pPr>
        <w:pStyle w:val="ListParagraph"/>
        <w:numPr>
          <w:ilvl w:val="0"/>
          <w:numId w:val="10"/>
        </w:numPr>
        <w:spacing w:after="200" w:line="360" w:lineRule="auto"/>
        <w:rPr>
          <w:rStyle w:val="BookTitle"/>
          <w:rFonts w:ascii="Arial" w:hAnsi="Arial" w:cs="Arial"/>
          <w:b w:val="0"/>
          <w:i w:val="0"/>
          <w:sz w:val="22"/>
          <w:szCs w:val="22"/>
        </w:rPr>
      </w:pPr>
      <w:r>
        <w:rPr>
          <w:rStyle w:val="BookTitle"/>
          <w:rFonts w:ascii="Arial" w:hAnsi="Arial" w:cs="Arial"/>
          <w:b w:val="0"/>
          <w:i w:val="0"/>
          <w:sz w:val="22"/>
          <w:szCs w:val="22"/>
        </w:rPr>
        <w:t>Improved understanding of the role of land-sea contrasts, cold pools etc… on convection and other HIW events.</w:t>
      </w:r>
    </w:p>
    <w:p w:rsidR="00A01846" w:rsidRDefault="00A01846" w:rsidP="00A01846">
      <w:pPr>
        <w:pStyle w:val="ListParagraph"/>
        <w:numPr>
          <w:ilvl w:val="0"/>
          <w:numId w:val="10"/>
        </w:numPr>
        <w:spacing w:before="100" w:after="200" w:line="360" w:lineRule="auto"/>
        <w:rPr>
          <w:rStyle w:val="BookTitle"/>
          <w:rFonts w:ascii="Arial" w:hAnsi="Arial" w:cs="Arial"/>
          <w:b w:val="0"/>
          <w:i w:val="0"/>
          <w:sz w:val="22"/>
          <w:szCs w:val="22"/>
        </w:rPr>
      </w:pPr>
      <w:r>
        <w:rPr>
          <w:rStyle w:val="BookTitle"/>
          <w:rFonts w:ascii="Arial" w:hAnsi="Arial" w:cs="Arial"/>
          <w:b w:val="0"/>
          <w:i w:val="0"/>
          <w:sz w:val="22"/>
          <w:szCs w:val="22"/>
        </w:rPr>
        <w:t xml:space="preserve">Detailed evaluation of the vertical structures in models and observations along with sensitivity studies to model physics changes. </w:t>
      </w:r>
    </w:p>
    <w:p w:rsidR="004F443D" w:rsidRPr="00261259" w:rsidRDefault="004F443D" w:rsidP="00A01846">
      <w:pPr>
        <w:pStyle w:val="ListParagraph"/>
        <w:numPr>
          <w:ilvl w:val="0"/>
          <w:numId w:val="10"/>
        </w:numPr>
        <w:spacing w:before="100" w:after="200" w:line="360" w:lineRule="auto"/>
        <w:rPr>
          <w:rStyle w:val="BookTitle"/>
          <w:rFonts w:ascii="Arial" w:hAnsi="Arial" w:cs="Arial"/>
          <w:b w:val="0"/>
          <w:i w:val="0"/>
          <w:sz w:val="22"/>
          <w:szCs w:val="22"/>
        </w:rPr>
      </w:pPr>
      <w:r>
        <w:rPr>
          <w:rStyle w:val="BookTitle"/>
          <w:rFonts w:ascii="Arial" w:hAnsi="Arial" w:cs="Arial"/>
          <w:b w:val="0"/>
          <w:i w:val="0"/>
          <w:sz w:val="22"/>
          <w:szCs w:val="22"/>
        </w:rPr>
        <w:t xml:space="preserve">Improved understanding of optimal configurations for CP models in the region (e.g. grid-lengths; </w:t>
      </w:r>
      <w:proofErr w:type="spellStart"/>
      <w:r>
        <w:rPr>
          <w:rStyle w:val="BookTitle"/>
          <w:rFonts w:ascii="Arial" w:hAnsi="Arial" w:cs="Arial"/>
          <w:b w:val="0"/>
          <w:i w:val="0"/>
          <w:sz w:val="22"/>
          <w:szCs w:val="22"/>
        </w:rPr>
        <w:t>numerics</w:t>
      </w:r>
      <w:proofErr w:type="spellEnd"/>
      <w:r>
        <w:rPr>
          <w:rStyle w:val="BookTitle"/>
          <w:rFonts w:ascii="Arial" w:hAnsi="Arial" w:cs="Arial"/>
          <w:b w:val="0"/>
          <w:i w:val="0"/>
          <w:sz w:val="22"/>
          <w:szCs w:val="22"/>
        </w:rPr>
        <w:t>; mixing)</w:t>
      </w:r>
    </w:p>
    <w:p w:rsidR="00A01846" w:rsidRDefault="00A01846" w:rsidP="00A01846">
      <w:pPr>
        <w:pStyle w:val="ListParagraph"/>
        <w:numPr>
          <w:ilvl w:val="0"/>
          <w:numId w:val="10"/>
        </w:numPr>
        <w:spacing w:before="100" w:after="200" w:line="360" w:lineRule="auto"/>
        <w:rPr>
          <w:rStyle w:val="BookTitle"/>
          <w:rFonts w:ascii="Arial" w:hAnsi="Arial" w:cs="Arial"/>
          <w:b w:val="0"/>
          <w:i w:val="0"/>
          <w:sz w:val="22"/>
          <w:szCs w:val="22"/>
        </w:rPr>
      </w:pPr>
      <w:r>
        <w:rPr>
          <w:rStyle w:val="BookTitle"/>
          <w:rFonts w:ascii="Arial" w:hAnsi="Arial" w:cs="Arial"/>
          <w:b w:val="0"/>
          <w:i w:val="0"/>
          <w:sz w:val="22"/>
          <w:szCs w:val="22"/>
        </w:rPr>
        <w:t xml:space="preserve">Specific recommendations for parameterization developments </w:t>
      </w:r>
      <w:r w:rsidR="004F443D">
        <w:rPr>
          <w:rStyle w:val="BookTitle"/>
          <w:rFonts w:ascii="Arial" w:hAnsi="Arial" w:cs="Arial"/>
          <w:b w:val="0"/>
          <w:i w:val="0"/>
          <w:sz w:val="22"/>
          <w:szCs w:val="22"/>
        </w:rPr>
        <w:t>in global and CP</w:t>
      </w:r>
      <w:r>
        <w:rPr>
          <w:rStyle w:val="BookTitle"/>
          <w:rFonts w:ascii="Arial" w:hAnsi="Arial" w:cs="Arial"/>
          <w:b w:val="0"/>
          <w:i w:val="0"/>
          <w:sz w:val="22"/>
          <w:szCs w:val="22"/>
        </w:rPr>
        <w:t xml:space="preserve"> models</w:t>
      </w:r>
    </w:p>
    <w:p w:rsidR="00406310" w:rsidRDefault="00566834" w:rsidP="00A15B4A">
      <w:pPr>
        <w:rPr>
          <w:rFonts w:cs="Arial"/>
          <w:b/>
          <w:sz w:val="22"/>
          <w:szCs w:val="22"/>
        </w:rPr>
      </w:pPr>
      <w:r w:rsidRPr="006F33CB">
        <w:rPr>
          <w:rFonts w:cs="Arial"/>
          <w:b/>
          <w:sz w:val="22"/>
          <w:szCs w:val="22"/>
        </w:rPr>
        <w:t>Background on the Newton Fund</w:t>
      </w:r>
      <w:r w:rsidRPr="00AB6FEF">
        <w:rPr>
          <w:rFonts w:cs="Arial"/>
          <w:b/>
          <w:sz w:val="22"/>
          <w:szCs w:val="22"/>
        </w:rPr>
        <w:t xml:space="preserve"> </w:t>
      </w:r>
    </w:p>
    <w:p w:rsidR="00B6757E" w:rsidRPr="005B07B2" w:rsidRDefault="00B6757E" w:rsidP="0055142C">
      <w:pPr>
        <w:spacing w:line="360" w:lineRule="auto"/>
        <w:rPr>
          <w:rFonts w:cs="Arial"/>
          <w:sz w:val="22"/>
          <w:szCs w:val="22"/>
        </w:rPr>
      </w:pPr>
      <w:r w:rsidRPr="005B07B2">
        <w:rPr>
          <w:rFonts w:cs="Arial"/>
          <w:sz w:val="22"/>
          <w:szCs w:val="22"/>
        </w:rPr>
        <w:t xml:space="preserve">The Newton Fund builds scientific and innovation partnerships with partner countries to support their economic development and social welfare, and to develop their research and innovation capacity for long-term sustainable growth. It has a total UK Government investment of £735 million up until 2021, with matched resources from the partner countries. </w:t>
      </w:r>
    </w:p>
    <w:p w:rsidR="00B6757E" w:rsidRPr="005B07B2" w:rsidRDefault="00B6757E" w:rsidP="0055142C">
      <w:pPr>
        <w:spacing w:line="360" w:lineRule="auto"/>
        <w:rPr>
          <w:rFonts w:cs="Arial"/>
          <w:sz w:val="22"/>
          <w:szCs w:val="22"/>
        </w:rPr>
      </w:pPr>
      <w:r w:rsidRPr="005B07B2">
        <w:rPr>
          <w:rFonts w:cs="Arial"/>
          <w:sz w:val="22"/>
          <w:szCs w:val="22"/>
        </w:rPr>
        <w:t xml:space="preserve">The Newton Fund is managed by the UK Department for Business, Energy and Industrial Strategy (BEIS), and delivered through UK Delivery Partners, which include the Research Councils, the UK Academies, the British Council, Innovate UK and the Met Office. </w:t>
      </w:r>
      <w:r w:rsidRPr="00AB6FEF">
        <w:rPr>
          <w:rFonts w:cs="Arial"/>
          <w:sz w:val="22"/>
          <w:szCs w:val="22"/>
        </w:rPr>
        <w:t xml:space="preserve">The Newton Fund is part of the UK’s official development assistance (ODA) and therefore requires that the UK funding is awarded in a manner that fits with </w:t>
      </w:r>
      <w:hyperlink r:id="rId9" w:history="1">
        <w:r>
          <w:rPr>
            <w:rStyle w:val="Hyperlink"/>
            <w:rFonts w:cs="Arial"/>
            <w:sz w:val="22"/>
            <w:szCs w:val="22"/>
          </w:rPr>
          <w:t>ODA guidelines</w:t>
        </w:r>
      </w:hyperlink>
      <w:r w:rsidRPr="00AB6FEF">
        <w:rPr>
          <w:rFonts w:cs="Arial"/>
          <w:sz w:val="22"/>
          <w:szCs w:val="22"/>
        </w:rPr>
        <w:t>.</w:t>
      </w:r>
    </w:p>
    <w:p w:rsidR="00B6757E" w:rsidRDefault="00B6757E" w:rsidP="0055142C">
      <w:pPr>
        <w:spacing w:line="360" w:lineRule="auto"/>
        <w:rPr>
          <w:rFonts w:cs="Arial"/>
          <w:color w:val="0000FF"/>
          <w:sz w:val="22"/>
          <w:u w:val="single"/>
        </w:rPr>
      </w:pPr>
      <w:r w:rsidRPr="005B07B2">
        <w:rPr>
          <w:rFonts w:cs="Arial"/>
          <w:sz w:val="22"/>
          <w:szCs w:val="22"/>
        </w:rPr>
        <w:t>For further information visit the Newton Fund website (</w:t>
      </w:r>
      <w:hyperlink r:id="rId10" w:history="1">
        <w:r w:rsidRPr="00911AD8">
          <w:rPr>
            <w:rStyle w:val="Hyperlink"/>
            <w:rFonts w:cs="Arial"/>
            <w:sz w:val="22"/>
          </w:rPr>
          <w:t>www.newtonfund.ac.uk</w:t>
        </w:r>
      </w:hyperlink>
      <w:r w:rsidRPr="005B07B2">
        <w:rPr>
          <w:rFonts w:cs="Arial"/>
          <w:sz w:val="22"/>
          <w:szCs w:val="22"/>
        </w:rPr>
        <w:t>) and follow via Twitter</w:t>
      </w:r>
      <w:r w:rsidRPr="00AF0708">
        <w:rPr>
          <w:rFonts w:cs="Arial"/>
          <w:sz w:val="22"/>
        </w:rPr>
        <w:t xml:space="preserve">: </w:t>
      </w:r>
      <w:hyperlink r:id="rId11" w:history="1">
        <w:r>
          <w:rPr>
            <w:rFonts w:cs="Arial"/>
            <w:color w:val="0000FF"/>
            <w:sz w:val="22"/>
            <w:u w:val="single"/>
          </w:rPr>
          <w:t>@</w:t>
        </w:r>
        <w:proofErr w:type="spellStart"/>
        <w:r>
          <w:rPr>
            <w:rFonts w:cs="Arial"/>
            <w:color w:val="0000FF"/>
            <w:sz w:val="22"/>
            <w:u w:val="single"/>
          </w:rPr>
          <w:t>Newton</w:t>
        </w:r>
        <w:r w:rsidRPr="00AF0708">
          <w:rPr>
            <w:rFonts w:cs="Arial"/>
            <w:color w:val="0000FF"/>
            <w:sz w:val="22"/>
            <w:u w:val="single"/>
          </w:rPr>
          <w:t>Fund</w:t>
        </w:r>
        <w:proofErr w:type="spellEnd"/>
      </w:hyperlink>
      <w:r w:rsidRPr="00AF0708">
        <w:rPr>
          <w:rFonts w:cs="Arial"/>
          <w:color w:val="0000FF"/>
          <w:sz w:val="22"/>
          <w:u w:val="single"/>
        </w:rPr>
        <w:t>.</w:t>
      </w:r>
    </w:p>
    <w:p w:rsidR="0024373A" w:rsidRDefault="0024373A" w:rsidP="00B6757E">
      <w:pPr>
        <w:spacing w:line="360" w:lineRule="auto"/>
        <w:rPr>
          <w:rFonts w:cs="Arial"/>
          <w:b/>
          <w:sz w:val="22"/>
          <w:szCs w:val="22"/>
        </w:rPr>
      </w:pPr>
    </w:p>
    <w:p w:rsidR="00B6757E" w:rsidRDefault="00B6757E" w:rsidP="00A15B4A">
      <w:pPr>
        <w:rPr>
          <w:rFonts w:cs="Arial"/>
          <w:b/>
          <w:sz w:val="22"/>
          <w:szCs w:val="22"/>
        </w:rPr>
      </w:pPr>
      <w:r>
        <w:rPr>
          <w:rFonts w:cs="Arial"/>
          <w:b/>
          <w:sz w:val="22"/>
          <w:szCs w:val="22"/>
        </w:rPr>
        <w:t xml:space="preserve">Background on the </w:t>
      </w:r>
      <w:r w:rsidRPr="00AB6FEF">
        <w:rPr>
          <w:rFonts w:cs="Arial"/>
          <w:b/>
          <w:sz w:val="22"/>
          <w:szCs w:val="22"/>
        </w:rPr>
        <w:t>WCSSP Programme</w:t>
      </w:r>
    </w:p>
    <w:p w:rsidR="00B6757E" w:rsidRDefault="00B6757E" w:rsidP="0055142C">
      <w:pPr>
        <w:spacing w:before="100" w:beforeAutospacing="1" w:after="100" w:afterAutospacing="1" w:line="360" w:lineRule="auto"/>
        <w:rPr>
          <w:rFonts w:cs="Arial"/>
          <w:sz w:val="22"/>
          <w:szCs w:val="22"/>
        </w:rPr>
      </w:pPr>
      <w:r w:rsidRPr="00AB6FEF">
        <w:rPr>
          <w:rFonts w:cs="Arial"/>
          <w:sz w:val="22"/>
          <w:szCs w:val="22"/>
        </w:rPr>
        <w:t>The Met Office is administering the Newton Fund through the Weather and Climate Science for Service Partnership Programme</w:t>
      </w:r>
      <w:r>
        <w:rPr>
          <w:rFonts w:cs="Arial"/>
          <w:sz w:val="22"/>
          <w:szCs w:val="22"/>
        </w:rPr>
        <w:t xml:space="preserve"> (</w:t>
      </w:r>
      <w:hyperlink r:id="rId12" w:history="1">
        <w:r w:rsidRPr="00DE7896">
          <w:rPr>
            <w:rStyle w:val="Hyperlink"/>
            <w:rFonts w:cs="Arial"/>
            <w:sz w:val="22"/>
            <w:szCs w:val="22"/>
          </w:rPr>
          <w:t>WCSSP Programme</w:t>
        </w:r>
      </w:hyperlink>
      <w:r>
        <w:rPr>
          <w:rFonts w:cs="Arial"/>
          <w:sz w:val="22"/>
          <w:szCs w:val="22"/>
        </w:rPr>
        <w:t>), c</w:t>
      </w:r>
      <w:r w:rsidRPr="00AB6FEF">
        <w:rPr>
          <w:rFonts w:cs="Arial"/>
          <w:sz w:val="22"/>
          <w:szCs w:val="22"/>
        </w:rPr>
        <w:t xml:space="preserve">omprising projects to develop partnerships harnessing UK scientific expertise to build the basis for strengthening the </w:t>
      </w:r>
      <w:r w:rsidRPr="00AB6FEF">
        <w:rPr>
          <w:rFonts w:cs="Arial"/>
          <w:sz w:val="22"/>
          <w:szCs w:val="22"/>
        </w:rPr>
        <w:lastRenderedPageBreak/>
        <w:t>resilience of vulnerable communities to weather and climate variability</w:t>
      </w:r>
      <w:r>
        <w:rPr>
          <w:rFonts w:cs="Arial"/>
          <w:sz w:val="22"/>
          <w:szCs w:val="22"/>
        </w:rPr>
        <w:t xml:space="preserve">. </w:t>
      </w:r>
      <w:r w:rsidR="00390CA5">
        <w:rPr>
          <w:rFonts w:cs="Arial"/>
          <w:sz w:val="22"/>
          <w:szCs w:val="22"/>
        </w:rPr>
        <w:t>W</w:t>
      </w:r>
      <w:r>
        <w:rPr>
          <w:rFonts w:cs="Arial"/>
          <w:sz w:val="22"/>
          <w:szCs w:val="22"/>
        </w:rPr>
        <w:t>CSSP</w:t>
      </w:r>
      <w:r w:rsidR="00390CA5">
        <w:rPr>
          <w:rFonts w:cs="Arial"/>
          <w:sz w:val="22"/>
          <w:szCs w:val="22"/>
        </w:rPr>
        <w:t xml:space="preserve"> S</w:t>
      </w:r>
      <w:r w:rsidR="0024373A">
        <w:rPr>
          <w:rFonts w:cs="Arial"/>
          <w:sz w:val="22"/>
          <w:szCs w:val="22"/>
        </w:rPr>
        <w:t>outheast</w:t>
      </w:r>
      <w:r w:rsidR="00390CA5">
        <w:rPr>
          <w:rFonts w:cs="Arial"/>
          <w:sz w:val="22"/>
          <w:szCs w:val="22"/>
        </w:rPr>
        <w:t xml:space="preserve"> Asia</w:t>
      </w:r>
      <w:r w:rsidR="00CD67CA">
        <w:rPr>
          <w:rFonts w:cs="Arial"/>
          <w:sz w:val="22"/>
          <w:szCs w:val="22"/>
        </w:rPr>
        <w:t xml:space="preserve"> </w:t>
      </w:r>
      <w:r>
        <w:rPr>
          <w:rFonts w:cs="Arial"/>
          <w:sz w:val="22"/>
          <w:szCs w:val="22"/>
        </w:rPr>
        <w:t>is a project in the WCSSP Programme.</w:t>
      </w:r>
    </w:p>
    <w:p w:rsidR="00B6757E" w:rsidRDefault="00DB522B" w:rsidP="0055142C">
      <w:pPr>
        <w:spacing w:before="100" w:beforeAutospacing="1" w:after="100" w:afterAutospacing="1" w:line="360" w:lineRule="auto"/>
        <w:rPr>
          <w:rFonts w:cs="Arial"/>
          <w:b/>
          <w:sz w:val="22"/>
          <w:szCs w:val="22"/>
        </w:rPr>
      </w:pPr>
      <w:r>
        <w:rPr>
          <w:rFonts w:cs="Arial"/>
          <w:b/>
          <w:noProof/>
          <w:sz w:val="22"/>
          <w:szCs w:val="22"/>
          <w:lang w:eastAsia="en-GB"/>
        </w:rPr>
        <w:drawing>
          <wp:inline distT="0" distB="0" distL="0" distR="0">
            <wp:extent cx="4551045" cy="1148080"/>
            <wp:effectExtent l="19050" t="0" r="190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4551045" cy="1148080"/>
                    </a:xfrm>
                    <a:prstGeom prst="rect">
                      <a:avLst/>
                    </a:prstGeom>
                    <a:noFill/>
                    <a:ln w="9525">
                      <a:noFill/>
                      <a:miter lim="800000"/>
                      <a:headEnd/>
                      <a:tailEnd/>
                    </a:ln>
                  </pic:spPr>
                </pic:pic>
              </a:graphicData>
            </a:graphic>
          </wp:inline>
        </w:drawing>
      </w:r>
    </w:p>
    <w:p w:rsidR="00DE4AE1" w:rsidRPr="00DE4AE1" w:rsidRDefault="00DE4AE1" w:rsidP="00DE4AE1">
      <w:pPr>
        <w:spacing w:line="360" w:lineRule="auto"/>
        <w:rPr>
          <w:rFonts w:cs="Arial"/>
          <w:b/>
          <w:sz w:val="22"/>
          <w:szCs w:val="22"/>
        </w:rPr>
      </w:pPr>
      <w:r w:rsidRPr="00DE4AE1">
        <w:rPr>
          <w:rFonts w:cs="Arial"/>
          <w:b/>
          <w:sz w:val="22"/>
          <w:szCs w:val="22"/>
        </w:rPr>
        <w:t>Eligibility</w:t>
      </w:r>
    </w:p>
    <w:p w:rsidR="00DE4AE1" w:rsidRPr="00DE4AE1" w:rsidRDefault="00DE4AE1" w:rsidP="00DE4AE1">
      <w:pPr>
        <w:spacing w:line="360" w:lineRule="auto"/>
        <w:rPr>
          <w:rFonts w:cs="Arial"/>
          <w:sz w:val="22"/>
          <w:szCs w:val="22"/>
        </w:rPr>
      </w:pPr>
      <w:r w:rsidRPr="00DE4AE1">
        <w:rPr>
          <w:rFonts w:cs="Arial"/>
          <w:sz w:val="22"/>
          <w:szCs w:val="22"/>
        </w:rPr>
        <w:t>The following criteria must be met by the organisation submitting a bid against</w:t>
      </w:r>
      <w:r>
        <w:rPr>
          <w:rFonts w:cs="Arial"/>
          <w:sz w:val="22"/>
          <w:szCs w:val="22"/>
        </w:rPr>
        <w:t xml:space="preserve"> Newton </w:t>
      </w:r>
      <w:r w:rsidRPr="00DE4AE1">
        <w:rPr>
          <w:rFonts w:cs="Arial"/>
          <w:sz w:val="22"/>
          <w:szCs w:val="22"/>
        </w:rPr>
        <w:t>funded Calls in order to be eligible to apply or be awarded funds against this Call:</w:t>
      </w:r>
    </w:p>
    <w:p w:rsidR="00DE4AE1" w:rsidRPr="00DE4AE1" w:rsidRDefault="00DE4AE1" w:rsidP="00DE4AE1">
      <w:pPr>
        <w:spacing w:line="360" w:lineRule="auto"/>
        <w:rPr>
          <w:rFonts w:cs="Arial"/>
          <w:sz w:val="22"/>
          <w:szCs w:val="22"/>
        </w:rPr>
      </w:pPr>
    </w:p>
    <w:p w:rsidR="00DE4AE1" w:rsidRPr="00DE4AE1" w:rsidRDefault="00DE4AE1" w:rsidP="00DE4AE1">
      <w:pPr>
        <w:pStyle w:val="ListParagraph"/>
        <w:numPr>
          <w:ilvl w:val="0"/>
          <w:numId w:val="13"/>
        </w:numPr>
        <w:spacing w:line="360" w:lineRule="auto"/>
        <w:rPr>
          <w:rFonts w:ascii="Arial" w:hAnsi="Arial" w:cs="Arial"/>
          <w:sz w:val="22"/>
          <w:szCs w:val="22"/>
        </w:rPr>
      </w:pPr>
      <w:r w:rsidRPr="00DE4AE1">
        <w:rPr>
          <w:rFonts w:ascii="Arial" w:hAnsi="Arial" w:cs="Arial"/>
          <w:sz w:val="22"/>
          <w:szCs w:val="22"/>
        </w:rPr>
        <w:t>Demonstrate in the Bid, how it contributes to the Newton Fund aim to develop science and innovation partnerships.</w:t>
      </w:r>
    </w:p>
    <w:p w:rsidR="00DE4AE1" w:rsidRPr="00DE4AE1" w:rsidRDefault="00DE4AE1" w:rsidP="00DE4AE1">
      <w:pPr>
        <w:pStyle w:val="ListParagraph"/>
        <w:numPr>
          <w:ilvl w:val="0"/>
          <w:numId w:val="13"/>
        </w:numPr>
        <w:spacing w:line="360" w:lineRule="auto"/>
        <w:rPr>
          <w:rFonts w:ascii="Arial" w:hAnsi="Arial" w:cs="Arial"/>
          <w:sz w:val="22"/>
          <w:szCs w:val="22"/>
        </w:rPr>
      </w:pPr>
      <w:r w:rsidRPr="00DE4AE1">
        <w:rPr>
          <w:rFonts w:ascii="Arial" w:hAnsi="Arial" w:cs="Arial"/>
          <w:sz w:val="22"/>
          <w:szCs w:val="22"/>
        </w:rPr>
        <w:t>How ODA compliance is demonstrated.</w:t>
      </w:r>
    </w:p>
    <w:p w:rsidR="00DE4AE1" w:rsidRPr="00DE4AE1" w:rsidRDefault="00DE4AE1" w:rsidP="00DE4AE1">
      <w:pPr>
        <w:pStyle w:val="ListParagraph"/>
        <w:numPr>
          <w:ilvl w:val="0"/>
          <w:numId w:val="13"/>
        </w:numPr>
        <w:spacing w:line="360" w:lineRule="auto"/>
        <w:rPr>
          <w:rFonts w:ascii="Arial" w:hAnsi="Arial" w:cs="Arial"/>
          <w:sz w:val="22"/>
          <w:szCs w:val="22"/>
        </w:rPr>
      </w:pPr>
      <w:r w:rsidRPr="00DE4AE1">
        <w:rPr>
          <w:rFonts w:ascii="Arial" w:hAnsi="Arial" w:cs="Arial"/>
          <w:sz w:val="22"/>
          <w:szCs w:val="22"/>
        </w:rPr>
        <w:t xml:space="preserve">Must be a UK operating and registered organisation. </w:t>
      </w:r>
    </w:p>
    <w:p w:rsidR="00DE4AE1" w:rsidRPr="00DE4AE1" w:rsidRDefault="00DE4AE1" w:rsidP="00DE4AE1">
      <w:pPr>
        <w:pStyle w:val="ListParagraph"/>
        <w:numPr>
          <w:ilvl w:val="0"/>
          <w:numId w:val="13"/>
        </w:numPr>
        <w:spacing w:line="360" w:lineRule="auto"/>
        <w:rPr>
          <w:rFonts w:ascii="Arial" w:hAnsi="Arial" w:cs="Arial"/>
          <w:sz w:val="22"/>
          <w:szCs w:val="22"/>
        </w:rPr>
      </w:pPr>
      <w:r w:rsidRPr="00DE4AE1">
        <w:rPr>
          <w:rFonts w:ascii="Arial" w:hAnsi="Arial" w:cs="Arial"/>
          <w:sz w:val="22"/>
          <w:szCs w:val="22"/>
        </w:rPr>
        <w:t>Consortium bids are eligible; a lead partner must be nominated for payment and agreement purposes and must be a UK operating and registered organisation. Details of all consortium members must be provided</w:t>
      </w:r>
    </w:p>
    <w:p w:rsidR="00DE4AE1" w:rsidRPr="00DE4AE1" w:rsidRDefault="00DE4AE1" w:rsidP="00DE4AE1">
      <w:pPr>
        <w:pStyle w:val="ListParagraph"/>
        <w:numPr>
          <w:ilvl w:val="0"/>
          <w:numId w:val="13"/>
        </w:numPr>
        <w:spacing w:line="360" w:lineRule="auto"/>
        <w:rPr>
          <w:rFonts w:ascii="Arial" w:hAnsi="Arial" w:cs="Arial"/>
          <w:sz w:val="22"/>
          <w:szCs w:val="22"/>
        </w:rPr>
      </w:pPr>
      <w:r w:rsidRPr="00DE4AE1">
        <w:rPr>
          <w:rFonts w:ascii="Arial" w:hAnsi="Arial" w:cs="Arial"/>
          <w:sz w:val="22"/>
          <w:szCs w:val="22"/>
        </w:rPr>
        <w:t>Funding can only be used to fund new activity for the costs incurred.</w:t>
      </w:r>
    </w:p>
    <w:p w:rsidR="00DE4AE1" w:rsidRPr="00DE4AE1" w:rsidRDefault="00DE4AE1" w:rsidP="00DE4AE1">
      <w:pPr>
        <w:pStyle w:val="ListParagraph"/>
        <w:numPr>
          <w:ilvl w:val="0"/>
          <w:numId w:val="13"/>
        </w:numPr>
        <w:spacing w:line="360" w:lineRule="auto"/>
        <w:rPr>
          <w:rFonts w:ascii="Arial" w:hAnsi="Arial" w:cs="Arial"/>
          <w:sz w:val="22"/>
          <w:szCs w:val="22"/>
        </w:rPr>
      </w:pPr>
      <w:r w:rsidRPr="00DE4AE1">
        <w:rPr>
          <w:rFonts w:ascii="Arial" w:hAnsi="Arial" w:cs="Arial"/>
          <w:sz w:val="22"/>
          <w:szCs w:val="22"/>
        </w:rPr>
        <w:t>There must be an In Country economic and societal benefit to which must be demonstrated.</w:t>
      </w:r>
    </w:p>
    <w:p w:rsidR="00DE4AE1" w:rsidRPr="00DE4AE1" w:rsidRDefault="00DE4AE1" w:rsidP="00DE4AE1">
      <w:pPr>
        <w:pStyle w:val="ListParagraph"/>
        <w:numPr>
          <w:ilvl w:val="0"/>
          <w:numId w:val="13"/>
        </w:numPr>
        <w:spacing w:line="360" w:lineRule="auto"/>
        <w:rPr>
          <w:rFonts w:ascii="Arial" w:hAnsi="Arial" w:cs="Arial"/>
          <w:sz w:val="22"/>
          <w:szCs w:val="22"/>
        </w:rPr>
      </w:pPr>
      <w:r w:rsidRPr="00DE4AE1">
        <w:rPr>
          <w:rFonts w:ascii="Arial" w:hAnsi="Arial" w:cs="Arial"/>
          <w:sz w:val="22"/>
          <w:szCs w:val="22"/>
        </w:rPr>
        <w:t>The activity must last the full duration of the Grant Award Term specified</w:t>
      </w:r>
    </w:p>
    <w:p w:rsidR="00DE4AE1" w:rsidRPr="00DE4AE1" w:rsidRDefault="00DE4AE1" w:rsidP="00DE4AE1">
      <w:pPr>
        <w:pStyle w:val="ListParagraph"/>
        <w:numPr>
          <w:ilvl w:val="0"/>
          <w:numId w:val="13"/>
        </w:numPr>
        <w:spacing w:line="360" w:lineRule="auto"/>
        <w:rPr>
          <w:rFonts w:ascii="Arial" w:hAnsi="Arial" w:cs="Arial"/>
          <w:sz w:val="22"/>
          <w:szCs w:val="22"/>
        </w:rPr>
      </w:pPr>
      <w:r w:rsidRPr="00DE4AE1">
        <w:rPr>
          <w:rFonts w:ascii="Arial" w:hAnsi="Arial" w:cs="Arial"/>
          <w:sz w:val="22"/>
          <w:szCs w:val="22"/>
        </w:rPr>
        <w:t>There must be a willingness to work with Authority and other organisations and individuals associated with the Programme.</w:t>
      </w:r>
    </w:p>
    <w:p w:rsidR="00DE4AE1" w:rsidRPr="00DE4AE1" w:rsidRDefault="00DE4AE1" w:rsidP="00DE4AE1">
      <w:pPr>
        <w:pStyle w:val="ListParagraph"/>
        <w:numPr>
          <w:ilvl w:val="0"/>
          <w:numId w:val="13"/>
        </w:numPr>
        <w:spacing w:line="360" w:lineRule="auto"/>
        <w:rPr>
          <w:rFonts w:ascii="Arial" w:hAnsi="Arial" w:cs="Arial"/>
          <w:sz w:val="22"/>
          <w:szCs w:val="22"/>
        </w:rPr>
      </w:pPr>
      <w:r w:rsidRPr="00DE4AE1">
        <w:rPr>
          <w:rFonts w:ascii="Arial" w:hAnsi="Arial" w:cs="Arial"/>
          <w:sz w:val="22"/>
          <w:szCs w:val="22"/>
        </w:rPr>
        <w:t>Be willing to work with other funding authorities to ensure delivery costs represent the most efficient use of resources to deliver the overall Programme over the Grant Award Term.</w:t>
      </w:r>
    </w:p>
    <w:p w:rsidR="002866CE" w:rsidRPr="00DE4AE1" w:rsidRDefault="00DE4AE1" w:rsidP="00DE4AE1">
      <w:pPr>
        <w:pStyle w:val="ListParagraph"/>
        <w:numPr>
          <w:ilvl w:val="0"/>
          <w:numId w:val="13"/>
        </w:numPr>
        <w:spacing w:line="360" w:lineRule="auto"/>
        <w:rPr>
          <w:rFonts w:cs="Arial"/>
          <w:sz w:val="22"/>
          <w:szCs w:val="22"/>
        </w:rPr>
      </w:pPr>
      <w:r w:rsidRPr="00DE4AE1">
        <w:rPr>
          <w:rFonts w:ascii="Arial" w:hAnsi="Arial" w:cs="Arial"/>
          <w:sz w:val="22"/>
          <w:szCs w:val="22"/>
        </w:rPr>
        <w:t>Bidders are not expected to have In Country Partners to respond to this call. The bilateral partnership nature of the Newton Fund means that effort by in-country resea</w:t>
      </w:r>
      <w:r w:rsidRPr="00DE4AE1">
        <w:rPr>
          <w:rFonts w:cs="Arial"/>
          <w:sz w:val="22"/>
          <w:szCs w:val="22"/>
        </w:rPr>
        <w:t>rchers is supported by our existing In Country partners as standard. </w:t>
      </w:r>
    </w:p>
    <w:p w:rsidR="00DE4AE1" w:rsidRDefault="00DE4AE1" w:rsidP="00DE4AE1">
      <w:pPr>
        <w:shd w:val="clear" w:color="auto" w:fill="FFFFFF"/>
        <w:rPr>
          <w:rFonts w:cs="Arial"/>
          <w:b/>
          <w:sz w:val="22"/>
          <w:szCs w:val="22"/>
        </w:rPr>
      </w:pPr>
    </w:p>
    <w:p w:rsidR="00A15B4A" w:rsidRDefault="00A15B4A" w:rsidP="00DE4AE1">
      <w:pPr>
        <w:shd w:val="clear" w:color="auto" w:fill="FFFFFF"/>
        <w:rPr>
          <w:rFonts w:cs="Arial"/>
          <w:b/>
          <w:sz w:val="22"/>
          <w:szCs w:val="22"/>
        </w:rPr>
      </w:pPr>
    </w:p>
    <w:p w:rsidR="00A15B4A" w:rsidRDefault="00A15B4A" w:rsidP="00DE4AE1">
      <w:pPr>
        <w:shd w:val="clear" w:color="auto" w:fill="FFFFFF"/>
        <w:rPr>
          <w:rFonts w:cs="Arial"/>
          <w:b/>
          <w:sz w:val="22"/>
          <w:szCs w:val="22"/>
        </w:rPr>
      </w:pPr>
    </w:p>
    <w:p w:rsidR="00C71A27" w:rsidRPr="00AB6FEF" w:rsidRDefault="00C71A27" w:rsidP="00C71A27">
      <w:pPr>
        <w:shd w:val="clear" w:color="auto" w:fill="FFFFFF"/>
        <w:rPr>
          <w:rFonts w:cs="Arial"/>
          <w:b/>
          <w:sz w:val="22"/>
          <w:szCs w:val="22"/>
        </w:rPr>
      </w:pPr>
      <w:r w:rsidRPr="00AB6FEF">
        <w:rPr>
          <w:rFonts w:cs="Arial"/>
          <w:b/>
          <w:sz w:val="22"/>
          <w:szCs w:val="22"/>
        </w:rPr>
        <w:lastRenderedPageBreak/>
        <w:t>How to Apply:</w:t>
      </w:r>
    </w:p>
    <w:p w:rsidR="008E4399" w:rsidRPr="00AB6FEF" w:rsidRDefault="008E4399" w:rsidP="00C71A27">
      <w:pPr>
        <w:shd w:val="clear" w:color="auto" w:fill="FFFFFF"/>
        <w:rPr>
          <w:rFonts w:cs="Arial"/>
          <w:sz w:val="22"/>
          <w:szCs w:val="22"/>
        </w:rPr>
      </w:pPr>
    </w:p>
    <w:p w:rsidR="00C71A27" w:rsidRPr="006813C6" w:rsidRDefault="00C71A27" w:rsidP="0055142C">
      <w:pPr>
        <w:pStyle w:val="Default"/>
        <w:spacing w:line="360" w:lineRule="auto"/>
        <w:rPr>
          <w:b/>
          <w:bCs/>
          <w:color w:val="FF0000"/>
          <w:sz w:val="22"/>
          <w:szCs w:val="22"/>
        </w:rPr>
      </w:pPr>
      <w:r w:rsidRPr="000200EF">
        <w:rPr>
          <w:sz w:val="22"/>
          <w:szCs w:val="22"/>
        </w:rPr>
        <w:t xml:space="preserve">The above Expression of Interest is advertised on the Met Office </w:t>
      </w:r>
      <w:proofErr w:type="spellStart"/>
      <w:r w:rsidRPr="000200EF">
        <w:rPr>
          <w:sz w:val="22"/>
          <w:szCs w:val="22"/>
        </w:rPr>
        <w:t>ProContract</w:t>
      </w:r>
      <w:proofErr w:type="spellEnd"/>
      <w:r w:rsidRPr="000200EF">
        <w:rPr>
          <w:sz w:val="22"/>
          <w:szCs w:val="22"/>
        </w:rPr>
        <w:t xml:space="preserve"> e-Tendering portal called </w:t>
      </w:r>
      <w:proofErr w:type="spellStart"/>
      <w:r w:rsidRPr="000200EF">
        <w:rPr>
          <w:sz w:val="22"/>
          <w:szCs w:val="22"/>
        </w:rPr>
        <w:t>ProContract</w:t>
      </w:r>
      <w:proofErr w:type="spellEnd"/>
      <w:r w:rsidRPr="000200EF">
        <w:rPr>
          <w:sz w:val="22"/>
          <w:szCs w:val="22"/>
        </w:rPr>
        <w:t xml:space="preserve">. To access and register your interest you will need to log onto the </w:t>
      </w:r>
      <w:proofErr w:type="spellStart"/>
      <w:r w:rsidRPr="000200EF">
        <w:rPr>
          <w:sz w:val="22"/>
          <w:szCs w:val="22"/>
        </w:rPr>
        <w:t>ProContract</w:t>
      </w:r>
      <w:proofErr w:type="spellEnd"/>
      <w:r w:rsidRPr="000200EF">
        <w:rPr>
          <w:sz w:val="22"/>
          <w:szCs w:val="22"/>
        </w:rPr>
        <w:t xml:space="preserve"> portal via this link: </w:t>
      </w:r>
      <w:hyperlink r:id="rId14" w:tgtFrame="_blank" w:history="1">
        <w:r w:rsidR="000B49FE" w:rsidRPr="000200EF">
          <w:rPr>
            <w:rStyle w:val="Hyperlink"/>
            <w:b/>
            <w:color w:val="0066FF"/>
            <w:sz w:val="22"/>
            <w:szCs w:val="22"/>
            <w:shd w:val="clear" w:color="auto" w:fill="FFFFFF"/>
          </w:rPr>
          <w:t>tenders.metoffice.gov.uk</w:t>
        </w:r>
      </w:hyperlink>
      <w:r w:rsidR="000B49FE" w:rsidRPr="000200EF">
        <w:rPr>
          <w:b/>
          <w:color w:val="0066FF"/>
          <w:sz w:val="22"/>
          <w:szCs w:val="22"/>
        </w:rPr>
        <w:t xml:space="preserve"> </w:t>
      </w:r>
      <w:r w:rsidR="000B49FE" w:rsidRPr="000200EF">
        <w:rPr>
          <w:sz w:val="22"/>
          <w:szCs w:val="22"/>
        </w:rPr>
        <w:t>Y</w:t>
      </w:r>
      <w:r w:rsidR="0067154B" w:rsidRPr="000200EF">
        <w:rPr>
          <w:sz w:val="22"/>
          <w:szCs w:val="22"/>
        </w:rPr>
        <w:t>ou may need to</w:t>
      </w:r>
      <w:r w:rsidRPr="000200EF">
        <w:rPr>
          <w:sz w:val="22"/>
          <w:szCs w:val="22"/>
        </w:rPr>
        <w:t xml:space="preserve"> search for the </w:t>
      </w:r>
      <w:r w:rsidR="003052D4">
        <w:rPr>
          <w:sz w:val="22"/>
          <w:szCs w:val="22"/>
        </w:rPr>
        <w:t>Call</w:t>
      </w:r>
      <w:r w:rsidRPr="000200EF">
        <w:rPr>
          <w:sz w:val="22"/>
          <w:szCs w:val="22"/>
        </w:rPr>
        <w:t xml:space="preserve"> </w:t>
      </w:r>
      <w:r w:rsidRPr="00313328">
        <w:rPr>
          <w:sz w:val="22"/>
          <w:szCs w:val="22"/>
        </w:rPr>
        <w:t>reference</w:t>
      </w:r>
      <w:r w:rsidR="0067154B" w:rsidRPr="00313328">
        <w:rPr>
          <w:sz w:val="22"/>
          <w:szCs w:val="22"/>
        </w:rPr>
        <w:t xml:space="preserve"> </w:t>
      </w:r>
      <w:r w:rsidR="00313328" w:rsidRPr="00313328">
        <w:rPr>
          <w:sz w:val="22"/>
          <w:szCs w:val="22"/>
        </w:rPr>
        <w:t>DN281275</w:t>
      </w:r>
      <w:r w:rsidR="00313328">
        <w:rPr>
          <w:sz w:val="28"/>
          <w:szCs w:val="28"/>
        </w:rPr>
        <w:t>.</w:t>
      </w:r>
    </w:p>
    <w:p w:rsidR="006F0DDB" w:rsidRDefault="006F0DDB" w:rsidP="0055142C">
      <w:pPr>
        <w:pStyle w:val="Default"/>
        <w:spacing w:line="360" w:lineRule="auto"/>
        <w:rPr>
          <w:b/>
          <w:bCs/>
          <w:sz w:val="22"/>
          <w:szCs w:val="22"/>
        </w:rPr>
      </w:pPr>
    </w:p>
    <w:p w:rsidR="006F0DDB" w:rsidRPr="000200EF" w:rsidRDefault="006F0DDB" w:rsidP="0055142C">
      <w:pPr>
        <w:pStyle w:val="Default"/>
        <w:spacing w:line="360" w:lineRule="auto"/>
        <w:rPr>
          <w:b/>
          <w:bCs/>
          <w:sz w:val="22"/>
          <w:szCs w:val="22"/>
        </w:rPr>
      </w:pPr>
      <w:r w:rsidRPr="000200EF">
        <w:rPr>
          <w:b/>
          <w:bCs/>
          <w:sz w:val="22"/>
          <w:szCs w:val="22"/>
        </w:rPr>
        <w:t>You will need to register your company (if you have not already done so) and register your interest against the opportunity before you are able to access the tender documents.</w:t>
      </w:r>
    </w:p>
    <w:p w:rsidR="00C71A27" w:rsidRPr="000200EF" w:rsidRDefault="00C71A27" w:rsidP="0055142C">
      <w:pPr>
        <w:pStyle w:val="Default"/>
        <w:spacing w:line="360" w:lineRule="auto"/>
        <w:rPr>
          <w:sz w:val="22"/>
          <w:szCs w:val="22"/>
        </w:rPr>
      </w:pPr>
    </w:p>
    <w:p w:rsidR="006F0DDB" w:rsidRDefault="00C71A27" w:rsidP="0055142C">
      <w:pPr>
        <w:pStyle w:val="Default"/>
        <w:spacing w:line="360" w:lineRule="auto"/>
        <w:rPr>
          <w:b/>
          <w:sz w:val="22"/>
          <w:szCs w:val="22"/>
        </w:rPr>
      </w:pPr>
      <w:r w:rsidRPr="000200EF">
        <w:rPr>
          <w:sz w:val="22"/>
          <w:szCs w:val="22"/>
        </w:rPr>
        <w:t xml:space="preserve">If you require guidance or ‘how to’ instructions – see the supplier manuals on the right hand side of the supplier home page. </w:t>
      </w:r>
    </w:p>
    <w:p w:rsidR="00363372" w:rsidRPr="006F0DDB" w:rsidRDefault="00363372" w:rsidP="00C71A27">
      <w:pPr>
        <w:pStyle w:val="Default"/>
        <w:rPr>
          <w:b/>
          <w:sz w:val="22"/>
          <w:szCs w:val="22"/>
        </w:rPr>
      </w:pPr>
    </w:p>
    <w:p w:rsidR="006F0DDB" w:rsidRDefault="006F0DDB" w:rsidP="00C71A27">
      <w:pPr>
        <w:pStyle w:val="Default"/>
        <w:rPr>
          <w:b/>
          <w:sz w:val="22"/>
          <w:szCs w:val="22"/>
        </w:rPr>
      </w:pPr>
    </w:p>
    <w:p w:rsidR="006F0DDB" w:rsidRDefault="006F0DDB" w:rsidP="00C71A27">
      <w:pPr>
        <w:pStyle w:val="Default"/>
        <w:rPr>
          <w:b/>
          <w:sz w:val="22"/>
          <w:szCs w:val="22"/>
        </w:rPr>
      </w:pPr>
      <w:r w:rsidRPr="006F0DDB">
        <w:rPr>
          <w:b/>
          <w:sz w:val="22"/>
          <w:szCs w:val="22"/>
        </w:rPr>
        <w:t>Online Discussions between Bidders and the Met Office</w:t>
      </w:r>
      <w:r w:rsidR="00363372">
        <w:rPr>
          <w:b/>
          <w:sz w:val="22"/>
          <w:szCs w:val="22"/>
        </w:rPr>
        <w:t>:</w:t>
      </w:r>
    </w:p>
    <w:p w:rsidR="00363372" w:rsidRPr="006F0DDB" w:rsidRDefault="00363372" w:rsidP="00C71A27">
      <w:pPr>
        <w:pStyle w:val="Default"/>
        <w:rPr>
          <w:b/>
          <w:sz w:val="22"/>
          <w:szCs w:val="22"/>
        </w:rPr>
      </w:pPr>
    </w:p>
    <w:p w:rsidR="00E540D6" w:rsidRDefault="006F0DDB" w:rsidP="0055142C">
      <w:pPr>
        <w:pStyle w:val="Default"/>
        <w:spacing w:line="360" w:lineRule="auto"/>
      </w:pPr>
      <w:r>
        <w:rPr>
          <w:sz w:val="22"/>
          <w:szCs w:val="22"/>
        </w:rPr>
        <w:t xml:space="preserve">There is a Discussions function on </w:t>
      </w:r>
      <w:proofErr w:type="spellStart"/>
      <w:r>
        <w:rPr>
          <w:sz w:val="22"/>
          <w:szCs w:val="22"/>
        </w:rPr>
        <w:t>ProContract</w:t>
      </w:r>
      <w:proofErr w:type="spellEnd"/>
      <w:r w:rsidR="00363372">
        <w:rPr>
          <w:sz w:val="22"/>
          <w:szCs w:val="22"/>
        </w:rPr>
        <w:t xml:space="preserve"> which shall be used to</w:t>
      </w:r>
      <w:r>
        <w:rPr>
          <w:sz w:val="22"/>
          <w:szCs w:val="22"/>
        </w:rPr>
        <w:t xml:space="preserve"> provide</w:t>
      </w:r>
      <w:r w:rsidR="00363372">
        <w:rPr>
          <w:sz w:val="22"/>
          <w:szCs w:val="22"/>
        </w:rPr>
        <w:t xml:space="preserve"> all</w:t>
      </w:r>
      <w:r>
        <w:rPr>
          <w:sz w:val="22"/>
          <w:szCs w:val="22"/>
        </w:rPr>
        <w:t xml:space="preserve"> further </w:t>
      </w:r>
      <w:r w:rsidR="00363372" w:rsidRPr="000200EF">
        <w:rPr>
          <w:sz w:val="22"/>
          <w:szCs w:val="22"/>
        </w:rPr>
        <w:t>information regarding this opportunity includi</w:t>
      </w:r>
      <w:r w:rsidR="00363372">
        <w:rPr>
          <w:sz w:val="22"/>
          <w:szCs w:val="22"/>
        </w:rPr>
        <w:t>ng any changes to time scales,</w:t>
      </w:r>
      <w:r w:rsidR="00363372" w:rsidRPr="000200EF">
        <w:rPr>
          <w:sz w:val="22"/>
          <w:szCs w:val="22"/>
        </w:rPr>
        <w:t xml:space="preserve"> scope</w:t>
      </w:r>
      <w:r w:rsidR="00363372">
        <w:rPr>
          <w:sz w:val="22"/>
          <w:szCs w:val="22"/>
        </w:rPr>
        <w:t xml:space="preserve"> or </w:t>
      </w:r>
      <w:r>
        <w:rPr>
          <w:sz w:val="22"/>
          <w:szCs w:val="22"/>
        </w:rPr>
        <w:t xml:space="preserve">clarifications. </w:t>
      </w:r>
      <w:r w:rsidRPr="006F0DDB">
        <w:rPr>
          <w:b/>
          <w:sz w:val="22"/>
          <w:szCs w:val="22"/>
        </w:rPr>
        <w:t>This function must be used by bidders to submit all c</w:t>
      </w:r>
      <w:r w:rsidR="00C71A27" w:rsidRPr="006F0DDB">
        <w:rPr>
          <w:b/>
          <w:sz w:val="22"/>
          <w:szCs w:val="22"/>
        </w:rPr>
        <w:t>larification</w:t>
      </w:r>
      <w:r w:rsidRPr="006F0DDB">
        <w:rPr>
          <w:b/>
          <w:sz w:val="22"/>
          <w:szCs w:val="22"/>
        </w:rPr>
        <w:t xml:space="preserve"> questions.</w:t>
      </w:r>
    </w:p>
    <w:sectPr w:rsidR="00E540D6" w:rsidSect="00E540D6">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EED" w:rsidRDefault="00067EED" w:rsidP="00566834">
      <w:r>
        <w:separator/>
      </w:r>
    </w:p>
  </w:endnote>
  <w:endnote w:type="continuationSeparator" w:id="0">
    <w:p w:rsidR="00067EED" w:rsidRDefault="00067EED" w:rsidP="00566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EED" w:rsidRDefault="00067EED" w:rsidP="00566834">
      <w:r>
        <w:separator/>
      </w:r>
    </w:p>
  </w:footnote>
  <w:footnote w:type="continuationSeparator" w:id="0">
    <w:p w:rsidR="00067EED" w:rsidRDefault="00067EED" w:rsidP="005668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C4D" w:rsidRDefault="00DB522B" w:rsidP="000200EF">
    <w:pPr>
      <w:pStyle w:val="Header"/>
      <w:tabs>
        <w:tab w:val="clear" w:pos="4513"/>
      </w:tabs>
    </w:pPr>
    <w:r>
      <w:rPr>
        <w:noProof/>
        <w:lang w:eastAsia="en-GB"/>
      </w:rPr>
      <w:drawing>
        <wp:anchor distT="0" distB="0" distL="114300" distR="114300" simplePos="0" relativeHeight="251657728" behindDoc="0" locked="0" layoutInCell="1" allowOverlap="1">
          <wp:simplePos x="0" y="0"/>
          <wp:positionH relativeFrom="column">
            <wp:posOffset>-129540</wp:posOffset>
          </wp:positionH>
          <wp:positionV relativeFrom="paragraph">
            <wp:posOffset>-103505</wp:posOffset>
          </wp:positionV>
          <wp:extent cx="1167765" cy="1065530"/>
          <wp:effectExtent l="19050" t="0" r="0" b="0"/>
          <wp:wrapNone/>
          <wp:docPr id="1" name="Picture 1" descr="MO_Master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_Master_B"/>
                  <pic:cNvPicPr>
                    <a:picLocks noChangeAspect="1" noChangeArrowheads="1"/>
                  </pic:cNvPicPr>
                </pic:nvPicPr>
                <pic:blipFill>
                  <a:blip r:embed="rId1"/>
                  <a:srcRect/>
                  <a:stretch>
                    <a:fillRect/>
                  </a:stretch>
                </pic:blipFill>
                <pic:spPr bwMode="auto">
                  <a:xfrm>
                    <a:off x="0" y="0"/>
                    <a:ext cx="1167765" cy="1065530"/>
                  </a:xfrm>
                  <a:prstGeom prst="rect">
                    <a:avLst/>
                  </a:prstGeom>
                  <a:noFill/>
                  <a:ln w="9525">
                    <a:noFill/>
                    <a:miter lim="800000"/>
                    <a:headEnd/>
                    <a:tailEnd/>
                  </a:ln>
                </pic:spPr>
              </pic:pic>
            </a:graphicData>
          </a:graphic>
        </wp:anchor>
      </w:drawing>
    </w:r>
    <w:r w:rsidR="00611C4D" w:rsidRPr="00566834">
      <w:rPr>
        <w:noProof/>
        <w:lang w:eastAsia="en-GB"/>
      </w:rPr>
      <w:tab/>
    </w:r>
    <w:r>
      <w:rPr>
        <w:noProof/>
        <w:lang w:eastAsia="en-GB"/>
      </w:rPr>
      <w:drawing>
        <wp:inline distT="0" distB="0" distL="0" distR="0">
          <wp:extent cx="2030730" cy="775970"/>
          <wp:effectExtent l="19050" t="0" r="7620" b="0"/>
          <wp:docPr id="2" name="Picture 4" descr="Newton-Fund-Maste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ton-Fund-Master-rgb.jpg"/>
                  <pic:cNvPicPr>
                    <a:picLocks noChangeAspect="1" noChangeArrowheads="1"/>
                  </pic:cNvPicPr>
                </pic:nvPicPr>
                <pic:blipFill>
                  <a:blip r:embed="rId2"/>
                  <a:srcRect/>
                  <a:stretch>
                    <a:fillRect/>
                  </a:stretch>
                </pic:blipFill>
                <pic:spPr bwMode="auto">
                  <a:xfrm>
                    <a:off x="0" y="0"/>
                    <a:ext cx="2030730" cy="775970"/>
                  </a:xfrm>
                  <a:prstGeom prst="rect">
                    <a:avLst/>
                  </a:prstGeom>
                  <a:noFill/>
                  <a:ln w="9525">
                    <a:noFill/>
                    <a:miter lim="800000"/>
                    <a:headEnd/>
                    <a:tailEnd/>
                  </a:ln>
                </pic:spPr>
              </pic:pic>
            </a:graphicData>
          </a:graphic>
        </wp:inline>
      </w:drawing>
    </w:r>
  </w:p>
  <w:p w:rsidR="00611C4D" w:rsidRDefault="00611C4D">
    <w:pPr>
      <w:pStyle w:val="Header"/>
    </w:pPr>
  </w:p>
  <w:p w:rsidR="00611C4D" w:rsidRDefault="00611C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B372E"/>
    <w:multiLevelType w:val="hybridMultilevel"/>
    <w:tmpl w:val="318658BE"/>
    <w:lvl w:ilvl="0" w:tplc="0809000F">
      <w:start w:val="1"/>
      <w:numFmt w:val="decimal"/>
      <w:lvlText w:val="%1."/>
      <w:lvlJc w:val="left"/>
      <w:pPr>
        <w:ind w:left="1080" w:hanging="72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646E41"/>
    <w:multiLevelType w:val="hybridMultilevel"/>
    <w:tmpl w:val="8FE82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EC2A8F"/>
    <w:multiLevelType w:val="hybridMultilevel"/>
    <w:tmpl w:val="D8A24362"/>
    <w:lvl w:ilvl="0" w:tplc="11B0D99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817698"/>
    <w:multiLevelType w:val="hybridMultilevel"/>
    <w:tmpl w:val="0910F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1E7BA2"/>
    <w:multiLevelType w:val="hybridMultilevel"/>
    <w:tmpl w:val="EF287F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8A6055"/>
    <w:multiLevelType w:val="hybridMultilevel"/>
    <w:tmpl w:val="C26E891C"/>
    <w:lvl w:ilvl="0" w:tplc="11B0D99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3527E2"/>
    <w:multiLevelType w:val="hybridMultilevel"/>
    <w:tmpl w:val="71F09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8F4DF3"/>
    <w:multiLevelType w:val="hybridMultilevel"/>
    <w:tmpl w:val="69BCC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9F76A0"/>
    <w:multiLevelType w:val="hybridMultilevel"/>
    <w:tmpl w:val="7558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364427"/>
    <w:multiLevelType w:val="hybridMultilevel"/>
    <w:tmpl w:val="BC8E0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2B012F"/>
    <w:multiLevelType w:val="hybridMultilevel"/>
    <w:tmpl w:val="1F682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D36060"/>
    <w:multiLevelType w:val="hybridMultilevel"/>
    <w:tmpl w:val="19508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A14D6D"/>
    <w:multiLevelType w:val="hybridMultilevel"/>
    <w:tmpl w:val="0E3A1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11"/>
  </w:num>
  <w:num w:numId="6">
    <w:abstractNumId w:val="1"/>
  </w:num>
  <w:num w:numId="7">
    <w:abstractNumId w:val="10"/>
  </w:num>
  <w:num w:numId="8">
    <w:abstractNumId w:val="6"/>
  </w:num>
  <w:num w:numId="9">
    <w:abstractNumId w:val="7"/>
  </w:num>
  <w:num w:numId="10">
    <w:abstractNumId w:val="12"/>
  </w:num>
  <w:num w:numId="11">
    <w:abstractNumId w:val="9"/>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834"/>
    <w:rsid w:val="0000786D"/>
    <w:rsid w:val="00012484"/>
    <w:rsid w:val="000200EF"/>
    <w:rsid w:val="000210B4"/>
    <w:rsid w:val="00034AB3"/>
    <w:rsid w:val="000518D0"/>
    <w:rsid w:val="00062801"/>
    <w:rsid w:val="00067B26"/>
    <w:rsid w:val="00067EED"/>
    <w:rsid w:val="0007553B"/>
    <w:rsid w:val="000853F8"/>
    <w:rsid w:val="000869EC"/>
    <w:rsid w:val="000879E9"/>
    <w:rsid w:val="000B49FE"/>
    <w:rsid w:val="000B5349"/>
    <w:rsid w:val="000D2F2C"/>
    <w:rsid w:val="00101541"/>
    <w:rsid w:val="00101BCF"/>
    <w:rsid w:val="00154879"/>
    <w:rsid w:val="001677B5"/>
    <w:rsid w:val="001A5DE2"/>
    <w:rsid w:val="001E276F"/>
    <w:rsid w:val="001F7EF6"/>
    <w:rsid w:val="002048FD"/>
    <w:rsid w:val="0023554A"/>
    <w:rsid w:val="0024373A"/>
    <w:rsid w:val="0024718E"/>
    <w:rsid w:val="0025655C"/>
    <w:rsid w:val="002814C6"/>
    <w:rsid w:val="002866CE"/>
    <w:rsid w:val="00291899"/>
    <w:rsid w:val="002A0562"/>
    <w:rsid w:val="002A1A6A"/>
    <w:rsid w:val="002A6359"/>
    <w:rsid w:val="002B1C9E"/>
    <w:rsid w:val="002B4207"/>
    <w:rsid w:val="002C4B09"/>
    <w:rsid w:val="002E0E69"/>
    <w:rsid w:val="002F691C"/>
    <w:rsid w:val="003052D4"/>
    <w:rsid w:val="00313328"/>
    <w:rsid w:val="0031690E"/>
    <w:rsid w:val="00363372"/>
    <w:rsid w:val="00390CA5"/>
    <w:rsid w:val="0039629F"/>
    <w:rsid w:val="003B4524"/>
    <w:rsid w:val="003E2BD1"/>
    <w:rsid w:val="003E61C7"/>
    <w:rsid w:val="00404278"/>
    <w:rsid w:val="00406310"/>
    <w:rsid w:val="00416DD2"/>
    <w:rsid w:val="00422E14"/>
    <w:rsid w:val="00431EFC"/>
    <w:rsid w:val="004475E8"/>
    <w:rsid w:val="004577C9"/>
    <w:rsid w:val="0049064E"/>
    <w:rsid w:val="004A107B"/>
    <w:rsid w:val="004A2374"/>
    <w:rsid w:val="004A6F9A"/>
    <w:rsid w:val="004C3B64"/>
    <w:rsid w:val="004C452F"/>
    <w:rsid w:val="004C6DAE"/>
    <w:rsid w:val="004D1DC6"/>
    <w:rsid w:val="004E4A35"/>
    <w:rsid w:val="004F32DC"/>
    <w:rsid w:val="004F443D"/>
    <w:rsid w:val="005073FE"/>
    <w:rsid w:val="00535596"/>
    <w:rsid w:val="005372C1"/>
    <w:rsid w:val="005444B6"/>
    <w:rsid w:val="00550DED"/>
    <w:rsid w:val="0055142C"/>
    <w:rsid w:val="00561900"/>
    <w:rsid w:val="00563EFB"/>
    <w:rsid w:val="00566834"/>
    <w:rsid w:val="00581BAC"/>
    <w:rsid w:val="00592D11"/>
    <w:rsid w:val="005B07B2"/>
    <w:rsid w:val="005C3CC8"/>
    <w:rsid w:val="005C42F1"/>
    <w:rsid w:val="005F359F"/>
    <w:rsid w:val="0060665F"/>
    <w:rsid w:val="00611C4D"/>
    <w:rsid w:val="0063003F"/>
    <w:rsid w:val="006312E6"/>
    <w:rsid w:val="00645C33"/>
    <w:rsid w:val="0067154B"/>
    <w:rsid w:val="0067301C"/>
    <w:rsid w:val="006813C6"/>
    <w:rsid w:val="0069568B"/>
    <w:rsid w:val="006A0F87"/>
    <w:rsid w:val="006A6B8A"/>
    <w:rsid w:val="006B0717"/>
    <w:rsid w:val="006E74D8"/>
    <w:rsid w:val="006F0DDB"/>
    <w:rsid w:val="006F33CB"/>
    <w:rsid w:val="00700A53"/>
    <w:rsid w:val="00704493"/>
    <w:rsid w:val="00706286"/>
    <w:rsid w:val="007120F4"/>
    <w:rsid w:val="00716B61"/>
    <w:rsid w:val="00716F90"/>
    <w:rsid w:val="007221D8"/>
    <w:rsid w:val="00730C73"/>
    <w:rsid w:val="00761F6D"/>
    <w:rsid w:val="00773F08"/>
    <w:rsid w:val="007758C6"/>
    <w:rsid w:val="00786877"/>
    <w:rsid w:val="007937D2"/>
    <w:rsid w:val="007B3258"/>
    <w:rsid w:val="007B74BE"/>
    <w:rsid w:val="007F3616"/>
    <w:rsid w:val="00801726"/>
    <w:rsid w:val="0080530A"/>
    <w:rsid w:val="00817A19"/>
    <w:rsid w:val="00831297"/>
    <w:rsid w:val="0085700A"/>
    <w:rsid w:val="00863339"/>
    <w:rsid w:val="00895400"/>
    <w:rsid w:val="008B14F2"/>
    <w:rsid w:val="008C3E2C"/>
    <w:rsid w:val="008D183A"/>
    <w:rsid w:val="008E4399"/>
    <w:rsid w:val="00907181"/>
    <w:rsid w:val="00912B66"/>
    <w:rsid w:val="00913AB1"/>
    <w:rsid w:val="009463C6"/>
    <w:rsid w:val="009644DC"/>
    <w:rsid w:val="009B1512"/>
    <w:rsid w:val="009B1A3A"/>
    <w:rsid w:val="009F5A44"/>
    <w:rsid w:val="00A01846"/>
    <w:rsid w:val="00A15B4A"/>
    <w:rsid w:val="00A25C88"/>
    <w:rsid w:val="00A348F2"/>
    <w:rsid w:val="00A34C3C"/>
    <w:rsid w:val="00A97946"/>
    <w:rsid w:val="00AA5081"/>
    <w:rsid w:val="00AB5F14"/>
    <w:rsid w:val="00AB6FEF"/>
    <w:rsid w:val="00AB7170"/>
    <w:rsid w:val="00AB7290"/>
    <w:rsid w:val="00AC03CF"/>
    <w:rsid w:val="00AC1ED4"/>
    <w:rsid w:val="00AC489E"/>
    <w:rsid w:val="00AD35D4"/>
    <w:rsid w:val="00AF181A"/>
    <w:rsid w:val="00B215C9"/>
    <w:rsid w:val="00B36199"/>
    <w:rsid w:val="00B65147"/>
    <w:rsid w:val="00B657BF"/>
    <w:rsid w:val="00B6757E"/>
    <w:rsid w:val="00B75D4C"/>
    <w:rsid w:val="00B93D46"/>
    <w:rsid w:val="00B966EF"/>
    <w:rsid w:val="00C32063"/>
    <w:rsid w:val="00C4315C"/>
    <w:rsid w:val="00C61CF4"/>
    <w:rsid w:val="00C71A27"/>
    <w:rsid w:val="00C74170"/>
    <w:rsid w:val="00C965E9"/>
    <w:rsid w:val="00CA3D80"/>
    <w:rsid w:val="00CB1AC2"/>
    <w:rsid w:val="00CB5075"/>
    <w:rsid w:val="00CD5543"/>
    <w:rsid w:val="00CD67CA"/>
    <w:rsid w:val="00CE0FD0"/>
    <w:rsid w:val="00CE2F04"/>
    <w:rsid w:val="00CF6399"/>
    <w:rsid w:val="00D1772F"/>
    <w:rsid w:val="00D67E32"/>
    <w:rsid w:val="00D7031F"/>
    <w:rsid w:val="00D82367"/>
    <w:rsid w:val="00DA7C96"/>
    <w:rsid w:val="00DB522B"/>
    <w:rsid w:val="00DD4AB8"/>
    <w:rsid w:val="00DE0D06"/>
    <w:rsid w:val="00DE4AE1"/>
    <w:rsid w:val="00DE7896"/>
    <w:rsid w:val="00DF6265"/>
    <w:rsid w:val="00E2442A"/>
    <w:rsid w:val="00E540D6"/>
    <w:rsid w:val="00E6476E"/>
    <w:rsid w:val="00E76AC6"/>
    <w:rsid w:val="00E8022A"/>
    <w:rsid w:val="00E92BA6"/>
    <w:rsid w:val="00E97DC2"/>
    <w:rsid w:val="00EA7CBB"/>
    <w:rsid w:val="00EB62F5"/>
    <w:rsid w:val="00EC0A02"/>
    <w:rsid w:val="00EC4B0E"/>
    <w:rsid w:val="00ED134D"/>
    <w:rsid w:val="00ED75B8"/>
    <w:rsid w:val="00EE3606"/>
    <w:rsid w:val="00EE48DE"/>
    <w:rsid w:val="00EF1796"/>
    <w:rsid w:val="00EF6A65"/>
    <w:rsid w:val="00F22ACA"/>
    <w:rsid w:val="00F472E1"/>
    <w:rsid w:val="00F529D7"/>
    <w:rsid w:val="00F7791F"/>
    <w:rsid w:val="00F9055F"/>
    <w:rsid w:val="00F96E07"/>
    <w:rsid w:val="00FA0F60"/>
    <w:rsid w:val="00FA393C"/>
    <w:rsid w:val="00FF6D07"/>
    <w:rsid w:val="00FF7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4BC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834"/>
    <w:rPr>
      <w:rFonts w:eastAsia="Times New Roman" w:cs="Times New Roman"/>
      <w:lang w:eastAsia="zh-CN"/>
    </w:rPr>
  </w:style>
  <w:style w:type="paragraph" w:styleId="Heading1">
    <w:name w:val="heading 1"/>
    <w:basedOn w:val="Normal"/>
    <w:next w:val="Normal"/>
    <w:link w:val="Heading1Char"/>
    <w:uiPriority w:val="9"/>
    <w:qFormat/>
    <w:rsid w:val="00FA393C"/>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6834"/>
    <w:pPr>
      <w:tabs>
        <w:tab w:val="center" w:pos="4513"/>
        <w:tab w:val="right" w:pos="9026"/>
      </w:tabs>
    </w:pPr>
  </w:style>
  <w:style w:type="character" w:customStyle="1" w:styleId="HeaderChar">
    <w:name w:val="Header Char"/>
    <w:basedOn w:val="DefaultParagraphFont"/>
    <w:link w:val="Header"/>
    <w:uiPriority w:val="99"/>
    <w:semiHidden/>
    <w:rsid w:val="00566834"/>
  </w:style>
  <w:style w:type="paragraph" w:styleId="Footer">
    <w:name w:val="footer"/>
    <w:basedOn w:val="Normal"/>
    <w:link w:val="FooterChar"/>
    <w:uiPriority w:val="99"/>
    <w:semiHidden/>
    <w:unhideWhenUsed/>
    <w:rsid w:val="00566834"/>
    <w:pPr>
      <w:tabs>
        <w:tab w:val="center" w:pos="4513"/>
        <w:tab w:val="right" w:pos="9026"/>
      </w:tabs>
    </w:pPr>
  </w:style>
  <w:style w:type="character" w:customStyle="1" w:styleId="FooterChar">
    <w:name w:val="Footer Char"/>
    <w:basedOn w:val="DefaultParagraphFont"/>
    <w:link w:val="Footer"/>
    <w:uiPriority w:val="99"/>
    <w:semiHidden/>
    <w:rsid w:val="00566834"/>
  </w:style>
  <w:style w:type="paragraph" w:styleId="BalloonText">
    <w:name w:val="Balloon Text"/>
    <w:basedOn w:val="Normal"/>
    <w:link w:val="BalloonTextChar"/>
    <w:uiPriority w:val="99"/>
    <w:semiHidden/>
    <w:unhideWhenUsed/>
    <w:rsid w:val="00566834"/>
    <w:rPr>
      <w:rFonts w:ascii="Tahoma" w:eastAsia="Calibri" w:hAnsi="Tahoma"/>
      <w:sz w:val="16"/>
      <w:szCs w:val="16"/>
    </w:rPr>
  </w:style>
  <w:style w:type="character" w:customStyle="1" w:styleId="BalloonTextChar">
    <w:name w:val="Balloon Text Char"/>
    <w:link w:val="BalloonText"/>
    <w:uiPriority w:val="99"/>
    <w:semiHidden/>
    <w:rsid w:val="00566834"/>
    <w:rPr>
      <w:rFonts w:ascii="Tahoma" w:hAnsi="Tahoma" w:cs="Tahoma"/>
      <w:sz w:val="16"/>
      <w:szCs w:val="16"/>
    </w:rPr>
  </w:style>
  <w:style w:type="character" w:styleId="CommentReference">
    <w:name w:val="annotation reference"/>
    <w:uiPriority w:val="99"/>
    <w:rsid w:val="00566834"/>
    <w:rPr>
      <w:sz w:val="16"/>
      <w:szCs w:val="16"/>
    </w:rPr>
  </w:style>
  <w:style w:type="paragraph" w:styleId="CommentText">
    <w:name w:val="annotation text"/>
    <w:basedOn w:val="Normal"/>
    <w:link w:val="CommentTextChar"/>
    <w:uiPriority w:val="99"/>
    <w:rsid w:val="00566834"/>
  </w:style>
  <w:style w:type="character" w:customStyle="1" w:styleId="CommentTextChar">
    <w:name w:val="Comment Text Char"/>
    <w:link w:val="CommentText"/>
    <w:uiPriority w:val="99"/>
    <w:rsid w:val="00566834"/>
    <w:rPr>
      <w:rFonts w:eastAsia="Times New Roman" w:cs="Times New Roman"/>
      <w:sz w:val="20"/>
      <w:szCs w:val="20"/>
      <w:lang w:eastAsia="zh-CN"/>
    </w:rPr>
  </w:style>
  <w:style w:type="character" w:styleId="Hyperlink">
    <w:name w:val="Hyperlink"/>
    <w:uiPriority w:val="99"/>
    <w:rsid w:val="00566834"/>
    <w:rPr>
      <w:color w:val="0000FF"/>
      <w:u w:val="single"/>
    </w:rPr>
  </w:style>
  <w:style w:type="paragraph" w:customStyle="1" w:styleId="Default">
    <w:name w:val="Default"/>
    <w:rsid w:val="00C71A27"/>
    <w:pPr>
      <w:autoSpaceDE w:val="0"/>
      <w:autoSpaceDN w:val="0"/>
      <w:adjustRightInd w:val="0"/>
    </w:pPr>
    <w:rPr>
      <w:color w:val="000000"/>
      <w:sz w:val="24"/>
      <w:szCs w:val="24"/>
      <w:lang w:eastAsia="en-US"/>
    </w:rPr>
  </w:style>
  <w:style w:type="table" w:styleId="TableGrid">
    <w:name w:val="Table Grid"/>
    <w:basedOn w:val="TableNormal"/>
    <w:uiPriority w:val="59"/>
    <w:rsid w:val="00C71A27"/>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D183A"/>
    <w:rPr>
      <w:b/>
      <w:bCs/>
    </w:rPr>
  </w:style>
  <w:style w:type="character" w:customStyle="1" w:styleId="CommentSubjectChar">
    <w:name w:val="Comment Subject Char"/>
    <w:link w:val="CommentSubject"/>
    <w:uiPriority w:val="99"/>
    <w:semiHidden/>
    <w:rsid w:val="008D183A"/>
    <w:rPr>
      <w:rFonts w:eastAsia="Times New Roman" w:cs="Times New Roman"/>
      <w:b/>
      <w:bCs/>
      <w:sz w:val="20"/>
      <w:szCs w:val="20"/>
      <w:lang w:eastAsia="zh-CN"/>
    </w:rPr>
  </w:style>
  <w:style w:type="paragraph" w:styleId="Revision">
    <w:name w:val="Revision"/>
    <w:hidden/>
    <w:uiPriority w:val="99"/>
    <w:semiHidden/>
    <w:rsid w:val="00A97946"/>
    <w:rPr>
      <w:rFonts w:eastAsia="Times New Roman" w:cs="Times New Roman"/>
      <w:lang w:eastAsia="zh-CN"/>
    </w:rPr>
  </w:style>
  <w:style w:type="character" w:customStyle="1" w:styleId="Heading1Char">
    <w:name w:val="Heading 1 Char"/>
    <w:link w:val="Heading1"/>
    <w:uiPriority w:val="9"/>
    <w:rsid w:val="00FA393C"/>
    <w:rPr>
      <w:rFonts w:ascii="Cambria" w:eastAsia="Times New Roman" w:hAnsi="Cambria" w:cs="Times New Roman"/>
      <w:b/>
      <w:bCs/>
      <w:color w:val="365F91"/>
      <w:sz w:val="28"/>
      <w:szCs w:val="28"/>
      <w:lang w:eastAsia="zh-CN"/>
    </w:rPr>
  </w:style>
  <w:style w:type="character" w:styleId="FollowedHyperlink">
    <w:name w:val="FollowedHyperlink"/>
    <w:uiPriority w:val="99"/>
    <w:semiHidden/>
    <w:unhideWhenUsed/>
    <w:rsid w:val="00FA393C"/>
    <w:rPr>
      <w:color w:val="800080"/>
      <w:u w:val="single"/>
    </w:rPr>
  </w:style>
  <w:style w:type="paragraph" w:styleId="ListParagraph">
    <w:name w:val="List Paragraph"/>
    <w:basedOn w:val="Normal"/>
    <w:uiPriority w:val="34"/>
    <w:qFormat/>
    <w:rsid w:val="004E4A35"/>
    <w:pPr>
      <w:ind w:left="720"/>
      <w:contextualSpacing/>
    </w:pPr>
    <w:rPr>
      <w:rFonts w:ascii="Calibri" w:hAnsi="Calibri"/>
      <w:sz w:val="24"/>
      <w:szCs w:val="24"/>
      <w:lang w:val="en-US"/>
    </w:rPr>
  </w:style>
  <w:style w:type="character" w:styleId="BookTitle">
    <w:name w:val="Book Title"/>
    <w:uiPriority w:val="33"/>
    <w:qFormat/>
    <w:rsid w:val="004F32DC"/>
    <w:rPr>
      <w:b/>
      <w:bCs/>
      <w:i/>
      <w:iC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45706">
      <w:bodyDiv w:val="1"/>
      <w:marLeft w:val="0"/>
      <w:marRight w:val="0"/>
      <w:marTop w:val="0"/>
      <w:marBottom w:val="0"/>
      <w:divBdr>
        <w:top w:val="none" w:sz="0" w:space="0" w:color="auto"/>
        <w:left w:val="none" w:sz="0" w:space="0" w:color="auto"/>
        <w:bottom w:val="none" w:sz="0" w:space="0" w:color="auto"/>
        <w:right w:val="none" w:sz="0" w:space="0" w:color="auto"/>
      </w:divBdr>
    </w:div>
    <w:div w:id="302583107">
      <w:bodyDiv w:val="1"/>
      <w:marLeft w:val="0"/>
      <w:marRight w:val="0"/>
      <w:marTop w:val="0"/>
      <w:marBottom w:val="0"/>
      <w:divBdr>
        <w:top w:val="none" w:sz="0" w:space="0" w:color="auto"/>
        <w:left w:val="none" w:sz="0" w:space="0" w:color="auto"/>
        <w:bottom w:val="none" w:sz="0" w:space="0" w:color="auto"/>
        <w:right w:val="none" w:sz="0" w:space="0" w:color="auto"/>
      </w:divBdr>
    </w:div>
    <w:div w:id="155858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office.gov.uk/research/collaboration/newton"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toffice.gov.uk/newt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newtonfund?lang=en-gb"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newtonfund.ac.uk" TargetMode="External"/><Relationship Id="rId4" Type="http://schemas.openxmlformats.org/officeDocument/2006/relationships/settings" Target="settings.xml"/><Relationship Id="rId9" Type="http://schemas.openxmlformats.org/officeDocument/2006/relationships/hyperlink" Target="http://www.newtonfund.ac.uk/about/what-is-oda/" TargetMode="External"/><Relationship Id="rId14" Type="http://schemas.openxmlformats.org/officeDocument/2006/relationships/hyperlink" Target="https://tenders.metoffice.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376101-1FDD-473C-AB34-CF1463A97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1307</Words>
  <Characters>7455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8745</CharactersWithSpaces>
  <SharedDoc>false</SharedDoc>
  <HLinks>
    <vt:vector size="36" baseType="variant">
      <vt:variant>
        <vt:i4>4653147</vt:i4>
      </vt:variant>
      <vt:variant>
        <vt:i4>15</vt:i4>
      </vt:variant>
      <vt:variant>
        <vt:i4>0</vt:i4>
      </vt:variant>
      <vt:variant>
        <vt:i4>5</vt:i4>
      </vt:variant>
      <vt:variant>
        <vt:lpwstr>https://tenders.metoffice.gov.uk/</vt:lpwstr>
      </vt:variant>
      <vt:variant>
        <vt:lpwstr/>
      </vt:variant>
      <vt:variant>
        <vt:i4>7077933</vt:i4>
      </vt:variant>
      <vt:variant>
        <vt:i4>12</vt:i4>
      </vt:variant>
      <vt:variant>
        <vt:i4>0</vt:i4>
      </vt:variant>
      <vt:variant>
        <vt:i4>5</vt:i4>
      </vt:variant>
      <vt:variant>
        <vt:lpwstr>http://www.metoffice.gov.uk/newton</vt:lpwstr>
      </vt:variant>
      <vt:variant>
        <vt:lpwstr/>
      </vt:variant>
      <vt:variant>
        <vt:i4>4259930</vt:i4>
      </vt:variant>
      <vt:variant>
        <vt:i4>9</vt:i4>
      </vt:variant>
      <vt:variant>
        <vt:i4>0</vt:i4>
      </vt:variant>
      <vt:variant>
        <vt:i4>5</vt:i4>
      </vt:variant>
      <vt:variant>
        <vt:lpwstr>https://twitter.com/newtonfund?lang=en-gb</vt:lpwstr>
      </vt:variant>
      <vt:variant>
        <vt:lpwstr/>
      </vt:variant>
      <vt:variant>
        <vt:i4>4325402</vt:i4>
      </vt:variant>
      <vt:variant>
        <vt:i4>6</vt:i4>
      </vt:variant>
      <vt:variant>
        <vt:i4>0</vt:i4>
      </vt:variant>
      <vt:variant>
        <vt:i4>5</vt:i4>
      </vt:variant>
      <vt:variant>
        <vt:lpwstr>http://www.newtonfund.ac.uk/</vt:lpwstr>
      </vt:variant>
      <vt:variant>
        <vt:lpwstr/>
      </vt:variant>
      <vt:variant>
        <vt:i4>6881318</vt:i4>
      </vt:variant>
      <vt:variant>
        <vt:i4>3</vt:i4>
      </vt:variant>
      <vt:variant>
        <vt:i4>0</vt:i4>
      </vt:variant>
      <vt:variant>
        <vt:i4>5</vt:i4>
      </vt:variant>
      <vt:variant>
        <vt:lpwstr>http://www.newtonfund.ac.uk/about/what-is-oda/</vt:lpwstr>
      </vt:variant>
      <vt:variant>
        <vt:lpwstr/>
      </vt:variant>
      <vt:variant>
        <vt:i4>1572929</vt:i4>
      </vt:variant>
      <vt:variant>
        <vt:i4>0</vt:i4>
      </vt:variant>
      <vt:variant>
        <vt:i4>0</vt:i4>
      </vt:variant>
      <vt:variant>
        <vt:i4>5</vt:i4>
      </vt:variant>
      <vt:variant>
        <vt:lpwstr>http://www.metoffice.gov.uk/research/collaboration/newton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2018-01-15T13:10:00Z</dcterms:created>
  <dcterms:modified xsi:type="dcterms:W3CDTF">2018-01-15T16:12:00Z</dcterms:modified>
</cp:coreProperties>
</file>