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30AB" w14:textId="77777777" w:rsidR="0097674C" w:rsidRDefault="0097674C" w:rsidP="00314BB0">
      <w:pPr>
        <w:jc w:val="center"/>
        <w:rPr>
          <w:b/>
        </w:rPr>
      </w:pPr>
      <w:r>
        <w:rPr>
          <w:b/>
        </w:rPr>
        <w:t xml:space="preserve">Schedule </w:t>
      </w:r>
      <w:r w:rsidR="007A00B8">
        <w:rPr>
          <w:b/>
        </w:rPr>
        <w:t>7</w:t>
      </w:r>
    </w:p>
    <w:p w14:paraId="07DD1100" w14:textId="77777777" w:rsidR="00C75D1C" w:rsidRDefault="00C75D1C" w:rsidP="00314BB0">
      <w:pPr>
        <w:jc w:val="center"/>
        <w:rPr>
          <w:b/>
        </w:rPr>
      </w:pPr>
    </w:p>
    <w:p w14:paraId="46E1F0A9" w14:textId="78DCD711" w:rsidR="0097674C" w:rsidRDefault="00BD0672" w:rsidP="00314BB0">
      <w:pPr>
        <w:jc w:val="center"/>
        <w:rPr>
          <w:b/>
        </w:rPr>
      </w:pPr>
      <w:r>
        <w:rPr>
          <w:b/>
        </w:rPr>
        <w:t xml:space="preserve">Commencement </w:t>
      </w:r>
      <w:r w:rsidR="0097674C">
        <w:rPr>
          <w:b/>
        </w:rPr>
        <w:t xml:space="preserve">Transition </w:t>
      </w:r>
      <w:r w:rsidR="00611CD7">
        <w:rPr>
          <w:b/>
        </w:rPr>
        <w:t>Provisions</w:t>
      </w:r>
    </w:p>
    <w:p w14:paraId="64DA5E0E" w14:textId="77777777" w:rsidR="006D3EAE" w:rsidRPr="0067288C" w:rsidRDefault="006D3EAE" w:rsidP="00314BB0">
      <w:pPr>
        <w:jc w:val="both"/>
      </w:pPr>
    </w:p>
    <w:p w14:paraId="2857370C" w14:textId="77777777" w:rsidR="00092CEF" w:rsidRDefault="0097674C" w:rsidP="000D59F6">
      <w:pPr>
        <w:pStyle w:val="ListParagraph"/>
        <w:numPr>
          <w:ilvl w:val="0"/>
          <w:numId w:val="14"/>
        </w:numPr>
        <w:ind w:left="720" w:hanging="720"/>
        <w:jc w:val="both"/>
        <w:rPr>
          <w:b/>
        </w:rPr>
      </w:pPr>
      <w:r>
        <w:rPr>
          <w:b/>
        </w:rPr>
        <w:t xml:space="preserve">Introduction </w:t>
      </w:r>
    </w:p>
    <w:p w14:paraId="34E799C8" w14:textId="77777777" w:rsidR="009264A8" w:rsidRPr="00F014CF" w:rsidRDefault="009264A8" w:rsidP="00314BB0">
      <w:pPr>
        <w:pStyle w:val="ListParagraph"/>
        <w:ind w:left="357" w:hanging="357"/>
        <w:jc w:val="both"/>
        <w:rPr>
          <w:b/>
        </w:rPr>
      </w:pPr>
    </w:p>
    <w:p w14:paraId="34036001" w14:textId="0D0205E3" w:rsidR="00611CD7" w:rsidRPr="00092CEF" w:rsidRDefault="00611CD7" w:rsidP="00314BB0">
      <w:pPr>
        <w:pStyle w:val="ListParagraph"/>
        <w:numPr>
          <w:ilvl w:val="1"/>
          <w:numId w:val="17"/>
        </w:numPr>
        <w:ind w:left="709" w:hanging="709"/>
        <w:jc w:val="both"/>
        <w:rPr>
          <w:b/>
        </w:rPr>
      </w:pPr>
      <w:r>
        <w:t xml:space="preserve">For the avoidance of doubt </w:t>
      </w:r>
      <w:r w:rsidR="001A2500">
        <w:t xml:space="preserve">nothing in this Schedule </w:t>
      </w:r>
      <w:r w:rsidR="007A00B8">
        <w:t>7</w:t>
      </w:r>
      <w:r w:rsidR="001A2500">
        <w:t xml:space="preserve"> </w:t>
      </w:r>
      <w:r w:rsidR="00453A10">
        <w:t>(</w:t>
      </w:r>
      <w:r w:rsidR="00314BB0">
        <w:t xml:space="preserve">Commencement </w:t>
      </w:r>
      <w:r w:rsidR="00453A10">
        <w:t xml:space="preserve">Transition Provisions) </w:t>
      </w:r>
      <w:r w:rsidR="001A2500">
        <w:t xml:space="preserve">shall reduce or waive </w:t>
      </w:r>
      <w:r>
        <w:t>the Service Provider</w:t>
      </w:r>
      <w:r w:rsidR="001A2500">
        <w:t>’s obligation</w:t>
      </w:r>
      <w:r w:rsidR="00453A10">
        <w:t>s</w:t>
      </w:r>
      <w:r w:rsidR="001A2500">
        <w:t xml:space="preserve"> to </w:t>
      </w:r>
      <w:r>
        <w:t>p</w:t>
      </w:r>
      <w:r w:rsidR="001A2500">
        <w:t>erform</w:t>
      </w:r>
      <w:r>
        <w:t xml:space="preserve"> the Services from and including the </w:t>
      </w:r>
      <w:r w:rsidR="007A3876">
        <w:t xml:space="preserve">Service </w:t>
      </w:r>
      <w:r>
        <w:t xml:space="preserve">Commencement Date. </w:t>
      </w:r>
      <w:r w:rsidR="000D59F6">
        <w:t>For avoidance of doubt, time shall be of the essence in respect of this obligation.</w:t>
      </w:r>
    </w:p>
    <w:p w14:paraId="0086D1BF" w14:textId="77777777" w:rsidR="00092CEF" w:rsidRPr="00092CEF" w:rsidRDefault="00092CEF" w:rsidP="00314BB0">
      <w:pPr>
        <w:ind w:left="709" w:hanging="709"/>
        <w:jc w:val="both"/>
        <w:rPr>
          <w:b/>
        </w:rPr>
      </w:pPr>
    </w:p>
    <w:p w14:paraId="4F293586" w14:textId="344652A1" w:rsidR="00611CD7" w:rsidRPr="001A2500" w:rsidRDefault="001A2500" w:rsidP="00314BB0">
      <w:pPr>
        <w:pStyle w:val="ListParagraph"/>
        <w:numPr>
          <w:ilvl w:val="1"/>
          <w:numId w:val="17"/>
        </w:numPr>
        <w:ind w:left="709" w:hanging="709"/>
        <w:jc w:val="both"/>
      </w:pPr>
      <w:r w:rsidRPr="001A2500">
        <w:t>The parties acknowledge that to be ready to deliver the Services</w:t>
      </w:r>
      <w:r w:rsidR="00314BB0">
        <w:t xml:space="preserve"> from </w:t>
      </w:r>
      <w:r w:rsidR="000D59F6">
        <w:t>the Service Commencement Date</w:t>
      </w:r>
      <w:r w:rsidR="00314BB0">
        <w:t>,</w:t>
      </w:r>
      <w:r w:rsidRPr="001A2500">
        <w:t xml:space="preserve"> the Service Provider must take action</w:t>
      </w:r>
      <w:r w:rsidR="00092CEF">
        <w:t>s</w:t>
      </w:r>
      <w:r w:rsidRPr="001A2500">
        <w:t xml:space="preserve"> before the </w:t>
      </w:r>
      <w:r w:rsidR="007A3876">
        <w:t xml:space="preserve">Service </w:t>
      </w:r>
      <w:r w:rsidRPr="001A2500">
        <w:t xml:space="preserve">Commencement Date.  </w:t>
      </w:r>
    </w:p>
    <w:p w14:paraId="7AF724CD" w14:textId="77777777" w:rsidR="00092CEF" w:rsidRDefault="00611CD7" w:rsidP="00314BB0">
      <w:pPr>
        <w:ind w:left="709" w:hanging="709"/>
        <w:jc w:val="both"/>
      </w:pPr>
      <w:r>
        <w:t xml:space="preserve"> </w:t>
      </w:r>
    </w:p>
    <w:p w14:paraId="764BD0F1" w14:textId="28EBBEE9" w:rsidR="00E86375" w:rsidRPr="0067288C" w:rsidRDefault="0067288C" w:rsidP="00314BB0">
      <w:pPr>
        <w:pStyle w:val="ListParagraph"/>
        <w:numPr>
          <w:ilvl w:val="1"/>
          <w:numId w:val="17"/>
        </w:numPr>
        <w:ind w:left="709" w:hanging="709"/>
        <w:jc w:val="both"/>
      </w:pPr>
      <w:r w:rsidRPr="0067288C">
        <w:t>This Schedule</w:t>
      </w:r>
      <w:r w:rsidR="0097674C">
        <w:t xml:space="preserve"> </w:t>
      </w:r>
      <w:r w:rsidR="007A00B8">
        <w:t>7</w:t>
      </w:r>
      <w:r w:rsidR="0097674C">
        <w:t xml:space="preserve"> (</w:t>
      </w:r>
      <w:r w:rsidR="00BD0672">
        <w:t xml:space="preserve">Commencement </w:t>
      </w:r>
      <w:r w:rsidR="0097674C">
        <w:t xml:space="preserve">Transition </w:t>
      </w:r>
      <w:r w:rsidR="00611CD7">
        <w:t>Provisions</w:t>
      </w:r>
      <w:r w:rsidR="00237A5E">
        <w:t>)</w:t>
      </w:r>
      <w:r w:rsidR="007C6C80">
        <w:t xml:space="preserve"> </w:t>
      </w:r>
      <w:r w:rsidR="001A2500">
        <w:t xml:space="preserve">sets out the </w:t>
      </w:r>
      <w:r w:rsidR="00611CD7">
        <w:t xml:space="preserve">actions </w:t>
      </w:r>
      <w:r w:rsidR="001A2500">
        <w:t xml:space="preserve">required </w:t>
      </w:r>
      <w:r w:rsidR="00704891">
        <w:t xml:space="preserve">by the Service Provider </w:t>
      </w:r>
      <w:r w:rsidR="00534169">
        <w:t>in addition to</w:t>
      </w:r>
      <w:r w:rsidR="00106C9C" w:rsidRPr="00106C9C">
        <w:t xml:space="preserve"> those</w:t>
      </w:r>
      <w:r w:rsidR="00237A5E" w:rsidRPr="00106C9C">
        <w:t xml:space="preserve"> </w:t>
      </w:r>
      <w:r w:rsidR="001A2500">
        <w:t xml:space="preserve">expressly </w:t>
      </w:r>
      <w:r w:rsidR="00237A5E" w:rsidRPr="00106C9C">
        <w:t xml:space="preserve">set out elsewhere in the Contract </w:t>
      </w:r>
      <w:r w:rsidR="000D59F6">
        <w:t xml:space="preserve">from the Contract Commencement Date </w:t>
      </w:r>
      <w:r w:rsidR="00237A5E" w:rsidRPr="00106C9C">
        <w:t xml:space="preserve">leading up to the </w:t>
      </w:r>
      <w:r w:rsidR="007A3876">
        <w:t xml:space="preserve">Service </w:t>
      </w:r>
      <w:r w:rsidR="001A2500">
        <w:t>C</w:t>
      </w:r>
      <w:r w:rsidR="00237A5E" w:rsidRPr="00106C9C">
        <w:t xml:space="preserve">ommencement </w:t>
      </w:r>
      <w:r w:rsidR="001A2500">
        <w:t>Date</w:t>
      </w:r>
      <w:r w:rsidR="00160E51">
        <w:t xml:space="preserve">. </w:t>
      </w:r>
    </w:p>
    <w:p w14:paraId="559BB326" w14:textId="77777777" w:rsidR="00092CEF" w:rsidRDefault="00092CEF" w:rsidP="00314BB0">
      <w:pPr>
        <w:jc w:val="both"/>
        <w:rPr>
          <w:b/>
        </w:rPr>
      </w:pPr>
    </w:p>
    <w:p w14:paraId="51348D8C" w14:textId="09463EA3" w:rsidR="00092CEF" w:rsidRPr="000D59F6" w:rsidRDefault="00160E51" w:rsidP="000D59F6">
      <w:pPr>
        <w:pStyle w:val="ListParagraph"/>
        <w:numPr>
          <w:ilvl w:val="0"/>
          <w:numId w:val="14"/>
        </w:numPr>
        <w:ind w:left="720" w:hanging="720"/>
        <w:jc w:val="both"/>
        <w:rPr>
          <w:b/>
        </w:rPr>
      </w:pPr>
      <w:r w:rsidRPr="00314BB0">
        <w:rPr>
          <w:b/>
        </w:rPr>
        <w:t xml:space="preserve">Actions </w:t>
      </w:r>
      <w:r w:rsidR="00314BB0" w:rsidRPr="00314BB0">
        <w:rPr>
          <w:b/>
        </w:rPr>
        <w:t>R</w:t>
      </w:r>
      <w:r w:rsidRPr="00314BB0">
        <w:rPr>
          <w:b/>
        </w:rPr>
        <w:t>equired</w:t>
      </w:r>
      <w:r w:rsidR="0097674C" w:rsidRPr="00314BB0">
        <w:rPr>
          <w:b/>
        </w:rPr>
        <w:t xml:space="preserve"> </w:t>
      </w:r>
      <w:r w:rsidR="00314BB0" w:rsidRPr="00314BB0">
        <w:rPr>
          <w:b/>
        </w:rPr>
        <w:t>- Implementation and Transition Period – 1</w:t>
      </w:r>
      <w:r w:rsidR="00314BB0" w:rsidRPr="00314BB0">
        <w:rPr>
          <w:b/>
          <w:vertAlign w:val="superscript"/>
        </w:rPr>
        <w:t>st</w:t>
      </w:r>
      <w:r w:rsidR="00314BB0" w:rsidRPr="00314BB0">
        <w:rPr>
          <w:b/>
        </w:rPr>
        <w:t xml:space="preserve"> January 2021 </w:t>
      </w:r>
      <w:r w:rsidR="00314BB0" w:rsidRPr="000D59F6">
        <w:rPr>
          <w:b/>
        </w:rPr>
        <w:t>until 31</w:t>
      </w:r>
      <w:r w:rsidR="00314BB0" w:rsidRPr="000D59F6">
        <w:rPr>
          <w:b/>
          <w:vertAlign w:val="superscript"/>
        </w:rPr>
        <w:t>st</w:t>
      </w:r>
      <w:r w:rsidR="00314BB0" w:rsidRPr="000D59F6">
        <w:rPr>
          <w:b/>
        </w:rPr>
        <w:t xml:space="preserve"> March 2021 inclusive</w:t>
      </w:r>
    </w:p>
    <w:p w14:paraId="68271E68" w14:textId="77777777" w:rsidR="009264A8" w:rsidRDefault="009264A8" w:rsidP="00314BB0">
      <w:pPr>
        <w:jc w:val="both"/>
        <w:rPr>
          <w:b/>
        </w:rPr>
      </w:pPr>
    </w:p>
    <w:p w14:paraId="3FC660DC" w14:textId="426E4422" w:rsidR="00160E51" w:rsidRDefault="00160E51" w:rsidP="00314BB0">
      <w:pPr>
        <w:ind w:left="709" w:hanging="709"/>
        <w:jc w:val="both"/>
      </w:pPr>
      <w:r>
        <w:t>2.1</w:t>
      </w:r>
      <w:r>
        <w:tab/>
      </w:r>
      <w:r w:rsidR="00092CEF" w:rsidRPr="00092CEF">
        <w:t xml:space="preserve">The </w:t>
      </w:r>
      <w:r w:rsidR="00092CEF">
        <w:t xml:space="preserve">Service Provider </w:t>
      </w:r>
      <w:r>
        <w:t xml:space="preserve">shall </w:t>
      </w:r>
      <w:r w:rsidR="00704891">
        <w:t xml:space="preserve">use all reasonable endeavours to </w:t>
      </w:r>
      <w:r>
        <w:t xml:space="preserve">comply </w:t>
      </w:r>
      <w:r w:rsidR="00092CEF">
        <w:t xml:space="preserve">with the </w:t>
      </w:r>
      <w:r w:rsidR="00314BB0">
        <w:t xml:space="preserve">Implementation and </w:t>
      </w:r>
      <w:r w:rsidR="00314BB0" w:rsidRPr="0067288C">
        <w:t>Transition</w:t>
      </w:r>
      <w:r w:rsidR="00314BB0">
        <w:t xml:space="preserve"> Plan </w:t>
      </w:r>
      <w:r>
        <w:t>(</w:t>
      </w:r>
      <w:r w:rsidR="000D59F6">
        <w:t>as detailed</w:t>
      </w:r>
      <w:r>
        <w:t xml:space="preserve"> below) by </w:t>
      </w:r>
      <w:r w:rsidR="00A07931">
        <w:t>the dates set out in t</w:t>
      </w:r>
      <w:r w:rsidR="00810522">
        <w:t xml:space="preserve">he </w:t>
      </w:r>
      <w:r w:rsidR="00314BB0">
        <w:t xml:space="preserve">Implementation and </w:t>
      </w:r>
      <w:r w:rsidR="00314BB0" w:rsidRPr="0067288C">
        <w:t>Transition</w:t>
      </w:r>
      <w:r w:rsidR="00314BB0">
        <w:t xml:space="preserve"> Plan</w:t>
      </w:r>
      <w:r>
        <w:t>.</w:t>
      </w:r>
    </w:p>
    <w:p w14:paraId="387EB309" w14:textId="77777777" w:rsidR="00160E51" w:rsidRDefault="00160E51" w:rsidP="00314BB0">
      <w:pPr>
        <w:ind w:left="709" w:hanging="709"/>
        <w:jc w:val="both"/>
      </w:pPr>
    </w:p>
    <w:p w14:paraId="6FA73550" w14:textId="396985A5" w:rsidR="00221430" w:rsidRDefault="00160E51" w:rsidP="00314BB0">
      <w:pPr>
        <w:ind w:left="709" w:hanging="709"/>
        <w:jc w:val="both"/>
      </w:pPr>
      <w:r>
        <w:t>2.2</w:t>
      </w:r>
      <w:r>
        <w:tab/>
        <w:t xml:space="preserve">In implementing the </w:t>
      </w:r>
      <w:r w:rsidR="00314BB0">
        <w:t xml:space="preserve">Implementation and </w:t>
      </w:r>
      <w:r w:rsidR="00314BB0" w:rsidRPr="0067288C">
        <w:t>Transition</w:t>
      </w:r>
      <w:r w:rsidR="00314BB0">
        <w:t xml:space="preserve"> Plan </w:t>
      </w:r>
      <w:r>
        <w:t>the Service Provider shall i</w:t>
      </w:r>
      <w:r w:rsidR="0067288C" w:rsidRPr="0067288C">
        <w:t xml:space="preserve">nsofar as is reasonably practicable, </w:t>
      </w:r>
      <w:r>
        <w:t xml:space="preserve">ensure that </w:t>
      </w:r>
      <w:r w:rsidR="0067288C" w:rsidRPr="0067288C">
        <w:t>disruption t</w:t>
      </w:r>
      <w:r w:rsidR="004A581F">
        <w:t>o the business and operations of</w:t>
      </w:r>
      <w:r w:rsidR="0067288C" w:rsidRPr="0067288C">
        <w:t xml:space="preserve"> the</w:t>
      </w:r>
      <w:r w:rsidR="00810522">
        <w:t xml:space="preserve"> Council</w:t>
      </w:r>
      <w:r w:rsidR="004A581F">
        <w:t xml:space="preserve"> is</w:t>
      </w:r>
      <w:r w:rsidR="00546450">
        <w:t xml:space="preserve"> avoided.</w:t>
      </w:r>
    </w:p>
    <w:p w14:paraId="7CB51E1E" w14:textId="1690D791" w:rsidR="00546450" w:rsidRDefault="00546450" w:rsidP="00314BB0">
      <w:pPr>
        <w:jc w:val="both"/>
      </w:pPr>
    </w:p>
    <w:p w14:paraId="38560DB8" w14:textId="1B09D9DE" w:rsidR="00314BB0" w:rsidRPr="00AB070B" w:rsidRDefault="00314BB0" w:rsidP="00314BB0">
      <w:pPr>
        <w:ind w:left="709" w:hanging="709"/>
        <w:jc w:val="both"/>
        <w:rPr>
          <w:color w:val="000000" w:themeColor="text1"/>
        </w:rPr>
      </w:pPr>
      <w:bookmarkStart w:id="0" w:name="_Hlk4506963"/>
      <w:r w:rsidRPr="00AB070B">
        <w:rPr>
          <w:color w:val="000000" w:themeColor="text1"/>
        </w:rPr>
        <w:t>2.3</w:t>
      </w:r>
      <w:r w:rsidRPr="00AB070B">
        <w:rPr>
          <w:color w:val="000000" w:themeColor="text1"/>
        </w:rPr>
        <w:tab/>
        <w:t xml:space="preserve">As part of the </w:t>
      </w:r>
      <w:r w:rsidRPr="00314BB0">
        <w:rPr>
          <w:bCs/>
          <w:color w:val="000000" w:themeColor="text1"/>
        </w:rPr>
        <w:t>Implementation and Transition Plan</w:t>
      </w:r>
      <w:r w:rsidRPr="00AB070B">
        <w:rPr>
          <w:color w:val="000000" w:themeColor="text1"/>
        </w:rPr>
        <w:t xml:space="preserve"> the Service Provider shall:</w:t>
      </w:r>
    </w:p>
    <w:p w14:paraId="58591187" w14:textId="69EABD8A" w:rsidR="00314BB0" w:rsidRPr="00AB070B" w:rsidRDefault="00314BB0" w:rsidP="000D59F6">
      <w:pPr>
        <w:ind w:left="1429" w:hanging="709"/>
        <w:jc w:val="both"/>
        <w:rPr>
          <w:color w:val="000000" w:themeColor="text1"/>
        </w:rPr>
      </w:pPr>
      <w:r w:rsidRPr="00AB070B">
        <w:rPr>
          <w:color w:val="000000" w:themeColor="text1"/>
        </w:rPr>
        <w:t>2.3.1</w:t>
      </w:r>
      <w:r w:rsidRPr="00AB070B">
        <w:rPr>
          <w:color w:val="000000" w:themeColor="text1"/>
        </w:rPr>
        <w:tab/>
        <w:t xml:space="preserve">Employ an Implementation </w:t>
      </w:r>
      <w:r>
        <w:rPr>
          <w:color w:val="000000" w:themeColor="text1"/>
        </w:rPr>
        <w:t xml:space="preserve">and Transition </w:t>
      </w:r>
      <w:r w:rsidRPr="00AB070B">
        <w:rPr>
          <w:color w:val="000000" w:themeColor="text1"/>
        </w:rPr>
        <w:t xml:space="preserve">Manager responsible for the coordination of </w:t>
      </w:r>
      <w:r>
        <w:rPr>
          <w:color w:val="000000" w:themeColor="text1"/>
        </w:rPr>
        <w:t>the I</w:t>
      </w:r>
      <w:r w:rsidRPr="00AB070B">
        <w:rPr>
          <w:color w:val="000000" w:themeColor="text1"/>
        </w:rPr>
        <w:t xml:space="preserve">mplementation and </w:t>
      </w:r>
      <w:r>
        <w:rPr>
          <w:color w:val="000000" w:themeColor="text1"/>
        </w:rPr>
        <w:t>T</w:t>
      </w:r>
      <w:r w:rsidRPr="00AB070B">
        <w:rPr>
          <w:color w:val="000000" w:themeColor="text1"/>
        </w:rPr>
        <w:t>ransition</w:t>
      </w:r>
      <w:r>
        <w:rPr>
          <w:color w:val="000000" w:themeColor="text1"/>
        </w:rPr>
        <w:t xml:space="preserve"> Plan </w:t>
      </w:r>
      <w:r w:rsidRPr="00AB070B">
        <w:rPr>
          <w:color w:val="000000" w:themeColor="text1"/>
        </w:rPr>
        <w:t>to the new Service</w:t>
      </w:r>
      <w:r>
        <w:rPr>
          <w:color w:val="000000" w:themeColor="text1"/>
        </w:rPr>
        <w:t>;</w:t>
      </w:r>
      <w:r w:rsidRPr="00AB070B">
        <w:rPr>
          <w:color w:val="000000" w:themeColor="text1"/>
        </w:rPr>
        <w:t xml:space="preserve"> </w:t>
      </w:r>
    </w:p>
    <w:p w14:paraId="6C023F08" w14:textId="4558D653" w:rsidR="00314BB0" w:rsidRPr="00AB070B" w:rsidRDefault="00314BB0" w:rsidP="00314BB0">
      <w:pPr>
        <w:ind w:left="1415" w:hanging="706"/>
        <w:jc w:val="both"/>
        <w:rPr>
          <w:color w:val="000000" w:themeColor="text1"/>
        </w:rPr>
      </w:pPr>
      <w:r w:rsidRPr="00AB070B">
        <w:rPr>
          <w:color w:val="000000" w:themeColor="text1"/>
        </w:rPr>
        <w:t>2.3.2</w:t>
      </w:r>
      <w:r w:rsidRPr="00AB070B">
        <w:rPr>
          <w:color w:val="000000" w:themeColor="text1"/>
        </w:rPr>
        <w:tab/>
        <w:t>Submit an Implementation and Transition Plan with timetables, which clearly identifies blockages, risks and contingency plans</w:t>
      </w:r>
      <w:r>
        <w:rPr>
          <w:color w:val="000000" w:themeColor="text1"/>
        </w:rPr>
        <w:t>;</w:t>
      </w:r>
    </w:p>
    <w:p w14:paraId="2D3911B0" w14:textId="592A42FD" w:rsidR="00314BB0" w:rsidRPr="00AB070B" w:rsidRDefault="00314BB0" w:rsidP="00314BB0">
      <w:pPr>
        <w:ind w:left="1415" w:hanging="706"/>
        <w:jc w:val="both"/>
        <w:rPr>
          <w:color w:val="000000" w:themeColor="text1"/>
        </w:rPr>
      </w:pPr>
      <w:r w:rsidRPr="00AB070B">
        <w:rPr>
          <w:color w:val="000000" w:themeColor="text1"/>
        </w:rPr>
        <w:t>2.3.4</w:t>
      </w:r>
      <w:r w:rsidRPr="00AB070B">
        <w:rPr>
          <w:color w:val="000000" w:themeColor="text1"/>
        </w:rPr>
        <w:tab/>
        <w:t>Provide monthly, and ad hoc as required, updates on progress against the Implementation and Transition Plan</w:t>
      </w:r>
      <w:r>
        <w:rPr>
          <w:color w:val="000000" w:themeColor="text1"/>
        </w:rPr>
        <w:t>;</w:t>
      </w:r>
    </w:p>
    <w:p w14:paraId="0168697A" w14:textId="66664277" w:rsidR="00314BB0" w:rsidRPr="00AB070B" w:rsidRDefault="00314BB0" w:rsidP="00314BB0">
      <w:pPr>
        <w:pStyle w:val="ListParagraph"/>
        <w:numPr>
          <w:ilvl w:val="2"/>
          <w:numId w:val="21"/>
        </w:numPr>
        <w:ind w:left="1429"/>
        <w:jc w:val="both"/>
        <w:rPr>
          <w:color w:val="000000" w:themeColor="text1"/>
        </w:rPr>
      </w:pPr>
      <w:r w:rsidRPr="00AB070B">
        <w:rPr>
          <w:color w:val="000000" w:themeColor="text1"/>
        </w:rPr>
        <w:t xml:space="preserve">Meet with the Council from </w:t>
      </w:r>
      <w:r w:rsidR="000D59F6">
        <w:rPr>
          <w:color w:val="000000" w:themeColor="text1"/>
        </w:rPr>
        <w:t xml:space="preserve">the </w:t>
      </w:r>
      <w:r w:rsidR="000D59F6">
        <w:t xml:space="preserve">Contract Commencement Date </w:t>
      </w:r>
      <w:r w:rsidRPr="00AB070B">
        <w:rPr>
          <w:color w:val="000000" w:themeColor="text1"/>
        </w:rPr>
        <w:t xml:space="preserve">as </w:t>
      </w:r>
      <w:r>
        <w:rPr>
          <w:color w:val="000000" w:themeColor="text1"/>
        </w:rPr>
        <w:t xml:space="preserve">required to </w:t>
      </w:r>
      <w:r w:rsidRPr="00AB070B">
        <w:rPr>
          <w:color w:val="000000" w:themeColor="text1"/>
        </w:rPr>
        <w:t>discuss progress against the Implementation and Transition Plan</w:t>
      </w:r>
      <w:r>
        <w:rPr>
          <w:color w:val="000000" w:themeColor="text1"/>
        </w:rPr>
        <w:t>;</w:t>
      </w:r>
    </w:p>
    <w:p w14:paraId="1DA32D50" w14:textId="093A725A" w:rsidR="00314BB0" w:rsidRPr="00AB070B" w:rsidRDefault="00314BB0" w:rsidP="00314BB0">
      <w:pPr>
        <w:pStyle w:val="ListParagraph"/>
        <w:numPr>
          <w:ilvl w:val="2"/>
          <w:numId w:val="21"/>
        </w:numPr>
        <w:ind w:left="1429"/>
        <w:jc w:val="both"/>
        <w:rPr>
          <w:color w:val="000000" w:themeColor="text1"/>
        </w:rPr>
      </w:pPr>
      <w:r w:rsidRPr="00AB070B">
        <w:rPr>
          <w:color w:val="000000" w:themeColor="text1"/>
        </w:rPr>
        <w:t xml:space="preserve">Meet with the Council and the </w:t>
      </w:r>
      <w:r>
        <w:rPr>
          <w:color w:val="000000" w:themeColor="text1"/>
        </w:rPr>
        <w:t>incumbent S</w:t>
      </w:r>
      <w:r w:rsidRPr="00AB070B">
        <w:rPr>
          <w:color w:val="000000" w:themeColor="text1"/>
        </w:rPr>
        <w:t xml:space="preserve">ervice </w:t>
      </w:r>
      <w:r>
        <w:rPr>
          <w:color w:val="000000" w:themeColor="text1"/>
        </w:rPr>
        <w:t>S</w:t>
      </w:r>
      <w:r w:rsidRPr="00AB070B">
        <w:rPr>
          <w:color w:val="000000" w:themeColor="text1"/>
        </w:rPr>
        <w:t xml:space="preserve">rovider as required during the </w:t>
      </w:r>
      <w:r>
        <w:rPr>
          <w:color w:val="000000" w:themeColor="text1"/>
        </w:rPr>
        <w:t>I</w:t>
      </w:r>
      <w:r w:rsidRPr="00AB070B">
        <w:rPr>
          <w:color w:val="000000" w:themeColor="text1"/>
        </w:rPr>
        <w:t xml:space="preserve">mplementation </w:t>
      </w:r>
      <w:r>
        <w:rPr>
          <w:color w:val="000000" w:themeColor="text1"/>
        </w:rPr>
        <w:t>and Transition P</w:t>
      </w:r>
      <w:r w:rsidRPr="00AB070B">
        <w:rPr>
          <w:color w:val="000000" w:themeColor="text1"/>
        </w:rPr>
        <w:t xml:space="preserve">eriod, initially in </w:t>
      </w:r>
      <w:r>
        <w:rPr>
          <w:color w:val="000000" w:themeColor="text1"/>
        </w:rPr>
        <w:t>January</w:t>
      </w:r>
      <w:r w:rsidRPr="00AB070B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 w:rsidRPr="00AB070B">
        <w:rPr>
          <w:color w:val="000000" w:themeColor="text1"/>
        </w:rPr>
        <w:t xml:space="preserve">, to plan and agree the process for any </w:t>
      </w:r>
      <w:r>
        <w:rPr>
          <w:color w:val="000000" w:themeColor="text1"/>
        </w:rPr>
        <w:t>S</w:t>
      </w:r>
      <w:r w:rsidRPr="00AB070B">
        <w:rPr>
          <w:color w:val="000000" w:themeColor="text1"/>
        </w:rPr>
        <w:t xml:space="preserve">ervice </w:t>
      </w:r>
      <w:r>
        <w:rPr>
          <w:color w:val="000000" w:themeColor="text1"/>
        </w:rPr>
        <w:t>U</w:t>
      </w:r>
      <w:r w:rsidRPr="00AB070B">
        <w:rPr>
          <w:color w:val="000000" w:themeColor="text1"/>
        </w:rPr>
        <w:t>ser data transfer</w:t>
      </w:r>
      <w:r w:rsidR="008C0043">
        <w:rPr>
          <w:color w:val="000000" w:themeColor="text1"/>
        </w:rPr>
        <w:t>;</w:t>
      </w:r>
    </w:p>
    <w:p w14:paraId="180E0E30" w14:textId="374A2861" w:rsidR="00314BB0" w:rsidRPr="00AB070B" w:rsidRDefault="00314BB0" w:rsidP="00314BB0">
      <w:pPr>
        <w:pStyle w:val="ListParagraph"/>
        <w:numPr>
          <w:ilvl w:val="2"/>
          <w:numId w:val="21"/>
        </w:numPr>
        <w:ind w:left="1429"/>
        <w:jc w:val="both"/>
        <w:rPr>
          <w:color w:val="000000" w:themeColor="text1"/>
        </w:rPr>
      </w:pPr>
      <w:r w:rsidRPr="00AB070B">
        <w:rPr>
          <w:color w:val="000000" w:themeColor="text1"/>
        </w:rPr>
        <w:t xml:space="preserve">Ensure any </w:t>
      </w:r>
      <w:r w:rsidR="008C0043">
        <w:rPr>
          <w:color w:val="000000" w:themeColor="text1"/>
        </w:rPr>
        <w:t>Service User</w:t>
      </w:r>
      <w:r w:rsidRPr="00AB070B">
        <w:rPr>
          <w:color w:val="000000" w:themeColor="text1"/>
        </w:rPr>
        <w:t xml:space="preserve"> data transfer is managed effectively and within </w:t>
      </w:r>
      <w:r w:rsidR="008C0043">
        <w:rPr>
          <w:color w:val="000000" w:themeColor="text1"/>
        </w:rPr>
        <w:t xml:space="preserve">the conditions </w:t>
      </w:r>
      <w:r w:rsidR="000D59F6">
        <w:rPr>
          <w:color w:val="000000" w:themeColor="text1"/>
        </w:rPr>
        <w:t>as per</w:t>
      </w:r>
      <w:r w:rsidR="008C0043">
        <w:rPr>
          <w:color w:val="000000" w:themeColor="text1"/>
        </w:rPr>
        <w:t xml:space="preserve"> Schedule 5 (Information Governance);</w:t>
      </w:r>
      <w:r w:rsidR="000D4D3E">
        <w:rPr>
          <w:color w:val="000000" w:themeColor="text1"/>
        </w:rPr>
        <w:t xml:space="preserve"> and</w:t>
      </w:r>
    </w:p>
    <w:p w14:paraId="251F100F" w14:textId="735CCEBA" w:rsidR="000B4396" w:rsidRPr="000D59F6" w:rsidRDefault="00314BB0" w:rsidP="00314BB0">
      <w:pPr>
        <w:pStyle w:val="ListParagraph"/>
        <w:numPr>
          <w:ilvl w:val="2"/>
          <w:numId w:val="21"/>
        </w:numPr>
        <w:ind w:left="1429"/>
        <w:jc w:val="both"/>
        <w:rPr>
          <w:color w:val="000000" w:themeColor="text1"/>
        </w:rPr>
      </w:pPr>
      <w:r w:rsidRPr="00AB070B">
        <w:rPr>
          <w:color w:val="000000" w:themeColor="text1"/>
        </w:rPr>
        <w:t xml:space="preserve">Ensure excellent continuity of </w:t>
      </w:r>
      <w:r w:rsidR="008C0043">
        <w:rPr>
          <w:color w:val="000000" w:themeColor="text1"/>
        </w:rPr>
        <w:t>Service</w:t>
      </w:r>
      <w:r w:rsidRPr="00AB070B">
        <w:rPr>
          <w:color w:val="000000" w:themeColor="text1"/>
        </w:rPr>
        <w:t xml:space="preserve"> for </w:t>
      </w:r>
      <w:r w:rsidR="008C0043">
        <w:rPr>
          <w:color w:val="000000" w:themeColor="text1"/>
        </w:rPr>
        <w:t>S</w:t>
      </w:r>
      <w:r w:rsidRPr="00AB070B">
        <w:rPr>
          <w:color w:val="000000" w:themeColor="text1"/>
        </w:rPr>
        <w:t xml:space="preserve">ervice </w:t>
      </w:r>
      <w:r w:rsidR="008C0043">
        <w:rPr>
          <w:color w:val="000000" w:themeColor="text1"/>
        </w:rPr>
        <w:t>U</w:t>
      </w:r>
      <w:r w:rsidRPr="00AB070B">
        <w:rPr>
          <w:color w:val="000000" w:themeColor="text1"/>
        </w:rPr>
        <w:t>sers</w:t>
      </w:r>
      <w:r w:rsidR="00B24508">
        <w:rPr>
          <w:color w:val="000000" w:themeColor="text1"/>
        </w:rPr>
        <w:t xml:space="preserve"> </w:t>
      </w:r>
      <w:r w:rsidR="000D59F6">
        <w:rPr>
          <w:color w:val="000000" w:themeColor="text1"/>
        </w:rPr>
        <w:t xml:space="preserve">already </w:t>
      </w:r>
      <w:r w:rsidR="00B24508" w:rsidRPr="00271441">
        <w:t xml:space="preserve">engaged in </w:t>
      </w:r>
      <w:r w:rsidR="00B24508">
        <w:t xml:space="preserve">an intervention </w:t>
      </w:r>
      <w:r w:rsidR="000D59F6">
        <w:t xml:space="preserve">before Service </w:t>
      </w:r>
      <w:r w:rsidR="000D59F6" w:rsidRPr="001A2500">
        <w:t>Commencement Date</w:t>
      </w:r>
      <w:r w:rsidR="000D59F6">
        <w:t>,</w:t>
      </w:r>
      <w:r w:rsidR="00B24508">
        <w:t xml:space="preserve"> has already </w:t>
      </w:r>
      <w:r w:rsidR="00396CF2">
        <w:t>s</w:t>
      </w:r>
      <w:r w:rsidR="00B24508">
        <w:t xml:space="preserve">et a </w:t>
      </w:r>
      <w:r w:rsidR="00396CF2">
        <w:t>q</w:t>
      </w:r>
      <w:r w:rsidR="00B24508">
        <w:t xml:space="preserve">uit </w:t>
      </w:r>
      <w:r w:rsidR="00396CF2">
        <w:t>d</w:t>
      </w:r>
      <w:r w:rsidR="00B24508">
        <w:t xml:space="preserve">ate (“SAQD”) </w:t>
      </w:r>
      <w:r w:rsidR="000D59F6">
        <w:t>but has yet to discharged.</w:t>
      </w:r>
    </w:p>
    <w:p w14:paraId="36DF68F0" w14:textId="28FA32DB" w:rsidR="000B4396" w:rsidRPr="000D59F6" w:rsidRDefault="00314BB0" w:rsidP="000D59F6">
      <w:pPr>
        <w:pStyle w:val="Default"/>
        <w:numPr>
          <w:ilvl w:val="1"/>
          <w:numId w:val="21"/>
        </w:numPr>
        <w:ind w:left="709" w:hanging="709"/>
        <w:jc w:val="both"/>
        <w:rPr>
          <w:rFonts w:ascii="Arial" w:hAnsi="Arial" w:cs="Arial"/>
          <w:color w:val="000000" w:themeColor="text1"/>
        </w:rPr>
      </w:pPr>
      <w:r w:rsidRPr="00AB070B">
        <w:rPr>
          <w:rFonts w:ascii="Arial" w:hAnsi="Arial" w:cs="Arial"/>
          <w:b/>
          <w:color w:val="000000" w:themeColor="text1"/>
        </w:rPr>
        <w:lastRenderedPageBreak/>
        <w:t>Communication</w:t>
      </w:r>
      <w:r w:rsidRPr="00AB070B">
        <w:rPr>
          <w:rFonts w:ascii="Arial" w:hAnsi="Arial" w:cs="Arial"/>
          <w:color w:val="000000" w:themeColor="text1"/>
        </w:rPr>
        <w:t xml:space="preserve"> </w:t>
      </w:r>
      <w:r w:rsidRPr="00AB070B">
        <w:rPr>
          <w:rFonts w:ascii="Arial" w:hAnsi="Arial" w:cs="Arial"/>
          <w:b/>
          <w:color w:val="000000" w:themeColor="text1"/>
        </w:rPr>
        <w:t>Plan</w:t>
      </w:r>
      <w:r w:rsidRPr="00AB070B">
        <w:rPr>
          <w:rFonts w:ascii="Arial" w:hAnsi="Arial" w:cs="Arial"/>
          <w:color w:val="000000" w:themeColor="text1"/>
        </w:rPr>
        <w:t xml:space="preserve"> </w:t>
      </w:r>
    </w:p>
    <w:p w14:paraId="65DDD41F" w14:textId="40F90AB0" w:rsidR="008C0043" w:rsidRDefault="00314BB0" w:rsidP="000D59F6">
      <w:pPr>
        <w:pStyle w:val="Default"/>
        <w:numPr>
          <w:ilvl w:val="2"/>
          <w:numId w:val="25"/>
        </w:numPr>
        <w:ind w:left="1440"/>
        <w:jc w:val="both"/>
        <w:rPr>
          <w:rFonts w:ascii="Arial" w:hAnsi="Arial" w:cs="Arial"/>
          <w:color w:val="000000" w:themeColor="text1"/>
        </w:rPr>
      </w:pPr>
      <w:r w:rsidRPr="00AB070B">
        <w:rPr>
          <w:rFonts w:ascii="Arial" w:hAnsi="Arial" w:cs="Arial"/>
          <w:color w:val="000000" w:themeColor="text1"/>
        </w:rPr>
        <w:t xml:space="preserve">The Service Provider shall have a clear </w:t>
      </w:r>
      <w:r w:rsidR="000D59F6">
        <w:rPr>
          <w:rFonts w:ascii="Arial" w:hAnsi="Arial" w:cs="Arial"/>
          <w:color w:val="000000" w:themeColor="text1"/>
        </w:rPr>
        <w:t>p</w:t>
      </w:r>
      <w:r w:rsidRPr="00AB070B">
        <w:rPr>
          <w:rFonts w:ascii="Arial" w:hAnsi="Arial" w:cs="Arial"/>
          <w:color w:val="000000" w:themeColor="text1"/>
        </w:rPr>
        <w:t>lan to ensure effective communication with all key stakeholders</w:t>
      </w:r>
      <w:r w:rsidR="008C0043">
        <w:rPr>
          <w:rFonts w:ascii="Arial" w:hAnsi="Arial" w:cs="Arial"/>
          <w:color w:val="000000" w:themeColor="text1"/>
        </w:rPr>
        <w:t>;</w:t>
      </w:r>
    </w:p>
    <w:p w14:paraId="49E90299" w14:textId="59E8833A" w:rsidR="00314BB0" w:rsidRPr="00AB070B" w:rsidRDefault="00314BB0" w:rsidP="000D59F6">
      <w:pPr>
        <w:pStyle w:val="Default"/>
        <w:numPr>
          <w:ilvl w:val="2"/>
          <w:numId w:val="25"/>
        </w:numPr>
        <w:ind w:left="1440"/>
        <w:jc w:val="both"/>
        <w:rPr>
          <w:rFonts w:ascii="Arial" w:hAnsi="Arial" w:cs="Arial"/>
          <w:color w:val="000000" w:themeColor="text1"/>
        </w:rPr>
      </w:pPr>
      <w:r w:rsidRPr="00AB070B">
        <w:rPr>
          <w:rFonts w:ascii="Arial" w:hAnsi="Arial" w:cs="Arial"/>
          <w:color w:val="000000" w:themeColor="text1"/>
        </w:rPr>
        <w:t xml:space="preserve">Ensure consistent, informative communication about changes to </w:t>
      </w:r>
      <w:r w:rsidR="000D59F6">
        <w:rPr>
          <w:rFonts w:ascii="Arial" w:hAnsi="Arial" w:cs="Arial"/>
          <w:color w:val="000000" w:themeColor="text1"/>
        </w:rPr>
        <w:t>S</w:t>
      </w:r>
      <w:r w:rsidRPr="00AB070B">
        <w:rPr>
          <w:rFonts w:ascii="Arial" w:hAnsi="Arial" w:cs="Arial"/>
          <w:color w:val="000000" w:themeColor="text1"/>
        </w:rPr>
        <w:t>ervice delivery to stakeholders</w:t>
      </w:r>
      <w:r w:rsidR="008C0043">
        <w:rPr>
          <w:rFonts w:ascii="Arial" w:hAnsi="Arial" w:cs="Arial"/>
          <w:color w:val="000000" w:themeColor="text1"/>
        </w:rPr>
        <w:t xml:space="preserve"> and</w:t>
      </w:r>
      <w:r w:rsidRPr="00AB070B">
        <w:rPr>
          <w:rFonts w:ascii="Arial" w:hAnsi="Arial" w:cs="Arial"/>
          <w:color w:val="000000" w:themeColor="text1"/>
        </w:rPr>
        <w:t xml:space="preserve"> Service Users</w:t>
      </w:r>
      <w:r w:rsidR="000D4D3E">
        <w:rPr>
          <w:rFonts w:ascii="Arial" w:hAnsi="Arial" w:cs="Arial"/>
          <w:color w:val="000000" w:themeColor="text1"/>
        </w:rPr>
        <w:t>; and</w:t>
      </w:r>
    </w:p>
    <w:p w14:paraId="0B158120" w14:textId="77777777" w:rsidR="00314BB0" w:rsidRPr="00AB070B" w:rsidRDefault="00314BB0" w:rsidP="000D59F6">
      <w:pPr>
        <w:pStyle w:val="Default"/>
        <w:numPr>
          <w:ilvl w:val="2"/>
          <w:numId w:val="25"/>
        </w:numPr>
        <w:ind w:left="1440"/>
        <w:jc w:val="both"/>
        <w:rPr>
          <w:rFonts w:ascii="Arial" w:hAnsi="Arial" w:cs="Arial"/>
          <w:color w:val="000000" w:themeColor="text1"/>
        </w:rPr>
      </w:pPr>
      <w:r w:rsidRPr="00AB070B">
        <w:rPr>
          <w:rFonts w:ascii="Arial" w:hAnsi="Arial" w:cs="Arial"/>
          <w:color w:val="000000" w:themeColor="text1"/>
        </w:rPr>
        <w:t xml:space="preserve">Effectively communicate information about their operation and practice, develop networks and ensure they have </w:t>
      </w:r>
      <w:proofErr w:type="gramStart"/>
      <w:r w:rsidRPr="00AB070B">
        <w:rPr>
          <w:rFonts w:ascii="Arial" w:hAnsi="Arial" w:cs="Arial"/>
          <w:color w:val="000000" w:themeColor="text1"/>
        </w:rPr>
        <w:t>sufficient</w:t>
      </w:r>
      <w:proofErr w:type="gramEnd"/>
      <w:r w:rsidRPr="00AB070B">
        <w:rPr>
          <w:rFonts w:ascii="Arial" w:hAnsi="Arial" w:cs="Arial"/>
          <w:color w:val="000000" w:themeColor="text1"/>
        </w:rPr>
        <w:t xml:space="preserve"> visibility.</w:t>
      </w:r>
    </w:p>
    <w:p w14:paraId="6BBC86C3" w14:textId="77777777" w:rsidR="00314BB0" w:rsidRPr="00AB070B" w:rsidRDefault="00314BB0" w:rsidP="00314BB0">
      <w:pPr>
        <w:pStyle w:val="Style1"/>
        <w:spacing w:before="0" w:after="0"/>
        <w:rPr>
          <w:rFonts w:ascii="Arial" w:hAnsi="Arial" w:cs="Arial"/>
          <w:color w:val="000000" w:themeColor="text1"/>
          <w:szCs w:val="24"/>
        </w:rPr>
      </w:pPr>
      <w:bookmarkStart w:id="1" w:name="_Toc4155630"/>
    </w:p>
    <w:p w14:paraId="4C2ACCCB" w14:textId="77777777" w:rsidR="000D4D3E" w:rsidRDefault="00314BB0" w:rsidP="000D4D3E">
      <w:pPr>
        <w:pStyle w:val="Style1"/>
        <w:numPr>
          <w:ilvl w:val="1"/>
          <w:numId w:val="25"/>
        </w:numPr>
        <w:spacing w:before="0" w:after="0"/>
        <w:ind w:left="567" w:hanging="567"/>
        <w:rPr>
          <w:rFonts w:ascii="Arial" w:hAnsi="Arial" w:cs="Arial"/>
          <w:color w:val="000000" w:themeColor="text1"/>
          <w:szCs w:val="24"/>
        </w:rPr>
      </w:pPr>
      <w:r w:rsidRPr="00AB070B">
        <w:rPr>
          <w:rFonts w:ascii="Arial" w:hAnsi="Arial" w:cs="Arial"/>
          <w:color w:val="000000" w:themeColor="text1"/>
          <w:szCs w:val="24"/>
        </w:rPr>
        <w:t>Staff Transition</w:t>
      </w:r>
      <w:bookmarkEnd w:id="1"/>
    </w:p>
    <w:p w14:paraId="7E38BDE1" w14:textId="364690B9" w:rsidR="00314BB0" w:rsidRPr="000D4D3E" w:rsidRDefault="00314BB0" w:rsidP="000D4D3E">
      <w:pPr>
        <w:pStyle w:val="Style1"/>
        <w:numPr>
          <w:ilvl w:val="2"/>
          <w:numId w:val="25"/>
        </w:numPr>
        <w:spacing w:before="0" w:after="0"/>
        <w:ind w:left="1440"/>
        <w:rPr>
          <w:rFonts w:ascii="Arial" w:hAnsi="Arial" w:cs="Arial"/>
          <w:color w:val="000000" w:themeColor="text1"/>
          <w:szCs w:val="24"/>
        </w:rPr>
      </w:pPr>
      <w:r w:rsidRPr="000D4D3E">
        <w:rPr>
          <w:rFonts w:ascii="Arial" w:hAnsi="Arial" w:cs="Arial"/>
          <w:b w:val="0"/>
          <w:bCs/>
          <w:color w:val="000000" w:themeColor="text1"/>
        </w:rPr>
        <w:t xml:space="preserve">The Service Provider shall manage the transitional process to ensure that all </w:t>
      </w:r>
      <w:r w:rsidR="008C0043" w:rsidRPr="000D4D3E">
        <w:rPr>
          <w:rFonts w:ascii="Arial" w:hAnsi="Arial" w:cs="Arial"/>
          <w:b w:val="0"/>
          <w:bCs/>
          <w:color w:val="000000" w:themeColor="text1"/>
        </w:rPr>
        <w:t>S</w:t>
      </w:r>
      <w:r w:rsidRPr="000D4D3E">
        <w:rPr>
          <w:rFonts w:ascii="Arial" w:hAnsi="Arial" w:cs="Arial"/>
          <w:b w:val="0"/>
          <w:bCs/>
          <w:color w:val="000000" w:themeColor="text1"/>
        </w:rPr>
        <w:t xml:space="preserve">taff are engaged with the new </w:t>
      </w:r>
      <w:r w:rsidR="008C0043" w:rsidRPr="000D4D3E">
        <w:rPr>
          <w:rFonts w:ascii="Arial" w:hAnsi="Arial" w:cs="Arial"/>
          <w:b w:val="0"/>
          <w:bCs/>
          <w:color w:val="000000" w:themeColor="text1"/>
        </w:rPr>
        <w:t>S</w:t>
      </w:r>
      <w:r w:rsidRPr="000D4D3E">
        <w:rPr>
          <w:rFonts w:ascii="Arial" w:hAnsi="Arial" w:cs="Arial"/>
          <w:b w:val="0"/>
          <w:bCs/>
          <w:color w:val="000000" w:themeColor="text1"/>
        </w:rPr>
        <w:t>ervice, developments and expectations. The Service Provider shall:</w:t>
      </w:r>
    </w:p>
    <w:p w14:paraId="37CCCB74" w14:textId="74AEA980" w:rsidR="00B24508" w:rsidRPr="00B24508" w:rsidRDefault="00B24508" w:rsidP="000D59F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B24508">
        <w:rPr>
          <w:rFonts w:ascii="Arial" w:hAnsi="Arial" w:cs="Arial"/>
        </w:rPr>
        <w:t>Ensure any transfer of staff must have minimum impact on Service provision.</w:t>
      </w:r>
    </w:p>
    <w:p w14:paraId="6B7CEE77" w14:textId="28FE1DDF" w:rsidR="00314BB0" w:rsidRPr="00B24508" w:rsidRDefault="00314BB0" w:rsidP="000D59F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B24508">
        <w:rPr>
          <w:rFonts w:ascii="Arial" w:hAnsi="Arial" w:cs="Arial"/>
          <w:color w:val="000000" w:themeColor="text1"/>
        </w:rPr>
        <w:t xml:space="preserve">Ensure early identification of any gaps in </w:t>
      </w:r>
      <w:r w:rsidR="008C0043" w:rsidRPr="00B24508">
        <w:rPr>
          <w:rFonts w:ascii="Arial" w:hAnsi="Arial" w:cs="Arial"/>
          <w:color w:val="000000" w:themeColor="text1"/>
        </w:rPr>
        <w:t>S</w:t>
      </w:r>
      <w:r w:rsidRPr="00B24508">
        <w:rPr>
          <w:rFonts w:ascii="Arial" w:hAnsi="Arial" w:cs="Arial"/>
          <w:color w:val="000000" w:themeColor="text1"/>
        </w:rPr>
        <w:t>taff skills or knowledge</w:t>
      </w:r>
      <w:r w:rsidR="008C0043" w:rsidRPr="00B24508">
        <w:rPr>
          <w:rFonts w:ascii="Arial" w:hAnsi="Arial" w:cs="Arial"/>
          <w:color w:val="000000" w:themeColor="text1"/>
        </w:rPr>
        <w:t>;</w:t>
      </w:r>
    </w:p>
    <w:p w14:paraId="32D53C13" w14:textId="5B5C7888" w:rsidR="00314BB0" w:rsidRPr="00B24508" w:rsidRDefault="00314BB0" w:rsidP="000D59F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B24508">
        <w:rPr>
          <w:rFonts w:ascii="Arial" w:hAnsi="Arial" w:cs="Arial"/>
          <w:color w:val="000000" w:themeColor="text1"/>
        </w:rPr>
        <w:t xml:space="preserve">Develop consistent, informative communication with </w:t>
      </w:r>
      <w:r w:rsidR="008C0043" w:rsidRPr="00B24508">
        <w:rPr>
          <w:rFonts w:ascii="Arial" w:hAnsi="Arial" w:cs="Arial"/>
          <w:color w:val="000000" w:themeColor="text1"/>
        </w:rPr>
        <w:t>S</w:t>
      </w:r>
      <w:r w:rsidRPr="00B24508">
        <w:rPr>
          <w:rFonts w:ascii="Arial" w:hAnsi="Arial" w:cs="Arial"/>
          <w:color w:val="000000" w:themeColor="text1"/>
        </w:rPr>
        <w:t>taff from Contract award</w:t>
      </w:r>
      <w:r w:rsidR="008C0043" w:rsidRPr="00B24508">
        <w:rPr>
          <w:rFonts w:ascii="Arial" w:hAnsi="Arial" w:cs="Arial"/>
          <w:color w:val="000000" w:themeColor="text1"/>
        </w:rPr>
        <w:t>;</w:t>
      </w:r>
      <w:r w:rsidRPr="00B24508">
        <w:rPr>
          <w:rFonts w:ascii="Arial" w:hAnsi="Arial" w:cs="Arial"/>
          <w:color w:val="000000" w:themeColor="text1"/>
        </w:rPr>
        <w:t xml:space="preserve"> </w:t>
      </w:r>
    </w:p>
    <w:p w14:paraId="396E6DA9" w14:textId="4797C332" w:rsidR="00314BB0" w:rsidRPr="000D59F6" w:rsidRDefault="00314BB0" w:rsidP="000D59F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0D59F6">
        <w:rPr>
          <w:rFonts w:ascii="Arial" w:hAnsi="Arial" w:cs="Arial"/>
          <w:color w:val="auto"/>
        </w:rPr>
        <w:t xml:space="preserve">Develop robust </w:t>
      </w:r>
      <w:r w:rsidR="000D59F6" w:rsidRPr="000D59F6">
        <w:rPr>
          <w:rFonts w:ascii="Arial" w:hAnsi="Arial" w:cs="Arial"/>
          <w:color w:val="auto"/>
        </w:rPr>
        <w:t xml:space="preserve">Transfer </w:t>
      </w:r>
      <w:r w:rsidR="000D59F6" w:rsidRPr="000D59F6">
        <w:rPr>
          <w:rStyle w:val="st1"/>
          <w:rFonts w:ascii="Arial" w:hAnsi="Arial" w:cs="Arial"/>
          <w:color w:val="auto"/>
        </w:rPr>
        <w:t xml:space="preserve">of Undertakings (Protection of Employment) Regulations </w:t>
      </w:r>
      <w:r w:rsidR="000D59F6">
        <w:rPr>
          <w:rStyle w:val="st1"/>
          <w:rFonts w:ascii="Arial" w:hAnsi="Arial" w:cs="Arial"/>
          <w:color w:val="auto"/>
        </w:rPr>
        <w:t>(</w:t>
      </w:r>
      <w:r w:rsidRPr="000D59F6">
        <w:rPr>
          <w:rFonts w:ascii="Arial" w:hAnsi="Arial" w:cs="Arial"/>
          <w:color w:val="auto"/>
        </w:rPr>
        <w:t>TUPE</w:t>
      </w:r>
      <w:r w:rsidR="000D59F6">
        <w:rPr>
          <w:rFonts w:ascii="Arial" w:hAnsi="Arial" w:cs="Arial"/>
          <w:color w:val="auto"/>
        </w:rPr>
        <w:t>)</w:t>
      </w:r>
      <w:r w:rsidRPr="000D59F6">
        <w:rPr>
          <w:rFonts w:ascii="Arial" w:hAnsi="Arial" w:cs="Arial"/>
          <w:color w:val="auto"/>
        </w:rPr>
        <w:t xml:space="preserve"> planning and liaison</w:t>
      </w:r>
      <w:r w:rsidR="008C0043" w:rsidRPr="000D59F6">
        <w:rPr>
          <w:rFonts w:ascii="Arial" w:hAnsi="Arial" w:cs="Arial"/>
          <w:color w:val="auto"/>
        </w:rPr>
        <w:t>;</w:t>
      </w:r>
      <w:r w:rsidR="000D4D3E">
        <w:rPr>
          <w:rFonts w:ascii="Arial" w:hAnsi="Arial" w:cs="Arial"/>
          <w:color w:val="auto"/>
        </w:rPr>
        <w:t xml:space="preserve"> and</w:t>
      </w:r>
    </w:p>
    <w:p w14:paraId="5C71AE2E" w14:textId="59FEBA70" w:rsidR="00314BB0" w:rsidRPr="00B24508" w:rsidRDefault="00314BB0" w:rsidP="000D59F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B24508">
        <w:rPr>
          <w:rFonts w:ascii="Arial" w:hAnsi="Arial" w:cs="Arial"/>
          <w:color w:val="000000" w:themeColor="text1"/>
        </w:rPr>
        <w:t xml:space="preserve">Have a workforce development plan in place from </w:t>
      </w:r>
      <w:r w:rsidR="008C0043" w:rsidRPr="00B24508">
        <w:rPr>
          <w:rFonts w:ascii="Arial" w:hAnsi="Arial" w:cs="Arial"/>
          <w:color w:val="000000" w:themeColor="text1"/>
        </w:rPr>
        <w:t xml:space="preserve">the </w:t>
      </w:r>
      <w:r w:rsidRPr="00B24508">
        <w:rPr>
          <w:rFonts w:ascii="Arial" w:hAnsi="Arial" w:cs="Arial"/>
          <w:color w:val="000000" w:themeColor="text1"/>
        </w:rPr>
        <w:t xml:space="preserve">Service </w:t>
      </w:r>
      <w:r w:rsidR="008C0043" w:rsidRPr="00B24508">
        <w:rPr>
          <w:rFonts w:ascii="Arial" w:hAnsi="Arial" w:cs="Arial"/>
          <w:color w:val="000000" w:themeColor="text1"/>
        </w:rPr>
        <w:t>C</w:t>
      </w:r>
      <w:r w:rsidRPr="00B24508">
        <w:rPr>
          <w:rFonts w:ascii="Arial" w:hAnsi="Arial" w:cs="Arial"/>
          <w:color w:val="000000" w:themeColor="text1"/>
        </w:rPr>
        <w:t>ommencement</w:t>
      </w:r>
      <w:r w:rsidR="008C0043" w:rsidRPr="00B24508">
        <w:rPr>
          <w:rFonts w:ascii="Arial" w:hAnsi="Arial" w:cs="Arial"/>
          <w:color w:val="000000" w:themeColor="text1"/>
        </w:rPr>
        <w:t xml:space="preserve"> Date</w:t>
      </w:r>
      <w:r w:rsidRPr="00B24508">
        <w:rPr>
          <w:rFonts w:ascii="Arial" w:hAnsi="Arial" w:cs="Arial"/>
          <w:color w:val="000000" w:themeColor="text1"/>
        </w:rPr>
        <w:t>.</w:t>
      </w:r>
    </w:p>
    <w:bookmarkEnd w:id="0"/>
    <w:p w14:paraId="16467B8A" w14:textId="77777777" w:rsidR="00B24508" w:rsidRPr="0067288C" w:rsidRDefault="00B24508" w:rsidP="00314BB0">
      <w:pPr>
        <w:jc w:val="both"/>
      </w:pPr>
    </w:p>
    <w:p w14:paraId="0BDCF0FD" w14:textId="0AC97950" w:rsidR="009264A8" w:rsidRPr="00F014CF" w:rsidRDefault="00137060" w:rsidP="00314BB0">
      <w:pPr>
        <w:jc w:val="both"/>
        <w:rPr>
          <w:b/>
        </w:rPr>
      </w:pPr>
      <w:r w:rsidRPr="00137060">
        <w:rPr>
          <w:b/>
        </w:rPr>
        <w:t xml:space="preserve">3. </w:t>
      </w:r>
      <w:r w:rsidR="00160E51">
        <w:rPr>
          <w:b/>
        </w:rPr>
        <w:t>Anticipated Delay</w:t>
      </w:r>
      <w:r w:rsidRPr="00137060">
        <w:rPr>
          <w:b/>
        </w:rPr>
        <w:t xml:space="preserve"> </w:t>
      </w:r>
    </w:p>
    <w:p w14:paraId="3615DF98" w14:textId="26A79CF3" w:rsidR="005A01CA" w:rsidRDefault="0067288C" w:rsidP="00314BB0">
      <w:pPr>
        <w:pStyle w:val="ListParagraph"/>
        <w:numPr>
          <w:ilvl w:val="1"/>
          <w:numId w:val="6"/>
        </w:numPr>
        <w:ind w:left="720" w:hanging="720"/>
        <w:jc w:val="both"/>
      </w:pPr>
      <w:r w:rsidRPr="0067288C">
        <w:t xml:space="preserve">The </w:t>
      </w:r>
      <w:r w:rsidR="003D31E1">
        <w:t>Service Provider</w:t>
      </w:r>
      <w:r w:rsidRPr="0067288C">
        <w:t xml:space="preserve"> s</w:t>
      </w:r>
      <w:r w:rsidR="00137060">
        <w:t>hall promptly draw the Council</w:t>
      </w:r>
      <w:r w:rsidRPr="0067288C">
        <w:t>’s attention to any actual or probable delay</w:t>
      </w:r>
      <w:r w:rsidR="00137060">
        <w:t xml:space="preserve"> </w:t>
      </w:r>
      <w:r w:rsidRPr="0067288C">
        <w:t xml:space="preserve">that the </w:t>
      </w:r>
      <w:r w:rsidR="003D31E1">
        <w:t>Service Provider</w:t>
      </w:r>
      <w:r w:rsidRPr="0067288C">
        <w:t xml:space="preserve"> is or becomes aware of in the performance of </w:t>
      </w:r>
      <w:r w:rsidR="00106C9C">
        <w:t>the</w:t>
      </w:r>
      <w:r w:rsidRPr="0067288C">
        <w:t xml:space="preserve"> tasks under the</w:t>
      </w:r>
      <w:r w:rsidR="00137060">
        <w:t xml:space="preserve"> </w:t>
      </w:r>
      <w:r w:rsidR="00314BB0">
        <w:t xml:space="preserve">Implementation and </w:t>
      </w:r>
      <w:r w:rsidRPr="0067288C">
        <w:t>Transition Plan likely to imp</w:t>
      </w:r>
      <w:r w:rsidR="00137060">
        <w:t xml:space="preserve">act upon </w:t>
      </w:r>
      <w:r w:rsidR="00160E51">
        <w:t>t</w:t>
      </w:r>
      <w:r w:rsidR="00137060">
        <w:t>ransition timescales.</w:t>
      </w:r>
    </w:p>
    <w:p w14:paraId="002FA137" w14:textId="77777777" w:rsidR="00160E51" w:rsidRDefault="00160E51" w:rsidP="00314BB0">
      <w:pPr>
        <w:ind w:left="720" w:hanging="720"/>
        <w:jc w:val="both"/>
      </w:pPr>
    </w:p>
    <w:p w14:paraId="7B18B7CE" w14:textId="2EC10AFB" w:rsidR="00137060" w:rsidRDefault="0067288C" w:rsidP="00314BB0">
      <w:pPr>
        <w:pStyle w:val="ListParagraph"/>
        <w:numPr>
          <w:ilvl w:val="1"/>
          <w:numId w:val="6"/>
        </w:numPr>
        <w:ind w:left="720" w:hanging="720"/>
        <w:jc w:val="both"/>
      </w:pPr>
      <w:r w:rsidRPr="0067288C">
        <w:t xml:space="preserve">As soon as reasonably practicable following the </w:t>
      </w:r>
      <w:r w:rsidR="003D31E1">
        <w:t>Service Provider</w:t>
      </w:r>
      <w:r w:rsidRPr="0067288C">
        <w:t xml:space="preserve"> becoming aware of such delay</w:t>
      </w:r>
      <w:r w:rsidR="00137060">
        <w:t xml:space="preserve"> </w:t>
      </w:r>
      <w:r w:rsidRPr="0067288C">
        <w:t xml:space="preserve">the </w:t>
      </w:r>
      <w:r w:rsidR="003D31E1">
        <w:t>Service Provider</w:t>
      </w:r>
      <w:r w:rsidRPr="0067288C">
        <w:t xml:space="preserve"> </w:t>
      </w:r>
      <w:r w:rsidR="00137060">
        <w:t>shall propose, for the Council’s approval and as early as possible</w:t>
      </w:r>
      <w:r w:rsidRPr="0067288C">
        <w:t>:</w:t>
      </w:r>
    </w:p>
    <w:p w14:paraId="7E504E92" w14:textId="0BCF4865" w:rsidR="00221430" w:rsidRDefault="008C0043" w:rsidP="00314BB0">
      <w:pPr>
        <w:pStyle w:val="ListParagraph"/>
        <w:numPr>
          <w:ilvl w:val="0"/>
          <w:numId w:val="20"/>
        </w:numPr>
        <w:jc w:val="both"/>
      </w:pPr>
      <w:r>
        <w:t>A</w:t>
      </w:r>
      <w:r w:rsidR="0067288C" w:rsidRPr="0067288C">
        <w:t xml:space="preserve"> plan of action to mitigate any </w:t>
      </w:r>
      <w:r w:rsidR="002D3BCE">
        <w:t>risks to non-achievement of the</w:t>
      </w:r>
      <w:r w:rsidR="0067288C" w:rsidRPr="0067288C">
        <w:t xml:space="preserve"> </w:t>
      </w:r>
      <w:r w:rsidR="00314BB0">
        <w:t xml:space="preserve">Implementation and </w:t>
      </w:r>
      <w:r w:rsidR="00314BB0" w:rsidRPr="0067288C">
        <w:t>Transition</w:t>
      </w:r>
      <w:r w:rsidR="00314BB0">
        <w:t xml:space="preserve"> Plan</w:t>
      </w:r>
      <w:r w:rsidR="0067288C" w:rsidRPr="0067288C">
        <w:t>;</w:t>
      </w:r>
      <w:r w:rsidR="000D4D3E">
        <w:t xml:space="preserve"> and</w:t>
      </w:r>
    </w:p>
    <w:p w14:paraId="69E3373D" w14:textId="7AAFA67F" w:rsidR="00221430" w:rsidRDefault="008C0043" w:rsidP="00314BB0">
      <w:pPr>
        <w:pStyle w:val="ListParagraph"/>
        <w:numPr>
          <w:ilvl w:val="0"/>
          <w:numId w:val="20"/>
        </w:numPr>
        <w:jc w:val="both"/>
      </w:pPr>
      <w:r>
        <w:t>A</w:t>
      </w:r>
      <w:r w:rsidR="0067288C" w:rsidRPr="0067288C">
        <w:t xml:space="preserve"> rigorous timetable for implementing the plan of action</w:t>
      </w:r>
      <w:r w:rsidR="00072BC2">
        <w:t>.</w:t>
      </w:r>
    </w:p>
    <w:p w14:paraId="4CCB1745" w14:textId="77777777" w:rsidR="00072BC2" w:rsidRDefault="00221430" w:rsidP="00314BB0">
      <w:pPr>
        <w:jc w:val="both"/>
      </w:pPr>
      <w:r>
        <w:t xml:space="preserve"> </w:t>
      </w:r>
    </w:p>
    <w:p w14:paraId="2648926D" w14:textId="77777777" w:rsidR="00072BC2" w:rsidRDefault="00072BC2" w:rsidP="00314BB0">
      <w:pPr>
        <w:jc w:val="both"/>
      </w:pPr>
      <w:r>
        <w:br w:type="page"/>
      </w:r>
    </w:p>
    <w:p w14:paraId="581AAA84" w14:textId="652E217A" w:rsidR="000B3FAB" w:rsidRDefault="00314BB0" w:rsidP="00314BB0">
      <w:pPr>
        <w:jc w:val="center"/>
        <w:rPr>
          <w:b/>
        </w:rPr>
      </w:pPr>
      <w:r w:rsidRPr="003767D9">
        <w:rPr>
          <w:b/>
        </w:rPr>
        <w:lastRenderedPageBreak/>
        <w:t>Implementation and Transition</w:t>
      </w:r>
      <w:r>
        <w:rPr>
          <w:b/>
        </w:rPr>
        <w:t xml:space="preserve"> Plan</w:t>
      </w:r>
    </w:p>
    <w:p w14:paraId="091268CC" w14:textId="77777777" w:rsidR="00314BB0" w:rsidRDefault="00314BB0" w:rsidP="00314BB0">
      <w:pPr>
        <w:jc w:val="center"/>
        <w:rPr>
          <w:b/>
        </w:rPr>
      </w:pPr>
      <w:bookmarkStart w:id="2" w:name="_GoBack"/>
    </w:p>
    <w:p w14:paraId="120C78C6" w14:textId="4B09F7A5" w:rsidR="000B3FAB" w:rsidRDefault="000B3FAB" w:rsidP="00314BB0">
      <w:pPr>
        <w:jc w:val="center"/>
        <w:rPr>
          <w:b/>
        </w:rPr>
      </w:pPr>
      <w:r>
        <w:rPr>
          <w:b/>
        </w:rPr>
        <w:t>[TO BE ATTACHED</w:t>
      </w:r>
      <w:r w:rsidR="000D4D3E">
        <w:rPr>
          <w:b/>
        </w:rPr>
        <w:t xml:space="preserve"> AND BE PROVIDED BY THE SERVICE PROVIDER</w:t>
      </w:r>
      <w:r>
        <w:rPr>
          <w:b/>
        </w:rPr>
        <w:t>]</w:t>
      </w:r>
    </w:p>
    <w:bookmarkEnd w:id="2"/>
    <w:p w14:paraId="03821036" w14:textId="77777777" w:rsidR="00077662" w:rsidRDefault="00C57570" w:rsidP="00314BB0">
      <w:pPr>
        <w:jc w:val="both"/>
      </w:pPr>
      <w:r>
        <w:rPr>
          <w:b/>
        </w:rPr>
        <w:t xml:space="preserve"> </w:t>
      </w:r>
    </w:p>
    <w:p w14:paraId="2FB497A6" w14:textId="77777777" w:rsidR="00077662" w:rsidRDefault="00077662" w:rsidP="00314BB0">
      <w:pPr>
        <w:jc w:val="both"/>
      </w:pPr>
    </w:p>
    <w:p w14:paraId="3E2A7F57" w14:textId="77777777" w:rsidR="00A3549A" w:rsidRDefault="00A3549A" w:rsidP="00314BB0">
      <w:pPr>
        <w:autoSpaceDE w:val="0"/>
        <w:autoSpaceDN w:val="0"/>
        <w:adjustRightInd w:val="0"/>
        <w:jc w:val="both"/>
      </w:pPr>
    </w:p>
    <w:p w14:paraId="7F6403BE" w14:textId="77777777" w:rsidR="00A3549A" w:rsidRDefault="00A3549A" w:rsidP="00314BB0">
      <w:pPr>
        <w:jc w:val="both"/>
      </w:pPr>
    </w:p>
    <w:sectPr w:rsidR="00A3549A" w:rsidSect="00BD06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67F"/>
    <w:multiLevelType w:val="hybridMultilevel"/>
    <w:tmpl w:val="277C47C6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>
      <w:start w:val="1"/>
      <w:numFmt w:val="lowerRoman"/>
      <w:lvlText w:val="%3."/>
      <w:lvlJc w:val="right"/>
      <w:pPr>
        <w:ind w:left="3578" w:hanging="180"/>
      </w:pPr>
    </w:lvl>
    <w:lvl w:ilvl="3" w:tplc="0809000F">
      <w:start w:val="1"/>
      <w:numFmt w:val="decimal"/>
      <w:lvlText w:val="%4."/>
      <w:lvlJc w:val="left"/>
      <w:pPr>
        <w:ind w:left="4298" w:hanging="360"/>
      </w:pPr>
    </w:lvl>
    <w:lvl w:ilvl="4" w:tplc="08090019">
      <w:start w:val="1"/>
      <w:numFmt w:val="lowerLetter"/>
      <w:lvlText w:val="%5."/>
      <w:lvlJc w:val="left"/>
      <w:pPr>
        <w:ind w:left="5018" w:hanging="360"/>
      </w:pPr>
    </w:lvl>
    <w:lvl w:ilvl="5" w:tplc="0809001B">
      <w:start w:val="1"/>
      <w:numFmt w:val="lowerRoman"/>
      <w:lvlText w:val="%6."/>
      <w:lvlJc w:val="right"/>
      <w:pPr>
        <w:ind w:left="5738" w:hanging="180"/>
      </w:pPr>
    </w:lvl>
    <w:lvl w:ilvl="6" w:tplc="0809000F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C2D26B1"/>
    <w:multiLevelType w:val="hybridMultilevel"/>
    <w:tmpl w:val="304E85EE"/>
    <w:lvl w:ilvl="0" w:tplc="DD26BD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0FCD"/>
    <w:multiLevelType w:val="multilevel"/>
    <w:tmpl w:val="CA8A8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3FB1A40"/>
    <w:multiLevelType w:val="hybridMultilevel"/>
    <w:tmpl w:val="1F7EA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D2D32"/>
    <w:multiLevelType w:val="hybridMultilevel"/>
    <w:tmpl w:val="59FEFB5E"/>
    <w:lvl w:ilvl="0" w:tplc="AED8004A">
      <w:start w:val="1"/>
      <w:numFmt w:val="upperLetter"/>
      <w:lvlText w:val="(%1)"/>
      <w:lvlJc w:val="left"/>
      <w:pPr>
        <w:ind w:left="117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B6902"/>
    <w:multiLevelType w:val="hybridMultilevel"/>
    <w:tmpl w:val="9CA2587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7160E"/>
    <w:multiLevelType w:val="hybridMultilevel"/>
    <w:tmpl w:val="AE48A916"/>
    <w:lvl w:ilvl="0" w:tplc="85E8AF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A678C"/>
    <w:multiLevelType w:val="hybridMultilevel"/>
    <w:tmpl w:val="72FA47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2C3527"/>
    <w:multiLevelType w:val="multilevel"/>
    <w:tmpl w:val="9E7695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01268"/>
    <w:multiLevelType w:val="hybridMultilevel"/>
    <w:tmpl w:val="C028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B3E0B"/>
    <w:multiLevelType w:val="hybridMultilevel"/>
    <w:tmpl w:val="0222344A"/>
    <w:lvl w:ilvl="0" w:tplc="DD26BD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0699"/>
    <w:multiLevelType w:val="hybridMultilevel"/>
    <w:tmpl w:val="59FEFB5E"/>
    <w:lvl w:ilvl="0" w:tplc="AED8004A">
      <w:start w:val="1"/>
      <w:numFmt w:val="upperLetter"/>
      <w:lvlText w:val="(%1)"/>
      <w:lvlJc w:val="left"/>
      <w:pPr>
        <w:ind w:left="117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464B0"/>
    <w:multiLevelType w:val="hybridMultilevel"/>
    <w:tmpl w:val="818C80F8"/>
    <w:lvl w:ilvl="0" w:tplc="E04C66F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11D47"/>
    <w:multiLevelType w:val="multilevel"/>
    <w:tmpl w:val="D6B22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7A38A5"/>
    <w:multiLevelType w:val="multilevel"/>
    <w:tmpl w:val="89C8678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5" w15:restartNumberingAfterBreak="0">
    <w:nsid w:val="48C60920"/>
    <w:multiLevelType w:val="multilevel"/>
    <w:tmpl w:val="5D9A4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48F517B2"/>
    <w:multiLevelType w:val="multilevel"/>
    <w:tmpl w:val="60447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9501D2"/>
    <w:multiLevelType w:val="hybridMultilevel"/>
    <w:tmpl w:val="0F5806AC"/>
    <w:lvl w:ilvl="0" w:tplc="08090017">
      <w:start w:val="1"/>
      <w:numFmt w:val="lowerLetter"/>
      <w:lvlText w:val="%1)"/>
      <w:lvlJc w:val="left"/>
      <w:pPr>
        <w:ind w:left="16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C686660"/>
    <w:multiLevelType w:val="hybridMultilevel"/>
    <w:tmpl w:val="85E8A484"/>
    <w:lvl w:ilvl="0" w:tplc="F9549D6A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17960DD"/>
    <w:multiLevelType w:val="hybridMultilevel"/>
    <w:tmpl w:val="59FEFB5E"/>
    <w:lvl w:ilvl="0" w:tplc="AED8004A">
      <w:start w:val="1"/>
      <w:numFmt w:val="upperLetter"/>
      <w:lvlText w:val="(%1)"/>
      <w:lvlJc w:val="left"/>
      <w:pPr>
        <w:ind w:left="117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3E27E6"/>
    <w:multiLevelType w:val="hybridMultilevel"/>
    <w:tmpl w:val="801065E4"/>
    <w:lvl w:ilvl="0" w:tplc="860CFD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6511"/>
    <w:multiLevelType w:val="hybridMultilevel"/>
    <w:tmpl w:val="59FEFB5E"/>
    <w:lvl w:ilvl="0" w:tplc="AED8004A">
      <w:start w:val="1"/>
      <w:numFmt w:val="upperLetter"/>
      <w:lvlText w:val="(%1)"/>
      <w:lvlJc w:val="left"/>
      <w:pPr>
        <w:ind w:left="117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293D28"/>
    <w:multiLevelType w:val="hybridMultilevel"/>
    <w:tmpl w:val="F638527E"/>
    <w:lvl w:ilvl="0" w:tplc="AED8004A">
      <w:start w:val="1"/>
      <w:numFmt w:val="upperLetter"/>
      <w:lvlText w:val="(%1)"/>
      <w:lvlJc w:val="left"/>
      <w:pPr>
        <w:ind w:left="4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15E2CEB"/>
    <w:multiLevelType w:val="multilevel"/>
    <w:tmpl w:val="D598B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257BE0"/>
    <w:multiLevelType w:val="multilevel"/>
    <w:tmpl w:val="1F8A36F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9E5A9F"/>
    <w:multiLevelType w:val="multilevel"/>
    <w:tmpl w:val="758E66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FB8117D"/>
    <w:multiLevelType w:val="multilevel"/>
    <w:tmpl w:val="668EB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8"/>
  </w:num>
  <w:num w:numId="5">
    <w:abstractNumId w:val="20"/>
  </w:num>
  <w:num w:numId="6">
    <w:abstractNumId w:val="16"/>
  </w:num>
  <w:num w:numId="7">
    <w:abstractNumId w:val="6"/>
  </w:num>
  <w:num w:numId="8">
    <w:abstractNumId w:val="19"/>
  </w:num>
  <w:num w:numId="9">
    <w:abstractNumId w:val="21"/>
  </w:num>
  <w:num w:numId="10">
    <w:abstractNumId w:val="11"/>
  </w:num>
  <w:num w:numId="11">
    <w:abstractNumId w:val="22"/>
  </w:num>
  <w:num w:numId="12">
    <w:abstractNumId w:val="13"/>
  </w:num>
  <w:num w:numId="13">
    <w:abstractNumId w:val="23"/>
  </w:num>
  <w:num w:numId="14">
    <w:abstractNumId w:val="0"/>
  </w:num>
  <w:num w:numId="15">
    <w:abstractNumId w:val="15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17"/>
  </w:num>
  <w:num w:numId="21">
    <w:abstractNumId w:val="14"/>
  </w:num>
  <w:num w:numId="22">
    <w:abstractNumId w:val="10"/>
  </w:num>
  <w:num w:numId="23">
    <w:abstractNumId w:val="26"/>
  </w:num>
  <w:num w:numId="24">
    <w:abstractNumId w:val="24"/>
  </w:num>
  <w:num w:numId="25">
    <w:abstractNumId w:val="25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8C"/>
    <w:rsid w:val="00027B42"/>
    <w:rsid w:val="00072BC2"/>
    <w:rsid w:val="000769B9"/>
    <w:rsid w:val="00077662"/>
    <w:rsid w:val="00087EAB"/>
    <w:rsid w:val="00092CEF"/>
    <w:rsid w:val="000B3FAB"/>
    <w:rsid w:val="000B4310"/>
    <w:rsid w:val="000B4396"/>
    <w:rsid w:val="000B5366"/>
    <w:rsid w:val="000D4D3E"/>
    <w:rsid w:val="000D59F6"/>
    <w:rsid w:val="00106C9C"/>
    <w:rsid w:val="00137060"/>
    <w:rsid w:val="00160E51"/>
    <w:rsid w:val="001A2500"/>
    <w:rsid w:val="001D115A"/>
    <w:rsid w:val="00214AA0"/>
    <w:rsid w:val="00221430"/>
    <w:rsid w:val="00237A5E"/>
    <w:rsid w:val="002D3BCE"/>
    <w:rsid w:val="00314BB0"/>
    <w:rsid w:val="00382BA8"/>
    <w:rsid w:val="00396CF2"/>
    <w:rsid w:val="003D31E1"/>
    <w:rsid w:val="004000D7"/>
    <w:rsid w:val="0043319E"/>
    <w:rsid w:val="00453A10"/>
    <w:rsid w:val="0049553D"/>
    <w:rsid w:val="004A581F"/>
    <w:rsid w:val="004B5A6D"/>
    <w:rsid w:val="004D122A"/>
    <w:rsid w:val="00504E43"/>
    <w:rsid w:val="00522A85"/>
    <w:rsid w:val="00534169"/>
    <w:rsid w:val="00545184"/>
    <w:rsid w:val="00546450"/>
    <w:rsid w:val="00563133"/>
    <w:rsid w:val="00595FF7"/>
    <w:rsid w:val="005A01CA"/>
    <w:rsid w:val="00611CD7"/>
    <w:rsid w:val="00633D71"/>
    <w:rsid w:val="00637CC6"/>
    <w:rsid w:val="0067288C"/>
    <w:rsid w:val="00680037"/>
    <w:rsid w:val="006D3EAE"/>
    <w:rsid w:val="00704891"/>
    <w:rsid w:val="00734916"/>
    <w:rsid w:val="00750DC3"/>
    <w:rsid w:val="007908F4"/>
    <w:rsid w:val="007A00B8"/>
    <w:rsid w:val="007A3876"/>
    <w:rsid w:val="007C6C80"/>
    <w:rsid w:val="00810522"/>
    <w:rsid w:val="008859A5"/>
    <w:rsid w:val="008B5067"/>
    <w:rsid w:val="008C0043"/>
    <w:rsid w:val="0091582B"/>
    <w:rsid w:val="009264A8"/>
    <w:rsid w:val="0093631D"/>
    <w:rsid w:val="0097674C"/>
    <w:rsid w:val="009800FF"/>
    <w:rsid w:val="0098205B"/>
    <w:rsid w:val="009D63DD"/>
    <w:rsid w:val="00A00A06"/>
    <w:rsid w:val="00A05395"/>
    <w:rsid w:val="00A07931"/>
    <w:rsid w:val="00A3549A"/>
    <w:rsid w:val="00A447DE"/>
    <w:rsid w:val="00A67433"/>
    <w:rsid w:val="00A93525"/>
    <w:rsid w:val="00AA6A94"/>
    <w:rsid w:val="00AB4FA4"/>
    <w:rsid w:val="00AD1CAA"/>
    <w:rsid w:val="00B24508"/>
    <w:rsid w:val="00B35F9D"/>
    <w:rsid w:val="00B55F04"/>
    <w:rsid w:val="00BB7611"/>
    <w:rsid w:val="00BD0672"/>
    <w:rsid w:val="00C250BA"/>
    <w:rsid w:val="00C415BA"/>
    <w:rsid w:val="00C57570"/>
    <w:rsid w:val="00C75D1C"/>
    <w:rsid w:val="00C84F68"/>
    <w:rsid w:val="00C92E4D"/>
    <w:rsid w:val="00CB6CF1"/>
    <w:rsid w:val="00D87E91"/>
    <w:rsid w:val="00DC012A"/>
    <w:rsid w:val="00E166B2"/>
    <w:rsid w:val="00E5058E"/>
    <w:rsid w:val="00E845E7"/>
    <w:rsid w:val="00E86375"/>
    <w:rsid w:val="00F014CF"/>
    <w:rsid w:val="00F57AB8"/>
    <w:rsid w:val="00FD3A85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E278"/>
  <w15:docId w15:val="{0F4AB32B-920E-4BBB-8664-B762B3A4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B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AE"/>
    <w:pPr>
      <w:ind w:left="720"/>
      <w:contextualSpacing/>
    </w:pPr>
  </w:style>
  <w:style w:type="table" w:styleId="TableGrid">
    <w:name w:val="Table Grid"/>
    <w:basedOn w:val="TableNormal"/>
    <w:uiPriority w:val="59"/>
    <w:rsid w:val="00A3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E51"/>
    <w:rPr>
      <w:b/>
      <w:bCs/>
      <w:sz w:val="20"/>
      <w:szCs w:val="20"/>
    </w:rPr>
  </w:style>
  <w:style w:type="paragraph" w:customStyle="1" w:styleId="Default">
    <w:name w:val="Default"/>
    <w:rsid w:val="00314BB0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customStyle="1" w:styleId="Style1">
    <w:name w:val="Style1"/>
    <w:basedOn w:val="Heading3"/>
    <w:link w:val="Style1Char"/>
    <w:qFormat/>
    <w:rsid w:val="00314BB0"/>
    <w:pPr>
      <w:keepNext w:val="0"/>
      <w:keepLines w:val="0"/>
      <w:spacing w:before="240" w:after="60"/>
      <w:jc w:val="both"/>
    </w:pPr>
    <w:rPr>
      <w:rFonts w:eastAsia="Arial Unicode MS" w:cs="Times New Roman"/>
      <w:b/>
      <w:szCs w:val="20"/>
    </w:rPr>
  </w:style>
  <w:style w:type="character" w:customStyle="1" w:styleId="Style1Char">
    <w:name w:val="Style1 Char"/>
    <w:basedOn w:val="Heading3Char"/>
    <w:link w:val="Style1"/>
    <w:rsid w:val="00314BB0"/>
    <w:rPr>
      <w:rFonts w:asciiTheme="majorHAnsi" w:eastAsia="Arial Unicode MS" w:hAnsiTheme="majorHAnsi" w:cs="Times New Roman"/>
      <w:b/>
      <w:color w:val="243F60" w:themeColor="accent1" w:themeShade="7F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B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1">
    <w:name w:val="st1"/>
    <w:basedOn w:val="DefaultParagraphFont"/>
    <w:rsid w:val="000D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44B67503BF14BA4D40CD0C6DE0245" ma:contentTypeVersion="4" ma:contentTypeDescription="Create a new document." ma:contentTypeScope="" ma:versionID="d3ed6b56a22b829ae0573383c24b5627">
  <xsd:schema xmlns:xsd="http://www.w3.org/2001/XMLSchema" xmlns:xs="http://www.w3.org/2001/XMLSchema" xmlns:p="http://schemas.microsoft.com/office/2006/metadata/properties" xmlns:ns2="c844bf54-9789-4205-bb01-07cb0fb564d9" targetNamespace="http://schemas.microsoft.com/office/2006/metadata/properties" ma:root="true" ma:fieldsID="5c2102c68878d891a5381de12ffb0b10" ns2:_="">
    <xsd:import namespace="c844bf54-9789-4205-bb01-07cb0fb56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bf54-9789-4205-bb01-07cb0fb56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0F90-A338-47D2-877C-D072EE0A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4bf54-9789-4205-bb01-07cb0fb56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DC966-96A0-4174-A4D7-1AF0A1BBD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7B263-9338-4C2A-8F24-95E513AE4C3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844bf54-9789-4205-bb01-07cb0fb564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3B60B2-A30F-41D9-AF1D-80EF9762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mark.jermy</dc:creator>
  <cp:lastModifiedBy>Pinel, Stephen - Public Health</cp:lastModifiedBy>
  <cp:revision>5</cp:revision>
  <cp:lastPrinted>2012-05-28T12:21:00Z</cp:lastPrinted>
  <dcterms:created xsi:type="dcterms:W3CDTF">2020-08-06T10:20:00Z</dcterms:created>
  <dcterms:modified xsi:type="dcterms:W3CDTF">2020-08-07T11:26:00Z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0x0101007B944B67503BF14BA4D40CD0C6DE0245</vt:lpwstr>
  </property>
</Properties>
</file>