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0EBE5" w14:textId="77777777" w:rsidR="00AD36A5" w:rsidRPr="00BC652E" w:rsidRDefault="00AD36A5" w:rsidP="00AD36A5">
      <w:pPr>
        <w:pStyle w:val="Bodysubclause"/>
        <w:ind w:left="0"/>
        <w:rPr>
          <w:rFonts w:ascii="Lato" w:hAnsi="Lato"/>
          <w:color w:val="000000" w:themeColor="text1"/>
        </w:rPr>
      </w:pPr>
      <w:r w:rsidRPr="00BC652E">
        <w:rPr>
          <w:rFonts w:ascii="Lato" w:hAnsi="Lato"/>
          <w:color w:val="000000"/>
        </w:rPr>
        <w:t>The eligible tenders will be assessed in accordance with the following criteria</w:t>
      </w:r>
      <w:r w:rsidRPr="00BC652E">
        <w:rPr>
          <w:rFonts w:ascii="Lato" w:hAnsi="Lato"/>
          <w:color w:val="000000" w:themeColor="text1"/>
        </w:rPr>
        <w:t xml:space="preserve"> (</w:t>
      </w:r>
      <w:r w:rsidRPr="00BC652E">
        <w:rPr>
          <w:rFonts w:ascii="Lato" w:hAnsi="Lato"/>
          <w:b/>
          <w:color w:val="000000" w:themeColor="text1"/>
        </w:rPr>
        <w:t>Award Criteria</w:t>
      </w:r>
      <w:r w:rsidRPr="00BC652E">
        <w:rPr>
          <w:rFonts w:ascii="Lato" w:hAnsi="Lato"/>
          <w:color w:val="000000" w:themeColor="text1"/>
        </w:rPr>
        <w:t>):</w:t>
      </w:r>
    </w:p>
    <w:p w14:paraId="63866F81" w14:textId="76892F63" w:rsidR="00AD36A5" w:rsidRPr="00BC652E" w:rsidRDefault="00BC652E" w:rsidP="00AD36A5">
      <w:pPr>
        <w:pStyle w:val="Bullet2"/>
        <w:tabs>
          <w:tab w:val="clear" w:pos="1077"/>
          <w:tab w:val="left" w:pos="1418"/>
        </w:tabs>
        <w:ind w:left="1134" w:hanging="425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6</w:t>
      </w:r>
      <w:r w:rsidR="00AD36A5" w:rsidRPr="00BC652E">
        <w:rPr>
          <w:rFonts w:ascii="Lato" w:hAnsi="Lato"/>
          <w:color w:val="000000" w:themeColor="text1"/>
        </w:rPr>
        <w:t>0</w:t>
      </w:r>
      <w:r w:rsidR="00EB7D72" w:rsidRPr="00BC652E">
        <w:rPr>
          <w:rFonts w:ascii="Lato" w:hAnsi="Lato"/>
          <w:color w:val="000000" w:themeColor="text1"/>
        </w:rPr>
        <w:t xml:space="preserve"> marks </w:t>
      </w:r>
      <w:r w:rsidR="00AD36A5" w:rsidRPr="00BC652E">
        <w:rPr>
          <w:rFonts w:ascii="Lato" w:hAnsi="Lato"/>
          <w:color w:val="000000" w:themeColor="text1"/>
        </w:rPr>
        <w:t>quality</w:t>
      </w:r>
    </w:p>
    <w:p w14:paraId="4BC434FA" w14:textId="7D7D73C1" w:rsidR="00804F25" w:rsidRDefault="00804F25" w:rsidP="00AD36A5">
      <w:pPr>
        <w:pStyle w:val="Bullet2"/>
        <w:tabs>
          <w:tab w:val="clear" w:pos="1077"/>
          <w:tab w:val="left" w:pos="1418"/>
        </w:tabs>
        <w:ind w:left="1134" w:hanging="425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20 marks cost of design</w:t>
      </w:r>
    </w:p>
    <w:p w14:paraId="3770945C" w14:textId="39A6F5A3" w:rsidR="00AD36A5" w:rsidRPr="00BC652E" w:rsidRDefault="00EB7D72" w:rsidP="00AD36A5">
      <w:pPr>
        <w:pStyle w:val="Bullet2"/>
        <w:tabs>
          <w:tab w:val="clear" w:pos="1077"/>
          <w:tab w:val="left" w:pos="1418"/>
        </w:tabs>
        <w:ind w:left="1134" w:hanging="425"/>
        <w:rPr>
          <w:rFonts w:ascii="Lato" w:hAnsi="Lato"/>
          <w:color w:val="000000" w:themeColor="text1"/>
        </w:rPr>
      </w:pPr>
      <w:r w:rsidRPr="00BC652E">
        <w:rPr>
          <w:rFonts w:ascii="Lato" w:hAnsi="Lato"/>
          <w:color w:val="000000" w:themeColor="text1"/>
        </w:rPr>
        <w:t>90 marks</w:t>
      </w:r>
      <w:r w:rsidR="00AD36A5" w:rsidRPr="00BC652E">
        <w:rPr>
          <w:rFonts w:ascii="Lato" w:hAnsi="Lato"/>
          <w:color w:val="000000" w:themeColor="text1"/>
        </w:rPr>
        <w:t xml:space="preserve"> cost</w:t>
      </w:r>
      <w:r w:rsidR="00804F25">
        <w:rPr>
          <w:rFonts w:ascii="Lato" w:hAnsi="Lato"/>
          <w:color w:val="000000" w:themeColor="text1"/>
        </w:rPr>
        <w:t xml:space="preserve"> of printing</w:t>
      </w:r>
    </w:p>
    <w:p w14:paraId="74F867DB" w14:textId="77777777" w:rsidR="00AD36A5" w:rsidRPr="00BC652E" w:rsidRDefault="00AD36A5" w:rsidP="00AD36A5">
      <w:pPr>
        <w:pStyle w:val="Bodysubclause"/>
        <w:ind w:left="0"/>
        <w:rPr>
          <w:rFonts w:ascii="Lato" w:hAnsi="Lato"/>
          <w:color w:val="000000"/>
        </w:rPr>
      </w:pPr>
      <w:r w:rsidRPr="00BC652E">
        <w:rPr>
          <w:rFonts w:ascii="Lato" w:hAnsi="Lato"/>
          <w:color w:val="000000" w:themeColor="text1"/>
        </w:rPr>
        <w:t>Scores are arrived at following the application of the Evaluation Criteria (</w:t>
      </w:r>
      <w:r w:rsidRPr="00BC652E">
        <w:rPr>
          <w:rFonts w:ascii="Lato" w:hAnsi="Lato"/>
          <w:b/>
          <w:color w:val="000000" w:themeColor="text1"/>
        </w:rPr>
        <w:t>Evaluation Criteria</w:t>
      </w:r>
      <w:r w:rsidRPr="00BC652E">
        <w:rPr>
          <w:rFonts w:ascii="Lato" w:hAnsi="Lato"/>
          <w:color w:val="000000" w:themeColor="text1"/>
        </w:rPr>
        <w:t>) set out</w:t>
      </w:r>
      <w:r w:rsidRPr="00BC652E">
        <w:rPr>
          <w:rFonts w:ascii="Lato" w:hAnsi="Lato"/>
          <w:color w:val="000000"/>
        </w:rPr>
        <w:t xml:space="preserve"> below to the Tenderer's Tender.</w:t>
      </w:r>
    </w:p>
    <w:p w14:paraId="78B545F9" w14:textId="673C0F1B" w:rsidR="00AD36A5" w:rsidRPr="00BC652E" w:rsidRDefault="00AD36A5" w:rsidP="00341F4B">
      <w:pPr>
        <w:pStyle w:val="Bodysubclause"/>
        <w:ind w:left="0"/>
        <w:jc w:val="left"/>
        <w:rPr>
          <w:rFonts w:ascii="Lato" w:hAnsi="Lato"/>
          <w:color w:val="000000"/>
        </w:rPr>
      </w:pPr>
      <w:r w:rsidRPr="00BC652E">
        <w:rPr>
          <w:rFonts w:ascii="Lato" w:hAnsi="Lato"/>
          <w:color w:val="000000"/>
        </w:rPr>
        <w:t>Tenderers are required to submit a Tender strictly in accordance with the requirements set out in this</w:t>
      </w:r>
      <w:r w:rsidR="00341F4B">
        <w:rPr>
          <w:rFonts w:ascii="Lato" w:hAnsi="Lato"/>
          <w:color w:val="000000"/>
        </w:rPr>
        <w:t xml:space="preserve"> Invitation </w:t>
      </w:r>
      <w:proofErr w:type="gramStart"/>
      <w:r w:rsidR="00341F4B">
        <w:rPr>
          <w:rFonts w:ascii="Lato" w:hAnsi="Lato"/>
          <w:color w:val="000000"/>
        </w:rPr>
        <w:t>T</w:t>
      </w:r>
      <w:r w:rsidR="00817118">
        <w:rPr>
          <w:rFonts w:ascii="Lato" w:hAnsi="Lato"/>
          <w:color w:val="000000"/>
        </w:rPr>
        <w:t>o</w:t>
      </w:r>
      <w:proofErr w:type="gramEnd"/>
      <w:r w:rsidR="00817118">
        <w:rPr>
          <w:rFonts w:ascii="Lato" w:hAnsi="Lato"/>
          <w:color w:val="000000"/>
        </w:rPr>
        <w:t xml:space="preserve"> Tender</w:t>
      </w:r>
      <w:r w:rsidR="00341F4B">
        <w:rPr>
          <w:rFonts w:ascii="Lato" w:hAnsi="Lato"/>
          <w:color w:val="000000"/>
        </w:rPr>
        <w:t xml:space="preserve"> (ITT)</w:t>
      </w:r>
      <w:r w:rsidRPr="00BC652E">
        <w:rPr>
          <w:rFonts w:ascii="Lato" w:hAnsi="Lato"/>
          <w:color w:val="000000"/>
        </w:rPr>
        <w:t xml:space="preserve">, to ensure the </w:t>
      </w:r>
      <w:r w:rsidR="00BC652E" w:rsidRPr="00BC652E">
        <w:rPr>
          <w:rFonts w:ascii="Lato" w:hAnsi="Lato"/>
          <w:color w:val="000000"/>
        </w:rPr>
        <w:t>Council</w:t>
      </w:r>
      <w:r w:rsidRPr="00BC652E">
        <w:rPr>
          <w:rFonts w:ascii="Lato" w:hAnsi="Lato"/>
          <w:color w:val="000000"/>
        </w:rPr>
        <w:t xml:space="preserve"> has the correct information to make the evaluation. Evasive, unclear or hedged Tenders may be discounted in evaluation and </w:t>
      </w:r>
      <w:proofErr w:type="gramStart"/>
      <w:r w:rsidRPr="00BC652E">
        <w:rPr>
          <w:rFonts w:ascii="Lato" w:hAnsi="Lato"/>
          <w:color w:val="000000"/>
        </w:rPr>
        <w:t xml:space="preserve">may, at the </w:t>
      </w:r>
      <w:r w:rsidR="00BC652E" w:rsidRPr="00BC652E">
        <w:rPr>
          <w:rFonts w:ascii="Lato" w:hAnsi="Lato"/>
          <w:color w:val="000000"/>
        </w:rPr>
        <w:t>Council’s</w:t>
      </w:r>
      <w:r w:rsidRPr="00BC652E">
        <w:rPr>
          <w:rFonts w:ascii="Lato" w:hAnsi="Lato"/>
          <w:color w:val="000000"/>
        </w:rPr>
        <w:t xml:space="preserve"> discretion, be taken</w:t>
      </w:r>
      <w:proofErr w:type="gramEnd"/>
      <w:r w:rsidRPr="00BC652E">
        <w:rPr>
          <w:rFonts w:ascii="Lato" w:hAnsi="Lato"/>
          <w:color w:val="000000"/>
        </w:rPr>
        <w:t xml:space="preserve"> as a rejection by the Tenderer of the terms set out in this ITT.</w:t>
      </w:r>
    </w:p>
    <w:p w14:paraId="5D4A66C1" w14:textId="77777777" w:rsidR="00AD36A5" w:rsidRPr="00BC652E" w:rsidRDefault="00AD36A5" w:rsidP="00AD36A5">
      <w:pPr>
        <w:pStyle w:val="Bodysubclause"/>
        <w:ind w:left="0"/>
        <w:rPr>
          <w:rFonts w:ascii="Lato" w:hAnsi="Lato"/>
          <w:color w:val="000000"/>
        </w:rPr>
      </w:pPr>
      <w:r w:rsidRPr="00BC652E">
        <w:rPr>
          <w:rFonts w:ascii="Lato" w:hAnsi="Lato"/>
          <w:color w:val="000000"/>
        </w:rPr>
        <w:t>The Council reserves a right to seek clarification from tenderers during the tender evaluation process and to take appropriate steps to ensure all tenders can be assessed on an equal basis.</w:t>
      </w:r>
    </w:p>
    <w:p w14:paraId="0A54D95A" w14:textId="77777777" w:rsidR="00AD36A5" w:rsidRPr="00BC652E" w:rsidRDefault="00AD36A5" w:rsidP="00AD36A5">
      <w:pPr>
        <w:pStyle w:val="Bodysubclause"/>
        <w:ind w:left="0"/>
        <w:rPr>
          <w:rFonts w:ascii="Lato" w:hAnsi="Lato"/>
          <w:color w:val="000000"/>
        </w:rPr>
      </w:pPr>
      <w:r w:rsidRPr="00BC652E">
        <w:rPr>
          <w:rFonts w:ascii="Lato" w:hAnsi="Lato"/>
          <w:color w:val="000000"/>
        </w:rPr>
        <w:t xml:space="preserve">The Tender Evaluation Model showing the Evaluation Criteria and the maximum scores attributable to them is set out below. </w:t>
      </w:r>
    </w:p>
    <w:p w14:paraId="74230000" w14:textId="77777777" w:rsidR="00AD36A5" w:rsidRPr="00341F4B" w:rsidRDefault="00AD36A5" w:rsidP="00341F4B">
      <w:pPr>
        <w:pStyle w:val="Heading2"/>
      </w:pPr>
      <w:r w:rsidRPr="00341F4B">
        <w:t>Scoring matrix for the technical and quality criteria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061"/>
      </w:tblGrid>
      <w:tr w:rsidR="00AD36A5" w:rsidRPr="00BC652E" w14:paraId="669BF76A" w14:textId="77777777" w:rsidTr="003575A1">
        <w:tc>
          <w:tcPr>
            <w:tcW w:w="1246" w:type="dxa"/>
          </w:tcPr>
          <w:p w14:paraId="7DC3E394" w14:textId="77777777" w:rsidR="00AD36A5" w:rsidRPr="00BC652E" w:rsidRDefault="00AD36A5" w:rsidP="003575A1">
            <w:pPr>
              <w:pStyle w:val="NormalCell"/>
              <w:ind w:left="34"/>
              <w:rPr>
                <w:rFonts w:ascii="Lato" w:hAnsi="Lato"/>
                <w:color w:val="000000"/>
              </w:rPr>
            </w:pPr>
            <w:r w:rsidRPr="00BC652E">
              <w:rPr>
                <w:rFonts w:ascii="Lato" w:hAnsi="Lato"/>
                <w:color w:val="000000"/>
              </w:rPr>
              <w:t>0</w:t>
            </w:r>
          </w:p>
        </w:tc>
        <w:tc>
          <w:tcPr>
            <w:tcW w:w="7061" w:type="dxa"/>
          </w:tcPr>
          <w:p w14:paraId="5EFE8E0A" w14:textId="77777777" w:rsidR="00AD36A5" w:rsidRPr="00BC652E" w:rsidRDefault="00AD36A5" w:rsidP="003575A1">
            <w:pPr>
              <w:pStyle w:val="NormalCell"/>
              <w:ind w:left="64"/>
              <w:rPr>
                <w:rFonts w:ascii="Lato" w:hAnsi="Lato"/>
                <w:color w:val="000000"/>
              </w:rPr>
            </w:pPr>
            <w:r w:rsidRPr="00BC652E">
              <w:rPr>
                <w:rFonts w:ascii="Lato" w:hAnsi="Lato"/>
                <w:color w:val="000000"/>
              </w:rPr>
              <w:t>Completely fails to meet required standard or does not provide a proposal.</w:t>
            </w:r>
          </w:p>
        </w:tc>
      </w:tr>
      <w:tr w:rsidR="00AD36A5" w:rsidRPr="00BC652E" w14:paraId="14A3A676" w14:textId="77777777" w:rsidTr="003575A1">
        <w:tc>
          <w:tcPr>
            <w:tcW w:w="1246" w:type="dxa"/>
          </w:tcPr>
          <w:p w14:paraId="086F78ED" w14:textId="77777777" w:rsidR="00AD36A5" w:rsidRPr="00BC652E" w:rsidRDefault="00AD36A5" w:rsidP="003575A1">
            <w:pPr>
              <w:pStyle w:val="NormalCell"/>
              <w:ind w:left="34"/>
              <w:rPr>
                <w:rFonts w:ascii="Lato" w:hAnsi="Lato"/>
                <w:color w:val="000000"/>
              </w:rPr>
            </w:pPr>
            <w:r w:rsidRPr="00BC652E"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7061" w:type="dxa"/>
          </w:tcPr>
          <w:p w14:paraId="377EC04A" w14:textId="77777777" w:rsidR="00AD36A5" w:rsidRPr="00BC652E" w:rsidRDefault="00AD36A5" w:rsidP="003575A1">
            <w:pPr>
              <w:pStyle w:val="NormalCell"/>
              <w:ind w:left="64"/>
              <w:rPr>
                <w:rFonts w:ascii="Lato" w:hAnsi="Lato"/>
                <w:color w:val="000000"/>
              </w:rPr>
            </w:pPr>
            <w:r w:rsidRPr="00BC652E">
              <w:rPr>
                <w:rFonts w:ascii="Lato" w:hAnsi="Lato"/>
                <w:color w:val="000000"/>
              </w:rPr>
              <w:t>Proposal significantly fails to meet the standards required, contains significant shortcomings or is inconsistent with other proposals.</w:t>
            </w:r>
          </w:p>
        </w:tc>
      </w:tr>
      <w:tr w:rsidR="00AD36A5" w:rsidRPr="00BC652E" w14:paraId="30144B70" w14:textId="77777777" w:rsidTr="003575A1">
        <w:tc>
          <w:tcPr>
            <w:tcW w:w="1246" w:type="dxa"/>
          </w:tcPr>
          <w:p w14:paraId="6535AC98" w14:textId="77777777" w:rsidR="00AD36A5" w:rsidRPr="00BC652E" w:rsidRDefault="00AD36A5" w:rsidP="003575A1">
            <w:pPr>
              <w:pStyle w:val="NormalCell"/>
              <w:ind w:left="34"/>
              <w:rPr>
                <w:rFonts w:ascii="Lato" w:hAnsi="Lato"/>
                <w:color w:val="000000"/>
              </w:rPr>
            </w:pPr>
            <w:r w:rsidRPr="00BC652E"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7061" w:type="dxa"/>
          </w:tcPr>
          <w:p w14:paraId="572B381B" w14:textId="77777777" w:rsidR="00AD36A5" w:rsidRPr="00BC652E" w:rsidRDefault="00AD36A5" w:rsidP="003575A1">
            <w:pPr>
              <w:pStyle w:val="NormalCell"/>
              <w:ind w:left="64"/>
              <w:rPr>
                <w:rFonts w:ascii="Lato" w:hAnsi="Lato"/>
                <w:color w:val="000000"/>
              </w:rPr>
            </w:pPr>
            <w:r w:rsidRPr="00BC652E">
              <w:rPr>
                <w:rFonts w:ascii="Lato" w:hAnsi="Lato"/>
                <w:color w:val="000000"/>
              </w:rPr>
              <w:t>Proposal falls short of achieving expected standard in a number of identifiable respects.</w:t>
            </w:r>
          </w:p>
        </w:tc>
      </w:tr>
      <w:tr w:rsidR="00AD36A5" w:rsidRPr="00BC652E" w14:paraId="0D67C528" w14:textId="77777777" w:rsidTr="003575A1">
        <w:tc>
          <w:tcPr>
            <w:tcW w:w="1246" w:type="dxa"/>
          </w:tcPr>
          <w:p w14:paraId="159EC32F" w14:textId="77777777" w:rsidR="00AD36A5" w:rsidRPr="00BC652E" w:rsidRDefault="00AD36A5" w:rsidP="003575A1">
            <w:pPr>
              <w:pStyle w:val="NormalCell"/>
              <w:ind w:left="34"/>
              <w:rPr>
                <w:rFonts w:ascii="Lato" w:hAnsi="Lato"/>
                <w:color w:val="000000"/>
              </w:rPr>
            </w:pPr>
            <w:r w:rsidRPr="00BC652E"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7061" w:type="dxa"/>
          </w:tcPr>
          <w:p w14:paraId="06B29E18" w14:textId="77777777" w:rsidR="00AD36A5" w:rsidRPr="00BC652E" w:rsidRDefault="00AD36A5" w:rsidP="003575A1">
            <w:pPr>
              <w:pStyle w:val="NormalCell"/>
              <w:ind w:left="64"/>
              <w:rPr>
                <w:rFonts w:ascii="Lato" w:hAnsi="Lato"/>
                <w:color w:val="000000"/>
              </w:rPr>
            </w:pPr>
            <w:r w:rsidRPr="00BC652E">
              <w:rPr>
                <w:rFonts w:ascii="Lato" w:hAnsi="Lato"/>
                <w:color w:val="000000"/>
              </w:rPr>
              <w:t>Proposal meets the required standard in most material respects, but is lacking or inconsistent in others.</w:t>
            </w:r>
          </w:p>
        </w:tc>
      </w:tr>
      <w:tr w:rsidR="00AD36A5" w:rsidRPr="00BC652E" w14:paraId="160C09E1" w14:textId="77777777" w:rsidTr="003575A1">
        <w:tc>
          <w:tcPr>
            <w:tcW w:w="1246" w:type="dxa"/>
          </w:tcPr>
          <w:p w14:paraId="6103391D" w14:textId="77777777" w:rsidR="00AD36A5" w:rsidRPr="00BC652E" w:rsidRDefault="00AD36A5" w:rsidP="003575A1">
            <w:pPr>
              <w:pStyle w:val="NormalCell"/>
              <w:ind w:left="34"/>
              <w:rPr>
                <w:rFonts w:ascii="Lato" w:hAnsi="Lato"/>
                <w:color w:val="000000"/>
              </w:rPr>
            </w:pPr>
            <w:r w:rsidRPr="00BC652E"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7061" w:type="dxa"/>
          </w:tcPr>
          <w:p w14:paraId="53B30678" w14:textId="77777777" w:rsidR="00AD36A5" w:rsidRPr="00BC652E" w:rsidRDefault="00AD36A5" w:rsidP="003575A1">
            <w:pPr>
              <w:pStyle w:val="NormalCell"/>
              <w:ind w:left="64"/>
              <w:rPr>
                <w:rFonts w:ascii="Lato" w:hAnsi="Lato"/>
                <w:color w:val="000000"/>
              </w:rPr>
            </w:pPr>
            <w:r w:rsidRPr="00BC652E">
              <w:rPr>
                <w:rFonts w:ascii="Lato" w:hAnsi="Lato"/>
                <w:color w:val="000000"/>
              </w:rPr>
              <w:t>Proposal meets the required standard in all material respects.</w:t>
            </w:r>
          </w:p>
        </w:tc>
      </w:tr>
      <w:tr w:rsidR="00AD36A5" w:rsidRPr="00BC652E" w14:paraId="4B37F635" w14:textId="77777777" w:rsidTr="003575A1">
        <w:tc>
          <w:tcPr>
            <w:tcW w:w="1246" w:type="dxa"/>
          </w:tcPr>
          <w:p w14:paraId="66E3BFDF" w14:textId="77777777" w:rsidR="00AD36A5" w:rsidRPr="00BC652E" w:rsidRDefault="00AD36A5" w:rsidP="003575A1">
            <w:pPr>
              <w:pStyle w:val="NormalCell"/>
              <w:ind w:left="34"/>
              <w:rPr>
                <w:rFonts w:ascii="Lato" w:hAnsi="Lato"/>
                <w:color w:val="000000"/>
              </w:rPr>
            </w:pPr>
            <w:r w:rsidRPr="00BC652E">
              <w:rPr>
                <w:rFonts w:ascii="Lato" w:hAnsi="Lato"/>
                <w:color w:val="000000"/>
              </w:rPr>
              <w:t>5</w:t>
            </w:r>
          </w:p>
        </w:tc>
        <w:tc>
          <w:tcPr>
            <w:tcW w:w="7061" w:type="dxa"/>
          </w:tcPr>
          <w:p w14:paraId="4A44C49F" w14:textId="77777777" w:rsidR="00AD36A5" w:rsidRPr="00BC652E" w:rsidRDefault="00AD36A5" w:rsidP="003575A1">
            <w:pPr>
              <w:pStyle w:val="NormalCell"/>
              <w:ind w:left="64"/>
              <w:rPr>
                <w:rFonts w:ascii="Lato" w:hAnsi="Lato"/>
                <w:color w:val="000000"/>
              </w:rPr>
            </w:pPr>
            <w:r w:rsidRPr="00BC652E">
              <w:rPr>
                <w:rFonts w:ascii="Lato" w:hAnsi="Lato"/>
                <w:color w:val="000000"/>
              </w:rPr>
              <w:t>Proposal meets the required standard in all material respects and exceeds some or all of the major requirements.</w:t>
            </w:r>
          </w:p>
        </w:tc>
      </w:tr>
    </w:tbl>
    <w:p w14:paraId="3CED1F0E" w14:textId="77777777" w:rsidR="00BC652E" w:rsidRPr="00BC652E" w:rsidRDefault="00BC652E" w:rsidP="00AD36A5">
      <w:pPr>
        <w:pStyle w:val="Bodysubclause"/>
        <w:ind w:left="0"/>
        <w:rPr>
          <w:rFonts w:ascii="Lato" w:hAnsi="Lato"/>
          <w:color w:val="000000"/>
          <w:u w:val="single"/>
        </w:rPr>
      </w:pPr>
    </w:p>
    <w:p w14:paraId="2B6D1B5F" w14:textId="77777777" w:rsidR="00AD36A5" w:rsidRPr="00341F4B" w:rsidRDefault="00AD36A5" w:rsidP="00341F4B">
      <w:pPr>
        <w:pStyle w:val="Heading2"/>
      </w:pPr>
      <w:bookmarkStart w:id="0" w:name="_GoBack"/>
      <w:bookmarkEnd w:id="0"/>
      <w:r w:rsidRPr="00341F4B">
        <w:t>Evaluation Criteria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4325"/>
        <w:gridCol w:w="2000"/>
      </w:tblGrid>
      <w:tr w:rsidR="00AD36A5" w:rsidRPr="00BC652E" w14:paraId="60474718" w14:textId="77777777" w:rsidTr="003575A1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3BFCDFA" w14:textId="77777777" w:rsidR="00AD36A5" w:rsidRPr="00BC652E" w:rsidRDefault="00AD36A5" w:rsidP="00AD36A5">
            <w:pPr>
              <w:spacing w:before="60" w:after="60" w:line="276" w:lineRule="auto"/>
              <w:ind w:left="-9"/>
              <w:rPr>
                <w:rFonts w:eastAsia="MS Mincho" w:cs="Arial"/>
                <w:b/>
                <w:color w:val="000000"/>
                <w:lang w:eastAsia="ja-JP"/>
              </w:rPr>
            </w:pPr>
            <w:r w:rsidRPr="00BC652E">
              <w:rPr>
                <w:rFonts w:eastAsia="MS Mincho" w:cs="Arial"/>
                <w:b/>
                <w:color w:val="000000"/>
                <w:lang w:eastAsia="ja-JP"/>
              </w:rPr>
              <w:t xml:space="preserve">Evaluation Criteria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4DA7B8" w14:textId="77777777" w:rsidR="00AD36A5" w:rsidRPr="00BC652E" w:rsidRDefault="00AD36A5" w:rsidP="003575A1">
            <w:pPr>
              <w:spacing w:before="60" w:after="60" w:line="276" w:lineRule="auto"/>
              <w:rPr>
                <w:rFonts w:eastAsia="MS Mincho" w:cs="Arial"/>
                <w:b/>
                <w:color w:val="000000"/>
                <w:lang w:eastAsia="ja-JP"/>
              </w:rPr>
            </w:pPr>
            <w:r w:rsidRPr="00BC652E">
              <w:rPr>
                <w:rFonts w:eastAsia="MS Mincho" w:cs="Arial"/>
                <w:b/>
                <w:color w:val="000000"/>
                <w:lang w:eastAsia="ja-JP"/>
              </w:rPr>
              <w:t>Expected Content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E2804A6" w14:textId="77777777" w:rsidR="00AD36A5" w:rsidRPr="00BC652E" w:rsidRDefault="00AD36A5" w:rsidP="003575A1">
            <w:pPr>
              <w:spacing w:before="60" w:after="60" w:line="276" w:lineRule="auto"/>
              <w:ind w:left="7"/>
              <w:jc w:val="center"/>
              <w:rPr>
                <w:rFonts w:eastAsia="MS Mincho" w:cs="Arial"/>
                <w:b/>
                <w:color w:val="000000"/>
                <w:lang w:eastAsia="ja-JP"/>
              </w:rPr>
            </w:pPr>
            <w:r w:rsidRPr="00BC652E">
              <w:rPr>
                <w:rFonts w:eastAsia="MS Mincho" w:cs="Arial"/>
                <w:b/>
                <w:color w:val="000000"/>
                <w:lang w:eastAsia="ja-JP"/>
              </w:rPr>
              <w:t>Weighting</w:t>
            </w:r>
          </w:p>
        </w:tc>
      </w:tr>
      <w:tr w:rsidR="00AD36A5" w:rsidRPr="00BC652E" w14:paraId="344FE11B" w14:textId="77777777" w:rsidTr="003575A1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480D" w14:textId="77777777" w:rsidR="00AD36A5" w:rsidRPr="00BC652E" w:rsidRDefault="009E2B11" w:rsidP="009E2B11">
            <w:pPr>
              <w:spacing w:line="276" w:lineRule="auto"/>
              <w:ind w:left="22"/>
              <w:rPr>
                <w:rFonts w:eastAsia="MS Mincho" w:cs="Arial"/>
                <w:i/>
                <w:color w:val="FF0000"/>
                <w:lang w:eastAsia="ja-JP"/>
              </w:rPr>
            </w:pPr>
            <w:r w:rsidRPr="00BC652E">
              <w:rPr>
                <w:color w:val="000000"/>
                <w:lang w:eastAsia="en-GB"/>
              </w:rPr>
              <w:t>Resilience</w:t>
            </w:r>
            <w:r w:rsidR="00AD36A5" w:rsidRPr="00BC652E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D685" w14:textId="77777777" w:rsidR="00AD36A5" w:rsidRPr="00BC652E" w:rsidRDefault="009E2B11" w:rsidP="003575A1">
            <w:pPr>
              <w:ind w:left="22"/>
              <w:rPr>
                <w:color w:val="000000"/>
                <w:lang w:eastAsia="en-GB"/>
              </w:rPr>
            </w:pPr>
            <w:r w:rsidRPr="00BC652E">
              <w:rPr>
                <w:color w:val="000000"/>
                <w:lang w:eastAsia="en-GB"/>
              </w:rPr>
              <w:t>Demonstrate capacity to carry out the specification, staffing resilience in the case of absences</w:t>
            </w:r>
            <w:r w:rsidR="00963729" w:rsidRPr="00BC652E">
              <w:rPr>
                <w:color w:val="000000"/>
                <w:lang w:eastAsia="en-GB"/>
              </w:rPr>
              <w:t>. This may include example of existing or previous contracts.</w:t>
            </w:r>
          </w:p>
          <w:p w14:paraId="62615DD8" w14:textId="77777777" w:rsidR="00AD36A5" w:rsidRPr="00BC652E" w:rsidRDefault="00AD36A5" w:rsidP="003575A1">
            <w:pPr>
              <w:spacing w:line="276" w:lineRule="auto"/>
              <w:ind w:left="22"/>
              <w:rPr>
                <w:rFonts w:eastAsia="MS Mincho" w:cs="Arial"/>
                <w:color w:val="FF0000"/>
                <w:lang w:eastAsia="ja-JP"/>
              </w:rPr>
            </w:pPr>
            <w:r w:rsidRPr="00BC652E">
              <w:rPr>
                <w:color w:val="000000"/>
                <w:lang w:eastAsia="en-GB"/>
              </w:rPr>
              <w:t>(Max 2 sides of A4)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3C8" w14:textId="77777777" w:rsidR="00AD36A5" w:rsidRPr="00BC652E" w:rsidRDefault="009E2B11" w:rsidP="003575A1">
            <w:pPr>
              <w:spacing w:before="60" w:after="60" w:line="276" w:lineRule="auto"/>
              <w:ind w:left="22"/>
              <w:jc w:val="center"/>
              <w:rPr>
                <w:rFonts w:eastAsia="MS Mincho" w:cs="Arial"/>
                <w:color w:val="FF0000"/>
                <w:lang w:eastAsia="ja-JP"/>
              </w:rPr>
            </w:pPr>
            <w:r w:rsidRPr="00BC652E">
              <w:rPr>
                <w:color w:val="000000"/>
                <w:lang w:eastAsia="en-GB"/>
              </w:rPr>
              <w:t>2</w:t>
            </w:r>
            <w:r w:rsidR="00AD36A5" w:rsidRPr="00BC652E">
              <w:rPr>
                <w:color w:val="000000"/>
                <w:lang w:eastAsia="en-GB"/>
              </w:rPr>
              <w:t>5</w:t>
            </w:r>
          </w:p>
        </w:tc>
      </w:tr>
      <w:tr w:rsidR="00AD36A5" w:rsidRPr="00BC652E" w14:paraId="2FAB87F3" w14:textId="77777777" w:rsidTr="003575A1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8D4A" w14:textId="77777777" w:rsidR="00AD36A5" w:rsidRPr="00BC652E" w:rsidRDefault="009E2B11" w:rsidP="009E2B11">
            <w:pPr>
              <w:spacing w:line="276" w:lineRule="auto"/>
              <w:ind w:left="-9"/>
              <w:rPr>
                <w:rFonts w:eastAsia="MS Mincho" w:cs="Arial"/>
                <w:i/>
                <w:color w:val="FF0000"/>
                <w:lang w:eastAsia="ja-JP"/>
              </w:rPr>
            </w:pPr>
            <w:r w:rsidRPr="00BC652E">
              <w:rPr>
                <w:color w:val="000000"/>
                <w:lang w:eastAsia="en-GB"/>
              </w:rPr>
              <w:t>Understanding the requirements of local authority clients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50D5" w14:textId="77777777" w:rsidR="00AD36A5" w:rsidRPr="00BC652E" w:rsidRDefault="00AD36A5" w:rsidP="003575A1">
            <w:pPr>
              <w:rPr>
                <w:color w:val="000000"/>
                <w:lang w:eastAsia="en-GB"/>
              </w:rPr>
            </w:pPr>
            <w:r w:rsidRPr="00BC652E">
              <w:rPr>
                <w:color w:val="000000"/>
                <w:lang w:eastAsia="en-GB"/>
              </w:rPr>
              <w:t xml:space="preserve">Provide </w:t>
            </w:r>
            <w:r w:rsidR="009E2B11" w:rsidRPr="00BC652E">
              <w:rPr>
                <w:color w:val="000000"/>
                <w:lang w:eastAsia="en-GB"/>
              </w:rPr>
              <w:t>knowledge or experience of the requirements of local authority clients and the particular priorities that they face</w:t>
            </w:r>
            <w:r w:rsidR="001F0FDA" w:rsidRPr="00BC652E">
              <w:rPr>
                <w:color w:val="000000"/>
                <w:lang w:eastAsia="en-GB"/>
              </w:rPr>
              <w:t>. This may include giving a reference for previous local authority clients.</w:t>
            </w:r>
          </w:p>
          <w:p w14:paraId="4071EC72" w14:textId="77777777" w:rsidR="00AD36A5" w:rsidRPr="00BC652E" w:rsidRDefault="00AD36A5" w:rsidP="003575A1">
            <w:pPr>
              <w:tabs>
                <w:tab w:val="left" w:pos="459"/>
              </w:tabs>
              <w:spacing w:line="264" w:lineRule="auto"/>
              <w:outlineLvl w:val="1"/>
              <w:rPr>
                <w:rFonts w:cs="Arial"/>
                <w:color w:val="FF0000"/>
                <w:lang w:eastAsia="ja-JP"/>
              </w:rPr>
            </w:pPr>
            <w:r w:rsidRPr="00BC652E">
              <w:rPr>
                <w:color w:val="000000"/>
                <w:lang w:eastAsia="en-GB"/>
              </w:rPr>
              <w:t>(Max 1 side of A4)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AEEC" w14:textId="77777777" w:rsidR="00AD36A5" w:rsidRPr="00BC652E" w:rsidRDefault="009E2B11" w:rsidP="003575A1">
            <w:pPr>
              <w:spacing w:before="60" w:after="60" w:line="276" w:lineRule="auto"/>
              <w:ind w:left="7"/>
              <w:jc w:val="center"/>
              <w:rPr>
                <w:rFonts w:eastAsia="MS Mincho" w:cs="Arial"/>
                <w:color w:val="FF0000"/>
                <w:lang w:eastAsia="ja-JP"/>
              </w:rPr>
            </w:pPr>
            <w:r w:rsidRPr="00BC652E">
              <w:rPr>
                <w:color w:val="000000"/>
                <w:lang w:eastAsia="en-GB"/>
              </w:rPr>
              <w:t>10</w:t>
            </w:r>
          </w:p>
        </w:tc>
      </w:tr>
      <w:tr w:rsidR="00AD36A5" w:rsidRPr="00BC652E" w14:paraId="51B3F3C4" w14:textId="77777777" w:rsidTr="003575A1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44A0" w14:textId="77777777" w:rsidR="00AD36A5" w:rsidRPr="00BC652E" w:rsidRDefault="009E2B11" w:rsidP="003575A1">
            <w:pPr>
              <w:spacing w:line="276" w:lineRule="auto"/>
              <w:ind w:left="-9"/>
              <w:rPr>
                <w:rFonts w:eastAsia="MS Mincho" w:cs="Arial"/>
                <w:i/>
                <w:color w:val="FF0000"/>
                <w:lang w:eastAsia="ja-JP"/>
              </w:rPr>
            </w:pPr>
            <w:r w:rsidRPr="00BC652E">
              <w:rPr>
                <w:color w:val="000000"/>
                <w:lang w:eastAsia="en-GB"/>
              </w:rPr>
              <w:t>Net Zero Carbon Emissions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95AE" w14:textId="77777777" w:rsidR="009E2B11" w:rsidRPr="00BC652E" w:rsidRDefault="00AD36A5" w:rsidP="003575A1">
            <w:pPr>
              <w:rPr>
                <w:color w:val="000000"/>
                <w:lang w:eastAsia="en-GB"/>
              </w:rPr>
            </w:pPr>
            <w:r w:rsidRPr="00BC652E">
              <w:rPr>
                <w:color w:val="000000"/>
                <w:lang w:eastAsia="en-GB"/>
              </w:rPr>
              <w:t>Provide details of</w:t>
            </w:r>
          </w:p>
          <w:p w14:paraId="5D7EE8BC" w14:textId="77777777" w:rsidR="009E2B11" w:rsidRPr="00BC652E" w:rsidRDefault="00AD36A5" w:rsidP="009E2B1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eastAsia="en-GB"/>
              </w:rPr>
            </w:pPr>
            <w:r w:rsidRPr="00BC652E">
              <w:rPr>
                <w:color w:val="000000"/>
                <w:lang w:eastAsia="en-GB"/>
              </w:rPr>
              <w:t xml:space="preserve">your approach </w:t>
            </w:r>
            <w:r w:rsidR="009E2B11" w:rsidRPr="00BC652E">
              <w:rPr>
                <w:color w:val="000000"/>
                <w:lang w:eastAsia="en-GB"/>
              </w:rPr>
              <w:t>in</w:t>
            </w:r>
            <w:r w:rsidRPr="00BC652E">
              <w:rPr>
                <w:color w:val="000000"/>
                <w:lang w:eastAsia="en-GB"/>
              </w:rPr>
              <w:t xml:space="preserve"> </w:t>
            </w:r>
            <w:r w:rsidR="009E2B11" w:rsidRPr="00BC652E">
              <w:rPr>
                <w:color w:val="000000"/>
                <w:lang w:eastAsia="en-GB"/>
              </w:rPr>
              <w:t>working towards net zero</w:t>
            </w:r>
          </w:p>
          <w:p w14:paraId="68B35ACC" w14:textId="77777777" w:rsidR="00EB7D72" w:rsidRPr="00BC652E" w:rsidRDefault="009E2B11" w:rsidP="009E2B1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eastAsia="en-GB"/>
              </w:rPr>
            </w:pPr>
            <w:r w:rsidRPr="00BC652E">
              <w:rPr>
                <w:color w:val="000000"/>
                <w:lang w:eastAsia="en-GB"/>
              </w:rPr>
              <w:t>steps relating to scopes 1 to 3</w:t>
            </w:r>
          </w:p>
          <w:p w14:paraId="43AF3088" w14:textId="77777777" w:rsidR="00EB7D72" w:rsidRPr="00BC652E" w:rsidRDefault="00EB7D72" w:rsidP="009E2B1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eastAsia="en-GB"/>
              </w:rPr>
            </w:pPr>
            <w:r w:rsidRPr="00BC652E">
              <w:rPr>
                <w:color w:val="000000"/>
                <w:lang w:eastAsia="en-GB"/>
              </w:rPr>
              <w:t>carbon reduction plan</w:t>
            </w:r>
          </w:p>
          <w:p w14:paraId="32E5A4E1" w14:textId="77777777" w:rsidR="00EB7D72" w:rsidRPr="00BC652E" w:rsidRDefault="00EB7D72" w:rsidP="009E2B1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eastAsia="en-GB"/>
              </w:rPr>
            </w:pPr>
            <w:r w:rsidRPr="00BC652E">
              <w:rPr>
                <w:color w:val="000000"/>
                <w:lang w:eastAsia="en-GB"/>
              </w:rPr>
              <w:t xml:space="preserve">identifying and applying approaches to avoid or minimise </w:t>
            </w:r>
            <w:r w:rsidRPr="00BC652E">
              <w:t>emissions/embedded carbon from materials, equipment, vehicles and working practices</w:t>
            </w:r>
            <w:r w:rsidRPr="00BC652E">
              <w:rPr>
                <w:color w:val="000000"/>
                <w:lang w:eastAsia="en-GB"/>
              </w:rPr>
              <w:t xml:space="preserve"> </w:t>
            </w:r>
          </w:p>
          <w:p w14:paraId="2EF30C8D" w14:textId="77777777" w:rsidR="00AD36A5" w:rsidRPr="00BC652E" w:rsidRDefault="00EB7D72" w:rsidP="00EB7D72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eastAsia="en-GB"/>
              </w:rPr>
            </w:pPr>
            <w:proofErr w:type="gramStart"/>
            <w:r w:rsidRPr="00BC652E">
              <w:t>adopting</w:t>
            </w:r>
            <w:proofErr w:type="gramEnd"/>
            <w:r w:rsidRPr="00BC652E">
              <w:t xml:space="preserve"> a formal approach to environmental management, ideally by applying a recognised standard such as the Kent STEM Scheme, ISO14001, EMAS, or Acorn</w:t>
            </w:r>
            <w:r w:rsidRPr="00BC652E">
              <w:rPr>
                <w:color w:val="000000"/>
                <w:lang w:eastAsia="en-GB"/>
              </w:rPr>
              <w:t xml:space="preserve"> </w:t>
            </w:r>
            <w:r w:rsidR="00AD36A5" w:rsidRPr="00BC652E">
              <w:rPr>
                <w:color w:val="000000"/>
                <w:lang w:eastAsia="en-GB"/>
              </w:rPr>
              <w:t>The use of green technologies are welcome.</w:t>
            </w:r>
          </w:p>
          <w:p w14:paraId="3D355BA2" w14:textId="77777777" w:rsidR="00AD36A5" w:rsidRPr="00BC652E" w:rsidRDefault="00AD36A5" w:rsidP="003575A1">
            <w:pPr>
              <w:tabs>
                <w:tab w:val="left" w:pos="434"/>
              </w:tabs>
              <w:spacing w:line="264" w:lineRule="auto"/>
              <w:contextualSpacing/>
              <w:outlineLvl w:val="1"/>
              <w:rPr>
                <w:rFonts w:eastAsia="MS Mincho" w:cs="Arial"/>
                <w:color w:val="FF0000"/>
                <w:lang w:eastAsia="ja-JP"/>
              </w:rPr>
            </w:pPr>
            <w:r w:rsidRPr="00BC652E">
              <w:rPr>
                <w:color w:val="000000"/>
                <w:lang w:eastAsia="en-GB"/>
              </w:rPr>
              <w:t>(Max 2 sides of A4)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2A98" w14:textId="77777777" w:rsidR="00AD36A5" w:rsidRPr="00BC652E" w:rsidRDefault="009E2B11" w:rsidP="003575A1">
            <w:pPr>
              <w:spacing w:before="60" w:after="60" w:line="276" w:lineRule="auto"/>
              <w:ind w:left="7"/>
              <w:jc w:val="center"/>
              <w:rPr>
                <w:rFonts w:eastAsia="MS Mincho" w:cs="Arial"/>
                <w:color w:val="FF0000"/>
                <w:lang w:eastAsia="ja-JP"/>
              </w:rPr>
            </w:pPr>
            <w:r w:rsidRPr="00BC652E">
              <w:rPr>
                <w:color w:val="000000"/>
                <w:lang w:eastAsia="en-GB"/>
              </w:rPr>
              <w:t>1</w:t>
            </w:r>
            <w:r w:rsidR="00AD36A5" w:rsidRPr="00BC652E">
              <w:rPr>
                <w:color w:val="000000"/>
                <w:lang w:eastAsia="en-GB"/>
              </w:rPr>
              <w:t>5</w:t>
            </w:r>
          </w:p>
        </w:tc>
      </w:tr>
      <w:tr w:rsidR="00DB3694" w:rsidRPr="00BC652E" w14:paraId="4C07523B" w14:textId="77777777" w:rsidTr="003575A1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8B47" w14:textId="0217E5D6" w:rsidR="00DB3694" w:rsidRPr="00BC652E" w:rsidRDefault="00DB3694" w:rsidP="003575A1">
            <w:pPr>
              <w:spacing w:line="276" w:lineRule="auto"/>
              <w:ind w:left="-9"/>
              <w:rPr>
                <w:color w:val="000000"/>
                <w:lang w:eastAsia="en-GB"/>
              </w:rPr>
            </w:pPr>
            <w:r w:rsidRPr="00BC652E">
              <w:rPr>
                <w:color w:val="000000"/>
                <w:lang w:eastAsia="en-GB"/>
              </w:rPr>
              <w:t xml:space="preserve">Example </w:t>
            </w:r>
            <w:r w:rsidR="006F7A00">
              <w:rPr>
                <w:color w:val="000000"/>
                <w:lang w:eastAsia="en-GB"/>
              </w:rPr>
              <w:t>publication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2446" w14:textId="77777777" w:rsidR="00DB3694" w:rsidRPr="006F7A00" w:rsidRDefault="00DB3694" w:rsidP="003575A1">
            <w:pPr>
              <w:rPr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01C" w14:textId="77777777" w:rsidR="00DB3694" w:rsidRPr="00BC652E" w:rsidRDefault="00BC652E" w:rsidP="003575A1">
            <w:pPr>
              <w:spacing w:before="60" w:after="60" w:line="276" w:lineRule="auto"/>
              <w:ind w:left="7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</w:p>
        </w:tc>
      </w:tr>
      <w:tr w:rsidR="00AD36A5" w:rsidRPr="00BC652E" w14:paraId="11E465DA" w14:textId="77777777" w:rsidTr="003575A1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A7607" w14:textId="77777777" w:rsidR="00AD36A5" w:rsidRPr="00BC652E" w:rsidRDefault="00AD36A5" w:rsidP="003575A1">
            <w:pPr>
              <w:spacing w:before="60" w:after="60" w:line="276" w:lineRule="auto"/>
              <w:ind w:left="-9"/>
              <w:rPr>
                <w:rFonts w:eastAsia="MS Mincho" w:cs="Arial"/>
                <w:b/>
                <w:color w:val="000000"/>
                <w:lang w:eastAsia="ja-JP"/>
              </w:rPr>
            </w:pPr>
            <w:r w:rsidRPr="00BC652E">
              <w:rPr>
                <w:rFonts w:eastAsia="MS Mincho" w:cs="Arial"/>
                <w:b/>
                <w:color w:val="000000"/>
                <w:lang w:eastAsia="ja-JP"/>
              </w:rPr>
              <w:t>Total marks available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BEC727" w14:textId="77777777" w:rsidR="00AD36A5" w:rsidRPr="00BC652E" w:rsidRDefault="00AD36A5" w:rsidP="003575A1">
            <w:pPr>
              <w:spacing w:before="60" w:after="60" w:line="276" w:lineRule="auto"/>
              <w:rPr>
                <w:rFonts w:eastAsia="MS Mincho" w:cs="Arial"/>
                <w:b/>
                <w:color w:val="000000"/>
                <w:lang w:eastAsia="ja-JP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EB107D" w14:textId="69D8FAC9" w:rsidR="00AD36A5" w:rsidRPr="00BC652E" w:rsidRDefault="00BC652E" w:rsidP="009E2B11">
            <w:pPr>
              <w:spacing w:before="60" w:after="60" w:line="276" w:lineRule="auto"/>
              <w:ind w:left="7"/>
              <w:jc w:val="center"/>
              <w:rPr>
                <w:rFonts w:eastAsia="MS Mincho" w:cs="Arial"/>
                <w:b/>
                <w:color w:val="000000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lang w:eastAsia="ja-JP"/>
              </w:rPr>
              <w:t>6</w:t>
            </w:r>
            <w:r w:rsidR="00EB7D72" w:rsidRPr="00BC652E">
              <w:rPr>
                <w:rFonts w:eastAsia="MS Mincho" w:cs="Arial"/>
                <w:b/>
                <w:color w:val="000000"/>
                <w:lang w:eastAsia="ja-JP"/>
              </w:rPr>
              <w:t>0</w:t>
            </w:r>
          </w:p>
        </w:tc>
      </w:tr>
    </w:tbl>
    <w:p w14:paraId="022418E4" w14:textId="77777777" w:rsidR="00BC652E" w:rsidRDefault="00BC652E" w:rsidP="00BC652E">
      <w:pPr>
        <w:pStyle w:val="Heading2"/>
      </w:pPr>
    </w:p>
    <w:p w14:paraId="3DDB9B40" w14:textId="77777777" w:rsidR="00BC652E" w:rsidRDefault="00BC652E">
      <w:pPr>
        <w:spacing w:after="160" w:line="259" w:lineRule="auto"/>
        <w:rPr>
          <w:b/>
          <w:color w:val="000000"/>
          <w:sz w:val="28"/>
          <w:szCs w:val="20"/>
        </w:rPr>
      </w:pPr>
      <w:r>
        <w:br w:type="page"/>
      </w:r>
    </w:p>
    <w:p w14:paraId="2CDFB77A" w14:textId="77777777" w:rsidR="00EB7D72" w:rsidRPr="00341F4B" w:rsidRDefault="00EB7D72" w:rsidP="00341F4B">
      <w:pPr>
        <w:pStyle w:val="Heading2"/>
      </w:pPr>
      <w:r w:rsidRPr="00341F4B">
        <w:lastRenderedPageBreak/>
        <w:t>Cost evaluation</w:t>
      </w:r>
    </w:p>
    <w:p w14:paraId="1D8E89E8" w14:textId="4F0EFED7" w:rsidR="00EB7D72" w:rsidRDefault="00EB7D72" w:rsidP="00341F4B">
      <w:pPr>
        <w:pStyle w:val="Bodysubclause"/>
        <w:ind w:left="0"/>
        <w:jc w:val="left"/>
        <w:rPr>
          <w:rFonts w:ascii="Lato" w:hAnsi="Lato"/>
          <w:color w:val="000000" w:themeColor="text1"/>
        </w:rPr>
      </w:pPr>
      <w:r w:rsidRPr="00BC652E">
        <w:rPr>
          <w:rFonts w:ascii="Lato" w:hAnsi="Lato"/>
          <w:color w:val="000000" w:themeColor="text1"/>
        </w:rPr>
        <w:t>Bid prices will be scored on a comparative basis with the bid providing the lowest cost to the Council receiving 100% of the available marks (</w:t>
      </w:r>
      <w:r w:rsidR="00672219">
        <w:rPr>
          <w:rFonts w:ascii="Lato" w:hAnsi="Lato"/>
          <w:color w:val="000000" w:themeColor="text1"/>
        </w:rPr>
        <w:t>6</w:t>
      </w:r>
      <w:r w:rsidRPr="00BC652E">
        <w:rPr>
          <w:rFonts w:ascii="Lato" w:hAnsi="Lato"/>
          <w:color w:val="000000" w:themeColor="text1"/>
        </w:rPr>
        <w:t>0% following weighting). All other bids will be compared against that bid.</w:t>
      </w:r>
    </w:p>
    <w:p w14:paraId="0D53625D" w14:textId="63810989" w:rsidR="00804F25" w:rsidRDefault="00804F25" w:rsidP="00341F4B">
      <w:pPr>
        <w:pStyle w:val="Bodysubclause"/>
        <w:ind w:left="0"/>
        <w:jc w:val="left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The cost evaluations are broken down between the cost of design (20 points) and the cost of printing (90 point in each lot).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1"/>
        <w:gridCol w:w="2925"/>
      </w:tblGrid>
      <w:tr w:rsidR="00804F25" w:rsidRPr="00BC652E" w14:paraId="6112EE0A" w14:textId="77777777" w:rsidTr="0075704D">
        <w:tc>
          <w:tcPr>
            <w:tcW w:w="3378" w:type="pct"/>
            <w:shd w:val="clear" w:color="auto" w:fill="D9D9D9" w:themeFill="background1" w:themeFillShade="D9"/>
          </w:tcPr>
          <w:p w14:paraId="4E5F46F2" w14:textId="0E4FA091" w:rsidR="00804F25" w:rsidRPr="006F7A00" w:rsidRDefault="00804F25" w:rsidP="0075704D">
            <w:pPr>
              <w:spacing w:before="120" w:after="120"/>
              <w:rPr>
                <w:b/>
              </w:rPr>
            </w:pPr>
            <w:r>
              <w:rPr>
                <w:b/>
              </w:rPr>
              <w:t>Design</w:t>
            </w:r>
          </w:p>
        </w:tc>
        <w:tc>
          <w:tcPr>
            <w:tcW w:w="1622" w:type="pct"/>
            <w:shd w:val="clear" w:color="auto" w:fill="D9D9D9" w:themeFill="background1" w:themeFillShade="D9"/>
          </w:tcPr>
          <w:p w14:paraId="3831944C" w14:textId="77777777" w:rsidR="00804F25" w:rsidRPr="00BC652E" w:rsidRDefault="00804F25" w:rsidP="0075704D">
            <w:pPr>
              <w:spacing w:before="120" w:after="120"/>
              <w:rPr>
                <w:b/>
              </w:rPr>
            </w:pPr>
            <w:r w:rsidRPr="00BC652E">
              <w:rPr>
                <w:b/>
              </w:rPr>
              <w:t>Score</w:t>
            </w:r>
          </w:p>
        </w:tc>
      </w:tr>
      <w:tr w:rsidR="00804F25" w:rsidRPr="00BC652E" w14:paraId="5441F654" w14:textId="77777777" w:rsidTr="0075704D">
        <w:tc>
          <w:tcPr>
            <w:tcW w:w="3378" w:type="pct"/>
          </w:tcPr>
          <w:p w14:paraId="2E42EBF2" w14:textId="2B2D73D6" w:rsidR="00804F25" w:rsidRPr="00BC652E" w:rsidRDefault="00804F25" w:rsidP="00804F25">
            <w:pPr>
              <w:spacing w:before="120" w:after="120"/>
            </w:pPr>
            <w:r w:rsidRPr="00BC652E">
              <w:t xml:space="preserve">Cost of </w:t>
            </w:r>
            <w:r>
              <w:t>design</w:t>
            </w:r>
          </w:p>
        </w:tc>
        <w:tc>
          <w:tcPr>
            <w:tcW w:w="1622" w:type="pct"/>
          </w:tcPr>
          <w:p w14:paraId="5862757C" w14:textId="051B2B5A" w:rsidR="00804F25" w:rsidRPr="00BC652E" w:rsidRDefault="00804F25" w:rsidP="0075704D">
            <w:pPr>
              <w:spacing w:before="120" w:after="120"/>
            </w:pPr>
            <w:r>
              <w:t>2</w:t>
            </w:r>
            <w:r>
              <w:t>0</w:t>
            </w:r>
            <w:r w:rsidRPr="00BC652E">
              <w:t xml:space="preserve"> points</w:t>
            </w:r>
          </w:p>
        </w:tc>
      </w:tr>
      <w:tr w:rsidR="00804F25" w:rsidRPr="00BC652E" w14:paraId="765040B7" w14:textId="77777777" w:rsidTr="0075704D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6195E141" w14:textId="77777777" w:rsidR="00804F25" w:rsidRPr="00BC652E" w:rsidRDefault="00804F25" w:rsidP="0075704D">
            <w:pPr>
              <w:spacing w:before="120" w:after="120" w:line="276" w:lineRule="auto"/>
              <w:ind w:left="-9"/>
              <w:rPr>
                <w:rFonts w:eastAsia="MS Mincho" w:cs="Arial"/>
                <w:b/>
                <w:color w:val="000000"/>
                <w:lang w:eastAsia="ja-JP"/>
              </w:rPr>
            </w:pPr>
            <w:r w:rsidRPr="00BC652E">
              <w:rPr>
                <w:rFonts w:eastAsia="MS Mincho" w:cs="Arial"/>
                <w:b/>
                <w:color w:val="000000"/>
                <w:lang w:eastAsia="ja-JP"/>
              </w:rPr>
              <w:t>Total marks available</w:t>
            </w:r>
          </w:p>
        </w:tc>
        <w:tc>
          <w:tcPr>
            <w:tcW w:w="1622" w:type="pct"/>
            <w:shd w:val="clear" w:color="auto" w:fill="D9D9D9" w:themeFill="background1" w:themeFillShade="D9"/>
          </w:tcPr>
          <w:p w14:paraId="4DEF745F" w14:textId="4E7DB5F4" w:rsidR="00804F25" w:rsidRPr="00BC652E" w:rsidRDefault="00804F25" w:rsidP="0075704D">
            <w:pPr>
              <w:spacing w:before="120" w:after="120" w:line="276" w:lineRule="auto"/>
              <w:ind w:left="7"/>
              <w:jc w:val="center"/>
              <w:rPr>
                <w:rFonts w:eastAsia="MS Mincho" w:cs="Arial"/>
                <w:b/>
                <w:color w:val="000000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lang w:eastAsia="ja-JP"/>
              </w:rPr>
              <w:t>20</w:t>
            </w:r>
          </w:p>
        </w:tc>
      </w:tr>
    </w:tbl>
    <w:p w14:paraId="6857BA76" w14:textId="08993E13" w:rsidR="00804F25" w:rsidRDefault="00804F25" w:rsidP="00341F4B">
      <w:pPr>
        <w:pStyle w:val="Bodysubclause"/>
        <w:ind w:left="0"/>
        <w:jc w:val="left"/>
        <w:rPr>
          <w:rFonts w:ascii="Lato" w:hAnsi="Lato"/>
          <w:color w:val="000000" w:themeColor="text1"/>
        </w:rPr>
      </w:pPr>
    </w:p>
    <w:p w14:paraId="498E604D" w14:textId="77777777" w:rsidR="00804F25" w:rsidRPr="00BC652E" w:rsidRDefault="00804F25" w:rsidP="00341F4B">
      <w:pPr>
        <w:pStyle w:val="Bodysubclause"/>
        <w:ind w:left="0"/>
        <w:jc w:val="left"/>
        <w:rPr>
          <w:rFonts w:ascii="Lato" w:hAnsi="Lato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1"/>
        <w:gridCol w:w="2925"/>
      </w:tblGrid>
      <w:tr w:rsidR="00EB7D72" w:rsidRPr="00BC652E" w14:paraId="79ECD14A" w14:textId="77777777" w:rsidTr="00341F4B">
        <w:tc>
          <w:tcPr>
            <w:tcW w:w="3378" w:type="pct"/>
            <w:shd w:val="clear" w:color="auto" w:fill="D9D9D9" w:themeFill="background1" w:themeFillShade="D9"/>
          </w:tcPr>
          <w:p w14:paraId="004D40CF" w14:textId="0B3E2EE0" w:rsidR="00EB7D72" w:rsidRPr="006F7A00" w:rsidRDefault="00804F25" w:rsidP="00804F25">
            <w:pPr>
              <w:spacing w:before="120" w:after="120"/>
              <w:rPr>
                <w:b/>
              </w:rPr>
            </w:pPr>
            <w:r>
              <w:rPr>
                <w:b/>
              </w:rPr>
              <w:t>Printing (</w:t>
            </w:r>
            <w:r w:rsidR="00341F4B">
              <w:rPr>
                <w:b/>
              </w:rPr>
              <w:t>Lot 1</w:t>
            </w:r>
            <w:r>
              <w:rPr>
                <w:b/>
              </w:rPr>
              <w:t>)</w:t>
            </w:r>
            <w:r w:rsidR="00341F4B">
              <w:rPr>
                <w:b/>
              </w:rPr>
              <w:t xml:space="preserve"> – environmentally friendly paper</w:t>
            </w:r>
            <w:r>
              <w:rPr>
                <w:b/>
              </w:rPr>
              <w:t xml:space="preserve"> </w:t>
            </w:r>
          </w:p>
        </w:tc>
        <w:tc>
          <w:tcPr>
            <w:tcW w:w="1622" w:type="pct"/>
            <w:shd w:val="clear" w:color="auto" w:fill="D9D9D9" w:themeFill="background1" w:themeFillShade="D9"/>
          </w:tcPr>
          <w:p w14:paraId="2EBBE92B" w14:textId="264A007F" w:rsidR="00EB7D72" w:rsidRPr="00BC652E" w:rsidRDefault="00341F4B" w:rsidP="00341F4B">
            <w:pPr>
              <w:spacing w:before="120" w:after="120"/>
              <w:rPr>
                <w:b/>
              </w:rPr>
            </w:pPr>
            <w:r w:rsidRPr="00BC652E">
              <w:rPr>
                <w:b/>
              </w:rPr>
              <w:t>Score</w:t>
            </w:r>
          </w:p>
        </w:tc>
      </w:tr>
      <w:tr w:rsidR="00EB7D72" w:rsidRPr="00BC652E" w14:paraId="64E0004A" w14:textId="77777777" w:rsidTr="00341F4B">
        <w:tc>
          <w:tcPr>
            <w:tcW w:w="3378" w:type="pct"/>
          </w:tcPr>
          <w:p w14:paraId="69AF1A3E" w14:textId="77777777" w:rsidR="00EB7D72" w:rsidRPr="00BC652E" w:rsidRDefault="00EB7D72" w:rsidP="00341F4B">
            <w:pPr>
              <w:spacing w:before="120" w:after="120"/>
            </w:pPr>
            <w:r w:rsidRPr="00BC652E">
              <w:t>Cost of printing In-Shape (24 pages)</w:t>
            </w:r>
          </w:p>
        </w:tc>
        <w:tc>
          <w:tcPr>
            <w:tcW w:w="1622" w:type="pct"/>
          </w:tcPr>
          <w:p w14:paraId="7D8EA86B" w14:textId="448F5F5C" w:rsidR="00EB7D72" w:rsidRPr="00BC652E" w:rsidRDefault="00817118" w:rsidP="00341F4B">
            <w:pPr>
              <w:spacing w:before="120" w:after="120"/>
            </w:pPr>
            <w:r>
              <w:t>80</w:t>
            </w:r>
            <w:r w:rsidRPr="00BC652E">
              <w:t xml:space="preserve"> </w:t>
            </w:r>
            <w:r w:rsidR="00EB7D72" w:rsidRPr="00BC652E">
              <w:t>points</w:t>
            </w:r>
          </w:p>
        </w:tc>
      </w:tr>
      <w:tr w:rsidR="00EB7D72" w:rsidRPr="00BC652E" w14:paraId="5E0DA571" w14:textId="77777777" w:rsidTr="00341F4B">
        <w:tc>
          <w:tcPr>
            <w:tcW w:w="3378" w:type="pct"/>
          </w:tcPr>
          <w:p w14:paraId="0077F49F" w14:textId="77777777" w:rsidR="00EB7D72" w:rsidRPr="00BC652E" w:rsidRDefault="00EB7D72" w:rsidP="00341F4B">
            <w:pPr>
              <w:spacing w:before="120" w:after="120"/>
            </w:pPr>
            <w:r w:rsidRPr="00BC652E">
              <w:t>Run on cost per 1,000 per edition (at 24 pages of A4)</w:t>
            </w:r>
          </w:p>
        </w:tc>
        <w:tc>
          <w:tcPr>
            <w:tcW w:w="1622" w:type="pct"/>
          </w:tcPr>
          <w:p w14:paraId="14F03428" w14:textId="4B4A285C" w:rsidR="00EB7D72" w:rsidRPr="00BC652E" w:rsidRDefault="00817118" w:rsidP="00341F4B">
            <w:pPr>
              <w:spacing w:before="120" w:after="120"/>
            </w:pPr>
            <w:r>
              <w:t>10</w:t>
            </w:r>
            <w:r w:rsidR="00EB7D72" w:rsidRPr="00BC652E">
              <w:t xml:space="preserve"> points</w:t>
            </w:r>
          </w:p>
        </w:tc>
      </w:tr>
      <w:tr w:rsidR="00EB7D72" w:rsidRPr="00BC652E" w14:paraId="4D3CED50" w14:textId="77777777" w:rsidTr="00341F4B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1437FF00" w14:textId="77777777" w:rsidR="00EB7D72" w:rsidRPr="00BC652E" w:rsidRDefault="00EB7D72" w:rsidP="00341F4B">
            <w:pPr>
              <w:spacing w:before="120" w:after="120" w:line="276" w:lineRule="auto"/>
              <w:ind w:left="-9"/>
              <w:rPr>
                <w:rFonts w:eastAsia="MS Mincho" w:cs="Arial"/>
                <w:b/>
                <w:color w:val="000000"/>
                <w:lang w:eastAsia="ja-JP"/>
              </w:rPr>
            </w:pPr>
            <w:r w:rsidRPr="00BC652E">
              <w:rPr>
                <w:rFonts w:eastAsia="MS Mincho" w:cs="Arial"/>
                <w:b/>
                <w:color w:val="000000"/>
                <w:lang w:eastAsia="ja-JP"/>
              </w:rPr>
              <w:t>Total marks available</w:t>
            </w:r>
          </w:p>
        </w:tc>
        <w:tc>
          <w:tcPr>
            <w:tcW w:w="1622" w:type="pct"/>
            <w:shd w:val="clear" w:color="auto" w:fill="D9D9D9" w:themeFill="background1" w:themeFillShade="D9"/>
          </w:tcPr>
          <w:p w14:paraId="433E6F34" w14:textId="77777777" w:rsidR="00EB7D72" w:rsidRPr="00BC652E" w:rsidRDefault="0083696C" w:rsidP="00341F4B">
            <w:pPr>
              <w:spacing w:before="120" w:after="120" w:line="276" w:lineRule="auto"/>
              <w:ind w:left="7"/>
              <w:jc w:val="center"/>
              <w:rPr>
                <w:rFonts w:eastAsia="MS Mincho" w:cs="Arial"/>
                <w:b/>
                <w:color w:val="000000"/>
                <w:lang w:eastAsia="ja-JP"/>
              </w:rPr>
            </w:pPr>
            <w:r w:rsidRPr="00BC652E">
              <w:rPr>
                <w:rFonts w:eastAsia="MS Mincho" w:cs="Arial"/>
                <w:b/>
                <w:color w:val="000000"/>
                <w:lang w:eastAsia="ja-JP"/>
              </w:rPr>
              <w:t>9</w:t>
            </w:r>
            <w:r w:rsidR="00EB7D72" w:rsidRPr="00BC652E">
              <w:rPr>
                <w:rFonts w:eastAsia="MS Mincho" w:cs="Arial"/>
                <w:b/>
                <w:color w:val="000000"/>
                <w:lang w:eastAsia="ja-JP"/>
              </w:rPr>
              <w:t>0</w:t>
            </w:r>
          </w:p>
        </w:tc>
      </w:tr>
    </w:tbl>
    <w:p w14:paraId="35690495" w14:textId="7AD4741A" w:rsidR="007171E3" w:rsidRDefault="007171E3" w:rsidP="00341F4B">
      <w:pPr>
        <w:spacing w:before="120" w:after="120"/>
      </w:pPr>
    </w:p>
    <w:p w14:paraId="4377006E" w14:textId="475866E2" w:rsidR="00817118" w:rsidRDefault="00817118" w:rsidP="00341F4B">
      <w:pPr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1"/>
        <w:gridCol w:w="2925"/>
      </w:tblGrid>
      <w:tr w:rsidR="00817118" w:rsidRPr="00BC652E" w14:paraId="2957A632" w14:textId="77777777" w:rsidTr="00341F4B">
        <w:tc>
          <w:tcPr>
            <w:tcW w:w="3378" w:type="pct"/>
            <w:shd w:val="clear" w:color="auto" w:fill="D9D9D9" w:themeFill="background1" w:themeFillShade="D9"/>
          </w:tcPr>
          <w:p w14:paraId="4D3192E7" w14:textId="3EB7DF47" w:rsidR="00817118" w:rsidRPr="006F7A00" w:rsidRDefault="00804F25" w:rsidP="00341F4B">
            <w:pPr>
              <w:spacing w:before="120" w:after="120"/>
              <w:rPr>
                <w:b/>
              </w:rPr>
            </w:pPr>
            <w:r>
              <w:rPr>
                <w:b/>
              </w:rPr>
              <w:t>Printing (</w:t>
            </w:r>
            <w:r w:rsidR="00341F4B">
              <w:rPr>
                <w:b/>
              </w:rPr>
              <w:t>Lot 2</w:t>
            </w:r>
            <w:r>
              <w:rPr>
                <w:b/>
              </w:rPr>
              <w:t>)</w:t>
            </w:r>
            <w:r w:rsidR="00341F4B">
              <w:rPr>
                <w:b/>
              </w:rPr>
              <w:t xml:space="preserve"> – carbon neutral paper</w:t>
            </w:r>
            <w:r>
              <w:rPr>
                <w:b/>
              </w:rPr>
              <w:t xml:space="preserve"> printing</w:t>
            </w:r>
          </w:p>
        </w:tc>
        <w:tc>
          <w:tcPr>
            <w:tcW w:w="1622" w:type="pct"/>
            <w:shd w:val="clear" w:color="auto" w:fill="D9D9D9" w:themeFill="background1" w:themeFillShade="D9"/>
          </w:tcPr>
          <w:p w14:paraId="01DD7ED7" w14:textId="77777777" w:rsidR="00817118" w:rsidRPr="00BC652E" w:rsidRDefault="00817118" w:rsidP="00341F4B">
            <w:pPr>
              <w:spacing w:before="120" w:after="120"/>
              <w:rPr>
                <w:b/>
              </w:rPr>
            </w:pPr>
            <w:r w:rsidRPr="00BC652E">
              <w:rPr>
                <w:b/>
              </w:rPr>
              <w:t>SCORE</w:t>
            </w:r>
          </w:p>
        </w:tc>
      </w:tr>
      <w:tr w:rsidR="00817118" w:rsidRPr="00BC652E" w14:paraId="40EC08A4" w14:textId="77777777" w:rsidTr="00341F4B">
        <w:tc>
          <w:tcPr>
            <w:tcW w:w="3378" w:type="pct"/>
          </w:tcPr>
          <w:p w14:paraId="6D7058C3" w14:textId="77777777" w:rsidR="00817118" w:rsidRPr="00BC652E" w:rsidRDefault="00817118" w:rsidP="00341F4B">
            <w:pPr>
              <w:spacing w:before="120" w:after="120"/>
            </w:pPr>
            <w:r w:rsidRPr="00BC652E">
              <w:t>Cost of printing In-Shape (24 pages)</w:t>
            </w:r>
          </w:p>
        </w:tc>
        <w:tc>
          <w:tcPr>
            <w:tcW w:w="1622" w:type="pct"/>
          </w:tcPr>
          <w:p w14:paraId="0A0A1C4A" w14:textId="135BE10B" w:rsidR="00817118" w:rsidRPr="00BC652E" w:rsidRDefault="00817118" w:rsidP="00341F4B">
            <w:pPr>
              <w:spacing w:before="120" w:after="120"/>
            </w:pPr>
            <w:r>
              <w:t>8</w:t>
            </w:r>
            <w:r w:rsidRPr="00BC652E">
              <w:t>0 points</w:t>
            </w:r>
          </w:p>
        </w:tc>
      </w:tr>
      <w:tr w:rsidR="00817118" w:rsidRPr="00BC652E" w14:paraId="75D15CDE" w14:textId="77777777" w:rsidTr="00341F4B">
        <w:tc>
          <w:tcPr>
            <w:tcW w:w="3378" w:type="pct"/>
          </w:tcPr>
          <w:p w14:paraId="3A14598A" w14:textId="77777777" w:rsidR="00817118" w:rsidRPr="00BC652E" w:rsidRDefault="00817118" w:rsidP="00341F4B">
            <w:pPr>
              <w:spacing w:before="120" w:after="120"/>
            </w:pPr>
            <w:r w:rsidRPr="00BC652E">
              <w:t>Run on cost per 1,000 per edition (at 24 pages of A4)</w:t>
            </w:r>
          </w:p>
        </w:tc>
        <w:tc>
          <w:tcPr>
            <w:tcW w:w="1622" w:type="pct"/>
          </w:tcPr>
          <w:p w14:paraId="39BBD46E" w14:textId="69422B22" w:rsidR="00817118" w:rsidRPr="00BC652E" w:rsidRDefault="00817118" w:rsidP="00341F4B">
            <w:pPr>
              <w:spacing w:before="120" w:after="120"/>
            </w:pPr>
            <w:r>
              <w:t>10</w:t>
            </w:r>
            <w:r w:rsidRPr="00BC652E">
              <w:t xml:space="preserve"> points</w:t>
            </w:r>
          </w:p>
        </w:tc>
      </w:tr>
      <w:tr w:rsidR="00817118" w:rsidRPr="00BC652E" w14:paraId="3C1A347D" w14:textId="77777777" w:rsidTr="00341F4B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6F1C8AE4" w14:textId="77777777" w:rsidR="00817118" w:rsidRPr="00BC652E" w:rsidRDefault="00817118" w:rsidP="00341F4B">
            <w:pPr>
              <w:spacing w:before="120" w:after="120" w:line="276" w:lineRule="auto"/>
              <w:ind w:left="-9"/>
              <w:rPr>
                <w:rFonts w:eastAsia="MS Mincho" w:cs="Arial"/>
                <w:b/>
                <w:color w:val="000000"/>
                <w:lang w:eastAsia="ja-JP"/>
              </w:rPr>
            </w:pPr>
            <w:r w:rsidRPr="00BC652E">
              <w:rPr>
                <w:rFonts w:eastAsia="MS Mincho" w:cs="Arial"/>
                <w:b/>
                <w:color w:val="000000"/>
                <w:lang w:eastAsia="ja-JP"/>
              </w:rPr>
              <w:t>Total marks available</w:t>
            </w:r>
          </w:p>
        </w:tc>
        <w:tc>
          <w:tcPr>
            <w:tcW w:w="1622" w:type="pct"/>
            <w:shd w:val="clear" w:color="auto" w:fill="D9D9D9" w:themeFill="background1" w:themeFillShade="D9"/>
          </w:tcPr>
          <w:p w14:paraId="35092D43" w14:textId="77777777" w:rsidR="00817118" w:rsidRPr="00BC652E" w:rsidRDefault="00817118" w:rsidP="00341F4B">
            <w:pPr>
              <w:spacing w:before="120" w:after="120" w:line="276" w:lineRule="auto"/>
              <w:ind w:left="7"/>
              <w:jc w:val="center"/>
              <w:rPr>
                <w:rFonts w:eastAsia="MS Mincho" w:cs="Arial"/>
                <w:b/>
                <w:color w:val="000000"/>
                <w:lang w:eastAsia="ja-JP"/>
              </w:rPr>
            </w:pPr>
            <w:r w:rsidRPr="00BC652E">
              <w:rPr>
                <w:rFonts w:eastAsia="MS Mincho" w:cs="Arial"/>
                <w:b/>
                <w:color w:val="000000"/>
                <w:lang w:eastAsia="ja-JP"/>
              </w:rPr>
              <w:t>90</w:t>
            </w:r>
          </w:p>
        </w:tc>
      </w:tr>
    </w:tbl>
    <w:p w14:paraId="256FCDA9" w14:textId="77777777" w:rsidR="00817118" w:rsidRPr="00BC652E" w:rsidRDefault="00817118"/>
    <w:sectPr w:rsidR="00817118" w:rsidRPr="00BC65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980BD" w14:textId="77777777" w:rsidR="00AD36A5" w:rsidRDefault="00AD36A5" w:rsidP="00AD36A5">
      <w:r>
        <w:separator/>
      </w:r>
    </w:p>
  </w:endnote>
  <w:endnote w:type="continuationSeparator" w:id="0">
    <w:p w14:paraId="049B474C" w14:textId="77777777" w:rsidR="00AD36A5" w:rsidRDefault="00AD36A5" w:rsidP="00AD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3E21C" w14:textId="77777777" w:rsidR="00AD36A5" w:rsidRDefault="00AD36A5" w:rsidP="00AD36A5">
      <w:r>
        <w:separator/>
      </w:r>
    </w:p>
  </w:footnote>
  <w:footnote w:type="continuationSeparator" w:id="0">
    <w:p w14:paraId="3B1E2053" w14:textId="77777777" w:rsidR="00AD36A5" w:rsidRDefault="00AD36A5" w:rsidP="00AD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A8AA" w14:textId="694C314C" w:rsidR="00AD36A5" w:rsidRPr="00BC652E" w:rsidRDefault="00341F4B" w:rsidP="00341F4B">
    <w:pPr>
      <w:pStyle w:val="Heading1"/>
    </w:pPr>
    <w:r>
      <w:t>In Shape tender - evaluation m</w:t>
    </w:r>
    <w:r w:rsidR="00AD36A5" w:rsidRPr="00BC652E">
      <w:t>odel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1E9741F"/>
    <w:multiLevelType w:val="hybridMultilevel"/>
    <w:tmpl w:val="576A1A7A"/>
    <w:lvl w:ilvl="0" w:tplc="00F86E68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722CA"/>
    <w:multiLevelType w:val="hybridMultilevel"/>
    <w:tmpl w:val="6090FEBA"/>
    <w:lvl w:ilvl="0" w:tplc="42A4053E">
      <w:start w:val="4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A5"/>
    <w:rsid w:val="001F0FDA"/>
    <w:rsid w:val="00341F4B"/>
    <w:rsid w:val="00672219"/>
    <w:rsid w:val="006F7A00"/>
    <w:rsid w:val="007171E3"/>
    <w:rsid w:val="00764755"/>
    <w:rsid w:val="00804F25"/>
    <w:rsid w:val="00817118"/>
    <w:rsid w:val="0083696C"/>
    <w:rsid w:val="00963729"/>
    <w:rsid w:val="009E2B11"/>
    <w:rsid w:val="00AD36A5"/>
    <w:rsid w:val="00BC652E"/>
    <w:rsid w:val="00C157E1"/>
    <w:rsid w:val="00D768C9"/>
    <w:rsid w:val="00DB3694"/>
    <w:rsid w:val="00EB7D72"/>
    <w:rsid w:val="00F1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9E09"/>
  <w15:chartTrackingRefBased/>
  <w15:docId w15:val="{4775174D-6FE1-44E0-AF04-E7DCEB87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36A5"/>
    <w:pPr>
      <w:spacing w:after="0" w:line="240" w:lineRule="auto"/>
    </w:pPr>
    <w:rPr>
      <w:rFonts w:ascii="Lato" w:eastAsia="Times New Roman" w:hAnsi="Lato" w:cs="Times New Roman"/>
      <w:sz w:val="24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BC652E"/>
    <w:pPr>
      <w:outlineLvl w:val="0"/>
    </w:pPr>
    <w:rPr>
      <w:b/>
      <w:sz w:val="32"/>
      <w:lang w:val="en-US"/>
    </w:rPr>
  </w:style>
  <w:style w:type="paragraph" w:styleId="Heading2">
    <w:name w:val="heading 2"/>
    <w:basedOn w:val="Bodysubclause"/>
    <w:next w:val="Normal"/>
    <w:link w:val="Heading2Char"/>
    <w:uiPriority w:val="9"/>
    <w:unhideWhenUsed/>
    <w:qFormat/>
    <w:rsid w:val="00BC652E"/>
    <w:pPr>
      <w:ind w:left="0"/>
      <w:outlineLvl w:val="1"/>
    </w:pPr>
    <w:rPr>
      <w:rFonts w:ascii="Lato" w:hAnsi="Lato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6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6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6A5"/>
    <w:rPr>
      <w:rFonts w:ascii="Lato" w:eastAsia="Times New Roman" w:hAnsi="Lat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6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6A5"/>
    <w:rPr>
      <w:rFonts w:ascii="Lato" w:eastAsia="Times New Roman" w:hAnsi="Lato" w:cs="Times New Roman"/>
      <w:sz w:val="24"/>
      <w:szCs w:val="24"/>
    </w:rPr>
  </w:style>
  <w:style w:type="paragraph" w:customStyle="1" w:styleId="Bodysubclause">
    <w:name w:val="Body  sub clause"/>
    <w:basedOn w:val="Normal"/>
    <w:rsid w:val="00AD36A5"/>
    <w:pPr>
      <w:spacing w:before="120" w:after="120" w:line="360" w:lineRule="auto"/>
      <w:ind w:left="720"/>
      <w:jc w:val="both"/>
    </w:pPr>
    <w:rPr>
      <w:rFonts w:ascii="Trebuchet MS" w:hAnsi="Trebuchet MS"/>
      <w:sz w:val="22"/>
      <w:szCs w:val="20"/>
    </w:rPr>
  </w:style>
  <w:style w:type="paragraph" w:customStyle="1" w:styleId="Bullet2">
    <w:name w:val="Bullet2"/>
    <w:basedOn w:val="Normal"/>
    <w:rsid w:val="00AD36A5"/>
    <w:pPr>
      <w:numPr>
        <w:numId w:val="1"/>
      </w:numPr>
      <w:spacing w:before="120" w:after="120" w:line="360" w:lineRule="auto"/>
      <w:jc w:val="both"/>
    </w:pPr>
    <w:rPr>
      <w:rFonts w:ascii="Trebuchet MS" w:hAnsi="Trebuchet MS"/>
      <w:sz w:val="22"/>
      <w:szCs w:val="20"/>
    </w:rPr>
  </w:style>
  <w:style w:type="paragraph" w:customStyle="1" w:styleId="Sch2style1">
    <w:name w:val="Sch (2style)  1"/>
    <w:basedOn w:val="Normal"/>
    <w:rsid w:val="00AD36A5"/>
    <w:pPr>
      <w:numPr>
        <w:numId w:val="2"/>
      </w:numPr>
      <w:spacing w:before="280" w:after="120" w:line="300" w:lineRule="exact"/>
      <w:jc w:val="both"/>
    </w:pPr>
    <w:rPr>
      <w:rFonts w:ascii="Trebuchet MS" w:hAnsi="Trebuchet MS"/>
      <w:sz w:val="22"/>
      <w:szCs w:val="20"/>
    </w:rPr>
  </w:style>
  <w:style w:type="paragraph" w:customStyle="1" w:styleId="Sch2stylea">
    <w:name w:val="Sch (2style) (a)"/>
    <w:basedOn w:val="Normal"/>
    <w:rsid w:val="00AD36A5"/>
    <w:pPr>
      <w:numPr>
        <w:ilvl w:val="1"/>
        <w:numId w:val="2"/>
      </w:numPr>
      <w:spacing w:before="120" w:after="120" w:line="300" w:lineRule="exact"/>
      <w:jc w:val="both"/>
    </w:pPr>
    <w:rPr>
      <w:rFonts w:ascii="Trebuchet MS" w:hAnsi="Trebuchet MS"/>
      <w:sz w:val="22"/>
      <w:szCs w:val="20"/>
    </w:rPr>
  </w:style>
  <w:style w:type="paragraph" w:customStyle="1" w:styleId="Sch2stylei">
    <w:name w:val="Sch (2style) (i)"/>
    <w:basedOn w:val="Heading4"/>
    <w:rsid w:val="00AD36A5"/>
    <w:pPr>
      <w:keepNext w:val="0"/>
      <w:keepLines w:val="0"/>
      <w:numPr>
        <w:ilvl w:val="2"/>
        <w:numId w:val="2"/>
      </w:numPr>
      <w:tabs>
        <w:tab w:val="clear" w:pos="2421"/>
        <w:tab w:val="num" w:pos="2160"/>
        <w:tab w:val="left" w:pos="2268"/>
      </w:tabs>
      <w:spacing w:before="120" w:after="120" w:line="360" w:lineRule="auto"/>
      <w:ind w:left="2160" w:hanging="360"/>
      <w:jc w:val="both"/>
    </w:pPr>
    <w:rPr>
      <w:rFonts w:ascii="Trebuchet MS" w:eastAsia="Times New Roman" w:hAnsi="Trebuchet MS" w:cs="Times New Roman"/>
      <w:i w:val="0"/>
      <w:iCs w:val="0"/>
      <w:noProof/>
      <w:color w:val="auto"/>
      <w:sz w:val="22"/>
      <w:szCs w:val="20"/>
    </w:rPr>
  </w:style>
  <w:style w:type="paragraph" w:customStyle="1" w:styleId="NormalCell">
    <w:name w:val="NormalCell"/>
    <w:basedOn w:val="Normal"/>
    <w:rsid w:val="00AD36A5"/>
    <w:pPr>
      <w:spacing w:before="120" w:after="120" w:line="360" w:lineRule="auto"/>
      <w:ind w:left="720"/>
    </w:pPr>
    <w:rPr>
      <w:rFonts w:ascii="Trebuchet MS" w:hAnsi="Trebuchet MS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6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2B11"/>
    <w:pPr>
      <w:ind w:left="720"/>
      <w:contextualSpacing/>
    </w:pPr>
  </w:style>
  <w:style w:type="table" w:styleId="TableGrid">
    <w:name w:val="Table Grid"/>
    <w:basedOn w:val="TableNormal"/>
    <w:uiPriority w:val="39"/>
    <w:rsid w:val="00EB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9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6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5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52E"/>
    <w:rPr>
      <w:rFonts w:ascii="Lato" w:eastAsia="Times New Roman" w:hAnsi="Lat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52E"/>
    <w:rPr>
      <w:rFonts w:ascii="Lato" w:eastAsia="Times New Roman" w:hAnsi="Lato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C652E"/>
    <w:rPr>
      <w:rFonts w:ascii="Lato" w:eastAsia="Times New Roman" w:hAnsi="Lato" w:cs="Times New Roman"/>
      <w:b/>
      <w:color w:val="000000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652E"/>
    <w:rPr>
      <w:rFonts w:ascii="Lato" w:eastAsia="Times New Roman" w:hAnsi="Lato" w:cs="Times New Roman"/>
      <w:b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Lagzdins</dc:creator>
  <cp:keywords/>
  <dc:description/>
  <cp:lastModifiedBy>David Lagzdins</cp:lastModifiedBy>
  <cp:revision>2</cp:revision>
  <dcterms:created xsi:type="dcterms:W3CDTF">2022-05-19T17:44:00Z</dcterms:created>
  <dcterms:modified xsi:type="dcterms:W3CDTF">2022-05-19T17:44:00Z</dcterms:modified>
</cp:coreProperties>
</file>