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4B417" w14:textId="79755E85" w:rsidR="00FD3A85" w:rsidRDefault="00A1178C" w:rsidP="72E1CC6A">
      <w:pPr>
        <w:spacing w:line="259" w:lineRule="auto"/>
        <w:jc w:val="center"/>
        <w:rPr>
          <w:b/>
          <w:bCs/>
          <w:sz w:val="28"/>
          <w:szCs w:val="28"/>
        </w:rPr>
      </w:pPr>
      <w:r w:rsidRPr="00A1178C">
        <w:rPr>
          <w:b/>
          <w:bCs/>
          <w:sz w:val="28"/>
          <w:szCs w:val="28"/>
        </w:rPr>
        <w:t xml:space="preserve">Soft Market Testing </w:t>
      </w:r>
      <w:r w:rsidR="0003608A">
        <w:rPr>
          <w:b/>
          <w:bCs/>
          <w:sz w:val="28"/>
          <w:szCs w:val="28"/>
        </w:rPr>
        <w:t xml:space="preserve">Questionnaire – </w:t>
      </w:r>
      <w:r w:rsidR="72E1CC6A" w:rsidRPr="72E1CC6A">
        <w:rPr>
          <w:b/>
          <w:bCs/>
          <w:sz w:val="28"/>
          <w:szCs w:val="28"/>
        </w:rPr>
        <w:t>Zone Based Procurement</w:t>
      </w:r>
    </w:p>
    <w:p w14:paraId="26B80F47" w14:textId="77777777" w:rsidR="00F35F0F" w:rsidRPr="00A1178C" w:rsidRDefault="00F35F0F" w:rsidP="72E1CC6A">
      <w:pPr>
        <w:spacing w:line="259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17E2A" w:rsidRPr="005229DD" w14:paraId="1BCA37C9" w14:textId="77777777" w:rsidTr="0EAC1FE8">
        <w:trPr>
          <w:trHeight w:val="397"/>
        </w:trPr>
        <w:tc>
          <w:tcPr>
            <w:tcW w:w="2689" w:type="dxa"/>
          </w:tcPr>
          <w:p w14:paraId="67649A12" w14:textId="77777777" w:rsidR="00B84EE7" w:rsidRPr="005229DD" w:rsidRDefault="00B84EE7" w:rsidP="008536F4">
            <w:r w:rsidRPr="005229DD">
              <w:t>Title</w:t>
            </w:r>
          </w:p>
        </w:tc>
        <w:tc>
          <w:tcPr>
            <w:tcW w:w="6327" w:type="dxa"/>
          </w:tcPr>
          <w:p w14:paraId="19779635" w14:textId="207700C5" w:rsidR="00B84EE7" w:rsidRPr="005229DD" w:rsidRDefault="72E1CC6A" w:rsidP="008536F4">
            <w:r>
              <w:t>Zone Based Procurement</w:t>
            </w:r>
          </w:p>
        </w:tc>
      </w:tr>
      <w:tr w:rsidR="00517E2A" w:rsidRPr="005229DD" w14:paraId="4F270A3B" w14:textId="77777777" w:rsidTr="0EAC1FE8">
        <w:trPr>
          <w:trHeight w:val="397"/>
        </w:trPr>
        <w:tc>
          <w:tcPr>
            <w:tcW w:w="2689" w:type="dxa"/>
          </w:tcPr>
          <w:p w14:paraId="37CAED44" w14:textId="77777777" w:rsidR="00B84EE7" w:rsidRPr="005229DD" w:rsidRDefault="00B84EE7" w:rsidP="008536F4">
            <w:r w:rsidRPr="005229DD">
              <w:t>Purchasing Authority</w:t>
            </w:r>
            <w:r w:rsidR="004C329D" w:rsidRPr="005229DD">
              <w:t xml:space="preserve"> (OCC/CDC)</w:t>
            </w:r>
          </w:p>
        </w:tc>
        <w:tc>
          <w:tcPr>
            <w:tcW w:w="6327" w:type="dxa"/>
          </w:tcPr>
          <w:p w14:paraId="7EFD1BF9" w14:textId="021F77C4" w:rsidR="00B84EE7" w:rsidRPr="005229DD" w:rsidRDefault="000726DE" w:rsidP="008536F4">
            <w:r>
              <w:t>O</w:t>
            </w:r>
            <w:r w:rsidR="00F35F0F">
              <w:t xml:space="preserve">xfordshire </w:t>
            </w:r>
            <w:r>
              <w:t>C</w:t>
            </w:r>
            <w:r w:rsidR="00F35F0F">
              <w:t xml:space="preserve">ounty </w:t>
            </w:r>
            <w:r>
              <w:t>C</w:t>
            </w:r>
            <w:r w:rsidR="00F35F0F">
              <w:t>ouncil (OCC)</w:t>
            </w:r>
            <w:r>
              <w:t xml:space="preserve"> and 5 D</w:t>
            </w:r>
            <w:r w:rsidR="00F35F0F">
              <w:t xml:space="preserve">istrict </w:t>
            </w:r>
            <w:r>
              <w:t>C</w:t>
            </w:r>
            <w:r w:rsidR="00F35F0F">
              <w:t>ouncil</w:t>
            </w:r>
            <w:r>
              <w:t>s jointly procuring</w:t>
            </w:r>
            <w:r w:rsidR="00D82FC2">
              <w:t>, OR any of these Councils procuring individually.</w:t>
            </w:r>
          </w:p>
        </w:tc>
      </w:tr>
      <w:tr w:rsidR="00517E2A" w:rsidRPr="005229DD" w14:paraId="35FCB1CD" w14:textId="77777777" w:rsidTr="0EAC1FE8">
        <w:trPr>
          <w:trHeight w:val="397"/>
        </w:trPr>
        <w:tc>
          <w:tcPr>
            <w:tcW w:w="2689" w:type="dxa"/>
          </w:tcPr>
          <w:p w14:paraId="27C04D21" w14:textId="77777777" w:rsidR="00CE433A" w:rsidRPr="005229DD" w:rsidRDefault="00CE433A" w:rsidP="008536F4">
            <w:r w:rsidRPr="005229DD">
              <w:t>Category</w:t>
            </w:r>
            <w:r w:rsidR="004C329D" w:rsidRPr="005229DD">
              <w:t xml:space="preserve">/ Department </w:t>
            </w:r>
          </w:p>
        </w:tc>
        <w:tc>
          <w:tcPr>
            <w:tcW w:w="6327" w:type="dxa"/>
          </w:tcPr>
          <w:p w14:paraId="175BC0B6" w14:textId="73E6F141" w:rsidR="00CE433A" w:rsidRPr="005229DD" w:rsidRDefault="00F35F0F" w:rsidP="008536F4">
            <w:r>
              <w:t>Transport</w:t>
            </w:r>
          </w:p>
        </w:tc>
      </w:tr>
      <w:tr w:rsidR="00517E2A" w:rsidRPr="005229DD" w14:paraId="1663067C" w14:textId="77777777" w:rsidTr="0EAC1FE8">
        <w:trPr>
          <w:trHeight w:val="397"/>
        </w:trPr>
        <w:tc>
          <w:tcPr>
            <w:tcW w:w="2689" w:type="dxa"/>
          </w:tcPr>
          <w:p w14:paraId="3A3DDB57" w14:textId="77777777" w:rsidR="00B84EE7" w:rsidRPr="005229DD" w:rsidRDefault="00B84EE7" w:rsidP="008536F4">
            <w:r w:rsidRPr="005229DD">
              <w:t>Response Deadline</w:t>
            </w:r>
          </w:p>
        </w:tc>
        <w:tc>
          <w:tcPr>
            <w:tcW w:w="6327" w:type="dxa"/>
          </w:tcPr>
          <w:p w14:paraId="72147896" w14:textId="32325392" w:rsidR="00B84EE7" w:rsidRPr="005229DD" w:rsidRDefault="00F35F0F" w:rsidP="008536F4">
            <w:r>
              <w:t>1</w:t>
            </w:r>
            <w:r w:rsidR="00FB2E6B">
              <w:t>6:00 05</w:t>
            </w:r>
            <w:r>
              <w:t>/08/2022</w:t>
            </w:r>
          </w:p>
        </w:tc>
      </w:tr>
      <w:tr w:rsidR="00517E2A" w:rsidRPr="005229DD" w14:paraId="53D6982D" w14:textId="77777777" w:rsidTr="0EAC1FE8">
        <w:trPr>
          <w:trHeight w:val="630"/>
        </w:trPr>
        <w:tc>
          <w:tcPr>
            <w:tcW w:w="2689" w:type="dxa"/>
          </w:tcPr>
          <w:p w14:paraId="6FFC7D6A" w14:textId="77777777" w:rsidR="00B84EE7" w:rsidRPr="005229DD" w:rsidRDefault="00B84EE7" w:rsidP="008536F4">
            <w:r w:rsidRPr="005229DD">
              <w:t>Contact Person (name, title, email, telephone number)</w:t>
            </w:r>
          </w:p>
        </w:tc>
        <w:tc>
          <w:tcPr>
            <w:tcW w:w="6327" w:type="dxa"/>
          </w:tcPr>
          <w:p w14:paraId="44643874" w14:textId="04522B2D" w:rsidR="00B84EE7" w:rsidRPr="005229DD" w:rsidRDefault="00F35F0F" w:rsidP="008536F4">
            <w:r>
              <w:t>All correspondence to be sent through ProActis (South East Business Portal)</w:t>
            </w:r>
          </w:p>
        </w:tc>
      </w:tr>
      <w:tr w:rsidR="00F35F0F" w:rsidRPr="005229DD" w14:paraId="118CC2DC" w14:textId="77777777" w:rsidTr="0EAC1FE8">
        <w:trPr>
          <w:trHeight w:val="630"/>
        </w:trPr>
        <w:tc>
          <w:tcPr>
            <w:tcW w:w="2689" w:type="dxa"/>
          </w:tcPr>
          <w:p w14:paraId="6A98CE9C" w14:textId="3C458978" w:rsidR="00F35F0F" w:rsidRPr="005229DD" w:rsidRDefault="00F35F0F" w:rsidP="00F35F0F">
            <w:r w:rsidRPr="00070229">
              <w:t>In person/hybrid/virtual open day event date:</w:t>
            </w:r>
            <w:r>
              <w:t xml:space="preserve"> </w:t>
            </w:r>
          </w:p>
        </w:tc>
        <w:tc>
          <w:tcPr>
            <w:tcW w:w="6327" w:type="dxa"/>
          </w:tcPr>
          <w:p w14:paraId="033B35D4" w14:textId="52B7A585" w:rsidR="00F35F0F" w:rsidRPr="005229DD" w:rsidRDefault="00F35F0F" w:rsidP="00F35F0F">
            <w:r>
              <w:t>Tbc – likely late August/early September</w:t>
            </w:r>
          </w:p>
        </w:tc>
      </w:tr>
      <w:tr w:rsidR="00517E2A" w:rsidRPr="005229DD" w14:paraId="2626E995" w14:textId="77777777" w:rsidTr="0EAC1FE8">
        <w:trPr>
          <w:trHeight w:val="397"/>
        </w:trPr>
        <w:tc>
          <w:tcPr>
            <w:tcW w:w="2689" w:type="dxa"/>
          </w:tcPr>
          <w:p w14:paraId="601C3848" w14:textId="77777777" w:rsidR="00CE433A" w:rsidRPr="005229DD" w:rsidRDefault="004C329D" w:rsidP="004C329D">
            <w:r w:rsidRPr="005229DD">
              <w:t>Description</w:t>
            </w:r>
          </w:p>
        </w:tc>
        <w:tc>
          <w:tcPr>
            <w:tcW w:w="6327" w:type="dxa"/>
          </w:tcPr>
          <w:p w14:paraId="3F01997B" w14:textId="0DC40800" w:rsidR="005143CE" w:rsidRDefault="004C329D" w:rsidP="0081216D">
            <w:r w:rsidRPr="005229DD">
              <w:t>Oxfordshire County Council</w:t>
            </w:r>
            <w:r w:rsidR="00F60D9F">
              <w:t xml:space="preserve"> </w:t>
            </w:r>
            <w:r w:rsidR="005C128F">
              <w:t>and Oxford City Council</w:t>
            </w:r>
            <w:r w:rsidR="00F35F0F">
              <w:t xml:space="preserve"> are </w:t>
            </w:r>
            <w:r w:rsidR="00F60D9F">
              <w:t xml:space="preserve">working </w:t>
            </w:r>
            <w:r w:rsidR="005143CE">
              <w:t xml:space="preserve">in collaboration </w:t>
            </w:r>
            <w:r w:rsidR="00F60D9F">
              <w:t>with the f</w:t>
            </w:r>
            <w:r w:rsidR="005143CE">
              <w:t>our</w:t>
            </w:r>
            <w:r w:rsidR="00F60D9F">
              <w:t xml:space="preserve"> Oxfordshire District</w:t>
            </w:r>
            <w:r w:rsidR="005143CE">
              <w:t>s</w:t>
            </w:r>
            <w:r w:rsidR="0081216D">
              <w:t xml:space="preserve"> </w:t>
            </w:r>
            <w:r w:rsidR="00F35F0F">
              <w:t>to seek</w:t>
            </w:r>
            <w:r w:rsidR="00CE433A" w:rsidRPr="005229DD">
              <w:t xml:space="preserve"> views from potential providers on </w:t>
            </w:r>
            <w:r w:rsidR="00D82FC2">
              <w:t>a proposed new innovative “zone-based” procurement approach to EVCP roll-out.</w:t>
            </w:r>
          </w:p>
          <w:p w14:paraId="1E02F269" w14:textId="77777777" w:rsidR="004C329D" w:rsidRPr="005229DD" w:rsidRDefault="004C329D" w:rsidP="00CE433A"/>
          <w:p w14:paraId="721A60D0" w14:textId="5948B78A" w:rsidR="00CE433A" w:rsidRPr="005229DD" w:rsidRDefault="00CE433A" w:rsidP="00CE433A">
            <w:r w:rsidRPr="005229DD">
              <w:t>If you</w:t>
            </w:r>
            <w:r w:rsidR="009419F1" w:rsidRPr="005229DD">
              <w:t xml:space="preserve"> are interested in sharing your views, </w:t>
            </w:r>
            <w:r w:rsidRPr="005229DD">
              <w:t xml:space="preserve">please complete the questionnaire and return by </w:t>
            </w:r>
            <w:r w:rsidR="00F35F0F">
              <w:t>1</w:t>
            </w:r>
            <w:r w:rsidR="00FB2E6B">
              <w:t>6</w:t>
            </w:r>
            <w:r w:rsidR="00F35F0F">
              <w:t>:00 0</w:t>
            </w:r>
            <w:r w:rsidR="00FB2E6B">
              <w:t>5</w:t>
            </w:r>
            <w:r w:rsidR="00F35F0F">
              <w:t>/08/2022.</w:t>
            </w:r>
          </w:p>
          <w:p w14:paraId="7900EE04" w14:textId="77777777" w:rsidR="00CE433A" w:rsidRPr="005229DD" w:rsidRDefault="00CE433A" w:rsidP="00CE433A"/>
          <w:p w14:paraId="33B8035E" w14:textId="77777777" w:rsidR="00CE433A" w:rsidRPr="00F35F0F" w:rsidRDefault="00CE433A" w:rsidP="009419F1">
            <w:pPr>
              <w:rPr>
                <w:b/>
                <w:bCs/>
              </w:rPr>
            </w:pPr>
            <w:r w:rsidRPr="00F35F0F">
              <w:rPr>
                <w:b/>
                <w:bCs/>
              </w:rPr>
              <w:t>Please note that this is neither a call for competition nor a procurement exercise.</w:t>
            </w:r>
          </w:p>
          <w:p w14:paraId="356606FD" w14:textId="77777777" w:rsidR="004C329D" w:rsidRPr="005229DD" w:rsidRDefault="004C329D" w:rsidP="009419F1"/>
        </w:tc>
      </w:tr>
      <w:tr w:rsidR="00517E2A" w:rsidRPr="005229DD" w14:paraId="0AF42B71" w14:textId="77777777" w:rsidTr="0EAC1FE8">
        <w:trPr>
          <w:trHeight w:val="397"/>
        </w:trPr>
        <w:tc>
          <w:tcPr>
            <w:tcW w:w="2689" w:type="dxa"/>
          </w:tcPr>
          <w:p w14:paraId="3528068B" w14:textId="77777777" w:rsidR="004C329D" w:rsidRPr="005229DD" w:rsidRDefault="004C329D"/>
        </w:tc>
        <w:tc>
          <w:tcPr>
            <w:tcW w:w="6327" w:type="dxa"/>
          </w:tcPr>
          <w:p w14:paraId="19DF7B14" w14:textId="77777777" w:rsidR="00446674" w:rsidRDefault="00446674" w:rsidP="00CE433A">
            <w:pPr>
              <w:rPr>
                <w:iCs/>
              </w:rPr>
            </w:pPr>
          </w:p>
          <w:p w14:paraId="2D81693C" w14:textId="4664DF50" w:rsidR="00446674" w:rsidRPr="00FF77C7" w:rsidRDefault="00202399" w:rsidP="00446674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A </w:t>
            </w:r>
            <w:r w:rsidR="00446674" w:rsidRPr="00FF77C7">
              <w:rPr>
                <w:b/>
                <w:iCs/>
              </w:rPr>
              <w:t>Zone based procurement</w:t>
            </w:r>
            <w:r>
              <w:rPr>
                <w:b/>
                <w:iCs/>
              </w:rPr>
              <w:t xml:space="preserve"> approach</w:t>
            </w:r>
          </w:p>
          <w:p w14:paraId="58AEFAC3" w14:textId="77777777" w:rsidR="00446674" w:rsidRDefault="00446674" w:rsidP="00446674"/>
          <w:p w14:paraId="5B9FC95E" w14:textId="6F25261F" w:rsidR="005143CE" w:rsidRDefault="005143CE" w:rsidP="00446674">
            <w:pPr>
              <w:rPr>
                <w:iCs/>
              </w:rPr>
            </w:pPr>
            <w:r>
              <w:rPr>
                <w:iCs/>
              </w:rPr>
              <w:t xml:space="preserve">We </w:t>
            </w:r>
            <w:r w:rsidR="00D82FC2">
              <w:rPr>
                <w:iCs/>
              </w:rPr>
              <w:t>are</w:t>
            </w:r>
            <w:r w:rsidR="00655813">
              <w:rPr>
                <w:iCs/>
              </w:rPr>
              <w:t xml:space="preserve"> </w:t>
            </w:r>
            <w:r>
              <w:rPr>
                <w:iCs/>
              </w:rPr>
              <w:t xml:space="preserve">keen to look into alternative models of procurement in order to meet the </w:t>
            </w:r>
            <w:r w:rsidR="00655813">
              <w:rPr>
                <w:iCs/>
              </w:rPr>
              <w:t xml:space="preserve">future </w:t>
            </w:r>
            <w:r>
              <w:rPr>
                <w:iCs/>
              </w:rPr>
              <w:t xml:space="preserve">needs of our communities. </w:t>
            </w:r>
          </w:p>
          <w:p w14:paraId="134B3429" w14:textId="358A2DA4" w:rsidR="00746699" w:rsidRDefault="00746699" w:rsidP="00446674">
            <w:pPr>
              <w:rPr>
                <w:iCs/>
              </w:rPr>
            </w:pPr>
          </w:p>
          <w:p w14:paraId="20D939DC" w14:textId="336A3FA5" w:rsidR="00746699" w:rsidRPr="00746699" w:rsidRDefault="00746699" w:rsidP="00746699">
            <w:r w:rsidRPr="00746699">
              <w:t xml:space="preserve">Conventional procurement practices and resulting contract management are both highly time and staff intensive to deliver, and staff cost are not usually covered by project or infrastructure grants. </w:t>
            </w:r>
            <w:r w:rsidR="00D82FC2">
              <w:t>Under conventional procurement, in orde</w:t>
            </w:r>
            <w:r w:rsidR="008808F9">
              <w:t xml:space="preserve">r </w:t>
            </w:r>
            <w:r w:rsidR="00D82FC2">
              <w:t>t</w:t>
            </w:r>
            <w:r w:rsidRPr="00746699">
              <w:t xml:space="preserve">o achieve the required infrastructure targets without creating local monopolies, local authorities have to repeat these cost intensive exercises frequently and accumulate multiple contracts, leading to unsustainable </w:t>
            </w:r>
            <w:r w:rsidR="00D82FC2">
              <w:t xml:space="preserve">ongoing </w:t>
            </w:r>
            <w:r w:rsidRPr="00746699">
              <w:t>cost</w:t>
            </w:r>
            <w:r w:rsidR="00D82FC2">
              <w:t>s</w:t>
            </w:r>
            <w:r w:rsidRPr="00746699">
              <w:t>.</w:t>
            </w:r>
          </w:p>
          <w:p w14:paraId="488D675E" w14:textId="77777777" w:rsidR="00746699" w:rsidRPr="00746699" w:rsidRDefault="00746699" w:rsidP="00746699"/>
          <w:p w14:paraId="73C34EB2" w14:textId="0E1872BD" w:rsidR="00746699" w:rsidRPr="00746699" w:rsidRDefault="00746699" w:rsidP="00746699">
            <w:r w:rsidRPr="00746699">
              <w:t>Zone based procurement seeks to overcome this challenge, by creating a system that permits large scale and longer</w:t>
            </w:r>
            <w:r w:rsidR="00D82FC2">
              <w:t>-</w:t>
            </w:r>
            <w:r w:rsidRPr="00746699">
              <w:t xml:space="preserve">term procurement while retaining end user choice and equitable infrastructure delivery. </w:t>
            </w:r>
          </w:p>
          <w:p w14:paraId="2A147496" w14:textId="77777777" w:rsidR="00655813" w:rsidRDefault="00655813" w:rsidP="00446674">
            <w:pPr>
              <w:rPr>
                <w:iCs/>
              </w:rPr>
            </w:pPr>
          </w:p>
          <w:p w14:paraId="4BD6EE1F" w14:textId="47A4CEFA" w:rsidR="00446674" w:rsidRDefault="00D82FC2" w:rsidP="00446674">
            <w:r>
              <w:lastRenderedPageBreak/>
              <w:t>In the example of</w:t>
            </w:r>
            <w:r w:rsidR="00655813">
              <w:t xml:space="preserve"> Oxford</w:t>
            </w:r>
            <w:r>
              <w:t xml:space="preserve"> City,</w:t>
            </w:r>
            <w:r w:rsidR="00655813">
              <w:t xml:space="preserve"> t</w:t>
            </w:r>
            <w:r w:rsidR="00446674">
              <w:t xml:space="preserve">he number of EVs will need to increase from 2% to </w:t>
            </w:r>
            <w:r w:rsidR="008808F9">
              <w:t>30%</w:t>
            </w:r>
            <w:r w:rsidR="00446674">
              <w:t xml:space="preserve"> in </w:t>
            </w:r>
            <w:r w:rsidR="008808F9">
              <w:t>under five</w:t>
            </w:r>
            <w:r w:rsidR="00446674">
              <w:t xml:space="preserve"> years if Oxford is to achieve its Zero Carbon Objectives. </w:t>
            </w:r>
            <w:r w:rsidR="008808F9">
              <w:t xml:space="preserve">Traditional </w:t>
            </w:r>
            <w:r w:rsidR="00746699">
              <w:t xml:space="preserve">procurement approaches </w:t>
            </w:r>
            <w:r w:rsidR="008808F9">
              <w:t xml:space="preserve">are </w:t>
            </w:r>
            <w:r w:rsidR="00746699">
              <w:t xml:space="preserve">not sufficiently </w:t>
            </w:r>
            <w:r w:rsidR="00F35F0F">
              <w:t>scalable</w:t>
            </w:r>
            <w:r w:rsidR="008808F9">
              <w:t xml:space="preserve"> to achieve the infrastructure required to support these targets</w:t>
            </w:r>
            <w:r w:rsidR="00746699">
              <w:t>.</w:t>
            </w:r>
          </w:p>
          <w:p w14:paraId="0F79E897" w14:textId="77777777" w:rsidR="00446674" w:rsidRDefault="00446674" w:rsidP="00446674">
            <w:pPr>
              <w:rPr>
                <w:iCs/>
              </w:rPr>
            </w:pPr>
          </w:p>
          <w:p w14:paraId="52DCADB7" w14:textId="2E813265" w:rsidR="00446674" w:rsidRDefault="00446674" w:rsidP="00446674">
            <w:r>
              <w:t>We have analysed and projected the infrastructure requirements of the city across city wards</w:t>
            </w:r>
            <w:r w:rsidR="008808F9">
              <w:t xml:space="preserve"> </w:t>
            </w:r>
            <w:r>
              <w:t xml:space="preserve">and have bundled these wards into two zones </w:t>
            </w:r>
            <w:r w:rsidR="007F1383">
              <w:t>with equivalent deprivation averages and on</w:t>
            </w:r>
            <w:r w:rsidR="00F35F0F">
              <w:t>-</w:t>
            </w:r>
            <w:r w:rsidR="007F1383">
              <w:t xml:space="preserve">street household percentages </w:t>
            </w:r>
            <w:r>
              <w:t xml:space="preserve">to enable equitable delivery of infrastructure across the different demographics of the city (see Appendix 1). </w:t>
            </w:r>
          </w:p>
          <w:p w14:paraId="77011C8B" w14:textId="77777777" w:rsidR="00446674" w:rsidRDefault="00446674" w:rsidP="00446674">
            <w:pPr>
              <w:rPr>
                <w:iCs/>
              </w:rPr>
            </w:pPr>
          </w:p>
          <w:p w14:paraId="00B10340" w14:textId="49E87716" w:rsidR="00446674" w:rsidRDefault="00D82FC2" w:rsidP="00446674">
            <w:pPr>
              <w:rPr>
                <w:iCs/>
              </w:rPr>
            </w:pPr>
            <w:r>
              <w:rPr>
                <w:iCs/>
              </w:rPr>
              <w:t>In a Zone Based Procurement model, we would</w:t>
            </w:r>
            <w:r w:rsidR="00446674">
              <w:rPr>
                <w:iCs/>
              </w:rPr>
              <w:t xml:space="preserve"> look to contract a small number of Charge Point Operators (CPOs) to </w:t>
            </w:r>
            <w:r w:rsidR="00367E33">
              <w:rPr>
                <w:iCs/>
              </w:rPr>
              <w:t xml:space="preserve">design, </w:t>
            </w:r>
            <w:r w:rsidR="00446674">
              <w:rPr>
                <w:iCs/>
              </w:rPr>
              <w:t>install, operate and maintain public EV charging services within each zone, to scale up the delivery of EV charging solutions</w:t>
            </w:r>
          </w:p>
          <w:p w14:paraId="21D66061" w14:textId="762D6E04" w:rsidR="00446674" w:rsidRDefault="008808F9" w:rsidP="00446674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a</w:t>
            </w:r>
            <w:r w:rsidR="00446674">
              <w:rPr>
                <w:iCs/>
              </w:rPr>
              <w:t>t council owned car parks (as set out in Part 1 of this questionnaire)</w:t>
            </w:r>
          </w:p>
          <w:p w14:paraId="383C3092" w14:textId="2D770DCE" w:rsidR="00446674" w:rsidRDefault="00446674" w:rsidP="00446674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On</w:t>
            </w:r>
            <w:r w:rsidR="00F35F0F">
              <w:rPr>
                <w:iCs/>
              </w:rPr>
              <w:t>-</w:t>
            </w:r>
            <w:r>
              <w:rPr>
                <w:iCs/>
              </w:rPr>
              <w:t>street</w:t>
            </w:r>
          </w:p>
          <w:p w14:paraId="78203361" w14:textId="77777777" w:rsidR="00446674" w:rsidRDefault="00446674" w:rsidP="00446674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 xml:space="preserve">On private land. </w:t>
            </w:r>
          </w:p>
          <w:p w14:paraId="06600CC6" w14:textId="77777777" w:rsidR="00446674" w:rsidRDefault="00446674" w:rsidP="00446674">
            <w:pPr>
              <w:rPr>
                <w:iCs/>
              </w:rPr>
            </w:pPr>
          </w:p>
          <w:p w14:paraId="2DD6B736" w14:textId="47E2864A" w:rsidR="001F3128" w:rsidRDefault="0045632B" w:rsidP="00446674">
            <w:pPr>
              <w:rPr>
                <w:iCs/>
              </w:rPr>
            </w:pPr>
            <w:r>
              <w:rPr>
                <w:iCs/>
              </w:rPr>
              <w:t>C</w:t>
            </w:r>
            <w:r w:rsidR="001F3128">
              <w:rPr>
                <w:iCs/>
              </w:rPr>
              <w:t xml:space="preserve">ontractors </w:t>
            </w:r>
            <w:r w:rsidR="00581D38">
              <w:rPr>
                <w:iCs/>
              </w:rPr>
              <w:t>would</w:t>
            </w:r>
            <w:r>
              <w:rPr>
                <w:iCs/>
              </w:rPr>
              <w:t xml:space="preserve"> be</w:t>
            </w:r>
            <w:r w:rsidR="001F3128">
              <w:rPr>
                <w:iCs/>
              </w:rPr>
              <w:t xml:space="preserve"> guaranteed a minimum number of EVPCs over the contract period, </w:t>
            </w:r>
            <w:r w:rsidR="008808F9">
              <w:rPr>
                <w:iCs/>
              </w:rPr>
              <w:t xml:space="preserve">provided </w:t>
            </w:r>
            <w:r w:rsidR="00890DF4">
              <w:rPr>
                <w:iCs/>
              </w:rPr>
              <w:t>KPIs are met</w:t>
            </w:r>
            <w:r>
              <w:rPr>
                <w:iCs/>
              </w:rPr>
              <w:t>, and are given choice over charge point locations</w:t>
            </w:r>
            <w:r w:rsidR="00890DF4">
              <w:rPr>
                <w:iCs/>
              </w:rPr>
              <w:t xml:space="preserve"> within an agreed set of criteria</w:t>
            </w:r>
            <w:r w:rsidR="001F3128">
              <w:rPr>
                <w:iCs/>
              </w:rPr>
              <w:t>.</w:t>
            </w:r>
            <w:r w:rsidR="00581D38">
              <w:rPr>
                <w:iCs/>
              </w:rPr>
              <w:t xml:space="preserve"> </w:t>
            </w:r>
          </w:p>
          <w:p w14:paraId="213F5DB3" w14:textId="77777777" w:rsidR="001F3128" w:rsidRDefault="001F3128" w:rsidP="00446674">
            <w:pPr>
              <w:rPr>
                <w:iCs/>
              </w:rPr>
            </w:pPr>
          </w:p>
          <w:p w14:paraId="16FA4FA8" w14:textId="77777777" w:rsidR="00367E33" w:rsidRDefault="00367E33" w:rsidP="00446674">
            <w:pPr>
              <w:rPr>
                <w:iCs/>
              </w:rPr>
            </w:pPr>
            <w:r>
              <w:rPr>
                <w:iCs/>
              </w:rPr>
              <w:t xml:space="preserve">The zone based approach pursues </w:t>
            </w:r>
            <w:r w:rsidR="00517E2A">
              <w:rPr>
                <w:iCs/>
              </w:rPr>
              <w:t>four</w:t>
            </w:r>
            <w:r>
              <w:rPr>
                <w:iCs/>
              </w:rPr>
              <w:t xml:space="preserve"> core aims: </w:t>
            </w:r>
          </w:p>
          <w:p w14:paraId="1BCE9947" w14:textId="4087B5BD" w:rsidR="00367E33" w:rsidRDefault="00367E33" w:rsidP="00F60D9F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All e</w:t>
            </w:r>
            <w:r w:rsidR="00446674" w:rsidRPr="00015F0B">
              <w:rPr>
                <w:iCs/>
              </w:rPr>
              <w:t xml:space="preserve">nd users have local choice </w:t>
            </w:r>
            <w:r w:rsidR="00F35F0F" w:rsidRPr="00015F0B">
              <w:rPr>
                <w:iCs/>
              </w:rPr>
              <w:t>in regard to</w:t>
            </w:r>
            <w:r w:rsidR="00446674" w:rsidRPr="00015F0B">
              <w:rPr>
                <w:iCs/>
              </w:rPr>
              <w:t xml:space="preserve"> charge point provision, </w:t>
            </w:r>
            <w:r>
              <w:rPr>
                <w:iCs/>
              </w:rPr>
              <w:t>and local monopolies</w:t>
            </w:r>
            <w:r w:rsidR="0045632B">
              <w:rPr>
                <w:iCs/>
              </w:rPr>
              <w:t xml:space="preserve"> and undersupply</w:t>
            </w:r>
            <w:r>
              <w:rPr>
                <w:iCs/>
              </w:rPr>
              <w:t xml:space="preserve"> are avoided.</w:t>
            </w:r>
          </w:p>
          <w:p w14:paraId="5FDB09F0" w14:textId="77777777" w:rsidR="00367E33" w:rsidRDefault="00367E33" w:rsidP="00F60D9F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 xml:space="preserve">Restriction of publicly procured CPOs in each zone to a small number makes </w:t>
            </w:r>
            <w:r w:rsidR="00517E2A">
              <w:rPr>
                <w:iCs/>
              </w:rPr>
              <w:t xml:space="preserve">project </w:t>
            </w:r>
            <w:r>
              <w:rPr>
                <w:iCs/>
              </w:rPr>
              <w:t xml:space="preserve">investments more secure. </w:t>
            </w:r>
          </w:p>
          <w:p w14:paraId="71193186" w14:textId="77777777" w:rsidR="00446674" w:rsidRDefault="00367E33" w:rsidP="00F60D9F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CPO contracts are sufficient in scale and length enable delivery of infrastructure across a healthy mix of higher and lower risk sites.</w:t>
            </w:r>
          </w:p>
          <w:p w14:paraId="6E8DCCC0" w14:textId="77777777" w:rsidR="00517E2A" w:rsidRPr="00015F0B" w:rsidRDefault="00517E2A" w:rsidP="00F60D9F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Agile partnership approach enables rapid and responsive scaling of infrastructure</w:t>
            </w:r>
          </w:p>
          <w:p w14:paraId="50F4D151" w14:textId="77777777" w:rsidR="00263717" w:rsidRDefault="00263717" w:rsidP="00446674">
            <w:pPr>
              <w:rPr>
                <w:iCs/>
              </w:rPr>
            </w:pPr>
          </w:p>
          <w:p w14:paraId="5B0EFC19" w14:textId="28C26B31" w:rsidR="00263717" w:rsidRDefault="00202399" w:rsidP="00446674">
            <w:pPr>
              <w:rPr>
                <w:iCs/>
              </w:rPr>
            </w:pPr>
            <w:r>
              <w:rPr>
                <w:iCs/>
              </w:rPr>
              <w:t>C</w:t>
            </w:r>
            <w:r w:rsidR="00263717">
              <w:rPr>
                <w:iCs/>
              </w:rPr>
              <w:t>ost for operation and maintenance of EVPCs would be covered by CPOs under concession</w:t>
            </w:r>
            <w:r w:rsidR="00C9799C">
              <w:rPr>
                <w:iCs/>
              </w:rPr>
              <w:t xml:space="preserve"> with a small income share to the Council. The</w:t>
            </w:r>
            <w:r w:rsidR="00263717">
              <w:rPr>
                <w:iCs/>
              </w:rPr>
              <w:t xml:space="preserve"> Council</w:t>
            </w:r>
            <w:r w:rsidR="0045632B">
              <w:rPr>
                <w:iCs/>
              </w:rPr>
              <w:t>s</w:t>
            </w:r>
            <w:r w:rsidR="00263717">
              <w:rPr>
                <w:iCs/>
              </w:rPr>
              <w:t xml:space="preserve"> may contribute to grid connection and supporting energy infrastructure cost</w:t>
            </w:r>
            <w:r w:rsidR="00C9799C">
              <w:rPr>
                <w:iCs/>
              </w:rPr>
              <w:t xml:space="preserve">, in particular at higher risk sites, or to encourage inclusion of additional energy benefits such as energy storage or renewable integration. </w:t>
            </w:r>
            <w:r w:rsidR="00263717">
              <w:rPr>
                <w:iCs/>
              </w:rPr>
              <w:t xml:space="preserve"> </w:t>
            </w:r>
          </w:p>
          <w:p w14:paraId="68EA2598" w14:textId="77777777" w:rsidR="00263717" w:rsidRDefault="00263717" w:rsidP="00446674">
            <w:pPr>
              <w:rPr>
                <w:iCs/>
              </w:rPr>
            </w:pPr>
          </w:p>
          <w:p w14:paraId="79B1223D" w14:textId="4B27A623" w:rsidR="00446674" w:rsidRDefault="00446674" w:rsidP="00446674">
            <w:pPr>
              <w:rPr>
                <w:iCs/>
              </w:rPr>
            </w:pPr>
            <w:r>
              <w:rPr>
                <w:iCs/>
              </w:rPr>
              <w:t>CPOs w</w:t>
            </w:r>
            <w:r w:rsidR="00901D2C">
              <w:rPr>
                <w:iCs/>
              </w:rPr>
              <w:t>ould</w:t>
            </w:r>
            <w:r>
              <w:rPr>
                <w:iCs/>
              </w:rPr>
              <w:t xml:space="preserve"> be empowered to suggest </w:t>
            </w:r>
            <w:r w:rsidR="00367E33">
              <w:rPr>
                <w:iCs/>
              </w:rPr>
              <w:t xml:space="preserve">and pursue </w:t>
            </w:r>
            <w:r>
              <w:rPr>
                <w:iCs/>
              </w:rPr>
              <w:t>locations both off</w:t>
            </w:r>
            <w:r w:rsidR="00655813">
              <w:rPr>
                <w:iCs/>
              </w:rPr>
              <w:t>-</w:t>
            </w:r>
            <w:r>
              <w:rPr>
                <w:iCs/>
              </w:rPr>
              <w:t>street and on</w:t>
            </w:r>
            <w:r w:rsidR="00655813">
              <w:rPr>
                <w:iCs/>
              </w:rPr>
              <w:t>-</w:t>
            </w:r>
            <w:r>
              <w:rPr>
                <w:iCs/>
              </w:rPr>
              <w:t>street, and the Council</w:t>
            </w:r>
            <w:r w:rsidR="00581D38">
              <w:rPr>
                <w:iCs/>
              </w:rPr>
              <w:t>s</w:t>
            </w:r>
            <w:r>
              <w:rPr>
                <w:iCs/>
              </w:rPr>
              <w:t xml:space="preserve"> will commit to support regular feasibility rounds to support the identification and delivery of the best sites, </w:t>
            </w:r>
            <w:r w:rsidR="008808F9">
              <w:rPr>
                <w:iCs/>
              </w:rPr>
              <w:t xml:space="preserve">to </w:t>
            </w:r>
            <w:r>
              <w:rPr>
                <w:iCs/>
              </w:rPr>
              <w:t>bring</w:t>
            </w:r>
            <w:r w:rsidR="008808F9">
              <w:rPr>
                <w:iCs/>
              </w:rPr>
              <w:t>ing</w:t>
            </w:r>
            <w:r>
              <w:rPr>
                <w:iCs/>
              </w:rPr>
              <w:t xml:space="preserve"> in grant funding (if required), and </w:t>
            </w:r>
            <w:r w:rsidR="008808F9">
              <w:rPr>
                <w:iCs/>
              </w:rPr>
              <w:t xml:space="preserve">to </w:t>
            </w:r>
            <w:r>
              <w:rPr>
                <w:iCs/>
              </w:rPr>
              <w:t>coordinate delivery of sites across CPOs within each zone.</w:t>
            </w:r>
            <w:r w:rsidR="00631992">
              <w:rPr>
                <w:iCs/>
              </w:rPr>
              <w:t xml:space="preserve"> Site approval will be in line with the locations hierarchy agreed within the Oxfordshire and Oxford EV Strategies, with on</w:t>
            </w:r>
            <w:r w:rsidR="00655813">
              <w:rPr>
                <w:iCs/>
              </w:rPr>
              <w:t>-</w:t>
            </w:r>
            <w:r w:rsidR="00631992">
              <w:rPr>
                <w:iCs/>
              </w:rPr>
              <w:t>street charging units only pursued where suitable off</w:t>
            </w:r>
            <w:r w:rsidR="00655813">
              <w:rPr>
                <w:iCs/>
              </w:rPr>
              <w:t>-</w:t>
            </w:r>
            <w:r w:rsidR="00631992">
              <w:rPr>
                <w:iCs/>
              </w:rPr>
              <w:t>street solutions cannot be delivered within an agreed timeframe and walking radi</w:t>
            </w:r>
            <w:r w:rsidR="008808F9">
              <w:rPr>
                <w:iCs/>
              </w:rPr>
              <w:t>us</w:t>
            </w:r>
            <w:r w:rsidR="00631992">
              <w:rPr>
                <w:iCs/>
              </w:rPr>
              <w:t xml:space="preserve">. </w:t>
            </w:r>
            <w:r>
              <w:rPr>
                <w:iCs/>
              </w:rPr>
              <w:t xml:space="preserve"> </w:t>
            </w:r>
          </w:p>
          <w:p w14:paraId="1B7B7F30" w14:textId="77777777" w:rsidR="00446674" w:rsidRDefault="00446674" w:rsidP="00446674">
            <w:pPr>
              <w:rPr>
                <w:iCs/>
              </w:rPr>
            </w:pPr>
          </w:p>
          <w:p w14:paraId="6BCB262F" w14:textId="77777777" w:rsidR="00446674" w:rsidRDefault="00446674" w:rsidP="00446674">
            <w:pPr>
              <w:rPr>
                <w:iCs/>
              </w:rPr>
            </w:pPr>
            <w:r>
              <w:rPr>
                <w:iCs/>
              </w:rPr>
              <w:t xml:space="preserve">CPOs would be expected to join an evaluation board, which would evaluate charging provision </w:t>
            </w:r>
            <w:r w:rsidR="00367E33">
              <w:rPr>
                <w:iCs/>
              </w:rPr>
              <w:t xml:space="preserve">in each zone </w:t>
            </w:r>
            <w:r>
              <w:rPr>
                <w:iCs/>
              </w:rPr>
              <w:t xml:space="preserve">at regular intervals, to ensure charge point delivery speed remains appropriate in regards to the actual EV trajectory in the city and beyond. </w:t>
            </w:r>
          </w:p>
          <w:p w14:paraId="6B84B96E" w14:textId="77777777" w:rsidR="00C9799C" w:rsidRDefault="00C9799C" w:rsidP="00446674">
            <w:pPr>
              <w:rPr>
                <w:iCs/>
              </w:rPr>
            </w:pPr>
          </w:p>
          <w:p w14:paraId="436EC123" w14:textId="77777777" w:rsidR="004C329D" w:rsidRPr="005229DD" w:rsidRDefault="004C329D" w:rsidP="00FC0C24"/>
        </w:tc>
      </w:tr>
    </w:tbl>
    <w:p w14:paraId="54334BB7" w14:textId="77777777" w:rsidR="00A1178C" w:rsidRDefault="00A1178C"/>
    <w:p w14:paraId="4EEC9820" w14:textId="77777777" w:rsidR="006C3569" w:rsidRPr="009419F1" w:rsidRDefault="006C3569">
      <w:pPr>
        <w:rPr>
          <w:b/>
          <w:bCs/>
        </w:rPr>
      </w:pPr>
      <w:r w:rsidRPr="009419F1">
        <w:rPr>
          <w:b/>
          <w:bCs/>
        </w:rPr>
        <w:t>Questionnaire</w:t>
      </w:r>
      <w:r w:rsidR="009419F1" w:rsidRPr="009419F1">
        <w:rPr>
          <w:rStyle w:val="FootnoteReference"/>
          <w:b/>
          <w:bCs/>
        </w:rPr>
        <w:footnoteReference w:id="2"/>
      </w:r>
      <w:r w:rsidRPr="009419F1">
        <w:rPr>
          <w:b/>
          <w:bCs/>
        </w:rPr>
        <w:t>:</w:t>
      </w:r>
    </w:p>
    <w:p w14:paraId="6594EC00" w14:textId="77777777" w:rsidR="009419F1" w:rsidRDefault="00941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0"/>
        <w:gridCol w:w="5116"/>
      </w:tblGrid>
      <w:tr w:rsidR="004C329D" w:rsidRPr="00B84EE7" w14:paraId="3C044E43" w14:textId="77777777" w:rsidTr="007D6011">
        <w:trPr>
          <w:trHeight w:val="397"/>
        </w:trPr>
        <w:tc>
          <w:tcPr>
            <w:tcW w:w="3900" w:type="dxa"/>
          </w:tcPr>
          <w:p w14:paraId="1D2E96D1" w14:textId="77777777" w:rsidR="004C329D" w:rsidRDefault="004C329D" w:rsidP="008536F4">
            <w:r>
              <w:t>Company Name</w:t>
            </w:r>
          </w:p>
        </w:tc>
        <w:tc>
          <w:tcPr>
            <w:tcW w:w="5116" w:type="dxa"/>
          </w:tcPr>
          <w:p w14:paraId="1F5C8919" w14:textId="77777777" w:rsidR="004C329D" w:rsidRDefault="004C329D" w:rsidP="008536F4"/>
        </w:tc>
      </w:tr>
      <w:tr w:rsidR="004C329D" w:rsidRPr="00B84EE7" w14:paraId="33D9F6D5" w14:textId="77777777" w:rsidTr="007D6011">
        <w:trPr>
          <w:trHeight w:val="397"/>
        </w:trPr>
        <w:tc>
          <w:tcPr>
            <w:tcW w:w="3900" w:type="dxa"/>
          </w:tcPr>
          <w:p w14:paraId="0C3B3370" w14:textId="77777777" w:rsidR="004C329D" w:rsidRDefault="004C329D" w:rsidP="008536F4">
            <w:r>
              <w:t>Contact Person</w:t>
            </w:r>
          </w:p>
        </w:tc>
        <w:tc>
          <w:tcPr>
            <w:tcW w:w="5116" w:type="dxa"/>
          </w:tcPr>
          <w:p w14:paraId="56311405" w14:textId="77777777" w:rsidR="004C329D" w:rsidRDefault="004C329D" w:rsidP="008536F4"/>
        </w:tc>
      </w:tr>
      <w:tr w:rsidR="006C3569" w:rsidRPr="00B84EE7" w14:paraId="743B1402" w14:textId="77777777" w:rsidTr="007D6011">
        <w:trPr>
          <w:trHeight w:val="397"/>
        </w:trPr>
        <w:tc>
          <w:tcPr>
            <w:tcW w:w="3900" w:type="dxa"/>
          </w:tcPr>
          <w:p w14:paraId="4BDF1C40" w14:textId="77777777" w:rsidR="006C3569" w:rsidRDefault="009419F1" w:rsidP="008536F4">
            <w:r>
              <w:t xml:space="preserve">Your experience in providing </w:t>
            </w:r>
            <w:r w:rsidR="001E6185">
              <w:t xml:space="preserve">public EV charging </w:t>
            </w:r>
            <w:r w:rsidR="006C3569">
              <w:t>service</w:t>
            </w:r>
            <w:r w:rsidR="001E6185">
              <w:t>s</w:t>
            </w:r>
          </w:p>
        </w:tc>
        <w:tc>
          <w:tcPr>
            <w:tcW w:w="5116" w:type="dxa"/>
          </w:tcPr>
          <w:p w14:paraId="494B990B" w14:textId="77777777" w:rsidR="006C3569" w:rsidRDefault="006C3569" w:rsidP="008536F4"/>
        </w:tc>
      </w:tr>
      <w:tr w:rsidR="006C3569" w:rsidRPr="00B84EE7" w14:paraId="53B9416B" w14:textId="77777777" w:rsidTr="007D6011">
        <w:trPr>
          <w:trHeight w:val="397"/>
        </w:trPr>
        <w:tc>
          <w:tcPr>
            <w:tcW w:w="3900" w:type="dxa"/>
          </w:tcPr>
          <w:p w14:paraId="197B88D7" w14:textId="77777777" w:rsidR="006C3569" w:rsidRDefault="006C3569" w:rsidP="008536F4">
            <w:r>
              <w:rPr>
                <w:color w:val="000000"/>
              </w:rPr>
              <w:t xml:space="preserve">Your current customers </w:t>
            </w:r>
          </w:p>
        </w:tc>
        <w:tc>
          <w:tcPr>
            <w:tcW w:w="5116" w:type="dxa"/>
          </w:tcPr>
          <w:p w14:paraId="333D5A2D" w14:textId="77777777" w:rsidR="006C3569" w:rsidRDefault="006C3569" w:rsidP="008536F4"/>
        </w:tc>
      </w:tr>
      <w:tr w:rsidR="00263717" w:rsidRPr="00B84EE7" w14:paraId="0BCCCB77" w14:textId="77777777" w:rsidTr="007D6011">
        <w:trPr>
          <w:trHeight w:val="397"/>
        </w:trPr>
        <w:tc>
          <w:tcPr>
            <w:tcW w:w="3900" w:type="dxa"/>
          </w:tcPr>
          <w:p w14:paraId="52FB1902" w14:textId="355CDF1C" w:rsidR="00C4749C" w:rsidRPr="00A704C1" w:rsidRDefault="00C979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What are your general thoughts </w:t>
            </w:r>
            <w:r w:rsidR="00424AE2" w:rsidRPr="00A704C1">
              <w:rPr>
                <w:iCs/>
              </w:rPr>
              <w:t>in regard to</w:t>
            </w:r>
            <w:r w:rsidRPr="00A704C1">
              <w:rPr>
                <w:iCs/>
              </w:rPr>
              <w:t xml:space="preserve"> the zone based approach</w:t>
            </w:r>
            <w:r w:rsidR="00DA49A2" w:rsidRPr="00A704C1">
              <w:rPr>
                <w:iCs/>
              </w:rPr>
              <w:t xml:space="preserve"> described </w:t>
            </w:r>
            <w:r w:rsidR="00202399">
              <w:rPr>
                <w:iCs/>
              </w:rPr>
              <w:t>above</w:t>
            </w:r>
            <w:r w:rsidR="00C4749C" w:rsidRPr="00A704C1">
              <w:rPr>
                <w:iCs/>
              </w:rPr>
              <w:t xml:space="preserve">? </w:t>
            </w:r>
            <w:r w:rsidR="00890DF4" w:rsidRPr="00A704C1">
              <w:rPr>
                <w:iCs/>
              </w:rPr>
              <w:t xml:space="preserve">Would this work for you? </w:t>
            </w:r>
          </w:p>
          <w:p w14:paraId="05FB4C94" w14:textId="77777777" w:rsidR="0045632B" w:rsidRDefault="0045632B" w:rsidP="00A704C1">
            <w:pPr>
              <w:ind w:left="313" w:hanging="236"/>
              <w:rPr>
                <w:iCs/>
              </w:rPr>
            </w:pPr>
          </w:p>
          <w:p w14:paraId="14B57DFE" w14:textId="0435221B" w:rsidR="0045632B" w:rsidRPr="00A704C1" w:rsidRDefault="0045632B" w:rsidP="00A704C1">
            <w:pPr>
              <w:ind w:left="313" w:hanging="236"/>
              <w:rPr>
                <w:iCs/>
              </w:rPr>
            </w:pPr>
            <w:r w:rsidRPr="00A704C1">
              <w:rPr>
                <w:iCs/>
              </w:rPr>
              <w:t>Wou</w:t>
            </w:r>
            <w:r w:rsidR="00890DF4" w:rsidRPr="00A704C1">
              <w:rPr>
                <w:iCs/>
              </w:rPr>
              <w:t>ld you prefer this approach to</w:t>
            </w:r>
            <w:r w:rsidR="00A704C1">
              <w:rPr>
                <w:iCs/>
              </w:rPr>
              <w:t xml:space="preserve"> </w:t>
            </w:r>
            <w:r w:rsidRPr="00A704C1">
              <w:rPr>
                <w:iCs/>
              </w:rPr>
              <w:t xml:space="preserve">delivering chargers only for pre-determined sites? </w:t>
            </w:r>
          </w:p>
        </w:tc>
        <w:tc>
          <w:tcPr>
            <w:tcW w:w="5116" w:type="dxa"/>
          </w:tcPr>
          <w:p w14:paraId="11AF43E8" w14:textId="77777777" w:rsidR="00263717" w:rsidRDefault="00263717" w:rsidP="008536F4"/>
        </w:tc>
      </w:tr>
      <w:tr w:rsidR="00517E2A" w:rsidRPr="00B84EE7" w14:paraId="6F5424D8" w14:textId="77777777" w:rsidTr="007D6011">
        <w:trPr>
          <w:trHeight w:val="397"/>
        </w:trPr>
        <w:tc>
          <w:tcPr>
            <w:tcW w:w="3900" w:type="dxa"/>
          </w:tcPr>
          <w:p w14:paraId="4AA63FD7" w14:textId="056A2115" w:rsidR="00517E2A" w:rsidRDefault="00517E2A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Would this model be attractive to your project investors? </w:t>
            </w:r>
          </w:p>
          <w:p w14:paraId="5383C9BE" w14:textId="77777777" w:rsidR="00A704C1" w:rsidRP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6F2C571C" w14:textId="77777777" w:rsidR="00517E2A" w:rsidRDefault="00517E2A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 xml:space="preserve">What could we do to make it more attractive?  </w:t>
            </w:r>
          </w:p>
          <w:p w14:paraId="66EBEA01" w14:textId="01DF50D3" w:rsidR="00A704C1" w:rsidRPr="00A704C1" w:rsidRDefault="00A704C1" w:rsidP="00A704C1">
            <w:pPr>
              <w:pStyle w:val="ListParagraph"/>
              <w:ind w:left="313"/>
              <w:rPr>
                <w:iCs/>
              </w:rPr>
            </w:pPr>
          </w:p>
        </w:tc>
        <w:tc>
          <w:tcPr>
            <w:tcW w:w="5116" w:type="dxa"/>
          </w:tcPr>
          <w:p w14:paraId="037D0C79" w14:textId="77777777" w:rsidR="00517E2A" w:rsidRDefault="00517E2A" w:rsidP="008536F4"/>
        </w:tc>
      </w:tr>
      <w:tr w:rsidR="00C9799C" w:rsidRPr="00B84EE7" w14:paraId="441C873E" w14:textId="77777777" w:rsidTr="007D6011">
        <w:trPr>
          <w:trHeight w:val="397"/>
        </w:trPr>
        <w:tc>
          <w:tcPr>
            <w:tcW w:w="3900" w:type="dxa"/>
          </w:tcPr>
          <w:p w14:paraId="3453D11C" w14:textId="3637224A" w:rsidR="00C9799C" w:rsidRDefault="00C979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What is the minimum contact length you would accept under this approach? </w:t>
            </w:r>
          </w:p>
          <w:p w14:paraId="7C2B5343" w14:textId="77777777" w:rsidR="00A704C1" w:rsidRP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425EF4AA" w14:textId="77777777" w:rsidR="0045632B" w:rsidRDefault="0045632B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lastRenderedPageBreak/>
              <w:t>What is the minimum number of EVPCs</w:t>
            </w:r>
            <w:r w:rsidR="00890DF4" w:rsidRPr="00A704C1">
              <w:rPr>
                <w:iCs/>
              </w:rPr>
              <w:t xml:space="preserve"> you would wish to contract</w:t>
            </w:r>
            <w:r w:rsidRPr="00A704C1">
              <w:rPr>
                <w:iCs/>
              </w:rPr>
              <w:t>?</w:t>
            </w:r>
          </w:p>
          <w:p w14:paraId="0E89F4E5" w14:textId="25261E23" w:rsidR="00A704C1" w:rsidRPr="00A704C1" w:rsidRDefault="00A704C1" w:rsidP="00A704C1">
            <w:pPr>
              <w:pStyle w:val="ListParagraph"/>
              <w:ind w:left="313"/>
              <w:rPr>
                <w:iCs/>
              </w:rPr>
            </w:pPr>
          </w:p>
        </w:tc>
        <w:tc>
          <w:tcPr>
            <w:tcW w:w="5116" w:type="dxa"/>
          </w:tcPr>
          <w:p w14:paraId="5D84A0E0" w14:textId="77777777" w:rsidR="00C9799C" w:rsidRDefault="00C9799C" w:rsidP="008536F4"/>
        </w:tc>
      </w:tr>
      <w:tr w:rsidR="00C9799C" w:rsidRPr="00B84EE7" w14:paraId="1B0750EE" w14:textId="77777777" w:rsidTr="007D6011">
        <w:trPr>
          <w:trHeight w:val="397"/>
        </w:trPr>
        <w:tc>
          <w:tcPr>
            <w:tcW w:w="3900" w:type="dxa"/>
          </w:tcPr>
          <w:p w14:paraId="69FCA6CC" w14:textId="77777777" w:rsidR="00A704C1" w:rsidRDefault="00C474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Should we combine </w:t>
            </w:r>
            <w:r w:rsidR="00424AE2" w:rsidRPr="00A704C1">
              <w:rPr>
                <w:iCs/>
              </w:rPr>
              <w:t xml:space="preserve">off-street </w:t>
            </w:r>
            <w:r w:rsidRPr="00A704C1">
              <w:rPr>
                <w:iCs/>
              </w:rPr>
              <w:t xml:space="preserve">and </w:t>
            </w:r>
            <w:r w:rsidR="00424AE2" w:rsidRPr="00A704C1">
              <w:rPr>
                <w:iCs/>
              </w:rPr>
              <w:t xml:space="preserve">on-street </w:t>
            </w:r>
            <w:r w:rsidR="0045632B" w:rsidRPr="00A704C1">
              <w:rPr>
                <w:iCs/>
              </w:rPr>
              <w:t xml:space="preserve">EVPC </w:t>
            </w:r>
            <w:r w:rsidRPr="00A704C1">
              <w:rPr>
                <w:iCs/>
              </w:rPr>
              <w:t>contracts, or keep these separate? What are the implications?</w:t>
            </w:r>
          </w:p>
          <w:p w14:paraId="157D3582" w14:textId="4FDCF054" w:rsidR="00C9799C" w:rsidRPr="00A704C1" w:rsidRDefault="00C4749C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 xml:space="preserve"> </w:t>
            </w:r>
          </w:p>
        </w:tc>
        <w:tc>
          <w:tcPr>
            <w:tcW w:w="5116" w:type="dxa"/>
          </w:tcPr>
          <w:p w14:paraId="7F7A89D9" w14:textId="77777777" w:rsidR="00C9799C" w:rsidRDefault="00C9799C" w:rsidP="008536F4"/>
        </w:tc>
      </w:tr>
      <w:tr w:rsidR="00C9799C" w:rsidRPr="00B84EE7" w14:paraId="20A9E0AD" w14:textId="77777777" w:rsidTr="007D6011">
        <w:trPr>
          <w:trHeight w:val="397"/>
        </w:trPr>
        <w:tc>
          <w:tcPr>
            <w:tcW w:w="3900" w:type="dxa"/>
          </w:tcPr>
          <w:p w14:paraId="02B8811F" w14:textId="77777777" w:rsidR="00C9799C" w:rsidRPr="00A704C1" w:rsidRDefault="00C979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>What would the best mechanism be to ensure we have competition within zones</w:t>
            </w:r>
            <w:r w:rsidR="00C4749C" w:rsidRPr="00A704C1">
              <w:rPr>
                <w:iCs/>
              </w:rPr>
              <w:t xml:space="preserve"> that enables end users to have true choice within walking distance of their home</w:t>
            </w:r>
            <w:r w:rsidRPr="00A704C1">
              <w:rPr>
                <w:iCs/>
              </w:rPr>
              <w:t>, but avoid putting investment at risk</w:t>
            </w:r>
            <w:r w:rsidR="00C4749C" w:rsidRPr="00A704C1">
              <w:rPr>
                <w:iCs/>
              </w:rPr>
              <w:t xml:space="preserve"> by crowding units from different CPOs too closely together</w:t>
            </w:r>
            <w:r w:rsidRPr="00A704C1">
              <w:rPr>
                <w:iCs/>
              </w:rPr>
              <w:t xml:space="preserve">: </w:t>
            </w:r>
          </w:p>
          <w:p w14:paraId="7B3E40C0" w14:textId="77777777" w:rsidR="00C9799C" w:rsidRDefault="00C9799C" w:rsidP="00A704C1">
            <w:pPr>
              <w:pStyle w:val="ListParagraph"/>
              <w:numPr>
                <w:ilvl w:val="0"/>
                <w:numId w:val="20"/>
              </w:numPr>
              <w:rPr>
                <w:iCs/>
              </w:rPr>
            </w:pPr>
            <w:r>
              <w:rPr>
                <w:iCs/>
              </w:rPr>
              <w:t xml:space="preserve">Allocating streets/post codes to CPOs? </w:t>
            </w:r>
          </w:p>
          <w:p w14:paraId="1E46F253" w14:textId="77777777" w:rsidR="00C4749C" w:rsidRDefault="00C9799C" w:rsidP="00A704C1">
            <w:pPr>
              <w:pStyle w:val="ListParagraph"/>
              <w:numPr>
                <w:ilvl w:val="0"/>
                <w:numId w:val="20"/>
              </w:numPr>
              <w:rPr>
                <w:iCs/>
              </w:rPr>
            </w:pPr>
            <w:r>
              <w:rPr>
                <w:iCs/>
              </w:rPr>
              <w:t>Collating suggested sites, collaboratively scoring for benefit/risk and allocate a fair selection to each CPO?</w:t>
            </w:r>
          </w:p>
          <w:p w14:paraId="23FA5F21" w14:textId="77777777" w:rsidR="00C9799C" w:rsidRDefault="00C4749C" w:rsidP="00A704C1">
            <w:pPr>
              <w:pStyle w:val="ListParagraph"/>
              <w:numPr>
                <w:ilvl w:val="0"/>
                <w:numId w:val="20"/>
              </w:numPr>
              <w:rPr>
                <w:iCs/>
              </w:rPr>
            </w:pPr>
            <w:r>
              <w:rPr>
                <w:iCs/>
              </w:rPr>
              <w:t>Other?</w:t>
            </w:r>
            <w:r w:rsidR="00C9799C">
              <w:rPr>
                <w:iCs/>
              </w:rPr>
              <w:t xml:space="preserve"> </w:t>
            </w:r>
          </w:p>
          <w:p w14:paraId="22CB2C33" w14:textId="2546B0D3" w:rsidR="00A704C1" w:rsidRPr="00015F0B" w:rsidRDefault="00A704C1" w:rsidP="00A704C1">
            <w:pPr>
              <w:pStyle w:val="ListParagraph"/>
              <w:rPr>
                <w:iCs/>
              </w:rPr>
            </w:pPr>
          </w:p>
        </w:tc>
        <w:tc>
          <w:tcPr>
            <w:tcW w:w="5116" w:type="dxa"/>
          </w:tcPr>
          <w:p w14:paraId="676B7665" w14:textId="77777777" w:rsidR="00C9799C" w:rsidRDefault="00C9799C" w:rsidP="008536F4"/>
        </w:tc>
      </w:tr>
      <w:tr w:rsidR="001F3128" w:rsidRPr="00B84EE7" w14:paraId="33456C32" w14:textId="77777777" w:rsidTr="007D6011">
        <w:trPr>
          <w:trHeight w:val="397"/>
        </w:trPr>
        <w:tc>
          <w:tcPr>
            <w:tcW w:w="3900" w:type="dxa"/>
          </w:tcPr>
          <w:p w14:paraId="301D1A7A" w14:textId="77777777" w:rsidR="001F3128" w:rsidRPr="00A704C1" w:rsidRDefault="001F3128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>What interval is appropriate for the feasibility rounds? Should these be annual, or less frequent?</w:t>
            </w:r>
          </w:p>
          <w:p w14:paraId="678D74B0" w14:textId="77777777" w:rsidR="001F3128" w:rsidRDefault="001F3128" w:rsidP="00A704C1">
            <w:pPr>
              <w:ind w:left="313" w:hanging="236"/>
              <w:rPr>
                <w:iCs/>
              </w:rPr>
            </w:pPr>
          </w:p>
          <w:p w14:paraId="38C270E2" w14:textId="77777777" w:rsidR="001F3128" w:rsidRPr="00A704C1" w:rsidRDefault="001F3128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 xml:space="preserve">We are keen to make this schedule predictable, so that we can make the right officers in highways, planning and other relevant teams available to support. </w:t>
            </w:r>
          </w:p>
          <w:p w14:paraId="16716BFD" w14:textId="77777777" w:rsidR="001F3128" w:rsidRDefault="001F3128" w:rsidP="00A704C1">
            <w:pPr>
              <w:ind w:left="313" w:hanging="236"/>
              <w:rPr>
                <w:iCs/>
              </w:rPr>
            </w:pPr>
          </w:p>
        </w:tc>
        <w:tc>
          <w:tcPr>
            <w:tcW w:w="5116" w:type="dxa"/>
          </w:tcPr>
          <w:p w14:paraId="1848933E" w14:textId="77777777" w:rsidR="001F3128" w:rsidRDefault="001F3128" w:rsidP="008536F4"/>
        </w:tc>
      </w:tr>
      <w:tr w:rsidR="00C4749C" w:rsidRPr="00B84EE7" w14:paraId="1EAD4F07" w14:textId="77777777" w:rsidTr="007D6011">
        <w:trPr>
          <w:trHeight w:val="397"/>
        </w:trPr>
        <w:tc>
          <w:tcPr>
            <w:tcW w:w="3900" w:type="dxa"/>
          </w:tcPr>
          <w:p w14:paraId="09547643" w14:textId="77777777" w:rsidR="00581D38" w:rsidRPr="00A704C1" w:rsidRDefault="00C474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>How would you ensure that EVCPs are delivered across both higher and lower risk sites</w:t>
            </w:r>
            <w:r w:rsidR="001F3128" w:rsidRPr="00A704C1">
              <w:rPr>
                <w:iCs/>
              </w:rPr>
              <w:t xml:space="preserve"> consistently?</w:t>
            </w:r>
            <w:r w:rsidR="0045632B" w:rsidRPr="00A704C1">
              <w:rPr>
                <w:iCs/>
              </w:rPr>
              <w:t xml:space="preserve"> </w:t>
            </w:r>
            <w:r w:rsidR="001F3128" w:rsidRPr="00A704C1">
              <w:rPr>
                <w:iCs/>
              </w:rPr>
              <w:t xml:space="preserve"> </w:t>
            </w:r>
          </w:p>
          <w:p w14:paraId="08498F62" w14:textId="77777777" w:rsidR="00C4749C" w:rsidRDefault="00C4749C" w:rsidP="00A704C1">
            <w:pPr>
              <w:ind w:left="313" w:hanging="236"/>
              <w:rPr>
                <w:iCs/>
              </w:rPr>
            </w:pPr>
          </w:p>
          <w:p w14:paraId="090E4812" w14:textId="40B1E8E0" w:rsidR="00581D38" w:rsidRPr="00A704C1" w:rsidRDefault="00581D38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>One way to do this, would be to agree a percentage of CPO chosen and Council chosen sites. For example, the CPO may cho</w:t>
            </w:r>
            <w:r w:rsidR="00A704C1">
              <w:rPr>
                <w:iCs/>
              </w:rPr>
              <w:t>o</w:t>
            </w:r>
            <w:r w:rsidRPr="00A704C1">
              <w:rPr>
                <w:iCs/>
              </w:rPr>
              <w:t>se sites for 80% of EVPCs, and the Council may ch</w:t>
            </w:r>
            <w:r w:rsidR="00A704C1">
              <w:rPr>
                <w:iCs/>
              </w:rPr>
              <w:t>o</w:t>
            </w:r>
            <w:r w:rsidRPr="00A704C1">
              <w:rPr>
                <w:iCs/>
              </w:rPr>
              <w:t xml:space="preserve">ose 20%. </w:t>
            </w:r>
          </w:p>
          <w:p w14:paraId="03EF8720" w14:textId="77777777" w:rsidR="00581D38" w:rsidRPr="00A704C1" w:rsidRDefault="00581D38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lastRenderedPageBreak/>
              <w:t xml:space="preserve">Would this be acceptable? </w:t>
            </w:r>
          </w:p>
          <w:p w14:paraId="171F8D07" w14:textId="77777777" w:rsidR="00581D38" w:rsidRPr="00015F0B" w:rsidRDefault="00581D38" w:rsidP="00A704C1">
            <w:pPr>
              <w:ind w:left="313" w:hanging="236"/>
              <w:rPr>
                <w:iCs/>
              </w:rPr>
            </w:pPr>
          </w:p>
        </w:tc>
        <w:tc>
          <w:tcPr>
            <w:tcW w:w="5116" w:type="dxa"/>
          </w:tcPr>
          <w:p w14:paraId="3071F413" w14:textId="77777777" w:rsidR="00C4749C" w:rsidRDefault="00C4749C" w:rsidP="008536F4"/>
        </w:tc>
      </w:tr>
      <w:tr w:rsidR="00C9799C" w:rsidRPr="00B84EE7" w14:paraId="6E3A1893" w14:textId="77777777" w:rsidTr="007D6011">
        <w:trPr>
          <w:trHeight w:val="397"/>
        </w:trPr>
        <w:tc>
          <w:tcPr>
            <w:tcW w:w="3900" w:type="dxa"/>
          </w:tcPr>
          <w:p w14:paraId="0835E979" w14:textId="5A12325A" w:rsidR="00A704C1" w:rsidRDefault="00C474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>The business case for AC on</w:t>
            </w:r>
            <w:r w:rsidR="00A704C1">
              <w:rPr>
                <w:iCs/>
              </w:rPr>
              <w:t>-</w:t>
            </w:r>
            <w:r w:rsidRPr="00A704C1">
              <w:rPr>
                <w:iCs/>
              </w:rPr>
              <w:t>street solutions is far more challenging than for AC off</w:t>
            </w:r>
            <w:r w:rsidR="00A704C1">
              <w:rPr>
                <w:iCs/>
              </w:rPr>
              <w:t>-</w:t>
            </w:r>
            <w:r w:rsidRPr="00A704C1">
              <w:rPr>
                <w:iCs/>
              </w:rPr>
              <w:t xml:space="preserve">street. </w:t>
            </w:r>
          </w:p>
          <w:p w14:paraId="22052671" w14:textId="77777777" w:rsid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48454AC0" w14:textId="77777777" w:rsidR="00C9799C" w:rsidRDefault="00C4749C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>Should we bundle up the delivery of</w:t>
            </w:r>
            <w:r w:rsidR="00C9799C" w:rsidRPr="00A704C1">
              <w:rPr>
                <w:iCs/>
              </w:rPr>
              <w:t xml:space="preserve"> on</w:t>
            </w:r>
            <w:r w:rsidR="00A704C1">
              <w:rPr>
                <w:iCs/>
              </w:rPr>
              <w:t>-</w:t>
            </w:r>
            <w:r w:rsidR="00C9799C" w:rsidRPr="00A704C1">
              <w:rPr>
                <w:iCs/>
              </w:rPr>
              <w:t>street and</w:t>
            </w:r>
            <w:r w:rsidR="00890DF4" w:rsidRPr="00A704C1">
              <w:rPr>
                <w:iCs/>
              </w:rPr>
              <w:t xml:space="preserve"> off</w:t>
            </w:r>
            <w:r w:rsidR="00A704C1">
              <w:rPr>
                <w:iCs/>
              </w:rPr>
              <w:t>-</w:t>
            </w:r>
            <w:r w:rsidR="00890DF4" w:rsidRPr="00A704C1">
              <w:rPr>
                <w:iCs/>
              </w:rPr>
              <w:t>street solutions, so CPOs can do both to hedge commercial risk?</w:t>
            </w:r>
          </w:p>
          <w:p w14:paraId="79BD7603" w14:textId="550552C6" w:rsidR="00A704C1" w:rsidRPr="00A704C1" w:rsidRDefault="00A704C1" w:rsidP="00A704C1">
            <w:pPr>
              <w:pStyle w:val="ListParagraph"/>
              <w:ind w:left="313"/>
              <w:rPr>
                <w:iCs/>
              </w:rPr>
            </w:pPr>
          </w:p>
        </w:tc>
        <w:tc>
          <w:tcPr>
            <w:tcW w:w="5116" w:type="dxa"/>
          </w:tcPr>
          <w:p w14:paraId="74655350" w14:textId="77777777" w:rsidR="00C9799C" w:rsidRDefault="00C9799C" w:rsidP="008536F4"/>
        </w:tc>
      </w:tr>
      <w:tr w:rsidR="00C9799C" w:rsidRPr="00B84EE7" w14:paraId="5F3AA8FF" w14:textId="77777777" w:rsidTr="007D6011">
        <w:trPr>
          <w:trHeight w:val="397"/>
        </w:trPr>
        <w:tc>
          <w:tcPr>
            <w:tcW w:w="3900" w:type="dxa"/>
          </w:tcPr>
          <w:p w14:paraId="45CDAAA0" w14:textId="77777777" w:rsidR="00C4749C" w:rsidRPr="00A704C1" w:rsidRDefault="00C4749C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What is the </w:t>
            </w:r>
            <w:r w:rsidR="00890DF4" w:rsidRPr="00A704C1">
              <w:rPr>
                <w:iCs/>
              </w:rPr>
              <w:t>preferred</w:t>
            </w:r>
            <w:r w:rsidRPr="00A704C1">
              <w:rPr>
                <w:iCs/>
              </w:rPr>
              <w:t xml:space="preserve"> approach to deliver the </w:t>
            </w:r>
            <w:r w:rsidR="00890DF4" w:rsidRPr="00A704C1">
              <w:rPr>
                <w:iCs/>
              </w:rPr>
              <w:t xml:space="preserve">location </w:t>
            </w:r>
            <w:r w:rsidRPr="00A704C1">
              <w:rPr>
                <w:iCs/>
              </w:rPr>
              <w:t xml:space="preserve">feasibility? </w:t>
            </w:r>
          </w:p>
          <w:p w14:paraId="1B0A53CF" w14:textId="77777777" w:rsid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7E179343" w14:textId="043FB4DE" w:rsidR="00890DF4" w:rsidRPr="00A704C1" w:rsidRDefault="00C4749C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>We would like to play an enabling rather than a controlling role, but we will need to</w:t>
            </w:r>
            <w:r w:rsidR="00890DF4" w:rsidRPr="00A704C1">
              <w:rPr>
                <w:iCs/>
              </w:rPr>
              <w:t xml:space="preserve"> set clear criteria to ensure contractors</w:t>
            </w:r>
            <w:r w:rsidRPr="00A704C1">
              <w:rPr>
                <w:iCs/>
              </w:rPr>
              <w:t xml:space="preserve"> deliver the charging infrastructure the city needs. </w:t>
            </w:r>
          </w:p>
          <w:p w14:paraId="42529823" w14:textId="77777777" w:rsid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69797B0E" w14:textId="763DF7A6" w:rsidR="00C9799C" w:rsidRPr="00A704C1" w:rsidRDefault="00890DF4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 xml:space="preserve">Would a regular, annual feasibility round work, with site suggestions from CPOs, residents and the Council? </w:t>
            </w:r>
          </w:p>
          <w:p w14:paraId="7472C2E4" w14:textId="77777777" w:rsidR="00C4749C" w:rsidRPr="00310183" w:rsidRDefault="00C4749C" w:rsidP="00A704C1">
            <w:pPr>
              <w:ind w:left="313" w:hanging="236"/>
              <w:rPr>
                <w:iCs/>
              </w:rPr>
            </w:pPr>
          </w:p>
        </w:tc>
        <w:tc>
          <w:tcPr>
            <w:tcW w:w="5116" w:type="dxa"/>
          </w:tcPr>
          <w:p w14:paraId="71AB99DD" w14:textId="77777777" w:rsidR="00C9799C" w:rsidRDefault="00C9799C" w:rsidP="008536F4"/>
        </w:tc>
      </w:tr>
      <w:tr w:rsidR="00C9799C" w:rsidRPr="00B84EE7" w14:paraId="7B1DF28B" w14:textId="77777777" w:rsidTr="007D6011">
        <w:trPr>
          <w:trHeight w:val="397"/>
        </w:trPr>
        <w:tc>
          <w:tcPr>
            <w:tcW w:w="3900" w:type="dxa"/>
          </w:tcPr>
          <w:p w14:paraId="7CF0F643" w14:textId="77777777" w:rsidR="00424AE2" w:rsidRPr="00A704C1" w:rsidRDefault="00890DF4" w:rsidP="00A704C1">
            <w:pPr>
              <w:pStyle w:val="ListParagraph"/>
              <w:numPr>
                <w:ilvl w:val="0"/>
                <w:numId w:val="19"/>
              </w:numPr>
              <w:ind w:left="313" w:hanging="236"/>
              <w:rPr>
                <w:iCs/>
              </w:rPr>
            </w:pPr>
            <w:r w:rsidRPr="00A704C1">
              <w:rPr>
                <w:iCs/>
              </w:rPr>
              <w:t xml:space="preserve">To maximise the scale of public charging we will seek to develop a set of land use agreement templates, that can be offered to private landlords that wish to deliver public charging. </w:t>
            </w:r>
          </w:p>
          <w:p w14:paraId="640B2E00" w14:textId="77777777" w:rsidR="00424AE2" w:rsidRDefault="00424AE2" w:rsidP="00A704C1">
            <w:pPr>
              <w:ind w:left="313" w:hanging="236"/>
              <w:rPr>
                <w:iCs/>
              </w:rPr>
            </w:pPr>
          </w:p>
          <w:p w14:paraId="1322C29C" w14:textId="77777777" w:rsidR="00A704C1" w:rsidRDefault="00890DF4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 xml:space="preserve">Would you be willing to deliver public charging on private land, provided the terms of the contract apply? How could income share work in this context? </w:t>
            </w:r>
          </w:p>
          <w:p w14:paraId="3FEF165F" w14:textId="77777777" w:rsidR="00A704C1" w:rsidRDefault="00A704C1" w:rsidP="00A704C1">
            <w:pPr>
              <w:pStyle w:val="ListParagraph"/>
              <w:ind w:left="313"/>
              <w:rPr>
                <w:iCs/>
              </w:rPr>
            </w:pPr>
          </w:p>
          <w:p w14:paraId="68722643" w14:textId="37908FF2" w:rsidR="00C9799C" w:rsidRPr="00A704C1" w:rsidRDefault="00890DF4" w:rsidP="00A704C1">
            <w:pPr>
              <w:pStyle w:val="ListParagraph"/>
              <w:ind w:left="313"/>
              <w:rPr>
                <w:iCs/>
              </w:rPr>
            </w:pPr>
            <w:r w:rsidRPr="00A704C1">
              <w:rPr>
                <w:iCs/>
              </w:rPr>
              <w:t>For example, we could req</w:t>
            </w:r>
            <w:r w:rsidR="00483BC4" w:rsidRPr="00A704C1">
              <w:rPr>
                <w:iCs/>
              </w:rPr>
              <w:t>uest</w:t>
            </w:r>
            <w:r w:rsidRPr="00A704C1">
              <w:rPr>
                <w:iCs/>
              </w:rPr>
              <w:t xml:space="preserve"> a standard connection fee share for the Councils to cover contract management</w:t>
            </w:r>
            <w:r w:rsidR="00BC2CD6" w:rsidRPr="00A704C1">
              <w:rPr>
                <w:iCs/>
              </w:rPr>
              <w:t xml:space="preserve"> cost</w:t>
            </w:r>
            <w:r w:rsidR="00483BC4" w:rsidRPr="00A704C1">
              <w:rPr>
                <w:iCs/>
              </w:rPr>
              <w:t xml:space="preserve">, but allow CPOs to negotiate any </w:t>
            </w:r>
            <w:r w:rsidR="00483BC4" w:rsidRPr="00A704C1">
              <w:rPr>
                <w:iCs/>
              </w:rPr>
              <w:lastRenderedPageBreak/>
              <w:t>other income share arrangements with land owners, or develop an acceptable ground rent proposition with CPOs.</w:t>
            </w:r>
          </w:p>
        </w:tc>
        <w:tc>
          <w:tcPr>
            <w:tcW w:w="5116" w:type="dxa"/>
          </w:tcPr>
          <w:p w14:paraId="7E32BA31" w14:textId="77777777" w:rsidR="00C9799C" w:rsidRDefault="00C9799C" w:rsidP="008536F4"/>
        </w:tc>
      </w:tr>
      <w:tr w:rsidR="009419F1" w:rsidRPr="00B84EE7" w14:paraId="7CAC3E18" w14:textId="77777777" w:rsidTr="00F35F0F">
        <w:trPr>
          <w:trHeight w:val="4262"/>
        </w:trPr>
        <w:tc>
          <w:tcPr>
            <w:tcW w:w="3900" w:type="dxa"/>
          </w:tcPr>
          <w:p w14:paraId="6AB962AC" w14:textId="77777777" w:rsidR="009419F1" w:rsidRDefault="009419F1" w:rsidP="008536F4">
            <w:pPr>
              <w:rPr>
                <w:color w:val="000000"/>
              </w:rPr>
            </w:pPr>
            <w:r>
              <w:rPr>
                <w:color w:val="000000"/>
              </w:rPr>
              <w:t>Any other comments</w:t>
            </w:r>
          </w:p>
        </w:tc>
        <w:tc>
          <w:tcPr>
            <w:tcW w:w="5116" w:type="dxa"/>
          </w:tcPr>
          <w:p w14:paraId="650B46E9" w14:textId="77777777" w:rsidR="009419F1" w:rsidRDefault="009419F1" w:rsidP="008536F4"/>
        </w:tc>
      </w:tr>
    </w:tbl>
    <w:p w14:paraId="76D71CAC" w14:textId="77777777" w:rsidR="006C3569" w:rsidRDefault="006C3569" w:rsidP="009419F1"/>
    <w:p w14:paraId="08A93FB5" w14:textId="77777777" w:rsidR="007F1383" w:rsidRDefault="007F1383" w:rsidP="009419F1"/>
    <w:p w14:paraId="7FE1E5A1" w14:textId="77777777" w:rsidR="00F35F0F" w:rsidRDefault="00F35F0F" w:rsidP="00F35F0F">
      <w:r>
        <w:t>Thank you for taking the time to complete this questionnaire, all responses will be considered in the drafting of any future project and/or procurement.</w:t>
      </w:r>
    </w:p>
    <w:p w14:paraId="063217B9" w14:textId="4AC4C2E3" w:rsidR="007F1383" w:rsidRDefault="00F35F0F">
      <w:r>
        <w:br w:type="page"/>
      </w:r>
    </w:p>
    <w:p w14:paraId="00093D00" w14:textId="0AD9BB4D" w:rsidR="007F1383" w:rsidRDefault="007F1383" w:rsidP="009419F1">
      <w:r>
        <w:lastRenderedPageBreak/>
        <w:t>Appendix 1</w:t>
      </w:r>
    </w:p>
    <w:p w14:paraId="096A7A23" w14:textId="77777777" w:rsidR="007F1383" w:rsidRDefault="007F1383" w:rsidP="009419F1"/>
    <w:p w14:paraId="0F26A196" w14:textId="4AE0A1EF" w:rsidR="007F1383" w:rsidRDefault="007F1383" w:rsidP="009419F1">
      <w:r w:rsidRPr="007F1383">
        <w:rPr>
          <w:noProof/>
          <w:lang w:eastAsia="en-GB"/>
        </w:rPr>
        <w:drawing>
          <wp:inline distT="0" distB="0" distL="0" distR="0" wp14:anchorId="26B12DF6" wp14:editId="64F4A15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3BAF" w14:textId="558C8DB4" w:rsidR="007F1383" w:rsidRDefault="007F1383" w:rsidP="009419F1"/>
    <w:p w14:paraId="4F474053" w14:textId="0793B03F" w:rsidR="007F1383" w:rsidRDefault="00D34E1E" w:rsidP="009419F1">
      <w:r>
        <w:rPr>
          <w:noProof/>
          <w:lang w:eastAsia="en-GB"/>
        </w:rPr>
        <w:drawing>
          <wp:inline distT="0" distB="0" distL="0" distR="0" wp14:anchorId="47DD0467" wp14:editId="798F98D0">
            <wp:extent cx="5258320" cy="33870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183" cy="339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32FF" w14:textId="5976711B" w:rsidR="007F1383" w:rsidRDefault="007F1383" w:rsidP="009419F1">
      <w:r>
        <w:t xml:space="preserve">Evaluation maps display onstreet properties, deprivation score, capacity constraints, car club locations, deprivation, working driver populations, taxi ranks, five min walking radius of existing location, population density etc.  </w:t>
      </w:r>
    </w:p>
    <w:p w14:paraId="1F97224B" w14:textId="77777777" w:rsidR="005C347F" w:rsidRDefault="005C347F" w:rsidP="009419F1"/>
    <w:p w14:paraId="5E625628" w14:textId="4993A659" w:rsidR="005C347F" w:rsidRDefault="005C347F" w:rsidP="009419F1">
      <w:r w:rsidRPr="005C347F">
        <w:rPr>
          <w:noProof/>
          <w:lang w:eastAsia="en-GB"/>
        </w:rPr>
        <w:lastRenderedPageBreak/>
        <w:drawing>
          <wp:inline distT="0" distB="0" distL="0" distR="0" wp14:anchorId="4061872A" wp14:editId="788B2022">
            <wp:extent cx="4535425" cy="7144847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35425" cy="714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47F" w:rsidSect="005229D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9DAA9" w14:textId="77777777" w:rsidR="0029335B" w:rsidRDefault="0029335B" w:rsidP="006C3569">
      <w:r>
        <w:separator/>
      </w:r>
    </w:p>
  </w:endnote>
  <w:endnote w:type="continuationSeparator" w:id="0">
    <w:p w14:paraId="13C70091" w14:textId="77777777" w:rsidR="0029335B" w:rsidRDefault="0029335B" w:rsidP="006C3569">
      <w:r>
        <w:continuationSeparator/>
      </w:r>
    </w:p>
  </w:endnote>
  <w:endnote w:type="continuationNotice" w:id="1">
    <w:p w14:paraId="0929D1AD" w14:textId="77777777" w:rsidR="0029335B" w:rsidRDefault="00293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13B0" w14:textId="77777777" w:rsidR="0029335B" w:rsidRDefault="0029335B" w:rsidP="006C3569">
      <w:r>
        <w:separator/>
      </w:r>
    </w:p>
  </w:footnote>
  <w:footnote w:type="continuationSeparator" w:id="0">
    <w:p w14:paraId="7A172D33" w14:textId="77777777" w:rsidR="0029335B" w:rsidRDefault="0029335B" w:rsidP="006C3569">
      <w:r>
        <w:continuationSeparator/>
      </w:r>
    </w:p>
  </w:footnote>
  <w:footnote w:type="continuationNotice" w:id="1">
    <w:p w14:paraId="0DE47B41" w14:textId="77777777" w:rsidR="0029335B" w:rsidRDefault="0029335B"/>
  </w:footnote>
  <w:footnote w:id="2">
    <w:p w14:paraId="1AE5FD58" w14:textId="77777777" w:rsidR="009419F1" w:rsidRDefault="009419F1">
      <w:pPr>
        <w:pStyle w:val="FootnoteText"/>
      </w:pPr>
      <w:r>
        <w:rPr>
          <w:rStyle w:val="FootnoteReference"/>
        </w:rPr>
        <w:footnoteRef/>
      </w:r>
      <w:r>
        <w:t xml:space="preserve"> Questionnaire needs to be specific to the good/services you are looking to procure. Please add/change as required.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F3C9F" w14:textId="77777777" w:rsidR="0003608A" w:rsidRPr="0003608A" w:rsidRDefault="0003608A">
    <w:pPr>
      <w:pStyle w:val="Header"/>
      <w:rPr>
        <w:sz w:val="20"/>
        <w:szCs w:val="20"/>
      </w:rPr>
    </w:pPr>
    <w:r w:rsidRPr="0003608A">
      <w:rPr>
        <w:sz w:val="20"/>
        <w:szCs w:val="20"/>
      </w:rPr>
      <w:t>Ref: PC 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088"/>
    <w:multiLevelType w:val="hybridMultilevel"/>
    <w:tmpl w:val="3000D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32DF"/>
    <w:multiLevelType w:val="hybridMultilevel"/>
    <w:tmpl w:val="B3149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E1F"/>
    <w:multiLevelType w:val="hybridMultilevel"/>
    <w:tmpl w:val="B5EA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5CFC"/>
    <w:multiLevelType w:val="hybridMultilevel"/>
    <w:tmpl w:val="E814D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E86"/>
    <w:multiLevelType w:val="hybridMultilevel"/>
    <w:tmpl w:val="62C4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61E"/>
    <w:multiLevelType w:val="hybridMultilevel"/>
    <w:tmpl w:val="A00C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943E4"/>
    <w:multiLevelType w:val="hybridMultilevel"/>
    <w:tmpl w:val="A64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50A9"/>
    <w:multiLevelType w:val="hybridMultilevel"/>
    <w:tmpl w:val="6FB8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17CFE"/>
    <w:multiLevelType w:val="hybridMultilevel"/>
    <w:tmpl w:val="89866730"/>
    <w:lvl w:ilvl="0" w:tplc="C290A2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18F6"/>
    <w:multiLevelType w:val="hybridMultilevel"/>
    <w:tmpl w:val="A0348D42"/>
    <w:lvl w:ilvl="0" w:tplc="9AC4F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B1C0B"/>
    <w:multiLevelType w:val="hybridMultilevel"/>
    <w:tmpl w:val="A4DAC07A"/>
    <w:lvl w:ilvl="0" w:tplc="C95C56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4438C"/>
    <w:multiLevelType w:val="hybridMultilevel"/>
    <w:tmpl w:val="0854DF04"/>
    <w:lvl w:ilvl="0" w:tplc="BAD89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96664"/>
    <w:multiLevelType w:val="hybridMultilevel"/>
    <w:tmpl w:val="4EF2E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F31A2"/>
    <w:multiLevelType w:val="hybridMultilevel"/>
    <w:tmpl w:val="8FC89374"/>
    <w:lvl w:ilvl="0" w:tplc="9AC4F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A5BB7"/>
    <w:multiLevelType w:val="hybridMultilevel"/>
    <w:tmpl w:val="AD784800"/>
    <w:lvl w:ilvl="0" w:tplc="79FA09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E3401"/>
    <w:multiLevelType w:val="hybridMultilevel"/>
    <w:tmpl w:val="49A83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49AB"/>
    <w:multiLevelType w:val="hybridMultilevel"/>
    <w:tmpl w:val="D256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27E"/>
    <w:multiLevelType w:val="hybridMultilevel"/>
    <w:tmpl w:val="6BB0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0487C"/>
    <w:multiLevelType w:val="hybridMultilevel"/>
    <w:tmpl w:val="04B00B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E4438"/>
    <w:multiLevelType w:val="hybridMultilevel"/>
    <w:tmpl w:val="CF660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54DDB"/>
    <w:multiLevelType w:val="hybridMultilevel"/>
    <w:tmpl w:val="260263BC"/>
    <w:lvl w:ilvl="0" w:tplc="9AC4F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C164F"/>
    <w:multiLevelType w:val="hybridMultilevel"/>
    <w:tmpl w:val="25C6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2"/>
  </w:num>
  <w:num w:numId="10">
    <w:abstractNumId w:val="21"/>
  </w:num>
  <w:num w:numId="11">
    <w:abstractNumId w:val="0"/>
  </w:num>
  <w:num w:numId="12">
    <w:abstractNumId w:val="15"/>
  </w:num>
  <w:num w:numId="13">
    <w:abstractNumId w:val="12"/>
  </w:num>
  <w:num w:numId="14">
    <w:abstractNumId w:val="17"/>
  </w:num>
  <w:num w:numId="15">
    <w:abstractNumId w:val="16"/>
  </w:num>
  <w:num w:numId="16">
    <w:abstractNumId w:val="19"/>
  </w:num>
  <w:num w:numId="17">
    <w:abstractNumId w:val="7"/>
  </w:num>
  <w:num w:numId="18">
    <w:abstractNumId w:val="1"/>
  </w:num>
  <w:num w:numId="19">
    <w:abstractNumId w:val="14"/>
  </w:num>
  <w:num w:numId="20">
    <w:abstractNumId w:val="5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78C"/>
    <w:rsid w:val="00015F0B"/>
    <w:rsid w:val="0003608A"/>
    <w:rsid w:val="00066742"/>
    <w:rsid w:val="000726DE"/>
    <w:rsid w:val="00076446"/>
    <w:rsid w:val="000B4310"/>
    <w:rsid w:val="000C1C59"/>
    <w:rsid w:val="000E46C2"/>
    <w:rsid w:val="000E47AC"/>
    <w:rsid w:val="001302B0"/>
    <w:rsid w:val="0016790A"/>
    <w:rsid w:val="00170B82"/>
    <w:rsid w:val="00172196"/>
    <w:rsid w:val="00175E57"/>
    <w:rsid w:val="001C29B3"/>
    <w:rsid w:val="001E28C7"/>
    <w:rsid w:val="001E6185"/>
    <w:rsid w:val="001F3128"/>
    <w:rsid w:val="00202399"/>
    <w:rsid w:val="002168CE"/>
    <w:rsid w:val="00263717"/>
    <w:rsid w:val="00287419"/>
    <w:rsid w:val="0029335B"/>
    <w:rsid w:val="002A1415"/>
    <w:rsid w:val="002D06AB"/>
    <w:rsid w:val="002E3D52"/>
    <w:rsid w:val="00310183"/>
    <w:rsid w:val="0032368F"/>
    <w:rsid w:val="0034150E"/>
    <w:rsid w:val="00367E33"/>
    <w:rsid w:val="004000D7"/>
    <w:rsid w:val="00424AE2"/>
    <w:rsid w:val="00446674"/>
    <w:rsid w:val="0045632B"/>
    <w:rsid w:val="00481329"/>
    <w:rsid w:val="00483BC4"/>
    <w:rsid w:val="004B68A1"/>
    <w:rsid w:val="004C329D"/>
    <w:rsid w:val="004D7D01"/>
    <w:rsid w:val="004F1416"/>
    <w:rsid w:val="00504E43"/>
    <w:rsid w:val="00506190"/>
    <w:rsid w:val="005143CE"/>
    <w:rsid w:val="00517551"/>
    <w:rsid w:val="00517E2A"/>
    <w:rsid w:val="005229DD"/>
    <w:rsid w:val="00581D38"/>
    <w:rsid w:val="005868EE"/>
    <w:rsid w:val="005B4AAE"/>
    <w:rsid w:val="005C128F"/>
    <w:rsid w:val="005C347F"/>
    <w:rsid w:val="00631992"/>
    <w:rsid w:val="00644F6C"/>
    <w:rsid w:val="00655813"/>
    <w:rsid w:val="006C3569"/>
    <w:rsid w:val="00737E80"/>
    <w:rsid w:val="0074305E"/>
    <w:rsid w:val="00746699"/>
    <w:rsid w:val="00755A6A"/>
    <w:rsid w:val="007908F4"/>
    <w:rsid w:val="007D6011"/>
    <w:rsid w:val="007F1383"/>
    <w:rsid w:val="00804470"/>
    <w:rsid w:val="0081216D"/>
    <w:rsid w:val="008536F4"/>
    <w:rsid w:val="008808F9"/>
    <w:rsid w:val="00890DF4"/>
    <w:rsid w:val="00896BD1"/>
    <w:rsid w:val="008C7623"/>
    <w:rsid w:val="008E00B5"/>
    <w:rsid w:val="00901D2C"/>
    <w:rsid w:val="0090330C"/>
    <w:rsid w:val="00934A2F"/>
    <w:rsid w:val="009419F1"/>
    <w:rsid w:val="0099047A"/>
    <w:rsid w:val="009D13A3"/>
    <w:rsid w:val="00A052C8"/>
    <w:rsid w:val="00A1178C"/>
    <w:rsid w:val="00A66413"/>
    <w:rsid w:val="00A704C1"/>
    <w:rsid w:val="00A83898"/>
    <w:rsid w:val="00AB5DFD"/>
    <w:rsid w:val="00B84EE7"/>
    <w:rsid w:val="00B92068"/>
    <w:rsid w:val="00BC2CD6"/>
    <w:rsid w:val="00BF0913"/>
    <w:rsid w:val="00BF668F"/>
    <w:rsid w:val="00C35658"/>
    <w:rsid w:val="00C4749C"/>
    <w:rsid w:val="00C9799C"/>
    <w:rsid w:val="00CA35C2"/>
    <w:rsid w:val="00CE433A"/>
    <w:rsid w:val="00D34E1E"/>
    <w:rsid w:val="00D53577"/>
    <w:rsid w:val="00D6067F"/>
    <w:rsid w:val="00D82FC2"/>
    <w:rsid w:val="00D83B07"/>
    <w:rsid w:val="00DA49A2"/>
    <w:rsid w:val="00DF73EA"/>
    <w:rsid w:val="00DF7608"/>
    <w:rsid w:val="00E674C5"/>
    <w:rsid w:val="00E90B82"/>
    <w:rsid w:val="00EA13BE"/>
    <w:rsid w:val="00EB4053"/>
    <w:rsid w:val="00EF55AC"/>
    <w:rsid w:val="00F21FBF"/>
    <w:rsid w:val="00F27680"/>
    <w:rsid w:val="00F35F0F"/>
    <w:rsid w:val="00F54413"/>
    <w:rsid w:val="00F55D76"/>
    <w:rsid w:val="00F60D9F"/>
    <w:rsid w:val="00FB2E6B"/>
    <w:rsid w:val="00FB3277"/>
    <w:rsid w:val="00FC0C24"/>
    <w:rsid w:val="00FC4D22"/>
    <w:rsid w:val="00FD3A85"/>
    <w:rsid w:val="00FD5C37"/>
    <w:rsid w:val="0EAC1FE8"/>
    <w:rsid w:val="39D2648E"/>
    <w:rsid w:val="4E1B2208"/>
    <w:rsid w:val="505FB762"/>
    <w:rsid w:val="72E1C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4CAB"/>
  <w15:chartTrackingRefBased/>
  <w15:docId w15:val="{5A12D1E3-9E21-49A1-93A2-540C743C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B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5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5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5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36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08A"/>
  </w:style>
  <w:style w:type="paragraph" w:styleId="Footer">
    <w:name w:val="footer"/>
    <w:basedOn w:val="Normal"/>
    <w:link w:val="FooterChar"/>
    <w:uiPriority w:val="99"/>
    <w:unhideWhenUsed/>
    <w:rsid w:val="00036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08A"/>
  </w:style>
  <w:style w:type="character" w:styleId="CommentReference">
    <w:name w:val="annotation reference"/>
    <w:basedOn w:val="DefaultParagraphFont"/>
    <w:uiPriority w:val="99"/>
    <w:semiHidden/>
    <w:unhideWhenUsed/>
    <w:rsid w:val="00D5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5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1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586B9B11A764BB480E1EF85588FF1" ma:contentTypeVersion="14" ma:contentTypeDescription="Create a new document." ma:contentTypeScope="" ma:versionID="09094d78ee0f149a6d6fd536414a3a6f">
  <xsd:schema xmlns:xsd="http://www.w3.org/2001/XMLSchema" xmlns:xs="http://www.w3.org/2001/XMLSchema" xmlns:p="http://schemas.microsoft.com/office/2006/metadata/properties" xmlns:ns2="42392141-df8b-40ea-93f2-9f4a92472fe7" xmlns:ns3="5d61a998-5db5-4d6e-aae6-d65ce5b0abdf" targetNamespace="http://schemas.microsoft.com/office/2006/metadata/properties" ma:root="true" ma:fieldsID="dbebd7119257fc2f851604fa4c25a8bb" ns2:_="" ns3:_="">
    <xsd:import namespace="42392141-df8b-40ea-93f2-9f4a92472fe7"/>
    <xsd:import namespace="5d61a998-5db5-4d6e-aae6-d65ce5b0a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2141-df8b-40ea-93f2-9f4a92472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ba5d2a-9cac-4388-9a73-c20345097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1a998-5db5-4d6e-aae6-d65ce5b0a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16f1ab-48e9-4248-a7ac-4463b66626e7}" ma:internalName="TaxCatchAll" ma:showField="CatchAllData" ma:web="5d61a998-5db5-4d6e-aae6-d65ce5b0a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61a998-5db5-4d6e-aae6-d65ce5b0abdf" xsi:nil="true"/>
    <lcf76f155ced4ddcb4097134ff3c332f xmlns="42392141-df8b-40ea-93f2-9f4a92472f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76D01-6D40-4DD3-A7FC-3CE81D7F6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4CA43-F1EE-438E-882F-34509E7D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92141-df8b-40ea-93f2-9f4a92472fe7"/>
    <ds:schemaRef ds:uri="5d61a998-5db5-4d6e-aae6-d65ce5b0a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7A31A-46C6-4C89-B7A4-78E09BC0E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06D98-1B6A-4635-872C-2930A5267E27}">
  <ds:schemaRefs>
    <ds:schemaRef ds:uri="http://schemas.microsoft.com/office/2006/metadata/properties"/>
    <ds:schemaRef ds:uri="http://schemas.microsoft.com/office/infopath/2007/PartnerControls"/>
    <ds:schemaRef ds:uri="5d61a998-5db5-4d6e-aae6-d65ce5b0abdf"/>
    <ds:schemaRef ds:uri="42392141-df8b-40ea-93f2-9f4a9247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Markham, Fulya - Commissioning</dc:creator>
  <cp:keywords/>
  <dc:description/>
  <cp:lastModifiedBy>Bridewell, Kirsty - Oxfordshire County Council</cp:lastModifiedBy>
  <cp:revision>3</cp:revision>
  <dcterms:created xsi:type="dcterms:W3CDTF">2022-07-25T08:21:00Z</dcterms:created>
  <dcterms:modified xsi:type="dcterms:W3CDTF">2022-07-25T08:51:00Z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0x0101007C7586B9B11A764BB480E1EF85588FF1</vt:lpwstr>
  </property>
  <property fmtid="{D5CDD505-2E9C-101B-9397-08002B2CF9AE}" pid="3" name="MediaServiceImageTags">
    <vt:lpwstr/>
  </property>
</Properties>
</file>