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AEA2" w14:textId="3DC3D0A6" w:rsidR="00FD3A85" w:rsidRPr="00CC663D" w:rsidRDefault="00CC663D" w:rsidP="00CC663D">
      <w:pPr>
        <w:pStyle w:val="Heading1"/>
        <w:spacing w:before="0"/>
        <w:rPr>
          <w:rFonts w:ascii="Arial" w:hAnsi="Arial" w:cs="Arial"/>
        </w:rPr>
      </w:pPr>
      <w:r>
        <w:rPr>
          <w:rFonts w:ascii="Arial" w:hAnsi="Arial" w:cs="Arial"/>
        </w:rPr>
        <w:t>Pre-m</w:t>
      </w:r>
      <w:r w:rsidR="00175E23" w:rsidRPr="00CC663D">
        <w:rPr>
          <w:rFonts w:ascii="Arial" w:hAnsi="Arial" w:cs="Arial"/>
        </w:rPr>
        <w:t xml:space="preserve">arket Engagement – </w:t>
      </w:r>
      <w:r w:rsidRPr="00CC663D">
        <w:rPr>
          <w:rFonts w:ascii="Arial" w:hAnsi="Arial" w:cs="Arial"/>
        </w:rPr>
        <w:t>EV Cable Gullies</w:t>
      </w:r>
    </w:p>
    <w:p w14:paraId="3A86D72B" w14:textId="77777777" w:rsidR="00175E23" w:rsidRDefault="00175E23"/>
    <w:p w14:paraId="4F808CD2" w14:textId="5042E2AF" w:rsidR="00CC663D" w:rsidRDefault="00CC663D">
      <w:r>
        <w:t xml:space="preserve">Oxfordshire County Council intends to go to tender for the supply, </w:t>
      </w:r>
      <w:proofErr w:type="gramStart"/>
      <w:r>
        <w:t>installation</w:t>
      </w:r>
      <w:proofErr w:type="gramEnd"/>
      <w:r>
        <w:t xml:space="preserve"> and maintenance of Electric Vehicle (EV) Cable Gullies to enable residents with on street parking to safely charge EVs.</w:t>
      </w:r>
    </w:p>
    <w:p w14:paraId="494D03DE" w14:textId="77777777" w:rsidR="00CC663D" w:rsidRDefault="00CC663D"/>
    <w:p w14:paraId="7A787D44" w14:textId="46459BA5" w:rsidR="00CC663D" w:rsidRDefault="00CC663D">
      <w:r>
        <w:t xml:space="preserve">To ensure a fully informed tender process, please complete the following questionnaire and return via this platform by </w:t>
      </w:r>
      <w:r w:rsidRPr="00CC663D">
        <w:rPr>
          <w:b/>
          <w:bCs/>
        </w:rPr>
        <w:t>13:00 2</w:t>
      </w:r>
      <w:r w:rsidR="00EF0569">
        <w:rPr>
          <w:b/>
          <w:bCs/>
        </w:rPr>
        <w:t>7</w:t>
      </w:r>
      <w:r w:rsidRPr="00CC663D">
        <w:rPr>
          <w:b/>
          <w:bCs/>
        </w:rPr>
        <w:t>/06/2024</w:t>
      </w:r>
      <w:r>
        <w:t>.</w:t>
      </w:r>
    </w:p>
    <w:p w14:paraId="57C960D4" w14:textId="77777777" w:rsidR="00CC663D" w:rsidRDefault="00CC6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536"/>
      </w:tblGrid>
      <w:tr w:rsidR="00EF0569" w:rsidRPr="00EF0569" w14:paraId="67724153" w14:textId="77777777" w:rsidTr="00EF0569">
        <w:tc>
          <w:tcPr>
            <w:tcW w:w="3369" w:type="dxa"/>
            <w:vAlign w:val="center"/>
          </w:tcPr>
          <w:p w14:paraId="53749A2F" w14:textId="7B497EE2" w:rsidR="00EF0569" w:rsidRPr="00EF0569" w:rsidRDefault="00EF0569" w:rsidP="00EF0569">
            <w:pPr>
              <w:rPr>
                <w:b/>
                <w:bCs/>
                <w:sz w:val="22"/>
                <w:szCs w:val="22"/>
              </w:rPr>
            </w:pPr>
            <w:r w:rsidRPr="00EF0569">
              <w:rPr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4536" w:type="dxa"/>
            <w:vAlign w:val="center"/>
          </w:tcPr>
          <w:p w14:paraId="3B4BD68A" w14:textId="77777777" w:rsidR="00EF0569" w:rsidRPr="00EF0569" w:rsidRDefault="00EF0569" w:rsidP="00EF0569">
            <w:pPr>
              <w:rPr>
                <w:sz w:val="22"/>
                <w:szCs w:val="22"/>
              </w:rPr>
            </w:pPr>
          </w:p>
        </w:tc>
      </w:tr>
      <w:tr w:rsidR="00EF0569" w:rsidRPr="00EF0569" w14:paraId="2DD2B4E5" w14:textId="77777777" w:rsidTr="00EF0569">
        <w:tc>
          <w:tcPr>
            <w:tcW w:w="3369" w:type="dxa"/>
            <w:vAlign w:val="center"/>
          </w:tcPr>
          <w:p w14:paraId="2540FB26" w14:textId="6AF844A0" w:rsidR="00EF0569" w:rsidRPr="00EF0569" w:rsidRDefault="00EF0569" w:rsidP="00EF0569">
            <w:pPr>
              <w:rPr>
                <w:b/>
                <w:bCs/>
                <w:sz w:val="22"/>
                <w:szCs w:val="22"/>
              </w:rPr>
            </w:pPr>
            <w:r w:rsidRPr="00EF056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536" w:type="dxa"/>
            <w:vAlign w:val="center"/>
          </w:tcPr>
          <w:p w14:paraId="48EFAD28" w14:textId="77777777" w:rsidR="00EF0569" w:rsidRPr="00EF0569" w:rsidRDefault="00EF0569" w:rsidP="00EF0569">
            <w:pPr>
              <w:rPr>
                <w:sz w:val="22"/>
                <w:szCs w:val="22"/>
              </w:rPr>
            </w:pPr>
          </w:p>
        </w:tc>
      </w:tr>
    </w:tbl>
    <w:p w14:paraId="2CEB08AE" w14:textId="77777777" w:rsidR="00EF0569" w:rsidRDefault="00EF0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5958"/>
      </w:tblGrid>
      <w:tr w:rsidR="00CC663D" w:rsidRPr="00CC663D" w14:paraId="29FEE9D0" w14:textId="77777777" w:rsidTr="00EF0569">
        <w:trPr>
          <w:trHeight w:val="350"/>
        </w:trPr>
        <w:tc>
          <w:tcPr>
            <w:tcW w:w="6345" w:type="dxa"/>
            <w:vAlign w:val="center"/>
          </w:tcPr>
          <w:p w14:paraId="55106E97" w14:textId="0A243DB3" w:rsidR="00CC663D" w:rsidRPr="00CC663D" w:rsidRDefault="00CC663D" w:rsidP="00EF0569">
            <w:pPr>
              <w:rPr>
                <w:b/>
                <w:bCs/>
                <w:sz w:val="22"/>
                <w:szCs w:val="22"/>
              </w:rPr>
            </w:pPr>
            <w:r w:rsidRPr="00CC663D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560" w:type="dxa"/>
            <w:vAlign w:val="center"/>
          </w:tcPr>
          <w:p w14:paraId="17858E25" w14:textId="5BA7FC42" w:rsidR="00CC663D" w:rsidRPr="00CC663D" w:rsidRDefault="00CC663D" w:rsidP="00EF0569">
            <w:pPr>
              <w:rPr>
                <w:b/>
                <w:bCs/>
                <w:sz w:val="22"/>
                <w:szCs w:val="22"/>
              </w:rPr>
            </w:pPr>
            <w:r w:rsidRPr="00CC663D">
              <w:rPr>
                <w:b/>
                <w:bCs/>
                <w:sz w:val="22"/>
                <w:szCs w:val="22"/>
              </w:rPr>
              <w:t>Answer</w:t>
            </w:r>
          </w:p>
        </w:tc>
        <w:tc>
          <w:tcPr>
            <w:tcW w:w="5958" w:type="dxa"/>
            <w:vAlign w:val="center"/>
          </w:tcPr>
          <w:p w14:paraId="79AAD6CA" w14:textId="68C4A054" w:rsidR="00CC663D" w:rsidRPr="00CC663D" w:rsidRDefault="00CC663D" w:rsidP="00EF0569">
            <w:pPr>
              <w:rPr>
                <w:b/>
                <w:bCs/>
                <w:sz w:val="22"/>
                <w:szCs w:val="22"/>
              </w:rPr>
            </w:pPr>
            <w:r w:rsidRPr="00CC663D">
              <w:rPr>
                <w:b/>
                <w:bCs/>
                <w:sz w:val="22"/>
                <w:szCs w:val="22"/>
              </w:rPr>
              <w:t>Further comments</w:t>
            </w:r>
          </w:p>
        </w:tc>
      </w:tr>
      <w:tr w:rsidR="00CC663D" w:rsidRPr="00CC663D" w14:paraId="2193C0EF" w14:textId="60465C66" w:rsidTr="00EF0569">
        <w:tc>
          <w:tcPr>
            <w:tcW w:w="13863" w:type="dxa"/>
            <w:gridSpan w:val="3"/>
            <w:vAlign w:val="center"/>
          </w:tcPr>
          <w:p w14:paraId="0653A66D" w14:textId="5D2CCAE7" w:rsidR="00CC663D" w:rsidRPr="00CC663D" w:rsidRDefault="00CC663D" w:rsidP="00EF0569">
            <w:pPr>
              <w:rPr>
                <w:sz w:val="22"/>
                <w:szCs w:val="22"/>
              </w:rPr>
            </w:pPr>
            <w:bookmarkStart w:id="0" w:name="_Hlk168566798"/>
            <w:r w:rsidRPr="00CC663D">
              <w:rPr>
                <w:sz w:val="22"/>
                <w:szCs w:val="22"/>
              </w:rPr>
              <w:t>Can your company supply and install a cross-pavement EV channel solution which meets the following minimum standards</w:t>
            </w:r>
            <w:bookmarkEnd w:id="0"/>
            <w:r w:rsidR="00EF0569">
              <w:rPr>
                <w:sz w:val="22"/>
                <w:szCs w:val="22"/>
              </w:rPr>
              <w:t>:</w:t>
            </w:r>
          </w:p>
        </w:tc>
      </w:tr>
      <w:tr w:rsidR="00CC663D" w:rsidRPr="00CC663D" w14:paraId="74A6F847" w14:textId="52245041" w:rsidTr="00EF0569">
        <w:tc>
          <w:tcPr>
            <w:tcW w:w="6345" w:type="dxa"/>
            <w:vAlign w:val="center"/>
          </w:tcPr>
          <w:p w14:paraId="3C5D5E60" w14:textId="4965FBE2" w:rsidR="00CC663D" w:rsidRPr="00CC663D" w:rsidRDefault="00CC663D" w:rsidP="00EF0569">
            <w:pPr>
              <w:rPr>
                <w:sz w:val="22"/>
                <w:szCs w:val="22"/>
              </w:rPr>
            </w:pPr>
            <w:bookmarkStart w:id="1" w:name="_Hlk168566775"/>
            <w:r w:rsidRPr="00CC663D">
              <w:rPr>
                <w:rFonts w:eastAsia="Times New Roman"/>
                <w:sz w:val="22"/>
                <w:szCs w:val="22"/>
                <w:lang w:val="en-US" w:eastAsia="ar-SA"/>
              </w:rPr>
              <w:t xml:space="preserve">Is installed in accordance with the requirements of the New Roads and Street Works Act 1991, associated </w:t>
            </w:r>
            <w:proofErr w:type="gramStart"/>
            <w:r w:rsidRPr="00CC663D">
              <w:rPr>
                <w:rFonts w:eastAsia="Times New Roman"/>
                <w:sz w:val="22"/>
                <w:szCs w:val="22"/>
                <w:lang w:val="en-US" w:eastAsia="ar-SA"/>
              </w:rPr>
              <w:t>legislation</w:t>
            </w:r>
            <w:proofErr w:type="gramEnd"/>
            <w:r w:rsidRPr="00CC663D">
              <w:rPr>
                <w:rFonts w:eastAsia="Times New Roman"/>
                <w:sz w:val="22"/>
                <w:szCs w:val="22"/>
                <w:lang w:val="en-US" w:eastAsia="ar-SA"/>
              </w:rPr>
              <w:t xml:space="preserve"> and Codes of Practice together with any other conditions imposed by the Street Authority.</w:t>
            </w:r>
            <w:bookmarkEnd w:id="1"/>
          </w:p>
        </w:tc>
        <w:tc>
          <w:tcPr>
            <w:tcW w:w="1560" w:type="dxa"/>
            <w:vAlign w:val="center"/>
          </w:tcPr>
          <w:p w14:paraId="64FA62A3" w14:textId="702C51CE" w:rsidR="00CC663D" w:rsidRPr="00CC663D" w:rsidRDefault="00CC663D" w:rsidP="00EF0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5627B158" w14:textId="77777777" w:rsidR="00CC663D" w:rsidRPr="00CC663D" w:rsidRDefault="00CC663D" w:rsidP="00EF0569">
            <w:pPr>
              <w:rPr>
                <w:sz w:val="22"/>
                <w:szCs w:val="22"/>
              </w:rPr>
            </w:pPr>
          </w:p>
        </w:tc>
      </w:tr>
      <w:tr w:rsidR="00CC663D" w:rsidRPr="00CC663D" w14:paraId="2235AFBC" w14:textId="4BCB4DBE" w:rsidTr="00EF0569">
        <w:tc>
          <w:tcPr>
            <w:tcW w:w="6345" w:type="dxa"/>
            <w:vAlign w:val="center"/>
          </w:tcPr>
          <w:p w14:paraId="448FBFAB" w14:textId="7DF8C2AA" w:rsidR="00CC663D" w:rsidRPr="00CC663D" w:rsidRDefault="00CC663D" w:rsidP="00EF0569">
            <w:pPr>
              <w:rPr>
                <w:sz w:val="22"/>
                <w:szCs w:val="22"/>
              </w:rPr>
            </w:pPr>
            <w:r w:rsidRPr="00CC663D">
              <w:rPr>
                <w:sz w:val="22"/>
                <w:szCs w:val="22"/>
              </w:rPr>
              <w:t>Complies with BS EN 1433 Drainage Channels and BS EN 124-1 Manhole Covers and Gullies guidance on slot widths. The maximum width of a slot acceptable in either of these applications is 18mm in width for an A15 or B125 load class application (pedestrian or light vehicle loading)</w:t>
            </w:r>
          </w:p>
        </w:tc>
        <w:tc>
          <w:tcPr>
            <w:tcW w:w="1560" w:type="dxa"/>
            <w:vAlign w:val="center"/>
          </w:tcPr>
          <w:p w14:paraId="59B8D0F8" w14:textId="6EFAC169" w:rsidR="00CC663D" w:rsidRPr="00CC663D" w:rsidRDefault="00CC663D" w:rsidP="00EF0569">
            <w:pPr>
              <w:rPr>
                <w:sz w:val="22"/>
                <w:szCs w:val="22"/>
              </w:rPr>
            </w:pPr>
            <w:r w:rsidRPr="00FE3FA4"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51724485" w14:textId="77777777" w:rsidR="00CC663D" w:rsidRPr="00CC663D" w:rsidRDefault="00CC663D" w:rsidP="00EF0569">
            <w:pPr>
              <w:rPr>
                <w:sz w:val="22"/>
                <w:szCs w:val="22"/>
              </w:rPr>
            </w:pPr>
          </w:p>
        </w:tc>
      </w:tr>
      <w:tr w:rsidR="00CC663D" w:rsidRPr="00CC663D" w14:paraId="4661127F" w14:textId="27BB7BA2" w:rsidTr="00EF0569">
        <w:tc>
          <w:tcPr>
            <w:tcW w:w="6345" w:type="dxa"/>
            <w:vAlign w:val="center"/>
          </w:tcPr>
          <w:p w14:paraId="00A37985" w14:textId="3458FAFB" w:rsidR="00CC663D" w:rsidRPr="00CC663D" w:rsidRDefault="00CC663D" w:rsidP="00EF0569">
            <w:pPr>
              <w:rPr>
                <w:sz w:val="22"/>
                <w:szCs w:val="22"/>
              </w:rPr>
            </w:pPr>
            <w:r w:rsidRPr="00CC663D">
              <w:rPr>
                <w:sz w:val="22"/>
                <w:szCs w:val="22"/>
              </w:rPr>
              <w:t xml:space="preserve">Provides protection to an EV cable from the impact of loading which complies with </w:t>
            </w:r>
            <w:r w:rsidRPr="00CC663D">
              <w:rPr>
                <w:color w:val="000000"/>
                <w:sz w:val="22"/>
                <w:szCs w:val="22"/>
                <w:shd w:val="clear" w:color="auto" w:fill="FFFFFF"/>
              </w:rPr>
              <w:t xml:space="preserve">BS EN 124:2015 to a </w:t>
            </w:r>
            <w:r w:rsidRPr="00CC663D">
              <w:rPr>
                <w:sz w:val="22"/>
                <w:szCs w:val="22"/>
              </w:rPr>
              <w:t>Load Classification: C250 (25 tonnes)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1A799BF7" w14:textId="24DADEBE" w:rsidR="00CC663D" w:rsidRPr="00CC663D" w:rsidRDefault="00CC663D" w:rsidP="00EF0569">
            <w:pPr>
              <w:rPr>
                <w:sz w:val="22"/>
                <w:szCs w:val="22"/>
              </w:rPr>
            </w:pPr>
            <w:r w:rsidRPr="00FE3FA4"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5E82BD1B" w14:textId="77777777" w:rsidR="00CC663D" w:rsidRPr="00CC663D" w:rsidRDefault="00CC663D" w:rsidP="00EF0569">
            <w:pPr>
              <w:rPr>
                <w:sz w:val="22"/>
                <w:szCs w:val="22"/>
              </w:rPr>
            </w:pPr>
          </w:p>
        </w:tc>
      </w:tr>
      <w:tr w:rsidR="00CC663D" w:rsidRPr="00CC663D" w14:paraId="58B5322B" w14:textId="589DAB0B" w:rsidTr="00EF0569">
        <w:tc>
          <w:tcPr>
            <w:tcW w:w="6345" w:type="dxa"/>
            <w:vAlign w:val="center"/>
          </w:tcPr>
          <w:p w14:paraId="150F6739" w14:textId="54A131DE" w:rsidR="00CC663D" w:rsidRPr="00CC663D" w:rsidRDefault="00CC663D" w:rsidP="00EF0569">
            <w:pPr>
              <w:rPr>
                <w:sz w:val="22"/>
                <w:szCs w:val="22"/>
              </w:rPr>
            </w:pPr>
            <w:r w:rsidRPr="00CC663D">
              <w:rPr>
                <w:sz w:val="22"/>
                <w:szCs w:val="22"/>
              </w:rPr>
              <w:t xml:space="preserve">Provides slip resistance - compliance is verified by testing in accordance with BS 7976-2:2002 + A1:2013 as having ‘Low Slip Potential’ (a score of 36+) under both dry and wet directions (Classification limits are taken from The HSE 2012 publication “Assessing the slip resistance of flooring.” </w:t>
            </w:r>
            <w:hyperlink r:id="rId10" w:history="1">
              <w:r w:rsidRPr="00CC663D">
                <w:rPr>
                  <w:rStyle w:val="Hyperlink"/>
                  <w:sz w:val="22"/>
                  <w:szCs w:val="22"/>
                </w:rPr>
                <w:t>https://www.hse.gov.uk/pubns/geis2.pdf</w:t>
              </w:r>
            </w:hyperlink>
            <w:hyperlink r:id="rId11" w:history="1"/>
            <w:r w:rsidRPr="00CC663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0AF79FAC" w14:textId="7B9FF3C4" w:rsidR="00CC663D" w:rsidRPr="00CC663D" w:rsidRDefault="00CC663D" w:rsidP="00EF0569">
            <w:pPr>
              <w:rPr>
                <w:sz w:val="22"/>
                <w:szCs w:val="22"/>
              </w:rPr>
            </w:pPr>
            <w:r w:rsidRPr="00FE3FA4"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33B7B6F7" w14:textId="77777777" w:rsidR="00CC663D" w:rsidRPr="00CC663D" w:rsidRDefault="00CC663D" w:rsidP="00EF0569">
            <w:pPr>
              <w:rPr>
                <w:sz w:val="22"/>
                <w:szCs w:val="22"/>
              </w:rPr>
            </w:pPr>
          </w:p>
        </w:tc>
      </w:tr>
      <w:tr w:rsidR="00CC663D" w:rsidRPr="00CC663D" w14:paraId="152C7F36" w14:textId="29F2DFC6" w:rsidTr="00EF0569">
        <w:tc>
          <w:tcPr>
            <w:tcW w:w="6345" w:type="dxa"/>
            <w:vAlign w:val="center"/>
          </w:tcPr>
          <w:p w14:paraId="3A528DAA" w14:textId="751E9F0C" w:rsidR="00CC663D" w:rsidRPr="00CC663D" w:rsidRDefault="00CC663D" w:rsidP="00EF0569">
            <w:pPr>
              <w:rPr>
                <w:sz w:val="22"/>
                <w:szCs w:val="22"/>
              </w:rPr>
            </w:pPr>
            <w:r w:rsidRPr="00CC663D">
              <w:rPr>
                <w:sz w:val="22"/>
                <w:szCs w:val="22"/>
              </w:rPr>
              <w:t>Provides a product warranty of a minimum of 5 years duration, and a workmanship guarantee of a minimum of 24 months for the installation of the unit and any surrounding footway surface made good.</w:t>
            </w:r>
          </w:p>
        </w:tc>
        <w:tc>
          <w:tcPr>
            <w:tcW w:w="1560" w:type="dxa"/>
            <w:vAlign w:val="center"/>
          </w:tcPr>
          <w:p w14:paraId="0C1177C5" w14:textId="425790C0" w:rsidR="00CC663D" w:rsidRPr="00CC663D" w:rsidRDefault="00CC663D" w:rsidP="00EF0569">
            <w:pPr>
              <w:rPr>
                <w:sz w:val="22"/>
                <w:szCs w:val="22"/>
              </w:rPr>
            </w:pPr>
            <w:r w:rsidRPr="00FE3FA4"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657F71B0" w14:textId="77777777" w:rsidR="00CC663D" w:rsidRPr="00CC663D" w:rsidRDefault="00CC663D" w:rsidP="00EF0569">
            <w:pPr>
              <w:rPr>
                <w:sz w:val="22"/>
                <w:szCs w:val="22"/>
              </w:rPr>
            </w:pPr>
          </w:p>
        </w:tc>
      </w:tr>
    </w:tbl>
    <w:p w14:paraId="7B358A0F" w14:textId="77777777" w:rsidR="00CC663D" w:rsidRDefault="00CC6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5958"/>
      </w:tblGrid>
      <w:tr w:rsidR="00EF0569" w:rsidRPr="00CC663D" w14:paraId="63451FB4" w14:textId="77777777" w:rsidTr="00E47B5D">
        <w:trPr>
          <w:trHeight w:val="350"/>
        </w:trPr>
        <w:tc>
          <w:tcPr>
            <w:tcW w:w="6345" w:type="dxa"/>
            <w:vAlign w:val="center"/>
          </w:tcPr>
          <w:p w14:paraId="236571EC" w14:textId="77777777" w:rsidR="00EF0569" w:rsidRPr="00CC663D" w:rsidRDefault="00EF0569" w:rsidP="00E47B5D">
            <w:pPr>
              <w:rPr>
                <w:b/>
                <w:bCs/>
                <w:sz w:val="22"/>
                <w:szCs w:val="22"/>
              </w:rPr>
            </w:pPr>
            <w:r w:rsidRPr="00CC663D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560" w:type="dxa"/>
            <w:vAlign w:val="center"/>
          </w:tcPr>
          <w:p w14:paraId="05D03538" w14:textId="77777777" w:rsidR="00EF0569" w:rsidRPr="00CC663D" w:rsidRDefault="00EF0569" w:rsidP="00E47B5D">
            <w:pPr>
              <w:rPr>
                <w:b/>
                <w:bCs/>
                <w:sz w:val="22"/>
                <w:szCs w:val="22"/>
              </w:rPr>
            </w:pPr>
            <w:r w:rsidRPr="00CC663D">
              <w:rPr>
                <w:b/>
                <w:bCs/>
                <w:sz w:val="22"/>
                <w:szCs w:val="22"/>
              </w:rPr>
              <w:t>Answer</w:t>
            </w:r>
          </w:p>
        </w:tc>
        <w:tc>
          <w:tcPr>
            <w:tcW w:w="5958" w:type="dxa"/>
            <w:vAlign w:val="center"/>
          </w:tcPr>
          <w:p w14:paraId="1F964797" w14:textId="77777777" w:rsidR="00EF0569" w:rsidRPr="00CC663D" w:rsidRDefault="00EF0569" w:rsidP="00E47B5D">
            <w:pPr>
              <w:rPr>
                <w:b/>
                <w:bCs/>
                <w:sz w:val="22"/>
                <w:szCs w:val="22"/>
              </w:rPr>
            </w:pPr>
            <w:r w:rsidRPr="00CC663D">
              <w:rPr>
                <w:b/>
                <w:bCs/>
                <w:sz w:val="22"/>
                <w:szCs w:val="22"/>
              </w:rPr>
              <w:t>Further comments</w:t>
            </w:r>
          </w:p>
        </w:tc>
      </w:tr>
      <w:tr w:rsidR="00EF0569" w:rsidRPr="00EF0569" w14:paraId="136DAB64" w14:textId="77777777" w:rsidTr="00E47B5D">
        <w:tc>
          <w:tcPr>
            <w:tcW w:w="6345" w:type="dxa"/>
            <w:vAlign w:val="center"/>
          </w:tcPr>
          <w:p w14:paraId="41783027" w14:textId="77777777" w:rsidR="00EF0569" w:rsidRPr="00EF0569" w:rsidRDefault="00EF0569" w:rsidP="00E47B5D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>Are there any reasons why you believe your product is exempt from the above standards? (Please provide evidence to support your claim to exemption)</w:t>
            </w:r>
          </w:p>
        </w:tc>
        <w:tc>
          <w:tcPr>
            <w:tcW w:w="1560" w:type="dxa"/>
            <w:vAlign w:val="center"/>
          </w:tcPr>
          <w:p w14:paraId="3ADC0CCE" w14:textId="77777777" w:rsidR="00EF0569" w:rsidRPr="00EF0569" w:rsidRDefault="00EF0569" w:rsidP="00E47B5D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26E3FD00" w14:textId="77777777" w:rsidR="00EF0569" w:rsidRPr="00EF0569" w:rsidRDefault="00EF0569" w:rsidP="00E47B5D">
            <w:pPr>
              <w:rPr>
                <w:sz w:val="22"/>
                <w:szCs w:val="22"/>
              </w:rPr>
            </w:pPr>
          </w:p>
        </w:tc>
      </w:tr>
    </w:tbl>
    <w:p w14:paraId="5DA7896C" w14:textId="77777777" w:rsidR="00CC663D" w:rsidRDefault="00CC6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5958"/>
      </w:tblGrid>
      <w:tr w:rsidR="00CC663D" w:rsidRPr="00EF0569" w14:paraId="0C3E2456" w14:textId="731350FE" w:rsidTr="00EF0569">
        <w:tc>
          <w:tcPr>
            <w:tcW w:w="13863" w:type="dxa"/>
            <w:gridSpan w:val="3"/>
            <w:vAlign w:val="center"/>
          </w:tcPr>
          <w:p w14:paraId="47171CE1" w14:textId="7A0D8EBA" w:rsidR="00CC663D" w:rsidRPr="00EF0569" w:rsidRDefault="00CC663D" w:rsidP="00EF0569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>Can your company supply the following services, to meet highway standards, using staff who are qualified to carry out works on the highway</w:t>
            </w:r>
            <w:r w:rsidR="00EF0569">
              <w:rPr>
                <w:sz w:val="22"/>
                <w:szCs w:val="22"/>
              </w:rPr>
              <w:t>:</w:t>
            </w:r>
          </w:p>
        </w:tc>
      </w:tr>
      <w:tr w:rsidR="00CC663D" w:rsidRPr="00EF0569" w14:paraId="65AC6108" w14:textId="77777777" w:rsidTr="00EF0569">
        <w:tc>
          <w:tcPr>
            <w:tcW w:w="6345" w:type="dxa"/>
            <w:vAlign w:val="center"/>
          </w:tcPr>
          <w:p w14:paraId="40277D9C" w14:textId="5953DEFD" w:rsidR="00CC663D" w:rsidRPr="00EF0569" w:rsidRDefault="00CC663D" w:rsidP="00EF0569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>Carry out regular inspections of EV channel units every 6 months from the date of installation of each unit.</w:t>
            </w:r>
          </w:p>
        </w:tc>
        <w:tc>
          <w:tcPr>
            <w:tcW w:w="1560" w:type="dxa"/>
            <w:vAlign w:val="center"/>
          </w:tcPr>
          <w:p w14:paraId="460AB053" w14:textId="0DAF71DF" w:rsidR="00CC663D" w:rsidRPr="00EF0569" w:rsidRDefault="00CC663D" w:rsidP="00EF0569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231B3426" w14:textId="77777777" w:rsidR="00CC663D" w:rsidRPr="00EF0569" w:rsidRDefault="00CC663D" w:rsidP="00EF0569">
            <w:pPr>
              <w:rPr>
                <w:sz w:val="22"/>
                <w:szCs w:val="22"/>
              </w:rPr>
            </w:pPr>
          </w:p>
        </w:tc>
      </w:tr>
      <w:tr w:rsidR="00CC663D" w:rsidRPr="00EF0569" w14:paraId="41B3020D" w14:textId="77777777" w:rsidTr="00EF0569">
        <w:tc>
          <w:tcPr>
            <w:tcW w:w="6345" w:type="dxa"/>
            <w:vAlign w:val="center"/>
          </w:tcPr>
          <w:p w14:paraId="1E74A0DF" w14:textId="0BC6D71F" w:rsidR="00CC663D" w:rsidRPr="00EF0569" w:rsidRDefault="00CC663D" w:rsidP="00EF0569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 xml:space="preserve">Carry out routine and responsive maintenance and rectification of defects of the units and/or installation found from the inspections or reported by the Council. Note: Maintenance response times will be graded dependent upon the severity of </w:t>
            </w:r>
            <w:proofErr w:type="gramStart"/>
            <w:r w:rsidRPr="00EF0569">
              <w:rPr>
                <w:sz w:val="22"/>
                <w:szCs w:val="22"/>
              </w:rPr>
              <w:t>defects, and</w:t>
            </w:r>
            <w:proofErr w:type="gramEnd"/>
            <w:r w:rsidRPr="00EF0569">
              <w:rPr>
                <w:sz w:val="22"/>
                <w:szCs w:val="22"/>
              </w:rPr>
              <w:t xml:space="preserve"> may require a response to make safe within 2 hours for the most serious defects where a risk of injury or damage to property is identified.</w:t>
            </w:r>
          </w:p>
        </w:tc>
        <w:tc>
          <w:tcPr>
            <w:tcW w:w="1560" w:type="dxa"/>
            <w:vAlign w:val="center"/>
          </w:tcPr>
          <w:p w14:paraId="7B4C4C45" w14:textId="2533B56E" w:rsidR="00CC663D" w:rsidRPr="00EF0569" w:rsidRDefault="00CC663D" w:rsidP="00EF0569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3916FB49" w14:textId="77777777" w:rsidR="00CC663D" w:rsidRPr="00EF0569" w:rsidRDefault="00CC663D" w:rsidP="00EF0569">
            <w:pPr>
              <w:rPr>
                <w:sz w:val="22"/>
                <w:szCs w:val="22"/>
              </w:rPr>
            </w:pPr>
          </w:p>
        </w:tc>
      </w:tr>
    </w:tbl>
    <w:p w14:paraId="4BC40916" w14:textId="77777777" w:rsidR="00CC663D" w:rsidRDefault="00CC6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5958"/>
      </w:tblGrid>
      <w:tr w:rsidR="00CC663D" w:rsidRPr="00CC663D" w14:paraId="64EB393E" w14:textId="77777777" w:rsidTr="00EF0569">
        <w:tc>
          <w:tcPr>
            <w:tcW w:w="6345" w:type="dxa"/>
            <w:vAlign w:val="center"/>
          </w:tcPr>
          <w:p w14:paraId="752F720B" w14:textId="7C8C9F80" w:rsidR="00CC663D" w:rsidRPr="00CC663D" w:rsidRDefault="00CC663D" w:rsidP="00EF0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Should the Council choose to go to tender, would your company be likely to bid based on the above specified requirements? </w:t>
            </w:r>
          </w:p>
        </w:tc>
        <w:tc>
          <w:tcPr>
            <w:tcW w:w="1560" w:type="dxa"/>
            <w:vAlign w:val="center"/>
          </w:tcPr>
          <w:p w14:paraId="3836F945" w14:textId="774AB139" w:rsidR="00CC663D" w:rsidRPr="00CC663D" w:rsidRDefault="00CC663D" w:rsidP="00EF0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  <w:tc>
          <w:tcPr>
            <w:tcW w:w="5958" w:type="dxa"/>
            <w:vAlign w:val="center"/>
          </w:tcPr>
          <w:p w14:paraId="3005ADD9" w14:textId="77777777" w:rsidR="00CC663D" w:rsidRPr="00CC663D" w:rsidRDefault="00CC663D" w:rsidP="00EF0569">
            <w:pPr>
              <w:rPr>
                <w:sz w:val="22"/>
                <w:szCs w:val="22"/>
              </w:rPr>
            </w:pPr>
          </w:p>
        </w:tc>
      </w:tr>
    </w:tbl>
    <w:p w14:paraId="077DD84A" w14:textId="77777777" w:rsidR="00CC663D" w:rsidRDefault="00CC6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7518"/>
      </w:tblGrid>
      <w:tr w:rsidR="00EF0569" w:rsidRPr="00EF0569" w14:paraId="275AB24C" w14:textId="77777777" w:rsidTr="00EF0569">
        <w:tc>
          <w:tcPr>
            <w:tcW w:w="6345" w:type="dxa"/>
            <w:vAlign w:val="center"/>
          </w:tcPr>
          <w:p w14:paraId="1BBD728A" w14:textId="1C6EE802" w:rsidR="00EF0569" w:rsidRPr="00EF0569" w:rsidRDefault="00EF0569" w:rsidP="00EF0569">
            <w:pPr>
              <w:rPr>
                <w:sz w:val="22"/>
                <w:szCs w:val="22"/>
              </w:rPr>
            </w:pPr>
            <w:r w:rsidRPr="00EF0569">
              <w:rPr>
                <w:sz w:val="22"/>
                <w:szCs w:val="22"/>
              </w:rPr>
              <w:t xml:space="preserve">Are there any other comments you would like to bring to our attention? </w:t>
            </w:r>
          </w:p>
        </w:tc>
        <w:tc>
          <w:tcPr>
            <w:tcW w:w="7518" w:type="dxa"/>
            <w:vAlign w:val="center"/>
          </w:tcPr>
          <w:p w14:paraId="1D2B7600" w14:textId="77777777" w:rsidR="00EF0569" w:rsidRPr="00EF0569" w:rsidRDefault="00EF0569" w:rsidP="00EF0569">
            <w:pPr>
              <w:rPr>
                <w:sz w:val="22"/>
                <w:szCs w:val="22"/>
              </w:rPr>
            </w:pPr>
          </w:p>
        </w:tc>
      </w:tr>
    </w:tbl>
    <w:p w14:paraId="77B7B311" w14:textId="77777777" w:rsidR="00CC663D" w:rsidRDefault="00CC663D"/>
    <w:p w14:paraId="12F6192E" w14:textId="466547F0" w:rsidR="00EF0569" w:rsidRDefault="00EF0569">
      <w:r>
        <w:t xml:space="preserve">Thank you for taking the time to complete this questionnaire, your responses will be treated and commercially sensitive and remain confidential. </w:t>
      </w:r>
    </w:p>
    <w:p w14:paraId="5A07E2B4" w14:textId="77777777" w:rsidR="00781E34" w:rsidRDefault="00781E34" w:rsidP="00781E34">
      <w:pPr>
        <w:pStyle w:val="ListParagraph"/>
        <w:ind w:left="1440"/>
      </w:pPr>
    </w:p>
    <w:p w14:paraId="7B6C8CE7" w14:textId="77777777" w:rsidR="00DD743F" w:rsidRDefault="00DD743F" w:rsidP="00DD743F">
      <w:pPr>
        <w:pStyle w:val="ListParagraph"/>
      </w:pPr>
    </w:p>
    <w:p w14:paraId="241C4EC5" w14:textId="77777777" w:rsidR="00DD743F" w:rsidRDefault="00DD743F" w:rsidP="00DD743F">
      <w:pPr>
        <w:pStyle w:val="ListParagraph"/>
        <w:ind w:left="1440"/>
      </w:pPr>
    </w:p>
    <w:p w14:paraId="186A1DE0" w14:textId="77777777" w:rsidR="00DD743F" w:rsidRDefault="00DD743F" w:rsidP="00DD743F">
      <w:pPr>
        <w:pStyle w:val="ListParagraph"/>
        <w:ind w:left="1440"/>
      </w:pPr>
    </w:p>
    <w:p w14:paraId="455B5E06" w14:textId="77777777" w:rsidR="00781E34" w:rsidRPr="00175E23" w:rsidRDefault="00781E34" w:rsidP="00781E34">
      <w:pPr>
        <w:ind w:left="1080"/>
      </w:pPr>
    </w:p>
    <w:sectPr w:rsidR="00781E34" w:rsidRPr="00175E23" w:rsidSect="00EF0569">
      <w:headerReference w:type="default" r:id="rId12"/>
      <w:footerReference w:type="default" r:id="rId13"/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FF8B" w14:textId="77777777" w:rsidR="00D37D15" w:rsidRDefault="00D37D15" w:rsidP="00EF0569">
      <w:r>
        <w:separator/>
      </w:r>
    </w:p>
  </w:endnote>
  <w:endnote w:type="continuationSeparator" w:id="0">
    <w:p w14:paraId="7A0F4957" w14:textId="77777777" w:rsidR="00D37D15" w:rsidRDefault="00D37D15" w:rsidP="00EF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1C14" w14:textId="1A774D0C" w:rsidR="00E877D9" w:rsidRDefault="00E877D9">
    <w:pPr>
      <w:pStyle w:val="Footer"/>
    </w:pPr>
    <w:r w:rsidRPr="009642BD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DD38100" wp14:editId="2EA5AB56">
          <wp:simplePos x="0" y="0"/>
          <wp:positionH relativeFrom="column">
            <wp:posOffset>7578090</wp:posOffset>
          </wp:positionH>
          <wp:positionV relativeFrom="paragraph">
            <wp:posOffset>138200</wp:posOffset>
          </wp:positionV>
          <wp:extent cx="2155190" cy="588010"/>
          <wp:effectExtent l="0" t="0" r="0" b="2540"/>
          <wp:wrapTight wrapText="bothSides">
            <wp:wrapPolygon edited="0">
              <wp:start x="0" y="0"/>
              <wp:lineTo x="0" y="20994"/>
              <wp:lineTo x="21384" y="20994"/>
              <wp:lineTo x="21384" y="0"/>
              <wp:lineTo x="0" y="0"/>
            </wp:wrapPolygon>
          </wp:wrapTight>
          <wp:docPr id="1777303127" name="Picture 177730312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303127" name="Picture 1777303127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0462" w14:textId="77777777" w:rsidR="00D37D15" w:rsidRDefault="00D37D15" w:rsidP="00EF0569">
      <w:r>
        <w:separator/>
      </w:r>
    </w:p>
  </w:footnote>
  <w:footnote w:type="continuationSeparator" w:id="0">
    <w:p w14:paraId="47777B2A" w14:textId="77777777" w:rsidR="00D37D15" w:rsidRDefault="00D37D15" w:rsidP="00EF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C742" w14:textId="1F4C5B8E" w:rsidR="00EF0569" w:rsidRDefault="00EF0569" w:rsidP="00EF0569">
    <w:pPr>
      <w:pStyle w:val="Header"/>
      <w:jc w:val="right"/>
    </w:pPr>
    <w: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E71"/>
    <w:multiLevelType w:val="hybridMultilevel"/>
    <w:tmpl w:val="B1860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FF9"/>
    <w:multiLevelType w:val="hybridMultilevel"/>
    <w:tmpl w:val="4CBE9A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24519825">
    <w:abstractNumId w:val="0"/>
  </w:num>
  <w:num w:numId="2" w16cid:durableId="13776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3DFC"/>
    <w:rsid w:val="000B4310"/>
    <w:rsid w:val="000E13C5"/>
    <w:rsid w:val="00143453"/>
    <w:rsid w:val="00175E23"/>
    <w:rsid w:val="00203DFC"/>
    <w:rsid w:val="004000D7"/>
    <w:rsid w:val="00427F72"/>
    <w:rsid w:val="00504E43"/>
    <w:rsid w:val="005F4556"/>
    <w:rsid w:val="00781E34"/>
    <w:rsid w:val="007908F4"/>
    <w:rsid w:val="007C1D80"/>
    <w:rsid w:val="008E6773"/>
    <w:rsid w:val="00A325C6"/>
    <w:rsid w:val="00C9526C"/>
    <w:rsid w:val="00CC663D"/>
    <w:rsid w:val="00D37D15"/>
    <w:rsid w:val="00DD743F"/>
    <w:rsid w:val="00E877D9"/>
    <w:rsid w:val="00EF0569"/>
    <w:rsid w:val="00F7465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6360"/>
  <w15:chartTrackingRefBased/>
  <w15:docId w15:val="{9320C747-87A5-435D-B123-2D8FA5D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203D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D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DF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DF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DF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DF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DF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DF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DF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D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D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DFC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DFC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DFC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DF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DF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DF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DF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D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DF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DF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D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D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D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DF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D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DF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DFC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32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5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69"/>
  </w:style>
  <w:style w:type="paragraph" w:styleId="Footer">
    <w:name w:val="footer"/>
    <w:basedOn w:val="Normal"/>
    <w:link w:val="FooterChar"/>
    <w:uiPriority w:val="99"/>
    <w:unhideWhenUsed/>
    <w:rsid w:val="00EF0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gov.uk/pubns/geis2.pdf)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se.gov.uk/pubns/geis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718DE9F038744B2902F21C2055B9E" ma:contentTypeVersion="4" ma:contentTypeDescription="Create a new document." ma:contentTypeScope="" ma:versionID="a3e67a1fcdb8ec95daf21d168ba43e29">
  <xsd:schema xmlns:xsd="http://www.w3.org/2001/XMLSchema" xmlns:xs="http://www.w3.org/2001/XMLSchema" xmlns:p="http://schemas.microsoft.com/office/2006/metadata/properties" xmlns:ns2="adca0234-eeae-446f-9246-c606b8f1c5d3" targetNamespace="http://schemas.microsoft.com/office/2006/metadata/properties" ma:root="true" ma:fieldsID="266551d7b61a8934cf3627fcb29ff2f6" ns2:_="">
    <xsd:import namespace="adca0234-eeae-446f-9246-c606b8f1c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a0234-eeae-446f-9246-c606b8f1c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10E18-2AE1-4F8B-973A-F4C854153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a0234-eeae-446f-9246-c606b8f1c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D5065-CEC7-4A43-A0C3-2D8BE156E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4DE86-8E52-4EC6-99F9-D9F64F694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Bohun, Elizabeth - Oxfordshire County Council</dc:creator>
  <cp:keywords/>
  <dc:description/>
  <cp:lastModifiedBy>Bridewell, Kirsty - Oxfordshire County Council</cp:lastModifiedBy>
  <cp:revision>6</cp:revision>
  <dcterms:created xsi:type="dcterms:W3CDTF">2024-06-05T11:35:00Z</dcterms:created>
  <dcterms:modified xsi:type="dcterms:W3CDTF">2024-06-12T11:23:00Z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0x0101001F5718DE9F038744B2902F21C2055B9E</vt:lpwstr>
  </property>
</Properties>
</file>