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FC22D" w14:textId="77777777" w:rsidR="00B27F6E" w:rsidRPr="00BB2494" w:rsidRDefault="00B27F6E" w:rsidP="00BB2494"/>
    <w:p w14:paraId="17892020" w14:textId="683D6081" w:rsidR="000E4DA8" w:rsidRPr="00796821" w:rsidRDefault="000E4DA8" w:rsidP="00796821"/>
    <w:p w14:paraId="23DA343A" w14:textId="77777777" w:rsidR="007864D9" w:rsidRPr="00796821" w:rsidRDefault="007864D9" w:rsidP="00796821"/>
    <w:p w14:paraId="34480005" w14:textId="77777777" w:rsidR="00670484" w:rsidRPr="00B220FC" w:rsidRDefault="00670484" w:rsidP="00670484">
      <w:pPr>
        <w:pStyle w:val="ACenteredText"/>
        <w:rPr>
          <w:b/>
          <w:sz w:val="64"/>
          <w:szCs w:val="64"/>
        </w:rPr>
      </w:pPr>
      <w:r w:rsidRPr="00B220FC">
        <w:rPr>
          <w:b/>
          <w:sz w:val="64"/>
          <w:szCs w:val="64"/>
        </w:rPr>
        <w:t>Dynamic Purchasing System (DPS)</w:t>
      </w:r>
    </w:p>
    <w:p w14:paraId="49358234" w14:textId="77777777" w:rsidR="00670484" w:rsidRPr="00B220FC" w:rsidRDefault="00670484" w:rsidP="00670484">
      <w:pPr>
        <w:pStyle w:val="ACenteredText"/>
        <w:rPr>
          <w:b/>
          <w:sz w:val="64"/>
          <w:szCs w:val="64"/>
        </w:rPr>
      </w:pPr>
      <w:r w:rsidRPr="00B220FC">
        <w:rPr>
          <w:b/>
          <w:sz w:val="64"/>
          <w:szCs w:val="64"/>
        </w:rPr>
        <w:t>Application Guidance</w:t>
      </w:r>
    </w:p>
    <w:p w14:paraId="7AFC2055" w14:textId="77777777" w:rsidR="007864D9" w:rsidRDefault="007864D9" w:rsidP="00796821"/>
    <w:p w14:paraId="6C8BDE28" w14:textId="77777777" w:rsidR="00B220FC" w:rsidRDefault="00B220FC" w:rsidP="00796821"/>
    <w:p w14:paraId="4D546814" w14:textId="77777777" w:rsidR="00B220FC" w:rsidRPr="00796821" w:rsidRDefault="00B220FC" w:rsidP="00796821"/>
    <w:p w14:paraId="50EAA76E" w14:textId="1606515A" w:rsidR="007864D9" w:rsidRPr="00395609" w:rsidRDefault="00254D28" w:rsidP="00D029A0">
      <w:pPr>
        <w:jc w:val="center"/>
        <w:rPr>
          <w:sz w:val="32"/>
          <w:szCs w:val="32"/>
        </w:rPr>
      </w:pPr>
      <w:r>
        <w:rPr>
          <w:sz w:val="32"/>
          <w:szCs w:val="32"/>
        </w:rPr>
        <w:t xml:space="preserve">For </w:t>
      </w:r>
      <w:r w:rsidRPr="00395609">
        <w:rPr>
          <w:sz w:val="32"/>
          <w:szCs w:val="32"/>
        </w:rPr>
        <w:t>the Procurement o</w:t>
      </w:r>
      <w:r w:rsidR="007864D9" w:rsidRPr="00395609">
        <w:rPr>
          <w:sz w:val="32"/>
          <w:szCs w:val="32"/>
        </w:rPr>
        <w:t>f:</w:t>
      </w:r>
    </w:p>
    <w:p w14:paraId="2FA01723" w14:textId="632C7657" w:rsidR="007864D9" w:rsidRPr="00670484" w:rsidRDefault="00395609" w:rsidP="00796821">
      <w:pPr>
        <w:rPr>
          <w:sz w:val="40"/>
          <w:szCs w:val="40"/>
        </w:rPr>
      </w:pPr>
      <w:r w:rsidRPr="00670484">
        <w:rPr>
          <w:rFonts w:cs="Arial"/>
          <w:color w:val="000000"/>
          <w:kern w:val="36"/>
          <w:sz w:val="40"/>
          <w:szCs w:val="40"/>
          <w:lang w:val="en"/>
        </w:rPr>
        <w:t>Cambridgeshire Public Health Primary Care Commissioning DPS (Dynamic Purchasing System)</w:t>
      </w:r>
    </w:p>
    <w:p w14:paraId="3A29B184" w14:textId="77777777" w:rsidR="00B220FC" w:rsidRDefault="00B220FC" w:rsidP="00B220FC">
      <w:pPr>
        <w:pStyle w:val="NormalWeb"/>
        <w:spacing w:before="0" w:beforeAutospacing="0" w:after="0" w:afterAutospacing="0"/>
        <w:rPr>
          <w:rFonts w:ascii="Calibri" w:hAnsi="Calibri"/>
          <w:color w:val="000000"/>
          <w:sz w:val="28"/>
          <w:szCs w:val="28"/>
          <w:u w:val="single"/>
        </w:rPr>
      </w:pPr>
    </w:p>
    <w:p w14:paraId="50404337" w14:textId="77777777" w:rsidR="00B220FC" w:rsidRPr="00B220FC" w:rsidRDefault="00B220FC" w:rsidP="00B220FC">
      <w:pPr>
        <w:pStyle w:val="NormalWeb"/>
        <w:spacing w:before="0" w:beforeAutospacing="0" w:after="0" w:afterAutospacing="0"/>
        <w:rPr>
          <w:rFonts w:ascii="Calibri" w:hAnsi="Calibri"/>
          <w:color w:val="000000"/>
          <w:sz w:val="28"/>
          <w:szCs w:val="28"/>
        </w:rPr>
      </w:pPr>
      <w:r w:rsidRPr="00B220FC">
        <w:rPr>
          <w:rFonts w:ascii="Calibri" w:hAnsi="Calibri"/>
          <w:color w:val="000000"/>
          <w:sz w:val="28"/>
          <w:szCs w:val="28"/>
          <w:u w:val="single"/>
        </w:rPr>
        <w:t>GP Practices:</w:t>
      </w:r>
    </w:p>
    <w:p w14:paraId="4C5F69F3" w14:textId="77777777" w:rsidR="00B220FC" w:rsidRPr="00B220FC" w:rsidRDefault="00B220FC" w:rsidP="00B220FC">
      <w:pPr>
        <w:pStyle w:val="NormalWeb"/>
        <w:spacing w:before="0" w:beforeAutospacing="0" w:after="0" w:afterAutospacing="0"/>
        <w:rPr>
          <w:rFonts w:ascii="Calibri" w:hAnsi="Calibri"/>
          <w:color w:val="000000"/>
          <w:sz w:val="28"/>
          <w:szCs w:val="28"/>
        </w:rPr>
      </w:pPr>
      <w:r w:rsidRPr="00B220FC">
        <w:rPr>
          <w:rFonts w:ascii="Calibri" w:hAnsi="Calibri"/>
          <w:color w:val="000000"/>
          <w:sz w:val="28"/>
          <w:szCs w:val="28"/>
        </w:rPr>
        <w:t>1) Lot 1: Chlamydia Screening</w:t>
      </w:r>
    </w:p>
    <w:p w14:paraId="0370685F" w14:textId="77777777" w:rsidR="00B220FC" w:rsidRPr="00B220FC" w:rsidRDefault="00B220FC" w:rsidP="00B220FC">
      <w:pPr>
        <w:pStyle w:val="NormalWeb"/>
        <w:spacing w:before="0" w:beforeAutospacing="0" w:after="0" w:afterAutospacing="0"/>
        <w:rPr>
          <w:rFonts w:ascii="Calibri" w:hAnsi="Calibri"/>
          <w:color w:val="000000"/>
          <w:sz w:val="28"/>
          <w:szCs w:val="28"/>
        </w:rPr>
      </w:pPr>
      <w:r w:rsidRPr="00B220FC">
        <w:rPr>
          <w:rFonts w:ascii="Calibri" w:hAnsi="Calibri"/>
          <w:color w:val="000000"/>
          <w:sz w:val="28"/>
          <w:szCs w:val="28"/>
        </w:rPr>
        <w:t>2) Lot 2: LARC</w:t>
      </w:r>
    </w:p>
    <w:p w14:paraId="0A60B6DE" w14:textId="77777777" w:rsidR="00B220FC" w:rsidRPr="00B220FC" w:rsidRDefault="00B220FC" w:rsidP="00B220FC">
      <w:pPr>
        <w:pStyle w:val="NormalWeb"/>
        <w:spacing w:before="0" w:beforeAutospacing="0" w:after="0" w:afterAutospacing="0"/>
        <w:rPr>
          <w:rFonts w:ascii="Calibri" w:hAnsi="Calibri"/>
          <w:color w:val="000000"/>
          <w:sz w:val="28"/>
          <w:szCs w:val="28"/>
        </w:rPr>
      </w:pPr>
      <w:r w:rsidRPr="00B220FC">
        <w:rPr>
          <w:rFonts w:ascii="Calibri" w:hAnsi="Calibri"/>
          <w:color w:val="000000"/>
          <w:sz w:val="28"/>
          <w:szCs w:val="28"/>
        </w:rPr>
        <w:t>3) Lot 3: Smoking Cessation</w:t>
      </w:r>
    </w:p>
    <w:p w14:paraId="3B541886" w14:textId="77777777" w:rsidR="00B220FC" w:rsidRPr="00B220FC" w:rsidRDefault="00B220FC" w:rsidP="00B220FC">
      <w:pPr>
        <w:pStyle w:val="NormalWeb"/>
        <w:spacing w:before="0" w:beforeAutospacing="0" w:after="0" w:afterAutospacing="0"/>
        <w:rPr>
          <w:rFonts w:ascii="Calibri" w:hAnsi="Calibri"/>
          <w:color w:val="000000"/>
          <w:sz w:val="28"/>
          <w:szCs w:val="28"/>
        </w:rPr>
      </w:pPr>
      <w:r w:rsidRPr="00B220FC">
        <w:rPr>
          <w:rFonts w:ascii="Calibri" w:hAnsi="Calibri"/>
          <w:color w:val="000000"/>
          <w:sz w:val="28"/>
          <w:szCs w:val="28"/>
        </w:rPr>
        <w:t>4) Lot 4: Health Checks</w:t>
      </w:r>
    </w:p>
    <w:p w14:paraId="243D9729" w14:textId="3C9F7B92" w:rsidR="00B220FC" w:rsidRPr="00B220FC" w:rsidRDefault="00B220FC" w:rsidP="00B220FC">
      <w:pPr>
        <w:pStyle w:val="NormalWeb"/>
        <w:spacing w:before="0" w:beforeAutospacing="0" w:after="0" w:afterAutospacing="0"/>
        <w:rPr>
          <w:rFonts w:ascii="Calibri" w:hAnsi="Calibri"/>
          <w:color w:val="000000"/>
          <w:sz w:val="28"/>
          <w:szCs w:val="28"/>
          <w:lang w:val="en-US"/>
        </w:rPr>
      </w:pPr>
    </w:p>
    <w:p w14:paraId="69DCC87F" w14:textId="77777777" w:rsidR="00B220FC" w:rsidRPr="00B220FC" w:rsidRDefault="00B220FC" w:rsidP="00B220FC">
      <w:pPr>
        <w:pStyle w:val="NormalWeb"/>
        <w:spacing w:before="0" w:beforeAutospacing="0" w:after="0" w:afterAutospacing="0"/>
        <w:rPr>
          <w:rFonts w:ascii="Calibri" w:hAnsi="Calibri"/>
          <w:color w:val="000000"/>
          <w:sz w:val="28"/>
          <w:szCs w:val="28"/>
        </w:rPr>
      </w:pPr>
      <w:r w:rsidRPr="00B220FC">
        <w:rPr>
          <w:rFonts w:ascii="Calibri" w:hAnsi="Calibri"/>
          <w:color w:val="000000"/>
          <w:sz w:val="28"/>
          <w:szCs w:val="28"/>
          <w:u w:val="single"/>
        </w:rPr>
        <w:t>Community Pharmacies:</w:t>
      </w:r>
    </w:p>
    <w:p w14:paraId="5604B0B6" w14:textId="77777777" w:rsidR="00B220FC" w:rsidRPr="00B220FC" w:rsidRDefault="00B220FC" w:rsidP="00B220FC">
      <w:pPr>
        <w:pStyle w:val="NormalWeb"/>
        <w:spacing w:before="0" w:beforeAutospacing="0" w:after="0" w:afterAutospacing="0"/>
        <w:rPr>
          <w:rFonts w:ascii="Calibri" w:hAnsi="Calibri"/>
          <w:color w:val="000000"/>
          <w:sz w:val="28"/>
          <w:szCs w:val="28"/>
        </w:rPr>
      </w:pPr>
      <w:r w:rsidRPr="00B220FC">
        <w:rPr>
          <w:rFonts w:ascii="Calibri" w:hAnsi="Calibri"/>
          <w:color w:val="000000"/>
          <w:sz w:val="28"/>
          <w:szCs w:val="28"/>
        </w:rPr>
        <w:t>1) Lot 1: Chlamydia Screening and Treatment</w:t>
      </w:r>
    </w:p>
    <w:p w14:paraId="0CFC2AA2" w14:textId="77777777" w:rsidR="00B220FC" w:rsidRPr="00B220FC" w:rsidRDefault="00B220FC" w:rsidP="00B220FC">
      <w:pPr>
        <w:pStyle w:val="NormalWeb"/>
        <w:spacing w:before="0" w:beforeAutospacing="0" w:after="0" w:afterAutospacing="0"/>
        <w:rPr>
          <w:rFonts w:ascii="Calibri" w:hAnsi="Calibri"/>
          <w:color w:val="000000"/>
          <w:sz w:val="28"/>
          <w:szCs w:val="28"/>
        </w:rPr>
      </w:pPr>
      <w:r w:rsidRPr="00B220FC">
        <w:rPr>
          <w:rFonts w:ascii="Calibri" w:hAnsi="Calibri"/>
          <w:color w:val="000000"/>
          <w:sz w:val="28"/>
          <w:szCs w:val="28"/>
        </w:rPr>
        <w:t>2) Lot 2: EHC</w:t>
      </w:r>
    </w:p>
    <w:p w14:paraId="40FC4DA3" w14:textId="77777777" w:rsidR="00B220FC" w:rsidRPr="00B220FC" w:rsidRDefault="00B220FC" w:rsidP="00B220FC">
      <w:pPr>
        <w:pStyle w:val="NormalWeb"/>
        <w:spacing w:before="0" w:beforeAutospacing="0" w:after="0" w:afterAutospacing="0"/>
        <w:rPr>
          <w:rFonts w:ascii="Calibri" w:hAnsi="Calibri"/>
          <w:color w:val="000000"/>
          <w:sz w:val="28"/>
          <w:szCs w:val="28"/>
        </w:rPr>
      </w:pPr>
      <w:r w:rsidRPr="00B220FC">
        <w:rPr>
          <w:rFonts w:ascii="Calibri" w:hAnsi="Calibri"/>
          <w:color w:val="000000"/>
          <w:sz w:val="28"/>
          <w:szCs w:val="28"/>
        </w:rPr>
        <w:t>3) Lot 3: Smoking Cessation</w:t>
      </w:r>
    </w:p>
    <w:p w14:paraId="2A3B3651" w14:textId="77777777" w:rsidR="00B220FC" w:rsidRPr="00B220FC" w:rsidRDefault="00B220FC" w:rsidP="00B220FC">
      <w:pPr>
        <w:pStyle w:val="NormalWeb"/>
        <w:spacing w:before="0" w:beforeAutospacing="0" w:after="0" w:afterAutospacing="0"/>
        <w:rPr>
          <w:rFonts w:ascii="Calibri" w:hAnsi="Calibri"/>
          <w:color w:val="000000"/>
          <w:sz w:val="28"/>
          <w:szCs w:val="28"/>
        </w:rPr>
      </w:pPr>
      <w:r w:rsidRPr="00B220FC">
        <w:rPr>
          <w:rFonts w:ascii="Calibri" w:hAnsi="Calibri"/>
          <w:color w:val="000000"/>
          <w:sz w:val="28"/>
          <w:szCs w:val="28"/>
        </w:rPr>
        <w:t>4) Lot 4: NRT Voucher Scheme</w:t>
      </w:r>
    </w:p>
    <w:p w14:paraId="5A547569" w14:textId="77777777" w:rsidR="007864D9" w:rsidRPr="00796821" w:rsidRDefault="007864D9" w:rsidP="00796821"/>
    <w:p w14:paraId="75291C4D" w14:textId="77777777" w:rsidR="007864D9" w:rsidRPr="00796821" w:rsidRDefault="007864D9" w:rsidP="00796821"/>
    <w:p w14:paraId="452FAA09" w14:textId="77777777" w:rsidR="007864D9" w:rsidRPr="00796821" w:rsidRDefault="007864D9" w:rsidP="00796821"/>
    <w:p w14:paraId="69D12930" w14:textId="77777777" w:rsidR="007864D9" w:rsidRPr="00796821" w:rsidRDefault="007864D9" w:rsidP="00796821"/>
    <w:sdt>
      <w:sdtPr>
        <w:rPr>
          <w:rFonts w:eastAsiaTheme="minorEastAsia" w:cstheme="minorBidi"/>
          <w:b w:val="0"/>
          <w:bCs w:val="0"/>
          <w:caps w:val="0"/>
          <w:color w:val="auto"/>
          <w:sz w:val="24"/>
          <w:szCs w:val="22"/>
        </w:rPr>
        <w:id w:val="-2133625798"/>
        <w:docPartObj>
          <w:docPartGallery w:val="Table of Contents"/>
          <w:docPartUnique/>
        </w:docPartObj>
      </w:sdtPr>
      <w:sdtEndPr>
        <w:rPr>
          <w:noProof/>
        </w:rPr>
      </w:sdtEndPr>
      <w:sdtContent>
        <w:p w14:paraId="5BAD9066" w14:textId="77777777" w:rsidR="00B25C30" w:rsidRPr="00B25C30" w:rsidRDefault="00672597" w:rsidP="00672597">
          <w:pPr>
            <w:pStyle w:val="TOCHeading"/>
          </w:pPr>
          <w:r>
            <w:t>CONTENTS</w:t>
          </w:r>
        </w:p>
        <w:p w14:paraId="12D28472" w14:textId="77777777" w:rsidR="0068004E" w:rsidRDefault="00EE49EE">
          <w:pPr>
            <w:pStyle w:val="TOC1"/>
            <w:rPr>
              <w:rFonts w:asciiTheme="minorHAnsi" w:hAnsiTheme="minorHAnsi"/>
              <w:sz w:val="22"/>
              <w:lang w:eastAsia="en-GB"/>
            </w:rPr>
          </w:pPr>
          <w:r>
            <w:fldChar w:fldCharType="begin"/>
          </w:r>
          <w:r w:rsidR="00B25C30">
            <w:instrText xml:space="preserve"> TOC \o "1-3" \h \z \u </w:instrText>
          </w:r>
          <w:r>
            <w:fldChar w:fldCharType="separate"/>
          </w:r>
          <w:hyperlink w:anchor="_Toc4147431" w:history="1">
            <w:r w:rsidR="0068004E" w:rsidRPr="00042D67">
              <w:rPr>
                <w:rStyle w:val="Hyperlink"/>
              </w:rPr>
              <w:t>APPENDICES</w:t>
            </w:r>
            <w:r w:rsidR="0068004E">
              <w:rPr>
                <w:webHidden/>
              </w:rPr>
              <w:tab/>
            </w:r>
            <w:r w:rsidR="0068004E">
              <w:rPr>
                <w:webHidden/>
              </w:rPr>
              <w:fldChar w:fldCharType="begin"/>
            </w:r>
            <w:r w:rsidR="0068004E">
              <w:rPr>
                <w:webHidden/>
              </w:rPr>
              <w:instrText xml:space="preserve"> PAGEREF _Toc4147431 \h </w:instrText>
            </w:r>
            <w:r w:rsidR="0068004E">
              <w:rPr>
                <w:webHidden/>
              </w:rPr>
            </w:r>
            <w:r w:rsidR="0068004E">
              <w:rPr>
                <w:webHidden/>
              </w:rPr>
              <w:fldChar w:fldCharType="separate"/>
            </w:r>
            <w:r w:rsidR="00FE4A83">
              <w:rPr>
                <w:webHidden/>
              </w:rPr>
              <w:t>2</w:t>
            </w:r>
            <w:r w:rsidR="0068004E">
              <w:rPr>
                <w:webHidden/>
              </w:rPr>
              <w:fldChar w:fldCharType="end"/>
            </w:r>
          </w:hyperlink>
        </w:p>
        <w:p w14:paraId="312FC416" w14:textId="77777777" w:rsidR="0068004E" w:rsidRDefault="00B21987">
          <w:pPr>
            <w:pStyle w:val="TOC1"/>
            <w:rPr>
              <w:rFonts w:asciiTheme="minorHAnsi" w:hAnsiTheme="minorHAnsi"/>
              <w:sz w:val="22"/>
              <w:lang w:eastAsia="en-GB"/>
            </w:rPr>
          </w:pPr>
          <w:hyperlink w:anchor="_Toc4147432" w:history="1">
            <w:r w:rsidR="0068004E" w:rsidRPr="00042D67">
              <w:rPr>
                <w:rStyle w:val="Hyperlink"/>
              </w:rPr>
              <w:t>SECTION 1 - INTRODUCTION</w:t>
            </w:r>
            <w:r w:rsidR="0068004E">
              <w:rPr>
                <w:webHidden/>
              </w:rPr>
              <w:tab/>
            </w:r>
            <w:r w:rsidR="0068004E">
              <w:rPr>
                <w:webHidden/>
              </w:rPr>
              <w:fldChar w:fldCharType="begin"/>
            </w:r>
            <w:r w:rsidR="0068004E">
              <w:rPr>
                <w:webHidden/>
              </w:rPr>
              <w:instrText xml:space="preserve"> PAGEREF _Toc4147432 \h </w:instrText>
            </w:r>
            <w:r w:rsidR="0068004E">
              <w:rPr>
                <w:webHidden/>
              </w:rPr>
            </w:r>
            <w:r w:rsidR="0068004E">
              <w:rPr>
                <w:webHidden/>
              </w:rPr>
              <w:fldChar w:fldCharType="separate"/>
            </w:r>
            <w:r w:rsidR="00FE4A83">
              <w:rPr>
                <w:webHidden/>
              </w:rPr>
              <w:t>2</w:t>
            </w:r>
            <w:r w:rsidR="0068004E">
              <w:rPr>
                <w:webHidden/>
              </w:rPr>
              <w:fldChar w:fldCharType="end"/>
            </w:r>
          </w:hyperlink>
        </w:p>
        <w:p w14:paraId="10823C17" w14:textId="77777777" w:rsidR="0068004E" w:rsidRDefault="00B21987">
          <w:pPr>
            <w:pStyle w:val="TOC2"/>
            <w:rPr>
              <w:rFonts w:asciiTheme="minorHAnsi" w:hAnsiTheme="minorHAnsi"/>
              <w:sz w:val="22"/>
              <w:lang w:eastAsia="en-GB"/>
            </w:rPr>
          </w:pPr>
          <w:hyperlink w:anchor="_Toc4147433" w:history="1">
            <w:r w:rsidR="0068004E" w:rsidRPr="00042D67">
              <w:rPr>
                <w:rStyle w:val="Hyperlink"/>
              </w:rPr>
              <w:t>1.1.</w:t>
            </w:r>
            <w:r w:rsidR="0068004E">
              <w:rPr>
                <w:rFonts w:asciiTheme="minorHAnsi" w:hAnsiTheme="minorHAnsi"/>
                <w:sz w:val="22"/>
                <w:lang w:eastAsia="en-GB"/>
              </w:rPr>
              <w:tab/>
            </w:r>
            <w:r w:rsidR="0068004E" w:rsidRPr="00042D67">
              <w:rPr>
                <w:rStyle w:val="Hyperlink"/>
              </w:rPr>
              <w:t>GENERAL INFORMATION</w:t>
            </w:r>
            <w:r w:rsidR="0068004E">
              <w:rPr>
                <w:webHidden/>
              </w:rPr>
              <w:tab/>
            </w:r>
            <w:r w:rsidR="0068004E">
              <w:rPr>
                <w:webHidden/>
              </w:rPr>
              <w:fldChar w:fldCharType="begin"/>
            </w:r>
            <w:r w:rsidR="0068004E">
              <w:rPr>
                <w:webHidden/>
              </w:rPr>
              <w:instrText xml:space="preserve"> PAGEREF _Toc4147433 \h </w:instrText>
            </w:r>
            <w:r w:rsidR="0068004E">
              <w:rPr>
                <w:webHidden/>
              </w:rPr>
            </w:r>
            <w:r w:rsidR="0068004E">
              <w:rPr>
                <w:webHidden/>
              </w:rPr>
              <w:fldChar w:fldCharType="separate"/>
            </w:r>
            <w:r w:rsidR="00FE4A83">
              <w:rPr>
                <w:webHidden/>
              </w:rPr>
              <w:t>2</w:t>
            </w:r>
            <w:r w:rsidR="0068004E">
              <w:rPr>
                <w:webHidden/>
              </w:rPr>
              <w:fldChar w:fldCharType="end"/>
            </w:r>
          </w:hyperlink>
        </w:p>
        <w:p w14:paraId="6F47E564" w14:textId="77777777" w:rsidR="0068004E" w:rsidRDefault="00B21987">
          <w:pPr>
            <w:pStyle w:val="TOC2"/>
            <w:rPr>
              <w:rFonts w:asciiTheme="minorHAnsi" w:hAnsiTheme="minorHAnsi"/>
              <w:sz w:val="22"/>
              <w:lang w:eastAsia="en-GB"/>
            </w:rPr>
          </w:pPr>
          <w:hyperlink w:anchor="_Toc4147434" w:history="1">
            <w:r w:rsidR="0068004E" w:rsidRPr="00042D67">
              <w:rPr>
                <w:rStyle w:val="Hyperlink"/>
              </w:rPr>
              <w:t>1.2.</w:t>
            </w:r>
            <w:r w:rsidR="0068004E">
              <w:rPr>
                <w:rFonts w:asciiTheme="minorHAnsi" w:hAnsiTheme="minorHAnsi"/>
                <w:sz w:val="22"/>
                <w:lang w:eastAsia="en-GB"/>
              </w:rPr>
              <w:tab/>
            </w:r>
            <w:r w:rsidR="0068004E" w:rsidRPr="00042D67">
              <w:rPr>
                <w:rStyle w:val="Hyperlink"/>
              </w:rPr>
              <w:t>BACKGROUND</w:t>
            </w:r>
            <w:r w:rsidR="0068004E">
              <w:rPr>
                <w:webHidden/>
              </w:rPr>
              <w:tab/>
            </w:r>
            <w:r w:rsidR="0068004E">
              <w:rPr>
                <w:webHidden/>
              </w:rPr>
              <w:fldChar w:fldCharType="begin"/>
            </w:r>
            <w:r w:rsidR="0068004E">
              <w:rPr>
                <w:webHidden/>
              </w:rPr>
              <w:instrText xml:space="preserve"> PAGEREF _Toc4147434 \h </w:instrText>
            </w:r>
            <w:r w:rsidR="0068004E">
              <w:rPr>
                <w:webHidden/>
              </w:rPr>
            </w:r>
            <w:r w:rsidR="0068004E">
              <w:rPr>
                <w:webHidden/>
              </w:rPr>
              <w:fldChar w:fldCharType="separate"/>
            </w:r>
            <w:r w:rsidR="00FE4A83">
              <w:rPr>
                <w:webHidden/>
              </w:rPr>
              <w:t>3</w:t>
            </w:r>
            <w:r w:rsidR="0068004E">
              <w:rPr>
                <w:webHidden/>
              </w:rPr>
              <w:fldChar w:fldCharType="end"/>
            </w:r>
          </w:hyperlink>
        </w:p>
        <w:p w14:paraId="34381F85" w14:textId="77777777" w:rsidR="0068004E" w:rsidRDefault="00B21987">
          <w:pPr>
            <w:pStyle w:val="TOC2"/>
            <w:rPr>
              <w:rFonts w:asciiTheme="minorHAnsi" w:hAnsiTheme="minorHAnsi"/>
              <w:sz w:val="22"/>
              <w:lang w:eastAsia="en-GB"/>
            </w:rPr>
          </w:pPr>
          <w:hyperlink w:anchor="_Toc4147435" w:history="1">
            <w:r w:rsidR="0068004E" w:rsidRPr="00042D67">
              <w:rPr>
                <w:rStyle w:val="Hyperlink"/>
              </w:rPr>
              <w:t>1.3.</w:t>
            </w:r>
            <w:r w:rsidR="0068004E">
              <w:rPr>
                <w:rFonts w:asciiTheme="minorHAnsi" w:hAnsiTheme="minorHAnsi"/>
                <w:sz w:val="22"/>
                <w:lang w:eastAsia="en-GB"/>
              </w:rPr>
              <w:tab/>
            </w:r>
            <w:r w:rsidR="0068004E" w:rsidRPr="00042D67">
              <w:rPr>
                <w:rStyle w:val="Hyperlink"/>
              </w:rPr>
              <w:t>BUDGET AND SCOPE</w:t>
            </w:r>
            <w:r w:rsidR="0068004E">
              <w:rPr>
                <w:webHidden/>
              </w:rPr>
              <w:tab/>
            </w:r>
            <w:r w:rsidR="0068004E">
              <w:rPr>
                <w:webHidden/>
              </w:rPr>
              <w:fldChar w:fldCharType="begin"/>
            </w:r>
            <w:r w:rsidR="0068004E">
              <w:rPr>
                <w:webHidden/>
              </w:rPr>
              <w:instrText xml:space="preserve"> PAGEREF _Toc4147435 \h </w:instrText>
            </w:r>
            <w:r w:rsidR="0068004E">
              <w:rPr>
                <w:webHidden/>
              </w:rPr>
            </w:r>
            <w:r w:rsidR="0068004E">
              <w:rPr>
                <w:webHidden/>
              </w:rPr>
              <w:fldChar w:fldCharType="separate"/>
            </w:r>
            <w:r w:rsidR="00FE4A83">
              <w:rPr>
                <w:webHidden/>
              </w:rPr>
              <w:t>3</w:t>
            </w:r>
            <w:r w:rsidR="0068004E">
              <w:rPr>
                <w:webHidden/>
              </w:rPr>
              <w:fldChar w:fldCharType="end"/>
            </w:r>
          </w:hyperlink>
        </w:p>
        <w:p w14:paraId="681E0443" w14:textId="77777777" w:rsidR="0068004E" w:rsidRDefault="00B21987">
          <w:pPr>
            <w:pStyle w:val="TOC1"/>
            <w:rPr>
              <w:rFonts w:asciiTheme="minorHAnsi" w:hAnsiTheme="minorHAnsi"/>
              <w:sz w:val="22"/>
              <w:lang w:eastAsia="en-GB"/>
            </w:rPr>
          </w:pPr>
          <w:hyperlink w:anchor="_Toc4147436" w:history="1">
            <w:r w:rsidR="0068004E" w:rsidRPr="00042D67">
              <w:rPr>
                <w:rStyle w:val="Hyperlink"/>
              </w:rPr>
              <w:t>SECTION 2 - INSTRUCTIONS TO POTENTIAL PROVIDERS</w:t>
            </w:r>
            <w:r w:rsidR="0068004E">
              <w:rPr>
                <w:webHidden/>
              </w:rPr>
              <w:tab/>
            </w:r>
            <w:r w:rsidR="0068004E">
              <w:rPr>
                <w:webHidden/>
              </w:rPr>
              <w:fldChar w:fldCharType="begin"/>
            </w:r>
            <w:r w:rsidR="0068004E">
              <w:rPr>
                <w:webHidden/>
              </w:rPr>
              <w:instrText xml:space="preserve"> PAGEREF _Toc4147436 \h </w:instrText>
            </w:r>
            <w:r w:rsidR="0068004E">
              <w:rPr>
                <w:webHidden/>
              </w:rPr>
            </w:r>
            <w:r w:rsidR="0068004E">
              <w:rPr>
                <w:webHidden/>
              </w:rPr>
              <w:fldChar w:fldCharType="separate"/>
            </w:r>
            <w:r w:rsidR="00FE4A83">
              <w:rPr>
                <w:webHidden/>
              </w:rPr>
              <w:t>4</w:t>
            </w:r>
            <w:r w:rsidR="0068004E">
              <w:rPr>
                <w:webHidden/>
              </w:rPr>
              <w:fldChar w:fldCharType="end"/>
            </w:r>
          </w:hyperlink>
        </w:p>
        <w:p w14:paraId="62965B19" w14:textId="77777777" w:rsidR="0068004E" w:rsidRDefault="00B21987">
          <w:pPr>
            <w:pStyle w:val="TOC2"/>
            <w:rPr>
              <w:rFonts w:asciiTheme="minorHAnsi" w:hAnsiTheme="minorHAnsi"/>
              <w:sz w:val="22"/>
              <w:lang w:eastAsia="en-GB"/>
            </w:rPr>
          </w:pPr>
          <w:hyperlink w:anchor="_Toc4147437" w:history="1">
            <w:r w:rsidR="0068004E" w:rsidRPr="00042D67">
              <w:rPr>
                <w:rStyle w:val="Hyperlink"/>
              </w:rPr>
              <w:t>2.1.</w:t>
            </w:r>
            <w:r w:rsidR="0068004E">
              <w:rPr>
                <w:rFonts w:asciiTheme="minorHAnsi" w:hAnsiTheme="minorHAnsi"/>
                <w:sz w:val="22"/>
                <w:lang w:eastAsia="en-GB"/>
              </w:rPr>
              <w:tab/>
            </w:r>
            <w:r w:rsidR="0068004E" w:rsidRPr="00042D67">
              <w:rPr>
                <w:rStyle w:val="Hyperlink"/>
              </w:rPr>
              <w:t>GENERAL INSTRUCTIONS</w:t>
            </w:r>
            <w:r w:rsidR="0068004E">
              <w:rPr>
                <w:webHidden/>
              </w:rPr>
              <w:tab/>
            </w:r>
            <w:r w:rsidR="0068004E">
              <w:rPr>
                <w:webHidden/>
              </w:rPr>
              <w:fldChar w:fldCharType="begin"/>
            </w:r>
            <w:r w:rsidR="0068004E">
              <w:rPr>
                <w:webHidden/>
              </w:rPr>
              <w:instrText xml:space="preserve"> PAGEREF _Toc4147437 \h </w:instrText>
            </w:r>
            <w:r w:rsidR="0068004E">
              <w:rPr>
                <w:webHidden/>
              </w:rPr>
            </w:r>
            <w:r w:rsidR="0068004E">
              <w:rPr>
                <w:webHidden/>
              </w:rPr>
              <w:fldChar w:fldCharType="separate"/>
            </w:r>
            <w:r w:rsidR="00FE4A83">
              <w:rPr>
                <w:webHidden/>
              </w:rPr>
              <w:t>4</w:t>
            </w:r>
            <w:r w:rsidR="0068004E">
              <w:rPr>
                <w:webHidden/>
              </w:rPr>
              <w:fldChar w:fldCharType="end"/>
            </w:r>
          </w:hyperlink>
        </w:p>
        <w:p w14:paraId="3D31C957" w14:textId="77777777" w:rsidR="0068004E" w:rsidRDefault="00B21987">
          <w:pPr>
            <w:pStyle w:val="TOC2"/>
            <w:rPr>
              <w:rFonts w:asciiTheme="minorHAnsi" w:hAnsiTheme="minorHAnsi"/>
              <w:sz w:val="22"/>
              <w:lang w:eastAsia="en-GB"/>
            </w:rPr>
          </w:pPr>
          <w:hyperlink w:anchor="_Toc4147438" w:history="1">
            <w:r w:rsidR="0068004E" w:rsidRPr="00042D67">
              <w:rPr>
                <w:rStyle w:val="Hyperlink"/>
              </w:rPr>
              <w:t>2.2.</w:t>
            </w:r>
            <w:r w:rsidR="0068004E">
              <w:rPr>
                <w:rFonts w:asciiTheme="minorHAnsi" w:hAnsiTheme="minorHAnsi"/>
                <w:sz w:val="22"/>
                <w:lang w:eastAsia="en-GB"/>
              </w:rPr>
              <w:tab/>
            </w:r>
            <w:r w:rsidR="0068004E" w:rsidRPr="00042D67">
              <w:rPr>
                <w:rStyle w:val="Hyperlink"/>
              </w:rPr>
              <w:t>CONFIDENTIALITY AND OWNERSHIP OF DOCUMENTS</w:t>
            </w:r>
            <w:r w:rsidR="0068004E">
              <w:rPr>
                <w:webHidden/>
              </w:rPr>
              <w:tab/>
            </w:r>
            <w:r w:rsidR="0068004E">
              <w:rPr>
                <w:webHidden/>
              </w:rPr>
              <w:fldChar w:fldCharType="begin"/>
            </w:r>
            <w:r w:rsidR="0068004E">
              <w:rPr>
                <w:webHidden/>
              </w:rPr>
              <w:instrText xml:space="preserve"> PAGEREF _Toc4147438 \h </w:instrText>
            </w:r>
            <w:r w:rsidR="0068004E">
              <w:rPr>
                <w:webHidden/>
              </w:rPr>
            </w:r>
            <w:r w:rsidR="0068004E">
              <w:rPr>
                <w:webHidden/>
              </w:rPr>
              <w:fldChar w:fldCharType="separate"/>
            </w:r>
            <w:r w:rsidR="00FE4A83">
              <w:rPr>
                <w:webHidden/>
              </w:rPr>
              <w:t>7</w:t>
            </w:r>
            <w:r w:rsidR="0068004E">
              <w:rPr>
                <w:webHidden/>
              </w:rPr>
              <w:fldChar w:fldCharType="end"/>
            </w:r>
          </w:hyperlink>
        </w:p>
        <w:p w14:paraId="3A05E0BA" w14:textId="77777777" w:rsidR="0068004E" w:rsidRDefault="00B21987">
          <w:pPr>
            <w:pStyle w:val="TOC2"/>
            <w:rPr>
              <w:rFonts w:asciiTheme="minorHAnsi" w:hAnsiTheme="minorHAnsi"/>
              <w:sz w:val="22"/>
              <w:lang w:eastAsia="en-GB"/>
            </w:rPr>
          </w:pPr>
          <w:hyperlink w:anchor="_Toc4147439" w:history="1">
            <w:r w:rsidR="0068004E" w:rsidRPr="00042D67">
              <w:rPr>
                <w:rStyle w:val="Hyperlink"/>
              </w:rPr>
              <w:t>2.3.</w:t>
            </w:r>
            <w:r w:rsidR="0068004E">
              <w:rPr>
                <w:rFonts w:asciiTheme="minorHAnsi" w:hAnsiTheme="minorHAnsi"/>
                <w:sz w:val="22"/>
                <w:lang w:eastAsia="en-GB"/>
              </w:rPr>
              <w:tab/>
            </w:r>
            <w:r w:rsidR="0068004E" w:rsidRPr="00042D67">
              <w:rPr>
                <w:rStyle w:val="Hyperlink"/>
              </w:rPr>
              <w:t>TRANSFER OF UNDERTAKINGS (PROTECTION OF EMPLOYMENT) REGULATIONS 2006</w:t>
            </w:r>
            <w:r w:rsidR="0068004E">
              <w:rPr>
                <w:webHidden/>
              </w:rPr>
              <w:tab/>
            </w:r>
            <w:r w:rsidR="0068004E">
              <w:rPr>
                <w:webHidden/>
              </w:rPr>
              <w:fldChar w:fldCharType="begin"/>
            </w:r>
            <w:r w:rsidR="0068004E">
              <w:rPr>
                <w:webHidden/>
              </w:rPr>
              <w:instrText xml:space="preserve"> PAGEREF _Toc4147439 \h </w:instrText>
            </w:r>
            <w:r w:rsidR="0068004E">
              <w:rPr>
                <w:webHidden/>
              </w:rPr>
            </w:r>
            <w:r w:rsidR="0068004E">
              <w:rPr>
                <w:webHidden/>
              </w:rPr>
              <w:fldChar w:fldCharType="separate"/>
            </w:r>
            <w:r w:rsidR="00FE4A83">
              <w:rPr>
                <w:webHidden/>
              </w:rPr>
              <w:t>8</w:t>
            </w:r>
            <w:r w:rsidR="0068004E">
              <w:rPr>
                <w:webHidden/>
              </w:rPr>
              <w:fldChar w:fldCharType="end"/>
            </w:r>
          </w:hyperlink>
        </w:p>
        <w:p w14:paraId="0E8B1C69" w14:textId="77777777" w:rsidR="0068004E" w:rsidRDefault="00B21987">
          <w:pPr>
            <w:pStyle w:val="TOC2"/>
            <w:rPr>
              <w:rFonts w:asciiTheme="minorHAnsi" w:hAnsiTheme="minorHAnsi"/>
              <w:sz w:val="22"/>
              <w:lang w:eastAsia="en-GB"/>
            </w:rPr>
          </w:pPr>
          <w:hyperlink w:anchor="_Toc4147440" w:history="1">
            <w:r w:rsidR="0068004E" w:rsidRPr="00042D67">
              <w:rPr>
                <w:rStyle w:val="Hyperlink"/>
              </w:rPr>
              <w:t>2.4.</w:t>
            </w:r>
            <w:r w:rsidR="0068004E">
              <w:rPr>
                <w:rFonts w:asciiTheme="minorHAnsi" w:hAnsiTheme="minorHAnsi"/>
                <w:sz w:val="22"/>
                <w:lang w:eastAsia="en-GB"/>
              </w:rPr>
              <w:tab/>
            </w:r>
            <w:r w:rsidR="0068004E" w:rsidRPr="00042D67">
              <w:rPr>
                <w:rStyle w:val="Hyperlink"/>
              </w:rPr>
              <w:t>FREEDOM OF INFORMATION / GOVERNMENT TRANSPARENCY AGENDA</w:t>
            </w:r>
            <w:r w:rsidR="0068004E">
              <w:rPr>
                <w:webHidden/>
              </w:rPr>
              <w:tab/>
            </w:r>
            <w:r w:rsidR="0068004E">
              <w:rPr>
                <w:webHidden/>
              </w:rPr>
              <w:fldChar w:fldCharType="begin"/>
            </w:r>
            <w:r w:rsidR="0068004E">
              <w:rPr>
                <w:webHidden/>
              </w:rPr>
              <w:instrText xml:space="preserve"> PAGEREF _Toc4147440 \h </w:instrText>
            </w:r>
            <w:r w:rsidR="0068004E">
              <w:rPr>
                <w:webHidden/>
              </w:rPr>
            </w:r>
            <w:r w:rsidR="0068004E">
              <w:rPr>
                <w:webHidden/>
              </w:rPr>
              <w:fldChar w:fldCharType="separate"/>
            </w:r>
            <w:r w:rsidR="00FE4A83">
              <w:rPr>
                <w:webHidden/>
              </w:rPr>
              <w:t>8</w:t>
            </w:r>
            <w:r w:rsidR="0068004E">
              <w:rPr>
                <w:webHidden/>
              </w:rPr>
              <w:fldChar w:fldCharType="end"/>
            </w:r>
          </w:hyperlink>
        </w:p>
        <w:p w14:paraId="09CD9DA6" w14:textId="77777777" w:rsidR="0068004E" w:rsidRDefault="00B21987">
          <w:pPr>
            <w:pStyle w:val="TOC2"/>
            <w:rPr>
              <w:rFonts w:asciiTheme="minorHAnsi" w:hAnsiTheme="minorHAnsi"/>
              <w:sz w:val="22"/>
              <w:lang w:eastAsia="en-GB"/>
            </w:rPr>
          </w:pPr>
          <w:hyperlink w:anchor="_Toc4147441" w:history="1">
            <w:r w:rsidR="0068004E" w:rsidRPr="00042D67">
              <w:rPr>
                <w:rStyle w:val="Hyperlink"/>
              </w:rPr>
              <w:t>2.5.</w:t>
            </w:r>
            <w:r w:rsidR="0068004E">
              <w:rPr>
                <w:rFonts w:asciiTheme="minorHAnsi" w:hAnsiTheme="minorHAnsi"/>
                <w:sz w:val="22"/>
                <w:lang w:eastAsia="en-GB"/>
              </w:rPr>
              <w:tab/>
            </w:r>
            <w:r w:rsidR="0068004E" w:rsidRPr="00042D67">
              <w:rPr>
                <w:rStyle w:val="Hyperlink"/>
              </w:rPr>
              <w:t>APPLICATION VALIDITY</w:t>
            </w:r>
            <w:r w:rsidR="0068004E">
              <w:rPr>
                <w:webHidden/>
              </w:rPr>
              <w:tab/>
            </w:r>
            <w:r w:rsidR="0068004E">
              <w:rPr>
                <w:webHidden/>
              </w:rPr>
              <w:fldChar w:fldCharType="begin"/>
            </w:r>
            <w:r w:rsidR="0068004E">
              <w:rPr>
                <w:webHidden/>
              </w:rPr>
              <w:instrText xml:space="preserve"> PAGEREF _Toc4147441 \h </w:instrText>
            </w:r>
            <w:r w:rsidR="0068004E">
              <w:rPr>
                <w:webHidden/>
              </w:rPr>
            </w:r>
            <w:r w:rsidR="0068004E">
              <w:rPr>
                <w:webHidden/>
              </w:rPr>
              <w:fldChar w:fldCharType="separate"/>
            </w:r>
            <w:r w:rsidR="00FE4A83">
              <w:rPr>
                <w:webHidden/>
              </w:rPr>
              <w:t>9</w:t>
            </w:r>
            <w:r w:rsidR="0068004E">
              <w:rPr>
                <w:webHidden/>
              </w:rPr>
              <w:fldChar w:fldCharType="end"/>
            </w:r>
          </w:hyperlink>
        </w:p>
        <w:p w14:paraId="302590F1" w14:textId="77777777" w:rsidR="0068004E" w:rsidRDefault="00B21987">
          <w:pPr>
            <w:pStyle w:val="TOC2"/>
            <w:rPr>
              <w:rFonts w:asciiTheme="minorHAnsi" w:hAnsiTheme="minorHAnsi"/>
              <w:sz w:val="22"/>
              <w:lang w:eastAsia="en-GB"/>
            </w:rPr>
          </w:pPr>
          <w:hyperlink w:anchor="_Toc4147442" w:history="1">
            <w:r w:rsidR="0068004E" w:rsidRPr="00042D67">
              <w:rPr>
                <w:rStyle w:val="Hyperlink"/>
              </w:rPr>
              <w:t>2.6.</w:t>
            </w:r>
            <w:r w:rsidR="0068004E">
              <w:rPr>
                <w:rFonts w:asciiTheme="minorHAnsi" w:hAnsiTheme="minorHAnsi"/>
                <w:sz w:val="22"/>
                <w:lang w:eastAsia="en-GB"/>
              </w:rPr>
              <w:tab/>
            </w:r>
            <w:r w:rsidR="0068004E" w:rsidRPr="00042D67">
              <w:rPr>
                <w:rStyle w:val="Hyperlink"/>
              </w:rPr>
              <w:t>PREPARATION OF APPLICATIONS</w:t>
            </w:r>
            <w:r w:rsidR="0068004E">
              <w:rPr>
                <w:webHidden/>
              </w:rPr>
              <w:tab/>
            </w:r>
            <w:r w:rsidR="0068004E">
              <w:rPr>
                <w:webHidden/>
              </w:rPr>
              <w:fldChar w:fldCharType="begin"/>
            </w:r>
            <w:r w:rsidR="0068004E">
              <w:rPr>
                <w:webHidden/>
              </w:rPr>
              <w:instrText xml:space="preserve"> PAGEREF _Toc4147442 \h </w:instrText>
            </w:r>
            <w:r w:rsidR="0068004E">
              <w:rPr>
                <w:webHidden/>
              </w:rPr>
            </w:r>
            <w:r w:rsidR="0068004E">
              <w:rPr>
                <w:webHidden/>
              </w:rPr>
              <w:fldChar w:fldCharType="separate"/>
            </w:r>
            <w:r w:rsidR="00FE4A83">
              <w:rPr>
                <w:webHidden/>
              </w:rPr>
              <w:t>9</w:t>
            </w:r>
            <w:r w:rsidR="0068004E">
              <w:rPr>
                <w:webHidden/>
              </w:rPr>
              <w:fldChar w:fldCharType="end"/>
            </w:r>
          </w:hyperlink>
        </w:p>
        <w:p w14:paraId="2C364AC3" w14:textId="77777777" w:rsidR="0068004E" w:rsidRDefault="00B21987">
          <w:pPr>
            <w:pStyle w:val="TOC2"/>
            <w:rPr>
              <w:rFonts w:asciiTheme="minorHAnsi" w:hAnsiTheme="minorHAnsi"/>
              <w:sz w:val="22"/>
              <w:lang w:eastAsia="en-GB"/>
            </w:rPr>
          </w:pPr>
          <w:hyperlink w:anchor="_Toc4147443" w:history="1">
            <w:r w:rsidR="0068004E" w:rsidRPr="00042D67">
              <w:rPr>
                <w:rStyle w:val="Hyperlink"/>
              </w:rPr>
              <w:t>2.7.</w:t>
            </w:r>
            <w:r w:rsidR="0068004E">
              <w:rPr>
                <w:rFonts w:asciiTheme="minorHAnsi" w:hAnsiTheme="minorHAnsi"/>
                <w:sz w:val="22"/>
                <w:lang w:eastAsia="en-GB"/>
              </w:rPr>
              <w:tab/>
            </w:r>
            <w:r w:rsidR="0068004E" w:rsidRPr="00042D67">
              <w:rPr>
                <w:rStyle w:val="Hyperlink"/>
              </w:rPr>
              <w:t>QUERIES RELATING TO THE DPS</w:t>
            </w:r>
            <w:r w:rsidR="0068004E">
              <w:rPr>
                <w:webHidden/>
              </w:rPr>
              <w:tab/>
            </w:r>
            <w:r w:rsidR="0068004E">
              <w:rPr>
                <w:webHidden/>
              </w:rPr>
              <w:fldChar w:fldCharType="begin"/>
            </w:r>
            <w:r w:rsidR="0068004E">
              <w:rPr>
                <w:webHidden/>
              </w:rPr>
              <w:instrText xml:space="preserve"> PAGEREF _Toc4147443 \h </w:instrText>
            </w:r>
            <w:r w:rsidR="0068004E">
              <w:rPr>
                <w:webHidden/>
              </w:rPr>
            </w:r>
            <w:r w:rsidR="0068004E">
              <w:rPr>
                <w:webHidden/>
              </w:rPr>
              <w:fldChar w:fldCharType="separate"/>
            </w:r>
            <w:r w:rsidR="00FE4A83">
              <w:rPr>
                <w:webHidden/>
              </w:rPr>
              <w:t>10</w:t>
            </w:r>
            <w:r w:rsidR="0068004E">
              <w:rPr>
                <w:webHidden/>
              </w:rPr>
              <w:fldChar w:fldCharType="end"/>
            </w:r>
          </w:hyperlink>
        </w:p>
        <w:p w14:paraId="39DEF32E" w14:textId="77777777" w:rsidR="0068004E" w:rsidRDefault="00B21987">
          <w:pPr>
            <w:pStyle w:val="TOC2"/>
            <w:rPr>
              <w:rFonts w:asciiTheme="minorHAnsi" w:hAnsiTheme="minorHAnsi"/>
              <w:sz w:val="22"/>
              <w:lang w:eastAsia="en-GB"/>
            </w:rPr>
          </w:pPr>
          <w:hyperlink w:anchor="_Toc4147444" w:history="1">
            <w:r w:rsidR="0068004E" w:rsidRPr="00042D67">
              <w:rPr>
                <w:rStyle w:val="Hyperlink"/>
              </w:rPr>
              <w:t>2.8.</w:t>
            </w:r>
            <w:r w:rsidR="0068004E">
              <w:rPr>
                <w:rFonts w:asciiTheme="minorHAnsi" w:hAnsiTheme="minorHAnsi"/>
                <w:sz w:val="22"/>
                <w:lang w:eastAsia="en-GB"/>
              </w:rPr>
              <w:tab/>
            </w:r>
            <w:r w:rsidR="0068004E" w:rsidRPr="00042D67">
              <w:rPr>
                <w:rStyle w:val="Hyperlink"/>
              </w:rPr>
              <w:t>CONSORTIA AND SUBCONTRACTORS</w:t>
            </w:r>
            <w:r w:rsidR="0068004E">
              <w:rPr>
                <w:webHidden/>
              </w:rPr>
              <w:tab/>
            </w:r>
            <w:r w:rsidR="0068004E">
              <w:rPr>
                <w:webHidden/>
              </w:rPr>
              <w:fldChar w:fldCharType="begin"/>
            </w:r>
            <w:r w:rsidR="0068004E">
              <w:rPr>
                <w:webHidden/>
              </w:rPr>
              <w:instrText xml:space="preserve"> PAGEREF _Toc4147444 \h </w:instrText>
            </w:r>
            <w:r w:rsidR="0068004E">
              <w:rPr>
                <w:webHidden/>
              </w:rPr>
            </w:r>
            <w:r w:rsidR="0068004E">
              <w:rPr>
                <w:webHidden/>
              </w:rPr>
              <w:fldChar w:fldCharType="separate"/>
            </w:r>
            <w:r w:rsidR="00FE4A83">
              <w:rPr>
                <w:webHidden/>
              </w:rPr>
              <w:t>11</w:t>
            </w:r>
            <w:r w:rsidR="0068004E">
              <w:rPr>
                <w:webHidden/>
              </w:rPr>
              <w:fldChar w:fldCharType="end"/>
            </w:r>
          </w:hyperlink>
        </w:p>
        <w:p w14:paraId="39240B78" w14:textId="77777777" w:rsidR="0068004E" w:rsidRDefault="00B21987">
          <w:pPr>
            <w:pStyle w:val="TOC2"/>
            <w:rPr>
              <w:rFonts w:asciiTheme="minorHAnsi" w:hAnsiTheme="minorHAnsi"/>
              <w:sz w:val="22"/>
              <w:lang w:eastAsia="en-GB"/>
            </w:rPr>
          </w:pPr>
          <w:hyperlink w:anchor="_Toc4147445" w:history="1">
            <w:r w:rsidR="0068004E" w:rsidRPr="00042D67">
              <w:rPr>
                <w:rStyle w:val="Hyperlink"/>
              </w:rPr>
              <w:t>2.9.</w:t>
            </w:r>
            <w:r w:rsidR="0068004E">
              <w:rPr>
                <w:rFonts w:asciiTheme="minorHAnsi" w:hAnsiTheme="minorHAnsi"/>
                <w:sz w:val="22"/>
                <w:lang w:eastAsia="en-GB"/>
              </w:rPr>
              <w:tab/>
            </w:r>
            <w:r w:rsidR="0068004E" w:rsidRPr="00042D67">
              <w:rPr>
                <w:rStyle w:val="Hyperlink"/>
              </w:rPr>
              <w:t>SUBMISSION OF APPLCATIONS</w:t>
            </w:r>
            <w:r w:rsidR="0068004E">
              <w:rPr>
                <w:webHidden/>
              </w:rPr>
              <w:tab/>
            </w:r>
            <w:r w:rsidR="0068004E">
              <w:rPr>
                <w:webHidden/>
              </w:rPr>
              <w:fldChar w:fldCharType="begin"/>
            </w:r>
            <w:r w:rsidR="0068004E">
              <w:rPr>
                <w:webHidden/>
              </w:rPr>
              <w:instrText xml:space="preserve"> PAGEREF _Toc4147445 \h </w:instrText>
            </w:r>
            <w:r w:rsidR="0068004E">
              <w:rPr>
                <w:webHidden/>
              </w:rPr>
            </w:r>
            <w:r w:rsidR="0068004E">
              <w:rPr>
                <w:webHidden/>
              </w:rPr>
              <w:fldChar w:fldCharType="separate"/>
            </w:r>
            <w:r w:rsidR="00FE4A83">
              <w:rPr>
                <w:webHidden/>
              </w:rPr>
              <w:t>11</w:t>
            </w:r>
            <w:r w:rsidR="0068004E">
              <w:rPr>
                <w:webHidden/>
              </w:rPr>
              <w:fldChar w:fldCharType="end"/>
            </w:r>
          </w:hyperlink>
        </w:p>
        <w:p w14:paraId="36D8D9AE" w14:textId="77777777" w:rsidR="0068004E" w:rsidRDefault="00B21987">
          <w:pPr>
            <w:pStyle w:val="TOC2"/>
            <w:rPr>
              <w:rFonts w:asciiTheme="minorHAnsi" w:hAnsiTheme="minorHAnsi"/>
              <w:sz w:val="22"/>
              <w:lang w:eastAsia="en-GB"/>
            </w:rPr>
          </w:pPr>
          <w:hyperlink w:anchor="_Toc4147446" w:history="1">
            <w:r w:rsidR="0068004E" w:rsidRPr="00042D67">
              <w:rPr>
                <w:rStyle w:val="Hyperlink"/>
              </w:rPr>
              <w:t>2.10.</w:t>
            </w:r>
            <w:r w:rsidR="0068004E">
              <w:rPr>
                <w:rFonts w:asciiTheme="minorHAnsi" w:hAnsiTheme="minorHAnsi"/>
                <w:sz w:val="22"/>
                <w:lang w:eastAsia="en-GB"/>
              </w:rPr>
              <w:tab/>
            </w:r>
            <w:r w:rsidR="0068004E" w:rsidRPr="00042D67">
              <w:rPr>
                <w:rStyle w:val="Hyperlink"/>
              </w:rPr>
              <w:t>REJECTION OF APPLICATIONS</w:t>
            </w:r>
            <w:r w:rsidR="0068004E">
              <w:rPr>
                <w:webHidden/>
              </w:rPr>
              <w:tab/>
            </w:r>
            <w:r w:rsidR="0068004E">
              <w:rPr>
                <w:webHidden/>
              </w:rPr>
              <w:fldChar w:fldCharType="begin"/>
            </w:r>
            <w:r w:rsidR="0068004E">
              <w:rPr>
                <w:webHidden/>
              </w:rPr>
              <w:instrText xml:space="preserve"> PAGEREF _Toc4147446 \h </w:instrText>
            </w:r>
            <w:r w:rsidR="0068004E">
              <w:rPr>
                <w:webHidden/>
              </w:rPr>
            </w:r>
            <w:r w:rsidR="0068004E">
              <w:rPr>
                <w:webHidden/>
              </w:rPr>
              <w:fldChar w:fldCharType="separate"/>
            </w:r>
            <w:r w:rsidR="00FE4A83">
              <w:rPr>
                <w:webHidden/>
              </w:rPr>
              <w:t>12</w:t>
            </w:r>
            <w:r w:rsidR="0068004E">
              <w:rPr>
                <w:webHidden/>
              </w:rPr>
              <w:fldChar w:fldCharType="end"/>
            </w:r>
          </w:hyperlink>
        </w:p>
        <w:p w14:paraId="3823AEF2" w14:textId="77777777" w:rsidR="0068004E" w:rsidRDefault="00B21987">
          <w:pPr>
            <w:pStyle w:val="TOC2"/>
            <w:rPr>
              <w:rFonts w:asciiTheme="minorHAnsi" w:hAnsiTheme="minorHAnsi"/>
              <w:sz w:val="22"/>
              <w:lang w:eastAsia="en-GB"/>
            </w:rPr>
          </w:pPr>
          <w:hyperlink w:anchor="_Toc4147447" w:history="1">
            <w:r w:rsidR="0068004E" w:rsidRPr="00042D67">
              <w:rPr>
                <w:rStyle w:val="Hyperlink"/>
              </w:rPr>
              <w:t>2.11.</w:t>
            </w:r>
            <w:r w:rsidR="0068004E">
              <w:rPr>
                <w:rFonts w:asciiTheme="minorHAnsi" w:hAnsiTheme="minorHAnsi"/>
                <w:sz w:val="22"/>
                <w:lang w:eastAsia="en-GB"/>
              </w:rPr>
              <w:tab/>
            </w:r>
            <w:r w:rsidR="0068004E" w:rsidRPr="00042D67">
              <w:rPr>
                <w:rStyle w:val="Hyperlink"/>
              </w:rPr>
              <w:t>POTENTIAL PROVIDER’S WARRANTIES</w:t>
            </w:r>
            <w:r w:rsidR="0068004E">
              <w:rPr>
                <w:webHidden/>
              </w:rPr>
              <w:tab/>
            </w:r>
            <w:r w:rsidR="0068004E">
              <w:rPr>
                <w:webHidden/>
              </w:rPr>
              <w:fldChar w:fldCharType="begin"/>
            </w:r>
            <w:r w:rsidR="0068004E">
              <w:rPr>
                <w:webHidden/>
              </w:rPr>
              <w:instrText xml:space="preserve"> PAGEREF _Toc4147447 \h </w:instrText>
            </w:r>
            <w:r w:rsidR="0068004E">
              <w:rPr>
                <w:webHidden/>
              </w:rPr>
            </w:r>
            <w:r w:rsidR="0068004E">
              <w:rPr>
                <w:webHidden/>
              </w:rPr>
              <w:fldChar w:fldCharType="separate"/>
            </w:r>
            <w:r w:rsidR="00FE4A83">
              <w:rPr>
                <w:webHidden/>
              </w:rPr>
              <w:t>13</w:t>
            </w:r>
            <w:r w:rsidR="0068004E">
              <w:rPr>
                <w:webHidden/>
              </w:rPr>
              <w:fldChar w:fldCharType="end"/>
            </w:r>
          </w:hyperlink>
        </w:p>
        <w:p w14:paraId="4BFB3F5F" w14:textId="77777777" w:rsidR="0068004E" w:rsidRDefault="00B21987">
          <w:pPr>
            <w:pStyle w:val="TOC2"/>
            <w:rPr>
              <w:rFonts w:asciiTheme="minorHAnsi" w:hAnsiTheme="minorHAnsi"/>
              <w:sz w:val="22"/>
              <w:lang w:eastAsia="en-GB"/>
            </w:rPr>
          </w:pPr>
          <w:hyperlink w:anchor="_Toc4147448" w:history="1">
            <w:r w:rsidR="0068004E" w:rsidRPr="00042D67">
              <w:rPr>
                <w:rStyle w:val="Hyperlink"/>
              </w:rPr>
              <w:t>2.12.</w:t>
            </w:r>
            <w:r w:rsidR="0068004E">
              <w:rPr>
                <w:rFonts w:asciiTheme="minorHAnsi" w:hAnsiTheme="minorHAnsi"/>
                <w:sz w:val="22"/>
                <w:lang w:eastAsia="en-GB"/>
              </w:rPr>
              <w:tab/>
            </w:r>
            <w:r w:rsidR="0068004E" w:rsidRPr="00042D67">
              <w:rPr>
                <w:rStyle w:val="Hyperlink"/>
              </w:rPr>
              <w:t>CHANGES / AMENDMENTS TO DPS DOCUMENTS</w:t>
            </w:r>
            <w:r w:rsidR="0068004E">
              <w:rPr>
                <w:webHidden/>
              </w:rPr>
              <w:tab/>
            </w:r>
            <w:r w:rsidR="0068004E">
              <w:rPr>
                <w:webHidden/>
              </w:rPr>
              <w:fldChar w:fldCharType="begin"/>
            </w:r>
            <w:r w:rsidR="0068004E">
              <w:rPr>
                <w:webHidden/>
              </w:rPr>
              <w:instrText xml:space="preserve"> PAGEREF _Toc4147448 \h </w:instrText>
            </w:r>
            <w:r w:rsidR="0068004E">
              <w:rPr>
                <w:webHidden/>
              </w:rPr>
            </w:r>
            <w:r w:rsidR="0068004E">
              <w:rPr>
                <w:webHidden/>
              </w:rPr>
              <w:fldChar w:fldCharType="separate"/>
            </w:r>
            <w:r w:rsidR="00FE4A83">
              <w:rPr>
                <w:webHidden/>
              </w:rPr>
              <w:t>14</w:t>
            </w:r>
            <w:r w:rsidR="0068004E">
              <w:rPr>
                <w:webHidden/>
              </w:rPr>
              <w:fldChar w:fldCharType="end"/>
            </w:r>
          </w:hyperlink>
        </w:p>
        <w:p w14:paraId="00BB07F7" w14:textId="77777777" w:rsidR="0068004E" w:rsidRDefault="00B21987">
          <w:pPr>
            <w:pStyle w:val="TOC2"/>
            <w:rPr>
              <w:rFonts w:asciiTheme="minorHAnsi" w:hAnsiTheme="minorHAnsi"/>
              <w:sz w:val="22"/>
              <w:lang w:eastAsia="en-GB"/>
            </w:rPr>
          </w:pPr>
          <w:hyperlink w:anchor="_Toc4147449" w:history="1">
            <w:r w:rsidR="0068004E" w:rsidRPr="00042D67">
              <w:rPr>
                <w:rStyle w:val="Hyperlink"/>
              </w:rPr>
              <w:t>2.13.</w:t>
            </w:r>
            <w:r w:rsidR="0068004E">
              <w:rPr>
                <w:rFonts w:asciiTheme="minorHAnsi" w:hAnsiTheme="minorHAnsi"/>
                <w:sz w:val="22"/>
                <w:lang w:eastAsia="en-GB"/>
              </w:rPr>
              <w:tab/>
            </w:r>
            <w:r w:rsidR="0068004E" w:rsidRPr="00042D67">
              <w:rPr>
                <w:rStyle w:val="Hyperlink"/>
              </w:rPr>
              <w:t>ACCEPTANCE / EVALUATION OF APPLICATIONS</w:t>
            </w:r>
            <w:r w:rsidR="0068004E">
              <w:rPr>
                <w:webHidden/>
              </w:rPr>
              <w:tab/>
            </w:r>
            <w:r w:rsidR="0068004E">
              <w:rPr>
                <w:webHidden/>
              </w:rPr>
              <w:fldChar w:fldCharType="begin"/>
            </w:r>
            <w:r w:rsidR="0068004E">
              <w:rPr>
                <w:webHidden/>
              </w:rPr>
              <w:instrText xml:space="preserve"> PAGEREF _Toc4147449 \h </w:instrText>
            </w:r>
            <w:r w:rsidR="0068004E">
              <w:rPr>
                <w:webHidden/>
              </w:rPr>
            </w:r>
            <w:r w:rsidR="0068004E">
              <w:rPr>
                <w:webHidden/>
              </w:rPr>
              <w:fldChar w:fldCharType="separate"/>
            </w:r>
            <w:r w:rsidR="00FE4A83">
              <w:rPr>
                <w:webHidden/>
              </w:rPr>
              <w:t>15</w:t>
            </w:r>
            <w:r w:rsidR="0068004E">
              <w:rPr>
                <w:webHidden/>
              </w:rPr>
              <w:fldChar w:fldCharType="end"/>
            </w:r>
          </w:hyperlink>
        </w:p>
        <w:p w14:paraId="222D4A27" w14:textId="77777777" w:rsidR="0068004E" w:rsidRDefault="00B21987">
          <w:pPr>
            <w:pStyle w:val="TOC2"/>
            <w:rPr>
              <w:rFonts w:asciiTheme="minorHAnsi" w:hAnsiTheme="minorHAnsi"/>
              <w:sz w:val="22"/>
              <w:lang w:eastAsia="en-GB"/>
            </w:rPr>
          </w:pPr>
          <w:hyperlink w:anchor="_Toc4147450" w:history="1">
            <w:r w:rsidR="0068004E" w:rsidRPr="00042D67">
              <w:rPr>
                <w:rStyle w:val="Hyperlink"/>
              </w:rPr>
              <w:t>2.14.</w:t>
            </w:r>
            <w:r w:rsidR="0068004E">
              <w:rPr>
                <w:rFonts w:asciiTheme="minorHAnsi" w:hAnsiTheme="minorHAnsi"/>
                <w:sz w:val="22"/>
                <w:lang w:eastAsia="en-GB"/>
              </w:rPr>
              <w:tab/>
            </w:r>
            <w:r w:rsidR="0068004E" w:rsidRPr="00042D67">
              <w:rPr>
                <w:rStyle w:val="Hyperlink"/>
              </w:rPr>
              <w:t>VARIANT BIDS</w:t>
            </w:r>
            <w:r w:rsidR="0068004E">
              <w:rPr>
                <w:webHidden/>
              </w:rPr>
              <w:tab/>
            </w:r>
            <w:r w:rsidR="0068004E">
              <w:rPr>
                <w:webHidden/>
              </w:rPr>
              <w:fldChar w:fldCharType="begin"/>
            </w:r>
            <w:r w:rsidR="0068004E">
              <w:rPr>
                <w:webHidden/>
              </w:rPr>
              <w:instrText xml:space="preserve"> PAGEREF _Toc4147450 \h </w:instrText>
            </w:r>
            <w:r w:rsidR="0068004E">
              <w:rPr>
                <w:webHidden/>
              </w:rPr>
            </w:r>
            <w:r w:rsidR="0068004E">
              <w:rPr>
                <w:webHidden/>
              </w:rPr>
              <w:fldChar w:fldCharType="separate"/>
            </w:r>
            <w:r w:rsidR="00FE4A83">
              <w:rPr>
                <w:webHidden/>
              </w:rPr>
              <w:t>17</w:t>
            </w:r>
            <w:r w:rsidR="0068004E">
              <w:rPr>
                <w:webHidden/>
              </w:rPr>
              <w:fldChar w:fldCharType="end"/>
            </w:r>
          </w:hyperlink>
        </w:p>
        <w:p w14:paraId="3E826F38" w14:textId="77777777" w:rsidR="0068004E" w:rsidRDefault="00B21987">
          <w:pPr>
            <w:pStyle w:val="TOC2"/>
            <w:rPr>
              <w:rFonts w:asciiTheme="minorHAnsi" w:hAnsiTheme="minorHAnsi"/>
              <w:sz w:val="22"/>
              <w:lang w:eastAsia="en-GB"/>
            </w:rPr>
          </w:pPr>
          <w:hyperlink w:anchor="_Toc4147451" w:history="1">
            <w:r w:rsidR="0068004E" w:rsidRPr="00042D67">
              <w:rPr>
                <w:rStyle w:val="Hyperlink"/>
              </w:rPr>
              <w:t>2.15.</w:t>
            </w:r>
            <w:r w:rsidR="0068004E">
              <w:rPr>
                <w:rFonts w:asciiTheme="minorHAnsi" w:hAnsiTheme="minorHAnsi"/>
                <w:sz w:val="22"/>
                <w:lang w:eastAsia="en-GB"/>
              </w:rPr>
              <w:tab/>
            </w:r>
            <w:r w:rsidR="0068004E" w:rsidRPr="00042D67">
              <w:rPr>
                <w:rStyle w:val="Hyperlink"/>
              </w:rPr>
              <w:t>PROCUREMENT TIMETABLE</w:t>
            </w:r>
            <w:r w:rsidR="0068004E">
              <w:rPr>
                <w:webHidden/>
              </w:rPr>
              <w:tab/>
            </w:r>
            <w:r w:rsidR="0068004E">
              <w:rPr>
                <w:webHidden/>
              </w:rPr>
              <w:fldChar w:fldCharType="begin"/>
            </w:r>
            <w:r w:rsidR="0068004E">
              <w:rPr>
                <w:webHidden/>
              </w:rPr>
              <w:instrText xml:space="preserve"> PAGEREF _Toc4147451 \h </w:instrText>
            </w:r>
            <w:r w:rsidR="0068004E">
              <w:rPr>
                <w:webHidden/>
              </w:rPr>
            </w:r>
            <w:r w:rsidR="0068004E">
              <w:rPr>
                <w:webHidden/>
              </w:rPr>
              <w:fldChar w:fldCharType="separate"/>
            </w:r>
            <w:r w:rsidR="00FE4A83">
              <w:rPr>
                <w:webHidden/>
              </w:rPr>
              <w:t>17</w:t>
            </w:r>
            <w:r w:rsidR="0068004E">
              <w:rPr>
                <w:webHidden/>
              </w:rPr>
              <w:fldChar w:fldCharType="end"/>
            </w:r>
          </w:hyperlink>
        </w:p>
        <w:p w14:paraId="49CA6050" w14:textId="77777777" w:rsidR="0068004E" w:rsidRDefault="00B21987">
          <w:pPr>
            <w:pStyle w:val="TOC2"/>
            <w:rPr>
              <w:rFonts w:asciiTheme="minorHAnsi" w:hAnsiTheme="minorHAnsi"/>
              <w:sz w:val="22"/>
              <w:lang w:eastAsia="en-GB"/>
            </w:rPr>
          </w:pPr>
          <w:hyperlink w:anchor="_Toc4147453" w:history="1">
            <w:r w:rsidR="0068004E" w:rsidRPr="00042D67">
              <w:rPr>
                <w:rStyle w:val="Hyperlink"/>
              </w:rPr>
              <w:t>2.16.</w:t>
            </w:r>
            <w:r w:rsidR="0068004E">
              <w:rPr>
                <w:rFonts w:asciiTheme="minorHAnsi" w:hAnsiTheme="minorHAnsi"/>
                <w:sz w:val="22"/>
                <w:lang w:eastAsia="en-GB"/>
              </w:rPr>
              <w:tab/>
            </w:r>
            <w:r w:rsidR="0068004E" w:rsidRPr="00042D67">
              <w:rPr>
                <w:rStyle w:val="Hyperlink"/>
              </w:rPr>
              <w:t>AWARD / ACCEPTANCE ON TO THE DPS</w:t>
            </w:r>
            <w:r w:rsidR="0068004E">
              <w:rPr>
                <w:webHidden/>
              </w:rPr>
              <w:tab/>
            </w:r>
            <w:r w:rsidR="0068004E">
              <w:rPr>
                <w:webHidden/>
              </w:rPr>
              <w:fldChar w:fldCharType="begin"/>
            </w:r>
            <w:r w:rsidR="0068004E">
              <w:rPr>
                <w:webHidden/>
              </w:rPr>
              <w:instrText xml:space="preserve"> PAGEREF _Toc4147453 \h </w:instrText>
            </w:r>
            <w:r w:rsidR="0068004E">
              <w:rPr>
                <w:webHidden/>
              </w:rPr>
            </w:r>
            <w:r w:rsidR="0068004E">
              <w:rPr>
                <w:webHidden/>
              </w:rPr>
              <w:fldChar w:fldCharType="separate"/>
            </w:r>
            <w:r w:rsidR="00FE4A83">
              <w:rPr>
                <w:webHidden/>
              </w:rPr>
              <w:t>18</w:t>
            </w:r>
            <w:r w:rsidR="0068004E">
              <w:rPr>
                <w:webHidden/>
              </w:rPr>
              <w:fldChar w:fldCharType="end"/>
            </w:r>
          </w:hyperlink>
        </w:p>
        <w:p w14:paraId="73DDCA3B" w14:textId="77777777" w:rsidR="0068004E" w:rsidRDefault="00B21987">
          <w:pPr>
            <w:pStyle w:val="TOC1"/>
            <w:rPr>
              <w:rFonts w:asciiTheme="minorHAnsi" w:hAnsiTheme="minorHAnsi"/>
              <w:sz w:val="22"/>
              <w:lang w:eastAsia="en-GB"/>
            </w:rPr>
          </w:pPr>
          <w:hyperlink w:anchor="_Toc4147454" w:history="1">
            <w:r w:rsidR="0068004E" w:rsidRPr="00042D67">
              <w:rPr>
                <w:rStyle w:val="Hyperlink"/>
              </w:rPr>
              <w:t>APPENDIX 1: CONDITIONS OF CONTRACT (GP)</w:t>
            </w:r>
            <w:r w:rsidR="0068004E">
              <w:rPr>
                <w:webHidden/>
              </w:rPr>
              <w:tab/>
            </w:r>
            <w:r w:rsidR="0068004E">
              <w:rPr>
                <w:webHidden/>
              </w:rPr>
              <w:fldChar w:fldCharType="begin"/>
            </w:r>
            <w:r w:rsidR="0068004E">
              <w:rPr>
                <w:webHidden/>
              </w:rPr>
              <w:instrText xml:space="preserve"> PAGEREF _Toc4147454 \h </w:instrText>
            </w:r>
            <w:r w:rsidR="0068004E">
              <w:rPr>
                <w:webHidden/>
              </w:rPr>
            </w:r>
            <w:r w:rsidR="0068004E">
              <w:rPr>
                <w:webHidden/>
              </w:rPr>
              <w:fldChar w:fldCharType="separate"/>
            </w:r>
            <w:r w:rsidR="00FE4A83">
              <w:rPr>
                <w:webHidden/>
              </w:rPr>
              <w:t>18</w:t>
            </w:r>
            <w:r w:rsidR="0068004E">
              <w:rPr>
                <w:webHidden/>
              </w:rPr>
              <w:fldChar w:fldCharType="end"/>
            </w:r>
          </w:hyperlink>
        </w:p>
        <w:p w14:paraId="1EA42C3A" w14:textId="77777777" w:rsidR="0068004E" w:rsidRDefault="00B21987">
          <w:pPr>
            <w:pStyle w:val="TOC1"/>
            <w:rPr>
              <w:rFonts w:asciiTheme="minorHAnsi" w:hAnsiTheme="minorHAnsi"/>
              <w:sz w:val="22"/>
              <w:lang w:eastAsia="en-GB"/>
            </w:rPr>
          </w:pPr>
          <w:hyperlink w:anchor="_Toc4147455" w:history="1">
            <w:r w:rsidR="0068004E" w:rsidRPr="00042D67">
              <w:rPr>
                <w:rStyle w:val="Hyperlink"/>
              </w:rPr>
              <w:t>APPENDIX 2: CONDITIONS OF CONTRACT (Pharmacies)</w:t>
            </w:r>
            <w:r w:rsidR="0068004E">
              <w:rPr>
                <w:webHidden/>
              </w:rPr>
              <w:tab/>
            </w:r>
            <w:r w:rsidR="0068004E">
              <w:rPr>
                <w:webHidden/>
              </w:rPr>
              <w:fldChar w:fldCharType="begin"/>
            </w:r>
            <w:r w:rsidR="0068004E">
              <w:rPr>
                <w:webHidden/>
              </w:rPr>
              <w:instrText xml:space="preserve"> PAGEREF _Toc4147455 \h </w:instrText>
            </w:r>
            <w:r w:rsidR="0068004E">
              <w:rPr>
                <w:webHidden/>
              </w:rPr>
            </w:r>
            <w:r w:rsidR="0068004E">
              <w:rPr>
                <w:webHidden/>
              </w:rPr>
              <w:fldChar w:fldCharType="separate"/>
            </w:r>
            <w:r w:rsidR="00FE4A83">
              <w:rPr>
                <w:webHidden/>
              </w:rPr>
              <w:t>18</w:t>
            </w:r>
            <w:r w:rsidR="0068004E">
              <w:rPr>
                <w:webHidden/>
              </w:rPr>
              <w:fldChar w:fldCharType="end"/>
            </w:r>
          </w:hyperlink>
        </w:p>
        <w:p w14:paraId="75517139" w14:textId="77777777" w:rsidR="00EC10CF" w:rsidRDefault="00EE49EE">
          <w:pPr>
            <w:rPr>
              <w:b/>
              <w:bCs/>
              <w:noProof/>
            </w:rPr>
          </w:pPr>
          <w:r>
            <w:rPr>
              <w:b/>
              <w:bCs/>
              <w:noProof/>
            </w:rPr>
            <w:fldChar w:fldCharType="end"/>
          </w:r>
        </w:p>
        <w:p w14:paraId="50719523" w14:textId="77777777" w:rsidR="00B25C30" w:rsidRDefault="00B21987">
          <w:pPr>
            <w:rPr>
              <w:noProof/>
            </w:rPr>
          </w:pPr>
        </w:p>
      </w:sdtContent>
    </w:sdt>
    <w:p w14:paraId="5854115C" w14:textId="66612FB6" w:rsidR="00023C8A" w:rsidRDefault="00023C8A" w:rsidP="003D3A15">
      <w:pPr>
        <w:pStyle w:val="AHeading1"/>
        <w:numPr>
          <w:ilvl w:val="0"/>
          <w:numId w:val="0"/>
        </w:numPr>
        <w:ind w:firstLine="720"/>
      </w:pPr>
    </w:p>
    <w:p w14:paraId="3970459D" w14:textId="232B727A" w:rsidR="00C46D75" w:rsidRDefault="00C46D75" w:rsidP="003D3A15">
      <w:pPr>
        <w:pStyle w:val="AHeading1"/>
        <w:numPr>
          <w:ilvl w:val="0"/>
          <w:numId w:val="0"/>
        </w:numPr>
        <w:ind w:firstLine="720"/>
      </w:pPr>
    </w:p>
    <w:p w14:paraId="54D36F03" w14:textId="77777777" w:rsidR="00C46D75" w:rsidRDefault="00C46D75" w:rsidP="003D3A15">
      <w:pPr>
        <w:pStyle w:val="AHeading1"/>
        <w:numPr>
          <w:ilvl w:val="0"/>
          <w:numId w:val="0"/>
        </w:numPr>
        <w:ind w:firstLine="720"/>
      </w:pPr>
    </w:p>
    <w:p w14:paraId="598EEC64" w14:textId="77777777" w:rsidR="00811745" w:rsidRDefault="00811745" w:rsidP="003D3A15">
      <w:pPr>
        <w:pStyle w:val="AHeading1"/>
        <w:numPr>
          <w:ilvl w:val="0"/>
          <w:numId w:val="0"/>
        </w:numPr>
        <w:ind w:firstLine="720"/>
      </w:pPr>
    </w:p>
    <w:p w14:paraId="7B2C3474" w14:textId="77777777" w:rsidR="003D3A15" w:rsidRDefault="003D3A15" w:rsidP="003D3A15">
      <w:pPr>
        <w:pStyle w:val="AHeading1"/>
        <w:numPr>
          <w:ilvl w:val="0"/>
          <w:numId w:val="0"/>
        </w:numPr>
        <w:ind w:firstLine="720"/>
      </w:pPr>
      <w:bookmarkStart w:id="0" w:name="_Toc4147431"/>
      <w:r>
        <w:lastRenderedPageBreak/>
        <w:t>APPENDICES</w:t>
      </w:r>
      <w:bookmarkEnd w:id="0"/>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4374"/>
        <w:gridCol w:w="2485"/>
      </w:tblGrid>
      <w:tr w:rsidR="000472D1" w14:paraId="138E5216" w14:textId="77777777" w:rsidTr="0037070B">
        <w:tc>
          <w:tcPr>
            <w:tcW w:w="0" w:type="auto"/>
          </w:tcPr>
          <w:p w14:paraId="499FC5A8" w14:textId="09F63DA7" w:rsidR="000472D1" w:rsidRDefault="000472D1" w:rsidP="000472D1">
            <w:r w:rsidRPr="00796821">
              <w:rPr>
                <w:rStyle w:val="Strong"/>
              </w:rPr>
              <w:t>Appendix Number</w:t>
            </w:r>
          </w:p>
        </w:tc>
        <w:tc>
          <w:tcPr>
            <w:tcW w:w="4374" w:type="dxa"/>
          </w:tcPr>
          <w:p w14:paraId="116E8A16" w14:textId="46A7F068" w:rsidR="000472D1" w:rsidRDefault="000472D1" w:rsidP="000472D1">
            <w:r w:rsidRPr="00796821">
              <w:rPr>
                <w:rStyle w:val="Strong"/>
              </w:rPr>
              <w:t>Document Name</w:t>
            </w:r>
          </w:p>
        </w:tc>
        <w:tc>
          <w:tcPr>
            <w:tcW w:w="2485" w:type="dxa"/>
          </w:tcPr>
          <w:p w14:paraId="58B42F7A" w14:textId="33BE9D39" w:rsidR="000472D1" w:rsidRDefault="000472D1" w:rsidP="000472D1">
            <w:r w:rsidRPr="00796821">
              <w:rPr>
                <w:rStyle w:val="Strong"/>
              </w:rPr>
              <w:t>Document Location</w:t>
            </w:r>
          </w:p>
        </w:tc>
      </w:tr>
      <w:tr w:rsidR="000472D1" w14:paraId="5EF5F09A" w14:textId="77777777" w:rsidTr="0037070B">
        <w:tc>
          <w:tcPr>
            <w:tcW w:w="0" w:type="auto"/>
          </w:tcPr>
          <w:p w14:paraId="55EFC5A5" w14:textId="7C03CABF" w:rsidR="000472D1" w:rsidRDefault="00773EC7" w:rsidP="000472D1">
            <w:r>
              <w:t>1</w:t>
            </w:r>
          </w:p>
        </w:tc>
        <w:tc>
          <w:tcPr>
            <w:tcW w:w="4374" w:type="dxa"/>
          </w:tcPr>
          <w:p w14:paraId="6A7E38DC" w14:textId="6FD0B34D" w:rsidR="000472D1" w:rsidRDefault="00553E5E" w:rsidP="000472D1">
            <w:r w:rsidRPr="00553E5E">
              <w:t>DPS GP Terms and Conditions</w:t>
            </w:r>
          </w:p>
        </w:tc>
        <w:tc>
          <w:tcPr>
            <w:tcW w:w="2485" w:type="dxa"/>
          </w:tcPr>
          <w:p w14:paraId="07583BAC" w14:textId="61DF84B8" w:rsidR="000472D1" w:rsidRPr="0037070B" w:rsidRDefault="000472D1" w:rsidP="000472D1">
            <w:proofErr w:type="spellStart"/>
            <w:r w:rsidRPr="0037070B">
              <w:t>eSourcing</w:t>
            </w:r>
            <w:proofErr w:type="spellEnd"/>
            <w:r w:rsidRPr="0037070B">
              <w:t xml:space="preserve"> Portal</w:t>
            </w:r>
          </w:p>
        </w:tc>
      </w:tr>
      <w:tr w:rsidR="0037070B" w14:paraId="65A84952" w14:textId="77777777" w:rsidTr="0037070B">
        <w:tc>
          <w:tcPr>
            <w:tcW w:w="0" w:type="auto"/>
          </w:tcPr>
          <w:p w14:paraId="1C1C29DA" w14:textId="3885FB85" w:rsidR="0037070B" w:rsidRDefault="0037070B" w:rsidP="0037070B">
            <w:r>
              <w:t>2</w:t>
            </w:r>
          </w:p>
        </w:tc>
        <w:tc>
          <w:tcPr>
            <w:tcW w:w="4374" w:type="dxa"/>
          </w:tcPr>
          <w:p w14:paraId="7F7E44DE" w14:textId="0C0053B7" w:rsidR="0037070B" w:rsidRDefault="001E265B" w:rsidP="001E265B">
            <w:pPr>
              <w:jc w:val="left"/>
            </w:pPr>
            <w:r w:rsidRPr="001E265B">
              <w:t>DPS Pharmacy Services Terms and Conditions</w:t>
            </w:r>
          </w:p>
        </w:tc>
        <w:tc>
          <w:tcPr>
            <w:tcW w:w="2485" w:type="dxa"/>
          </w:tcPr>
          <w:p w14:paraId="2A24ED17" w14:textId="56F37403" w:rsidR="0037070B" w:rsidRDefault="0037070B" w:rsidP="0037070B">
            <w:proofErr w:type="spellStart"/>
            <w:r w:rsidRPr="0002432D">
              <w:t>eSourcing</w:t>
            </w:r>
            <w:proofErr w:type="spellEnd"/>
            <w:r w:rsidRPr="0002432D">
              <w:t xml:space="preserve"> Portal</w:t>
            </w:r>
          </w:p>
        </w:tc>
      </w:tr>
      <w:tr w:rsidR="0037070B" w14:paraId="2D0D1541" w14:textId="77777777" w:rsidTr="0037070B">
        <w:tc>
          <w:tcPr>
            <w:tcW w:w="0" w:type="auto"/>
          </w:tcPr>
          <w:p w14:paraId="0411B0F3" w14:textId="75632E5B" w:rsidR="0037070B" w:rsidRDefault="0037070B" w:rsidP="0037070B">
            <w:r>
              <w:t>3</w:t>
            </w:r>
          </w:p>
        </w:tc>
        <w:tc>
          <w:tcPr>
            <w:tcW w:w="4374" w:type="dxa"/>
          </w:tcPr>
          <w:p w14:paraId="35BE0BCE" w14:textId="1D2C3B41" w:rsidR="0037070B" w:rsidRDefault="0037070B" w:rsidP="0037070B">
            <w:r w:rsidRPr="0037070B">
              <w:t>LARC Application</w:t>
            </w:r>
          </w:p>
        </w:tc>
        <w:tc>
          <w:tcPr>
            <w:tcW w:w="2485" w:type="dxa"/>
          </w:tcPr>
          <w:p w14:paraId="56D7BA26" w14:textId="54B689E1" w:rsidR="0037070B" w:rsidRDefault="0037070B" w:rsidP="0037070B">
            <w:proofErr w:type="spellStart"/>
            <w:r w:rsidRPr="0002432D">
              <w:t>eSourcing</w:t>
            </w:r>
            <w:proofErr w:type="spellEnd"/>
            <w:r w:rsidRPr="0002432D">
              <w:t xml:space="preserve"> Portal</w:t>
            </w:r>
          </w:p>
        </w:tc>
      </w:tr>
      <w:tr w:rsidR="0037070B" w14:paraId="6CBD5C7F" w14:textId="77777777" w:rsidTr="0037070B">
        <w:tc>
          <w:tcPr>
            <w:tcW w:w="0" w:type="auto"/>
          </w:tcPr>
          <w:p w14:paraId="57A5A6AF" w14:textId="78F648A0" w:rsidR="0037070B" w:rsidRDefault="0037070B" w:rsidP="0037070B">
            <w:r>
              <w:t>4</w:t>
            </w:r>
          </w:p>
        </w:tc>
        <w:tc>
          <w:tcPr>
            <w:tcW w:w="4374" w:type="dxa"/>
          </w:tcPr>
          <w:p w14:paraId="08F87247" w14:textId="71E6D22C" w:rsidR="0037070B" w:rsidRPr="0037070B" w:rsidRDefault="0037070B" w:rsidP="0037070B">
            <w:r w:rsidRPr="0037070B">
              <w:t>Lot 1 GP Chlamydia Screening</w:t>
            </w:r>
          </w:p>
        </w:tc>
        <w:tc>
          <w:tcPr>
            <w:tcW w:w="2485" w:type="dxa"/>
          </w:tcPr>
          <w:p w14:paraId="3E44B415" w14:textId="79D46110" w:rsidR="0037070B" w:rsidRPr="00796821" w:rsidRDefault="0037070B" w:rsidP="0037070B">
            <w:pPr>
              <w:rPr>
                <w:highlight w:val="red"/>
              </w:rPr>
            </w:pPr>
            <w:proofErr w:type="spellStart"/>
            <w:r w:rsidRPr="0002432D">
              <w:t>eSourcing</w:t>
            </w:r>
            <w:proofErr w:type="spellEnd"/>
            <w:r w:rsidRPr="0002432D">
              <w:t xml:space="preserve"> Portal</w:t>
            </w:r>
          </w:p>
        </w:tc>
      </w:tr>
      <w:tr w:rsidR="0037070B" w14:paraId="0ACFF83F" w14:textId="77777777" w:rsidTr="0037070B">
        <w:tc>
          <w:tcPr>
            <w:tcW w:w="0" w:type="auto"/>
          </w:tcPr>
          <w:p w14:paraId="3792704B" w14:textId="1B4D0DCD" w:rsidR="0037070B" w:rsidRDefault="0037070B" w:rsidP="0037070B">
            <w:r>
              <w:t>5</w:t>
            </w:r>
          </w:p>
        </w:tc>
        <w:tc>
          <w:tcPr>
            <w:tcW w:w="4374" w:type="dxa"/>
          </w:tcPr>
          <w:p w14:paraId="07EAC657" w14:textId="1BB45195" w:rsidR="0037070B" w:rsidRPr="0037070B" w:rsidRDefault="0037070B" w:rsidP="0037070B">
            <w:pPr>
              <w:jc w:val="left"/>
            </w:pPr>
            <w:r w:rsidRPr="0037070B">
              <w:t>Lot 2 GP Long Acting Reversible Contraception (LARC)</w:t>
            </w:r>
          </w:p>
        </w:tc>
        <w:tc>
          <w:tcPr>
            <w:tcW w:w="2485" w:type="dxa"/>
          </w:tcPr>
          <w:p w14:paraId="54C7A9F5" w14:textId="639CAB54" w:rsidR="0037070B" w:rsidRPr="00796821" w:rsidRDefault="0037070B" w:rsidP="0037070B">
            <w:pPr>
              <w:rPr>
                <w:highlight w:val="red"/>
              </w:rPr>
            </w:pPr>
            <w:proofErr w:type="spellStart"/>
            <w:r w:rsidRPr="0002432D">
              <w:t>eSourcing</w:t>
            </w:r>
            <w:proofErr w:type="spellEnd"/>
            <w:r w:rsidRPr="0002432D">
              <w:t xml:space="preserve"> Portal</w:t>
            </w:r>
          </w:p>
        </w:tc>
      </w:tr>
      <w:tr w:rsidR="0037070B" w14:paraId="5B20D7D9" w14:textId="77777777" w:rsidTr="0037070B">
        <w:tc>
          <w:tcPr>
            <w:tcW w:w="0" w:type="auto"/>
          </w:tcPr>
          <w:p w14:paraId="67732D00" w14:textId="761725B2" w:rsidR="0037070B" w:rsidRDefault="0037070B" w:rsidP="0037070B">
            <w:r>
              <w:t>6</w:t>
            </w:r>
          </w:p>
        </w:tc>
        <w:tc>
          <w:tcPr>
            <w:tcW w:w="4374" w:type="dxa"/>
          </w:tcPr>
          <w:p w14:paraId="489247F8" w14:textId="31CE567B" w:rsidR="0037070B" w:rsidRPr="0037070B" w:rsidRDefault="0037070B" w:rsidP="0037070B">
            <w:r w:rsidRPr="0037070B">
              <w:t>Lot 3 GP Smoking Cessation</w:t>
            </w:r>
          </w:p>
        </w:tc>
        <w:tc>
          <w:tcPr>
            <w:tcW w:w="2485" w:type="dxa"/>
          </w:tcPr>
          <w:p w14:paraId="2EDFCF4F" w14:textId="0C65B3EC" w:rsidR="0037070B" w:rsidRPr="00796821" w:rsidRDefault="0037070B" w:rsidP="0037070B">
            <w:pPr>
              <w:rPr>
                <w:highlight w:val="red"/>
              </w:rPr>
            </w:pPr>
            <w:proofErr w:type="spellStart"/>
            <w:r w:rsidRPr="0002432D">
              <w:t>eSourcing</w:t>
            </w:r>
            <w:proofErr w:type="spellEnd"/>
            <w:r w:rsidRPr="0002432D">
              <w:t xml:space="preserve"> Portal</w:t>
            </w:r>
          </w:p>
        </w:tc>
      </w:tr>
      <w:tr w:rsidR="0037070B" w14:paraId="5DF75ACC" w14:textId="77777777" w:rsidTr="0037070B">
        <w:tc>
          <w:tcPr>
            <w:tcW w:w="0" w:type="auto"/>
          </w:tcPr>
          <w:p w14:paraId="16058AFB" w14:textId="710E0EA7" w:rsidR="0037070B" w:rsidRDefault="0037070B" w:rsidP="0037070B">
            <w:r>
              <w:t>7</w:t>
            </w:r>
          </w:p>
        </w:tc>
        <w:tc>
          <w:tcPr>
            <w:tcW w:w="4374" w:type="dxa"/>
          </w:tcPr>
          <w:p w14:paraId="6DB18F48" w14:textId="72A932E2" w:rsidR="0037070B" w:rsidRPr="0037070B" w:rsidRDefault="0037070B" w:rsidP="0037070B">
            <w:r w:rsidRPr="0037070B">
              <w:t>Lot 4 GP NHS Health Checks</w:t>
            </w:r>
          </w:p>
        </w:tc>
        <w:tc>
          <w:tcPr>
            <w:tcW w:w="2485" w:type="dxa"/>
          </w:tcPr>
          <w:p w14:paraId="4FD29DAA" w14:textId="34B4289F" w:rsidR="0037070B" w:rsidRPr="00796821" w:rsidRDefault="0037070B" w:rsidP="0037070B">
            <w:pPr>
              <w:rPr>
                <w:highlight w:val="red"/>
              </w:rPr>
            </w:pPr>
            <w:proofErr w:type="spellStart"/>
            <w:r w:rsidRPr="0002432D">
              <w:t>eSourcing</w:t>
            </w:r>
            <w:proofErr w:type="spellEnd"/>
            <w:r w:rsidRPr="0002432D">
              <w:t xml:space="preserve"> Portal</w:t>
            </w:r>
          </w:p>
        </w:tc>
      </w:tr>
      <w:tr w:rsidR="001E265B" w14:paraId="25620A93" w14:textId="77777777" w:rsidTr="0037070B">
        <w:tc>
          <w:tcPr>
            <w:tcW w:w="0" w:type="auto"/>
          </w:tcPr>
          <w:p w14:paraId="3B9929BC" w14:textId="72C4D2B0" w:rsidR="001E265B" w:rsidRDefault="001E265B" w:rsidP="001E265B">
            <w:r>
              <w:t>8</w:t>
            </w:r>
          </w:p>
        </w:tc>
        <w:tc>
          <w:tcPr>
            <w:tcW w:w="4374" w:type="dxa"/>
          </w:tcPr>
          <w:p w14:paraId="7DE2EC68" w14:textId="3EDE8F4D" w:rsidR="001E265B" w:rsidRPr="0037070B" w:rsidRDefault="001E265B" w:rsidP="001E265B">
            <w:pPr>
              <w:jc w:val="left"/>
            </w:pPr>
            <w:r w:rsidRPr="001E265B">
              <w:t>Lot 1 Pharmacy Chlamydia Screening and Treatment</w:t>
            </w:r>
          </w:p>
        </w:tc>
        <w:tc>
          <w:tcPr>
            <w:tcW w:w="2485" w:type="dxa"/>
          </w:tcPr>
          <w:p w14:paraId="05944D31" w14:textId="7E8724F7" w:rsidR="001E265B" w:rsidRPr="0002432D" w:rsidRDefault="001E265B" w:rsidP="001E265B">
            <w:proofErr w:type="spellStart"/>
            <w:r w:rsidRPr="00D42667">
              <w:t>eSourcing</w:t>
            </w:r>
            <w:proofErr w:type="spellEnd"/>
            <w:r w:rsidRPr="00D42667">
              <w:t xml:space="preserve"> Portal</w:t>
            </w:r>
          </w:p>
        </w:tc>
      </w:tr>
      <w:tr w:rsidR="001E265B" w14:paraId="163908A9" w14:textId="77777777" w:rsidTr="0037070B">
        <w:tc>
          <w:tcPr>
            <w:tcW w:w="0" w:type="auto"/>
          </w:tcPr>
          <w:p w14:paraId="3D3C5E9A" w14:textId="03D3A280" w:rsidR="001E265B" w:rsidRDefault="001E265B" w:rsidP="001E265B">
            <w:r>
              <w:t>9</w:t>
            </w:r>
          </w:p>
        </w:tc>
        <w:tc>
          <w:tcPr>
            <w:tcW w:w="4374" w:type="dxa"/>
          </w:tcPr>
          <w:p w14:paraId="5006126F" w14:textId="09C84085" w:rsidR="001E265B" w:rsidRPr="0037070B" w:rsidRDefault="001E265B" w:rsidP="001E265B">
            <w:pPr>
              <w:jc w:val="left"/>
            </w:pPr>
            <w:r w:rsidRPr="001E265B">
              <w:t>Lot 2 Pharmacy Emergency Hormonal Contraception</w:t>
            </w:r>
          </w:p>
        </w:tc>
        <w:tc>
          <w:tcPr>
            <w:tcW w:w="2485" w:type="dxa"/>
          </w:tcPr>
          <w:p w14:paraId="13FE1A06" w14:textId="21A20354" w:rsidR="001E265B" w:rsidRPr="0002432D" w:rsidRDefault="001E265B" w:rsidP="001E265B">
            <w:proofErr w:type="spellStart"/>
            <w:r w:rsidRPr="00D42667">
              <w:t>eSourcing</w:t>
            </w:r>
            <w:proofErr w:type="spellEnd"/>
            <w:r w:rsidRPr="00D42667">
              <w:t xml:space="preserve"> Portal</w:t>
            </w:r>
          </w:p>
        </w:tc>
      </w:tr>
      <w:tr w:rsidR="001E265B" w14:paraId="3875C418" w14:textId="77777777" w:rsidTr="0037070B">
        <w:tc>
          <w:tcPr>
            <w:tcW w:w="0" w:type="auto"/>
          </w:tcPr>
          <w:p w14:paraId="250E02E1" w14:textId="690DC604" w:rsidR="001E265B" w:rsidRDefault="001E265B" w:rsidP="001E265B">
            <w:r>
              <w:t>10</w:t>
            </w:r>
          </w:p>
        </w:tc>
        <w:tc>
          <w:tcPr>
            <w:tcW w:w="4374" w:type="dxa"/>
          </w:tcPr>
          <w:p w14:paraId="25913028" w14:textId="4A44B443" w:rsidR="001E265B" w:rsidRPr="0037070B" w:rsidRDefault="001E265B" w:rsidP="001E265B">
            <w:r w:rsidRPr="001E265B">
              <w:t>Lot 3 Pharmacy Smoking Cessation</w:t>
            </w:r>
          </w:p>
        </w:tc>
        <w:tc>
          <w:tcPr>
            <w:tcW w:w="2485" w:type="dxa"/>
          </w:tcPr>
          <w:p w14:paraId="4DF12DC5" w14:textId="5F66810F" w:rsidR="001E265B" w:rsidRPr="0002432D" w:rsidRDefault="001E265B" w:rsidP="001E265B">
            <w:proofErr w:type="spellStart"/>
            <w:r w:rsidRPr="00D42667">
              <w:t>eSourcing</w:t>
            </w:r>
            <w:proofErr w:type="spellEnd"/>
            <w:r w:rsidRPr="00D42667">
              <w:t xml:space="preserve"> Portal</w:t>
            </w:r>
          </w:p>
        </w:tc>
      </w:tr>
      <w:tr w:rsidR="001E265B" w14:paraId="20A4F12B" w14:textId="77777777" w:rsidTr="0037070B">
        <w:tc>
          <w:tcPr>
            <w:tcW w:w="0" w:type="auto"/>
          </w:tcPr>
          <w:p w14:paraId="18F0AB48" w14:textId="50726629" w:rsidR="001E265B" w:rsidRDefault="001E265B" w:rsidP="001E265B">
            <w:r>
              <w:t>11</w:t>
            </w:r>
          </w:p>
        </w:tc>
        <w:tc>
          <w:tcPr>
            <w:tcW w:w="4374" w:type="dxa"/>
          </w:tcPr>
          <w:p w14:paraId="63E7A579" w14:textId="5CEB11F0" w:rsidR="001E265B" w:rsidRPr="0037070B" w:rsidRDefault="001E265B" w:rsidP="001E265B">
            <w:r w:rsidRPr="001E265B">
              <w:t>Lot 4 Pharmacy NRT Voucher Scheme</w:t>
            </w:r>
          </w:p>
        </w:tc>
        <w:tc>
          <w:tcPr>
            <w:tcW w:w="2485" w:type="dxa"/>
          </w:tcPr>
          <w:p w14:paraId="48C3F543" w14:textId="7A720A97" w:rsidR="001E265B" w:rsidRPr="0002432D" w:rsidRDefault="001E265B" w:rsidP="001E265B">
            <w:proofErr w:type="spellStart"/>
            <w:r w:rsidRPr="00D42667">
              <w:t>eSourcing</w:t>
            </w:r>
            <w:proofErr w:type="spellEnd"/>
            <w:r w:rsidRPr="00D42667">
              <w:t xml:space="preserve"> Portal</w:t>
            </w:r>
          </w:p>
        </w:tc>
      </w:tr>
    </w:tbl>
    <w:p w14:paraId="79FC7363" w14:textId="77777777" w:rsidR="000472D1" w:rsidRDefault="000472D1" w:rsidP="000472D1"/>
    <w:p w14:paraId="5AE2F841" w14:textId="77777777" w:rsidR="001864A2" w:rsidRDefault="001864A2" w:rsidP="000472D1"/>
    <w:p w14:paraId="4FDB499A" w14:textId="77777777" w:rsidR="004B29B4" w:rsidRDefault="00D300D9" w:rsidP="00D300D9">
      <w:pPr>
        <w:pStyle w:val="AHeading1"/>
      </w:pPr>
      <w:bookmarkStart w:id="1" w:name="_Toc4147432"/>
      <w:r>
        <w:t>INTRODUCTION</w:t>
      </w:r>
      <w:bookmarkEnd w:id="1"/>
    </w:p>
    <w:p w14:paraId="2AA3776E" w14:textId="7E1AF1D3" w:rsidR="009B75EA" w:rsidRPr="004F458A" w:rsidRDefault="009B75EA" w:rsidP="002876C8">
      <w:pPr>
        <w:pStyle w:val="AHeading2"/>
      </w:pPr>
      <w:bookmarkStart w:id="2" w:name="_Toc4147433"/>
      <w:r w:rsidRPr="00D300D9">
        <w:t>GENERAL</w:t>
      </w:r>
      <w:r w:rsidRPr="004B29B4">
        <w:t xml:space="preserve"> </w:t>
      </w:r>
      <w:r w:rsidR="00427415" w:rsidRPr="004F458A">
        <w:t>INFORMATION</w:t>
      </w:r>
      <w:bookmarkEnd w:id="2"/>
    </w:p>
    <w:p w14:paraId="5C2992AC" w14:textId="730C28D0" w:rsidR="009B75EA" w:rsidRPr="004F458A" w:rsidRDefault="009B75EA" w:rsidP="00F62839">
      <w:pPr>
        <w:pStyle w:val="ANumberedText"/>
      </w:pPr>
      <w:r w:rsidRPr="004F458A">
        <w:t>Cambridgeshire County Council</w:t>
      </w:r>
      <w:r w:rsidR="00C356C4" w:rsidRPr="004F458A">
        <w:t xml:space="preserve"> </w:t>
      </w:r>
      <w:r w:rsidR="00D300D9" w:rsidRPr="004F458A">
        <w:t>(</w:t>
      </w:r>
      <w:r w:rsidR="00C356C4" w:rsidRPr="004F458A">
        <w:t>CCC</w:t>
      </w:r>
      <w:r w:rsidR="00D300D9" w:rsidRPr="004F458A">
        <w:t>)</w:t>
      </w:r>
      <w:r w:rsidR="00C356C4" w:rsidRPr="004F458A">
        <w:t xml:space="preserve"> (T</w:t>
      </w:r>
      <w:r w:rsidRPr="004F458A">
        <w:t xml:space="preserve">he “Authority”) wishes to invite </w:t>
      </w:r>
      <w:r w:rsidR="00670484" w:rsidRPr="004F458A">
        <w:t>Application</w:t>
      </w:r>
      <w:r w:rsidRPr="004F458A">
        <w:t xml:space="preserve">s for the supply of </w:t>
      </w:r>
      <w:r w:rsidR="00670484" w:rsidRPr="004F458A">
        <w:t>Services</w:t>
      </w:r>
      <w:r w:rsidRPr="004F458A">
        <w:t xml:space="preserve"> in respect of </w:t>
      </w:r>
      <w:proofErr w:type="gramStart"/>
      <w:r w:rsidR="00670484" w:rsidRPr="004F458A">
        <w:t>a number of</w:t>
      </w:r>
      <w:proofErr w:type="gramEnd"/>
      <w:r w:rsidR="00670484" w:rsidRPr="004F458A">
        <w:t xml:space="preserve"> Public Health Primary Care Services</w:t>
      </w:r>
      <w:r w:rsidRPr="004F458A">
        <w:t xml:space="preserve">. The successful </w:t>
      </w:r>
      <w:r w:rsidR="00DF041F" w:rsidRPr="004F458A">
        <w:t>Potential Provider</w:t>
      </w:r>
      <w:r w:rsidRPr="004F458A">
        <w:t xml:space="preserve">(s) will be responsible for </w:t>
      </w:r>
      <w:r w:rsidR="004F458A" w:rsidRPr="004F458A">
        <w:t>providing these</w:t>
      </w:r>
      <w:r w:rsidRPr="004F458A">
        <w:t xml:space="preserve"> service</w:t>
      </w:r>
      <w:r w:rsidR="004F458A" w:rsidRPr="004F458A">
        <w:t>s</w:t>
      </w:r>
      <w:r w:rsidRPr="004F458A">
        <w:t xml:space="preserve"> and liaising closely with the </w:t>
      </w:r>
      <w:r w:rsidR="00862316" w:rsidRPr="004F458A">
        <w:t>Contract Manager identified by t</w:t>
      </w:r>
      <w:r w:rsidRPr="004F458A">
        <w:t>he Authority.</w:t>
      </w:r>
    </w:p>
    <w:p w14:paraId="41ECB6E9" w14:textId="771A76B2" w:rsidR="009B75EA" w:rsidRPr="004F458A" w:rsidRDefault="004F458A" w:rsidP="00F62839">
      <w:pPr>
        <w:pStyle w:val="ANumberedText"/>
      </w:pPr>
      <w:r w:rsidRPr="004F458A">
        <w:t>This process is being run as a Light Touch Dynamic Purchasing System (DPS).</w:t>
      </w:r>
    </w:p>
    <w:p w14:paraId="3131EE19" w14:textId="553BE38E" w:rsidR="009B75EA" w:rsidRPr="004F458A" w:rsidRDefault="009B75EA" w:rsidP="00F62839">
      <w:pPr>
        <w:pStyle w:val="ANumberedText"/>
      </w:pPr>
      <w:r w:rsidRPr="004F458A">
        <w:t>The Authority’s detailed requirements ar</w:t>
      </w:r>
      <w:r w:rsidR="0072748F" w:rsidRPr="004F458A">
        <w:t xml:space="preserve">e </w:t>
      </w:r>
      <w:r w:rsidR="00B027CE" w:rsidRPr="004F458A">
        <w:t xml:space="preserve">defined in the </w:t>
      </w:r>
      <w:r w:rsidR="00261888" w:rsidRPr="004F458A">
        <w:t>Specification</w:t>
      </w:r>
      <w:r w:rsidR="004F458A" w:rsidRPr="004F458A">
        <w:t>s (separate document for each Lot)</w:t>
      </w:r>
      <w:r w:rsidR="00261888" w:rsidRPr="004F458A">
        <w:t>.</w:t>
      </w:r>
    </w:p>
    <w:p w14:paraId="63880CAC" w14:textId="77777777" w:rsidR="00D16D6D" w:rsidRPr="004F458A" w:rsidRDefault="00D16D6D" w:rsidP="00F62839">
      <w:pPr>
        <w:pStyle w:val="ANumberedText"/>
      </w:pPr>
      <w:r w:rsidRPr="004F458A">
        <w:t xml:space="preserve">The Authority is utilising an electronic tendering tool to manage this procurement process and communicate with Potential Providers. </w:t>
      </w:r>
    </w:p>
    <w:p w14:paraId="755B0948" w14:textId="4D48888B" w:rsidR="00D16D6D" w:rsidRPr="00A0216F" w:rsidRDefault="00D16D6D" w:rsidP="00A0216F">
      <w:pPr>
        <w:pStyle w:val="AIndentedText"/>
      </w:pPr>
      <w:r w:rsidRPr="00A0216F">
        <w:t xml:space="preserve">There will be no hard copy documents issued to Potential Providers and all communications with The Authority including, submission of Potential Provider responses, will be conducted via The </w:t>
      </w:r>
      <w:r w:rsidR="00501B3B" w:rsidRPr="00A0216F">
        <w:t>Authority’s</w:t>
      </w:r>
      <w:r w:rsidRPr="00A0216F">
        <w:t xml:space="preserve"> ‘Procurement Portal</w:t>
      </w:r>
      <w:r w:rsidR="00D04B16" w:rsidRPr="00A0216F">
        <w:t>’</w:t>
      </w:r>
      <w:r w:rsidRPr="00A0216F">
        <w:t xml:space="preserve"> (</w:t>
      </w:r>
      <w:proofErr w:type="spellStart"/>
      <w:r w:rsidRPr="00A0216F">
        <w:t>ProContract</w:t>
      </w:r>
      <w:proofErr w:type="spellEnd"/>
      <w:r w:rsidRPr="00A0216F">
        <w:t>)</w:t>
      </w:r>
      <w:r w:rsidR="00D04B16" w:rsidRPr="00A0216F">
        <w:t>.</w:t>
      </w:r>
    </w:p>
    <w:p w14:paraId="006D4FD5" w14:textId="4740067B" w:rsidR="00A35DA6" w:rsidRDefault="00A35DA6" w:rsidP="00A35DA6">
      <w:pPr>
        <w:pStyle w:val="AIndentedText"/>
      </w:pPr>
      <w:proofErr w:type="spellStart"/>
      <w:r>
        <w:lastRenderedPageBreak/>
        <w:t>ProContract</w:t>
      </w:r>
      <w:proofErr w:type="spellEnd"/>
      <w:r>
        <w:t xml:space="preserve"> is located at </w:t>
      </w:r>
      <w:hyperlink r:id="rId11" w:history="1">
        <w:r w:rsidRPr="00A35DA6">
          <w:t>https://procontract@due-north.com/Login</w:t>
        </w:r>
      </w:hyperlink>
    </w:p>
    <w:p w14:paraId="44A52ACE" w14:textId="77777777" w:rsidR="00A35DA6" w:rsidRDefault="00A35DA6" w:rsidP="00A35DA6">
      <w:pPr>
        <w:pStyle w:val="AIndentedText"/>
      </w:pPr>
      <w:r>
        <w:t xml:space="preserve">Potential providers who experience technical difficulties when using </w:t>
      </w:r>
      <w:proofErr w:type="spellStart"/>
      <w:r>
        <w:t>ProContract</w:t>
      </w:r>
      <w:proofErr w:type="spellEnd"/>
      <w:r>
        <w:t xml:space="preserve"> should contact the support desk Mon-Fri, 9:00 to 17:30: </w:t>
      </w:r>
    </w:p>
    <w:p w14:paraId="2319CFBF" w14:textId="77777777" w:rsidR="00A35DA6" w:rsidRDefault="00A35DA6" w:rsidP="00A35DA6">
      <w:pPr>
        <w:pStyle w:val="AIndentedText"/>
      </w:pPr>
      <w:r>
        <w:t xml:space="preserve">Tel: 0330 005 0352 </w:t>
      </w:r>
    </w:p>
    <w:p w14:paraId="2B6D2A32" w14:textId="669EF035" w:rsidR="00A35DA6" w:rsidRDefault="00A35DA6" w:rsidP="00A35DA6">
      <w:pPr>
        <w:pStyle w:val="AIndentedText"/>
      </w:pPr>
      <w:r>
        <w:t xml:space="preserve">Email: </w:t>
      </w:r>
      <w:hyperlink r:id="rId12" w:history="1">
        <w:r w:rsidR="001D5EEB" w:rsidRPr="00460256">
          <w:rPr>
            <w:rStyle w:val="Hyperlink"/>
            <w:rFonts w:cstheme="minorBidi"/>
          </w:rPr>
          <w:t>ProContractSuppliers@proactis.com</w:t>
        </w:r>
      </w:hyperlink>
      <w:r w:rsidR="001D5EEB">
        <w:t xml:space="preserve"> </w:t>
      </w:r>
      <w:r>
        <w:t xml:space="preserve"> </w:t>
      </w:r>
    </w:p>
    <w:p w14:paraId="57B608DC" w14:textId="7DB1A49A" w:rsidR="00D300D9" w:rsidRPr="00A0216F" w:rsidRDefault="00A35DA6" w:rsidP="00A35DA6">
      <w:pPr>
        <w:pStyle w:val="AIndentedText"/>
      </w:pPr>
      <w:r>
        <w:t xml:space="preserve"> </w:t>
      </w:r>
      <w:proofErr w:type="gramStart"/>
      <w:r>
        <w:t>Alternatively</w:t>
      </w:r>
      <w:proofErr w:type="gramEnd"/>
      <w:r>
        <w:t xml:space="preserve"> you may use the electronic ticket logging system.</w:t>
      </w:r>
    </w:p>
    <w:p w14:paraId="229F0B56" w14:textId="77777777" w:rsidR="009E0963" w:rsidRPr="00811AE3" w:rsidRDefault="009E0963" w:rsidP="00811AE3"/>
    <w:p w14:paraId="4A82A8D3" w14:textId="77777777" w:rsidR="009B75EA" w:rsidRPr="009B405B" w:rsidRDefault="009B75EA" w:rsidP="002876C8">
      <w:pPr>
        <w:pStyle w:val="AHeading2"/>
      </w:pPr>
      <w:bookmarkStart w:id="3" w:name="_Toc4147435"/>
      <w:r w:rsidRPr="009B405B">
        <w:t>BUDGET AND SCOPE</w:t>
      </w:r>
      <w:bookmarkEnd w:id="3"/>
    </w:p>
    <w:p w14:paraId="29340732" w14:textId="7250B015" w:rsidR="00B220FC" w:rsidRDefault="00B220FC" w:rsidP="00B220FC">
      <w:pPr>
        <w:pStyle w:val="ANumberedText"/>
      </w:pPr>
      <w:r>
        <w:t>This</w:t>
      </w:r>
      <w:r w:rsidRPr="00B220FC">
        <w:t xml:space="preserve"> DPS Agreement is for 4 years (up to </w:t>
      </w:r>
      <w:r w:rsidR="00A5491D">
        <w:t>31</w:t>
      </w:r>
      <w:r w:rsidR="00A5491D" w:rsidRPr="00A5491D">
        <w:rPr>
          <w:vertAlign w:val="superscript"/>
        </w:rPr>
        <w:t>st</w:t>
      </w:r>
      <w:r w:rsidR="00A5491D">
        <w:t xml:space="preserve"> May</w:t>
      </w:r>
      <w:r w:rsidRPr="00B220FC">
        <w:t xml:space="preserve"> 2023) with no option to extend.</w:t>
      </w:r>
    </w:p>
    <w:p w14:paraId="074AC9D5" w14:textId="6ED51F52" w:rsidR="00E507DF" w:rsidRDefault="00E507DF" w:rsidP="00E507DF">
      <w:pPr>
        <w:pStyle w:val="ANumberedText"/>
      </w:pPr>
      <w:r>
        <w:t xml:space="preserve">These </w:t>
      </w:r>
      <w:r w:rsidRPr="00834CBA">
        <w:t xml:space="preserve">services are </w:t>
      </w:r>
      <w:r>
        <w:t xml:space="preserve">to be </w:t>
      </w:r>
      <w:r w:rsidRPr="00834CBA">
        <w:t xml:space="preserve">procured under a multiple-provider </w:t>
      </w:r>
      <w:r>
        <w:t>DPS</w:t>
      </w:r>
      <w:r w:rsidRPr="00834CBA">
        <w:t xml:space="preserve">. There will be no limit to the number of Providers accepted onto the </w:t>
      </w:r>
      <w:r>
        <w:t xml:space="preserve">DPS, providing they meet the </w:t>
      </w:r>
      <w:r w:rsidRPr="00834CBA">
        <w:t xml:space="preserve">criteria (as set out in </w:t>
      </w:r>
      <w:proofErr w:type="gramStart"/>
      <w:r w:rsidRPr="00834CBA">
        <w:t xml:space="preserve">the </w:t>
      </w:r>
      <w:r>
        <w:t>this</w:t>
      </w:r>
      <w:proofErr w:type="gramEnd"/>
      <w:r w:rsidRPr="00834CBA">
        <w:t xml:space="preserve"> d</w:t>
      </w:r>
      <w:r>
        <w:t>ocument and the Specification(s)</w:t>
      </w:r>
      <w:r w:rsidRPr="00834CBA">
        <w:t>).</w:t>
      </w:r>
    </w:p>
    <w:p w14:paraId="5B2DA640" w14:textId="77777777" w:rsidR="00E507DF" w:rsidRDefault="00E507DF" w:rsidP="00E507DF">
      <w:pPr>
        <w:pStyle w:val="ANumberedText"/>
      </w:pPr>
      <w:r w:rsidRPr="00834CBA">
        <w:t xml:space="preserve">New potential Providers will be able to apply to be accepted onto the </w:t>
      </w:r>
      <w:r>
        <w:t xml:space="preserve">DPS at any point during the term of the DPS Agreement, however, please refer to </w:t>
      </w:r>
      <w:proofErr w:type="spellStart"/>
      <w:r>
        <w:t>ProContract</w:t>
      </w:r>
      <w:proofErr w:type="spellEnd"/>
      <w:r>
        <w:t xml:space="preserve"> for details of Round deadlines</w:t>
      </w:r>
      <w:r w:rsidRPr="00834CBA">
        <w:t xml:space="preserve">. </w:t>
      </w:r>
    </w:p>
    <w:p w14:paraId="3682B342" w14:textId="61EAC9C1" w:rsidR="00023C8A" w:rsidRPr="001864A2" w:rsidRDefault="00023C8A" w:rsidP="009632DB">
      <w:pPr>
        <w:pStyle w:val="ANumberedText"/>
      </w:pPr>
      <w:r w:rsidRPr="00F75AAC">
        <w:t xml:space="preserve">It is difficult to predict </w:t>
      </w:r>
      <w:r w:rsidRPr="00E507DF">
        <w:rPr>
          <w:szCs w:val="24"/>
        </w:rPr>
        <w:t>the exact value of this DPS, but it is estimated that DPS value will be as below:</w:t>
      </w:r>
    </w:p>
    <w:p w14:paraId="505AB106" w14:textId="77777777" w:rsidR="001864A2" w:rsidRDefault="001864A2" w:rsidP="001864A2">
      <w:pPr>
        <w:pStyle w:val="AHeading2"/>
        <w:numPr>
          <w:ilvl w:val="0"/>
          <w:numId w:val="0"/>
        </w:numPr>
        <w:ind w:left="851"/>
      </w:pPr>
    </w:p>
    <w:p w14:paraId="061595E1" w14:textId="77777777" w:rsidR="001864A2" w:rsidRPr="00023C8A" w:rsidRDefault="001864A2" w:rsidP="001864A2">
      <w:pPr>
        <w:pStyle w:val="AHeading2"/>
        <w:numPr>
          <w:ilvl w:val="0"/>
          <w:numId w:val="0"/>
        </w:numPr>
        <w:ind w:left="851"/>
      </w:pPr>
    </w:p>
    <w:tbl>
      <w:tblPr>
        <w:tblW w:w="0" w:type="auto"/>
        <w:tblInd w:w="841"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039"/>
        <w:gridCol w:w="2902"/>
        <w:gridCol w:w="2918"/>
      </w:tblGrid>
      <w:tr w:rsidR="00023C8A" w:rsidRPr="00023C8A" w14:paraId="2FA486F2" w14:textId="77777777" w:rsidTr="00023C8A">
        <w:tc>
          <w:tcPr>
            <w:tcW w:w="31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2AB513" w14:textId="0FED5B3C" w:rsidR="00023C8A" w:rsidRPr="00023C8A" w:rsidRDefault="00023C8A" w:rsidP="006434DB">
            <w:pPr>
              <w:pStyle w:val="NormalWeb"/>
              <w:spacing w:before="0" w:beforeAutospacing="0" w:after="0" w:afterAutospacing="0"/>
              <w:rPr>
                <w:rFonts w:ascii="Calibri" w:hAnsi="Calibri"/>
                <w:color w:val="000000"/>
              </w:rPr>
            </w:pPr>
            <w:r w:rsidRPr="00023C8A">
              <w:rPr>
                <w:rFonts w:ascii="Calibri" w:hAnsi="Calibri"/>
                <w:color w:val="000000"/>
                <w:u w:val="single"/>
              </w:rPr>
              <w:t>GP Practices:</w:t>
            </w:r>
          </w:p>
        </w:tc>
        <w:tc>
          <w:tcPr>
            <w:tcW w:w="29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9E3DEE" w14:textId="77777777" w:rsidR="00023C8A" w:rsidRDefault="00023C8A" w:rsidP="00023C8A">
            <w:pPr>
              <w:spacing w:after="0"/>
              <w:jc w:val="left"/>
              <w:rPr>
                <w:rFonts w:eastAsia="Times New Roman" w:cs="Times New Roman"/>
                <w:b/>
                <w:bCs/>
                <w:color w:val="000000"/>
                <w:szCs w:val="24"/>
                <w:lang w:eastAsia="en-GB"/>
              </w:rPr>
            </w:pPr>
            <w:r>
              <w:rPr>
                <w:rFonts w:eastAsia="Times New Roman" w:cs="Times New Roman"/>
                <w:b/>
                <w:bCs/>
                <w:color w:val="000000"/>
                <w:szCs w:val="24"/>
                <w:lang w:eastAsia="en-GB"/>
              </w:rPr>
              <w:t xml:space="preserve">Estimated Annual Value </w:t>
            </w:r>
          </w:p>
          <w:p w14:paraId="0A7152ED" w14:textId="1DCC0310" w:rsidR="00023C8A" w:rsidRPr="00023C8A" w:rsidRDefault="00023C8A" w:rsidP="00023C8A">
            <w:pPr>
              <w:spacing w:after="0"/>
              <w:jc w:val="left"/>
              <w:rPr>
                <w:rFonts w:eastAsia="Times New Roman" w:cs="Times New Roman"/>
                <w:color w:val="000000"/>
                <w:szCs w:val="24"/>
                <w:lang w:eastAsia="en-GB"/>
              </w:rPr>
            </w:pPr>
            <w:r w:rsidRPr="00023C8A">
              <w:rPr>
                <w:rFonts w:eastAsia="Times New Roman" w:cs="Times New Roman"/>
                <w:b/>
                <w:bCs/>
                <w:color w:val="000000"/>
                <w:szCs w:val="24"/>
                <w:lang w:eastAsia="en-GB"/>
              </w:rPr>
              <w:t>All Practices</w:t>
            </w:r>
          </w:p>
        </w:tc>
        <w:tc>
          <w:tcPr>
            <w:tcW w:w="29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ADFE88" w14:textId="77777777" w:rsidR="00023C8A" w:rsidRDefault="00023C8A" w:rsidP="00023C8A">
            <w:pPr>
              <w:spacing w:after="0"/>
              <w:jc w:val="left"/>
              <w:rPr>
                <w:rFonts w:eastAsia="Times New Roman" w:cs="Times New Roman"/>
                <w:b/>
                <w:bCs/>
                <w:color w:val="000000"/>
                <w:szCs w:val="24"/>
                <w:lang w:eastAsia="en-GB"/>
              </w:rPr>
            </w:pPr>
            <w:r>
              <w:rPr>
                <w:rFonts w:eastAsia="Times New Roman" w:cs="Times New Roman"/>
                <w:b/>
                <w:bCs/>
                <w:color w:val="000000"/>
                <w:szCs w:val="24"/>
                <w:lang w:eastAsia="en-GB"/>
              </w:rPr>
              <w:t xml:space="preserve">Estimated TOTAL Value </w:t>
            </w:r>
          </w:p>
          <w:p w14:paraId="38870A57" w14:textId="7DB3AC8B" w:rsidR="00023C8A" w:rsidRPr="00023C8A" w:rsidRDefault="00023C8A" w:rsidP="00023C8A">
            <w:pPr>
              <w:spacing w:after="0"/>
              <w:jc w:val="left"/>
              <w:rPr>
                <w:rFonts w:eastAsia="Times New Roman" w:cs="Times New Roman"/>
                <w:color w:val="000000"/>
                <w:szCs w:val="24"/>
                <w:lang w:eastAsia="en-GB"/>
              </w:rPr>
            </w:pPr>
            <w:r>
              <w:rPr>
                <w:rFonts w:eastAsia="Times New Roman" w:cs="Times New Roman"/>
                <w:b/>
                <w:bCs/>
                <w:color w:val="000000"/>
                <w:szCs w:val="24"/>
                <w:lang w:eastAsia="en-GB"/>
              </w:rPr>
              <w:t>All</w:t>
            </w:r>
            <w:r w:rsidRPr="00023C8A">
              <w:rPr>
                <w:rFonts w:eastAsia="Times New Roman" w:cs="Times New Roman"/>
                <w:b/>
                <w:bCs/>
                <w:color w:val="000000"/>
                <w:szCs w:val="24"/>
                <w:lang w:eastAsia="en-GB"/>
              </w:rPr>
              <w:t xml:space="preserve"> Practices</w:t>
            </w:r>
          </w:p>
        </w:tc>
      </w:tr>
      <w:tr w:rsidR="00023C8A" w:rsidRPr="00023C8A" w14:paraId="5326F226" w14:textId="77777777" w:rsidTr="00023C8A">
        <w:tc>
          <w:tcPr>
            <w:tcW w:w="31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D9B580" w14:textId="260A8C43" w:rsidR="00023C8A" w:rsidRPr="00023C8A" w:rsidRDefault="00023C8A" w:rsidP="00023C8A">
            <w:pPr>
              <w:spacing w:after="0"/>
              <w:jc w:val="left"/>
              <w:rPr>
                <w:rFonts w:eastAsia="Times New Roman" w:cs="Times New Roman"/>
                <w:color w:val="000000"/>
                <w:szCs w:val="24"/>
                <w:lang w:eastAsia="en-GB"/>
              </w:rPr>
            </w:pPr>
            <w:r w:rsidRPr="00023C8A">
              <w:rPr>
                <w:rFonts w:eastAsia="Times New Roman" w:cs="Times New Roman"/>
                <w:b/>
                <w:bCs/>
                <w:color w:val="000000"/>
                <w:szCs w:val="24"/>
                <w:lang w:eastAsia="en-GB"/>
              </w:rPr>
              <w:t>1) Lot 1: Chlamydia Screening</w:t>
            </w:r>
          </w:p>
        </w:tc>
        <w:tc>
          <w:tcPr>
            <w:tcW w:w="29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14C333" w14:textId="77777777" w:rsidR="00023C8A" w:rsidRPr="00023C8A" w:rsidRDefault="00023C8A" w:rsidP="00023C8A">
            <w:pPr>
              <w:spacing w:after="0"/>
              <w:jc w:val="right"/>
              <w:rPr>
                <w:rFonts w:eastAsia="Times New Roman" w:cs="Times New Roman"/>
                <w:color w:val="000000"/>
                <w:szCs w:val="24"/>
                <w:lang w:eastAsia="en-GB"/>
              </w:rPr>
            </w:pPr>
            <w:r w:rsidRPr="00023C8A">
              <w:rPr>
                <w:rFonts w:eastAsia="Times New Roman" w:cs="Times New Roman"/>
                <w:color w:val="000000"/>
                <w:szCs w:val="24"/>
                <w:lang w:eastAsia="en-GB"/>
              </w:rPr>
              <w:t>£12,000</w:t>
            </w:r>
          </w:p>
        </w:tc>
        <w:tc>
          <w:tcPr>
            <w:tcW w:w="29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912AE1" w14:textId="77777777" w:rsidR="00023C8A" w:rsidRPr="00023C8A" w:rsidRDefault="00023C8A" w:rsidP="00023C8A">
            <w:pPr>
              <w:spacing w:after="0"/>
              <w:jc w:val="right"/>
              <w:rPr>
                <w:rFonts w:eastAsia="Times New Roman" w:cs="Times New Roman"/>
                <w:color w:val="000000"/>
                <w:szCs w:val="24"/>
                <w:lang w:eastAsia="en-GB"/>
              </w:rPr>
            </w:pPr>
            <w:r w:rsidRPr="00023C8A">
              <w:rPr>
                <w:rFonts w:eastAsia="Times New Roman" w:cs="Times New Roman"/>
                <w:color w:val="000000"/>
                <w:szCs w:val="24"/>
                <w:lang w:eastAsia="en-GB"/>
              </w:rPr>
              <w:t>£48,000</w:t>
            </w:r>
          </w:p>
        </w:tc>
      </w:tr>
      <w:tr w:rsidR="00023C8A" w:rsidRPr="00023C8A" w14:paraId="4EFED513" w14:textId="77777777" w:rsidTr="00023C8A">
        <w:tc>
          <w:tcPr>
            <w:tcW w:w="31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2471AD" w14:textId="77777777" w:rsidR="00023C8A" w:rsidRPr="00023C8A" w:rsidRDefault="00023C8A" w:rsidP="00023C8A">
            <w:pPr>
              <w:spacing w:after="0"/>
              <w:jc w:val="left"/>
              <w:rPr>
                <w:rFonts w:eastAsia="Times New Roman" w:cs="Times New Roman"/>
                <w:color w:val="000000"/>
                <w:szCs w:val="24"/>
                <w:lang w:eastAsia="en-GB"/>
              </w:rPr>
            </w:pPr>
            <w:r w:rsidRPr="00023C8A">
              <w:rPr>
                <w:rFonts w:eastAsia="Times New Roman" w:cs="Times New Roman"/>
                <w:b/>
                <w:bCs/>
                <w:color w:val="000000"/>
                <w:szCs w:val="24"/>
                <w:lang w:eastAsia="en-GB"/>
              </w:rPr>
              <w:t>2) Lot 2: LARC</w:t>
            </w:r>
          </w:p>
        </w:tc>
        <w:tc>
          <w:tcPr>
            <w:tcW w:w="29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29B378" w14:textId="77777777" w:rsidR="00023C8A" w:rsidRPr="00023C8A" w:rsidRDefault="00023C8A" w:rsidP="00023C8A">
            <w:pPr>
              <w:spacing w:after="0"/>
              <w:jc w:val="right"/>
              <w:rPr>
                <w:rFonts w:eastAsia="Times New Roman" w:cs="Times New Roman"/>
                <w:color w:val="000000"/>
                <w:szCs w:val="24"/>
                <w:lang w:eastAsia="en-GB"/>
              </w:rPr>
            </w:pPr>
            <w:r w:rsidRPr="00023C8A">
              <w:rPr>
                <w:rFonts w:eastAsia="Times New Roman" w:cs="Times New Roman"/>
                <w:color w:val="000000"/>
                <w:szCs w:val="24"/>
                <w:lang w:eastAsia="en-GB"/>
              </w:rPr>
              <w:t>£533,000</w:t>
            </w:r>
          </w:p>
        </w:tc>
        <w:tc>
          <w:tcPr>
            <w:tcW w:w="29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D6D038" w14:textId="77777777" w:rsidR="00023C8A" w:rsidRPr="00023C8A" w:rsidRDefault="00023C8A" w:rsidP="00023C8A">
            <w:pPr>
              <w:spacing w:after="0"/>
              <w:jc w:val="right"/>
              <w:rPr>
                <w:rFonts w:eastAsia="Times New Roman" w:cs="Times New Roman"/>
                <w:color w:val="000000"/>
                <w:szCs w:val="24"/>
                <w:lang w:eastAsia="en-GB"/>
              </w:rPr>
            </w:pPr>
            <w:r w:rsidRPr="00023C8A">
              <w:rPr>
                <w:rFonts w:eastAsia="Times New Roman" w:cs="Times New Roman"/>
                <w:color w:val="000000"/>
                <w:szCs w:val="24"/>
                <w:lang w:eastAsia="en-GB"/>
              </w:rPr>
              <w:t>£2,132,000</w:t>
            </w:r>
          </w:p>
        </w:tc>
      </w:tr>
      <w:tr w:rsidR="00023C8A" w:rsidRPr="00023C8A" w14:paraId="4A7CF204" w14:textId="77777777" w:rsidTr="00023C8A">
        <w:tc>
          <w:tcPr>
            <w:tcW w:w="31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4126DA" w14:textId="77777777" w:rsidR="00023C8A" w:rsidRPr="00023C8A" w:rsidRDefault="00023C8A" w:rsidP="00023C8A">
            <w:pPr>
              <w:spacing w:after="0"/>
              <w:jc w:val="left"/>
              <w:rPr>
                <w:rFonts w:eastAsia="Times New Roman" w:cs="Times New Roman"/>
                <w:color w:val="000000"/>
                <w:szCs w:val="24"/>
                <w:lang w:eastAsia="en-GB"/>
              </w:rPr>
            </w:pPr>
            <w:r w:rsidRPr="00023C8A">
              <w:rPr>
                <w:rFonts w:eastAsia="Times New Roman" w:cs="Times New Roman"/>
                <w:b/>
                <w:bCs/>
                <w:color w:val="000000"/>
                <w:szCs w:val="24"/>
                <w:lang w:eastAsia="en-GB"/>
              </w:rPr>
              <w:t>3) Lot 3: Smoking Cessation</w:t>
            </w:r>
          </w:p>
        </w:tc>
        <w:tc>
          <w:tcPr>
            <w:tcW w:w="29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7C30B7" w14:textId="77777777" w:rsidR="00023C8A" w:rsidRPr="00023C8A" w:rsidRDefault="00023C8A" w:rsidP="00023C8A">
            <w:pPr>
              <w:spacing w:after="0"/>
              <w:jc w:val="right"/>
              <w:rPr>
                <w:rFonts w:eastAsia="Times New Roman" w:cs="Times New Roman"/>
                <w:color w:val="000000"/>
                <w:szCs w:val="24"/>
                <w:lang w:eastAsia="en-GB"/>
              </w:rPr>
            </w:pPr>
            <w:r w:rsidRPr="00023C8A">
              <w:rPr>
                <w:rFonts w:eastAsia="Times New Roman" w:cs="Times New Roman"/>
                <w:color w:val="000000"/>
                <w:szCs w:val="24"/>
                <w:lang w:eastAsia="en-GB"/>
              </w:rPr>
              <w:t>£40,000</w:t>
            </w:r>
          </w:p>
        </w:tc>
        <w:tc>
          <w:tcPr>
            <w:tcW w:w="29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65CD2C" w14:textId="77777777" w:rsidR="00023C8A" w:rsidRPr="00023C8A" w:rsidRDefault="00023C8A" w:rsidP="00023C8A">
            <w:pPr>
              <w:spacing w:after="0"/>
              <w:jc w:val="right"/>
              <w:rPr>
                <w:rFonts w:eastAsia="Times New Roman" w:cs="Times New Roman"/>
                <w:color w:val="000000"/>
                <w:szCs w:val="24"/>
                <w:lang w:eastAsia="en-GB"/>
              </w:rPr>
            </w:pPr>
            <w:r w:rsidRPr="00023C8A">
              <w:rPr>
                <w:rFonts w:eastAsia="Times New Roman" w:cs="Times New Roman"/>
                <w:color w:val="000000"/>
                <w:szCs w:val="24"/>
                <w:lang w:eastAsia="en-GB"/>
              </w:rPr>
              <w:t>£160,000</w:t>
            </w:r>
          </w:p>
        </w:tc>
      </w:tr>
      <w:tr w:rsidR="00023C8A" w:rsidRPr="00023C8A" w14:paraId="3AFBAD62" w14:textId="77777777" w:rsidTr="00023C8A">
        <w:tc>
          <w:tcPr>
            <w:tcW w:w="31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5D65E9" w14:textId="77777777" w:rsidR="00023C8A" w:rsidRPr="00023C8A" w:rsidRDefault="00023C8A" w:rsidP="00023C8A">
            <w:pPr>
              <w:spacing w:after="0"/>
              <w:jc w:val="left"/>
              <w:rPr>
                <w:rFonts w:eastAsia="Times New Roman" w:cs="Times New Roman"/>
                <w:color w:val="000000"/>
                <w:szCs w:val="24"/>
                <w:lang w:eastAsia="en-GB"/>
              </w:rPr>
            </w:pPr>
            <w:r w:rsidRPr="00023C8A">
              <w:rPr>
                <w:rFonts w:eastAsia="Times New Roman" w:cs="Times New Roman"/>
                <w:b/>
                <w:bCs/>
                <w:color w:val="000000"/>
                <w:szCs w:val="24"/>
                <w:lang w:eastAsia="en-GB"/>
              </w:rPr>
              <w:t>4) Lot 4: Health Checks</w:t>
            </w:r>
          </w:p>
        </w:tc>
        <w:tc>
          <w:tcPr>
            <w:tcW w:w="29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1B690C" w14:textId="77777777" w:rsidR="00023C8A" w:rsidRPr="00023C8A" w:rsidRDefault="00023C8A" w:rsidP="00023C8A">
            <w:pPr>
              <w:spacing w:after="0"/>
              <w:jc w:val="right"/>
              <w:rPr>
                <w:rFonts w:eastAsia="Times New Roman" w:cs="Times New Roman"/>
                <w:color w:val="000000"/>
                <w:szCs w:val="24"/>
                <w:lang w:eastAsia="en-GB"/>
              </w:rPr>
            </w:pPr>
            <w:r w:rsidRPr="00023C8A">
              <w:rPr>
                <w:rFonts w:eastAsia="Times New Roman" w:cs="Times New Roman"/>
                <w:color w:val="000000"/>
                <w:szCs w:val="24"/>
                <w:lang w:eastAsia="en-GB"/>
              </w:rPr>
              <w:t>£370,000</w:t>
            </w:r>
          </w:p>
        </w:tc>
        <w:tc>
          <w:tcPr>
            <w:tcW w:w="29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99BD31" w14:textId="77777777" w:rsidR="00023C8A" w:rsidRPr="00023C8A" w:rsidRDefault="00023C8A" w:rsidP="00023C8A">
            <w:pPr>
              <w:spacing w:after="0"/>
              <w:jc w:val="right"/>
              <w:rPr>
                <w:rFonts w:eastAsia="Times New Roman" w:cs="Times New Roman"/>
                <w:color w:val="000000"/>
                <w:szCs w:val="24"/>
                <w:lang w:eastAsia="en-GB"/>
              </w:rPr>
            </w:pPr>
            <w:r w:rsidRPr="00023C8A">
              <w:rPr>
                <w:rFonts w:eastAsia="Times New Roman" w:cs="Times New Roman"/>
                <w:color w:val="000000"/>
                <w:szCs w:val="24"/>
                <w:lang w:eastAsia="en-GB"/>
              </w:rPr>
              <w:t>£1,480,000</w:t>
            </w:r>
          </w:p>
        </w:tc>
      </w:tr>
      <w:tr w:rsidR="00023C8A" w:rsidRPr="00023C8A" w14:paraId="7FEDA7B6" w14:textId="77777777" w:rsidTr="00023C8A">
        <w:tc>
          <w:tcPr>
            <w:tcW w:w="31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37655C" w14:textId="77777777" w:rsidR="00023C8A" w:rsidRPr="00023C8A" w:rsidRDefault="00023C8A" w:rsidP="00023C8A">
            <w:pPr>
              <w:spacing w:after="0"/>
              <w:jc w:val="left"/>
              <w:rPr>
                <w:rFonts w:eastAsia="Times New Roman" w:cs="Times New Roman"/>
                <w:szCs w:val="24"/>
                <w:lang w:eastAsia="en-GB"/>
              </w:rPr>
            </w:pPr>
            <w:r w:rsidRPr="00023C8A">
              <w:rPr>
                <w:rFonts w:eastAsia="Times New Roman" w:cs="Times New Roman"/>
                <w:szCs w:val="24"/>
                <w:lang w:eastAsia="en-GB"/>
              </w:rPr>
              <w:t> </w:t>
            </w:r>
          </w:p>
        </w:tc>
        <w:tc>
          <w:tcPr>
            <w:tcW w:w="29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3875AE" w14:textId="77777777" w:rsidR="00023C8A" w:rsidRPr="00023C8A" w:rsidRDefault="00023C8A" w:rsidP="00023C8A">
            <w:pPr>
              <w:spacing w:after="0"/>
              <w:jc w:val="right"/>
              <w:rPr>
                <w:rFonts w:eastAsia="Times New Roman" w:cs="Times New Roman"/>
                <w:color w:val="000000"/>
                <w:szCs w:val="24"/>
                <w:lang w:eastAsia="en-GB"/>
              </w:rPr>
            </w:pPr>
            <w:r w:rsidRPr="00023C8A">
              <w:rPr>
                <w:rFonts w:eastAsia="Times New Roman" w:cs="Times New Roman"/>
                <w:b/>
                <w:bCs/>
                <w:color w:val="000000"/>
                <w:szCs w:val="24"/>
                <w:lang w:eastAsia="en-GB"/>
              </w:rPr>
              <w:t>TOTAL DPS GPs</w:t>
            </w:r>
          </w:p>
        </w:tc>
        <w:tc>
          <w:tcPr>
            <w:tcW w:w="29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076655" w14:textId="77777777" w:rsidR="00023C8A" w:rsidRPr="00023C8A" w:rsidRDefault="00023C8A" w:rsidP="00023C8A">
            <w:pPr>
              <w:spacing w:after="0"/>
              <w:jc w:val="right"/>
              <w:rPr>
                <w:rFonts w:eastAsia="Times New Roman" w:cs="Times New Roman"/>
                <w:color w:val="000000"/>
                <w:szCs w:val="24"/>
                <w:lang w:eastAsia="en-GB"/>
              </w:rPr>
            </w:pPr>
            <w:r w:rsidRPr="00023C8A">
              <w:rPr>
                <w:rFonts w:eastAsia="Times New Roman" w:cs="Times New Roman"/>
                <w:b/>
                <w:bCs/>
                <w:color w:val="000000"/>
                <w:szCs w:val="24"/>
                <w:lang w:eastAsia="en-GB"/>
              </w:rPr>
              <w:t>£3,820,000</w:t>
            </w:r>
          </w:p>
        </w:tc>
      </w:tr>
      <w:tr w:rsidR="00023C8A" w:rsidRPr="00023C8A" w14:paraId="7E27716E" w14:textId="77777777" w:rsidTr="00023C8A">
        <w:tc>
          <w:tcPr>
            <w:tcW w:w="31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61B31A" w14:textId="15242C48" w:rsidR="00023C8A" w:rsidRPr="00023C8A" w:rsidRDefault="00023C8A" w:rsidP="006434DB">
            <w:pPr>
              <w:pStyle w:val="NormalWeb"/>
              <w:spacing w:before="0" w:beforeAutospacing="0" w:after="0" w:afterAutospacing="0"/>
              <w:rPr>
                <w:rFonts w:ascii="Calibri" w:hAnsi="Calibri"/>
                <w:color w:val="000000"/>
              </w:rPr>
            </w:pPr>
            <w:r w:rsidRPr="00023C8A">
              <w:rPr>
                <w:rFonts w:ascii="Calibri" w:hAnsi="Calibri"/>
                <w:color w:val="000000"/>
                <w:u w:val="single"/>
              </w:rPr>
              <w:t>Community Pharmacies:</w:t>
            </w:r>
          </w:p>
        </w:tc>
        <w:tc>
          <w:tcPr>
            <w:tcW w:w="29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983BDB" w14:textId="77777777" w:rsidR="00023C8A" w:rsidRDefault="00023C8A" w:rsidP="00023C8A">
            <w:pPr>
              <w:spacing w:after="0"/>
              <w:jc w:val="left"/>
              <w:rPr>
                <w:rFonts w:eastAsia="Times New Roman" w:cs="Times New Roman"/>
                <w:b/>
                <w:bCs/>
                <w:color w:val="000000"/>
                <w:szCs w:val="24"/>
                <w:lang w:eastAsia="en-GB"/>
              </w:rPr>
            </w:pPr>
            <w:r>
              <w:rPr>
                <w:rFonts w:eastAsia="Times New Roman" w:cs="Times New Roman"/>
                <w:b/>
                <w:bCs/>
                <w:color w:val="000000"/>
                <w:szCs w:val="24"/>
                <w:lang w:eastAsia="en-GB"/>
              </w:rPr>
              <w:t>Estimated Annual Value</w:t>
            </w:r>
          </w:p>
          <w:p w14:paraId="1620D533" w14:textId="4380BB24" w:rsidR="00023C8A" w:rsidRPr="00023C8A" w:rsidRDefault="00023C8A" w:rsidP="00023C8A">
            <w:pPr>
              <w:spacing w:after="0"/>
              <w:jc w:val="left"/>
              <w:rPr>
                <w:rFonts w:eastAsia="Times New Roman" w:cs="Times New Roman"/>
                <w:color w:val="000000"/>
                <w:szCs w:val="24"/>
                <w:lang w:eastAsia="en-GB"/>
              </w:rPr>
            </w:pPr>
            <w:r w:rsidRPr="00023C8A">
              <w:rPr>
                <w:rFonts w:eastAsia="Times New Roman" w:cs="Times New Roman"/>
                <w:b/>
                <w:bCs/>
                <w:color w:val="000000"/>
                <w:szCs w:val="24"/>
                <w:lang w:eastAsia="en-GB"/>
              </w:rPr>
              <w:t>All Pharmacies</w:t>
            </w:r>
          </w:p>
        </w:tc>
        <w:tc>
          <w:tcPr>
            <w:tcW w:w="29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316DDA" w14:textId="4167BB14" w:rsidR="00023C8A" w:rsidRDefault="00023C8A" w:rsidP="00023C8A">
            <w:pPr>
              <w:spacing w:after="0"/>
              <w:jc w:val="left"/>
              <w:rPr>
                <w:rFonts w:eastAsia="Times New Roman" w:cs="Times New Roman"/>
                <w:b/>
                <w:bCs/>
                <w:color w:val="000000"/>
                <w:szCs w:val="24"/>
                <w:lang w:eastAsia="en-GB"/>
              </w:rPr>
            </w:pPr>
            <w:r>
              <w:rPr>
                <w:rFonts w:eastAsia="Times New Roman" w:cs="Times New Roman"/>
                <w:b/>
                <w:bCs/>
                <w:color w:val="000000"/>
                <w:szCs w:val="24"/>
                <w:lang w:eastAsia="en-GB"/>
              </w:rPr>
              <w:t>Estimated TOTAL Value</w:t>
            </w:r>
          </w:p>
          <w:p w14:paraId="049FB676" w14:textId="07501832" w:rsidR="00023C8A" w:rsidRPr="00023C8A" w:rsidRDefault="00023C8A" w:rsidP="00023C8A">
            <w:pPr>
              <w:spacing w:after="0"/>
              <w:jc w:val="left"/>
              <w:rPr>
                <w:rFonts w:eastAsia="Times New Roman" w:cs="Times New Roman"/>
                <w:color w:val="000000"/>
                <w:szCs w:val="24"/>
                <w:lang w:eastAsia="en-GB"/>
              </w:rPr>
            </w:pPr>
            <w:r w:rsidRPr="00023C8A">
              <w:rPr>
                <w:rFonts w:eastAsia="Times New Roman" w:cs="Times New Roman"/>
                <w:b/>
                <w:bCs/>
                <w:color w:val="000000"/>
                <w:szCs w:val="24"/>
                <w:lang w:eastAsia="en-GB"/>
              </w:rPr>
              <w:t>All Pharmacies</w:t>
            </w:r>
          </w:p>
        </w:tc>
      </w:tr>
      <w:tr w:rsidR="00023C8A" w:rsidRPr="00023C8A" w14:paraId="41767E01" w14:textId="77777777" w:rsidTr="00023C8A">
        <w:tc>
          <w:tcPr>
            <w:tcW w:w="31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377B60" w14:textId="373D09FD" w:rsidR="00023C8A" w:rsidRPr="00023C8A" w:rsidRDefault="00023C8A" w:rsidP="00023C8A">
            <w:pPr>
              <w:spacing w:after="0"/>
              <w:jc w:val="left"/>
              <w:rPr>
                <w:rFonts w:eastAsia="Times New Roman" w:cs="Times New Roman"/>
                <w:szCs w:val="24"/>
                <w:lang w:eastAsia="en-GB"/>
              </w:rPr>
            </w:pPr>
            <w:r w:rsidRPr="00023C8A">
              <w:rPr>
                <w:rFonts w:eastAsia="Times New Roman" w:cs="Times New Roman"/>
                <w:b/>
                <w:bCs/>
                <w:szCs w:val="24"/>
                <w:lang w:eastAsia="en-GB"/>
              </w:rPr>
              <w:t>1) Lot 1: Chlamydia Screening and Treatment</w:t>
            </w:r>
          </w:p>
        </w:tc>
        <w:tc>
          <w:tcPr>
            <w:tcW w:w="29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84F9CD" w14:textId="77777777" w:rsidR="00023C8A" w:rsidRPr="00023C8A" w:rsidRDefault="00023C8A" w:rsidP="00023C8A">
            <w:pPr>
              <w:spacing w:after="0"/>
              <w:jc w:val="right"/>
              <w:rPr>
                <w:rFonts w:eastAsia="Times New Roman" w:cs="Times New Roman"/>
                <w:color w:val="000000"/>
                <w:szCs w:val="24"/>
                <w:lang w:eastAsia="en-GB"/>
              </w:rPr>
            </w:pPr>
            <w:r w:rsidRPr="00023C8A">
              <w:rPr>
                <w:rFonts w:eastAsia="Times New Roman" w:cs="Times New Roman"/>
                <w:color w:val="000000"/>
                <w:szCs w:val="24"/>
                <w:lang w:eastAsia="en-GB"/>
              </w:rPr>
              <w:t>£8,792</w:t>
            </w:r>
          </w:p>
        </w:tc>
        <w:tc>
          <w:tcPr>
            <w:tcW w:w="29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7004D8" w14:textId="77777777" w:rsidR="00023C8A" w:rsidRPr="00023C8A" w:rsidRDefault="00023C8A" w:rsidP="00023C8A">
            <w:pPr>
              <w:spacing w:after="0"/>
              <w:jc w:val="right"/>
              <w:rPr>
                <w:rFonts w:eastAsia="Times New Roman" w:cs="Times New Roman"/>
                <w:color w:val="000000"/>
                <w:szCs w:val="24"/>
                <w:lang w:eastAsia="en-GB"/>
              </w:rPr>
            </w:pPr>
            <w:r w:rsidRPr="00023C8A">
              <w:rPr>
                <w:rFonts w:eastAsia="Times New Roman" w:cs="Times New Roman"/>
                <w:color w:val="000000"/>
                <w:szCs w:val="24"/>
                <w:lang w:eastAsia="en-GB"/>
              </w:rPr>
              <w:t>£35,168</w:t>
            </w:r>
          </w:p>
        </w:tc>
      </w:tr>
      <w:tr w:rsidR="00023C8A" w:rsidRPr="00023C8A" w14:paraId="52B8236D" w14:textId="77777777" w:rsidTr="00023C8A">
        <w:tc>
          <w:tcPr>
            <w:tcW w:w="31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CCB44B" w14:textId="77777777" w:rsidR="00023C8A" w:rsidRPr="00023C8A" w:rsidRDefault="00023C8A" w:rsidP="00023C8A">
            <w:pPr>
              <w:spacing w:after="0"/>
              <w:jc w:val="left"/>
              <w:rPr>
                <w:rFonts w:eastAsia="Times New Roman" w:cs="Times New Roman"/>
                <w:szCs w:val="24"/>
                <w:lang w:eastAsia="en-GB"/>
              </w:rPr>
            </w:pPr>
            <w:r w:rsidRPr="00023C8A">
              <w:rPr>
                <w:rFonts w:eastAsia="Times New Roman" w:cs="Times New Roman"/>
                <w:b/>
                <w:bCs/>
                <w:szCs w:val="24"/>
                <w:lang w:eastAsia="en-GB"/>
              </w:rPr>
              <w:t>2) Lot 2: EHC</w:t>
            </w:r>
          </w:p>
        </w:tc>
        <w:tc>
          <w:tcPr>
            <w:tcW w:w="29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2D94F0" w14:textId="77777777" w:rsidR="00023C8A" w:rsidRPr="00023C8A" w:rsidRDefault="00023C8A" w:rsidP="00023C8A">
            <w:pPr>
              <w:spacing w:after="0"/>
              <w:jc w:val="right"/>
              <w:rPr>
                <w:rFonts w:eastAsia="Times New Roman" w:cs="Times New Roman"/>
                <w:color w:val="000000"/>
                <w:szCs w:val="24"/>
                <w:lang w:eastAsia="en-GB"/>
              </w:rPr>
            </w:pPr>
            <w:r w:rsidRPr="00023C8A">
              <w:rPr>
                <w:rFonts w:eastAsia="Times New Roman" w:cs="Times New Roman"/>
                <w:color w:val="000000"/>
                <w:szCs w:val="24"/>
                <w:lang w:eastAsia="en-GB"/>
              </w:rPr>
              <w:t>£89,000</w:t>
            </w:r>
          </w:p>
        </w:tc>
        <w:tc>
          <w:tcPr>
            <w:tcW w:w="29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B7800D" w14:textId="77777777" w:rsidR="00023C8A" w:rsidRPr="00023C8A" w:rsidRDefault="00023C8A" w:rsidP="00023C8A">
            <w:pPr>
              <w:spacing w:after="0"/>
              <w:jc w:val="right"/>
              <w:rPr>
                <w:rFonts w:eastAsia="Times New Roman" w:cs="Times New Roman"/>
                <w:szCs w:val="24"/>
                <w:lang w:eastAsia="en-GB"/>
              </w:rPr>
            </w:pPr>
            <w:r w:rsidRPr="00023C8A">
              <w:rPr>
                <w:rFonts w:eastAsia="Times New Roman" w:cs="Times New Roman"/>
                <w:szCs w:val="24"/>
                <w:lang w:eastAsia="en-GB"/>
              </w:rPr>
              <w:t>£356,000</w:t>
            </w:r>
          </w:p>
        </w:tc>
      </w:tr>
      <w:tr w:rsidR="00023C8A" w:rsidRPr="00023C8A" w14:paraId="72AAE2AE" w14:textId="77777777" w:rsidTr="00023C8A">
        <w:tc>
          <w:tcPr>
            <w:tcW w:w="31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33E8FB" w14:textId="77777777" w:rsidR="00023C8A" w:rsidRPr="00023C8A" w:rsidRDefault="00023C8A" w:rsidP="00023C8A">
            <w:pPr>
              <w:spacing w:after="0"/>
              <w:jc w:val="left"/>
              <w:rPr>
                <w:rFonts w:eastAsia="Times New Roman" w:cs="Times New Roman"/>
                <w:szCs w:val="24"/>
                <w:lang w:eastAsia="en-GB"/>
              </w:rPr>
            </w:pPr>
            <w:r w:rsidRPr="00023C8A">
              <w:rPr>
                <w:rFonts w:eastAsia="Times New Roman" w:cs="Times New Roman"/>
                <w:b/>
                <w:bCs/>
                <w:szCs w:val="24"/>
                <w:lang w:eastAsia="en-GB"/>
              </w:rPr>
              <w:lastRenderedPageBreak/>
              <w:t>3) Lot 3: Smoking Cessation</w:t>
            </w:r>
          </w:p>
        </w:tc>
        <w:tc>
          <w:tcPr>
            <w:tcW w:w="29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7DE3F6" w14:textId="77777777" w:rsidR="00023C8A" w:rsidRPr="00023C8A" w:rsidRDefault="00023C8A" w:rsidP="00023C8A">
            <w:pPr>
              <w:spacing w:after="0"/>
              <w:jc w:val="right"/>
              <w:rPr>
                <w:rFonts w:eastAsia="Times New Roman" w:cs="Times New Roman"/>
                <w:color w:val="000000"/>
                <w:szCs w:val="24"/>
                <w:lang w:eastAsia="en-GB"/>
              </w:rPr>
            </w:pPr>
            <w:r w:rsidRPr="00023C8A">
              <w:rPr>
                <w:rFonts w:eastAsia="Times New Roman" w:cs="Times New Roman"/>
                <w:color w:val="000000"/>
                <w:szCs w:val="24"/>
                <w:lang w:eastAsia="en-GB"/>
              </w:rPr>
              <w:t>£28,517</w:t>
            </w:r>
          </w:p>
        </w:tc>
        <w:tc>
          <w:tcPr>
            <w:tcW w:w="29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9F3B18" w14:textId="77777777" w:rsidR="00023C8A" w:rsidRPr="00023C8A" w:rsidRDefault="00023C8A" w:rsidP="00023C8A">
            <w:pPr>
              <w:spacing w:after="0"/>
              <w:jc w:val="right"/>
              <w:rPr>
                <w:rFonts w:eastAsia="Times New Roman" w:cs="Times New Roman"/>
                <w:szCs w:val="24"/>
                <w:lang w:eastAsia="en-GB"/>
              </w:rPr>
            </w:pPr>
            <w:r w:rsidRPr="00023C8A">
              <w:rPr>
                <w:rFonts w:eastAsia="Times New Roman" w:cs="Times New Roman"/>
                <w:szCs w:val="24"/>
                <w:lang w:eastAsia="en-GB"/>
              </w:rPr>
              <w:t>£114,068</w:t>
            </w:r>
          </w:p>
        </w:tc>
      </w:tr>
      <w:tr w:rsidR="00023C8A" w:rsidRPr="00023C8A" w14:paraId="31AA05DF" w14:textId="77777777" w:rsidTr="00023C8A">
        <w:tc>
          <w:tcPr>
            <w:tcW w:w="31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C71AAF" w14:textId="77777777" w:rsidR="00023C8A" w:rsidRPr="00023C8A" w:rsidRDefault="00023C8A" w:rsidP="00023C8A">
            <w:pPr>
              <w:spacing w:after="0"/>
              <w:jc w:val="left"/>
              <w:rPr>
                <w:rFonts w:eastAsia="Times New Roman" w:cs="Times New Roman"/>
                <w:szCs w:val="24"/>
                <w:lang w:eastAsia="en-GB"/>
              </w:rPr>
            </w:pPr>
            <w:r w:rsidRPr="00023C8A">
              <w:rPr>
                <w:rFonts w:eastAsia="Times New Roman" w:cs="Times New Roman"/>
                <w:b/>
                <w:bCs/>
                <w:szCs w:val="24"/>
                <w:lang w:eastAsia="en-GB"/>
              </w:rPr>
              <w:t>4) Lot 4: NRT Voucher Scheme</w:t>
            </w:r>
          </w:p>
        </w:tc>
        <w:tc>
          <w:tcPr>
            <w:tcW w:w="29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576D97" w14:textId="77777777" w:rsidR="00023C8A" w:rsidRPr="00023C8A" w:rsidRDefault="00023C8A" w:rsidP="00023C8A">
            <w:pPr>
              <w:spacing w:after="0"/>
              <w:jc w:val="right"/>
              <w:rPr>
                <w:rFonts w:eastAsia="Times New Roman" w:cs="Times New Roman"/>
                <w:color w:val="000000"/>
                <w:szCs w:val="24"/>
                <w:lang w:eastAsia="en-GB"/>
              </w:rPr>
            </w:pPr>
            <w:r w:rsidRPr="00023C8A">
              <w:rPr>
                <w:rFonts w:eastAsia="Times New Roman" w:cs="Times New Roman"/>
                <w:color w:val="000000"/>
                <w:szCs w:val="24"/>
                <w:lang w:eastAsia="en-GB"/>
              </w:rPr>
              <w:t>£110,000</w:t>
            </w:r>
          </w:p>
        </w:tc>
        <w:tc>
          <w:tcPr>
            <w:tcW w:w="29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13EE4E" w14:textId="77777777" w:rsidR="00023C8A" w:rsidRPr="00023C8A" w:rsidRDefault="00023C8A" w:rsidP="00023C8A">
            <w:pPr>
              <w:spacing w:after="0"/>
              <w:jc w:val="right"/>
              <w:rPr>
                <w:rFonts w:eastAsia="Times New Roman" w:cs="Times New Roman"/>
                <w:szCs w:val="24"/>
                <w:lang w:eastAsia="en-GB"/>
              </w:rPr>
            </w:pPr>
            <w:r w:rsidRPr="00023C8A">
              <w:rPr>
                <w:rFonts w:eastAsia="Times New Roman" w:cs="Times New Roman"/>
                <w:szCs w:val="24"/>
                <w:lang w:eastAsia="en-GB"/>
              </w:rPr>
              <w:t>£440,000</w:t>
            </w:r>
          </w:p>
        </w:tc>
      </w:tr>
      <w:tr w:rsidR="00023C8A" w:rsidRPr="00023C8A" w14:paraId="5E107E7A" w14:textId="77777777" w:rsidTr="00023C8A">
        <w:tc>
          <w:tcPr>
            <w:tcW w:w="31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B00630" w14:textId="77777777" w:rsidR="00023C8A" w:rsidRPr="00023C8A" w:rsidRDefault="00023C8A" w:rsidP="00023C8A">
            <w:pPr>
              <w:spacing w:after="0"/>
              <w:jc w:val="left"/>
              <w:rPr>
                <w:rFonts w:eastAsia="Times New Roman" w:cs="Times New Roman"/>
                <w:szCs w:val="24"/>
                <w:lang w:eastAsia="en-GB"/>
              </w:rPr>
            </w:pPr>
            <w:r w:rsidRPr="00023C8A">
              <w:rPr>
                <w:rFonts w:eastAsia="Times New Roman" w:cs="Times New Roman"/>
                <w:szCs w:val="24"/>
                <w:lang w:eastAsia="en-GB"/>
              </w:rPr>
              <w:t> </w:t>
            </w:r>
          </w:p>
        </w:tc>
        <w:tc>
          <w:tcPr>
            <w:tcW w:w="29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EA58E6" w14:textId="77777777" w:rsidR="00023C8A" w:rsidRPr="00023C8A" w:rsidRDefault="00023C8A" w:rsidP="00023C8A">
            <w:pPr>
              <w:spacing w:after="0"/>
              <w:jc w:val="right"/>
              <w:rPr>
                <w:rFonts w:eastAsia="Times New Roman" w:cs="Times New Roman"/>
                <w:color w:val="000000"/>
                <w:szCs w:val="24"/>
                <w:lang w:eastAsia="en-GB"/>
              </w:rPr>
            </w:pPr>
            <w:r w:rsidRPr="00023C8A">
              <w:rPr>
                <w:rFonts w:eastAsia="Times New Roman" w:cs="Times New Roman"/>
                <w:b/>
                <w:bCs/>
                <w:color w:val="000000"/>
                <w:szCs w:val="24"/>
                <w:lang w:eastAsia="en-GB"/>
              </w:rPr>
              <w:t>TOTAL DPS Pharmacies</w:t>
            </w:r>
          </w:p>
        </w:tc>
        <w:tc>
          <w:tcPr>
            <w:tcW w:w="29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6133E3" w14:textId="77777777" w:rsidR="00023C8A" w:rsidRPr="00023C8A" w:rsidRDefault="00023C8A" w:rsidP="00023C8A">
            <w:pPr>
              <w:spacing w:after="0"/>
              <w:jc w:val="right"/>
              <w:rPr>
                <w:rFonts w:eastAsia="Times New Roman" w:cs="Times New Roman"/>
                <w:szCs w:val="24"/>
                <w:lang w:eastAsia="en-GB"/>
              </w:rPr>
            </w:pPr>
            <w:r w:rsidRPr="00023C8A">
              <w:rPr>
                <w:rFonts w:eastAsia="Times New Roman" w:cs="Times New Roman"/>
                <w:b/>
                <w:bCs/>
                <w:szCs w:val="24"/>
                <w:lang w:eastAsia="en-GB"/>
              </w:rPr>
              <w:t>£945,236</w:t>
            </w:r>
          </w:p>
        </w:tc>
      </w:tr>
    </w:tbl>
    <w:p w14:paraId="28FAA658" w14:textId="77777777" w:rsidR="00023C8A" w:rsidRDefault="00023C8A" w:rsidP="00023C8A">
      <w:pPr>
        <w:pStyle w:val="ANumberedText"/>
        <w:numPr>
          <w:ilvl w:val="0"/>
          <w:numId w:val="0"/>
        </w:numPr>
        <w:ind w:left="851"/>
      </w:pPr>
    </w:p>
    <w:p w14:paraId="628FCA29" w14:textId="16D4313D" w:rsidR="009B75EA" w:rsidRPr="00FE2377" w:rsidRDefault="00DF041F" w:rsidP="00811AE3">
      <w:pPr>
        <w:pStyle w:val="ANumberedText"/>
      </w:pPr>
      <w:r w:rsidRPr="00FE2377">
        <w:t>Potential Providers</w:t>
      </w:r>
      <w:r w:rsidR="009B75EA" w:rsidRPr="00FE2377">
        <w:t xml:space="preserve"> are invited to</w:t>
      </w:r>
      <w:r w:rsidR="00447D9A">
        <w:t xml:space="preserve"> </w:t>
      </w:r>
      <w:proofErr w:type="gramStart"/>
      <w:r w:rsidR="00447D9A">
        <w:t>submit an application</w:t>
      </w:r>
      <w:proofErr w:type="gramEnd"/>
      <w:r w:rsidR="009B75EA" w:rsidRPr="00FE2377">
        <w:t xml:space="preserve"> for one or more of the LOTS</w:t>
      </w:r>
      <w:r w:rsidR="00FE2377" w:rsidRPr="00FE2377">
        <w:t>, as relevant to their organisation</w:t>
      </w:r>
      <w:r w:rsidR="009B75EA" w:rsidRPr="00FE2377">
        <w:t>.</w:t>
      </w:r>
    </w:p>
    <w:p w14:paraId="5F3F3699" w14:textId="2C657C6F" w:rsidR="009B75EA" w:rsidRDefault="009B75EA" w:rsidP="00811AE3">
      <w:pPr>
        <w:pStyle w:val="ANumberedText"/>
      </w:pPr>
      <w:r w:rsidRPr="000B4D48">
        <w:t xml:space="preserve">There will be no guarantee of work or volume of work to be given under this </w:t>
      </w:r>
      <w:r w:rsidR="00B607B6" w:rsidRPr="000B4D48">
        <w:t>DPS</w:t>
      </w:r>
      <w:r w:rsidR="004C74F1" w:rsidRPr="000B4D48">
        <w:t>.</w:t>
      </w:r>
    </w:p>
    <w:p w14:paraId="0624BC3E" w14:textId="0C1901E6" w:rsidR="00E507DF" w:rsidRPr="000B4D48" w:rsidRDefault="00E507DF" w:rsidP="00811AE3">
      <w:pPr>
        <w:pStyle w:val="ANumberedText"/>
      </w:pPr>
      <w:r w:rsidRPr="00783F26">
        <w:t>Payment will be made at</w:t>
      </w:r>
      <w:r w:rsidR="00113685">
        <w:t xml:space="preserve"> the</w:t>
      </w:r>
      <w:r>
        <w:t xml:space="preserve"> rates</w:t>
      </w:r>
      <w:r w:rsidR="00113685">
        <w:t xml:space="preserve"> stated within each Specification</w:t>
      </w:r>
      <w:r>
        <w:t>. These are subject to review at the Authority’s discretion.</w:t>
      </w:r>
    </w:p>
    <w:p w14:paraId="07975D3C" w14:textId="77777777" w:rsidR="00796821" w:rsidRDefault="00796821" w:rsidP="00811AE3"/>
    <w:p w14:paraId="04B58272" w14:textId="63607C8F" w:rsidR="009B75EA" w:rsidRPr="00811AE3" w:rsidRDefault="00CE44F6" w:rsidP="00811AE3">
      <w:pPr>
        <w:pStyle w:val="AHeading1"/>
      </w:pPr>
      <w:bookmarkStart w:id="4" w:name="_Toc4147436"/>
      <w:r w:rsidRPr="00811AE3">
        <w:t xml:space="preserve">INSTRUCTIONS TO </w:t>
      </w:r>
      <w:r w:rsidR="00DF041F" w:rsidRPr="00811AE3">
        <w:t>POTENTIAL PROVIDERS</w:t>
      </w:r>
      <w:bookmarkEnd w:id="4"/>
    </w:p>
    <w:p w14:paraId="425A1180" w14:textId="77777777" w:rsidR="009B75EA" w:rsidRPr="00811AE3" w:rsidRDefault="009B75EA" w:rsidP="00811AE3">
      <w:pPr>
        <w:pStyle w:val="AHeading2"/>
      </w:pPr>
      <w:bookmarkStart w:id="5" w:name="_Toc4147437"/>
      <w:r w:rsidRPr="00811AE3">
        <w:t>GENERAL INSTRUCTIONS</w:t>
      </w:r>
      <w:bookmarkEnd w:id="5"/>
    </w:p>
    <w:p w14:paraId="145E3D49" w14:textId="77777777" w:rsidR="009B75EA" w:rsidRPr="00811AE3" w:rsidRDefault="009B75EA" w:rsidP="00811AE3">
      <w:pPr>
        <w:pStyle w:val="ANumberedText"/>
      </w:pPr>
      <w:r w:rsidRPr="00811AE3">
        <w:t xml:space="preserve">These instructions are designed to ensure that all </w:t>
      </w:r>
      <w:r w:rsidR="00DF041F" w:rsidRPr="00811AE3">
        <w:t>Potential Providers</w:t>
      </w:r>
      <w:r w:rsidRPr="00811AE3">
        <w:t xml:space="preserve"> are given equal a</w:t>
      </w:r>
      <w:r w:rsidR="002F1223" w:rsidRPr="00811AE3">
        <w:t xml:space="preserve">nd fair consideration. </w:t>
      </w:r>
      <w:r w:rsidRPr="00811AE3">
        <w:t>It is important therefore that you provide all the information asked for in t</w:t>
      </w:r>
      <w:r w:rsidR="00326BE9" w:rsidRPr="00811AE3">
        <w:t>he format and order specified.</w:t>
      </w:r>
    </w:p>
    <w:p w14:paraId="7E61CE91" w14:textId="31C73FCD" w:rsidR="009B75EA" w:rsidRPr="00811AE3" w:rsidRDefault="009B75EA" w:rsidP="00811AE3">
      <w:pPr>
        <w:pStyle w:val="ANumberedText"/>
      </w:pPr>
      <w:r w:rsidRPr="00811AE3">
        <w:t xml:space="preserve">The Authority is utilising an electronic tendering tool to manage this procurement and communicate with </w:t>
      </w:r>
      <w:r w:rsidR="00DF041F" w:rsidRPr="00811AE3">
        <w:t>Potential Providers</w:t>
      </w:r>
      <w:r w:rsidRPr="00811AE3">
        <w:t xml:space="preserve">. There will be no hard copy documents issued to </w:t>
      </w:r>
      <w:r w:rsidR="00DF041F" w:rsidRPr="00811AE3">
        <w:t>Potential Providers</w:t>
      </w:r>
      <w:r w:rsidR="00862316" w:rsidRPr="00811AE3">
        <w:t xml:space="preserve"> and all communications with t</w:t>
      </w:r>
      <w:r w:rsidRPr="00811AE3">
        <w:t xml:space="preserve">he Authority including, submission of </w:t>
      </w:r>
      <w:r w:rsidR="00DF041F" w:rsidRPr="00811AE3">
        <w:t>Potential Providers</w:t>
      </w:r>
      <w:r w:rsidRPr="00811AE3">
        <w:t>’ re</w:t>
      </w:r>
      <w:r w:rsidR="00862316" w:rsidRPr="00811AE3">
        <w:t>sponses, will be conducted via t</w:t>
      </w:r>
      <w:r w:rsidRPr="00811AE3">
        <w:t>he Authority’s ‘</w:t>
      </w:r>
      <w:r w:rsidR="00A9156B" w:rsidRPr="00811AE3">
        <w:t>Procurement</w:t>
      </w:r>
      <w:r w:rsidRPr="00811AE3">
        <w:t xml:space="preserve"> Portal’ (</w:t>
      </w:r>
      <w:proofErr w:type="spellStart"/>
      <w:r w:rsidR="00383504" w:rsidRPr="00811AE3">
        <w:t>ProContract</w:t>
      </w:r>
      <w:proofErr w:type="spellEnd"/>
      <w:r w:rsidRPr="00811AE3">
        <w:t>) which is located at:</w:t>
      </w:r>
    </w:p>
    <w:p w14:paraId="65AFE8B5" w14:textId="213053E0" w:rsidR="009B75EA" w:rsidRPr="00811AE3" w:rsidRDefault="00C46D75" w:rsidP="00811AE3">
      <w:pPr>
        <w:pStyle w:val="ANumberedText"/>
      </w:pPr>
      <w:r w:rsidRPr="003F7399">
        <w:t>https://procontract.due-north.com/Opportunities/Index?tabName=opportunities&amp;resetFilter=True</w:t>
      </w:r>
      <w:r w:rsidDel="00C46D75">
        <w:t xml:space="preserve"> </w:t>
      </w:r>
      <w:r w:rsidR="00DF041F" w:rsidRPr="00811AE3">
        <w:t>Potential Providers</w:t>
      </w:r>
      <w:r w:rsidR="009B75EA" w:rsidRPr="00811AE3">
        <w:t xml:space="preserve"> should read these instructions carefully before completing the </w:t>
      </w:r>
      <w:r w:rsidR="00113685">
        <w:t>application</w:t>
      </w:r>
      <w:r w:rsidR="009B75EA" w:rsidRPr="00811AE3">
        <w:t xml:space="preserve"> documentation. Failure to comply with these requirements for completion and submission of the </w:t>
      </w:r>
      <w:r w:rsidR="00113685">
        <w:t xml:space="preserve">DPS application </w:t>
      </w:r>
      <w:r w:rsidR="009B75EA" w:rsidRPr="00811AE3">
        <w:t xml:space="preserve">may result in the rejection of </w:t>
      </w:r>
      <w:r w:rsidR="00113685">
        <w:t>said application</w:t>
      </w:r>
      <w:r w:rsidR="009B75EA" w:rsidRPr="00811AE3">
        <w:t xml:space="preserve">. </w:t>
      </w:r>
      <w:r w:rsidR="00DF041F" w:rsidRPr="00811AE3">
        <w:t>Potential Providers</w:t>
      </w:r>
      <w:r w:rsidR="009B75EA" w:rsidRPr="00811AE3">
        <w:t xml:space="preserve"> are advised therefore to acquaint themselves fully with the extent and nature of</w:t>
      </w:r>
      <w:r w:rsidR="00113685">
        <w:t xml:space="preserve"> the services </w:t>
      </w:r>
      <w:r w:rsidR="002F1223" w:rsidRPr="00811AE3">
        <w:t xml:space="preserve">and contractual obligations. </w:t>
      </w:r>
      <w:r w:rsidR="009B75EA" w:rsidRPr="00811AE3">
        <w:t xml:space="preserve">These instructions constitute the conditions of </w:t>
      </w:r>
      <w:r w:rsidR="00113685">
        <w:t>application</w:t>
      </w:r>
      <w:r w:rsidR="009B75EA" w:rsidRPr="00811AE3">
        <w:t xml:space="preserve"> and participation in the </w:t>
      </w:r>
      <w:r w:rsidR="00113685">
        <w:t>DPS</w:t>
      </w:r>
      <w:r w:rsidR="009B75EA" w:rsidRPr="00811AE3">
        <w:t xml:space="preserve"> process automatically signals that the </w:t>
      </w:r>
      <w:r w:rsidR="00DF041F" w:rsidRPr="00811AE3">
        <w:t>Potential Provider</w:t>
      </w:r>
      <w:r w:rsidR="009B75EA" w:rsidRPr="00811AE3">
        <w:t xml:space="preserve"> accepts these conditions of participation.</w:t>
      </w:r>
    </w:p>
    <w:p w14:paraId="287F5886" w14:textId="3A548409" w:rsidR="009B75EA" w:rsidRPr="00811AE3" w:rsidRDefault="009B75EA" w:rsidP="00811AE3">
      <w:pPr>
        <w:pStyle w:val="ANumberedText"/>
      </w:pPr>
      <w:r w:rsidRPr="00811AE3">
        <w:t xml:space="preserve">All material </w:t>
      </w:r>
      <w:r w:rsidR="00113685">
        <w:t>issued in connection with this DPS</w:t>
      </w:r>
      <w:r w:rsidR="00184DAC" w:rsidRPr="00811AE3">
        <w:t xml:space="preserve"> shall remain the property </w:t>
      </w:r>
      <w:r w:rsidR="00862316" w:rsidRPr="00811AE3">
        <w:t>of t</w:t>
      </w:r>
      <w:r w:rsidRPr="00811AE3">
        <w:t xml:space="preserve">he Authority and shall </w:t>
      </w:r>
      <w:r w:rsidR="00BE2DDA" w:rsidRPr="00811AE3">
        <w:t xml:space="preserve">only </w:t>
      </w:r>
      <w:r w:rsidRPr="00811AE3">
        <w:t>be used for the purpose of this procurement exercise</w:t>
      </w:r>
      <w:r w:rsidR="004A58D5" w:rsidRPr="00811AE3">
        <w:t xml:space="preserve"> and any subsequent contract</w:t>
      </w:r>
      <w:r w:rsidRPr="00811AE3">
        <w:t>.</w:t>
      </w:r>
    </w:p>
    <w:p w14:paraId="3873CE51" w14:textId="560E7C2F" w:rsidR="009B75EA" w:rsidRPr="00811AE3" w:rsidRDefault="009B75EA" w:rsidP="00811AE3">
      <w:pPr>
        <w:pStyle w:val="ANumberedText"/>
      </w:pPr>
      <w:r w:rsidRPr="00811AE3">
        <w:t xml:space="preserve">The </w:t>
      </w:r>
      <w:r w:rsidR="00DF041F" w:rsidRPr="00811AE3">
        <w:t>Potential Provider</w:t>
      </w:r>
      <w:r w:rsidRPr="00811AE3">
        <w:t xml:space="preserve"> shall not make (direct or indirect) contact with any em</w:t>
      </w:r>
      <w:r w:rsidR="00862316" w:rsidRPr="00811AE3">
        <w:t>ployee, agent</w:t>
      </w:r>
      <w:r w:rsidR="00495FAB">
        <w:t>, councillor</w:t>
      </w:r>
      <w:r w:rsidR="00862316" w:rsidRPr="00811AE3">
        <w:t xml:space="preserve"> or consultant of t</w:t>
      </w:r>
      <w:r w:rsidRPr="00811AE3">
        <w:t xml:space="preserve">he Authority who are in any way connected with this procurement exercise, </w:t>
      </w:r>
      <w:r w:rsidR="00862316" w:rsidRPr="00811AE3">
        <w:t>unless instructed otherwise by t</w:t>
      </w:r>
      <w:r w:rsidRPr="00811AE3">
        <w:t xml:space="preserve">he Authority </w:t>
      </w:r>
      <w:bookmarkStart w:id="6" w:name="_DV_M233"/>
      <w:bookmarkStart w:id="7" w:name="_DV_M234"/>
      <w:bookmarkStart w:id="8" w:name="_DV_M235"/>
      <w:bookmarkStart w:id="9" w:name="_DV_M236"/>
      <w:bookmarkStart w:id="10" w:name="_DV_M237"/>
      <w:bookmarkStart w:id="11" w:name="_DV_M238"/>
      <w:bookmarkStart w:id="12" w:name="_DV_M239"/>
      <w:bookmarkStart w:id="13" w:name="_DV_M242"/>
      <w:bookmarkStart w:id="14" w:name="_DV_M243"/>
      <w:bookmarkStart w:id="15" w:name="_DV_M245"/>
      <w:bookmarkStart w:id="16" w:name="_DV_M247"/>
      <w:bookmarkStart w:id="17" w:name="_DV_M249"/>
      <w:bookmarkEnd w:id="6"/>
      <w:bookmarkEnd w:id="7"/>
      <w:bookmarkEnd w:id="8"/>
      <w:bookmarkEnd w:id="9"/>
      <w:bookmarkEnd w:id="10"/>
      <w:bookmarkEnd w:id="11"/>
      <w:bookmarkEnd w:id="12"/>
      <w:bookmarkEnd w:id="13"/>
      <w:bookmarkEnd w:id="14"/>
      <w:bookmarkEnd w:id="15"/>
      <w:bookmarkEnd w:id="16"/>
      <w:bookmarkEnd w:id="17"/>
      <w:r w:rsidRPr="00811AE3">
        <w:t xml:space="preserve">via the </w:t>
      </w:r>
      <w:r w:rsidR="00A9156B" w:rsidRPr="00811AE3">
        <w:t>Procurement</w:t>
      </w:r>
      <w:r w:rsidRPr="00811AE3">
        <w:t xml:space="preserve"> Portal’s messaging facility.</w:t>
      </w:r>
    </w:p>
    <w:p w14:paraId="4DBED7C3" w14:textId="71293F0E" w:rsidR="009B75EA" w:rsidRPr="00811AE3" w:rsidRDefault="00DF041F" w:rsidP="00811AE3">
      <w:pPr>
        <w:pStyle w:val="ANumberedText"/>
      </w:pPr>
      <w:r w:rsidRPr="00811AE3">
        <w:lastRenderedPageBreak/>
        <w:t>Potential Providers</w:t>
      </w:r>
      <w:r w:rsidR="009B75EA" w:rsidRPr="00811AE3">
        <w:t xml:space="preserve"> shall accept and acknow</w:t>
      </w:r>
      <w:r w:rsidR="00184DAC" w:rsidRPr="00811AE3">
        <w:t xml:space="preserve">ledge that by issuing this </w:t>
      </w:r>
      <w:r w:rsidR="00447D9A">
        <w:t>DPS</w:t>
      </w:r>
      <w:r w:rsidR="00184DAC" w:rsidRPr="00811AE3">
        <w:t xml:space="preserve"> </w:t>
      </w:r>
      <w:r w:rsidR="00862316" w:rsidRPr="00811AE3">
        <w:t>the Auth</w:t>
      </w:r>
      <w:r w:rsidR="009B75EA" w:rsidRPr="00811AE3">
        <w:t xml:space="preserve">ority shall not be bound to accept any </w:t>
      </w:r>
      <w:r w:rsidR="00B742EF">
        <w:t>application</w:t>
      </w:r>
      <w:r w:rsidR="009B75EA" w:rsidRPr="00811AE3">
        <w:t xml:space="preserve"> and reserves the right not to conclude a contract for some or all of the</w:t>
      </w:r>
      <w:r w:rsidR="00113685">
        <w:t xml:space="preserve"> service</w:t>
      </w:r>
      <w:r w:rsidR="009B75EA" w:rsidRPr="00811AE3">
        <w:t xml:space="preserve"> for which </w:t>
      </w:r>
      <w:proofErr w:type="spellStart"/>
      <w:r w:rsidR="00113685">
        <w:t>applcation</w:t>
      </w:r>
      <w:r w:rsidR="009B75EA" w:rsidRPr="00811AE3">
        <w:t>s</w:t>
      </w:r>
      <w:proofErr w:type="spellEnd"/>
      <w:r w:rsidR="009B75EA" w:rsidRPr="00811AE3">
        <w:t xml:space="preserve"> are invited.</w:t>
      </w:r>
    </w:p>
    <w:p w14:paraId="2D68219E" w14:textId="04BEFFAE" w:rsidR="009B75EA" w:rsidRPr="001A1BDB" w:rsidRDefault="009B75EA" w:rsidP="00811AE3">
      <w:pPr>
        <w:pStyle w:val="ANumberedText"/>
      </w:pPr>
      <w:r w:rsidRPr="00811AE3">
        <w:t xml:space="preserve">Where </w:t>
      </w:r>
      <w:r w:rsidR="00DF041F" w:rsidRPr="00811AE3">
        <w:t>Potential Providers</w:t>
      </w:r>
      <w:r w:rsidRPr="00811AE3">
        <w:t xml:space="preserve"> are required to submit an attached document in response to a question, attachments must be submitted in an acceptable format to </w:t>
      </w:r>
      <w:r w:rsidR="00862316" w:rsidRPr="00811AE3">
        <w:t>the Auth</w:t>
      </w:r>
      <w:r w:rsidR="00184DAC" w:rsidRPr="00811AE3">
        <w:t>ority</w:t>
      </w:r>
      <w:r w:rsidRPr="00811AE3">
        <w:t>.</w:t>
      </w:r>
      <w:r w:rsidR="00394E94" w:rsidRPr="00811AE3">
        <w:t xml:space="preserve"> When uploading attachments, please include the question number only as lengthy file names will prevent the authority from accessing the file content.</w:t>
      </w:r>
      <w:r w:rsidRPr="00811AE3">
        <w:t xml:space="preserve"> Acceptable formats include MS Word, MS Excel, MS PowerPoint, </w:t>
      </w:r>
      <w:proofErr w:type="gramStart"/>
      <w:r w:rsidRPr="00811AE3">
        <w:t>JPEGs</w:t>
      </w:r>
      <w:proofErr w:type="gramEnd"/>
      <w:r w:rsidRPr="00811AE3">
        <w:t xml:space="preserve"> and PDF files. </w:t>
      </w:r>
      <w:r w:rsidR="00DF041F" w:rsidRPr="00811AE3">
        <w:t>Potential Providers</w:t>
      </w:r>
      <w:r w:rsidRPr="00811AE3">
        <w:t xml:space="preserve"> who wish to submit an attachment in an alternative format should first check with </w:t>
      </w:r>
      <w:r w:rsidR="00862316" w:rsidRPr="00811AE3">
        <w:t>the Auth</w:t>
      </w:r>
      <w:r w:rsidRPr="00811AE3">
        <w:t xml:space="preserve">ority via the </w:t>
      </w:r>
      <w:r w:rsidR="00A9156B" w:rsidRPr="00811AE3">
        <w:t>Procurement</w:t>
      </w:r>
      <w:r w:rsidRPr="00811AE3">
        <w:t xml:space="preserve"> Portal (</w:t>
      </w:r>
      <w:proofErr w:type="spellStart"/>
      <w:r w:rsidR="00383504" w:rsidRPr="001A1BDB">
        <w:t>ProContract</w:t>
      </w:r>
      <w:proofErr w:type="spellEnd"/>
      <w:r w:rsidRPr="001A1BDB">
        <w:t xml:space="preserve">) that it will be accepted. The </w:t>
      </w:r>
      <w:r w:rsidR="00184DAC" w:rsidRPr="001A1BDB">
        <w:t>Authority</w:t>
      </w:r>
      <w:r w:rsidRPr="001A1BDB">
        <w:t xml:space="preserve"> reserves the right to deem a response incomplete if a </w:t>
      </w:r>
      <w:r w:rsidR="00DF041F" w:rsidRPr="001A1BDB">
        <w:t>Potential Provider</w:t>
      </w:r>
      <w:r w:rsidRPr="001A1BDB">
        <w:t xml:space="preserve"> does not submit an attachment in t</w:t>
      </w:r>
      <w:r w:rsidR="00184DAC" w:rsidRPr="001A1BDB">
        <w:t xml:space="preserve">he above named formats without </w:t>
      </w:r>
      <w:r w:rsidR="00862316" w:rsidRPr="001A1BDB">
        <w:t>the Auth</w:t>
      </w:r>
      <w:r w:rsidRPr="001A1BDB">
        <w:t>ority’s prior approval.</w:t>
      </w:r>
    </w:p>
    <w:p w14:paraId="0EDE72B5" w14:textId="05DC9E08" w:rsidR="009B75EA" w:rsidRDefault="009B75EA" w:rsidP="00811AE3">
      <w:pPr>
        <w:pStyle w:val="ANumberedText"/>
      </w:pPr>
      <w:r w:rsidRPr="001A1BDB">
        <w:t xml:space="preserve">The Authority reserves the right to amend, add to or withdraw all or any Section of this </w:t>
      </w:r>
      <w:r w:rsidR="001A1BDB" w:rsidRPr="001A1BDB">
        <w:t>DPS</w:t>
      </w:r>
      <w:r w:rsidRPr="001A1BDB">
        <w:t xml:space="preserve"> at any time d</w:t>
      </w:r>
      <w:r w:rsidR="001A1BDB" w:rsidRPr="001A1BDB">
        <w:t>uring the procurement exercise.</w:t>
      </w:r>
    </w:p>
    <w:p w14:paraId="6ECA2B5D" w14:textId="380CEBFA" w:rsidR="00657720" w:rsidRPr="001A1BDB" w:rsidRDefault="00657720" w:rsidP="00657720">
      <w:pPr>
        <w:pStyle w:val="ANumberedText"/>
      </w:pPr>
      <w:r>
        <w:t>WHAT IS A DPS (DYNAMIC PURCHASING SYSTEM)?</w:t>
      </w:r>
    </w:p>
    <w:p w14:paraId="13D9282B" w14:textId="77777777" w:rsidR="00657720" w:rsidRPr="00A261B5" w:rsidRDefault="00657720" w:rsidP="00657720">
      <w:pPr>
        <w:pStyle w:val="ANumberedText2"/>
      </w:pPr>
      <w:r w:rsidRPr="003D2CF9">
        <w:t xml:space="preserve">A DPS is a completely electronic tendering system for the selection of Potential Providers, who comply with minimum service requirements. </w:t>
      </w:r>
    </w:p>
    <w:p w14:paraId="0CE6C7DA" w14:textId="77777777" w:rsidR="00657720" w:rsidRPr="00A261B5" w:rsidRDefault="00657720" w:rsidP="00657720">
      <w:pPr>
        <w:pStyle w:val="ANumberedText2"/>
      </w:pPr>
      <w:r w:rsidRPr="003D2CF9">
        <w:t>The Authority must produce a service specification that indicates the nature of the services intended to be purchased under the DPS</w:t>
      </w:r>
      <w:r>
        <w:t xml:space="preserve"> (please see separate attachment)</w:t>
      </w:r>
      <w:r w:rsidRPr="003D2CF9">
        <w:t>.</w:t>
      </w:r>
    </w:p>
    <w:p w14:paraId="0C8D9B97" w14:textId="77777777" w:rsidR="00657720" w:rsidRPr="00A261B5" w:rsidRDefault="00657720" w:rsidP="00657720">
      <w:pPr>
        <w:pStyle w:val="ANumberedText2"/>
      </w:pPr>
      <w:r w:rsidRPr="003D2CF9">
        <w:t>A DPS must remain open throughout its duration for the admission of any Potential Provider that meets the minimum service requirements.</w:t>
      </w:r>
    </w:p>
    <w:p w14:paraId="2F969579" w14:textId="77777777" w:rsidR="00657720" w:rsidRDefault="00657720" w:rsidP="00657720">
      <w:pPr>
        <w:pStyle w:val="ANumberedText2"/>
      </w:pPr>
      <w:r w:rsidRPr="003D2CF9">
        <w:t xml:space="preserve">The Authority is therefore able to add Potential Providers to the DPS throughout its duration, providing Potential Providers meet the minimum service specification and </w:t>
      </w:r>
      <w:proofErr w:type="gramStart"/>
      <w:r w:rsidRPr="003D2CF9">
        <w:t xml:space="preserve">submit an </w:t>
      </w:r>
      <w:r>
        <w:t>Application</w:t>
      </w:r>
      <w:proofErr w:type="gramEnd"/>
      <w:r w:rsidRPr="003D2CF9">
        <w:t>, which is found to be compliant.</w:t>
      </w:r>
    </w:p>
    <w:p w14:paraId="5C991B1C" w14:textId="3F07C8AE" w:rsidR="00657720" w:rsidRDefault="002631A5" w:rsidP="00657720">
      <w:pPr>
        <w:pStyle w:val="ANumberedText"/>
        <w:rPr>
          <w:snapToGrid w:val="0"/>
        </w:rPr>
      </w:pPr>
      <w:r>
        <w:rPr>
          <w:snapToGrid w:val="0"/>
        </w:rPr>
        <w:t>DPS FOR PUBLIC HEALTH PRIMARY CARE COMMISSIONING</w:t>
      </w:r>
    </w:p>
    <w:p w14:paraId="5E30D17B" w14:textId="6B1C26E0" w:rsidR="009632DB" w:rsidRPr="00275158" w:rsidRDefault="009632DB" w:rsidP="009632DB">
      <w:pPr>
        <w:pStyle w:val="ANumberedText2"/>
      </w:pPr>
      <w:r>
        <w:t>Please refer to the specification(s) for full details.</w:t>
      </w:r>
    </w:p>
    <w:p w14:paraId="1C7FA7C3" w14:textId="5155B9FD" w:rsidR="009632DB" w:rsidRDefault="009632DB" w:rsidP="009632DB">
      <w:pPr>
        <w:pStyle w:val="ANumberedText2"/>
      </w:pPr>
      <w:r w:rsidRPr="00B220FC">
        <w:t xml:space="preserve">All organisations wishing to deliver the </w:t>
      </w:r>
      <w:r>
        <w:t xml:space="preserve">below </w:t>
      </w:r>
      <w:r w:rsidRPr="00B220FC">
        <w:t xml:space="preserve">named Services from 1st </w:t>
      </w:r>
      <w:r w:rsidR="002908D8">
        <w:t>June</w:t>
      </w:r>
      <w:r w:rsidRPr="00B220FC">
        <w:t xml:space="preserve"> 2019 onward will need to apply to join the DPS. The initial “Round” for this DPS will be open for 30 calendar days. Following on from this, “Round 2” will then be open for 20 calendar days. Subsequent Rounds will then be open for 3 months at a time. This means that Applications can be submitted throughout the duration of the DPS, but the Authority will only process the applications on a quarterly basis from Round 3 onward. </w:t>
      </w:r>
    </w:p>
    <w:p w14:paraId="2B329AAE" w14:textId="2BF8AFDB" w:rsidR="009632DB" w:rsidRPr="00A261B5" w:rsidRDefault="009632DB" w:rsidP="009632DB">
      <w:pPr>
        <w:pStyle w:val="ANumberedText2"/>
      </w:pPr>
      <w:r>
        <w:t xml:space="preserve">The service specifications </w:t>
      </w:r>
      <w:r w:rsidRPr="00977190">
        <w:t xml:space="preserve">can be found in the </w:t>
      </w:r>
      <w:r>
        <w:t>Application documentation. They</w:t>
      </w:r>
      <w:r w:rsidRPr="00977190">
        <w:t xml:space="preserve"> outline the nature of the services to be provided under the DPS.</w:t>
      </w:r>
    </w:p>
    <w:p w14:paraId="74E7C3F9" w14:textId="77777777" w:rsidR="00AB0050" w:rsidRDefault="009632DB" w:rsidP="00AB0050">
      <w:pPr>
        <w:pStyle w:val="ANumberedText2"/>
      </w:pPr>
      <w:r w:rsidRPr="00977190">
        <w:t>Admission onto</w:t>
      </w:r>
      <w:r>
        <w:t xml:space="preserve"> the DPS shall not guarantee </w:t>
      </w:r>
      <w:r w:rsidRPr="00977190">
        <w:t>any award of Contracts.</w:t>
      </w:r>
    </w:p>
    <w:p w14:paraId="3B80E029" w14:textId="77777777" w:rsidR="00AB0050" w:rsidRPr="00AB0050" w:rsidRDefault="009632DB" w:rsidP="00AB0050">
      <w:pPr>
        <w:pStyle w:val="ANumberedText2"/>
      </w:pPr>
      <w:r>
        <w:lastRenderedPageBreak/>
        <w:t xml:space="preserve">Where a Potential Provider </w:t>
      </w:r>
      <w:r w:rsidRPr="00977190">
        <w:t xml:space="preserve">accepted onto the DPS demonstrates a failure to </w:t>
      </w:r>
      <w:r w:rsidRPr="00AB0050">
        <w:t>comply with the requirements of the service specification(s), they will be removed from the DPS.</w:t>
      </w:r>
    </w:p>
    <w:p w14:paraId="7CEF52BA" w14:textId="77777777" w:rsidR="00AB0050" w:rsidRPr="00AB0050" w:rsidRDefault="00AB0050" w:rsidP="00AB0050">
      <w:pPr>
        <w:pStyle w:val="ANumberedText2"/>
      </w:pPr>
      <w:r w:rsidRPr="00AB0050">
        <w:t>GP Providers can bid for the contract as individual practices or groups of practices/partnerships. Where more than one practice bids under one submission, then there should be an agreed representative who shall ensure that all practices meet the requirements of the contract and who shall support and manage providers to do this. As part of the bid, any practices/ branch sites within a group are required to be listed (Q9.1 of the GP ONLY DPS Questionnaire).</w:t>
      </w:r>
    </w:p>
    <w:p w14:paraId="7A2B1FE2" w14:textId="0E3F3F27" w:rsidR="00AB0050" w:rsidRPr="00AB0050" w:rsidRDefault="00AB0050" w:rsidP="00AB0050">
      <w:pPr>
        <w:pStyle w:val="ANumberedText2"/>
      </w:pPr>
      <w:r w:rsidRPr="00AB0050">
        <w:t>Pharmacies are asked to bid as a single organisation, rather than submitting separate applications for individual Pharmacies within the same organisation. There should be an agreed representative who shall ensure that all pharmacy sites signed up under the bid are aware of the submission, and subsequent expectations on them to deliver these Public Health Services. As part of the bid, Pharmacies within a group are required to be listed (Q9.1 of the Pharmacy ONLY DPS Questionnaire).</w:t>
      </w:r>
    </w:p>
    <w:p w14:paraId="242FAF79" w14:textId="792C20E6" w:rsidR="009632DB" w:rsidRDefault="008161A1" w:rsidP="008161A1">
      <w:pPr>
        <w:pStyle w:val="ANumberedText"/>
      </w:pPr>
      <w:r w:rsidRPr="008161A1">
        <w:t>SUSPENSION AND REMOVAL OF POTENTIAL PROVIDERS FROM THE DPS</w:t>
      </w:r>
    </w:p>
    <w:p w14:paraId="6DC7DF4D" w14:textId="77777777" w:rsidR="009632DB" w:rsidRDefault="009632DB" w:rsidP="009632DB">
      <w:pPr>
        <w:pStyle w:val="ANumberedText2"/>
      </w:pPr>
      <w:r>
        <w:t>Where a Council</w:t>
      </w:r>
      <w:r w:rsidRPr="00FC230C">
        <w:t xml:space="preserve"> Officer has placed restrictions on the deployment of a Provider under the Agreement due to performance, cap</w:t>
      </w:r>
      <w:r>
        <w:t>acity or capability factors, the Council</w:t>
      </w:r>
      <w:r w:rsidRPr="00FC230C">
        <w:t xml:space="preserve"> will </w:t>
      </w:r>
      <w:r>
        <w:t>suspend the Provider from the DPS</w:t>
      </w:r>
      <w:r w:rsidRPr="00FC230C">
        <w:t>. This arrangem</w:t>
      </w:r>
      <w:r>
        <w:t xml:space="preserve">ent will continue until the </w:t>
      </w:r>
      <w:r w:rsidRPr="00FC230C">
        <w:t xml:space="preserve">Officer has lifted all relevant restrictions in place with the Provider. </w:t>
      </w:r>
    </w:p>
    <w:p w14:paraId="27CE77D2" w14:textId="538C53EC" w:rsidR="009632DB" w:rsidRDefault="009632DB" w:rsidP="008161A1">
      <w:pPr>
        <w:pStyle w:val="ANumberedText2"/>
      </w:pPr>
      <w:r w:rsidRPr="00FC230C">
        <w:t xml:space="preserve">During any period of suspension, the Potential Provider will not be able to </w:t>
      </w:r>
      <w:r>
        <w:t xml:space="preserve">conduct </w:t>
      </w:r>
      <w:r w:rsidR="008161A1">
        <w:t>Services</w:t>
      </w:r>
      <w:r>
        <w:t xml:space="preserve"> under this DPS agreement</w:t>
      </w:r>
      <w:r w:rsidRPr="00FC230C">
        <w:t>.</w:t>
      </w:r>
    </w:p>
    <w:p w14:paraId="36D78E07" w14:textId="77777777" w:rsidR="009632DB" w:rsidRDefault="009632DB" w:rsidP="008161A1">
      <w:pPr>
        <w:pStyle w:val="ANumberedText2"/>
      </w:pPr>
      <w:r w:rsidRPr="00FC230C">
        <w:t>The Authority also reserves the right to remove any Potential Providers from the DPS</w:t>
      </w:r>
      <w:r>
        <w:t>, where they fail to comply with the requirements of the service specification</w:t>
      </w:r>
      <w:r w:rsidRPr="00FC230C">
        <w:t>.</w:t>
      </w:r>
    </w:p>
    <w:p w14:paraId="53D21F4E" w14:textId="22B4F095" w:rsidR="002631A5" w:rsidRPr="008161A1" w:rsidRDefault="009632DB" w:rsidP="008161A1">
      <w:pPr>
        <w:pStyle w:val="ANumberedText2"/>
      </w:pPr>
      <w:r w:rsidRPr="00FC230C">
        <w:t xml:space="preserve">Potential Providers are responsible for ensuring that they inform the Authority of any material changes to the information supplied in any </w:t>
      </w:r>
      <w:r>
        <w:t>Application</w:t>
      </w:r>
      <w:r w:rsidRPr="00FC230C">
        <w:t xml:space="preserve"> at any time during the term of the DPS. The Authority will consider material changes and decide if they impact upon the Potential Provider’s ability to comply with the requirements of the service specification.</w:t>
      </w:r>
    </w:p>
    <w:p w14:paraId="5490287B" w14:textId="77777777" w:rsidR="001864A2" w:rsidRPr="00811AE3" w:rsidRDefault="001864A2" w:rsidP="00811AE3">
      <w:pPr>
        <w:rPr>
          <w:highlight w:val="green"/>
        </w:rPr>
      </w:pPr>
    </w:p>
    <w:p w14:paraId="06E34819" w14:textId="77777777" w:rsidR="009B75EA" w:rsidRPr="00811AE3" w:rsidRDefault="009B75EA" w:rsidP="00811AE3">
      <w:pPr>
        <w:pStyle w:val="AHeading2"/>
      </w:pPr>
      <w:bookmarkStart w:id="18" w:name="_Toc425689159"/>
      <w:bookmarkStart w:id="19" w:name="_Toc4147438"/>
      <w:r w:rsidRPr="00811AE3">
        <w:t>CONFIDENTIALITY</w:t>
      </w:r>
      <w:bookmarkEnd w:id="18"/>
      <w:r w:rsidR="00135D72" w:rsidRPr="00811AE3">
        <w:t xml:space="preserve"> AND OWNERSHIP OF DOCUMENTS</w:t>
      </w:r>
      <w:bookmarkEnd w:id="19"/>
    </w:p>
    <w:p w14:paraId="58519F5A" w14:textId="73D964A6" w:rsidR="009B75EA" w:rsidRPr="00811AE3" w:rsidRDefault="009B75EA" w:rsidP="00811AE3">
      <w:pPr>
        <w:pStyle w:val="ANumberedText"/>
      </w:pPr>
      <w:bookmarkStart w:id="20" w:name="_Ref150568482"/>
      <w:bookmarkStart w:id="21" w:name="_Ref115661901"/>
      <w:r w:rsidRPr="00811AE3">
        <w:t>Subject to the exceptions referred to in Instruction</w:t>
      </w:r>
      <w:r w:rsidR="006344E9" w:rsidRPr="00811AE3">
        <w:t xml:space="preserve"> </w:t>
      </w:r>
      <w:r w:rsidR="00EE49EE" w:rsidRPr="00811AE3">
        <w:fldChar w:fldCharType="begin"/>
      </w:r>
      <w:r w:rsidR="006344E9" w:rsidRPr="00811AE3">
        <w:instrText xml:space="preserve"> REF _Ref115662027 \r \h </w:instrText>
      </w:r>
      <w:r w:rsidR="00811AE3">
        <w:instrText xml:space="preserve"> \* MERGEFORMAT </w:instrText>
      </w:r>
      <w:r w:rsidR="00EE49EE" w:rsidRPr="00811AE3">
        <w:fldChar w:fldCharType="separate"/>
      </w:r>
      <w:r w:rsidR="00FE4A83">
        <w:t>2.2.2</w:t>
      </w:r>
      <w:r w:rsidR="00EE49EE" w:rsidRPr="00811AE3">
        <w:fldChar w:fldCharType="end"/>
      </w:r>
      <w:r w:rsidRPr="00811AE3">
        <w:t xml:space="preserve">, the contents of this </w:t>
      </w:r>
      <w:r w:rsidR="00AE4D09">
        <w:t>DPS</w:t>
      </w:r>
      <w:r w:rsidRPr="00811AE3">
        <w:t xml:space="preserve"> a</w:t>
      </w:r>
      <w:r w:rsidR="00184DAC" w:rsidRPr="00811AE3">
        <w:t xml:space="preserve">nd any information supplied by </w:t>
      </w:r>
      <w:r w:rsidR="00862316" w:rsidRPr="00811AE3">
        <w:t>the Auth</w:t>
      </w:r>
      <w:r w:rsidRPr="00811AE3">
        <w:t xml:space="preserve">ority in connection with this </w:t>
      </w:r>
      <w:r w:rsidR="00AE4D09">
        <w:t>DPS</w:t>
      </w:r>
      <w:r w:rsidR="00184DAC" w:rsidRPr="00811AE3">
        <w:t xml:space="preserve"> are being made available by </w:t>
      </w:r>
      <w:r w:rsidR="00862316" w:rsidRPr="00811AE3">
        <w:t>the Auth</w:t>
      </w:r>
      <w:r w:rsidRPr="00811AE3">
        <w:t xml:space="preserve">ority on condition that </w:t>
      </w:r>
      <w:r w:rsidR="00DF041F" w:rsidRPr="00811AE3">
        <w:t>Potential Providers</w:t>
      </w:r>
      <w:r w:rsidRPr="00811AE3">
        <w:t xml:space="preserve"> shall:</w:t>
      </w:r>
      <w:bookmarkEnd w:id="20"/>
      <w:bookmarkEnd w:id="21"/>
    </w:p>
    <w:p w14:paraId="4E5B2958" w14:textId="0E852913" w:rsidR="009B75EA" w:rsidRPr="00811AE3" w:rsidRDefault="009B75EA" w:rsidP="00811AE3">
      <w:pPr>
        <w:pStyle w:val="ANumberedText2"/>
      </w:pPr>
      <w:r w:rsidRPr="00811AE3">
        <w:lastRenderedPageBreak/>
        <w:t xml:space="preserve">at all times treat the contents of the </w:t>
      </w:r>
      <w:r w:rsidR="00AE4D09">
        <w:t>DPS</w:t>
      </w:r>
      <w:r w:rsidRPr="00811AE3">
        <w:t xml:space="preserve"> and any related documents (together called the ‘Information’) as confidential, save in so far as they are already in the public </w:t>
      </w:r>
      <w:proofErr w:type="gramStart"/>
      <w:r w:rsidRPr="00811AE3">
        <w:t>domain;</w:t>
      </w:r>
      <w:proofErr w:type="gramEnd"/>
    </w:p>
    <w:p w14:paraId="1A4DF328" w14:textId="77777777" w:rsidR="009B75EA" w:rsidRPr="00811AE3" w:rsidRDefault="009B75EA" w:rsidP="00811AE3">
      <w:pPr>
        <w:pStyle w:val="ANumberedText2"/>
      </w:pPr>
      <w:r w:rsidRPr="00811AE3">
        <w:t xml:space="preserve">not disclose, copy, reproduce, distribute or pass any of the Information to any other person at any time or allow any of these things to </w:t>
      </w:r>
      <w:proofErr w:type="gramStart"/>
      <w:r w:rsidRPr="00811AE3">
        <w:t>happen;</w:t>
      </w:r>
      <w:proofErr w:type="gramEnd"/>
    </w:p>
    <w:p w14:paraId="3B76055F" w14:textId="459DEA97" w:rsidR="009B75EA" w:rsidRPr="00811AE3" w:rsidRDefault="009B75EA" w:rsidP="00811AE3">
      <w:pPr>
        <w:pStyle w:val="ANumberedText2"/>
      </w:pPr>
      <w:r w:rsidRPr="00811AE3">
        <w:t>not use any of the Information for any purpose other than for the purposes of submitting (or deciding whether to submit) a</w:t>
      </w:r>
      <w:r w:rsidR="00AE4D09">
        <w:t>n application</w:t>
      </w:r>
      <w:r w:rsidRPr="00811AE3">
        <w:t>; and</w:t>
      </w:r>
    </w:p>
    <w:p w14:paraId="39B8DE0F" w14:textId="77777777" w:rsidR="009B75EA" w:rsidRPr="00811AE3" w:rsidRDefault="009B75EA" w:rsidP="00811AE3">
      <w:pPr>
        <w:pStyle w:val="ANumberedText2"/>
      </w:pPr>
      <w:r w:rsidRPr="00811AE3">
        <w:t>not undertake any publicity activity within any section of the media.</w:t>
      </w:r>
    </w:p>
    <w:p w14:paraId="042BC968" w14:textId="77777777" w:rsidR="009B75EA" w:rsidRPr="00811AE3" w:rsidRDefault="00DF041F" w:rsidP="00811AE3">
      <w:pPr>
        <w:pStyle w:val="ANumberedText"/>
      </w:pPr>
      <w:bookmarkStart w:id="22" w:name="_Ref115662027"/>
      <w:r w:rsidRPr="00811AE3">
        <w:t>Potential Providers</w:t>
      </w:r>
      <w:r w:rsidR="009B75EA" w:rsidRPr="00811AE3">
        <w:t xml:space="preserve"> may disclose, </w:t>
      </w:r>
      <w:proofErr w:type="gramStart"/>
      <w:r w:rsidR="009B75EA" w:rsidRPr="00811AE3">
        <w:t>distribute</w:t>
      </w:r>
      <w:proofErr w:type="gramEnd"/>
      <w:r w:rsidR="009B75EA" w:rsidRPr="00811AE3">
        <w:t xml:space="preserve"> or pass any of the Information to the </w:t>
      </w:r>
      <w:r w:rsidRPr="00811AE3">
        <w:t>Potential Provider</w:t>
      </w:r>
      <w:r w:rsidR="009B75EA" w:rsidRPr="00811AE3">
        <w:t>’s advisers, sub-contractors or to another person provided that either:</w:t>
      </w:r>
      <w:bookmarkEnd w:id="22"/>
    </w:p>
    <w:p w14:paraId="1EDA5A19" w14:textId="19DF2AF0" w:rsidR="009B75EA" w:rsidRPr="00811AE3" w:rsidRDefault="009B75EA" w:rsidP="00811AE3">
      <w:pPr>
        <w:pStyle w:val="ANumberedText2"/>
      </w:pPr>
      <w:r w:rsidRPr="00811AE3">
        <w:t>this is done for the sole purpose of enabling a</w:t>
      </w:r>
      <w:r w:rsidR="00AE4D09">
        <w:t>n application</w:t>
      </w:r>
      <w:r w:rsidRPr="00811AE3">
        <w:t xml:space="preserve"> to be submitted and the person receiving the Information undertakes in writing to keep the Information confidential on the same terms as if that person were the </w:t>
      </w:r>
      <w:r w:rsidR="00DF041F" w:rsidRPr="00811AE3">
        <w:t>Potential Provider</w:t>
      </w:r>
      <w:r w:rsidRPr="00811AE3">
        <w:t>; or</w:t>
      </w:r>
    </w:p>
    <w:p w14:paraId="39BF3737" w14:textId="77777777" w:rsidR="009B75EA" w:rsidRPr="00811AE3" w:rsidRDefault="009B75EA" w:rsidP="00811AE3">
      <w:pPr>
        <w:pStyle w:val="ANumberedText2"/>
      </w:pPr>
      <w:r w:rsidRPr="00811AE3">
        <w:t xml:space="preserve">the </w:t>
      </w:r>
      <w:r w:rsidR="00DF041F" w:rsidRPr="00811AE3">
        <w:t>Potential Provider</w:t>
      </w:r>
      <w:r w:rsidRPr="00811AE3">
        <w:t xml:space="preserve"> obtain</w:t>
      </w:r>
      <w:r w:rsidR="00184DAC" w:rsidRPr="00811AE3">
        <w:t xml:space="preserve">s the prior written consent of </w:t>
      </w:r>
      <w:r w:rsidR="00862316" w:rsidRPr="00811AE3">
        <w:t>the Auth</w:t>
      </w:r>
      <w:r w:rsidRPr="00811AE3">
        <w:t>ority in relation to such disclosure, distribution or passing of Information; or</w:t>
      </w:r>
    </w:p>
    <w:p w14:paraId="77B6136A" w14:textId="77777777" w:rsidR="009B75EA" w:rsidRPr="00811AE3" w:rsidRDefault="009B75EA" w:rsidP="00811AE3">
      <w:pPr>
        <w:pStyle w:val="ANumberedText2"/>
      </w:pPr>
      <w:r w:rsidRPr="00811AE3">
        <w:t>the disclosure is made for the sole purpose of obtaining legal advice from external lawyers in relation to the procurement or to any contract arising from it; or</w:t>
      </w:r>
    </w:p>
    <w:p w14:paraId="1F13D2EE" w14:textId="77777777" w:rsidR="009B75EA" w:rsidRPr="00811AE3" w:rsidRDefault="009B75EA" w:rsidP="00811AE3">
      <w:pPr>
        <w:pStyle w:val="ANumberedText2"/>
      </w:pPr>
      <w:r w:rsidRPr="00811AE3">
        <w:t xml:space="preserve">the </w:t>
      </w:r>
      <w:r w:rsidR="00DF041F" w:rsidRPr="00811AE3">
        <w:t>Potential Provider</w:t>
      </w:r>
      <w:r w:rsidRPr="00811AE3">
        <w:t xml:space="preserve"> is legally required to make such a disclosure.</w:t>
      </w:r>
    </w:p>
    <w:p w14:paraId="568FAD08" w14:textId="5FF61CCC" w:rsidR="009B75EA" w:rsidRPr="005F5B1D" w:rsidRDefault="00122B69" w:rsidP="005F5B1D">
      <w:pPr>
        <w:pStyle w:val="ANumberedText"/>
      </w:pPr>
      <w:bookmarkStart w:id="23" w:name="_Ref117652832"/>
      <w:r w:rsidRPr="005F5B1D">
        <w:t xml:space="preserve">With regards to Instructions </w:t>
      </w:r>
      <w:r w:rsidR="00EE49EE" w:rsidRPr="005F5B1D">
        <w:fldChar w:fldCharType="begin"/>
      </w:r>
      <w:r w:rsidRPr="005F5B1D">
        <w:instrText xml:space="preserve"> REF _Ref150568482 \r \h </w:instrText>
      </w:r>
      <w:r w:rsidR="005F5B1D">
        <w:instrText xml:space="preserve"> \* MERGEFORMAT </w:instrText>
      </w:r>
      <w:r w:rsidR="00EE49EE" w:rsidRPr="005F5B1D">
        <w:fldChar w:fldCharType="separate"/>
      </w:r>
      <w:r w:rsidR="00FE4A83">
        <w:t>2.2.1</w:t>
      </w:r>
      <w:r w:rsidR="00EE49EE" w:rsidRPr="005F5B1D">
        <w:fldChar w:fldCharType="end"/>
      </w:r>
      <w:r w:rsidRPr="005F5B1D">
        <w:t xml:space="preserve"> and </w:t>
      </w:r>
      <w:r w:rsidR="00EE49EE" w:rsidRPr="005F5B1D">
        <w:fldChar w:fldCharType="begin"/>
      </w:r>
      <w:r w:rsidRPr="005F5B1D">
        <w:instrText xml:space="preserve"> REF _Ref115662027 \r \h </w:instrText>
      </w:r>
      <w:r w:rsidR="005F5B1D">
        <w:instrText xml:space="preserve"> \* MERGEFORMAT </w:instrText>
      </w:r>
      <w:r w:rsidR="00EE49EE" w:rsidRPr="005F5B1D">
        <w:fldChar w:fldCharType="separate"/>
      </w:r>
      <w:r w:rsidR="00FE4A83">
        <w:t>2.2.2</w:t>
      </w:r>
      <w:r w:rsidR="00EE49EE" w:rsidRPr="005F5B1D">
        <w:fldChar w:fldCharType="end"/>
      </w:r>
      <w:r w:rsidR="009B75EA" w:rsidRPr="005F5B1D">
        <w:t xml:space="preserve"> above the definition of ‘person’ includes but is not limited to any person, individual, firm, organisation, body or association, corporate or incorporate.</w:t>
      </w:r>
    </w:p>
    <w:p w14:paraId="60EDEB10" w14:textId="4DAB28AD" w:rsidR="00135D72" w:rsidRPr="005F5B1D" w:rsidRDefault="00135D72" w:rsidP="005F5B1D">
      <w:pPr>
        <w:pStyle w:val="ANumberedText"/>
      </w:pPr>
      <w:r w:rsidRPr="005F5B1D">
        <w:t xml:space="preserve">The copyright in all the documents that constitute the Contract shall vest in the </w:t>
      </w:r>
      <w:r w:rsidR="006253DD" w:rsidRPr="005F5B1D">
        <w:t>Authority</w:t>
      </w:r>
      <w:r w:rsidRPr="005F5B1D">
        <w:t xml:space="preserve"> and all such documents and all copies thereof are and shall remain the property of the </w:t>
      </w:r>
      <w:r w:rsidR="006253DD" w:rsidRPr="005F5B1D">
        <w:t xml:space="preserve">Authority </w:t>
      </w:r>
      <w:r w:rsidRPr="005F5B1D">
        <w:t xml:space="preserve">and must be returned to the </w:t>
      </w:r>
      <w:r w:rsidR="006253DD" w:rsidRPr="005F5B1D">
        <w:t xml:space="preserve">Authority </w:t>
      </w:r>
      <w:r w:rsidRPr="005F5B1D">
        <w:t>upon demand</w:t>
      </w:r>
      <w:r w:rsidR="00B607B6" w:rsidRPr="005F5B1D">
        <w:t>.</w:t>
      </w:r>
    </w:p>
    <w:p w14:paraId="225FB8E1" w14:textId="77777777" w:rsidR="0087306E" w:rsidRPr="005F5B1D" w:rsidRDefault="0087306E" w:rsidP="005F5B1D"/>
    <w:p w14:paraId="4D445113" w14:textId="1F49B069" w:rsidR="00135D72" w:rsidRPr="005F5B1D" w:rsidRDefault="00135D72" w:rsidP="005F5B1D">
      <w:pPr>
        <w:pStyle w:val="AHeading2"/>
      </w:pPr>
      <w:bookmarkStart w:id="24" w:name="_Toc4147439"/>
      <w:bookmarkStart w:id="25" w:name="_Toc425689160"/>
      <w:bookmarkEnd w:id="23"/>
      <w:r w:rsidRPr="005F5B1D">
        <w:t>TRANSFER OF UNDERTAKI</w:t>
      </w:r>
      <w:r w:rsidR="00056A4D">
        <w:t xml:space="preserve">NGS (PROTECTION OF EMPLOYMENT) </w:t>
      </w:r>
      <w:r w:rsidRPr="005F5B1D">
        <w:t>REGULATIONS 2006</w:t>
      </w:r>
      <w:bookmarkEnd w:id="24"/>
      <w:r w:rsidR="0069114B" w:rsidRPr="005F5B1D">
        <w:t xml:space="preserve"> </w:t>
      </w:r>
    </w:p>
    <w:p w14:paraId="50E72EBA" w14:textId="79BA6F02" w:rsidR="00794FBC" w:rsidRPr="005F5B1D" w:rsidRDefault="00DF041F" w:rsidP="005F5B1D">
      <w:pPr>
        <w:pStyle w:val="ANumberedText"/>
      </w:pPr>
      <w:r w:rsidRPr="005F5B1D">
        <w:t>Potential Providers</w:t>
      </w:r>
      <w:r w:rsidR="00135D72" w:rsidRPr="005F5B1D">
        <w:t xml:space="preserve"> are advised that the </w:t>
      </w:r>
      <w:r w:rsidR="006253DD" w:rsidRPr="005F5B1D">
        <w:t>Authority</w:t>
      </w:r>
      <w:r w:rsidR="00135D72" w:rsidRPr="005F5B1D">
        <w:t xml:space="preserve"> believes that the transfer of undertakings (protection of </w:t>
      </w:r>
      <w:r w:rsidR="00135D72" w:rsidRPr="00AE4D09">
        <w:t>employment) regulations 2006 and/or European Communit</w:t>
      </w:r>
      <w:r w:rsidR="00A40263" w:rsidRPr="00AE4D09">
        <w:t>ies acquired rights directive 2001/23EC</w:t>
      </w:r>
      <w:r w:rsidR="00135D72" w:rsidRPr="00AE4D09">
        <w:t xml:space="preserve"> do not apply</w:t>
      </w:r>
      <w:r w:rsidR="00135D72" w:rsidRPr="005F5B1D">
        <w:t xml:space="preserve"> to this contract at its commencement. </w:t>
      </w:r>
    </w:p>
    <w:p w14:paraId="4FF873D4" w14:textId="0041AB2C" w:rsidR="00A40263" w:rsidRPr="005F5B1D" w:rsidRDefault="008206A7" w:rsidP="005F5B1D">
      <w:pPr>
        <w:pStyle w:val="ANumberedText"/>
      </w:pPr>
      <w:r w:rsidRPr="005F5B1D">
        <w:t xml:space="preserve">However, </w:t>
      </w:r>
      <w:r w:rsidR="00DF041F" w:rsidRPr="005F5B1D">
        <w:t>Potential Providers</w:t>
      </w:r>
      <w:r w:rsidR="00135D72" w:rsidRPr="005F5B1D">
        <w:t xml:space="preserve"> must satisfy themselves as to </w:t>
      </w:r>
      <w:proofErr w:type="gramStart"/>
      <w:r w:rsidR="00135D72" w:rsidRPr="005F5B1D">
        <w:t>whether</w:t>
      </w:r>
      <w:r w:rsidR="0069114B" w:rsidRPr="005F5B1D">
        <w:t xml:space="preserve"> or not</w:t>
      </w:r>
      <w:proofErr w:type="gramEnd"/>
      <w:r w:rsidR="0069114B" w:rsidRPr="005F5B1D">
        <w:t xml:space="preserve"> in their view the TUPE </w:t>
      </w:r>
      <w:r w:rsidR="00135D72" w:rsidRPr="005F5B1D">
        <w:t>regulations will apply</w:t>
      </w:r>
      <w:r w:rsidRPr="005F5B1D">
        <w:t xml:space="preserve"> and the extent of their obligations in relation to pensions. </w:t>
      </w:r>
      <w:r w:rsidR="00DF041F" w:rsidRPr="005F5B1D">
        <w:t>Potential Providers</w:t>
      </w:r>
      <w:r w:rsidR="00135D72" w:rsidRPr="005F5B1D">
        <w:t xml:space="preserve"> are advised to seek independent professional advice on the consequences for them if they are the successful </w:t>
      </w:r>
      <w:r w:rsidR="00DF041F" w:rsidRPr="005F5B1D">
        <w:t>Potential Provider</w:t>
      </w:r>
      <w:r w:rsidR="00135D72" w:rsidRPr="005F5B1D">
        <w:t xml:space="preserve"> and the TUPE regulations are held to be applicable.</w:t>
      </w:r>
      <w:r w:rsidR="00A40263" w:rsidRPr="005F5B1D">
        <w:t xml:space="preserve"> </w:t>
      </w:r>
    </w:p>
    <w:p w14:paraId="7F32EC9C" w14:textId="77777777" w:rsidR="00135D72" w:rsidRPr="005F5B1D" w:rsidRDefault="00DF041F" w:rsidP="005F5B1D">
      <w:pPr>
        <w:pStyle w:val="ANumberedText"/>
      </w:pPr>
      <w:r w:rsidRPr="005F5B1D">
        <w:lastRenderedPageBreak/>
        <w:t>Potential Providers</w:t>
      </w:r>
      <w:r w:rsidR="00135D72" w:rsidRPr="005F5B1D">
        <w:t xml:space="preserve"> should also note that the successful </w:t>
      </w:r>
      <w:r w:rsidRPr="005F5B1D">
        <w:t>Potential Provider</w:t>
      </w:r>
      <w:r w:rsidR="00135D72" w:rsidRPr="005F5B1D">
        <w:t xml:space="preserve"> sha</w:t>
      </w:r>
      <w:r w:rsidR="006A58CF" w:rsidRPr="005F5B1D">
        <w:t xml:space="preserve">ll, at the end of its Contract </w:t>
      </w:r>
      <w:r w:rsidR="00135D72" w:rsidRPr="005F5B1D">
        <w:t xml:space="preserve">with the </w:t>
      </w:r>
      <w:r w:rsidR="00581BCC" w:rsidRPr="005F5B1D">
        <w:t>Authority</w:t>
      </w:r>
      <w:r w:rsidR="00135D72" w:rsidRPr="005F5B1D">
        <w:t xml:space="preserve">, be required, where appropriate, to supply details of its workforce engaged </w:t>
      </w:r>
      <w:r w:rsidR="008831F9" w:rsidRPr="005F5B1D">
        <w:t>in the provision of</w:t>
      </w:r>
      <w:r w:rsidR="00135D72" w:rsidRPr="005F5B1D">
        <w:t xml:space="preserve"> the services (and that of any relevant sub-contractors and any information</w:t>
      </w:r>
      <w:r w:rsidR="008831F9" w:rsidRPr="005F5B1D">
        <w:t xml:space="preserve"> relating to it</w:t>
      </w:r>
      <w:r w:rsidR="00135D72" w:rsidRPr="005F5B1D">
        <w:t xml:space="preserve"> as the </w:t>
      </w:r>
      <w:r w:rsidR="00581BCC" w:rsidRPr="005F5B1D">
        <w:t xml:space="preserve">Authority </w:t>
      </w:r>
      <w:r w:rsidR="00135D72" w:rsidRPr="005F5B1D">
        <w:t xml:space="preserve">reasonably requires). </w:t>
      </w:r>
    </w:p>
    <w:p w14:paraId="6A1BA0D7" w14:textId="77777777" w:rsidR="00135D72" w:rsidRPr="005F5B1D" w:rsidRDefault="00135D72" w:rsidP="005F5B1D"/>
    <w:p w14:paraId="40F6425B" w14:textId="77777777" w:rsidR="009B75EA" w:rsidRPr="005F5B1D" w:rsidRDefault="009B75EA" w:rsidP="005F5B1D">
      <w:pPr>
        <w:pStyle w:val="AHeading2"/>
      </w:pPr>
      <w:bookmarkStart w:id="26" w:name="_Toc4147440"/>
      <w:r w:rsidRPr="005F5B1D">
        <w:t>FREEDOM OF INFORMATION</w:t>
      </w:r>
      <w:r w:rsidR="002F1223" w:rsidRPr="005F5B1D">
        <w:t xml:space="preserve"> </w:t>
      </w:r>
      <w:r w:rsidRPr="005F5B1D">
        <w:t>/ GOVERNMENT TRANSPARENCY AGENDA</w:t>
      </w:r>
      <w:bookmarkEnd w:id="25"/>
      <w:bookmarkEnd w:id="26"/>
    </w:p>
    <w:p w14:paraId="425C6644" w14:textId="77777777" w:rsidR="009B75EA" w:rsidRPr="005F5B1D" w:rsidRDefault="009B75EA" w:rsidP="005F5B1D">
      <w:pPr>
        <w:pStyle w:val="ANumberedText"/>
      </w:pPr>
      <w:bookmarkStart w:id="27" w:name="_Ref149547605"/>
      <w:bookmarkStart w:id="28" w:name="_Toc425689161"/>
      <w:r w:rsidRPr="005F5B1D">
        <w:t>In accordance with the obligations and duties placed upon public authorities by the Freedom of Information Act 2000 with 2012 updates (the ‘FOIA’), and the Local Gov</w:t>
      </w:r>
      <w:r w:rsidR="00184DAC" w:rsidRPr="005F5B1D">
        <w:t xml:space="preserve">ernment Transparency Code 2014 </w:t>
      </w:r>
      <w:r w:rsidR="00862316" w:rsidRPr="005F5B1D">
        <w:t>the Auth</w:t>
      </w:r>
      <w:r w:rsidRPr="005F5B1D">
        <w:t xml:space="preserve">ority may, acting in accordance with the Secretary of State’s Code of Practice on the Discharge of the Functions of Public </w:t>
      </w:r>
      <w:r w:rsidR="00B04CBB" w:rsidRPr="005F5B1D">
        <w:t>a</w:t>
      </w:r>
      <w:r w:rsidRPr="005F5B1D">
        <w:t>uthorities under Section 1 of the said Act, or the Environmental Information Regulation (the “EIR”) be required to disclose information submitted b</w:t>
      </w:r>
      <w:r w:rsidR="00184DAC" w:rsidRPr="005F5B1D">
        <w:t xml:space="preserve">y the </w:t>
      </w:r>
      <w:r w:rsidR="00DF041F" w:rsidRPr="005F5B1D">
        <w:t>Potential Provider</w:t>
      </w:r>
      <w:r w:rsidR="00184DAC" w:rsidRPr="005F5B1D">
        <w:t xml:space="preserve"> to </w:t>
      </w:r>
      <w:r w:rsidR="00862316" w:rsidRPr="005F5B1D">
        <w:t>the Auth</w:t>
      </w:r>
      <w:r w:rsidRPr="005F5B1D">
        <w:t>ority.</w:t>
      </w:r>
      <w:bookmarkEnd w:id="27"/>
      <w:bookmarkEnd w:id="28"/>
    </w:p>
    <w:p w14:paraId="6DCC03EF" w14:textId="443F737A" w:rsidR="009B75EA" w:rsidRPr="005F5B1D" w:rsidRDefault="009B75EA" w:rsidP="005F5B1D">
      <w:pPr>
        <w:pStyle w:val="ANumberedText"/>
      </w:pPr>
      <w:bookmarkStart w:id="29" w:name="_Toc425689162"/>
      <w:r w:rsidRPr="005F5B1D">
        <w:t xml:space="preserve">In respect of any information submitted by a </w:t>
      </w:r>
      <w:r w:rsidR="00DF041F" w:rsidRPr="005F5B1D">
        <w:t>Potential Provider</w:t>
      </w:r>
      <w:r w:rsidRPr="005F5B1D">
        <w:t xml:space="preserve"> that it considers to be commercially sensitive the </w:t>
      </w:r>
      <w:r w:rsidR="00DF041F" w:rsidRPr="005F5B1D">
        <w:t>Potential Provider</w:t>
      </w:r>
      <w:r w:rsidRPr="005F5B1D">
        <w:t xml:space="preserve"> </w:t>
      </w:r>
      <w:r w:rsidRPr="005F5B1D">
        <w:rPr>
          <w:rStyle w:val="Strong"/>
        </w:rPr>
        <w:t>must complete</w:t>
      </w:r>
      <w:r w:rsidR="0069114B" w:rsidRPr="005F5B1D">
        <w:rPr>
          <w:rStyle w:val="Strong"/>
        </w:rPr>
        <w:t xml:space="preserve"> the</w:t>
      </w:r>
      <w:r w:rsidRPr="005F5B1D">
        <w:rPr>
          <w:rStyle w:val="Strong"/>
        </w:rPr>
        <w:t xml:space="preserve"> </w:t>
      </w:r>
      <w:r w:rsidR="00B027CE" w:rsidRPr="005F5B1D">
        <w:rPr>
          <w:rStyle w:val="Strong"/>
        </w:rPr>
        <w:t>‘Freedom of Information’</w:t>
      </w:r>
      <w:r w:rsidR="0069114B" w:rsidRPr="005F5B1D">
        <w:rPr>
          <w:rStyle w:val="Strong"/>
        </w:rPr>
        <w:t xml:space="preserve"> section</w:t>
      </w:r>
      <w:r w:rsidR="00B027CE" w:rsidRPr="005F5B1D">
        <w:rPr>
          <w:rStyle w:val="Strong"/>
        </w:rPr>
        <w:t xml:space="preserve"> within</w:t>
      </w:r>
      <w:r w:rsidRPr="005F5B1D">
        <w:rPr>
          <w:rStyle w:val="Strong"/>
        </w:rPr>
        <w:t xml:space="preserve"> the</w:t>
      </w:r>
      <w:r w:rsidR="00B027CE" w:rsidRPr="005F5B1D">
        <w:rPr>
          <w:rStyle w:val="Strong"/>
        </w:rPr>
        <w:t xml:space="preserve"> </w:t>
      </w:r>
      <w:r w:rsidR="00A9156B" w:rsidRPr="005F5B1D">
        <w:rPr>
          <w:rStyle w:val="Strong"/>
        </w:rPr>
        <w:t>online</w:t>
      </w:r>
      <w:r w:rsidR="00B027CE" w:rsidRPr="005F5B1D">
        <w:rPr>
          <w:rStyle w:val="Strong"/>
        </w:rPr>
        <w:t xml:space="preserve"> questionnaire</w:t>
      </w:r>
      <w:r w:rsidRPr="005F5B1D">
        <w:rPr>
          <w:rStyle w:val="Strong"/>
        </w:rPr>
        <w:t xml:space="preserve"> </w:t>
      </w:r>
      <w:r w:rsidR="00B027CE" w:rsidRPr="005F5B1D">
        <w:rPr>
          <w:rStyle w:val="Strong"/>
        </w:rPr>
        <w:t xml:space="preserve">for this </w:t>
      </w:r>
      <w:r w:rsidR="0027394C">
        <w:rPr>
          <w:rStyle w:val="Strong"/>
        </w:rPr>
        <w:t>DPS</w:t>
      </w:r>
      <w:r w:rsidR="00B027CE" w:rsidRPr="005F5B1D">
        <w:rPr>
          <w:rStyle w:val="Strong"/>
        </w:rPr>
        <w:t>. I</w:t>
      </w:r>
      <w:r w:rsidRPr="005F5B1D">
        <w:rPr>
          <w:rStyle w:val="Strong"/>
        </w:rPr>
        <w:t>f applicable</w:t>
      </w:r>
      <w:r w:rsidR="00925A29" w:rsidRPr="005F5B1D">
        <w:rPr>
          <w:rStyle w:val="Strong"/>
        </w:rPr>
        <w:t>,</w:t>
      </w:r>
      <w:r w:rsidRPr="005F5B1D">
        <w:rPr>
          <w:rStyle w:val="Strong"/>
        </w:rPr>
        <w:t xml:space="preserve"> </w:t>
      </w:r>
      <w:r w:rsidR="00B027CE" w:rsidRPr="005F5B1D">
        <w:rPr>
          <w:rStyle w:val="Strong"/>
        </w:rPr>
        <w:t>providers shall</w:t>
      </w:r>
      <w:r w:rsidRPr="005F5B1D">
        <w:rPr>
          <w:rStyle w:val="Strong"/>
        </w:rPr>
        <w:t xml:space="preserve"> adhere to </w:t>
      </w:r>
      <w:proofErr w:type="gramStart"/>
      <w:r w:rsidRPr="005F5B1D">
        <w:rPr>
          <w:rStyle w:val="Strong"/>
        </w:rPr>
        <w:t>ALL of</w:t>
      </w:r>
      <w:proofErr w:type="gramEnd"/>
      <w:r w:rsidRPr="005F5B1D">
        <w:rPr>
          <w:rStyle w:val="Strong"/>
        </w:rPr>
        <w:t xml:space="preserve"> the following:</w:t>
      </w:r>
      <w:bookmarkEnd w:id="29"/>
    </w:p>
    <w:p w14:paraId="46BFE1BC" w14:textId="77777777" w:rsidR="009B75EA" w:rsidRPr="000A13CF" w:rsidRDefault="00122B69" w:rsidP="000A13CF">
      <w:pPr>
        <w:pStyle w:val="ANumberedText2"/>
      </w:pPr>
      <w:r w:rsidRPr="000A13CF">
        <w:t>i</w:t>
      </w:r>
      <w:r w:rsidR="009B75EA" w:rsidRPr="000A13CF">
        <w:t xml:space="preserve">dentify such information as commercially </w:t>
      </w:r>
      <w:proofErr w:type="gramStart"/>
      <w:r w:rsidR="009B75EA" w:rsidRPr="000A13CF">
        <w:t>sensitive;</w:t>
      </w:r>
      <w:proofErr w:type="gramEnd"/>
    </w:p>
    <w:p w14:paraId="26167466" w14:textId="77777777" w:rsidR="0027394C" w:rsidRDefault="00122B69" w:rsidP="0027394C">
      <w:pPr>
        <w:pStyle w:val="ANumberedText2"/>
      </w:pPr>
      <w:r w:rsidRPr="000A13CF">
        <w:t>e</w:t>
      </w:r>
      <w:r w:rsidR="009B75EA" w:rsidRPr="000A13CF">
        <w:t>xplain the potential implications of disclosure of such information; and</w:t>
      </w:r>
    </w:p>
    <w:p w14:paraId="21F0066D" w14:textId="467C2FD1" w:rsidR="009B75EA" w:rsidRPr="000A13CF" w:rsidRDefault="00122B69" w:rsidP="0027394C">
      <w:pPr>
        <w:pStyle w:val="ANumberedText2"/>
      </w:pPr>
      <w:r w:rsidRPr="000A13CF">
        <w:t>p</w:t>
      </w:r>
      <w:r w:rsidR="009B75EA" w:rsidRPr="000A13CF">
        <w:t xml:space="preserve">rovide an estimate of the </w:t>
      </w:r>
      <w:proofErr w:type="gramStart"/>
      <w:r w:rsidR="009B75EA" w:rsidRPr="000A13CF">
        <w:t>period of time</w:t>
      </w:r>
      <w:proofErr w:type="gramEnd"/>
      <w:r w:rsidR="009B75EA" w:rsidRPr="000A13CF">
        <w:t xml:space="preserve"> during which the </w:t>
      </w:r>
      <w:r w:rsidR="00DF041F" w:rsidRPr="000A13CF">
        <w:t>Potential Provider</w:t>
      </w:r>
      <w:r w:rsidR="009B75EA" w:rsidRPr="000A13CF">
        <w:t xml:space="preserve"> believes that such information will remain commercially sensitive.</w:t>
      </w:r>
    </w:p>
    <w:p w14:paraId="10335499" w14:textId="4C336063" w:rsidR="009B75EA" w:rsidRPr="000A13CF" w:rsidRDefault="009B75EA" w:rsidP="000A13CF">
      <w:pPr>
        <w:pStyle w:val="ANumberedText"/>
      </w:pPr>
      <w:bookmarkStart w:id="30" w:name="_Toc425689163"/>
      <w:bookmarkStart w:id="31" w:name="_Ref149547621"/>
      <w:r w:rsidRPr="000A13CF">
        <w:t xml:space="preserve">Where a </w:t>
      </w:r>
      <w:r w:rsidR="00DF041F" w:rsidRPr="000A13CF">
        <w:t>Potential Provider</w:t>
      </w:r>
      <w:r w:rsidRPr="000A13CF">
        <w:t xml:space="preserve"> identifies informat</w:t>
      </w:r>
      <w:r w:rsidR="00184DAC" w:rsidRPr="000A13CF">
        <w:t xml:space="preserve">ion as commercially sensitive, </w:t>
      </w:r>
      <w:r w:rsidR="00862316" w:rsidRPr="000A13CF">
        <w:t>the Auth</w:t>
      </w:r>
      <w:r w:rsidRPr="000A13CF">
        <w:t xml:space="preserve">ority will endeavour to maintain privacy. </w:t>
      </w:r>
      <w:r w:rsidR="00DF041F" w:rsidRPr="000A13CF">
        <w:t>Potential Providers</w:t>
      </w:r>
      <w:r w:rsidRPr="000A13CF">
        <w:t xml:space="preserve"> should note, however, that, even where information is identif</w:t>
      </w:r>
      <w:r w:rsidR="00184DAC" w:rsidRPr="000A13CF">
        <w:t xml:space="preserve">ied as commercially sensitive, </w:t>
      </w:r>
      <w:r w:rsidR="00862316" w:rsidRPr="000A13CF">
        <w:t>the Auth</w:t>
      </w:r>
      <w:r w:rsidRPr="000A13CF">
        <w:t>ority may be required to disclose such information in accordance with the FOIA or the EIR or the Government Transparency Code 2014</w:t>
      </w:r>
      <w:r w:rsidR="00184DAC" w:rsidRPr="000A13CF">
        <w:t xml:space="preserve">. In particular, </w:t>
      </w:r>
      <w:r w:rsidR="00862316" w:rsidRPr="000A13CF">
        <w:t>the Auth</w:t>
      </w:r>
      <w:r w:rsidRPr="000A13CF">
        <w:t>ority is required to form an independent judgment concerning whether the information is exempt from disclosure under the FOIA or the EIR and whether the public interest favours di</w:t>
      </w:r>
      <w:r w:rsidR="00184DAC" w:rsidRPr="000A13CF">
        <w:t xml:space="preserve">sclosure or not. Accordingly, </w:t>
      </w:r>
      <w:r w:rsidR="00862316" w:rsidRPr="000A13CF">
        <w:t>the Auth</w:t>
      </w:r>
      <w:r w:rsidRPr="000A13CF">
        <w:t>ority cannot guarantee that any information marked ‘confidential’ or “commercially sensitive” w</w:t>
      </w:r>
      <w:r w:rsidR="00184DAC" w:rsidRPr="000A13CF">
        <w:t xml:space="preserve">ill not be disclosed. However, </w:t>
      </w:r>
      <w:r w:rsidR="00862316" w:rsidRPr="000A13CF">
        <w:t>the Auth</w:t>
      </w:r>
      <w:r w:rsidRPr="000A13CF">
        <w:t xml:space="preserve">ority will </w:t>
      </w:r>
      <w:proofErr w:type="gramStart"/>
      <w:r w:rsidRPr="000A13CF">
        <w:t>take into account</w:t>
      </w:r>
      <w:proofErr w:type="gramEnd"/>
      <w:r w:rsidRPr="000A13CF">
        <w:t xml:space="preserve"> the current Government Guidance on commercial interests prior to making any such disclosure.</w:t>
      </w:r>
      <w:bookmarkEnd w:id="30"/>
    </w:p>
    <w:p w14:paraId="1C41329F" w14:textId="055A8E13" w:rsidR="009B75EA" w:rsidRPr="000A13CF" w:rsidRDefault="009B75EA" w:rsidP="000A13CF">
      <w:pPr>
        <w:pStyle w:val="ANumberedText"/>
      </w:pPr>
      <w:bookmarkStart w:id="32" w:name="_Toc425689164"/>
      <w:r w:rsidRPr="000A13CF">
        <w:t xml:space="preserve">The </w:t>
      </w:r>
      <w:r w:rsidR="00DF041F" w:rsidRPr="000A13CF">
        <w:t>Potential Provider</w:t>
      </w:r>
      <w:r w:rsidRPr="000A13CF">
        <w:t xml:space="preserve"> acknowledges that, except for any information which is exempt from disclosure in accordance with the provisions of the FOIA, the content of the Contract is NOT confidential Information. The Authority shall be responsible for determining in its absolute discretion whether any of the content of the Contract is exempt from disclosure in accordance with the provision of the FOIA. Notwithstanding any term of this Contract, the </w:t>
      </w:r>
      <w:r w:rsidR="00DF041F" w:rsidRPr="000A13CF">
        <w:t>Potential Provider</w:t>
      </w:r>
      <w:r w:rsidRPr="000A13CF">
        <w:t xml:space="preserve"> </w:t>
      </w:r>
      <w:r w:rsidR="00184DAC" w:rsidRPr="000A13CF">
        <w:t xml:space="preserve">hereby gives their consent for </w:t>
      </w:r>
      <w:r w:rsidR="00862316" w:rsidRPr="000A13CF">
        <w:t>the Auth</w:t>
      </w:r>
      <w:r w:rsidRPr="000A13CF">
        <w:t xml:space="preserve">ority to publish the Contract in its entirety but with any information which is exempt from disclosure in accordance with the provisions of the FOIA redacted. Also redacted will be information submitted by the </w:t>
      </w:r>
      <w:r w:rsidR="00DF041F" w:rsidRPr="000A13CF">
        <w:t>Potential Provider</w:t>
      </w:r>
      <w:r w:rsidRPr="000A13CF">
        <w:t xml:space="preserve"> in </w:t>
      </w:r>
      <w:r w:rsidR="00E728EB" w:rsidRPr="000A13CF">
        <w:t>the Freedom of Information</w:t>
      </w:r>
      <w:r w:rsidRPr="000A13CF">
        <w:t xml:space="preserve"> </w:t>
      </w:r>
      <w:r w:rsidR="00E728EB" w:rsidRPr="000A13CF">
        <w:t xml:space="preserve">Section </w:t>
      </w:r>
      <w:r w:rsidRPr="000A13CF">
        <w:t xml:space="preserve">of this </w:t>
      </w:r>
      <w:r w:rsidR="00B742EF">
        <w:t>DPS</w:t>
      </w:r>
      <w:r w:rsidR="00184DAC" w:rsidRPr="000A13CF">
        <w:t xml:space="preserve"> where it is agreed by </w:t>
      </w:r>
      <w:r w:rsidR="00184DAC" w:rsidRPr="000A13CF">
        <w:lastRenderedPageBreak/>
        <w:t xml:space="preserve">both </w:t>
      </w:r>
      <w:r w:rsidR="00862316" w:rsidRPr="000A13CF">
        <w:t>the Auth</w:t>
      </w:r>
      <w:r w:rsidRPr="000A13CF">
        <w:t xml:space="preserve">ority and the </w:t>
      </w:r>
      <w:r w:rsidR="00DF041F" w:rsidRPr="000A13CF">
        <w:t>Potential Provider</w:t>
      </w:r>
      <w:r w:rsidRPr="000A13CF">
        <w:t xml:space="preserve"> to be commercially sensitive. This also includes from time to time agreed changes to the contract.</w:t>
      </w:r>
      <w:bookmarkEnd w:id="31"/>
      <w:bookmarkEnd w:id="32"/>
    </w:p>
    <w:p w14:paraId="065096DD" w14:textId="51F9A255" w:rsidR="009B75EA" w:rsidRPr="000A13CF" w:rsidRDefault="009B75EA" w:rsidP="000A13CF">
      <w:pPr>
        <w:pStyle w:val="ANumberedText"/>
      </w:pPr>
      <w:bookmarkStart w:id="33" w:name="_Toc425689165"/>
      <w:r w:rsidRPr="000A13CF">
        <w:t xml:space="preserve">The Authority is committed to being open, </w:t>
      </w:r>
      <w:proofErr w:type="gramStart"/>
      <w:r w:rsidRPr="000A13CF">
        <w:t>account</w:t>
      </w:r>
      <w:r w:rsidR="00184DAC" w:rsidRPr="000A13CF">
        <w:t>able</w:t>
      </w:r>
      <w:proofErr w:type="gramEnd"/>
      <w:r w:rsidR="00184DAC" w:rsidRPr="000A13CF">
        <w:t xml:space="preserve"> and transparent. As such, </w:t>
      </w:r>
      <w:r w:rsidR="00862316" w:rsidRPr="000A13CF">
        <w:t>the Auth</w:t>
      </w:r>
      <w:r w:rsidRPr="000A13CF">
        <w:t xml:space="preserve">ority publishes a range of information for </w:t>
      </w:r>
      <w:r w:rsidR="00AC5801" w:rsidRPr="000A13CF">
        <w:t>its</w:t>
      </w:r>
      <w:r w:rsidRPr="000A13CF">
        <w:t xml:space="preserve"> customers to access which is available on the below link:</w:t>
      </w:r>
      <w:bookmarkEnd w:id="33"/>
    </w:p>
    <w:p w14:paraId="2884DEBC" w14:textId="77777777" w:rsidR="00C72C90" w:rsidRPr="0027394C" w:rsidRDefault="00B21987" w:rsidP="000A13CF">
      <w:pPr>
        <w:pStyle w:val="AIndentedText"/>
      </w:pPr>
      <w:hyperlink r:id="rId13" w:history="1">
        <w:r w:rsidR="00C72C90" w:rsidRPr="0027394C">
          <w:rPr>
            <w:rStyle w:val="Hyperlink"/>
          </w:rPr>
          <w:t>https://www.cambridgeshire.gov.uk/data-protection-and-foi/open-data-and-website-statistics/open-data/</w:t>
        </w:r>
      </w:hyperlink>
    </w:p>
    <w:p w14:paraId="172D3445" w14:textId="77777777" w:rsidR="00246BB7" w:rsidRPr="000A13CF" w:rsidRDefault="00246BB7" w:rsidP="000A13CF"/>
    <w:p w14:paraId="3C3AE70D" w14:textId="02185E92" w:rsidR="009B75EA" w:rsidRPr="009557BF" w:rsidRDefault="0027394C" w:rsidP="009557BF">
      <w:pPr>
        <w:pStyle w:val="AHeading2"/>
      </w:pPr>
      <w:bookmarkStart w:id="34" w:name="_Toc4147441"/>
      <w:r>
        <w:t>APPLICATION</w:t>
      </w:r>
      <w:r w:rsidR="009B75EA" w:rsidRPr="009557BF">
        <w:t xml:space="preserve"> VALIDITY</w:t>
      </w:r>
      <w:bookmarkEnd w:id="34"/>
    </w:p>
    <w:p w14:paraId="3ABEA91A" w14:textId="0538CBE1" w:rsidR="009B75EA" w:rsidRPr="009557BF" w:rsidRDefault="009B75EA" w:rsidP="009557BF">
      <w:pPr>
        <w:pStyle w:val="ANumberedText"/>
      </w:pPr>
      <w:r w:rsidRPr="009557BF">
        <w:t xml:space="preserve">Your </w:t>
      </w:r>
      <w:r w:rsidR="0027394C">
        <w:t>application</w:t>
      </w:r>
      <w:r w:rsidRPr="009557BF">
        <w:t xml:space="preserve"> should remain open for acceptance </w:t>
      </w:r>
      <w:r w:rsidR="002F1223" w:rsidRPr="009557BF">
        <w:t xml:space="preserve">for period </w:t>
      </w:r>
      <w:r w:rsidR="002F1223" w:rsidRPr="0027394C">
        <w:t>of 180 days</w:t>
      </w:r>
      <w:r w:rsidRPr="0027394C">
        <w:t>.</w:t>
      </w:r>
      <w:r w:rsidR="0027394C">
        <w:t xml:space="preserve"> An application</w:t>
      </w:r>
      <w:r w:rsidRPr="009557BF">
        <w:t xml:space="preserve"> valid for a shorter period shall be automatically rejected.</w:t>
      </w:r>
    </w:p>
    <w:p w14:paraId="4AA48C7C" w14:textId="77777777" w:rsidR="000D4EE9" w:rsidRPr="009557BF" w:rsidRDefault="000D4EE9" w:rsidP="009557BF"/>
    <w:p w14:paraId="3F6A19F2" w14:textId="7C645A21" w:rsidR="009B75EA" w:rsidRPr="009557BF" w:rsidRDefault="009B75EA" w:rsidP="009557BF">
      <w:pPr>
        <w:pStyle w:val="AHeading2"/>
      </w:pPr>
      <w:bookmarkStart w:id="35" w:name="_Toc4147442"/>
      <w:r w:rsidRPr="009557BF">
        <w:t xml:space="preserve">PREPARATION OF </w:t>
      </w:r>
      <w:r w:rsidR="00792480">
        <w:t>APPLICATIONS</w:t>
      </w:r>
      <w:bookmarkEnd w:id="35"/>
    </w:p>
    <w:p w14:paraId="64722809" w14:textId="2C23CC4F" w:rsidR="00CE44F6" w:rsidRPr="009557BF" w:rsidRDefault="009B75EA" w:rsidP="009557BF">
      <w:pPr>
        <w:pStyle w:val="ANumberedText"/>
      </w:pPr>
      <w:r w:rsidRPr="009557BF">
        <w:t xml:space="preserve">The </w:t>
      </w:r>
      <w:r w:rsidR="00DF041F" w:rsidRPr="009557BF">
        <w:t>Potential Provider</w:t>
      </w:r>
      <w:r w:rsidRPr="009557BF">
        <w:t xml:space="preserve"> must obtain for themselves at their own responsibility and expense all information necessary </w:t>
      </w:r>
      <w:r w:rsidR="002F1223" w:rsidRPr="009557BF">
        <w:t xml:space="preserve">for the preparation of </w:t>
      </w:r>
      <w:proofErr w:type="gramStart"/>
      <w:r w:rsidR="00D65CD1">
        <w:t>submitting an application</w:t>
      </w:r>
      <w:proofErr w:type="gramEnd"/>
      <w:r w:rsidR="002F1223" w:rsidRPr="009557BF">
        <w:t xml:space="preserve">. </w:t>
      </w:r>
      <w:r w:rsidR="00DF041F" w:rsidRPr="009557BF">
        <w:t>Potential Providers</w:t>
      </w:r>
      <w:r w:rsidRPr="009557BF">
        <w:t xml:space="preserve"> are solely responsible for the costs and expenses incurred in connection with the preparation and submission of their </w:t>
      </w:r>
      <w:r w:rsidR="00D65CD1">
        <w:t>application</w:t>
      </w:r>
      <w:r w:rsidRPr="009557BF">
        <w:t xml:space="preserve"> and all other stages of the </w:t>
      </w:r>
      <w:r w:rsidR="00D65CD1">
        <w:t xml:space="preserve">DPS </w:t>
      </w:r>
      <w:r w:rsidRPr="009557BF">
        <w:t xml:space="preserve">process. Under no circumstances will </w:t>
      </w:r>
      <w:r w:rsidR="00862316" w:rsidRPr="009557BF">
        <w:t>the Auth</w:t>
      </w:r>
      <w:r w:rsidRPr="009557BF">
        <w:t xml:space="preserve">ority, or any of their advisers, be liable for any costs or expenses borne by </w:t>
      </w:r>
      <w:r w:rsidR="00DF041F" w:rsidRPr="009557BF">
        <w:t>Potential Providers</w:t>
      </w:r>
      <w:r w:rsidRPr="009557BF">
        <w:t xml:space="preserve">, sub-contractors, </w:t>
      </w:r>
      <w:proofErr w:type="gramStart"/>
      <w:r w:rsidRPr="009557BF">
        <w:t>supplie</w:t>
      </w:r>
      <w:r w:rsidR="00CE44F6" w:rsidRPr="009557BF">
        <w:t>rs</w:t>
      </w:r>
      <w:proofErr w:type="gramEnd"/>
      <w:r w:rsidR="00CE44F6" w:rsidRPr="009557BF">
        <w:t xml:space="preserve"> or advisers in this process.</w:t>
      </w:r>
    </w:p>
    <w:p w14:paraId="0A76DA48" w14:textId="6C773BE8" w:rsidR="009B75EA" w:rsidRPr="009557BF" w:rsidRDefault="009B75EA" w:rsidP="009557BF">
      <w:pPr>
        <w:pStyle w:val="ANumberedText"/>
      </w:pPr>
      <w:r w:rsidRPr="009557BF">
        <w:t xml:space="preserve">The </w:t>
      </w:r>
      <w:r w:rsidR="00DF041F" w:rsidRPr="009557BF">
        <w:t>Potential Provider</w:t>
      </w:r>
      <w:r w:rsidRPr="009557BF">
        <w:t xml:space="preserve"> is required to complete and provi</w:t>
      </w:r>
      <w:r w:rsidR="00184DAC" w:rsidRPr="009557BF">
        <w:t xml:space="preserve">de all information required by </w:t>
      </w:r>
      <w:r w:rsidR="00862316" w:rsidRPr="009557BF">
        <w:t>the Auth</w:t>
      </w:r>
      <w:r w:rsidRPr="009557BF">
        <w:t>ori</w:t>
      </w:r>
      <w:r w:rsidR="002F1223" w:rsidRPr="009557BF">
        <w:t xml:space="preserve">ty in accordance with the </w:t>
      </w:r>
      <w:r w:rsidR="008230DF">
        <w:t>DPS</w:t>
      </w:r>
      <w:r w:rsidR="002F1223" w:rsidRPr="009557BF">
        <w:t xml:space="preserve">. </w:t>
      </w:r>
      <w:r w:rsidRPr="009557BF">
        <w:t>Failure to</w:t>
      </w:r>
      <w:r w:rsidR="00184DAC" w:rsidRPr="009557BF">
        <w:t xml:space="preserve"> comply with the </w:t>
      </w:r>
      <w:r w:rsidR="008230DF">
        <w:t>DPS</w:t>
      </w:r>
      <w:r w:rsidR="00184DAC" w:rsidRPr="009557BF">
        <w:t xml:space="preserve"> will lead </w:t>
      </w:r>
      <w:r w:rsidR="00862316" w:rsidRPr="009557BF">
        <w:t>the Auth</w:t>
      </w:r>
      <w:r w:rsidR="008230DF">
        <w:t>ority to reject an application</w:t>
      </w:r>
      <w:r w:rsidR="00CE44F6" w:rsidRPr="009557BF">
        <w:t>.</w:t>
      </w:r>
    </w:p>
    <w:p w14:paraId="0CA0BD0C" w14:textId="2C8CC1CF" w:rsidR="009B75EA" w:rsidRPr="009557BF" w:rsidRDefault="00B742EF" w:rsidP="009557BF">
      <w:pPr>
        <w:pStyle w:val="ANumberedText"/>
      </w:pPr>
      <w:r>
        <w:t>Applications</w:t>
      </w:r>
      <w:r w:rsidR="009B75EA" w:rsidRPr="009557BF">
        <w:t xml:space="preserve"> and supporting documents must be completed in English</w:t>
      </w:r>
      <w:r w:rsidR="00E36ADA" w:rsidRPr="009557BF">
        <w:t>.</w:t>
      </w:r>
    </w:p>
    <w:p w14:paraId="30C31780" w14:textId="4EFFF7B2" w:rsidR="009B75EA" w:rsidRPr="009557BF" w:rsidRDefault="009B75EA" w:rsidP="009557BF">
      <w:pPr>
        <w:pStyle w:val="ANumberedText"/>
      </w:pPr>
      <w:r w:rsidRPr="009557BF">
        <w:t xml:space="preserve">The Authority relies on </w:t>
      </w:r>
      <w:r w:rsidR="00DF041F" w:rsidRPr="009557BF">
        <w:t>Potential Providers</w:t>
      </w:r>
      <w:r w:rsidRPr="009557BF">
        <w:t>' own analysis and r</w:t>
      </w:r>
      <w:r w:rsidR="002F1223" w:rsidRPr="009557BF">
        <w:t xml:space="preserve">eview of information provided. </w:t>
      </w:r>
      <w:r w:rsidRPr="009557BF">
        <w:t xml:space="preserve">Consequently, the </w:t>
      </w:r>
      <w:r w:rsidR="00DF041F" w:rsidRPr="009557BF">
        <w:t>Potential Provider</w:t>
      </w:r>
      <w:r w:rsidRPr="009557BF">
        <w:t xml:space="preserve"> is solely responsible for obtaining the information which they consider is necessary in order to make decisions regarding the content of their </w:t>
      </w:r>
      <w:r w:rsidR="008230DF">
        <w:t>application</w:t>
      </w:r>
      <w:r w:rsidRPr="009557BF">
        <w:t xml:space="preserve"> and to undertake any investigations they consider necessary in order to verify any information provided to them d</w:t>
      </w:r>
      <w:r w:rsidR="00E36ADA" w:rsidRPr="009557BF">
        <w:t>uring the procurement process.</w:t>
      </w:r>
    </w:p>
    <w:p w14:paraId="47694E0F" w14:textId="2AA0B262" w:rsidR="009B75EA" w:rsidRPr="009557BF" w:rsidRDefault="009B75EA" w:rsidP="009557BF">
      <w:pPr>
        <w:pStyle w:val="ANumberedText"/>
      </w:pPr>
      <w:r w:rsidRPr="009557BF">
        <w:t xml:space="preserve">The </w:t>
      </w:r>
      <w:r w:rsidR="00DF041F" w:rsidRPr="009557BF">
        <w:t>Potential Provider</w:t>
      </w:r>
      <w:r w:rsidRPr="009557BF">
        <w:t xml:space="preserve"> must form their own opinions, making such investigations and taking such advice (including professional advice) as is appropriate, regarding the </w:t>
      </w:r>
      <w:r w:rsidR="008230DF">
        <w:t>DPS and their application</w:t>
      </w:r>
      <w:r w:rsidRPr="009557BF">
        <w:t>, without reliance upon any opinion or</w:t>
      </w:r>
      <w:r w:rsidR="00184DAC" w:rsidRPr="009557BF">
        <w:t xml:space="preserve"> other information provided by </w:t>
      </w:r>
      <w:r w:rsidR="00862316" w:rsidRPr="009557BF">
        <w:t>the Auth</w:t>
      </w:r>
      <w:r w:rsidRPr="009557BF">
        <w:t xml:space="preserve">ority or their advisers and representatives. The </w:t>
      </w:r>
      <w:r w:rsidR="00DF041F" w:rsidRPr="009557BF">
        <w:t>Potential Provider</w:t>
      </w:r>
      <w:r w:rsidR="00184DAC" w:rsidRPr="009557BF">
        <w:t xml:space="preserve"> should notify </w:t>
      </w:r>
      <w:r w:rsidR="00862316" w:rsidRPr="009557BF">
        <w:t>the Auth</w:t>
      </w:r>
      <w:r w:rsidRPr="009557BF">
        <w:t xml:space="preserve">ority promptly of any perceived ambiguity, </w:t>
      </w:r>
      <w:proofErr w:type="gramStart"/>
      <w:r w:rsidRPr="009557BF">
        <w:t>inconsistency</w:t>
      </w:r>
      <w:proofErr w:type="gramEnd"/>
      <w:r w:rsidRPr="009557BF">
        <w:t xml:space="preserve"> or omission in this </w:t>
      </w:r>
      <w:r w:rsidR="008230DF">
        <w:t>DPS</w:t>
      </w:r>
      <w:r w:rsidRPr="009557BF">
        <w:t>, any of its associated documents and/or any other information issued to them during the procurement process.</w:t>
      </w:r>
    </w:p>
    <w:p w14:paraId="2DE47702" w14:textId="40178876" w:rsidR="009B75EA" w:rsidRPr="009557BF" w:rsidRDefault="009B75EA" w:rsidP="009557BF">
      <w:pPr>
        <w:pStyle w:val="ANumberedText"/>
      </w:pPr>
      <w:r w:rsidRPr="009557BF">
        <w:t>No representation or warranty, express or i</w:t>
      </w:r>
      <w:r w:rsidR="00184DAC" w:rsidRPr="009557BF">
        <w:t xml:space="preserve">mplied, is or will be given by </w:t>
      </w:r>
      <w:r w:rsidR="00862316" w:rsidRPr="009557BF">
        <w:t>the Auth</w:t>
      </w:r>
      <w:r w:rsidRPr="009557BF">
        <w:t xml:space="preserve">ority or any of its agents or advisors with respect to such information or opinions. Any liability is hereby </w:t>
      </w:r>
      <w:r w:rsidRPr="009557BF">
        <w:lastRenderedPageBreak/>
        <w:t xml:space="preserve">expressly </w:t>
      </w:r>
      <w:proofErr w:type="gramStart"/>
      <w:r w:rsidRPr="009557BF">
        <w:t>excluded</w:t>
      </w:r>
      <w:proofErr w:type="gramEnd"/>
      <w:r w:rsidRPr="009557BF">
        <w:t xml:space="preserve"> and no costs or expenses incurred for preparing or producing the </w:t>
      </w:r>
      <w:r w:rsidR="008230DF">
        <w:t>DPS</w:t>
      </w:r>
      <w:r w:rsidRPr="009557BF">
        <w:t xml:space="preserve"> </w:t>
      </w:r>
      <w:r w:rsidR="00184DAC" w:rsidRPr="009557BF">
        <w:t xml:space="preserve">submission will be accepted by </w:t>
      </w:r>
      <w:r w:rsidR="00862316" w:rsidRPr="009557BF">
        <w:t>the Auth</w:t>
      </w:r>
      <w:r w:rsidRPr="009557BF">
        <w:t>ority.</w:t>
      </w:r>
    </w:p>
    <w:p w14:paraId="0E378D22" w14:textId="77777777" w:rsidR="000D4EE9" w:rsidRPr="009557BF" w:rsidRDefault="000D4EE9" w:rsidP="009557BF"/>
    <w:p w14:paraId="30B64E3C" w14:textId="6C93250F" w:rsidR="00A46848" w:rsidRPr="009557BF" w:rsidRDefault="00A46848" w:rsidP="009557BF">
      <w:pPr>
        <w:pStyle w:val="AHeading2"/>
      </w:pPr>
      <w:bookmarkStart w:id="36" w:name="_Toc4147443"/>
      <w:r w:rsidRPr="009557BF">
        <w:t xml:space="preserve">QUERIES RELATING TO THE </w:t>
      </w:r>
      <w:r w:rsidR="00931D5E">
        <w:t>DPS</w:t>
      </w:r>
      <w:bookmarkEnd w:id="36"/>
      <w:r w:rsidRPr="009557BF">
        <w:t xml:space="preserve"> </w:t>
      </w:r>
    </w:p>
    <w:p w14:paraId="5CE42AB6" w14:textId="60BEB429" w:rsidR="00A46848" w:rsidRPr="009557BF" w:rsidRDefault="00A46848" w:rsidP="009557BF">
      <w:pPr>
        <w:pStyle w:val="ANumberedText"/>
      </w:pPr>
      <w:r w:rsidRPr="009557BF">
        <w:t xml:space="preserve">The Authority will </w:t>
      </w:r>
      <w:r w:rsidR="00501B3B" w:rsidRPr="009557BF">
        <w:t>endeavour</w:t>
      </w:r>
      <w:r w:rsidRPr="009557BF">
        <w:t xml:space="preserve"> to answer all questions as quickly as </w:t>
      </w:r>
      <w:proofErr w:type="gramStart"/>
      <w:r w:rsidRPr="009557BF">
        <w:t>possible, but</w:t>
      </w:r>
      <w:proofErr w:type="gramEnd"/>
      <w:r w:rsidRPr="009557BF">
        <w:t xml:space="preserve"> cannot guarantee a minimum response time.</w:t>
      </w:r>
    </w:p>
    <w:p w14:paraId="38477CEE" w14:textId="2CB6781E" w:rsidR="00A46848" w:rsidRPr="009557BF" w:rsidRDefault="00A46848" w:rsidP="009557BF">
      <w:pPr>
        <w:pStyle w:val="ANumberedText"/>
      </w:pPr>
      <w:r w:rsidRPr="009557BF">
        <w:t xml:space="preserve">Clarification requests can </w:t>
      </w:r>
      <w:r w:rsidRPr="00056A4D">
        <w:rPr>
          <w:b/>
        </w:rPr>
        <w:t>ONLY</w:t>
      </w:r>
      <w:r w:rsidRPr="009557BF">
        <w:t xml:space="preserve"> be submitted via the Procurement Portal (</w:t>
      </w:r>
      <w:proofErr w:type="spellStart"/>
      <w:r w:rsidRPr="009557BF">
        <w:t>ProContract</w:t>
      </w:r>
      <w:proofErr w:type="spellEnd"/>
      <w:r w:rsidRPr="009557BF">
        <w:t>)</w:t>
      </w:r>
      <w:r w:rsidR="00046180" w:rsidRPr="009557BF">
        <w:t>.</w:t>
      </w:r>
    </w:p>
    <w:p w14:paraId="2990971F" w14:textId="6E5D396B" w:rsidR="00A46848" w:rsidRPr="009557BF" w:rsidRDefault="00A46848" w:rsidP="009557BF">
      <w:pPr>
        <w:pStyle w:val="ANumberedText"/>
      </w:pPr>
      <w:r w:rsidRPr="009557BF">
        <w:t xml:space="preserve">No requests for clarifications will be accepted after </w:t>
      </w:r>
      <w:r w:rsidR="003E2233" w:rsidRPr="009557BF">
        <w:t xml:space="preserve">the clarification deadline outlined in the </w:t>
      </w:r>
      <w:hyperlink w:anchor="Timetable" w:history="1">
        <w:r w:rsidR="003E2233" w:rsidRPr="009557BF">
          <w:rPr>
            <w:rStyle w:val="Hyperlink"/>
          </w:rPr>
          <w:t>Procurement Timetable.</w:t>
        </w:r>
      </w:hyperlink>
    </w:p>
    <w:p w14:paraId="2B023FE1" w14:textId="15382F44" w:rsidR="00A46848" w:rsidRPr="009557BF" w:rsidRDefault="00A46848" w:rsidP="009557BF">
      <w:pPr>
        <w:pStyle w:val="ANumberedText"/>
      </w:pPr>
      <w:proofErr w:type="gramStart"/>
      <w:r w:rsidRPr="009557BF">
        <w:t>In order to</w:t>
      </w:r>
      <w:proofErr w:type="gramEnd"/>
      <w:r w:rsidRPr="009557BF">
        <w:t xml:space="preserve"> ensure equality of treatment of Potential Providers, the Authority intends to publish the questions and clarifications raised by Potential Providers together with the Authority’s responses (but not the source of the questions) to all participants on a regular basis.</w:t>
      </w:r>
    </w:p>
    <w:p w14:paraId="10595662" w14:textId="6F2ADF6D" w:rsidR="00A46848" w:rsidRPr="009557BF" w:rsidRDefault="00A46848" w:rsidP="009557BF">
      <w:pPr>
        <w:pStyle w:val="ANumberedText"/>
      </w:pPr>
      <w:r w:rsidRPr="009557BF">
        <w:t xml:space="preserve">Clarification messages sent by the Authority will be sent via the </w:t>
      </w:r>
      <w:r w:rsidR="003E2233" w:rsidRPr="009557BF">
        <w:t xml:space="preserve">messaging </w:t>
      </w:r>
      <w:r w:rsidR="002C747E">
        <w:t>facility</w:t>
      </w:r>
      <w:r w:rsidRPr="009557BF">
        <w:t xml:space="preserve"> on the Procurement Portal (</w:t>
      </w:r>
      <w:proofErr w:type="spellStart"/>
      <w:r w:rsidRPr="009557BF">
        <w:t>ProContract</w:t>
      </w:r>
      <w:proofErr w:type="spellEnd"/>
      <w:r w:rsidRPr="009557BF">
        <w:t>)</w:t>
      </w:r>
      <w:r w:rsidR="00705090" w:rsidRPr="009557BF">
        <w:t>.</w:t>
      </w:r>
    </w:p>
    <w:p w14:paraId="39DB3F5D" w14:textId="77777777" w:rsidR="000D4EE9" w:rsidRPr="009557BF" w:rsidRDefault="000D4EE9" w:rsidP="009557BF"/>
    <w:p w14:paraId="7CB5A723" w14:textId="77777777" w:rsidR="003E2233" w:rsidRPr="004057BF" w:rsidRDefault="003E2233" w:rsidP="004057BF">
      <w:pPr>
        <w:pStyle w:val="AHeading2"/>
      </w:pPr>
      <w:bookmarkStart w:id="37" w:name="_Toc4147444"/>
      <w:r w:rsidRPr="004057BF">
        <w:t>CONSORTIA AND SUBCONTRACTORS</w:t>
      </w:r>
      <w:bookmarkEnd w:id="37"/>
    </w:p>
    <w:p w14:paraId="5FD9E0C6" w14:textId="2A3D9C71" w:rsidR="003E2233" w:rsidRPr="004057BF" w:rsidRDefault="003E2233" w:rsidP="004057BF">
      <w:pPr>
        <w:pStyle w:val="ANumberedText"/>
      </w:pPr>
      <w:r w:rsidRPr="004057BF">
        <w:t xml:space="preserve">The Authority requires all Potential Providers to identify whether and which subcontracting or consortium arrangements apply in the case of their </w:t>
      </w:r>
      <w:r w:rsidR="001C20E7">
        <w:t>application</w:t>
      </w:r>
      <w:r w:rsidRPr="004057BF">
        <w:t>, and in particular specify the share of the contract it intends to sub-contract, any proposed sub-contractors, and who the Potential Provider intends the Authority to contract with</w:t>
      </w:r>
      <w:r w:rsidR="004057BF" w:rsidRPr="004057BF">
        <w:t xml:space="preserve">. </w:t>
      </w:r>
      <w:r w:rsidRPr="004057BF">
        <w:t xml:space="preserve">For the purposes of this </w:t>
      </w:r>
      <w:r w:rsidR="001C20E7">
        <w:t>DPS</w:t>
      </w:r>
      <w:r w:rsidRPr="004057BF">
        <w:t>, the following terms apply:</w:t>
      </w:r>
    </w:p>
    <w:p w14:paraId="4490FDE5" w14:textId="4A0F76F0" w:rsidR="003E2233" w:rsidRPr="004057BF" w:rsidRDefault="003E2233" w:rsidP="004057BF">
      <w:pPr>
        <w:pStyle w:val="ListParagraph"/>
      </w:pPr>
      <w:r w:rsidRPr="004057BF">
        <w:t>Consortium arrangement. Groups of companies come together specifically for the purpose of bidding for appointment as the Service Provider and envisage that they will establish a special purpose vehicle as the prime contracting party with the Authority.</w:t>
      </w:r>
      <w:r w:rsidR="00027EAD" w:rsidRPr="004057BF">
        <w:t xml:space="preserve"> </w:t>
      </w:r>
      <w:r w:rsidR="007931B2">
        <w:t>If apply</w:t>
      </w:r>
      <w:r w:rsidR="00A23746" w:rsidRPr="004057BF">
        <w:t>ing as a Consortium, Joint Venture, or Special Purpose Vehicle all members will be required to provide the information required in Parts 1 and 2 of the selection criteria questions</w:t>
      </w:r>
      <w:r w:rsidR="009E6AD8" w:rsidRPr="004057BF">
        <w:t xml:space="preserve"> (</w:t>
      </w:r>
      <w:r w:rsidR="00914A35" w:rsidRPr="004057BF">
        <w:t>via the ‘Important: Please read’ section of the selection questionnaire)</w:t>
      </w:r>
      <w:r w:rsidR="00A23746" w:rsidRPr="004057BF">
        <w:t>. The lead member will be required to complete Parts 1, 2 and 3 and part 3 must be completed as a single composite response.</w:t>
      </w:r>
      <w:r w:rsidR="005212AF" w:rsidRPr="004057BF">
        <w:t xml:space="preserve"> </w:t>
      </w:r>
    </w:p>
    <w:p w14:paraId="09691E99" w14:textId="314EDF5B" w:rsidR="003E2233" w:rsidRPr="004057BF" w:rsidRDefault="003E2233" w:rsidP="004057BF">
      <w:pPr>
        <w:pStyle w:val="ListParagraph"/>
      </w:pPr>
      <w:r w:rsidRPr="004057BF">
        <w:t xml:space="preserve">Subcontracting arrangement. Groups of companies come together specifically for the purpose of bidding for appointment as the Service </w:t>
      </w:r>
      <w:proofErr w:type="gramStart"/>
      <w:r w:rsidRPr="004057BF">
        <w:t>Provider, but</w:t>
      </w:r>
      <w:proofErr w:type="gramEnd"/>
      <w:r w:rsidRPr="004057BF">
        <w:t xml:space="preserve"> envisage that one of their number will be the Service Provider, the remaining members of that group will be subcont</w:t>
      </w:r>
      <w:r w:rsidR="00A23746" w:rsidRPr="004057BF">
        <w:t>ractors to the Service Provider</w:t>
      </w:r>
      <w:r w:rsidRPr="004057BF">
        <w:t>.</w:t>
      </w:r>
      <w:r w:rsidR="00A23746" w:rsidRPr="004057BF">
        <w:t xml:space="preserve"> </w:t>
      </w:r>
      <w:r w:rsidR="00661BAF" w:rsidRPr="004057BF">
        <w:t>Essential sub-contractors who are being relied upon to meet selection criteria must complete Parts 1 and 2 of the selection criteria questions</w:t>
      </w:r>
      <w:r w:rsidR="00914A35" w:rsidRPr="004057BF">
        <w:t xml:space="preserve"> (via the ‘Important: Please read’ section of the selection questionnaire)</w:t>
      </w:r>
      <w:r w:rsidR="00661BAF" w:rsidRPr="004057BF">
        <w:t>.</w:t>
      </w:r>
      <w:r w:rsidR="00A94B4E" w:rsidRPr="004057BF">
        <w:t xml:space="preserve"> Other organisation’s being relied upon to meet the selection requirements such as parent companies, affiliates, associates must also complete Parts 1 and 2 of the selection </w:t>
      </w:r>
      <w:proofErr w:type="gramStart"/>
      <w:r w:rsidR="00A94B4E" w:rsidRPr="004057BF">
        <w:t>question</w:t>
      </w:r>
      <w:r w:rsidR="004057BF">
        <w:t>naire</w:t>
      </w:r>
      <w:proofErr w:type="gramEnd"/>
      <w:r w:rsidR="004057BF">
        <w:t>.</w:t>
      </w:r>
    </w:p>
    <w:p w14:paraId="20C79658" w14:textId="77777777" w:rsidR="003E2233" w:rsidRPr="00A8182E" w:rsidRDefault="003E2233" w:rsidP="00A8182E"/>
    <w:p w14:paraId="23DF81BE" w14:textId="41F5567A" w:rsidR="009B75EA" w:rsidRPr="00A8182E" w:rsidRDefault="009B75EA" w:rsidP="00A8182E">
      <w:pPr>
        <w:pStyle w:val="AHeading2"/>
      </w:pPr>
      <w:bookmarkStart w:id="38" w:name="_Toc4147445"/>
      <w:r w:rsidRPr="00A8182E">
        <w:t xml:space="preserve">SUBMISSION OF </w:t>
      </w:r>
      <w:r w:rsidR="001C20E7">
        <w:t>APPLCATIONS</w:t>
      </w:r>
      <w:bookmarkEnd w:id="38"/>
    </w:p>
    <w:p w14:paraId="50810C59" w14:textId="5ACA5234" w:rsidR="0087306E" w:rsidRPr="00A8182E" w:rsidRDefault="009B75EA" w:rsidP="00A8182E">
      <w:pPr>
        <w:pStyle w:val="ANumberedText"/>
      </w:pPr>
      <w:r w:rsidRPr="00A8182E">
        <w:t xml:space="preserve">The </w:t>
      </w:r>
      <w:r w:rsidR="00DF041F" w:rsidRPr="00A8182E">
        <w:t>Potential Provider</w:t>
      </w:r>
      <w:r w:rsidRPr="00A8182E">
        <w:t xml:space="preserve"> must submit their </w:t>
      </w:r>
      <w:r w:rsidR="001C20E7">
        <w:t>application</w:t>
      </w:r>
      <w:r w:rsidRPr="00A8182E">
        <w:t xml:space="preserve"> via the </w:t>
      </w:r>
      <w:r w:rsidR="00A9156B" w:rsidRPr="00A8182E">
        <w:t>Procurement</w:t>
      </w:r>
      <w:r w:rsidRPr="00A8182E">
        <w:t xml:space="preserve"> Portal (</w:t>
      </w:r>
      <w:proofErr w:type="spellStart"/>
      <w:r w:rsidR="00383504" w:rsidRPr="00A8182E">
        <w:t>ProContract</w:t>
      </w:r>
      <w:proofErr w:type="spellEnd"/>
      <w:r w:rsidRPr="00A8182E">
        <w:t>) no later than</w:t>
      </w:r>
      <w:r w:rsidR="00925A29" w:rsidRPr="00A8182E">
        <w:t xml:space="preserve"> the </w:t>
      </w:r>
      <w:r w:rsidR="001C20E7">
        <w:rPr>
          <w:rStyle w:val="Strong"/>
        </w:rPr>
        <w:t>DPS</w:t>
      </w:r>
      <w:r w:rsidR="00925A29" w:rsidRPr="00A8182E">
        <w:rPr>
          <w:rStyle w:val="Strong"/>
        </w:rPr>
        <w:t xml:space="preserve"> response deadline</w:t>
      </w:r>
      <w:r w:rsidR="00925A29" w:rsidRPr="00A8182E">
        <w:t xml:space="preserve"> (the “</w:t>
      </w:r>
      <w:r w:rsidR="00925A29" w:rsidRPr="00A8182E">
        <w:rPr>
          <w:rStyle w:val="Strong"/>
        </w:rPr>
        <w:t>Deadline</w:t>
      </w:r>
      <w:r w:rsidR="00925A29" w:rsidRPr="00A8182E">
        <w:t xml:space="preserve">”) stated in the </w:t>
      </w:r>
      <w:hyperlink w:anchor="Timetable" w:history="1">
        <w:r w:rsidR="00A55453" w:rsidRPr="00A8182E">
          <w:rPr>
            <w:rStyle w:val="Hyperlink"/>
          </w:rPr>
          <w:t>Procurement Timetable.</w:t>
        </w:r>
      </w:hyperlink>
    </w:p>
    <w:p w14:paraId="01C38043" w14:textId="560551FC" w:rsidR="009B75EA" w:rsidRPr="00A8182E" w:rsidRDefault="001C20E7" w:rsidP="00A8182E">
      <w:pPr>
        <w:pStyle w:val="ANumberedText"/>
      </w:pPr>
      <w:r>
        <w:t>Application</w:t>
      </w:r>
      <w:r w:rsidR="009B75EA" w:rsidRPr="00A8182E">
        <w:t xml:space="preserve">s may be submitted at </w:t>
      </w:r>
      <w:r w:rsidR="006A58CF" w:rsidRPr="00A8182E">
        <w:t>any time before the closing date. H</w:t>
      </w:r>
      <w:r w:rsidR="00184DAC" w:rsidRPr="00A8182E">
        <w:t>owever</w:t>
      </w:r>
      <w:r w:rsidR="00596D27" w:rsidRPr="00A8182E">
        <w:t>,</w:t>
      </w:r>
      <w:r w:rsidR="00184DAC" w:rsidRPr="00A8182E">
        <w:t xml:space="preserve"> </w:t>
      </w:r>
      <w:r w:rsidR="00862316" w:rsidRPr="00A8182E">
        <w:t>the Auth</w:t>
      </w:r>
      <w:r w:rsidR="009B75EA" w:rsidRPr="00A8182E">
        <w:t xml:space="preserve">ority also recommends that the </w:t>
      </w:r>
      <w:r w:rsidR="00DF041F" w:rsidRPr="00A8182E">
        <w:t>Potential Provider</w:t>
      </w:r>
      <w:r w:rsidR="009B75EA" w:rsidRPr="00A8182E">
        <w:t xml:space="preserve"> does not submit their </w:t>
      </w:r>
      <w:r>
        <w:t>application</w:t>
      </w:r>
      <w:r w:rsidR="009B75EA" w:rsidRPr="00A8182E">
        <w:t xml:space="preserve"> </w:t>
      </w:r>
      <w:r w:rsidR="006A58CF" w:rsidRPr="00A8182E">
        <w:t>until the</w:t>
      </w:r>
      <w:r w:rsidR="009B75EA" w:rsidRPr="00A8182E">
        <w:t xml:space="preserve"> deadline for clarification messages</w:t>
      </w:r>
      <w:r w:rsidR="006A58CF" w:rsidRPr="00A8182E">
        <w:t xml:space="preserve"> has passed,</w:t>
      </w:r>
      <w:r w:rsidR="009B75EA" w:rsidRPr="00A8182E">
        <w:t xml:space="preserve"> as important information which could affect their submission could be communicated up to that point.</w:t>
      </w:r>
      <w:r w:rsidR="006A58CF" w:rsidRPr="00A8182E">
        <w:t xml:space="preserve"> Potential Providers also h</w:t>
      </w:r>
      <w:r>
        <w:t>ave the option of updating the</w:t>
      </w:r>
      <w:r w:rsidR="006A58CF" w:rsidRPr="00A8182E">
        <w:t xml:space="preserve"> submitted version of their </w:t>
      </w:r>
      <w:r>
        <w:t>application</w:t>
      </w:r>
      <w:r w:rsidR="006A58CF" w:rsidRPr="00A8182E">
        <w:t xml:space="preserve"> up until the “Deadline”. </w:t>
      </w:r>
      <w:r>
        <w:t>Applications</w:t>
      </w:r>
      <w:r w:rsidR="006A58CF" w:rsidRPr="00A8182E">
        <w:t xml:space="preserve"> will not be opened until the closing date has passed.</w:t>
      </w:r>
    </w:p>
    <w:p w14:paraId="441C3A38" w14:textId="1AB0481F" w:rsidR="009B75EA" w:rsidRPr="00A8182E" w:rsidRDefault="001C20E7" w:rsidP="00A8182E">
      <w:pPr>
        <w:pStyle w:val="ANumberedText"/>
      </w:pPr>
      <w:r>
        <w:t xml:space="preserve">Applications </w:t>
      </w:r>
      <w:r w:rsidR="009B75EA" w:rsidRPr="00A8182E">
        <w:t xml:space="preserve">must not be sent and will not be accepted by hard copy, </w:t>
      </w:r>
      <w:proofErr w:type="gramStart"/>
      <w:r w:rsidR="009B75EA" w:rsidRPr="00A8182E">
        <w:t>fax</w:t>
      </w:r>
      <w:proofErr w:type="gramEnd"/>
      <w:r w:rsidR="009B75EA" w:rsidRPr="00A8182E">
        <w:t xml:space="preserve"> or e-mail.</w:t>
      </w:r>
    </w:p>
    <w:p w14:paraId="09F252D0" w14:textId="1EC08D9A" w:rsidR="009B75EA" w:rsidRPr="00A8182E" w:rsidRDefault="00DF041F" w:rsidP="00A8182E">
      <w:pPr>
        <w:pStyle w:val="ANumberedText"/>
      </w:pPr>
      <w:r w:rsidRPr="00A8182E">
        <w:t>Potential Providers</w:t>
      </w:r>
      <w:r w:rsidR="009B75EA" w:rsidRPr="00A8182E">
        <w:t xml:space="preserve"> may seek clarification on any o</w:t>
      </w:r>
      <w:r w:rsidR="001C20E7">
        <w:t>f the points contained in the DPS</w:t>
      </w:r>
      <w:r w:rsidR="009B75EA" w:rsidRPr="00A8182E">
        <w:t xml:space="preserve"> documents, via the </w:t>
      </w:r>
      <w:r w:rsidR="00A9156B" w:rsidRPr="00A8182E">
        <w:t>Procurement</w:t>
      </w:r>
      <w:r w:rsidR="009B75EA" w:rsidRPr="00A8182E">
        <w:t xml:space="preserve"> Portal (</w:t>
      </w:r>
      <w:proofErr w:type="spellStart"/>
      <w:r w:rsidR="00383504" w:rsidRPr="00A8182E">
        <w:t>ProContract</w:t>
      </w:r>
      <w:proofErr w:type="spellEnd"/>
      <w:r w:rsidR="009B75EA" w:rsidRPr="00A8182E">
        <w:t>) any time prior to the deadline for clarification questions.</w:t>
      </w:r>
    </w:p>
    <w:p w14:paraId="305F9F39" w14:textId="5C051852" w:rsidR="009B75EA" w:rsidRPr="00A8182E" w:rsidRDefault="00184DAC" w:rsidP="00A8182E">
      <w:pPr>
        <w:pStyle w:val="ANumberedText"/>
      </w:pPr>
      <w:r w:rsidRPr="00A8182E">
        <w:t xml:space="preserve">Please note, </w:t>
      </w:r>
      <w:proofErr w:type="gramStart"/>
      <w:r w:rsidRPr="00A8182E">
        <w:t>in order for</w:t>
      </w:r>
      <w:proofErr w:type="gramEnd"/>
      <w:r w:rsidRPr="00A8182E">
        <w:t xml:space="preserve"> </w:t>
      </w:r>
      <w:r w:rsidR="00862316" w:rsidRPr="00A8182E">
        <w:t>the Auth</w:t>
      </w:r>
      <w:r w:rsidR="009B75EA" w:rsidRPr="00A8182E">
        <w:t xml:space="preserve">ority to receive your response you must publish your response on the </w:t>
      </w:r>
      <w:r w:rsidR="00A9156B" w:rsidRPr="00A8182E">
        <w:t>Procurement</w:t>
      </w:r>
      <w:r w:rsidR="009B75EA" w:rsidRPr="00A8182E">
        <w:t xml:space="preserve"> Portal (</w:t>
      </w:r>
      <w:proofErr w:type="spellStart"/>
      <w:r w:rsidR="00383504" w:rsidRPr="00A8182E">
        <w:t>ProContract</w:t>
      </w:r>
      <w:proofErr w:type="spellEnd"/>
      <w:r w:rsidR="009B75EA" w:rsidRPr="00A8182E">
        <w:t xml:space="preserve">). Please contact the </w:t>
      </w:r>
      <w:proofErr w:type="spellStart"/>
      <w:r w:rsidR="00383504" w:rsidRPr="00A8182E">
        <w:t>ProContract</w:t>
      </w:r>
      <w:proofErr w:type="spellEnd"/>
      <w:r w:rsidR="009B75EA" w:rsidRPr="00A8182E">
        <w:t xml:space="preserve"> support desk if you are not clear on how to do this.</w:t>
      </w:r>
    </w:p>
    <w:p w14:paraId="5F6C273F" w14:textId="4A82F7A7" w:rsidR="009B75EA" w:rsidRPr="001C20E7" w:rsidRDefault="001C20E7" w:rsidP="00A8182E">
      <w:pPr>
        <w:pStyle w:val="ANumberedText"/>
      </w:pPr>
      <w:r>
        <w:t>Any application</w:t>
      </w:r>
      <w:r w:rsidR="009B75EA" w:rsidRPr="00A8182E">
        <w:t xml:space="preserve"> received by </w:t>
      </w:r>
      <w:r w:rsidR="00862316" w:rsidRPr="00A8182E">
        <w:t>the Auth</w:t>
      </w:r>
      <w:r w:rsidR="00596D27" w:rsidRPr="00A8182E">
        <w:t>ority may</w:t>
      </w:r>
      <w:r w:rsidR="009B75EA" w:rsidRPr="00A8182E">
        <w:t xml:space="preserve"> be rejected if it is received beyond the Deadline. </w:t>
      </w:r>
      <w:r w:rsidR="00501B3B" w:rsidRPr="00A8182E">
        <w:t>Therefore,</w:t>
      </w:r>
      <w:r w:rsidR="009B75EA" w:rsidRPr="00A8182E">
        <w:t xml:space="preserve"> it is the </w:t>
      </w:r>
      <w:r w:rsidR="00DF041F" w:rsidRPr="00A8182E">
        <w:t>Potential Provider</w:t>
      </w:r>
      <w:r w:rsidR="00046180" w:rsidRPr="00A8182E">
        <w:t>’</w:t>
      </w:r>
      <w:r w:rsidR="00DF041F" w:rsidRPr="00A8182E">
        <w:t>s</w:t>
      </w:r>
      <w:r w:rsidR="009B75EA" w:rsidRPr="00A8182E">
        <w:t xml:space="preserve"> responsibility to ensure that the Deadline is not breached. The Deadline is the </w:t>
      </w:r>
      <w:r w:rsidR="009B75EA" w:rsidRPr="001C20E7">
        <w:t>tim</w:t>
      </w:r>
      <w:r w:rsidR="00962B3A" w:rsidRPr="001C20E7">
        <w:t xml:space="preserve">e when the full </w:t>
      </w:r>
      <w:r w:rsidRPr="001C20E7">
        <w:t>DPS</w:t>
      </w:r>
      <w:r w:rsidR="00962B3A" w:rsidRPr="001C20E7">
        <w:t xml:space="preserve"> submission must be </w:t>
      </w:r>
      <w:r w:rsidR="009B75EA" w:rsidRPr="001C20E7">
        <w:t xml:space="preserve">received </w:t>
      </w:r>
      <w:r w:rsidR="00962B3A" w:rsidRPr="001C20E7">
        <w:t>by via</w:t>
      </w:r>
      <w:r w:rsidR="009B75EA" w:rsidRPr="001C20E7">
        <w:t xml:space="preserve"> the </w:t>
      </w:r>
      <w:r w:rsidR="00A9156B" w:rsidRPr="001C20E7">
        <w:t>Procurement</w:t>
      </w:r>
      <w:r w:rsidR="009B75EA" w:rsidRPr="001C20E7">
        <w:t xml:space="preserve"> Portal (</w:t>
      </w:r>
      <w:proofErr w:type="spellStart"/>
      <w:r w:rsidR="00383504" w:rsidRPr="001C20E7">
        <w:t>ProContract</w:t>
      </w:r>
      <w:proofErr w:type="spellEnd"/>
      <w:r w:rsidR="009B75EA" w:rsidRPr="001C20E7">
        <w:t>)</w:t>
      </w:r>
      <w:r w:rsidR="00E36ADA" w:rsidRPr="001C20E7">
        <w:t>.</w:t>
      </w:r>
    </w:p>
    <w:p w14:paraId="532A780C" w14:textId="1D6390CB" w:rsidR="00433421" w:rsidRPr="001C20E7" w:rsidRDefault="00433421" w:rsidP="00A8182E">
      <w:pPr>
        <w:pStyle w:val="ANumberedText"/>
      </w:pPr>
      <w:r w:rsidRPr="001C20E7">
        <w:t xml:space="preserve">Potential Providers are required to complete </w:t>
      </w:r>
      <w:r w:rsidR="001C20E7" w:rsidRPr="001C20E7">
        <w:t>one</w:t>
      </w:r>
      <w:r w:rsidRPr="001C20E7">
        <w:t xml:space="preserve"> </w:t>
      </w:r>
      <w:r w:rsidR="001D3BAE" w:rsidRPr="001C20E7">
        <w:t xml:space="preserve">online questionnaire, </w:t>
      </w:r>
      <w:r w:rsidR="001C20E7" w:rsidRPr="001C20E7">
        <w:t>relevant to their organisation (either “</w:t>
      </w:r>
      <w:r w:rsidR="001C20E7" w:rsidRPr="001C20E7">
        <w:rPr>
          <w:color w:val="000000"/>
          <w:sz w:val="22"/>
        </w:rPr>
        <w:t>GP ONLY DPS Questionnaire” or “Pharmacy ONLY DPS Questionnaire”)</w:t>
      </w:r>
      <w:r w:rsidRPr="001C20E7">
        <w:t>. These are to be completed and submitted via the Procurement Portal (</w:t>
      </w:r>
      <w:proofErr w:type="spellStart"/>
      <w:r w:rsidRPr="001C20E7">
        <w:t>ProContract</w:t>
      </w:r>
      <w:proofErr w:type="spellEnd"/>
      <w:r w:rsidRPr="001C20E7">
        <w:t>)</w:t>
      </w:r>
      <w:r w:rsidR="00046180" w:rsidRPr="001C20E7">
        <w:t>.</w:t>
      </w:r>
      <w:r w:rsidRPr="001C20E7">
        <w:t xml:space="preserve"> The</w:t>
      </w:r>
      <w:r w:rsidR="00046180" w:rsidRPr="001C20E7">
        <w:t xml:space="preserve"> SQ works on a s</w:t>
      </w:r>
      <w:r w:rsidRPr="001C20E7">
        <w:t>elf-</w:t>
      </w:r>
      <w:r w:rsidR="00501B3B" w:rsidRPr="001C20E7">
        <w:t>declaration</w:t>
      </w:r>
      <w:r w:rsidRPr="001C20E7">
        <w:t xml:space="preserve"> model for all exclusion grounds</w:t>
      </w:r>
      <w:r w:rsidR="007127FB" w:rsidRPr="001C20E7">
        <w:t xml:space="preserve"> for Part 1 and Part 2</w:t>
      </w:r>
      <w:r w:rsidRPr="001C20E7">
        <w:t xml:space="preserve">. </w:t>
      </w:r>
    </w:p>
    <w:p w14:paraId="4D622086" w14:textId="6D837507" w:rsidR="009B75EA" w:rsidRPr="00A8182E" w:rsidRDefault="00157D10" w:rsidP="00A8182E">
      <w:pPr>
        <w:pStyle w:val="ANumberedText"/>
      </w:pPr>
      <w:bookmarkStart w:id="39" w:name="_Toc425689169"/>
      <w:r w:rsidRPr="00A8182E">
        <w:t xml:space="preserve">If any electronic version files are to be submitted zipped, please ensure that they are </w:t>
      </w:r>
      <w:r w:rsidR="00184DAC" w:rsidRPr="00A8182E">
        <w:t xml:space="preserve">WinZip files. Please note that </w:t>
      </w:r>
      <w:r w:rsidR="00862316" w:rsidRPr="00A8182E">
        <w:t>the Auth</w:t>
      </w:r>
      <w:r w:rsidRPr="00A8182E">
        <w:t xml:space="preserve">ority does not have the software to recognize electronic version files in a WinRAR format and if this format of file is submitted as part of your </w:t>
      </w:r>
      <w:r w:rsidR="00F2228F">
        <w:t>application</w:t>
      </w:r>
      <w:r w:rsidRPr="00A8182E">
        <w:t>, then</w:t>
      </w:r>
      <w:bookmarkEnd w:id="39"/>
      <w:r w:rsidR="0019351B" w:rsidRPr="00A8182E">
        <w:t xml:space="preserve"> we reserv</w:t>
      </w:r>
      <w:r w:rsidR="00F2228F">
        <w:t xml:space="preserve">e the right to reject your DPS </w:t>
      </w:r>
      <w:r w:rsidR="0019351B" w:rsidRPr="00A8182E">
        <w:t>submission.</w:t>
      </w:r>
    </w:p>
    <w:p w14:paraId="48868E85" w14:textId="630A7E88" w:rsidR="00656CE3" w:rsidRPr="00A8182E" w:rsidRDefault="00656CE3" w:rsidP="00A8182E">
      <w:pPr>
        <w:pStyle w:val="ANumberedText"/>
      </w:pPr>
      <w:bookmarkStart w:id="40" w:name="_Toc425689171"/>
      <w:bookmarkStart w:id="41" w:name="_Toc425689170"/>
      <w:r w:rsidRPr="00A8182E">
        <w:t xml:space="preserve">Additional information which has not been asked for in the </w:t>
      </w:r>
      <w:r w:rsidR="00F2228F">
        <w:t>DPS</w:t>
      </w:r>
      <w:r w:rsidRPr="00A8182E">
        <w:t xml:space="preserve"> will not be </w:t>
      </w:r>
      <w:proofErr w:type="gramStart"/>
      <w:r w:rsidRPr="00A8182E">
        <w:t>taken into account</w:t>
      </w:r>
      <w:proofErr w:type="gramEnd"/>
      <w:r w:rsidRPr="00A8182E">
        <w:t>.</w:t>
      </w:r>
      <w:bookmarkEnd w:id="40"/>
    </w:p>
    <w:bookmarkEnd w:id="41"/>
    <w:p w14:paraId="761F5B40" w14:textId="56C818D8" w:rsidR="00CB7872" w:rsidRDefault="00CB7872" w:rsidP="00A8182E">
      <w:pPr>
        <w:pStyle w:val="ANumberedText"/>
      </w:pPr>
      <w:r w:rsidRPr="00A8182E">
        <w:t xml:space="preserve">By </w:t>
      </w:r>
      <w:proofErr w:type="gramStart"/>
      <w:r w:rsidRPr="00A8182E">
        <w:t>su</w:t>
      </w:r>
      <w:r w:rsidR="00AA0B02" w:rsidRPr="00A8182E">
        <w:t>bmitting a</w:t>
      </w:r>
      <w:r w:rsidR="00F2228F">
        <w:t>n</w:t>
      </w:r>
      <w:r w:rsidR="00AA0B02" w:rsidRPr="00A8182E">
        <w:t xml:space="preserve"> </w:t>
      </w:r>
      <w:r w:rsidR="00F2228F">
        <w:t>application</w:t>
      </w:r>
      <w:proofErr w:type="gramEnd"/>
      <w:r w:rsidR="00AA0B02" w:rsidRPr="00A8182E">
        <w:t>, Potential Providers</w:t>
      </w:r>
      <w:r w:rsidR="005D6049" w:rsidRPr="00A8182E">
        <w:t xml:space="preserve"> understand and are </w:t>
      </w:r>
      <w:r w:rsidRPr="00A8182E">
        <w:t>accepting of the points listed within the ‘Form of Tender’ question of the questionnaire.</w:t>
      </w:r>
    </w:p>
    <w:p w14:paraId="6DC54AA9" w14:textId="77777777" w:rsidR="00F2228F" w:rsidRDefault="00F2228F" w:rsidP="00F2228F">
      <w:pPr>
        <w:pStyle w:val="AHeading2"/>
        <w:numPr>
          <w:ilvl w:val="0"/>
          <w:numId w:val="0"/>
        </w:numPr>
        <w:ind w:left="851"/>
      </w:pPr>
    </w:p>
    <w:p w14:paraId="0CEDA44E" w14:textId="71C825A9" w:rsidR="009B75EA" w:rsidRPr="00C2132A" w:rsidRDefault="009B75EA" w:rsidP="00C2132A">
      <w:pPr>
        <w:pStyle w:val="AHeading2"/>
      </w:pPr>
      <w:bookmarkStart w:id="42" w:name="_Toc4147446"/>
      <w:r w:rsidRPr="00C2132A">
        <w:t xml:space="preserve">REJECTION OF </w:t>
      </w:r>
      <w:r w:rsidR="00A93D51">
        <w:t>APPLICATIONS</w:t>
      </w:r>
      <w:bookmarkEnd w:id="42"/>
    </w:p>
    <w:p w14:paraId="13C4EC47" w14:textId="0BE45BD7" w:rsidR="009B75EA" w:rsidRPr="00C2132A" w:rsidRDefault="009B75EA" w:rsidP="00C2132A">
      <w:pPr>
        <w:pStyle w:val="ANumberedText"/>
      </w:pPr>
      <w:r w:rsidRPr="00C2132A">
        <w:t xml:space="preserve">The Authority reserves the right to reject or disqualify any </w:t>
      </w:r>
      <w:r w:rsidR="00910B77">
        <w:t>application</w:t>
      </w:r>
      <w:r w:rsidRPr="00C2132A">
        <w:t xml:space="preserve"> and or a </w:t>
      </w:r>
      <w:r w:rsidR="00DF041F" w:rsidRPr="00C2132A">
        <w:t>Potential Provider</w:t>
      </w:r>
      <w:r w:rsidRPr="00C2132A">
        <w:t xml:space="preserve">, where the </w:t>
      </w:r>
      <w:r w:rsidR="00DF041F" w:rsidRPr="00C2132A">
        <w:t>Potential Provider</w:t>
      </w:r>
      <w:r w:rsidRPr="00C2132A">
        <w:t>:</w:t>
      </w:r>
    </w:p>
    <w:p w14:paraId="1F285370" w14:textId="75FC1736" w:rsidR="009B75EA" w:rsidRPr="00C2132A" w:rsidRDefault="009B75EA" w:rsidP="00C2132A">
      <w:pPr>
        <w:pStyle w:val="ANumberedText2"/>
      </w:pPr>
      <w:proofErr w:type="gramStart"/>
      <w:r w:rsidRPr="00C2132A">
        <w:lastRenderedPageBreak/>
        <w:t>enters into</w:t>
      </w:r>
      <w:proofErr w:type="gramEnd"/>
      <w:r w:rsidRPr="00C2132A">
        <w:t xml:space="preserve"> any condition of Contract</w:t>
      </w:r>
      <w:r w:rsidR="00DC202B" w:rsidRPr="00C2132A">
        <w:t xml:space="preserve"> or arrangement</w:t>
      </w:r>
      <w:r w:rsidRPr="00C2132A">
        <w:t xml:space="preserve"> with any other party that such other party shall refrain fro</w:t>
      </w:r>
      <w:r w:rsidR="00910B77">
        <w:t>m submitting an application</w:t>
      </w:r>
      <w:r w:rsidRPr="00C2132A">
        <w:t>; or</w:t>
      </w:r>
    </w:p>
    <w:p w14:paraId="6915C0AF" w14:textId="7A7C6761" w:rsidR="009B75EA" w:rsidRPr="00C2132A" w:rsidRDefault="009B75EA" w:rsidP="00C2132A">
      <w:pPr>
        <w:pStyle w:val="ANumberedText2"/>
      </w:pPr>
      <w:r w:rsidRPr="00C2132A">
        <w:t xml:space="preserve">offers or agrees to pay or gives or does pay or gives any sum or sums of money, inducement or valuable consideration directly or indirectly to any party for doing or having done or causing or having caused to be done in relation to this </w:t>
      </w:r>
      <w:r w:rsidR="00910B77">
        <w:t>application</w:t>
      </w:r>
      <w:r w:rsidRPr="00C2132A">
        <w:t xml:space="preserve"> or any other proposed Tender;</w:t>
      </w:r>
      <w:r w:rsidR="00B9097A" w:rsidRPr="00C2132A">
        <w:t xml:space="preserve"> or</w:t>
      </w:r>
    </w:p>
    <w:p w14:paraId="028DE0FB" w14:textId="77777777" w:rsidR="00B9097A" w:rsidRPr="00C2132A" w:rsidRDefault="00B9097A" w:rsidP="00C2132A">
      <w:pPr>
        <w:pStyle w:val="ANumberedText2"/>
      </w:pPr>
      <w:r w:rsidRPr="00C2132A">
        <w:t>commits an offence under the Bribery Act 2010 or an offence under Section 117(2) of the Local Government Act 1972; or</w:t>
      </w:r>
    </w:p>
    <w:p w14:paraId="17FCA3C6" w14:textId="77777777" w:rsidR="009B75EA" w:rsidRPr="00C2132A" w:rsidRDefault="009B75EA" w:rsidP="00C2132A">
      <w:pPr>
        <w:pStyle w:val="ANumberedText2"/>
      </w:pPr>
      <w:r w:rsidRPr="00C2132A">
        <w:t xml:space="preserve">directly or indirectly canvasses any officer, member, employee, or agent of </w:t>
      </w:r>
      <w:r w:rsidR="00862316" w:rsidRPr="00C2132A">
        <w:t>the Auth</w:t>
      </w:r>
      <w:r w:rsidRPr="00C2132A">
        <w:t xml:space="preserve">ority or its members or any relevant participating Authority or any of its officers or members concerning the establishment of the contractual relationship or who directly or indirectly obtains or attempts to obtain information from any such officer, member, employee or agent or concerning any other </w:t>
      </w:r>
      <w:r w:rsidR="00DF041F" w:rsidRPr="00C2132A">
        <w:t>Potential Provider</w:t>
      </w:r>
      <w:r w:rsidRPr="00C2132A">
        <w:t>, Tender or proposed Tender;</w:t>
      </w:r>
      <w:r w:rsidR="00B9097A" w:rsidRPr="00C2132A">
        <w:t xml:space="preserve"> or</w:t>
      </w:r>
    </w:p>
    <w:p w14:paraId="5223AB50" w14:textId="369259A3" w:rsidR="00DC202B" w:rsidRPr="00C2132A" w:rsidRDefault="00DC202B" w:rsidP="00C2132A">
      <w:pPr>
        <w:pStyle w:val="ANumberedText2"/>
      </w:pPr>
      <w:r w:rsidRPr="00C2132A">
        <w:t>fails to declare any conflict of interest or any circumstances that could give rise to a conflict of interest</w:t>
      </w:r>
      <w:r w:rsidR="00B56C33" w:rsidRPr="00C2132A">
        <w:t xml:space="preserve"> (Potential Providers must notify the Authority via the </w:t>
      </w:r>
      <w:proofErr w:type="spellStart"/>
      <w:r w:rsidR="00B56C33" w:rsidRPr="00C2132A">
        <w:t>ProContract</w:t>
      </w:r>
      <w:proofErr w:type="spellEnd"/>
      <w:r w:rsidR="00B56C33" w:rsidRPr="00C2132A">
        <w:t xml:space="preserve"> messaging </w:t>
      </w:r>
      <w:r w:rsidR="002C747E">
        <w:t>facility</w:t>
      </w:r>
      <w:r w:rsidR="00B56C33" w:rsidRPr="00C2132A">
        <w:t>)</w:t>
      </w:r>
      <w:r w:rsidRPr="00C2132A">
        <w:t>; or</w:t>
      </w:r>
    </w:p>
    <w:p w14:paraId="3D6FF860" w14:textId="1C5E0C8E" w:rsidR="009B75EA" w:rsidRPr="00C2132A" w:rsidRDefault="009B75EA" w:rsidP="00C2132A">
      <w:pPr>
        <w:pStyle w:val="ANumberedText2"/>
      </w:pPr>
      <w:r w:rsidRPr="00C2132A">
        <w:t xml:space="preserve">fails to comply fully with the requirements of this </w:t>
      </w:r>
      <w:r w:rsidR="00910B77">
        <w:t>DPS</w:t>
      </w:r>
      <w:r w:rsidRPr="00C2132A">
        <w:t xml:space="preserve"> or makes a misrepresentation in any information supplied in their </w:t>
      </w:r>
      <w:r w:rsidR="00910B77">
        <w:t>application</w:t>
      </w:r>
      <w:r w:rsidRPr="00C2132A">
        <w:t>;</w:t>
      </w:r>
      <w:r w:rsidR="00B9097A" w:rsidRPr="00C2132A">
        <w:t xml:space="preserve"> or</w:t>
      </w:r>
    </w:p>
    <w:p w14:paraId="0B984C53" w14:textId="4388F776" w:rsidR="009B75EA" w:rsidRPr="00C2132A" w:rsidRDefault="009B75EA" w:rsidP="00C2132A">
      <w:pPr>
        <w:pStyle w:val="ANumberedText2"/>
      </w:pPr>
      <w:r w:rsidRPr="00C2132A">
        <w:t xml:space="preserve">makes or attempts to make any variation or alteration to the </w:t>
      </w:r>
      <w:r w:rsidR="00961FBB" w:rsidRPr="00C2132A">
        <w:t>Conditions</w:t>
      </w:r>
      <w:r w:rsidRPr="00C2132A">
        <w:t xml:space="preserve"> </w:t>
      </w:r>
      <w:r w:rsidR="001A0D64">
        <w:t>of Application</w:t>
      </w:r>
      <w:r w:rsidRPr="00C2132A">
        <w:t xml:space="preserve">, the Conditions of Contract or the Specification except where a variation or alteration is invited or </w:t>
      </w:r>
      <w:r w:rsidRPr="001A0D64">
        <w:t xml:space="preserve">permitted in accordance with the terms of all or any of the </w:t>
      </w:r>
      <w:r w:rsidR="001A0D64" w:rsidRPr="001A0D64">
        <w:t>DPS documents</w:t>
      </w:r>
      <w:r w:rsidRPr="001A0D64">
        <w:t>, the Conditions of Contract and the Specification</w:t>
      </w:r>
      <w:r w:rsidR="0079098F" w:rsidRPr="001A0D64">
        <w:t xml:space="preserve">. If a Potential Provider has concerns and clarifications over the issued </w:t>
      </w:r>
      <w:r w:rsidR="00961FBB" w:rsidRPr="001A0D64">
        <w:t>Conditions of Contract</w:t>
      </w:r>
      <w:r w:rsidR="0079098F" w:rsidRPr="001A0D64">
        <w:t xml:space="preserve">, then these must be raised and resolved during the clarification period in the normal manner. Any amendments that are agreed shall be communicated to all </w:t>
      </w:r>
      <w:r w:rsidR="00961FBB" w:rsidRPr="001A0D64">
        <w:t>Potential Providers</w:t>
      </w:r>
      <w:r w:rsidR="00B56C33" w:rsidRPr="001A0D64">
        <w:t xml:space="preserve"> to ensure consistency</w:t>
      </w:r>
      <w:r w:rsidRPr="001A0D64">
        <w:t>; or</w:t>
      </w:r>
    </w:p>
    <w:p w14:paraId="6CB4D0A2" w14:textId="11AAA875" w:rsidR="009B75EA" w:rsidRPr="00C2132A" w:rsidRDefault="009B75EA" w:rsidP="00C2132A">
      <w:pPr>
        <w:pStyle w:val="ANumberedText2"/>
      </w:pPr>
      <w:r w:rsidRPr="00C2132A">
        <w:t xml:space="preserve">there is a change in identity, control, financial standing or other factor impacting on the selection process affecting the </w:t>
      </w:r>
      <w:r w:rsidR="001A0D64">
        <w:t>DPS</w:t>
      </w:r>
      <w:r w:rsidR="00B9097A" w:rsidRPr="00C2132A">
        <w:t>; or</w:t>
      </w:r>
    </w:p>
    <w:p w14:paraId="6FB4D7CD" w14:textId="282C37E4" w:rsidR="009B75EA" w:rsidRPr="00C2132A" w:rsidRDefault="009B75EA" w:rsidP="00C2132A">
      <w:pPr>
        <w:pStyle w:val="ANumberedText2"/>
      </w:pPr>
      <w:proofErr w:type="gramStart"/>
      <w:r w:rsidRPr="00C2132A">
        <w:t>submits a</w:t>
      </w:r>
      <w:r w:rsidR="001A0D64">
        <w:t>n application</w:t>
      </w:r>
      <w:proofErr w:type="gramEnd"/>
      <w:r w:rsidRPr="00C2132A">
        <w:t xml:space="preserve"> which does not comply with any mandatory requirement (where the word “shall” or “must” is used)</w:t>
      </w:r>
      <w:r w:rsidR="00B9097A" w:rsidRPr="00C2132A">
        <w:t>; or</w:t>
      </w:r>
    </w:p>
    <w:p w14:paraId="07C7C48B" w14:textId="2FAB3522" w:rsidR="00B27F6E" w:rsidRPr="00C2132A" w:rsidRDefault="00804953" w:rsidP="00C2132A">
      <w:pPr>
        <w:pStyle w:val="ANumberedText2"/>
      </w:pPr>
      <w:r w:rsidRPr="00C2132A">
        <w:t>fails to comply with the Revised Prevent Duty Guidance: for England and Wales; para. 45 "</w:t>
      </w:r>
      <w:proofErr w:type="spellStart"/>
      <w:r w:rsidRPr="00C2132A">
        <w:t>publically</w:t>
      </w:r>
      <w:proofErr w:type="spellEnd"/>
      <w:r w:rsidRPr="00C2132A">
        <w:t>-owned venues and resources do not provide a platform for extremists to disseminate extremist views"; para 46 "organisations who work with the local authority on Prevent are not engaged in any extremist activity or espouse extremist views"; or contradict para 47 "new contracts for the delivery of their services are being made to ensure that the principles of the duty are written in to those contracts in a suitable form"</w:t>
      </w:r>
      <w:r w:rsidR="009953BE" w:rsidRPr="00C2132A">
        <w:t>.</w:t>
      </w:r>
    </w:p>
    <w:p w14:paraId="4486CAAA" w14:textId="614E7245" w:rsidR="00DC202B" w:rsidRPr="00C2132A" w:rsidRDefault="00DC202B" w:rsidP="00C2132A">
      <w:pPr>
        <w:pStyle w:val="ANumberedText"/>
      </w:pPr>
      <w:r w:rsidRPr="00C2132A">
        <w:lastRenderedPageBreak/>
        <w:t xml:space="preserve">For the avoidance of </w:t>
      </w:r>
      <w:r w:rsidR="00501B3B" w:rsidRPr="00C2132A">
        <w:t>doubt,</w:t>
      </w:r>
      <w:r w:rsidRPr="00C2132A">
        <w:t xml:space="preserve"> any non-acceptance or rejection </w:t>
      </w:r>
      <w:r w:rsidR="00F745C2" w:rsidRPr="00C2132A">
        <w:t>in accordance with paragraph 2.10</w:t>
      </w:r>
      <w:r w:rsidRPr="00C2132A">
        <w:t xml:space="preserve">.1 above shall be without prejudice to any other civil remedies available to the Authority or any criminal liability that such conduct by </w:t>
      </w:r>
      <w:r w:rsidR="00DF041F" w:rsidRPr="00C2132A">
        <w:t>Potential Provider</w:t>
      </w:r>
      <w:r w:rsidRPr="00C2132A">
        <w:t xml:space="preserve"> may attract.</w:t>
      </w:r>
    </w:p>
    <w:p w14:paraId="0219A6EA" w14:textId="77777777" w:rsidR="00CE44F6" w:rsidRPr="00C2132A" w:rsidRDefault="00CE44F6" w:rsidP="00C2132A"/>
    <w:p w14:paraId="2D25199A" w14:textId="77777777" w:rsidR="009B75EA" w:rsidRPr="00E92F83" w:rsidRDefault="00DF041F" w:rsidP="00E92F83">
      <w:pPr>
        <w:pStyle w:val="AHeading2"/>
      </w:pPr>
      <w:bookmarkStart w:id="43" w:name="_Toc4147447"/>
      <w:r w:rsidRPr="00E92F83">
        <w:t>POTENTIAL PROVIDER</w:t>
      </w:r>
      <w:r w:rsidR="009B75EA" w:rsidRPr="00E92F83">
        <w:t>’S WARRANTIES</w:t>
      </w:r>
      <w:bookmarkEnd w:id="43"/>
    </w:p>
    <w:p w14:paraId="03540470" w14:textId="3B54AA56" w:rsidR="009B75EA" w:rsidRPr="00E92F83" w:rsidRDefault="009B75EA" w:rsidP="00E92F83">
      <w:pPr>
        <w:pStyle w:val="ANumberedText"/>
      </w:pPr>
      <w:r w:rsidRPr="00E92F83">
        <w:t>In submitting a</w:t>
      </w:r>
      <w:r w:rsidR="00F2660E">
        <w:t xml:space="preserve">n </w:t>
      </w:r>
      <w:proofErr w:type="gramStart"/>
      <w:r w:rsidR="00F2660E">
        <w:t>application</w:t>
      </w:r>
      <w:proofErr w:type="gramEnd"/>
      <w:r w:rsidRPr="00E92F83">
        <w:t xml:space="preserve"> the </w:t>
      </w:r>
      <w:r w:rsidR="00DF041F" w:rsidRPr="00E92F83">
        <w:t>Potential Provider</w:t>
      </w:r>
      <w:r w:rsidRPr="00E92F83">
        <w:t xml:space="preserve"> warrants and represents that:</w:t>
      </w:r>
    </w:p>
    <w:p w14:paraId="493AFED9" w14:textId="3314130F" w:rsidR="009B75EA" w:rsidRPr="00E92F83" w:rsidRDefault="009B75EA" w:rsidP="00E92F83">
      <w:pPr>
        <w:pStyle w:val="ANumberedText2"/>
      </w:pPr>
      <w:r w:rsidRPr="00E92F83">
        <w:t xml:space="preserve">it has not done any of the acts or matters referred to in </w:t>
      </w:r>
      <w:r w:rsidR="00DA601D" w:rsidRPr="00E92F83">
        <w:t>2.</w:t>
      </w:r>
      <w:r w:rsidR="00F745C2" w:rsidRPr="00E92F83">
        <w:t>10</w:t>
      </w:r>
      <w:r w:rsidR="00DA2EF0" w:rsidRPr="00E92F83">
        <w:t>.1</w:t>
      </w:r>
      <w:r w:rsidR="00DA601D" w:rsidRPr="00E92F83">
        <w:t xml:space="preserve"> </w:t>
      </w:r>
      <w:r w:rsidRPr="00E92F83">
        <w:t>above and has compl</w:t>
      </w:r>
      <w:r w:rsidR="00F2660E">
        <w:t xml:space="preserve">ied in all respects with the </w:t>
      </w:r>
      <w:proofErr w:type="gramStart"/>
      <w:r w:rsidR="00F2660E">
        <w:t>DPS</w:t>
      </w:r>
      <w:r w:rsidRPr="00E92F83">
        <w:t>;</w:t>
      </w:r>
      <w:proofErr w:type="gramEnd"/>
    </w:p>
    <w:p w14:paraId="774FB395" w14:textId="46EBAA5D" w:rsidR="009B75EA" w:rsidRPr="00E92F83" w:rsidRDefault="009B75EA" w:rsidP="00E92F83">
      <w:pPr>
        <w:pStyle w:val="ANumberedText2"/>
      </w:pPr>
      <w:r w:rsidRPr="00E92F83">
        <w:t>all information, representations and other matters of fact communicated (wheth</w:t>
      </w:r>
      <w:r w:rsidR="00862316" w:rsidRPr="00E92F83">
        <w:t>er in writing or otherwise) to t</w:t>
      </w:r>
      <w:r w:rsidRPr="00E92F83">
        <w:t xml:space="preserve">he Authority by the </w:t>
      </w:r>
      <w:r w:rsidR="00DF041F" w:rsidRPr="00E92F83">
        <w:t>Potential Provider</w:t>
      </w:r>
      <w:r w:rsidRPr="00E92F83">
        <w:t xml:space="preserve"> or its employees in connection with or arising out of the </w:t>
      </w:r>
      <w:r w:rsidR="00F2660E">
        <w:t>DPS process</w:t>
      </w:r>
      <w:r w:rsidRPr="00E92F83">
        <w:t xml:space="preserve"> are true, complete and accurate in all </w:t>
      </w:r>
      <w:proofErr w:type="gramStart"/>
      <w:r w:rsidRPr="00E92F83">
        <w:t>respects;</w:t>
      </w:r>
      <w:proofErr w:type="gramEnd"/>
    </w:p>
    <w:p w14:paraId="47A9496C" w14:textId="5C1A0180" w:rsidR="009B75EA" w:rsidRPr="00E92F83" w:rsidRDefault="009B75EA" w:rsidP="00E92F83">
      <w:pPr>
        <w:pStyle w:val="ANumberedText2"/>
      </w:pPr>
      <w:r w:rsidRPr="00E92F83">
        <w:t>it ha</w:t>
      </w:r>
      <w:r w:rsidR="00F66EB9" w:rsidRPr="00E92F83">
        <w:t>s</w:t>
      </w:r>
      <w:r w:rsidRPr="00E92F83">
        <w:t xml:space="preserve"> made its own investigations and research, and has satisfied itself in respect of all matters relating to the </w:t>
      </w:r>
      <w:r w:rsidR="00F2660E">
        <w:t>DPS</w:t>
      </w:r>
      <w:r w:rsidRPr="00E92F83">
        <w:t xml:space="preserve">, the Specification and the Conditions of Contract and that it has not submitted </w:t>
      </w:r>
      <w:r w:rsidR="00F2660E">
        <w:t>an application</w:t>
      </w:r>
      <w:r w:rsidRPr="00E92F83">
        <w:t xml:space="preserve"> in reliance upon any information, representations or assumptions (whether made orally, in writing or otherwis</w:t>
      </w:r>
      <w:r w:rsidR="00862316" w:rsidRPr="00E92F83">
        <w:t>e) which may have been made by t</w:t>
      </w:r>
      <w:r w:rsidRPr="00E92F83">
        <w:t>he Authority;</w:t>
      </w:r>
    </w:p>
    <w:p w14:paraId="44729C76" w14:textId="7984A73B" w:rsidR="009B75EA" w:rsidRPr="00E92F83" w:rsidRDefault="00184DAC" w:rsidP="00E92F83">
      <w:pPr>
        <w:pStyle w:val="ANumberedText2"/>
      </w:pPr>
      <w:r w:rsidRPr="00E92F83">
        <w:t xml:space="preserve">it has </w:t>
      </w:r>
      <w:r w:rsidR="00B04CBB" w:rsidRPr="00E92F83">
        <w:t>t</w:t>
      </w:r>
      <w:r w:rsidRPr="00E92F83">
        <w:t xml:space="preserve">he </w:t>
      </w:r>
      <w:r w:rsidR="00B04CBB" w:rsidRPr="00E92F83">
        <w:t>a</w:t>
      </w:r>
      <w:r w:rsidR="00F2660E">
        <w:t xml:space="preserve">uthority to submit their application </w:t>
      </w:r>
      <w:r w:rsidR="009B75EA" w:rsidRPr="00E92F83">
        <w:t>and will if request</w:t>
      </w:r>
      <w:r w:rsidR="00862316" w:rsidRPr="00E92F83">
        <w:t>ed</w:t>
      </w:r>
      <w:r w:rsidR="00F745C2" w:rsidRPr="00E92F83">
        <w:t>,</w:t>
      </w:r>
      <w:r w:rsidR="00862316" w:rsidRPr="00E92F83">
        <w:t xml:space="preserve"> produce evidence of such to t</w:t>
      </w:r>
      <w:r w:rsidR="009B75EA" w:rsidRPr="00E92F83">
        <w:t xml:space="preserve">he </w:t>
      </w:r>
      <w:proofErr w:type="gramStart"/>
      <w:r w:rsidR="009B75EA" w:rsidRPr="00E92F83">
        <w:t>Authority;</w:t>
      </w:r>
      <w:proofErr w:type="gramEnd"/>
    </w:p>
    <w:p w14:paraId="7BE927BE" w14:textId="77777777" w:rsidR="007C2CF1" w:rsidRPr="00E92F83" w:rsidRDefault="009B75EA" w:rsidP="00E92F83">
      <w:pPr>
        <w:pStyle w:val="ANumberedText2"/>
      </w:pPr>
      <w:r w:rsidRPr="00E92F83">
        <w:t xml:space="preserve">it is of sound financial standing and the </w:t>
      </w:r>
      <w:r w:rsidR="00DF041F" w:rsidRPr="00E92F83">
        <w:t>Potential Provider</w:t>
      </w:r>
      <w:r w:rsidRPr="00E92F83">
        <w:t xml:space="preserve"> and its partners, officers and employees are not aware of any circumstances (other than such circumstances as may be disclosed in the accounts or other financial statements of the </w:t>
      </w:r>
      <w:r w:rsidR="00DF041F" w:rsidRPr="00E92F83">
        <w:t>Potential Provider</w:t>
      </w:r>
      <w:r w:rsidRPr="00E92F83">
        <w:t xml:space="preserve">) which may adversely affect such financial standing in the future; </w:t>
      </w:r>
    </w:p>
    <w:p w14:paraId="3AA68BCD" w14:textId="7538BCD4" w:rsidR="009B75EA" w:rsidRPr="00E92F83" w:rsidRDefault="00F66EB9" w:rsidP="00E92F83">
      <w:pPr>
        <w:pStyle w:val="ANumberedText2"/>
      </w:pPr>
      <w:r w:rsidRPr="00E92F83">
        <w:t>i</w:t>
      </w:r>
      <w:r w:rsidR="007C2CF1" w:rsidRPr="00E92F83">
        <w:t xml:space="preserve">t has, and has made arrangements to ensure that it will continue to have, sufficient working capital, skilled staff, equipment, machinery and other resources available to carry out the Services in accordance with the Contract and for the period of the Contract; </w:t>
      </w:r>
      <w:r w:rsidR="009B75EA" w:rsidRPr="00E92F83">
        <w:t>and</w:t>
      </w:r>
    </w:p>
    <w:p w14:paraId="224E00FB" w14:textId="34654C73" w:rsidR="009B75EA" w:rsidRPr="00E92F83" w:rsidRDefault="009B75EA" w:rsidP="00E92F83">
      <w:pPr>
        <w:pStyle w:val="ANumberedText2"/>
      </w:pPr>
      <w:r w:rsidRPr="00E92F83">
        <w:t xml:space="preserve">any contractual arrangement </w:t>
      </w:r>
      <w:proofErr w:type="gramStart"/>
      <w:r w:rsidRPr="00E92F83">
        <w:t>entered into</w:t>
      </w:r>
      <w:proofErr w:type="gramEnd"/>
      <w:r w:rsidRPr="00E92F83">
        <w:t xml:space="preserve"> as a result of this </w:t>
      </w:r>
      <w:r w:rsidR="00773EC7">
        <w:t>DPS</w:t>
      </w:r>
      <w:r w:rsidRPr="00E92F83">
        <w:t xml:space="preserve"> shall be governed by English law.</w:t>
      </w:r>
    </w:p>
    <w:p w14:paraId="258857EE" w14:textId="77777777" w:rsidR="00AF7F86" w:rsidRPr="00E92F83" w:rsidRDefault="00AF7F86" w:rsidP="00E92F83"/>
    <w:p w14:paraId="7AA20885" w14:textId="0AB86463" w:rsidR="009B75EA" w:rsidRPr="00E92F83" w:rsidRDefault="009B75EA" w:rsidP="00E92F83">
      <w:pPr>
        <w:pStyle w:val="AHeading2"/>
      </w:pPr>
      <w:bookmarkStart w:id="44" w:name="_Toc4147448"/>
      <w:r w:rsidRPr="00E92F83">
        <w:t xml:space="preserve">CHANGES / AMENDMENTS TO </w:t>
      </w:r>
      <w:r w:rsidR="00773EC7">
        <w:t>DPS</w:t>
      </w:r>
      <w:r w:rsidRPr="00E92F83">
        <w:t xml:space="preserve"> DOCUMENTS</w:t>
      </w:r>
      <w:bookmarkEnd w:id="44"/>
    </w:p>
    <w:p w14:paraId="352DC5F6" w14:textId="6BBBB21E" w:rsidR="009B75EA" w:rsidRPr="00E92F83" w:rsidRDefault="009B75EA" w:rsidP="00E92F83">
      <w:pPr>
        <w:pStyle w:val="ANumberedText"/>
      </w:pPr>
      <w:r w:rsidRPr="00E92F83">
        <w:t>At any time prior to the Deadli</w:t>
      </w:r>
      <w:r w:rsidR="00184DAC" w:rsidRPr="00E92F83">
        <w:t xml:space="preserve">ne for the receipt of </w:t>
      </w:r>
      <w:r w:rsidR="00773EC7">
        <w:t>DPS applications</w:t>
      </w:r>
      <w:r w:rsidR="00184DAC" w:rsidRPr="00E92F83">
        <w:t xml:space="preserve">, </w:t>
      </w:r>
      <w:r w:rsidR="00862316" w:rsidRPr="00E92F83">
        <w:t>the Auth</w:t>
      </w:r>
      <w:r w:rsidRPr="00E92F83">
        <w:t>ority may mo</w:t>
      </w:r>
      <w:r w:rsidR="00773EC7">
        <w:t>dify the DPS</w:t>
      </w:r>
      <w:r w:rsidRPr="00E92F83">
        <w:t xml:space="preserve"> by amendment. Any such amendment will be numbered and dated and issued by </w:t>
      </w:r>
      <w:r w:rsidR="00862316" w:rsidRPr="00E92F83">
        <w:t>the Auth</w:t>
      </w:r>
      <w:r w:rsidRPr="00E92F83">
        <w:t xml:space="preserve">ority to all prospective </w:t>
      </w:r>
      <w:r w:rsidR="00DF041F" w:rsidRPr="00E92F83">
        <w:t>Potential Providers</w:t>
      </w:r>
      <w:r w:rsidRPr="00E92F83">
        <w:t xml:space="preserve"> by </w:t>
      </w:r>
      <w:r w:rsidR="00705090" w:rsidRPr="00E92F83">
        <w:t xml:space="preserve">the </w:t>
      </w:r>
      <w:r w:rsidR="00501B3B" w:rsidRPr="00E92F83">
        <w:t>amendment</w:t>
      </w:r>
      <w:r w:rsidR="00773EC7">
        <w:t xml:space="preserve"> to DPS</w:t>
      </w:r>
      <w:r w:rsidR="00705090" w:rsidRPr="00E92F83">
        <w:t xml:space="preserve"> documents deadline stated in the </w:t>
      </w:r>
      <w:hyperlink w:anchor="Timetable" w:history="1">
        <w:r w:rsidR="00705090" w:rsidRPr="00E92F83">
          <w:rPr>
            <w:rStyle w:val="Hyperlink"/>
          </w:rPr>
          <w:t>Procurement Timetable</w:t>
        </w:r>
      </w:hyperlink>
      <w:r w:rsidR="00705090" w:rsidRPr="00E92F83">
        <w:t>.</w:t>
      </w:r>
      <w:r w:rsidRPr="00E92F83">
        <w:t xml:space="preserve"> </w:t>
      </w:r>
      <w:proofErr w:type="gramStart"/>
      <w:r w:rsidRPr="00E92F83">
        <w:t>In order to</w:t>
      </w:r>
      <w:proofErr w:type="gramEnd"/>
      <w:r w:rsidRPr="00E92F83">
        <w:t xml:space="preserve"> give</w:t>
      </w:r>
      <w:r w:rsidR="00184DAC" w:rsidRPr="00E92F83">
        <w:t xml:space="preserve"> </w:t>
      </w:r>
      <w:r w:rsidR="00DF041F" w:rsidRPr="00E92F83">
        <w:t>Potential Providers</w:t>
      </w:r>
      <w:r w:rsidRPr="00E92F83">
        <w:t xml:space="preserve"> reasonable time in which to take the amendment i</w:t>
      </w:r>
      <w:r w:rsidR="00773EC7">
        <w:t xml:space="preserve">nto account in preparing their </w:t>
      </w:r>
      <w:r w:rsidR="00773EC7">
        <w:lastRenderedPageBreak/>
        <w:t>application</w:t>
      </w:r>
      <w:r w:rsidR="00184DAC" w:rsidRPr="00E92F83">
        <w:t xml:space="preserve">s, </w:t>
      </w:r>
      <w:r w:rsidR="00862316" w:rsidRPr="00E92F83">
        <w:t>the Auth</w:t>
      </w:r>
      <w:r w:rsidRPr="00E92F83">
        <w:t>ority may, at its discretion, extend the</w:t>
      </w:r>
      <w:r w:rsidR="00773EC7">
        <w:t xml:space="preserve"> Deadline for receipt of DPS applications</w:t>
      </w:r>
      <w:r w:rsidRPr="00E92F83">
        <w:t>.</w:t>
      </w:r>
    </w:p>
    <w:p w14:paraId="38103AB8" w14:textId="77777777" w:rsidR="009B75EA" w:rsidRPr="00E92F83" w:rsidRDefault="009B75EA" w:rsidP="00E92F83">
      <w:pPr>
        <w:pStyle w:val="ANumberedText"/>
      </w:pPr>
      <w:r w:rsidRPr="00E92F83">
        <w:t>The Authority reserves the right to:</w:t>
      </w:r>
    </w:p>
    <w:p w14:paraId="61A98234" w14:textId="1AAD0E21" w:rsidR="009B75EA" w:rsidRPr="00E92F83" w:rsidRDefault="009B75EA" w:rsidP="00E92F83">
      <w:pPr>
        <w:pStyle w:val="ANumberedText2"/>
      </w:pPr>
      <w:r w:rsidRPr="00E92F83">
        <w:t>amend the conditions of C</w:t>
      </w:r>
      <w:r w:rsidR="00CE44F6" w:rsidRPr="00E92F83">
        <w:t xml:space="preserve">ontract </w:t>
      </w:r>
      <w:r w:rsidR="00CE44F6" w:rsidRPr="00773EC7">
        <w:t>attached in Appendix 1</w:t>
      </w:r>
      <w:r w:rsidR="00773EC7" w:rsidRPr="00773EC7">
        <w:t xml:space="preserve"> and </w:t>
      </w:r>
      <w:proofErr w:type="gramStart"/>
      <w:r w:rsidR="00773EC7" w:rsidRPr="00773EC7">
        <w:t>2</w:t>
      </w:r>
      <w:r w:rsidR="00CE44F6" w:rsidRPr="00773EC7">
        <w:t>;</w:t>
      </w:r>
      <w:proofErr w:type="gramEnd"/>
    </w:p>
    <w:p w14:paraId="3EF4EB2B" w14:textId="77777777" w:rsidR="009B75EA" w:rsidRPr="00E92F83" w:rsidRDefault="009B75EA" w:rsidP="00E92F83">
      <w:pPr>
        <w:pStyle w:val="ANumberedText2"/>
      </w:pPr>
      <w:r w:rsidRPr="00E92F83">
        <w:t>abandon the procurement process at any stage without any lia</w:t>
      </w:r>
      <w:r w:rsidR="00184DAC" w:rsidRPr="00E92F83">
        <w:t xml:space="preserve">bility to </w:t>
      </w:r>
      <w:r w:rsidR="00862316" w:rsidRPr="00E92F83">
        <w:t>the Auth</w:t>
      </w:r>
      <w:r w:rsidR="00E36ADA" w:rsidRPr="00E92F83">
        <w:t>ority; and or</w:t>
      </w:r>
    </w:p>
    <w:p w14:paraId="54EEA823" w14:textId="6E168458" w:rsidR="009B75EA" w:rsidRPr="00E92F83" w:rsidRDefault="009B75EA" w:rsidP="00E92F83">
      <w:pPr>
        <w:pStyle w:val="ANumberedText2"/>
      </w:pPr>
      <w:r w:rsidRPr="00E92F83">
        <w:t xml:space="preserve">require the </w:t>
      </w:r>
      <w:r w:rsidR="00DF041F" w:rsidRPr="00E92F83">
        <w:t>Potential Provider</w:t>
      </w:r>
      <w:r w:rsidRPr="00E92F83">
        <w:t xml:space="preserve"> to clarify its </w:t>
      </w:r>
      <w:r w:rsidR="00EF0365">
        <w:t xml:space="preserve">application </w:t>
      </w:r>
      <w:r w:rsidRPr="00E92F83">
        <w:t xml:space="preserve">in writing and if the </w:t>
      </w:r>
      <w:r w:rsidR="00DF041F" w:rsidRPr="00E92F83">
        <w:t>Potential Provider</w:t>
      </w:r>
      <w:r w:rsidRPr="00E92F83">
        <w:t xml:space="preserve"> fails to respond satisfactorily, this may result in the </w:t>
      </w:r>
      <w:r w:rsidR="00DF041F" w:rsidRPr="00E92F83">
        <w:t>Potential Provider</w:t>
      </w:r>
      <w:r w:rsidRPr="00E92F83">
        <w:t xml:space="preserve"> not being selected.</w:t>
      </w:r>
    </w:p>
    <w:p w14:paraId="6AEE9D22" w14:textId="77777777" w:rsidR="000D4EE9" w:rsidRDefault="000D4EE9" w:rsidP="00E92F83"/>
    <w:p w14:paraId="63015AB8" w14:textId="77777777" w:rsidR="0068004E" w:rsidRDefault="0068004E" w:rsidP="00E92F83"/>
    <w:p w14:paraId="46023CA7" w14:textId="77777777" w:rsidR="0068004E" w:rsidRPr="00E92F83" w:rsidRDefault="0068004E" w:rsidP="00E92F83"/>
    <w:p w14:paraId="62B5268C" w14:textId="2631AAA3" w:rsidR="009B75EA" w:rsidRPr="00E92F83" w:rsidRDefault="009B75EA" w:rsidP="00E92F83">
      <w:pPr>
        <w:pStyle w:val="AHeading2"/>
      </w:pPr>
      <w:bookmarkStart w:id="45" w:name="_Toc4147449"/>
      <w:r w:rsidRPr="00E92F83">
        <w:t>ACCEPTANCE</w:t>
      </w:r>
      <w:r w:rsidR="00656CE3" w:rsidRPr="00E92F83">
        <w:t xml:space="preserve"> /</w:t>
      </w:r>
      <w:r w:rsidRPr="00E92F83">
        <w:t xml:space="preserve"> EVALUATION OF </w:t>
      </w:r>
      <w:r w:rsidR="00EF0365">
        <w:t>APPLICATIONS</w:t>
      </w:r>
      <w:bookmarkEnd w:id="45"/>
    </w:p>
    <w:p w14:paraId="5A94AEE9" w14:textId="123AE73B" w:rsidR="009B75EA" w:rsidRPr="00E92F83" w:rsidRDefault="00656CE3" w:rsidP="00E92F83">
      <w:pPr>
        <w:pStyle w:val="ANumberedText"/>
      </w:pPr>
      <w:r w:rsidRPr="00E92F83">
        <w:t>T</w:t>
      </w:r>
      <w:r w:rsidR="009B75EA" w:rsidRPr="00E92F83">
        <w:t xml:space="preserve">he </w:t>
      </w:r>
      <w:r w:rsidR="00EF0365">
        <w:t>validation</w:t>
      </w:r>
      <w:r w:rsidR="009B75EA" w:rsidRPr="00E92F83">
        <w:t xml:space="preserve"> process is conducted to ensure that </w:t>
      </w:r>
      <w:r w:rsidR="00EF0365">
        <w:t>applications are reviewe</w:t>
      </w:r>
      <w:r w:rsidR="009B75EA" w:rsidRPr="00E92F83">
        <w:t>d in an open and transparent manner.</w:t>
      </w:r>
    </w:p>
    <w:p w14:paraId="1507099F" w14:textId="3FA79BC1" w:rsidR="00447155" w:rsidRDefault="00656CE3" w:rsidP="00E92F83">
      <w:pPr>
        <w:pStyle w:val="ANumberedText"/>
      </w:pPr>
      <w:r w:rsidRPr="00E92F83">
        <w:t>A</w:t>
      </w:r>
      <w:r w:rsidR="009B75EA" w:rsidRPr="00E92F83">
        <w:t xml:space="preserve">n initial examination will be made to establish the completeness of submitted </w:t>
      </w:r>
      <w:r w:rsidR="00EF0365">
        <w:t>application</w:t>
      </w:r>
      <w:r w:rsidR="009B75EA" w:rsidRPr="00E92F83">
        <w:t>s. The Authority reserves the right to disqualify any submission which is incomplete.</w:t>
      </w:r>
      <w:r w:rsidR="00F66EB9" w:rsidRPr="00E92F83">
        <w:t xml:space="preserve"> Information submitted by Potential Providers in response to this document may be subject to further clarification questions by the Authority. Provider</w:t>
      </w:r>
      <w:r w:rsidR="00EF0365">
        <w:t>s will not be accepted on to the DPS</w:t>
      </w:r>
      <w:r w:rsidR="00F66EB9" w:rsidRPr="00E92F83">
        <w:t xml:space="preserve"> until the Authority is satisfied with any further checks and due diligence it has carried out and these will need to be acceptable to the Authority before the award of Contract can take place.</w:t>
      </w:r>
    </w:p>
    <w:p w14:paraId="4C296326" w14:textId="5801670F" w:rsidR="00EF0365" w:rsidRDefault="00EF0365" w:rsidP="00EF0365">
      <w:pPr>
        <w:pStyle w:val="ANumberedText"/>
      </w:pPr>
      <w:r w:rsidRPr="00AD6900">
        <w:t>Subject to 2.1</w:t>
      </w:r>
      <w:r>
        <w:t>3.7</w:t>
      </w:r>
      <w:r w:rsidRPr="00AD6900">
        <w:t>, the Authority will ONLY accept applications that meet all minimum requirements.</w:t>
      </w:r>
    </w:p>
    <w:p w14:paraId="51505225" w14:textId="77777777" w:rsidR="00E67CBF" w:rsidRPr="00E92F83" w:rsidRDefault="00447155" w:rsidP="00E92F83">
      <w:pPr>
        <w:pStyle w:val="ANumberedText"/>
      </w:pPr>
      <w:r w:rsidRPr="00E92F83">
        <w:t xml:space="preserve">The Authority reserves the right to eliminate Potential Providers if they have not completed the relevant declaration forms. </w:t>
      </w:r>
    </w:p>
    <w:p w14:paraId="116C48FC" w14:textId="1C0F1481" w:rsidR="00E67CBF" w:rsidRPr="00EF0365" w:rsidRDefault="00E67CBF" w:rsidP="00E92F83">
      <w:pPr>
        <w:pStyle w:val="ANumberedText"/>
      </w:pPr>
      <w:r w:rsidRPr="00EF0365">
        <w:t>Financial Checks</w:t>
      </w:r>
    </w:p>
    <w:p w14:paraId="0238A279" w14:textId="168814F9" w:rsidR="00E67CBF" w:rsidRPr="00EF0365" w:rsidRDefault="00E67CBF" w:rsidP="00656BE8">
      <w:pPr>
        <w:pStyle w:val="ANumberedText"/>
      </w:pPr>
      <w:r w:rsidRPr="00EF0365">
        <w:t xml:space="preserve">The Authority, acting in line with good practice will undertake its due diligence in advance of any contract award. Part of such due diligence may include the performance of financial credit checks in relation to preferred Potential Providers. This is important to the Authority to ensure that any organisation who wishes to </w:t>
      </w:r>
      <w:proofErr w:type="gramStart"/>
      <w:r w:rsidRPr="00EF0365">
        <w:t>enter into</w:t>
      </w:r>
      <w:proofErr w:type="gramEnd"/>
      <w:r w:rsidRPr="00EF0365">
        <w:t xml:space="preserve"> a contract with the Authority will be in a position to provide the goods and services on an ongoing basis as agreed within any contract. This due diligence may include a financial check which measures the likelihood of an organisation becoming insolvent within the next 12 months and is expressed as a score. The Authority works with external credit agencies to provide these financial checks. The Authority reserves the right to eliminate a preferred Potential Provider from the </w:t>
      </w:r>
      <w:r w:rsidR="007931B2">
        <w:t>DPS</w:t>
      </w:r>
      <w:r w:rsidRPr="00EF0365">
        <w:t xml:space="preserve"> process should any findings from the Authority’s due diligence reveal a serious concern or risk for the Authority that cannot be remedied in a reasonable amount of time before award. </w:t>
      </w:r>
      <w:r w:rsidRPr="00EF0365">
        <w:lastRenderedPageBreak/>
        <w:t>Potential Providers are strongly encouraged to check / manage their financial score within the industry.</w:t>
      </w:r>
    </w:p>
    <w:p w14:paraId="75D1DD8E" w14:textId="0C6CD765" w:rsidR="00E336C3" w:rsidRPr="00EF0365" w:rsidRDefault="00EF0365" w:rsidP="00656BE8">
      <w:pPr>
        <w:pStyle w:val="ANumberedText"/>
      </w:pPr>
      <w:r>
        <w:t>DPS</w:t>
      </w:r>
      <w:r w:rsidR="00447155" w:rsidRPr="00EF0365">
        <w:t xml:space="preserve"> CRITERIA</w:t>
      </w:r>
    </w:p>
    <w:p w14:paraId="0F2D870D" w14:textId="3F70C40E" w:rsidR="00E336C3" w:rsidRPr="00B6359E" w:rsidRDefault="00EF0365" w:rsidP="00B6359E">
      <w:pPr>
        <w:pStyle w:val="AIndentedText"/>
      </w:pPr>
      <w:r>
        <w:t>T</w:t>
      </w:r>
      <w:r w:rsidR="00447155" w:rsidRPr="00B6359E">
        <w:t xml:space="preserve">he Authority will </w:t>
      </w:r>
      <w:r w:rsidR="00447155" w:rsidRPr="00EF0365">
        <w:t xml:space="preserve">assess the Potential Provider’s responses to the </w:t>
      </w:r>
      <w:r w:rsidR="00FD7F28" w:rsidRPr="00EF0365">
        <w:t>Questionnaire</w:t>
      </w:r>
      <w:r w:rsidR="00447155" w:rsidRPr="00EF0365">
        <w:t xml:space="preserve">. Failure to meet the </w:t>
      </w:r>
      <w:r w:rsidR="00FD7F28" w:rsidRPr="00EF0365">
        <w:t>minimum</w:t>
      </w:r>
      <w:r w:rsidR="00447155" w:rsidRPr="00EF0365">
        <w:t xml:space="preserve"> criteria will result in automatic elimination of the Potential Provider</w:t>
      </w:r>
      <w:r w:rsidR="00E336C3" w:rsidRPr="00EF0365">
        <w:t xml:space="preserve"> and their bid</w:t>
      </w:r>
      <w:r w:rsidR="00F745C2" w:rsidRPr="00EF0365">
        <w:t>.</w:t>
      </w:r>
    </w:p>
    <w:p w14:paraId="4B328F13" w14:textId="6297E42B" w:rsidR="009B22D5" w:rsidRDefault="009B22D5" w:rsidP="00B6359E">
      <w:pPr>
        <w:pStyle w:val="AIndentedText"/>
      </w:pPr>
      <w:r w:rsidRPr="00EF0365">
        <w:t>There are some questions to which an adverse answer may result in the elimination of</w:t>
      </w:r>
      <w:r w:rsidR="00EF0365" w:rsidRPr="00EF0365">
        <w:t xml:space="preserve"> a Potential Provider. Question</w:t>
      </w:r>
      <w:r w:rsidRPr="00EF0365">
        <w:t xml:space="preserve">s that may result in the elimination of a </w:t>
      </w:r>
      <w:r w:rsidR="00EF0365" w:rsidRPr="00EF0365">
        <w:t>DPS application</w:t>
      </w:r>
      <w:r w:rsidRPr="00EF0365">
        <w:t xml:space="preserve"> (marked as P/F (Pass/ Fail)) </w:t>
      </w:r>
      <w:r w:rsidR="00F745C2" w:rsidRPr="00EF0365">
        <w:t xml:space="preserve">are detailed </w:t>
      </w:r>
      <w:r w:rsidRPr="00EF0365">
        <w:t>in the table below:</w:t>
      </w:r>
    </w:p>
    <w:p w14:paraId="5EDDBD84" w14:textId="77777777" w:rsidR="0068004E" w:rsidRDefault="0068004E" w:rsidP="00B6359E">
      <w:pPr>
        <w:pStyle w:val="AIndentedText"/>
      </w:pPr>
    </w:p>
    <w:p w14:paraId="1318482C" w14:textId="77777777" w:rsidR="0068004E" w:rsidRDefault="0068004E" w:rsidP="00B6359E">
      <w:pPr>
        <w:pStyle w:val="AIndentedText"/>
      </w:pPr>
    </w:p>
    <w:tbl>
      <w:tblPr>
        <w:tblW w:w="10480" w:type="dxa"/>
        <w:tblInd w:w="-5" w:type="dxa"/>
        <w:tblLook w:val="04A0" w:firstRow="1" w:lastRow="0" w:firstColumn="1" w:lastColumn="0" w:noHBand="0" w:noVBand="1"/>
      </w:tblPr>
      <w:tblGrid>
        <w:gridCol w:w="7640"/>
        <w:gridCol w:w="880"/>
        <w:gridCol w:w="1960"/>
      </w:tblGrid>
      <w:tr w:rsidR="00995775" w:rsidRPr="00995775" w14:paraId="1EF85162" w14:textId="77777777" w:rsidTr="00995775">
        <w:trPr>
          <w:trHeight w:val="315"/>
        </w:trPr>
        <w:tc>
          <w:tcPr>
            <w:tcW w:w="104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D81FDF5" w14:textId="77777777" w:rsidR="00995775" w:rsidRPr="00995775" w:rsidRDefault="00995775" w:rsidP="00995775">
            <w:pPr>
              <w:spacing w:after="0"/>
              <w:jc w:val="left"/>
              <w:rPr>
                <w:rFonts w:eastAsia="Times New Roman" w:cs="Times New Roman"/>
                <w:b/>
                <w:bCs/>
                <w:color w:val="000000"/>
                <w:szCs w:val="24"/>
                <w:lang w:eastAsia="en-GB"/>
              </w:rPr>
            </w:pPr>
            <w:r w:rsidRPr="00995775">
              <w:rPr>
                <w:rFonts w:eastAsia="Times New Roman" w:cs="Times New Roman"/>
                <w:b/>
                <w:bCs/>
                <w:color w:val="000000"/>
                <w:szCs w:val="24"/>
                <w:lang w:eastAsia="en-GB"/>
              </w:rPr>
              <w:t>SELECTION CRITERIA QUESTIONS</w:t>
            </w:r>
          </w:p>
        </w:tc>
      </w:tr>
      <w:tr w:rsidR="00995775" w:rsidRPr="00995775" w14:paraId="4DEF64C9" w14:textId="77777777" w:rsidTr="00995775">
        <w:trPr>
          <w:trHeight w:val="315"/>
        </w:trPr>
        <w:tc>
          <w:tcPr>
            <w:tcW w:w="7640" w:type="dxa"/>
            <w:tcBorders>
              <w:top w:val="nil"/>
              <w:left w:val="single" w:sz="4" w:space="0" w:color="auto"/>
              <w:bottom w:val="single" w:sz="4" w:space="0" w:color="auto"/>
              <w:right w:val="single" w:sz="4" w:space="0" w:color="auto"/>
            </w:tcBorders>
            <w:shd w:val="clear" w:color="auto" w:fill="auto"/>
            <w:vAlign w:val="center"/>
            <w:hideMark/>
          </w:tcPr>
          <w:p w14:paraId="3756EAFA" w14:textId="77777777" w:rsidR="00995775" w:rsidRPr="00995775" w:rsidRDefault="00995775" w:rsidP="00995775">
            <w:pPr>
              <w:spacing w:after="0"/>
              <w:jc w:val="left"/>
              <w:rPr>
                <w:rFonts w:eastAsia="Times New Roman" w:cs="Times New Roman"/>
                <w:b/>
                <w:bCs/>
                <w:color w:val="000000"/>
                <w:szCs w:val="24"/>
                <w:lang w:eastAsia="en-GB"/>
              </w:rPr>
            </w:pPr>
            <w:r w:rsidRPr="00995775">
              <w:rPr>
                <w:rFonts w:eastAsia="Times New Roman" w:cs="Times New Roman"/>
                <w:b/>
                <w:bCs/>
                <w:color w:val="000000"/>
                <w:szCs w:val="24"/>
                <w:lang w:eastAsia="en-GB"/>
              </w:rPr>
              <w:t>Section Title</w:t>
            </w:r>
          </w:p>
        </w:tc>
        <w:tc>
          <w:tcPr>
            <w:tcW w:w="880" w:type="dxa"/>
            <w:tcBorders>
              <w:top w:val="nil"/>
              <w:left w:val="nil"/>
              <w:bottom w:val="single" w:sz="4" w:space="0" w:color="auto"/>
              <w:right w:val="single" w:sz="4" w:space="0" w:color="auto"/>
            </w:tcBorders>
            <w:shd w:val="clear" w:color="auto" w:fill="auto"/>
            <w:vAlign w:val="center"/>
            <w:hideMark/>
          </w:tcPr>
          <w:p w14:paraId="1C815283" w14:textId="77777777" w:rsidR="00995775" w:rsidRPr="00995775" w:rsidRDefault="00995775" w:rsidP="00995775">
            <w:pPr>
              <w:spacing w:after="0"/>
              <w:jc w:val="left"/>
              <w:rPr>
                <w:rFonts w:eastAsia="Times New Roman" w:cs="Times New Roman"/>
                <w:b/>
                <w:bCs/>
                <w:color w:val="000000"/>
                <w:szCs w:val="24"/>
                <w:lang w:eastAsia="en-GB"/>
              </w:rPr>
            </w:pPr>
            <w:r w:rsidRPr="00995775">
              <w:rPr>
                <w:rFonts w:eastAsia="Times New Roman" w:cs="Times New Roman"/>
                <w:b/>
                <w:bCs/>
                <w:color w:val="000000"/>
                <w:szCs w:val="24"/>
                <w:lang w:eastAsia="en-GB"/>
              </w:rPr>
              <w:t>P/F</w:t>
            </w:r>
          </w:p>
        </w:tc>
        <w:tc>
          <w:tcPr>
            <w:tcW w:w="1960" w:type="dxa"/>
            <w:tcBorders>
              <w:top w:val="nil"/>
              <w:left w:val="nil"/>
              <w:bottom w:val="single" w:sz="4" w:space="0" w:color="auto"/>
              <w:right w:val="single" w:sz="4" w:space="0" w:color="auto"/>
            </w:tcBorders>
            <w:shd w:val="clear" w:color="auto" w:fill="auto"/>
            <w:vAlign w:val="center"/>
            <w:hideMark/>
          </w:tcPr>
          <w:p w14:paraId="28472F54" w14:textId="77777777" w:rsidR="00995775" w:rsidRPr="00995775" w:rsidRDefault="00995775" w:rsidP="00995775">
            <w:pPr>
              <w:spacing w:after="0"/>
              <w:jc w:val="left"/>
              <w:rPr>
                <w:rFonts w:eastAsia="Times New Roman" w:cs="Times New Roman"/>
                <w:b/>
                <w:bCs/>
                <w:color w:val="000000"/>
                <w:szCs w:val="24"/>
                <w:lang w:eastAsia="en-GB"/>
              </w:rPr>
            </w:pPr>
            <w:r w:rsidRPr="00995775">
              <w:rPr>
                <w:rFonts w:eastAsia="Times New Roman" w:cs="Times New Roman"/>
                <w:b/>
                <w:bCs/>
                <w:color w:val="000000"/>
                <w:szCs w:val="24"/>
                <w:lang w:eastAsia="en-GB"/>
              </w:rPr>
              <w:t>Question Number</w:t>
            </w:r>
          </w:p>
        </w:tc>
      </w:tr>
      <w:tr w:rsidR="00995775" w:rsidRPr="00995775" w14:paraId="2F43CA50" w14:textId="77777777" w:rsidTr="00995775">
        <w:trPr>
          <w:trHeight w:val="315"/>
        </w:trPr>
        <w:tc>
          <w:tcPr>
            <w:tcW w:w="7640" w:type="dxa"/>
            <w:tcBorders>
              <w:top w:val="nil"/>
              <w:left w:val="single" w:sz="4" w:space="0" w:color="auto"/>
              <w:bottom w:val="single" w:sz="4" w:space="0" w:color="auto"/>
              <w:right w:val="single" w:sz="4" w:space="0" w:color="auto"/>
            </w:tcBorders>
            <w:shd w:val="clear" w:color="000000" w:fill="D9D9D9"/>
            <w:vAlign w:val="center"/>
            <w:hideMark/>
          </w:tcPr>
          <w:p w14:paraId="73FA407E" w14:textId="77777777" w:rsidR="00995775" w:rsidRPr="00995775" w:rsidRDefault="00995775" w:rsidP="00995775">
            <w:pPr>
              <w:spacing w:after="0"/>
              <w:jc w:val="left"/>
              <w:rPr>
                <w:rFonts w:eastAsia="Times New Roman" w:cs="Times New Roman"/>
                <w:b/>
                <w:bCs/>
                <w:color w:val="000000"/>
                <w:szCs w:val="24"/>
                <w:lang w:eastAsia="en-GB"/>
              </w:rPr>
            </w:pPr>
            <w:r w:rsidRPr="00995775">
              <w:rPr>
                <w:rFonts w:eastAsia="Times New Roman" w:cs="Times New Roman"/>
                <w:b/>
                <w:bCs/>
                <w:color w:val="000000"/>
                <w:szCs w:val="24"/>
                <w:lang w:eastAsia="en-GB"/>
              </w:rPr>
              <w:t>Important: Please Read</w:t>
            </w:r>
          </w:p>
        </w:tc>
        <w:tc>
          <w:tcPr>
            <w:tcW w:w="880" w:type="dxa"/>
            <w:tcBorders>
              <w:top w:val="nil"/>
              <w:left w:val="nil"/>
              <w:bottom w:val="single" w:sz="4" w:space="0" w:color="auto"/>
              <w:right w:val="single" w:sz="4" w:space="0" w:color="auto"/>
            </w:tcBorders>
            <w:shd w:val="clear" w:color="000000" w:fill="D9D9D9"/>
            <w:vAlign w:val="center"/>
            <w:hideMark/>
          </w:tcPr>
          <w:p w14:paraId="62891AEE" w14:textId="77777777" w:rsidR="00995775" w:rsidRPr="00995775" w:rsidRDefault="00995775" w:rsidP="00995775">
            <w:pPr>
              <w:spacing w:after="0"/>
              <w:jc w:val="left"/>
              <w:rPr>
                <w:rFonts w:eastAsia="Times New Roman" w:cs="Times New Roman"/>
                <w:color w:val="000000"/>
                <w:szCs w:val="24"/>
                <w:lang w:eastAsia="en-GB"/>
              </w:rPr>
            </w:pPr>
            <w:r w:rsidRPr="00995775">
              <w:rPr>
                <w:rFonts w:eastAsia="Times New Roman" w:cs="Times New Roman"/>
                <w:color w:val="000000"/>
                <w:szCs w:val="24"/>
                <w:lang w:eastAsia="en-GB"/>
              </w:rPr>
              <w:t> </w:t>
            </w:r>
          </w:p>
        </w:tc>
        <w:tc>
          <w:tcPr>
            <w:tcW w:w="1960" w:type="dxa"/>
            <w:tcBorders>
              <w:top w:val="nil"/>
              <w:left w:val="nil"/>
              <w:bottom w:val="single" w:sz="4" w:space="0" w:color="auto"/>
              <w:right w:val="single" w:sz="4" w:space="0" w:color="auto"/>
            </w:tcBorders>
            <w:shd w:val="clear" w:color="000000" w:fill="D9D9D9"/>
            <w:vAlign w:val="center"/>
            <w:hideMark/>
          </w:tcPr>
          <w:p w14:paraId="40DB11B9" w14:textId="77777777" w:rsidR="00995775" w:rsidRPr="00995775" w:rsidRDefault="00995775" w:rsidP="00995775">
            <w:pPr>
              <w:spacing w:after="0"/>
              <w:jc w:val="left"/>
              <w:rPr>
                <w:rFonts w:eastAsia="Times New Roman" w:cs="Times New Roman"/>
                <w:color w:val="000000"/>
                <w:szCs w:val="24"/>
                <w:lang w:eastAsia="en-GB"/>
              </w:rPr>
            </w:pPr>
            <w:r w:rsidRPr="00995775">
              <w:rPr>
                <w:rFonts w:eastAsia="Times New Roman" w:cs="Times New Roman"/>
                <w:color w:val="000000"/>
                <w:szCs w:val="24"/>
                <w:lang w:eastAsia="en-GB"/>
              </w:rPr>
              <w:t> </w:t>
            </w:r>
          </w:p>
        </w:tc>
      </w:tr>
      <w:tr w:rsidR="00995775" w:rsidRPr="00995775" w14:paraId="2C7C2E20" w14:textId="77777777" w:rsidTr="00995775">
        <w:trPr>
          <w:trHeight w:val="945"/>
        </w:trPr>
        <w:tc>
          <w:tcPr>
            <w:tcW w:w="7640" w:type="dxa"/>
            <w:tcBorders>
              <w:top w:val="nil"/>
              <w:left w:val="single" w:sz="4" w:space="0" w:color="auto"/>
              <w:bottom w:val="single" w:sz="4" w:space="0" w:color="auto"/>
              <w:right w:val="single" w:sz="4" w:space="0" w:color="auto"/>
            </w:tcBorders>
            <w:shd w:val="clear" w:color="auto" w:fill="auto"/>
            <w:vAlign w:val="center"/>
            <w:hideMark/>
          </w:tcPr>
          <w:p w14:paraId="56B52C50" w14:textId="77777777" w:rsidR="00995775" w:rsidRPr="00995775" w:rsidRDefault="00995775" w:rsidP="00995775">
            <w:pPr>
              <w:spacing w:after="0"/>
              <w:jc w:val="left"/>
              <w:rPr>
                <w:rFonts w:eastAsia="Times New Roman" w:cs="Times New Roman"/>
                <w:b/>
                <w:bCs/>
                <w:color w:val="000000"/>
                <w:szCs w:val="24"/>
                <w:lang w:eastAsia="en-GB"/>
              </w:rPr>
            </w:pPr>
            <w:r w:rsidRPr="00995775">
              <w:rPr>
                <w:rFonts w:eastAsia="Times New Roman" w:cs="Times New Roman"/>
                <w:b/>
                <w:bCs/>
                <w:color w:val="000000"/>
                <w:szCs w:val="24"/>
                <w:lang w:eastAsia="en-GB"/>
              </w:rPr>
              <w:t>Additional requirements for groups and potential providers relying on other organisations to meet selection</w:t>
            </w:r>
          </w:p>
        </w:tc>
        <w:tc>
          <w:tcPr>
            <w:tcW w:w="880" w:type="dxa"/>
            <w:tcBorders>
              <w:top w:val="nil"/>
              <w:left w:val="nil"/>
              <w:bottom w:val="single" w:sz="4" w:space="0" w:color="auto"/>
              <w:right w:val="single" w:sz="4" w:space="0" w:color="auto"/>
            </w:tcBorders>
            <w:shd w:val="clear" w:color="auto" w:fill="auto"/>
            <w:vAlign w:val="center"/>
            <w:hideMark/>
          </w:tcPr>
          <w:p w14:paraId="7F71DD50" w14:textId="77777777" w:rsidR="00995775" w:rsidRPr="00995775" w:rsidRDefault="00995775" w:rsidP="00995775">
            <w:pPr>
              <w:spacing w:after="0"/>
              <w:jc w:val="left"/>
              <w:rPr>
                <w:rFonts w:eastAsia="Times New Roman" w:cs="Times New Roman"/>
                <w:color w:val="000000"/>
                <w:szCs w:val="24"/>
                <w:lang w:eastAsia="en-GB"/>
              </w:rPr>
            </w:pPr>
            <w:r w:rsidRPr="00995775">
              <w:rPr>
                <w:rFonts w:eastAsia="Times New Roman" w:cs="Times New Roman"/>
                <w:color w:val="000000"/>
                <w:szCs w:val="24"/>
                <w:lang w:eastAsia="en-GB"/>
              </w:rPr>
              <w:t>P/F</w:t>
            </w:r>
          </w:p>
        </w:tc>
        <w:tc>
          <w:tcPr>
            <w:tcW w:w="1960" w:type="dxa"/>
            <w:tcBorders>
              <w:top w:val="nil"/>
              <w:left w:val="nil"/>
              <w:bottom w:val="single" w:sz="4" w:space="0" w:color="auto"/>
              <w:right w:val="single" w:sz="4" w:space="0" w:color="auto"/>
            </w:tcBorders>
            <w:shd w:val="clear" w:color="auto" w:fill="auto"/>
            <w:vAlign w:val="center"/>
            <w:hideMark/>
          </w:tcPr>
          <w:p w14:paraId="4E44479D" w14:textId="77777777" w:rsidR="00995775" w:rsidRPr="00995775" w:rsidRDefault="00995775" w:rsidP="00995775">
            <w:pPr>
              <w:spacing w:after="0"/>
              <w:jc w:val="left"/>
              <w:rPr>
                <w:rFonts w:eastAsia="Times New Roman" w:cs="Times New Roman"/>
                <w:color w:val="000000"/>
                <w:szCs w:val="24"/>
                <w:lang w:eastAsia="en-GB"/>
              </w:rPr>
            </w:pPr>
            <w:r w:rsidRPr="00995775">
              <w:rPr>
                <w:rFonts w:eastAsia="Times New Roman" w:cs="Times New Roman"/>
                <w:color w:val="000000"/>
                <w:szCs w:val="24"/>
                <w:lang w:eastAsia="en-GB"/>
              </w:rPr>
              <w:t>-</w:t>
            </w:r>
          </w:p>
        </w:tc>
      </w:tr>
      <w:tr w:rsidR="00995775" w:rsidRPr="00995775" w14:paraId="7817C877" w14:textId="77777777" w:rsidTr="00995775">
        <w:trPr>
          <w:trHeight w:val="315"/>
        </w:trPr>
        <w:tc>
          <w:tcPr>
            <w:tcW w:w="1048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33023E2B" w14:textId="77777777" w:rsidR="00995775" w:rsidRPr="00995775" w:rsidRDefault="00995775" w:rsidP="00995775">
            <w:pPr>
              <w:spacing w:after="0"/>
              <w:jc w:val="left"/>
              <w:rPr>
                <w:rFonts w:eastAsia="Times New Roman" w:cs="Times New Roman"/>
                <w:b/>
                <w:bCs/>
                <w:color w:val="000000"/>
                <w:szCs w:val="24"/>
                <w:lang w:eastAsia="en-GB"/>
              </w:rPr>
            </w:pPr>
            <w:r w:rsidRPr="00995775">
              <w:rPr>
                <w:rFonts w:eastAsia="Times New Roman" w:cs="Times New Roman"/>
                <w:b/>
                <w:bCs/>
                <w:color w:val="000000"/>
                <w:szCs w:val="24"/>
                <w:lang w:eastAsia="en-GB"/>
              </w:rPr>
              <w:t>Part 1: Potential Supplier Information</w:t>
            </w:r>
          </w:p>
        </w:tc>
      </w:tr>
      <w:tr w:rsidR="00995775" w:rsidRPr="00995775" w14:paraId="7BF4A988" w14:textId="77777777" w:rsidTr="00995775">
        <w:trPr>
          <w:trHeight w:val="315"/>
        </w:trPr>
        <w:tc>
          <w:tcPr>
            <w:tcW w:w="7640" w:type="dxa"/>
            <w:tcBorders>
              <w:top w:val="nil"/>
              <w:left w:val="single" w:sz="4" w:space="0" w:color="auto"/>
              <w:bottom w:val="single" w:sz="4" w:space="0" w:color="auto"/>
              <w:right w:val="single" w:sz="4" w:space="0" w:color="auto"/>
            </w:tcBorders>
            <w:shd w:val="clear" w:color="auto" w:fill="auto"/>
            <w:vAlign w:val="center"/>
            <w:hideMark/>
          </w:tcPr>
          <w:p w14:paraId="43727D0F" w14:textId="77777777" w:rsidR="00995775" w:rsidRPr="00995775" w:rsidRDefault="00995775" w:rsidP="00995775">
            <w:pPr>
              <w:spacing w:after="0"/>
              <w:jc w:val="left"/>
              <w:rPr>
                <w:rFonts w:eastAsia="Times New Roman" w:cs="Times New Roman"/>
                <w:b/>
                <w:bCs/>
                <w:color w:val="000000"/>
                <w:szCs w:val="24"/>
                <w:lang w:eastAsia="en-GB"/>
              </w:rPr>
            </w:pPr>
            <w:r w:rsidRPr="00995775">
              <w:rPr>
                <w:rFonts w:eastAsia="Times New Roman" w:cs="Times New Roman"/>
                <w:b/>
                <w:bCs/>
                <w:color w:val="000000"/>
                <w:szCs w:val="24"/>
                <w:lang w:eastAsia="en-GB"/>
              </w:rPr>
              <w:t>Section 1 - Potential supplier information</w:t>
            </w:r>
          </w:p>
        </w:tc>
        <w:tc>
          <w:tcPr>
            <w:tcW w:w="880" w:type="dxa"/>
            <w:tcBorders>
              <w:top w:val="nil"/>
              <w:left w:val="nil"/>
              <w:bottom w:val="single" w:sz="4" w:space="0" w:color="auto"/>
              <w:right w:val="single" w:sz="4" w:space="0" w:color="auto"/>
            </w:tcBorders>
            <w:shd w:val="clear" w:color="auto" w:fill="auto"/>
            <w:vAlign w:val="center"/>
            <w:hideMark/>
          </w:tcPr>
          <w:p w14:paraId="1A347DCC" w14:textId="77777777" w:rsidR="00995775" w:rsidRPr="00995775" w:rsidRDefault="00995775" w:rsidP="00995775">
            <w:pPr>
              <w:spacing w:after="0"/>
              <w:jc w:val="left"/>
              <w:rPr>
                <w:rFonts w:eastAsia="Times New Roman" w:cs="Times New Roman"/>
                <w:color w:val="000000"/>
                <w:szCs w:val="24"/>
                <w:lang w:eastAsia="en-GB"/>
              </w:rPr>
            </w:pPr>
            <w:r w:rsidRPr="00995775">
              <w:rPr>
                <w:rFonts w:eastAsia="Times New Roman" w:cs="Times New Roman"/>
                <w:color w:val="000000"/>
                <w:szCs w:val="24"/>
                <w:lang w:eastAsia="en-GB"/>
              </w:rPr>
              <w:t>-</w:t>
            </w:r>
          </w:p>
        </w:tc>
        <w:tc>
          <w:tcPr>
            <w:tcW w:w="1960" w:type="dxa"/>
            <w:tcBorders>
              <w:top w:val="nil"/>
              <w:left w:val="nil"/>
              <w:bottom w:val="single" w:sz="4" w:space="0" w:color="auto"/>
              <w:right w:val="single" w:sz="4" w:space="0" w:color="auto"/>
            </w:tcBorders>
            <w:shd w:val="clear" w:color="auto" w:fill="auto"/>
            <w:vAlign w:val="center"/>
            <w:hideMark/>
          </w:tcPr>
          <w:p w14:paraId="6ACAAA50" w14:textId="77777777" w:rsidR="00995775" w:rsidRPr="00995775" w:rsidRDefault="00995775" w:rsidP="00995775">
            <w:pPr>
              <w:spacing w:after="0"/>
              <w:jc w:val="left"/>
              <w:rPr>
                <w:rFonts w:eastAsia="Times New Roman" w:cs="Times New Roman"/>
                <w:color w:val="000000"/>
                <w:szCs w:val="24"/>
                <w:lang w:eastAsia="en-GB"/>
              </w:rPr>
            </w:pPr>
            <w:r w:rsidRPr="00995775">
              <w:rPr>
                <w:rFonts w:eastAsia="Times New Roman" w:cs="Times New Roman"/>
                <w:color w:val="000000"/>
                <w:szCs w:val="24"/>
                <w:lang w:eastAsia="en-GB"/>
              </w:rPr>
              <w:t>-</w:t>
            </w:r>
          </w:p>
        </w:tc>
      </w:tr>
      <w:tr w:rsidR="00995775" w:rsidRPr="00995775" w14:paraId="25FA723F" w14:textId="77777777" w:rsidTr="00995775">
        <w:trPr>
          <w:trHeight w:val="315"/>
        </w:trPr>
        <w:tc>
          <w:tcPr>
            <w:tcW w:w="7640" w:type="dxa"/>
            <w:tcBorders>
              <w:top w:val="nil"/>
              <w:left w:val="single" w:sz="4" w:space="0" w:color="auto"/>
              <w:bottom w:val="single" w:sz="4" w:space="0" w:color="auto"/>
              <w:right w:val="single" w:sz="4" w:space="0" w:color="auto"/>
            </w:tcBorders>
            <w:shd w:val="clear" w:color="auto" w:fill="auto"/>
            <w:vAlign w:val="center"/>
            <w:hideMark/>
          </w:tcPr>
          <w:p w14:paraId="7418CAF4" w14:textId="77777777" w:rsidR="00995775" w:rsidRPr="00995775" w:rsidRDefault="00995775" w:rsidP="00995775">
            <w:pPr>
              <w:spacing w:after="0"/>
              <w:jc w:val="left"/>
              <w:rPr>
                <w:rFonts w:eastAsia="Times New Roman" w:cs="Times New Roman"/>
                <w:b/>
                <w:bCs/>
                <w:color w:val="000000"/>
                <w:szCs w:val="24"/>
                <w:lang w:eastAsia="en-GB"/>
              </w:rPr>
            </w:pPr>
            <w:r w:rsidRPr="00995775">
              <w:rPr>
                <w:rFonts w:eastAsia="Times New Roman" w:cs="Times New Roman"/>
                <w:b/>
                <w:bCs/>
                <w:color w:val="000000"/>
                <w:szCs w:val="24"/>
                <w:lang w:eastAsia="en-GB"/>
              </w:rPr>
              <w:t>Section 1 - Bidding model</w:t>
            </w:r>
          </w:p>
        </w:tc>
        <w:tc>
          <w:tcPr>
            <w:tcW w:w="880" w:type="dxa"/>
            <w:tcBorders>
              <w:top w:val="nil"/>
              <w:left w:val="nil"/>
              <w:bottom w:val="single" w:sz="4" w:space="0" w:color="auto"/>
              <w:right w:val="single" w:sz="4" w:space="0" w:color="auto"/>
            </w:tcBorders>
            <w:shd w:val="clear" w:color="auto" w:fill="auto"/>
            <w:vAlign w:val="center"/>
            <w:hideMark/>
          </w:tcPr>
          <w:p w14:paraId="762ED8EA" w14:textId="77777777" w:rsidR="00995775" w:rsidRPr="00995775" w:rsidRDefault="00995775" w:rsidP="00995775">
            <w:pPr>
              <w:spacing w:after="0"/>
              <w:jc w:val="left"/>
              <w:rPr>
                <w:rFonts w:eastAsia="Times New Roman" w:cs="Times New Roman"/>
                <w:color w:val="000000"/>
                <w:szCs w:val="24"/>
                <w:lang w:eastAsia="en-GB"/>
              </w:rPr>
            </w:pPr>
            <w:r w:rsidRPr="00995775">
              <w:rPr>
                <w:rFonts w:eastAsia="Times New Roman" w:cs="Times New Roman"/>
                <w:color w:val="000000"/>
                <w:szCs w:val="24"/>
                <w:lang w:eastAsia="en-GB"/>
              </w:rPr>
              <w:t>-</w:t>
            </w:r>
          </w:p>
        </w:tc>
        <w:tc>
          <w:tcPr>
            <w:tcW w:w="1960" w:type="dxa"/>
            <w:tcBorders>
              <w:top w:val="nil"/>
              <w:left w:val="nil"/>
              <w:bottom w:val="single" w:sz="4" w:space="0" w:color="auto"/>
              <w:right w:val="single" w:sz="4" w:space="0" w:color="auto"/>
            </w:tcBorders>
            <w:shd w:val="clear" w:color="auto" w:fill="auto"/>
            <w:vAlign w:val="center"/>
            <w:hideMark/>
          </w:tcPr>
          <w:p w14:paraId="7E4486F5" w14:textId="77777777" w:rsidR="00995775" w:rsidRPr="00995775" w:rsidRDefault="00995775" w:rsidP="00995775">
            <w:pPr>
              <w:spacing w:after="0"/>
              <w:jc w:val="left"/>
              <w:rPr>
                <w:rFonts w:eastAsia="Times New Roman" w:cs="Times New Roman"/>
                <w:color w:val="000000"/>
                <w:szCs w:val="24"/>
                <w:lang w:eastAsia="en-GB"/>
              </w:rPr>
            </w:pPr>
            <w:r w:rsidRPr="00995775">
              <w:rPr>
                <w:rFonts w:eastAsia="Times New Roman" w:cs="Times New Roman"/>
                <w:color w:val="000000"/>
                <w:szCs w:val="24"/>
                <w:lang w:eastAsia="en-GB"/>
              </w:rPr>
              <w:t>-</w:t>
            </w:r>
          </w:p>
        </w:tc>
      </w:tr>
      <w:tr w:rsidR="00995775" w:rsidRPr="00995775" w14:paraId="1E37F461" w14:textId="77777777" w:rsidTr="00995775">
        <w:trPr>
          <w:trHeight w:val="315"/>
        </w:trPr>
        <w:tc>
          <w:tcPr>
            <w:tcW w:w="7640" w:type="dxa"/>
            <w:tcBorders>
              <w:top w:val="nil"/>
              <w:left w:val="single" w:sz="4" w:space="0" w:color="auto"/>
              <w:bottom w:val="single" w:sz="4" w:space="0" w:color="auto"/>
              <w:right w:val="single" w:sz="4" w:space="0" w:color="auto"/>
            </w:tcBorders>
            <w:shd w:val="clear" w:color="auto" w:fill="auto"/>
            <w:vAlign w:val="center"/>
            <w:hideMark/>
          </w:tcPr>
          <w:p w14:paraId="13FD9D80" w14:textId="77777777" w:rsidR="00995775" w:rsidRPr="00995775" w:rsidRDefault="00995775" w:rsidP="00995775">
            <w:pPr>
              <w:spacing w:after="0"/>
              <w:jc w:val="left"/>
              <w:rPr>
                <w:rFonts w:eastAsia="Times New Roman" w:cs="Times New Roman"/>
                <w:b/>
                <w:bCs/>
                <w:color w:val="000000"/>
                <w:szCs w:val="24"/>
                <w:lang w:eastAsia="en-GB"/>
              </w:rPr>
            </w:pPr>
            <w:r w:rsidRPr="00995775">
              <w:rPr>
                <w:rFonts w:eastAsia="Times New Roman" w:cs="Times New Roman"/>
                <w:b/>
                <w:bCs/>
                <w:color w:val="000000"/>
                <w:szCs w:val="24"/>
                <w:lang w:eastAsia="en-GB"/>
              </w:rPr>
              <w:t>Section 1 - Contact details and declaration</w:t>
            </w:r>
          </w:p>
        </w:tc>
        <w:tc>
          <w:tcPr>
            <w:tcW w:w="880" w:type="dxa"/>
            <w:tcBorders>
              <w:top w:val="nil"/>
              <w:left w:val="nil"/>
              <w:bottom w:val="single" w:sz="4" w:space="0" w:color="auto"/>
              <w:right w:val="single" w:sz="4" w:space="0" w:color="auto"/>
            </w:tcBorders>
            <w:shd w:val="clear" w:color="auto" w:fill="auto"/>
            <w:vAlign w:val="center"/>
            <w:hideMark/>
          </w:tcPr>
          <w:p w14:paraId="038FFD56" w14:textId="77777777" w:rsidR="00995775" w:rsidRPr="00995775" w:rsidRDefault="00995775" w:rsidP="00995775">
            <w:pPr>
              <w:spacing w:after="0"/>
              <w:jc w:val="left"/>
              <w:rPr>
                <w:rFonts w:eastAsia="Times New Roman" w:cs="Times New Roman"/>
                <w:color w:val="000000"/>
                <w:szCs w:val="24"/>
                <w:lang w:eastAsia="en-GB"/>
              </w:rPr>
            </w:pPr>
            <w:r w:rsidRPr="00995775">
              <w:rPr>
                <w:rFonts w:eastAsia="Times New Roman" w:cs="Times New Roman"/>
                <w:color w:val="000000"/>
                <w:szCs w:val="24"/>
                <w:lang w:eastAsia="en-GB"/>
              </w:rPr>
              <w:t>-</w:t>
            </w:r>
          </w:p>
        </w:tc>
        <w:tc>
          <w:tcPr>
            <w:tcW w:w="1960" w:type="dxa"/>
            <w:tcBorders>
              <w:top w:val="nil"/>
              <w:left w:val="nil"/>
              <w:bottom w:val="single" w:sz="4" w:space="0" w:color="auto"/>
              <w:right w:val="single" w:sz="4" w:space="0" w:color="auto"/>
            </w:tcBorders>
            <w:shd w:val="clear" w:color="auto" w:fill="auto"/>
            <w:vAlign w:val="center"/>
            <w:hideMark/>
          </w:tcPr>
          <w:p w14:paraId="45F68ACF" w14:textId="77777777" w:rsidR="00995775" w:rsidRPr="00995775" w:rsidRDefault="00995775" w:rsidP="00995775">
            <w:pPr>
              <w:spacing w:after="0"/>
              <w:jc w:val="left"/>
              <w:rPr>
                <w:rFonts w:eastAsia="Times New Roman" w:cs="Times New Roman"/>
                <w:color w:val="000000"/>
                <w:szCs w:val="24"/>
                <w:lang w:eastAsia="en-GB"/>
              </w:rPr>
            </w:pPr>
            <w:r w:rsidRPr="00995775">
              <w:rPr>
                <w:rFonts w:eastAsia="Times New Roman" w:cs="Times New Roman"/>
                <w:color w:val="000000"/>
                <w:szCs w:val="24"/>
                <w:lang w:eastAsia="en-GB"/>
              </w:rPr>
              <w:t>-</w:t>
            </w:r>
          </w:p>
        </w:tc>
      </w:tr>
      <w:tr w:rsidR="00995775" w:rsidRPr="00995775" w14:paraId="148BD835" w14:textId="77777777" w:rsidTr="00995775">
        <w:trPr>
          <w:trHeight w:val="315"/>
        </w:trPr>
        <w:tc>
          <w:tcPr>
            <w:tcW w:w="1048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63A6E429" w14:textId="77777777" w:rsidR="00995775" w:rsidRPr="00995775" w:rsidRDefault="00995775" w:rsidP="00995775">
            <w:pPr>
              <w:spacing w:after="0"/>
              <w:jc w:val="left"/>
              <w:rPr>
                <w:rFonts w:eastAsia="Times New Roman" w:cs="Times New Roman"/>
                <w:b/>
                <w:bCs/>
                <w:color w:val="000000"/>
                <w:szCs w:val="24"/>
                <w:lang w:eastAsia="en-GB"/>
              </w:rPr>
            </w:pPr>
            <w:r w:rsidRPr="00995775">
              <w:rPr>
                <w:rFonts w:eastAsia="Times New Roman" w:cs="Times New Roman"/>
                <w:b/>
                <w:bCs/>
                <w:color w:val="000000"/>
                <w:szCs w:val="24"/>
                <w:lang w:eastAsia="en-GB"/>
              </w:rPr>
              <w:t>Part 2: Exclusion Grounds</w:t>
            </w:r>
          </w:p>
        </w:tc>
      </w:tr>
      <w:tr w:rsidR="00995775" w:rsidRPr="00995775" w14:paraId="61A2681E" w14:textId="77777777" w:rsidTr="00995775">
        <w:trPr>
          <w:trHeight w:val="315"/>
        </w:trPr>
        <w:tc>
          <w:tcPr>
            <w:tcW w:w="7640" w:type="dxa"/>
            <w:vMerge w:val="restart"/>
            <w:tcBorders>
              <w:top w:val="nil"/>
              <w:left w:val="single" w:sz="4" w:space="0" w:color="auto"/>
              <w:bottom w:val="single" w:sz="4" w:space="0" w:color="auto"/>
              <w:right w:val="single" w:sz="4" w:space="0" w:color="auto"/>
            </w:tcBorders>
            <w:shd w:val="clear" w:color="auto" w:fill="auto"/>
            <w:vAlign w:val="center"/>
            <w:hideMark/>
          </w:tcPr>
          <w:p w14:paraId="53F21E87" w14:textId="77777777" w:rsidR="00995775" w:rsidRPr="00995775" w:rsidRDefault="00995775" w:rsidP="00995775">
            <w:pPr>
              <w:spacing w:after="0"/>
              <w:jc w:val="left"/>
              <w:rPr>
                <w:rFonts w:eastAsia="Times New Roman" w:cs="Times New Roman"/>
                <w:b/>
                <w:bCs/>
                <w:color w:val="000000"/>
                <w:szCs w:val="24"/>
                <w:lang w:eastAsia="en-GB"/>
              </w:rPr>
            </w:pPr>
            <w:r w:rsidRPr="00995775">
              <w:rPr>
                <w:rFonts w:eastAsia="Times New Roman" w:cs="Times New Roman"/>
                <w:b/>
                <w:bCs/>
                <w:color w:val="000000"/>
                <w:szCs w:val="24"/>
                <w:lang w:eastAsia="en-GB"/>
              </w:rPr>
              <w:t>Section 2 - Grounds for mandatory exclusion</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14:paraId="0A8A0081" w14:textId="77777777" w:rsidR="00995775" w:rsidRPr="00995775" w:rsidRDefault="00995775" w:rsidP="00995775">
            <w:pPr>
              <w:spacing w:after="0"/>
              <w:jc w:val="left"/>
              <w:rPr>
                <w:rFonts w:eastAsia="Times New Roman" w:cs="Times New Roman"/>
                <w:color w:val="000000"/>
                <w:szCs w:val="24"/>
                <w:lang w:eastAsia="en-GB"/>
              </w:rPr>
            </w:pPr>
            <w:r w:rsidRPr="00995775">
              <w:rPr>
                <w:rFonts w:eastAsia="Times New Roman" w:cs="Times New Roman"/>
                <w:color w:val="000000"/>
                <w:szCs w:val="24"/>
                <w:lang w:eastAsia="en-GB"/>
              </w:rPr>
              <w:t>P/F</w:t>
            </w:r>
          </w:p>
        </w:tc>
        <w:tc>
          <w:tcPr>
            <w:tcW w:w="1960" w:type="dxa"/>
            <w:tcBorders>
              <w:top w:val="nil"/>
              <w:left w:val="nil"/>
              <w:bottom w:val="single" w:sz="4" w:space="0" w:color="auto"/>
              <w:right w:val="single" w:sz="4" w:space="0" w:color="auto"/>
            </w:tcBorders>
            <w:shd w:val="clear" w:color="auto" w:fill="auto"/>
            <w:vAlign w:val="center"/>
            <w:hideMark/>
          </w:tcPr>
          <w:p w14:paraId="6B421812" w14:textId="77777777" w:rsidR="00995775" w:rsidRPr="00995775" w:rsidRDefault="00995775" w:rsidP="00995775">
            <w:pPr>
              <w:spacing w:after="0"/>
              <w:jc w:val="left"/>
              <w:rPr>
                <w:rFonts w:eastAsia="Times New Roman" w:cs="Times New Roman"/>
                <w:color w:val="000000"/>
                <w:szCs w:val="24"/>
                <w:lang w:eastAsia="en-GB"/>
              </w:rPr>
            </w:pPr>
            <w:r w:rsidRPr="00995775">
              <w:rPr>
                <w:rFonts w:eastAsia="Times New Roman" w:cs="Times New Roman"/>
                <w:color w:val="000000"/>
                <w:szCs w:val="24"/>
                <w:lang w:eastAsia="en-GB"/>
              </w:rPr>
              <w:t>2.1(a)</w:t>
            </w:r>
          </w:p>
        </w:tc>
      </w:tr>
      <w:tr w:rsidR="00995775" w:rsidRPr="00995775" w14:paraId="4DA273E6" w14:textId="77777777" w:rsidTr="00995775">
        <w:trPr>
          <w:trHeight w:val="315"/>
        </w:trPr>
        <w:tc>
          <w:tcPr>
            <w:tcW w:w="7640" w:type="dxa"/>
            <w:vMerge/>
            <w:tcBorders>
              <w:top w:val="nil"/>
              <w:left w:val="single" w:sz="4" w:space="0" w:color="auto"/>
              <w:bottom w:val="single" w:sz="4" w:space="0" w:color="auto"/>
              <w:right w:val="single" w:sz="4" w:space="0" w:color="auto"/>
            </w:tcBorders>
            <w:vAlign w:val="center"/>
            <w:hideMark/>
          </w:tcPr>
          <w:p w14:paraId="2E813139" w14:textId="77777777" w:rsidR="00995775" w:rsidRPr="00995775" w:rsidRDefault="00995775" w:rsidP="00995775">
            <w:pPr>
              <w:spacing w:after="0"/>
              <w:jc w:val="left"/>
              <w:rPr>
                <w:rFonts w:eastAsia="Times New Roman" w:cs="Times New Roman"/>
                <w:b/>
                <w:bCs/>
                <w:color w:val="000000"/>
                <w:szCs w:val="24"/>
                <w:lang w:eastAsia="en-GB"/>
              </w:rPr>
            </w:pPr>
          </w:p>
        </w:tc>
        <w:tc>
          <w:tcPr>
            <w:tcW w:w="880" w:type="dxa"/>
            <w:vMerge/>
            <w:tcBorders>
              <w:top w:val="nil"/>
              <w:left w:val="single" w:sz="4" w:space="0" w:color="auto"/>
              <w:bottom w:val="single" w:sz="4" w:space="0" w:color="auto"/>
              <w:right w:val="single" w:sz="4" w:space="0" w:color="auto"/>
            </w:tcBorders>
            <w:vAlign w:val="center"/>
            <w:hideMark/>
          </w:tcPr>
          <w:p w14:paraId="2D4A27E2" w14:textId="77777777" w:rsidR="00995775" w:rsidRPr="00995775" w:rsidRDefault="00995775" w:rsidP="00995775">
            <w:pPr>
              <w:spacing w:after="0"/>
              <w:jc w:val="left"/>
              <w:rPr>
                <w:rFonts w:eastAsia="Times New Roman" w:cs="Times New Roman"/>
                <w:color w:val="000000"/>
                <w:szCs w:val="24"/>
                <w:lang w:eastAsia="en-GB"/>
              </w:rPr>
            </w:pPr>
          </w:p>
        </w:tc>
        <w:tc>
          <w:tcPr>
            <w:tcW w:w="1960" w:type="dxa"/>
            <w:tcBorders>
              <w:top w:val="nil"/>
              <w:left w:val="nil"/>
              <w:bottom w:val="single" w:sz="4" w:space="0" w:color="auto"/>
              <w:right w:val="single" w:sz="4" w:space="0" w:color="auto"/>
            </w:tcBorders>
            <w:shd w:val="clear" w:color="auto" w:fill="auto"/>
            <w:vAlign w:val="center"/>
            <w:hideMark/>
          </w:tcPr>
          <w:p w14:paraId="10E8CA38" w14:textId="77777777" w:rsidR="00995775" w:rsidRPr="00995775" w:rsidRDefault="00995775" w:rsidP="00995775">
            <w:pPr>
              <w:spacing w:after="0"/>
              <w:jc w:val="left"/>
              <w:rPr>
                <w:rFonts w:eastAsia="Times New Roman" w:cs="Times New Roman"/>
                <w:color w:val="000000"/>
                <w:szCs w:val="24"/>
                <w:lang w:eastAsia="en-GB"/>
              </w:rPr>
            </w:pPr>
            <w:r w:rsidRPr="00995775">
              <w:rPr>
                <w:rFonts w:eastAsia="Times New Roman" w:cs="Times New Roman"/>
                <w:color w:val="000000"/>
                <w:szCs w:val="24"/>
                <w:lang w:eastAsia="en-GB"/>
              </w:rPr>
              <w:t>2.2</w:t>
            </w:r>
          </w:p>
        </w:tc>
      </w:tr>
      <w:tr w:rsidR="00995775" w:rsidRPr="00995775" w14:paraId="28A08ABC" w14:textId="77777777" w:rsidTr="00995775">
        <w:trPr>
          <w:trHeight w:val="315"/>
        </w:trPr>
        <w:tc>
          <w:tcPr>
            <w:tcW w:w="7640" w:type="dxa"/>
            <w:vMerge/>
            <w:tcBorders>
              <w:top w:val="nil"/>
              <w:left w:val="single" w:sz="4" w:space="0" w:color="auto"/>
              <w:bottom w:val="single" w:sz="4" w:space="0" w:color="auto"/>
              <w:right w:val="single" w:sz="4" w:space="0" w:color="auto"/>
            </w:tcBorders>
            <w:vAlign w:val="center"/>
            <w:hideMark/>
          </w:tcPr>
          <w:p w14:paraId="6C45292D" w14:textId="77777777" w:rsidR="00995775" w:rsidRPr="00995775" w:rsidRDefault="00995775" w:rsidP="00995775">
            <w:pPr>
              <w:spacing w:after="0"/>
              <w:jc w:val="left"/>
              <w:rPr>
                <w:rFonts w:eastAsia="Times New Roman" w:cs="Times New Roman"/>
                <w:b/>
                <w:bCs/>
                <w:color w:val="000000"/>
                <w:szCs w:val="24"/>
                <w:lang w:eastAsia="en-GB"/>
              </w:rPr>
            </w:pPr>
          </w:p>
        </w:tc>
        <w:tc>
          <w:tcPr>
            <w:tcW w:w="880" w:type="dxa"/>
            <w:vMerge/>
            <w:tcBorders>
              <w:top w:val="nil"/>
              <w:left w:val="single" w:sz="4" w:space="0" w:color="auto"/>
              <w:bottom w:val="single" w:sz="4" w:space="0" w:color="auto"/>
              <w:right w:val="single" w:sz="4" w:space="0" w:color="auto"/>
            </w:tcBorders>
            <w:vAlign w:val="center"/>
            <w:hideMark/>
          </w:tcPr>
          <w:p w14:paraId="34498F65" w14:textId="77777777" w:rsidR="00995775" w:rsidRPr="00995775" w:rsidRDefault="00995775" w:rsidP="00995775">
            <w:pPr>
              <w:spacing w:after="0"/>
              <w:jc w:val="left"/>
              <w:rPr>
                <w:rFonts w:eastAsia="Times New Roman" w:cs="Times New Roman"/>
                <w:color w:val="000000"/>
                <w:szCs w:val="24"/>
                <w:lang w:eastAsia="en-GB"/>
              </w:rPr>
            </w:pPr>
          </w:p>
        </w:tc>
        <w:tc>
          <w:tcPr>
            <w:tcW w:w="1960" w:type="dxa"/>
            <w:tcBorders>
              <w:top w:val="nil"/>
              <w:left w:val="nil"/>
              <w:bottom w:val="single" w:sz="4" w:space="0" w:color="auto"/>
              <w:right w:val="single" w:sz="4" w:space="0" w:color="auto"/>
            </w:tcBorders>
            <w:shd w:val="clear" w:color="auto" w:fill="auto"/>
            <w:vAlign w:val="center"/>
            <w:hideMark/>
          </w:tcPr>
          <w:p w14:paraId="050EECD6" w14:textId="77777777" w:rsidR="00995775" w:rsidRPr="00995775" w:rsidRDefault="00995775" w:rsidP="00995775">
            <w:pPr>
              <w:spacing w:after="0"/>
              <w:jc w:val="left"/>
              <w:rPr>
                <w:rFonts w:eastAsia="Times New Roman" w:cs="Times New Roman"/>
                <w:color w:val="000000"/>
                <w:szCs w:val="24"/>
                <w:lang w:eastAsia="en-GB"/>
              </w:rPr>
            </w:pPr>
            <w:r w:rsidRPr="00995775">
              <w:rPr>
                <w:rFonts w:eastAsia="Times New Roman" w:cs="Times New Roman"/>
                <w:color w:val="000000"/>
                <w:szCs w:val="24"/>
                <w:lang w:eastAsia="en-GB"/>
              </w:rPr>
              <w:t>2.3(a)</w:t>
            </w:r>
          </w:p>
        </w:tc>
      </w:tr>
      <w:tr w:rsidR="00995775" w:rsidRPr="00995775" w14:paraId="2C262D5B" w14:textId="77777777" w:rsidTr="00995775">
        <w:trPr>
          <w:trHeight w:val="315"/>
        </w:trPr>
        <w:tc>
          <w:tcPr>
            <w:tcW w:w="7640" w:type="dxa"/>
            <w:vMerge/>
            <w:tcBorders>
              <w:top w:val="nil"/>
              <w:left w:val="single" w:sz="4" w:space="0" w:color="auto"/>
              <w:bottom w:val="single" w:sz="4" w:space="0" w:color="auto"/>
              <w:right w:val="single" w:sz="4" w:space="0" w:color="auto"/>
            </w:tcBorders>
            <w:vAlign w:val="center"/>
            <w:hideMark/>
          </w:tcPr>
          <w:p w14:paraId="31F72298" w14:textId="77777777" w:rsidR="00995775" w:rsidRPr="00995775" w:rsidRDefault="00995775" w:rsidP="00995775">
            <w:pPr>
              <w:spacing w:after="0"/>
              <w:jc w:val="left"/>
              <w:rPr>
                <w:rFonts w:eastAsia="Times New Roman" w:cs="Times New Roman"/>
                <w:b/>
                <w:bCs/>
                <w:color w:val="000000"/>
                <w:szCs w:val="24"/>
                <w:lang w:eastAsia="en-GB"/>
              </w:rPr>
            </w:pPr>
          </w:p>
        </w:tc>
        <w:tc>
          <w:tcPr>
            <w:tcW w:w="880" w:type="dxa"/>
            <w:vMerge/>
            <w:tcBorders>
              <w:top w:val="nil"/>
              <w:left w:val="single" w:sz="4" w:space="0" w:color="auto"/>
              <w:bottom w:val="single" w:sz="4" w:space="0" w:color="auto"/>
              <w:right w:val="single" w:sz="4" w:space="0" w:color="auto"/>
            </w:tcBorders>
            <w:vAlign w:val="center"/>
            <w:hideMark/>
          </w:tcPr>
          <w:p w14:paraId="70F6E1F4" w14:textId="77777777" w:rsidR="00995775" w:rsidRPr="00995775" w:rsidRDefault="00995775" w:rsidP="00995775">
            <w:pPr>
              <w:spacing w:after="0"/>
              <w:jc w:val="left"/>
              <w:rPr>
                <w:rFonts w:eastAsia="Times New Roman" w:cs="Times New Roman"/>
                <w:color w:val="000000"/>
                <w:szCs w:val="24"/>
                <w:lang w:eastAsia="en-GB"/>
              </w:rPr>
            </w:pPr>
          </w:p>
        </w:tc>
        <w:tc>
          <w:tcPr>
            <w:tcW w:w="1960" w:type="dxa"/>
            <w:tcBorders>
              <w:top w:val="nil"/>
              <w:left w:val="nil"/>
              <w:bottom w:val="single" w:sz="4" w:space="0" w:color="auto"/>
              <w:right w:val="single" w:sz="4" w:space="0" w:color="auto"/>
            </w:tcBorders>
            <w:shd w:val="clear" w:color="auto" w:fill="auto"/>
            <w:vAlign w:val="center"/>
            <w:hideMark/>
          </w:tcPr>
          <w:p w14:paraId="4A474B72" w14:textId="77777777" w:rsidR="00995775" w:rsidRPr="00995775" w:rsidRDefault="00995775" w:rsidP="00995775">
            <w:pPr>
              <w:spacing w:after="0"/>
              <w:jc w:val="left"/>
              <w:rPr>
                <w:rFonts w:eastAsia="Times New Roman" w:cs="Times New Roman"/>
                <w:color w:val="000000"/>
                <w:szCs w:val="24"/>
                <w:lang w:eastAsia="en-GB"/>
              </w:rPr>
            </w:pPr>
            <w:r w:rsidRPr="00995775">
              <w:rPr>
                <w:rFonts w:eastAsia="Times New Roman" w:cs="Times New Roman"/>
                <w:color w:val="000000"/>
                <w:szCs w:val="24"/>
                <w:lang w:eastAsia="en-GB"/>
              </w:rPr>
              <w:t>2.3(b)</w:t>
            </w:r>
          </w:p>
        </w:tc>
      </w:tr>
      <w:tr w:rsidR="00995775" w:rsidRPr="00995775" w14:paraId="39322056" w14:textId="77777777" w:rsidTr="00995775">
        <w:trPr>
          <w:trHeight w:val="630"/>
        </w:trPr>
        <w:tc>
          <w:tcPr>
            <w:tcW w:w="7640" w:type="dxa"/>
            <w:tcBorders>
              <w:top w:val="nil"/>
              <w:left w:val="single" w:sz="4" w:space="0" w:color="auto"/>
              <w:bottom w:val="single" w:sz="4" w:space="0" w:color="auto"/>
              <w:right w:val="single" w:sz="4" w:space="0" w:color="auto"/>
            </w:tcBorders>
            <w:shd w:val="clear" w:color="auto" w:fill="auto"/>
            <w:vAlign w:val="center"/>
            <w:hideMark/>
          </w:tcPr>
          <w:p w14:paraId="4FA6C6D6" w14:textId="77777777" w:rsidR="00995775" w:rsidRPr="00995775" w:rsidRDefault="00995775" w:rsidP="00995775">
            <w:pPr>
              <w:spacing w:after="0"/>
              <w:jc w:val="left"/>
              <w:rPr>
                <w:rFonts w:eastAsia="Times New Roman" w:cs="Times New Roman"/>
                <w:b/>
                <w:bCs/>
                <w:color w:val="000000"/>
                <w:szCs w:val="24"/>
                <w:lang w:eastAsia="en-GB"/>
              </w:rPr>
            </w:pPr>
            <w:r w:rsidRPr="00995775">
              <w:rPr>
                <w:rFonts w:eastAsia="Times New Roman" w:cs="Times New Roman"/>
                <w:b/>
                <w:bCs/>
                <w:color w:val="000000"/>
                <w:szCs w:val="24"/>
                <w:lang w:eastAsia="en-GB"/>
              </w:rPr>
              <w:t>Section 3 - Grounds for discretionary exclusion</w:t>
            </w:r>
          </w:p>
        </w:tc>
        <w:tc>
          <w:tcPr>
            <w:tcW w:w="880" w:type="dxa"/>
            <w:tcBorders>
              <w:top w:val="nil"/>
              <w:left w:val="nil"/>
              <w:bottom w:val="single" w:sz="4" w:space="0" w:color="auto"/>
              <w:right w:val="single" w:sz="4" w:space="0" w:color="auto"/>
            </w:tcBorders>
            <w:shd w:val="clear" w:color="auto" w:fill="auto"/>
            <w:vAlign w:val="center"/>
            <w:hideMark/>
          </w:tcPr>
          <w:p w14:paraId="4C26E438" w14:textId="77777777" w:rsidR="00995775" w:rsidRPr="00995775" w:rsidRDefault="00995775" w:rsidP="00995775">
            <w:pPr>
              <w:spacing w:after="0"/>
              <w:jc w:val="left"/>
              <w:rPr>
                <w:rFonts w:eastAsia="Times New Roman" w:cs="Times New Roman"/>
                <w:color w:val="000000"/>
                <w:szCs w:val="24"/>
                <w:lang w:eastAsia="en-GB"/>
              </w:rPr>
            </w:pPr>
            <w:r w:rsidRPr="00995775">
              <w:rPr>
                <w:rFonts w:eastAsia="Times New Roman" w:cs="Times New Roman"/>
                <w:color w:val="000000"/>
                <w:szCs w:val="24"/>
                <w:lang w:eastAsia="en-GB"/>
              </w:rPr>
              <w:t>P/F</w:t>
            </w:r>
          </w:p>
        </w:tc>
        <w:tc>
          <w:tcPr>
            <w:tcW w:w="1960" w:type="dxa"/>
            <w:tcBorders>
              <w:top w:val="nil"/>
              <w:left w:val="nil"/>
              <w:bottom w:val="single" w:sz="4" w:space="0" w:color="auto"/>
              <w:right w:val="single" w:sz="4" w:space="0" w:color="auto"/>
            </w:tcBorders>
            <w:shd w:val="clear" w:color="auto" w:fill="auto"/>
            <w:vAlign w:val="center"/>
            <w:hideMark/>
          </w:tcPr>
          <w:p w14:paraId="0B0E2871" w14:textId="77777777" w:rsidR="00995775" w:rsidRPr="00995775" w:rsidRDefault="00995775" w:rsidP="00995775">
            <w:pPr>
              <w:spacing w:after="0"/>
              <w:jc w:val="left"/>
              <w:rPr>
                <w:rFonts w:eastAsia="Times New Roman" w:cs="Times New Roman"/>
                <w:color w:val="000000"/>
                <w:szCs w:val="24"/>
                <w:lang w:eastAsia="en-GB"/>
              </w:rPr>
            </w:pPr>
            <w:r w:rsidRPr="00995775">
              <w:rPr>
                <w:rFonts w:eastAsia="Times New Roman" w:cs="Times New Roman"/>
                <w:color w:val="000000"/>
                <w:szCs w:val="24"/>
                <w:lang w:eastAsia="en-GB"/>
              </w:rPr>
              <w:t>3.1(a-j-iv)</w:t>
            </w:r>
          </w:p>
        </w:tc>
      </w:tr>
      <w:tr w:rsidR="00995775" w:rsidRPr="00995775" w14:paraId="0FEE5ABE" w14:textId="77777777" w:rsidTr="00995775">
        <w:trPr>
          <w:trHeight w:val="315"/>
        </w:trPr>
        <w:tc>
          <w:tcPr>
            <w:tcW w:w="1048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14:paraId="530F604D" w14:textId="77777777" w:rsidR="00995775" w:rsidRPr="00995775" w:rsidRDefault="00995775" w:rsidP="00995775">
            <w:pPr>
              <w:spacing w:after="0"/>
              <w:jc w:val="left"/>
              <w:rPr>
                <w:rFonts w:eastAsia="Times New Roman" w:cs="Times New Roman"/>
                <w:b/>
                <w:bCs/>
                <w:color w:val="000000"/>
                <w:szCs w:val="24"/>
                <w:lang w:eastAsia="en-GB"/>
              </w:rPr>
            </w:pPr>
            <w:r w:rsidRPr="00995775">
              <w:rPr>
                <w:rFonts w:eastAsia="Times New Roman" w:cs="Times New Roman"/>
                <w:b/>
                <w:bCs/>
                <w:color w:val="000000"/>
                <w:szCs w:val="24"/>
                <w:lang w:eastAsia="en-GB"/>
              </w:rPr>
              <w:t>Part 3: Selection Questions</w:t>
            </w:r>
          </w:p>
        </w:tc>
      </w:tr>
      <w:tr w:rsidR="00995775" w:rsidRPr="00995775" w14:paraId="4D63CA6C" w14:textId="77777777" w:rsidTr="00995775">
        <w:trPr>
          <w:trHeight w:val="315"/>
        </w:trPr>
        <w:tc>
          <w:tcPr>
            <w:tcW w:w="7640" w:type="dxa"/>
            <w:tcBorders>
              <w:top w:val="nil"/>
              <w:left w:val="single" w:sz="4" w:space="0" w:color="auto"/>
              <w:bottom w:val="single" w:sz="4" w:space="0" w:color="auto"/>
              <w:right w:val="single" w:sz="4" w:space="0" w:color="auto"/>
            </w:tcBorders>
            <w:shd w:val="clear" w:color="auto" w:fill="auto"/>
            <w:vAlign w:val="center"/>
            <w:hideMark/>
          </w:tcPr>
          <w:p w14:paraId="461BECA9" w14:textId="77777777" w:rsidR="00995775" w:rsidRPr="00995775" w:rsidRDefault="00995775" w:rsidP="00995775">
            <w:pPr>
              <w:spacing w:after="0"/>
              <w:jc w:val="left"/>
              <w:rPr>
                <w:rFonts w:eastAsia="Times New Roman" w:cs="Times New Roman"/>
                <w:b/>
                <w:bCs/>
                <w:color w:val="000000"/>
                <w:szCs w:val="24"/>
                <w:lang w:eastAsia="en-GB"/>
              </w:rPr>
            </w:pPr>
            <w:r w:rsidRPr="00995775">
              <w:rPr>
                <w:rFonts w:eastAsia="Times New Roman" w:cs="Times New Roman"/>
                <w:b/>
                <w:bCs/>
                <w:color w:val="000000"/>
                <w:szCs w:val="24"/>
                <w:lang w:eastAsia="en-GB"/>
              </w:rPr>
              <w:t>Section 5 - Wider Group</w:t>
            </w:r>
          </w:p>
        </w:tc>
        <w:tc>
          <w:tcPr>
            <w:tcW w:w="880" w:type="dxa"/>
            <w:tcBorders>
              <w:top w:val="nil"/>
              <w:left w:val="nil"/>
              <w:bottom w:val="single" w:sz="4" w:space="0" w:color="auto"/>
              <w:right w:val="single" w:sz="4" w:space="0" w:color="auto"/>
            </w:tcBorders>
            <w:shd w:val="clear" w:color="auto" w:fill="auto"/>
            <w:vAlign w:val="center"/>
            <w:hideMark/>
          </w:tcPr>
          <w:p w14:paraId="3852EDBB" w14:textId="77777777" w:rsidR="00995775" w:rsidRPr="00995775" w:rsidRDefault="00995775" w:rsidP="00995775">
            <w:pPr>
              <w:spacing w:after="0"/>
              <w:jc w:val="left"/>
              <w:rPr>
                <w:rFonts w:eastAsia="Times New Roman" w:cs="Times New Roman"/>
                <w:color w:val="000000"/>
                <w:szCs w:val="24"/>
                <w:lang w:eastAsia="en-GB"/>
              </w:rPr>
            </w:pPr>
            <w:r w:rsidRPr="00995775">
              <w:rPr>
                <w:rFonts w:eastAsia="Times New Roman" w:cs="Times New Roman"/>
                <w:color w:val="000000"/>
                <w:szCs w:val="24"/>
                <w:lang w:eastAsia="en-GB"/>
              </w:rPr>
              <w:t>P/F</w:t>
            </w:r>
          </w:p>
        </w:tc>
        <w:tc>
          <w:tcPr>
            <w:tcW w:w="1960" w:type="dxa"/>
            <w:tcBorders>
              <w:top w:val="nil"/>
              <w:left w:val="nil"/>
              <w:bottom w:val="single" w:sz="4" w:space="0" w:color="auto"/>
              <w:right w:val="single" w:sz="4" w:space="0" w:color="auto"/>
            </w:tcBorders>
            <w:shd w:val="clear" w:color="auto" w:fill="auto"/>
            <w:vAlign w:val="center"/>
            <w:hideMark/>
          </w:tcPr>
          <w:p w14:paraId="6076ECB5" w14:textId="77777777" w:rsidR="00995775" w:rsidRPr="00995775" w:rsidRDefault="00995775" w:rsidP="00995775">
            <w:pPr>
              <w:spacing w:after="0"/>
              <w:jc w:val="left"/>
              <w:rPr>
                <w:rFonts w:eastAsia="Times New Roman" w:cs="Times New Roman"/>
                <w:color w:val="000000"/>
                <w:szCs w:val="24"/>
                <w:lang w:eastAsia="en-GB"/>
              </w:rPr>
            </w:pPr>
            <w:r w:rsidRPr="00995775">
              <w:rPr>
                <w:rFonts w:eastAsia="Times New Roman" w:cs="Times New Roman"/>
                <w:color w:val="000000"/>
                <w:szCs w:val="24"/>
                <w:lang w:eastAsia="en-GB"/>
              </w:rPr>
              <w:t>5.1 – 5.3</w:t>
            </w:r>
          </w:p>
        </w:tc>
      </w:tr>
      <w:tr w:rsidR="00995775" w:rsidRPr="00995775" w14:paraId="5E759885" w14:textId="77777777" w:rsidTr="00995775">
        <w:trPr>
          <w:trHeight w:val="315"/>
        </w:trPr>
        <w:tc>
          <w:tcPr>
            <w:tcW w:w="7640" w:type="dxa"/>
            <w:tcBorders>
              <w:top w:val="nil"/>
              <w:left w:val="single" w:sz="4" w:space="0" w:color="auto"/>
              <w:bottom w:val="single" w:sz="4" w:space="0" w:color="auto"/>
              <w:right w:val="single" w:sz="4" w:space="0" w:color="auto"/>
            </w:tcBorders>
            <w:shd w:val="clear" w:color="auto" w:fill="auto"/>
            <w:vAlign w:val="center"/>
            <w:hideMark/>
          </w:tcPr>
          <w:p w14:paraId="085975F1" w14:textId="77777777" w:rsidR="00995775" w:rsidRPr="00995775" w:rsidRDefault="00995775" w:rsidP="00995775">
            <w:pPr>
              <w:spacing w:after="0"/>
              <w:jc w:val="left"/>
              <w:rPr>
                <w:rFonts w:eastAsia="Times New Roman" w:cs="Times New Roman"/>
                <w:b/>
                <w:bCs/>
                <w:color w:val="000000"/>
                <w:szCs w:val="24"/>
                <w:lang w:eastAsia="en-GB"/>
              </w:rPr>
            </w:pPr>
            <w:r w:rsidRPr="00995775">
              <w:rPr>
                <w:rFonts w:eastAsia="Times New Roman" w:cs="Times New Roman"/>
                <w:b/>
                <w:bCs/>
                <w:color w:val="000000"/>
                <w:szCs w:val="24"/>
                <w:lang w:eastAsia="en-GB"/>
              </w:rPr>
              <w:t>Section 7 - Modern Slavery Act 2015</w:t>
            </w:r>
          </w:p>
        </w:tc>
        <w:tc>
          <w:tcPr>
            <w:tcW w:w="880" w:type="dxa"/>
            <w:tcBorders>
              <w:top w:val="nil"/>
              <w:left w:val="nil"/>
              <w:bottom w:val="single" w:sz="4" w:space="0" w:color="auto"/>
              <w:right w:val="single" w:sz="4" w:space="0" w:color="auto"/>
            </w:tcBorders>
            <w:shd w:val="clear" w:color="auto" w:fill="auto"/>
            <w:vAlign w:val="center"/>
            <w:hideMark/>
          </w:tcPr>
          <w:p w14:paraId="6B0E56D2" w14:textId="77777777" w:rsidR="00995775" w:rsidRPr="00995775" w:rsidRDefault="00995775" w:rsidP="00995775">
            <w:pPr>
              <w:spacing w:after="0"/>
              <w:jc w:val="left"/>
              <w:rPr>
                <w:rFonts w:eastAsia="Times New Roman" w:cs="Times New Roman"/>
                <w:color w:val="000000"/>
                <w:szCs w:val="24"/>
                <w:lang w:eastAsia="en-GB"/>
              </w:rPr>
            </w:pPr>
            <w:r w:rsidRPr="00995775">
              <w:rPr>
                <w:rFonts w:eastAsia="Times New Roman" w:cs="Times New Roman"/>
                <w:color w:val="000000"/>
                <w:szCs w:val="24"/>
                <w:lang w:eastAsia="en-GB"/>
              </w:rPr>
              <w:t>P/F</w:t>
            </w:r>
          </w:p>
        </w:tc>
        <w:tc>
          <w:tcPr>
            <w:tcW w:w="1960" w:type="dxa"/>
            <w:tcBorders>
              <w:top w:val="nil"/>
              <w:left w:val="nil"/>
              <w:bottom w:val="single" w:sz="4" w:space="0" w:color="auto"/>
              <w:right w:val="single" w:sz="4" w:space="0" w:color="auto"/>
            </w:tcBorders>
            <w:shd w:val="clear" w:color="auto" w:fill="auto"/>
            <w:vAlign w:val="center"/>
            <w:hideMark/>
          </w:tcPr>
          <w:p w14:paraId="20259FF1" w14:textId="77777777" w:rsidR="00995775" w:rsidRPr="00995775" w:rsidRDefault="00995775" w:rsidP="00995775">
            <w:pPr>
              <w:spacing w:after="0"/>
              <w:jc w:val="left"/>
              <w:rPr>
                <w:rFonts w:eastAsia="Times New Roman" w:cs="Times New Roman"/>
                <w:color w:val="000000"/>
                <w:szCs w:val="24"/>
                <w:lang w:eastAsia="en-GB"/>
              </w:rPr>
            </w:pPr>
            <w:r w:rsidRPr="00995775">
              <w:rPr>
                <w:rFonts w:eastAsia="Times New Roman" w:cs="Times New Roman"/>
                <w:color w:val="000000"/>
                <w:szCs w:val="24"/>
                <w:lang w:eastAsia="en-GB"/>
              </w:rPr>
              <w:t>7.2</w:t>
            </w:r>
          </w:p>
        </w:tc>
      </w:tr>
      <w:tr w:rsidR="00995775" w:rsidRPr="00995775" w14:paraId="46F3738D" w14:textId="77777777" w:rsidTr="00995775">
        <w:trPr>
          <w:trHeight w:val="315"/>
        </w:trPr>
        <w:tc>
          <w:tcPr>
            <w:tcW w:w="7640" w:type="dxa"/>
            <w:vMerge w:val="restart"/>
            <w:tcBorders>
              <w:top w:val="nil"/>
              <w:left w:val="single" w:sz="4" w:space="0" w:color="auto"/>
              <w:bottom w:val="single" w:sz="4" w:space="0" w:color="000000"/>
              <w:right w:val="single" w:sz="4" w:space="0" w:color="auto"/>
            </w:tcBorders>
            <w:shd w:val="clear" w:color="auto" w:fill="auto"/>
            <w:vAlign w:val="center"/>
            <w:hideMark/>
          </w:tcPr>
          <w:p w14:paraId="60691A74" w14:textId="77777777" w:rsidR="00995775" w:rsidRPr="00995775" w:rsidRDefault="00995775" w:rsidP="00995775">
            <w:pPr>
              <w:spacing w:after="0"/>
              <w:jc w:val="left"/>
              <w:rPr>
                <w:rFonts w:eastAsia="Times New Roman" w:cs="Times New Roman"/>
                <w:b/>
                <w:bCs/>
                <w:color w:val="000000"/>
                <w:szCs w:val="24"/>
                <w:lang w:eastAsia="en-GB"/>
              </w:rPr>
            </w:pPr>
            <w:r w:rsidRPr="00995775">
              <w:rPr>
                <w:rFonts w:eastAsia="Times New Roman" w:cs="Times New Roman"/>
                <w:b/>
                <w:bCs/>
                <w:color w:val="000000"/>
                <w:szCs w:val="24"/>
                <w:lang w:eastAsia="en-GB"/>
              </w:rPr>
              <w:t>Section 8.1 – Insurance</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14:paraId="3B28C2CF" w14:textId="77777777" w:rsidR="00995775" w:rsidRPr="00995775" w:rsidRDefault="00995775" w:rsidP="00995775">
            <w:pPr>
              <w:spacing w:after="0"/>
              <w:jc w:val="left"/>
              <w:rPr>
                <w:rFonts w:eastAsia="Times New Roman" w:cs="Times New Roman"/>
                <w:color w:val="000000"/>
                <w:szCs w:val="24"/>
                <w:lang w:eastAsia="en-GB"/>
              </w:rPr>
            </w:pPr>
            <w:r w:rsidRPr="00995775">
              <w:rPr>
                <w:rFonts w:eastAsia="Times New Roman" w:cs="Times New Roman"/>
                <w:color w:val="000000"/>
                <w:szCs w:val="24"/>
                <w:lang w:eastAsia="en-GB"/>
              </w:rPr>
              <w:t>P/F</w:t>
            </w:r>
          </w:p>
        </w:tc>
        <w:tc>
          <w:tcPr>
            <w:tcW w:w="1960" w:type="dxa"/>
            <w:tcBorders>
              <w:top w:val="nil"/>
              <w:left w:val="nil"/>
              <w:bottom w:val="single" w:sz="4" w:space="0" w:color="auto"/>
              <w:right w:val="single" w:sz="4" w:space="0" w:color="auto"/>
            </w:tcBorders>
            <w:shd w:val="clear" w:color="auto" w:fill="auto"/>
            <w:vAlign w:val="center"/>
            <w:hideMark/>
          </w:tcPr>
          <w:p w14:paraId="25C663E8" w14:textId="77777777" w:rsidR="00995775" w:rsidRPr="00995775" w:rsidRDefault="00995775" w:rsidP="00995775">
            <w:pPr>
              <w:spacing w:after="0"/>
              <w:jc w:val="left"/>
              <w:rPr>
                <w:rFonts w:eastAsia="Times New Roman" w:cs="Times New Roman"/>
                <w:color w:val="000000"/>
                <w:szCs w:val="24"/>
                <w:lang w:eastAsia="en-GB"/>
              </w:rPr>
            </w:pPr>
            <w:r w:rsidRPr="00995775">
              <w:rPr>
                <w:rFonts w:eastAsia="Times New Roman" w:cs="Times New Roman"/>
                <w:color w:val="000000"/>
                <w:szCs w:val="24"/>
                <w:lang w:eastAsia="en-GB"/>
              </w:rPr>
              <w:t>8.1</w:t>
            </w:r>
          </w:p>
        </w:tc>
      </w:tr>
      <w:tr w:rsidR="00995775" w:rsidRPr="00995775" w14:paraId="1017A0B3" w14:textId="77777777" w:rsidTr="00995775">
        <w:trPr>
          <w:trHeight w:val="315"/>
        </w:trPr>
        <w:tc>
          <w:tcPr>
            <w:tcW w:w="7640" w:type="dxa"/>
            <w:vMerge/>
            <w:tcBorders>
              <w:top w:val="nil"/>
              <w:left w:val="single" w:sz="4" w:space="0" w:color="auto"/>
              <w:bottom w:val="single" w:sz="4" w:space="0" w:color="000000"/>
              <w:right w:val="single" w:sz="4" w:space="0" w:color="auto"/>
            </w:tcBorders>
            <w:vAlign w:val="center"/>
            <w:hideMark/>
          </w:tcPr>
          <w:p w14:paraId="04A4D1E0" w14:textId="77777777" w:rsidR="00995775" w:rsidRPr="00995775" w:rsidRDefault="00995775" w:rsidP="00995775">
            <w:pPr>
              <w:spacing w:after="0"/>
              <w:jc w:val="left"/>
              <w:rPr>
                <w:rFonts w:eastAsia="Times New Roman" w:cs="Times New Roman"/>
                <w:b/>
                <w:bCs/>
                <w:color w:val="000000"/>
                <w:szCs w:val="24"/>
                <w:lang w:eastAsia="en-GB"/>
              </w:rPr>
            </w:pPr>
          </w:p>
        </w:tc>
        <w:tc>
          <w:tcPr>
            <w:tcW w:w="880" w:type="dxa"/>
            <w:vMerge/>
            <w:tcBorders>
              <w:top w:val="nil"/>
              <w:left w:val="single" w:sz="4" w:space="0" w:color="auto"/>
              <w:bottom w:val="single" w:sz="4" w:space="0" w:color="000000"/>
              <w:right w:val="single" w:sz="4" w:space="0" w:color="auto"/>
            </w:tcBorders>
            <w:vAlign w:val="center"/>
            <w:hideMark/>
          </w:tcPr>
          <w:p w14:paraId="42143632" w14:textId="77777777" w:rsidR="00995775" w:rsidRPr="00995775" w:rsidRDefault="00995775" w:rsidP="00995775">
            <w:pPr>
              <w:spacing w:after="0"/>
              <w:jc w:val="left"/>
              <w:rPr>
                <w:rFonts w:eastAsia="Times New Roman" w:cs="Times New Roman"/>
                <w:color w:val="000000"/>
                <w:szCs w:val="24"/>
                <w:lang w:eastAsia="en-GB"/>
              </w:rPr>
            </w:pPr>
          </w:p>
        </w:tc>
        <w:tc>
          <w:tcPr>
            <w:tcW w:w="1960" w:type="dxa"/>
            <w:tcBorders>
              <w:top w:val="nil"/>
              <w:left w:val="nil"/>
              <w:bottom w:val="single" w:sz="4" w:space="0" w:color="auto"/>
              <w:right w:val="single" w:sz="4" w:space="0" w:color="auto"/>
            </w:tcBorders>
            <w:shd w:val="clear" w:color="000000" w:fill="00B0F0"/>
            <w:vAlign w:val="center"/>
            <w:hideMark/>
          </w:tcPr>
          <w:p w14:paraId="1C70025E" w14:textId="77777777" w:rsidR="00995775" w:rsidRPr="00995775" w:rsidRDefault="00995775" w:rsidP="00995775">
            <w:pPr>
              <w:spacing w:after="0"/>
              <w:jc w:val="left"/>
              <w:rPr>
                <w:rFonts w:eastAsia="Times New Roman" w:cs="Times New Roman"/>
                <w:color w:val="000000"/>
                <w:szCs w:val="24"/>
                <w:lang w:eastAsia="en-GB"/>
              </w:rPr>
            </w:pPr>
            <w:r w:rsidRPr="00995775">
              <w:rPr>
                <w:rFonts w:eastAsia="Times New Roman" w:cs="Times New Roman"/>
                <w:color w:val="000000"/>
                <w:szCs w:val="24"/>
                <w:lang w:eastAsia="en-GB"/>
              </w:rPr>
              <w:t>8.2</w:t>
            </w:r>
          </w:p>
        </w:tc>
      </w:tr>
      <w:tr w:rsidR="00995775" w:rsidRPr="00995775" w14:paraId="09456F5E" w14:textId="77777777" w:rsidTr="00995775">
        <w:trPr>
          <w:trHeight w:val="630"/>
        </w:trPr>
        <w:tc>
          <w:tcPr>
            <w:tcW w:w="7640" w:type="dxa"/>
            <w:tcBorders>
              <w:top w:val="nil"/>
              <w:left w:val="single" w:sz="4" w:space="0" w:color="auto"/>
              <w:bottom w:val="single" w:sz="4" w:space="0" w:color="auto"/>
              <w:right w:val="single" w:sz="4" w:space="0" w:color="auto"/>
            </w:tcBorders>
            <w:shd w:val="clear" w:color="auto" w:fill="auto"/>
            <w:vAlign w:val="center"/>
            <w:hideMark/>
          </w:tcPr>
          <w:p w14:paraId="757CB09E" w14:textId="77777777" w:rsidR="00995775" w:rsidRPr="00995775" w:rsidRDefault="00995775" w:rsidP="00995775">
            <w:pPr>
              <w:spacing w:after="0"/>
              <w:jc w:val="left"/>
              <w:rPr>
                <w:rFonts w:eastAsia="Times New Roman" w:cs="Times New Roman"/>
                <w:b/>
                <w:bCs/>
                <w:color w:val="000000"/>
                <w:szCs w:val="24"/>
                <w:lang w:eastAsia="en-GB"/>
              </w:rPr>
            </w:pPr>
            <w:r w:rsidRPr="00995775">
              <w:rPr>
                <w:rFonts w:eastAsia="Times New Roman" w:cs="Times New Roman"/>
                <w:b/>
                <w:bCs/>
                <w:color w:val="000000"/>
                <w:szCs w:val="24"/>
                <w:lang w:eastAsia="en-GB"/>
              </w:rPr>
              <w:t>Section 8.4 – Health &amp; Safety Project Specific Questions</w:t>
            </w:r>
          </w:p>
        </w:tc>
        <w:tc>
          <w:tcPr>
            <w:tcW w:w="880" w:type="dxa"/>
            <w:tcBorders>
              <w:top w:val="nil"/>
              <w:left w:val="nil"/>
              <w:bottom w:val="single" w:sz="4" w:space="0" w:color="auto"/>
              <w:right w:val="single" w:sz="4" w:space="0" w:color="auto"/>
            </w:tcBorders>
            <w:shd w:val="clear" w:color="auto" w:fill="auto"/>
            <w:vAlign w:val="center"/>
            <w:hideMark/>
          </w:tcPr>
          <w:p w14:paraId="4B908313" w14:textId="77777777" w:rsidR="00995775" w:rsidRPr="00995775" w:rsidRDefault="00995775" w:rsidP="00995775">
            <w:pPr>
              <w:spacing w:after="0"/>
              <w:jc w:val="left"/>
              <w:rPr>
                <w:rFonts w:eastAsia="Times New Roman" w:cs="Times New Roman"/>
                <w:color w:val="000000"/>
                <w:szCs w:val="24"/>
                <w:lang w:eastAsia="en-GB"/>
              </w:rPr>
            </w:pPr>
            <w:r w:rsidRPr="00995775">
              <w:rPr>
                <w:rFonts w:eastAsia="Times New Roman" w:cs="Times New Roman"/>
                <w:color w:val="000000"/>
                <w:szCs w:val="24"/>
                <w:lang w:eastAsia="en-GB"/>
              </w:rPr>
              <w:t>P/F</w:t>
            </w:r>
          </w:p>
        </w:tc>
        <w:tc>
          <w:tcPr>
            <w:tcW w:w="1960" w:type="dxa"/>
            <w:tcBorders>
              <w:top w:val="nil"/>
              <w:left w:val="nil"/>
              <w:bottom w:val="single" w:sz="4" w:space="0" w:color="auto"/>
              <w:right w:val="single" w:sz="4" w:space="0" w:color="auto"/>
            </w:tcBorders>
            <w:shd w:val="clear" w:color="auto" w:fill="auto"/>
            <w:vAlign w:val="center"/>
            <w:hideMark/>
          </w:tcPr>
          <w:p w14:paraId="02015C7A" w14:textId="77777777" w:rsidR="00995775" w:rsidRPr="00995775" w:rsidRDefault="00995775" w:rsidP="00995775">
            <w:pPr>
              <w:spacing w:after="0"/>
              <w:jc w:val="left"/>
              <w:rPr>
                <w:rFonts w:eastAsia="Times New Roman" w:cs="Times New Roman"/>
                <w:color w:val="000000"/>
                <w:szCs w:val="24"/>
                <w:lang w:eastAsia="en-GB"/>
              </w:rPr>
            </w:pPr>
            <w:r w:rsidRPr="00995775">
              <w:rPr>
                <w:rFonts w:eastAsia="Times New Roman" w:cs="Times New Roman"/>
                <w:color w:val="000000"/>
                <w:szCs w:val="24"/>
                <w:lang w:eastAsia="en-GB"/>
              </w:rPr>
              <w:t>All questions</w:t>
            </w:r>
          </w:p>
        </w:tc>
      </w:tr>
      <w:tr w:rsidR="00995775" w:rsidRPr="00995775" w14:paraId="6C5D33C2" w14:textId="77777777" w:rsidTr="00995775">
        <w:trPr>
          <w:trHeight w:val="630"/>
        </w:trPr>
        <w:tc>
          <w:tcPr>
            <w:tcW w:w="7640" w:type="dxa"/>
            <w:tcBorders>
              <w:top w:val="nil"/>
              <w:left w:val="single" w:sz="4" w:space="0" w:color="auto"/>
              <w:bottom w:val="single" w:sz="4" w:space="0" w:color="auto"/>
              <w:right w:val="single" w:sz="4" w:space="0" w:color="auto"/>
            </w:tcBorders>
            <w:shd w:val="clear" w:color="auto" w:fill="auto"/>
            <w:vAlign w:val="center"/>
            <w:hideMark/>
          </w:tcPr>
          <w:p w14:paraId="47CE21B9" w14:textId="77777777" w:rsidR="00995775" w:rsidRPr="00995775" w:rsidRDefault="00995775" w:rsidP="00995775">
            <w:pPr>
              <w:spacing w:after="0"/>
              <w:jc w:val="left"/>
              <w:rPr>
                <w:rFonts w:eastAsia="Times New Roman" w:cs="Times New Roman"/>
                <w:b/>
                <w:bCs/>
                <w:color w:val="000000"/>
                <w:szCs w:val="24"/>
                <w:lang w:eastAsia="en-GB"/>
              </w:rPr>
            </w:pPr>
            <w:r w:rsidRPr="00995775">
              <w:rPr>
                <w:rFonts w:eastAsia="Times New Roman" w:cs="Times New Roman"/>
                <w:b/>
                <w:bCs/>
                <w:color w:val="000000"/>
                <w:szCs w:val="24"/>
                <w:lang w:eastAsia="en-GB"/>
              </w:rPr>
              <w:t>Section 8.8 – Social Care Project Specific Questions</w:t>
            </w:r>
          </w:p>
        </w:tc>
        <w:tc>
          <w:tcPr>
            <w:tcW w:w="880" w:type="dxa"/>
            <w:tcBorders>
              <w:top w:val="nil"/>
              <w:left w:val="nil"/>
              <w:bottom w:val="single" w:sz="4" w:space="0" w:color="auto"/>
              <w:right w:val="single" w:sz="4" w:space="0" w:color="auto"/>
            </w:tcBorders>
            <w:shd w:val="clear" w:color="auto" w:fill="auto"/>
            <w:vAlign w:val="center"/>
            <w:hideMark/>
          </w:tcPr>
          <w:p w14:paraId="49F085FF" w14:textId="77777777" w:rsidR="00995775" w:rsidRPr="00995775" w:rsidRDefault="00995775" w:rsidP="00995775">
            <w:pPr>
              <w:spacing w:after="0"/>
              <w:jc w:val="left"/>
              <w:rPr>
                <w:rFonts w:eastAsia="Times New Roman" w:cs="Times New Roman"/>
                <w:color w:val="000000"/>
                <w:szCs w:val="24"/>
                <w:lang w:eastAsia="en-GB"/>
              </w:rPr>
            </w:pPr>
            <w:r w:rsidRPr="00995775">
              <w:rPr>
                <w:rFonts w:eastAsia="Times New Roman" w:cs="Times New Roman"/>
                <w:color w:val="000000"/>
                <w:szCs w:val="24"/>
                <w:lang w:eastAsia="en-GB"/>
              </w:rPr>
              <w:t>P/F</w:t>
            </w:r>
          </w:p>
        </w:tc>
        <w:tc>
          <w:tcPr>
            <w:tcW w:w="1960" w:type="dxa"/>
            <w:tcBorders>
              <w:top w:val="nil"/>
              <w:left w:val="nil"/>
              <w:bottom w:val="single" w:sz="4" w:space="0" w:color="auto"/>
              <w:right w:val="single" w:sz="4" w:space="0" w:color="auto"/>
            </w:tcBorders>
            <w:shd w:val="clear" w:color="auto" w:fill="auto"/>
            <w:vAlign w:val="center"/>
            <w:hideMark/>
          </w:tcPr>
          <w:p w14:paraId="2B51635A" w14:textId="77777777" w:rsidR="00995775" w:rsidRPr="00995775" w:rsidRDefault="00995775" w:rsidP="00995775">
            <w:pPr>
              <w:spacing w:after="0"/>
              <w:jc w:val="left"/>
              <w:rPr>
                <w:rFonts w:eastAsia="Times New Roman" w:cs="Times New Roman"/>
                <w:color w:val="000000"/>
                <w:szCs w:val="24"/>
                <w:lang w:eastAsia="en-GB"/>
              </w:rPr>
            </w:pPr>
            <w:r w:rsidRPr="00995775">
              <w:rPr>
                <w:rFonts w:eastAsia="Times New Roman" w:cs="Times New Roman"/>
                <w:color w:val="000000"/>
                <w:szCs w:val="24"/>
                <w:lang w:eastAsia="en-GB"/>
              </w:rPr>
              <w:t>All questions</w:t>
            </w:r>
          </w:p>
        </w:tc>
      </w:tr>
      <w:tr w:rsidR="00995775" w:rsidRPr="00995775" w14:paraId="64BE2764" w14:textId="77777777" w:rsidTr="00995775">
        <w:trPr>
          <w:trHeight w:val="630"/>
        </w:trPr>
        <w:tc>
          <w:tcPr>
            <w:tcW w:w="7640" w:type="dxa"/>
            <w:tcBorders>
              <w:top w:val="nil"/>
              <w:left w:val="single" w:sz="4" w:space="0" w:color="auto"/>
              <w:bottom w:val="single" w:sz="4" w:space="0" w:color="auto"/>
              <w:right w:val="single" w:sz="4" w:space="0" w:color="auto"/>
            </w:tcBorders>
            <w:shd w:val="clear" w:color="auto" w:fill="auto"/>
            <w:vAlign w:val="center"/>
            <w:hideMark/>
          </w:tcPr>
          <w:p w14:paraId="4E977EEE" w14:textId="77777777" w:rsidR="00995775" w:rsidRPr="00995775" w:rsidRDefault="00995775" w:rsidP="00995775">
            <w:pPr>
              <w:spacing w:after="0"/>
              <w:jc w:val="left"/>
              <w:rPr>
                <w:rFonts w:eastAsia="Times New Roman" w:cs="Times New Roman"/>
                <w:b/>
                <w:bCs/>
                <w:color w:val="000000"/>
                <w:szCs w:val="24"/>
                <w:lang w:eastAsia="en-GB"/>
              </w:rPr>
            </w:pPr>
            <w:r w:rsidRPr="00995775">
              <w:rPr>
                <w:rFonts w:eastAsia="Times New Roman" w:cs="Times New Roman"/>
                <w:b/>
                <w:bCs/>
                <w:color w:val="000000"/>
                <w:szCs w:val="24"/>
                <w:lang w:eastAsia="en-GB"/>
              </w:rPr>
              <w:lastRenderedPageBreak/>
              <w:t>Section 8.9 – Data Protection and General Data Protection Regulations Questions</w:t>
            </w:r>
          </w:p>
        </w:tc>
        <w:tc>
          <w:tcPr>
            <w:tcW w:w="880" w:type="dxa"/>
            <w:tcBorders>
              <w:top w:val="nil"/>
              <w:left w:val="nil"/>
              <w:bottom w:val="single" w:sz="4" w:space="0" w:color="auto"/>
              <w:right w:val="single" w:sz="4" w:space="0" w:color="auto"/>
            </w:tcBorders>
            <w:shd w:val="clear" w:color="auto" w:fill="auto"/>
            <w:vAlign w:val="center"/>
            <w:hideMark/>
          </w:tcPr>
          <w:p w14:paraId="24ED4834" w14:textId="77777777" w:rsidR="00995775" w:rsidRPr="00995775" w:rsidRDefault="00995775" w:rsidP="00995775">
            <w:pPr>
              <w:spacing w:after="0"/>
              <w:jc w:val="left"/>
              <w:rPr>
                <w:rFonts w:eastAsia="Times New Roman" w:cs="Times New Roman"/>
                <w:color w:val="000000"/>
                <w:szCs w:val="24"/>
                <w:lang w:eastAsia="en-GB"/>
              </w:rPr>
            </w:pPr>
            <w:r w:rsidRPr="00995775">
              <w:rPr>
                <w:rFonts w:eastAsia="Times New Roman" w:cs="Times New Roman"/>
                <w:color w:val="000000"/>
                <w:szCs w:val="24"/>
                <w:lang w:eastAsia="en-GB"/>
              </w:rPr>
              <w:t>P/F</w:t>
            </w:r>
          </w:p>
        </w:tc>
        <w:tc>
          <w:tcPr>
            <w:tcW w:w="1960" w:type="dxa"/>
            <w:tcBorders>
              <w:top w:val="nil"/>
              <w:left w:val="nil"/>
              <w:bottom w:val="single" w:sz="4" w:space="0" w:color="auto"/>
              <w:right w:val="single" w:sz="4" w:space="0" w:color="auto"/>
            </w:tcBorders>
            <w:shd w:val="clear" w:color="auto" w:fill="auto"/>
            <w:vAlign w:val="center"/>
            <w:hideMark/>
          </w:tcPr>
          <w:p w14:paraId="3DF7C144" w14:textId="77777777" w:rsidR="00995775" w:rsidRPr="00995775" w:rsidRDefault="00995775" w:rsidP="00995775">
            <w:pPr>
              <w:spacing w:after="0"/>
              <w:jc w:val="left"/>
              <w:rPr>
                <w:rFonts w:eastAsia="Times New Roman" w:cs="Times New Roman"/>
                <w:color w:val="000000"/>
                <w:szCs w:val="24"/>
                <w:lang w:eastAsia="en-GB"/>
              </w:rPr>
            </w:pPr>
            <w:r w:rsidRPr="00995775">
              <w:rPr>
                <w:rFonts w:eastAsia="Times New Roman" w:cs="Times New Roman"/>
                <w:color w:val="000000"/>
                <w:szCs w:val="24"/>
                <w:lang w:eastAsia="en-GB"/>
              </w:rPr>
              <w:t>All questions</w:t>
            </w:r>
          </w:p>
        </w:tc>
      </w:tr>
      <w:tr w:rsidR="00995775" w:rsidRPr="00995775" w14:paraId="131CB550" w14:textId="77777777" w:rsidTr="00995775">
        <w:trPr>
          <w:trHeight w:val="315"/>
        </w:trPr>
        <w:tc>
          <w:tcPr>
            <w:tcW w:w="764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6DFA116D" w14:textId="77777777" w:rsidR="00995775" w:rsidRPr="00995775" w:rsidRDefault="00995775" w:rsidP="00995775">
            <w:pPr>
              <w:spacing w:after="0"/>
              <w:jc w:val="left"/>
              <w:rPr>
                <w:rFonts w:eastAsia="Times New Roman" w:cs="Times New Roman"/>
                <w:b/>
                <w:bCs/>
                <w:color w:val="000000"/>
                <w:szCs w:val="24"/>
                <w:lang w:eastAsia="en-GB"/>
              </w:rPr>
            </w:pPr>
            <w:r w:rsidRPr="00995775">
              <w:rPr>
                <w:rFonts w:eastAsia="Times New Roman" w:cs="Times New Roman"/>
                <w:b/>
                <w:bCs/>
                <w:color w:val="000000"/>
                <w:szCs w:val="24"/>
                <w:lang w:eastAsia="en-GB"/>
              </w:rPr>
              <w:t>GPs DPS Questions</w:t>
            </w:r>
          </w:p>
        </w:tc>
        <w:tc>
          <w:tcPr>
            <w:tcW w:w="88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2D7B643B" w14:textId="77777777" w:rsidR="00995775" w:rsidRPr="00995775" w:rsidRDefault="00995775" w:rsidP="00995775">
            <w:pPr>
              <w:spacing w:after="0"/>
              <w:jc w:val="left"/>
              <w:rPr>
                <w:rFonts w:eastAsia="Times New Roman" w:cs="Times New Roman"/>
                <w:color w:val="000000"/>
                <w:szCs w:val="24"/>
                <w:lang w:eastAsia="en-GB"/>
              </w:rPr>
            </w:pPr>
            <w:r w:rsidRPr="00995775">
              <w:rPr>
                <w:rFonts w:eastAsia="Times New Roman" w:cs="Times New Roman"/>
                <w:color w:val="000000"/>
                <w:szCs w:val="24"/>
                <w:lang w:eastAsia="en-GB"/>
              </w:rPr>
              <w:t>P/F</w:t>
            </w:r>
          </w:p>
        </w:tc>
        <w:tc>
          <w:tcPr>
            <w:tcW w:w="1960" w:type="dxa"/>
            <w:tcBorders>
              <w:top w:val="nil"/>
              <w:left w:val="nil"/>
              <w:bottom w:val="single" w:sz="4" w:space="0" w:color="auto"/>
              <w:right w:val="single" w:sz="4" w:space="0" w:color="auto"/>
            </w:tcBorders>
            <w:shd w:val="clear" w:color="000000" w:fill="FFFF00"/>
            <w:vAlign w:val="center"/>
            <w:hideMark/>
          </w:tcPr>
          <w:p w14:paraId="71C0F8FB" w14:textId="77777777" w:rsidR="00995775" w:rsidRPr="00995775" w:rsidRDefault="00995775" w:rsidP="00995775">
            <w:pPr>
              <w:spacing w:after="0"/>
              <w:jc w:val="left"/>
              <w:rPr>
                <w:rFonts w:eastAsia="Times New Roman" w:cs="Times New Roman"/>
                <w:color w:val="000000"/>
                <w:szCs w:val="24"/>
                <w:lang w:eastAsia="en-GB"/>
              </w:rPr>
            </w:pPr>
            <w:r w:rsidRPr="00995775">
              <w:rPr>
                <w:rFonts w:eastAsia="Times New Roman" w:cs="Times New Roman"/>
                <w:color w:val="000000"/>
                <w:szCs w:val="24"/>
                <w:lang w:eastAsia="en-GB"/>
              </w:rPr>
              <w:t>9.2</w:t>
            </w:r>
          </w:p>
        </w:tc>
      </w:tr>
      <w:tr w:rsidR="00995775" w:rsidRPr="00995775" w14:paraId="6D97028E" w14:textId="77777777" w:rsidTr="00995775">
        <w:trPr>
          <w:trHeight w:val="315"/>
        </w:trPr>
        <w:tc>
          <w:tcPr>
            <w:tcW w:w="7640" w:type="dxa"/>
            <w:vMerge/>
            <w:tcBorders>
              <w:top w:val="nil"/>
              <w:left w:val="single" w:sz="4" w:space="0" w:color="auto"/>
              <w:bottom w:val="single" w:sz="4" w:space="0" w:color="000000"/>
              <w:right w:val="single" w:sz="4" w:space="0" w:color="auto"/>
            </w:tcBorders>
            <w:vAlign w:val="center"/>
            <w:hideMark/>
          </w:tcPr>
          <w:p w14:paraId="4F6488EA" w14:textId="77777777" w:rsidR="00995775" w:rsidRPr="00995775" w:rsidRDefault="00995775" w:rsidP="00995775">
            <w:pPr>
              <w:spacing w:after="0"/>
              <w:jc w:val="left"/>
              <w:rPr>
                <w:rFonts w:eastAsia="Times New Roman" w:cs="Times New Roman"/>
                <w:b/>
                <w:bCs/>
                <w:color w:val="000000"/>
                <w:szCs w:val="24"/>
                <w:lang w:eastAsia="en-GB"/>
              </w:rPr>
            </w:pPr>
          </w:p>
        </w:tc>
        <w:tc>
          <w:tcPr>
            <w:tcW w:w="880" w:type="dxa"/>
            <w:vMerge/>
            <w:tcBorders>
              <w:top w:val="nil"/>
              <w:left w:val="single" w:sz="4" w:space="0" w:color="auto"/>
              <w:bottom w:val="single" w:sz="4" w:space="0" w:color="000000"/>
              <w:right w:val="single" w:sz="4" w:space="0" w:color="auto"/>
            </w:tcBorders>
            <w:vAlign w:val="center"/>
            <w:hideMark/>
          </w:tcPr>
          <w:p w14:paraId="5EE56474" w14:textId="77777777" w:rsidR="00995775" w:rsidRPr="00995775" w:rsidRDefault="00995775" w:rsidP="00995775">
            <w:pPr>
              <w:spacing w:after="0"/>
              <w:jc w:val="left"/>
              <w:rPr>
                <w:rFonts w:eastAsia="Times New Roman" w:cs="Times New Roman"/>
                <w:color w:val="000000"/>
                <w:szCs w:val="24"/>
                <w:lang w:eastAsia="en-GB"/>
              </w:rPr>
            </w:pPr>
          </w:p>
        </w:tc>
        <w:tc>
          <w:tcPr>
            <w:tcW w:w="1960" w:type="dxa"/>
            <w:tcBorders>
              <w:top w:val="nil"/>
              <w:left w:val="nil"/>
              <w:bottom w:val="single" w:sz="4" w:space="0" w:color="auto"/>
              <w:right w:val="single" w:sz="4" w:space="0" w:color="auto"/>
            </w:tcBorders>
            <w:shd w:val="clear" w:color="000000" w:fill="FFFF00"/>
            <w:vAlign w:val="center"/>
            <w:hideMark/>
          </w:tcPr>
          <w:p w14:paraId="214BA21D" w14:textId="77777777" w:rsidR="00995775" w:rsidRPr="00995775" w:rsidRDefault="00995775" w:rsidP="00995775">
            <w:pPr>
              <w:spacing w:after="0"/>
              <w:jc w:val="left"/>
              <w:rPr>
                <w:rFonts w:eastAsia="Times New Roman" w:cs="Times New Roman"/>
                <w:color w:val="000000"/>
                <w:szCs w:val="24"/>
                <w:lang w:eastAsia="en-GB"/>
              </w:rPr>
            </w:pPr>
            <w:r w:rsidRPr="00995775">
              <w:rPr>
                <w:rFonts w:eastAsia="Times New Roman" w:cs="Times New Roman"/>
                <w:color w:val="000000"/>
                <w:szCs w:val="24"/>
                <w:lang w:eastAsia="en-GB"/>
              </w:rPr>
              <w:t>9.4 (Lot 1)</w:t>
            </w:r>
          </w:p>
        </w:tc>
      </w:tr>
      <w:tr w:rsidR="00995775" w:rsidRPr="00995775" w14:paraId="24983DA1" w14:textId="77777777" w:rsidTr="00995775">
        <w:trPr>
          <w:trHeight w:val="315"/>
        </w:trPr>
        <w:tc>
          <w:tcPr>
            <w:tcW w:w="7640" w:type="dxa"/>
            <w:vMerge/>
            <w:tcBorders>
              <w:top w:val="nil"/>
              <w:left w:val="single" w:sz="4" w:space="0" w:color="auto"/>
              <w:bottom w:val="single" w:sz="4" w:space="0" w:color="000000"/>
              <w:right w:val="single" w:sz="4" w:space="0" w:color="auto"/>
            </w:tcBorders>
            <w:vAlign w:val="center"/>
            <w:hideMark/>
          </w:tcPr>
          <w:p w14:paraId="554A017D" w14:textId="77777777" w:rsidR="00995775" w:rsidRPr="00995775" w:rsidRDefault="00995775" w:rsidP="00995775">
            <w:pPr>
              <w:spacing w:after="0"/>
              <w:jc w:val="left"/>
              <w:rPr>
                <w:rFonts w:eastAsia="Times New Roman" w:cs="Times New Roman"/>
                <w:b/>
                <w:bCs/>
                <w:color w:val="000000"/>
                <w:szCs w:val="24"/>
                <w:lang w:eastAsia="en-GB"/>
              </w:rPr>
            </w:pPr>
          </w:p>
        </w:tc>
        <w:tc>
          <w:tcPr>
            <w:tcW w:w="880" w:type="dxa"/>
            <w:vMerge/>
            <w:tcBorders>
              <w:top w:val="nil"/>
              <w:left w:val="single" w:sz="4" w:space="0" w:color="auto"/>
              <w:bottom w:val="single" w:sz="4" w:space="0" w:color="000000"/>
              <w:right w:val="single" w:sz="4" w:space="0" w:color="auto"/>
            </w:tcBorders>
            <w:vAlign w:val="center"/>
            <w:hideMark/>
          </w:tcPr>
          <w:p w14:paraId="1327F4A6" w14:textId="77777777" w:rsidR="00995775" w:rsidRPr="00995775" w:rsidRDefault="00995775" w:rsidP="00995775">
            <w:pPr>
              <w:spacing w:after="0"/>
              <w:jc w:val="left"/>
              <w:rPr>
                <w:rFonts w:eastAsia="Times New Roman" w:cs="Times New Roman"/>
                <w:color w:val="000000"/>
                <w:szCs w:val="24"/>
                <w:lang w:eastAsia="en-GB"/>
              </w:rPr>
            </w:pPr>
          </w:p>
        </w:tc>
        <w:tc>
          <w:tcPr>
            <w:tcW w:w="1960" w:type="dxa"/>
            <w:tcBorders>
              <w:top w:val="nil"/>
              <w:left w:val="nil"/>
              <w:bottom w:val="single" w:sz="4" w:space="0" w:color="auto"/>
              <w:right w:val="single" w:sz="4" w:space="0" w:color="auto"/>
            </w:tcBorders>
            <w:shd w:val="clear" w:color="000000" w:fill="FFFF00"/>
            <w:vAlign w:val="center"/>
            <w:hideMark/>
          </w:tcPr>
          <w:p w14:paraId="7EE14EC8" w14:textId="77777777" w:rsidR="00995775" w:rsidRPr="00995775" w:rsidRDefault="00995775" w:rsidP="00995775">
            <w:pPr>
              <w:spacing w:after="0"/>
              <w:jc w:val="left"/>
              <w:rPr>
                <w:rFonts w:eastAsia="Times New Roman" w:cs="Times New Roman"/>
                <w:color w:val="000000"/>
                <w:szCs w:val="24"/>
                <w:lang w:eastAsia="en-GB"/>
              </w:rPr>
            </w:pPr>
            <w:r w:rsidRPr="00995775">
              <w:rPr>
                <w:rFonts w:eastAsia="Times New Roman" w:cs="Times New Roman"/>
                <w:color w:val="000000"/>
                <w:szCs w:val="24"/>
                <w:lang w:eastAsia="en-GB"/>
              </w:rPr>
              <w:t>9.5 (Lot 2)</w:t>
            </w:r>
          </w:p>
        </w:tc>
      </w:tr>
      <w:tr w:rsidR="00995775" w:rsidRPr="00995775" w14:paraId="40B205A4" w14:textId="77777777" w:rsidTr="00995775">
        <w:trPr>
          <w:trHeight w:val="315"/>
        </w:trPr>
        <w:tc>
          <w:tcPr>
            <w:tcW w:w="7640" w:type="dxa"/>
            <w:vMerge/>
            <w:tcBorders>
              <w:top w:val="nil"/>
              <w:left w:val="single" w:sz="4" w:space="0" w:color="auto"/>
              <w:bottom w:val="single" w:sz="4" w:space="0" w:color="000000"/>
              <w:right w:val="single" w:sz="4" w:space="0" w:color="auto"/>
            </w:tcBorders>
            <w:vAlign w:val="center"/>
            <w:hideMark/>
          </w:tcPr>
          <w:p w14:paraId="7F80FD69" w14:textId="77777777" w:rsidR="00995775" w:rsidRPr="00995775" w:rsidRDefault="00995775" w:rsidP="00995775">
            <w:pPr>
              <w:spacing w:after="0"/>
              <w:jc w:val="left"/>
              <w:rPr>
                <w:rFonts w:eastAsia="Times New Roman" w:cs="Times New Roman"/>
                <w:b/>
                <w:bCs/>
                <w:color w:val="000000"/>
                <w:szCs w:val="24"/>
                <w:lang w:eastAsia="en-GB"/>
              </w:rPr>
            </w:pPr>
          </w:p>
        </w:tc>
        <w:tc>
          <w:tcPr>
            <w:tcW w:w="880" w:type="dxa"/>
            <w:vMerge/>
            <w:tcBorders>
              <w:top w:val="nil"/>
              <w:left w:val="single" w:sz="4" w:space="0" w:color="auto"/>
              <w:bottom w:val="single" w:sz="4" w:space="0" w:color="000000"/>
              <w:right w:val="single" w:sz="4" w:space="0" w:color="auto"/>
            </w:tcBorders>
            <w:vAlign w:val="center"/>
            <w:hideMark/>
          </w:tcPr>
          <w:p w14:paraId="1286A0A1" w14:textId="77777777" w:rsidR="00995775" w:rsidRPr="00995775" w:rsidRDefault="00995775" w:rsidP="00995775">
            <w:pPr>
              <w:spacing w:after="0"/>
              <w:jc w:val="left"/>
              <w:rPr>
                <w:rFonts w:eastAsia="Times New Roman" w:cs="Times New Roman"/>
                <w:color w:val="000000"/>
                <w:szCs w:val="24"/>
                <w:lang w:eastAsia="en-GB"/>
              </w:rPr>
            </w:pPr>
          </w:p>
        </w:tc>
        <w:tc>
          <w:tcPr>
            <w:tcW w:w="1960" w:type="dxa"/>
            <w:tcBorders>
              <w:top w:val="nil"/>
              <w:left w:val="nil"/>
              <w:bottom w:val="single" w:sz="4" w:space="0" w:color="auto"/>
              <w:right w:val="single" w:sz="4" w:space="0" w:color="auto"/>
            </w:tcBorders>
            <w:shd w:val="clear" w:color="000000" w:fill="FFFF00"/>
            <w:vAlign w:val="center"/>
            <w:hideMark/>
          </w:tcPr>
          <w:p w14:paraId="51CD0127" w14:textId="77777777" w:rsidR="00995775" w:rsidRPr="00995775" w:rsidRDefault="00995775" w:rsidP="00995775">
            <w:pPr>
              <w:spacing w:after="0"/>
              <w:jc w:val="left"/>
              <w:rPr>
                <w:rFonts w:eastAsia="Times New Roman" w:cs="Times New Roman"/>
                <w:color w:val="000000"/>
                <w:szCs w:val="24"/>
                <w:lang w:eastAsia="en-GB"/>
              </w:rPr>
            </w:pPr>
            <w:r w:rsidRPr="00995775">
              <w:rPr>
                <w:rFonts w:eastAsia="Times New Roman" w:cs="Times New Roman"/>
                <w:color w:val="000000"/>
                <w:szCs w:val="24"/>
                <w:lang w:eastAsia="en-GB"/>
              </w:rPr>
              <w:t>9.6 (Lot 2)</w:t>
            </w:r>
          </w:p>
        </w:tc>
      </w:tr>
      <w:tr w:rsidR="00995775" w:rsidRPr="00995775" w14:paraId="6A733447" w14:textId="77777777" w:rsidTr="00995775">
        <w:trPr>
          <w:trHeight w:val="315"/>
        </w:trPr>
        <w:tc>
          <w:tcPr>
            <w:tcW w:w="7640" w:type="dxa"/>
            <w:vMerge/>
            <w:tcBorders>
              <w:top w:val="nil"/>
              <w:left w:val="single" w:sz="4" w:space="0" w:color="auto"/>
              <w:bottom w:val="single" w:sz="4" w:space="0" w:color="000000"/>
              <w:right w:val="single" w:sz="4" w:space="0" w:color="auto"/>
            </w:tcBorders>
            <w:vAlign w:val="center"/>
            <w:hideMark/>
          </w:tcPr>
          <w:p w14:paraId="088F4191" w14:textId="77777777" w:rsidR="00995775" w:rsidRPr="00995775" w:rsidRDefault="00995775" w:rsidP="00995775">
            <w:pPr>
              <w:spacing w:after="0"/>
              <w:jc w:val="left"/>
              <w:rPr>
                <w:rFonts w:eastAsia="Times New Roman" w:cs="Times New Roman"/>
                <w:b/>
                <w:bCs/>
                <w:color w:val="000000"/>
                <w:szCs w:val="24"/>
                <w:lang w:eastAsia="en-GB"/>
              </w:rPr>
            </w:pPr>
          </w:p>
        </w:tc>
        <w:tc>
          <w:tcPr>
            <w:tcW w:w="880" w:type="dxa"/>
            <w:vMerge/>
            <w:tcBorders>
              <w:top w:val="nil"/>
              <w:left w:val="single" w:sz="4" w:space="0" w:color="auto"/>
              <w:bottom w:val="single" w:sz="4" w:space="0" w:color="000000"/>
              <w:right w:val="single" w:sz="4" w:space="0" w:color="auto"/>
            </w:tcBorders>
            <w:vAlign w:val="center"/>
            <w:hideMark/>
          </w:tcPr>
          <w:p w14:paraId="7AD31B1C" w14:textId="77777777" w:rsidR="00995775" w:rsidRPr="00995775" w:rsidRDefault="00995775" w:rsidP="00995775">
            <w:pPr>
              <w:spacing w:after="0"/>
              <w:jc w:val="left"/>
              <w:rPr>
                <w:rFonts w:eastAsia="Times New Roman" w:cs="Times New Roman"/>
                <w:color w:val="000000"/>
                <w:szCs w:val="24"/>
                <w:lang w:eastAsia="en-GB"/>
              </w:rPr>
            </w:pPr>
          </w:p>
        </w:tc>
        <w:tc>
          <w:tcPr>
            <w:tcW w:w="1960" w:type="dxa"/>
            <w:tcBorders>
              <w:top w:val="nil"/>
              <w:left w:val="nil"/>
              <w:bottom w:val="single" w:sz="4" w:space="0" w:color="auto"/>
              <w:right w:val="single" w:sz="4" w:space="0" w:color="auto"/>
            </w:tcBorders>
            <w:shd w:val="clear" w:color="000000" w:fill="FFFF00"/>
            <w:vAlign w:val="center"/>
            <w:hideMark/>
          </w:tcPr>
          <w:p w14:paraId="0FC3ED4C" w14:textId="77777777" w:rsidR="00995775" w:rsidRPr="00995775" w:rsidRDefault="00995775" w:rsidP="00995775">
            <w:pPr>
              <w:spacing w:after="0"/>
              <w:jc w:val="left"/>
              <w:rPr>
                <w:rFonts w:eastAsia="Times New Roman" w:cs="Times New Roman"/>
                <w:color w:val="000000"/>
                <w:szCs w:val="24"/>
                <w:lang w:eastAsia="en-GB"/>
              </w:rPr>
            </w:pPr>
            <w:r w:rsidRPr="00995775">
              <w:rPr>
                <w:rFonts w:eastAsia="Times New Roman" w:cs="Times New Roman"/>
                <w:color w:val="000000"/>
                <w:szCs w:val="24"/>
                <w:lang w:eastAsia="en-GB"/>
              </w:rPr>
              <w:t>9.7 (Lot 2)</w:t>
            </w:r>
          </w:p>
        </w:tc>
      </w:tr>
      <w:tr w:rsidR="00995775" w:rsidRPr="00995775" w14:paraId="71A68752" w14:textId="77777777" w:rsidTr="00995775">
        <w:trPr>
          <w:trHeight w:val="315"/>
        </w:trPr>
        <w:tc>
          <w:tcPr>
            <w:tcW w:w="7640" w:type="dxa"/>
            <w:vMerge/>
            <w:tcBorders>
              <w:top w:val="nil"/>
              <w:left w:val="single" w:sz="4" w:space="0" w:color="auto"/>
              <w:bottom w:val="single" w:sz="4" w:space="0" w:color="000000"/>
              <w:right w:val="single" w:sz="4" w:space="0" w:color="auto"/>
            </w:tcBorders>
            <w:vAlign w:val="center"/>
            <w:hideMark/>
          </w:tcPr>
          <w:p w14:paraId="60A9866C" w14:textId="77777777" w:rsidR="00995775" w:rsidRPr="00995775" w:rsidRDefault="00995775" w:rsidP="00995775">
            <w:pPr>
              <w:spacing w:after="0"/>
              <w:jc w:val="left"/>
              <w:rPr>
                <w:rFonts w:eastAsia="Times New Roman" w:cs="Times New Roman"/>
                <w:b/>
                <w:bCs/>
                <w:color w:val="000000"/>
                <w:szCs w:val="24"/>
                <w:lang w:eastAsia="en-GB"/>
              </w:rPr>
            </w:pPr>
          </w:p>
        </w:tc>
        <w:tc>
          <w:tcPr>
            <w:tcW w:w="880" w:type="dxa"/>
            <w:vMerge/>
            <w:tcBorders>
              <w:top w:val="nil"/>
              <w:left w:val="single" w:sz="4" w:space="0" w:color="auto"/>
              <w:bottom w:val="single" w:sz="4" w:space="0" w:color="000000"/>
              <w:right w:val="single" w:sz="4" w:space="0" w:color="auto"/>
            </w:tcBorders>
            <w:vAlign w:val="center"/>
            <w:hideMark/>
          </w:tcPr>
          <w:p w14:paraId="6296B606" w14:textId="77777777" w:rsidR="00995775" w:rsidRPr="00995775" w:rsidRDefault="00995775" w:rsidP="00995775">
            <w:pPr>
              <w:spacing w:after="0"/>
              <w:jc w:val="left"/>
              <w:rPr>
                <w:rFonts w:eastAsia="Times New Roman" w:cs="Times New Roman"/>
                <w:color w:val="000000"/>
                <w:szCs w:val="24"/>
                <w:lang w:eastAsia="en-GB"/>
              </w:rPr>
            </w:pPr>
          </w:p>
        </w:tc>
        <w:tc>
          <w:tcPr>
            <w:tcW w:w="1960" w:type="dxa"/>
            <w:tcBorders>
              <w:top w:val="nil"/>
              <w:left w:val="nil"/>
              <w:bottom w:val="single" w:sz="4" w:space="0" w:color="auto"/>
              <w:right w:val="single" w:sz="4" w:space="0" w:color="auto"/>
            </w:tcBorders>
            <w:shd w:val="clear" w:color="000000" w:fill="FFFF00"/>
            <w:vAlign w:val="center"/>
            <w:hideMark/>
          </w:tcPr>
          <w:p w14:paraId="4AD1E762" w14:textId="77777777" w:rsidR="00995775" w:rsidRPr="00995775" w:rsidRDefault="00995775" w:rsidP="00995775">
            <w:pPr>
              <w:spacing w:after="0"/>
              <w:jc w:val="left"/>
              <w:rPr>
                <w:rFonts w:eastAsia="Times New Roman" w:cs="Times New Roman"/>
                <w:color w:val="000000"/>
                <w:szCs w:val="24"/>
                <w:lang w:eastAsia="en-GB"/>
              </w:rPr>
            </w:pPr>
            <w:r w:rsidRPr="00995775">
              <w:rPr>
                <w:rFonts w:eastAsia="Times New Roman" w:cs="Times New Roman"/>
                <w:color w:val="000000"/>
                <w:szCs w:val="24"/>
                <w:lang w:eastAsia="en-GB"/>
              </w:rPr>
              <w:t>9.9 (Lot 3)</w:t>
            </w:r>
          </w:p>
        </w:tc>
      </w:tr>
      <w:tr w:rsidR="00995775" w:rsidRPr="00995775" w14:paraId="2393AAB9" w14:textId="77777777" w:rsidTr="00995775">
        <w:trPr>
          <w:trHeight w:val="315"/>
        </w:trPr>
        <w:tc>
          <w:tcPr>
            <w:tcW w:w="7640" w:type="dxa"/>
            <w:vMerge/>
            <w:tcBorders>
              <w:top w:val="nil"/>
              <w:left w:val="single" w:sz="4" w:space="0" w:color="auto"/>
              <w:bottom w:val="single" w:sz="4" w:space="0" w:color="000000"/>
              <w:right w:val="single" w:sz="4" w:space="0" w:color="auto"/>
            </w:tcBorders>
            <w:vAlign w:val="center"/>
            <w:hideMark/>
          </w:tcPr>
          <w:p w14:paraId="1CA24423" w14:textId="77777777" w:rsidR="00995775" w:rsidRPr="00995775" w:rsidRDefault="00995775" w:rsidP="00995775">
            <w:pPr>
              <w:spacing w:after="0"/>
              <w:jc w:val="left"/>
              <w:rPr>
                <w:rFonts w:eastAsia="Times New Roman" w:cs="Times New Roman"/>
                <w:b/>
                <w:bCs/>
                <w:color w:val="000000"/>
                <w:szCs w:val="24"/>
                <w:lang w:eastAsia="en-GB"/>
              </w:rPr>
            </w:pPr>
          </w:p>
        </w:tc>
        <w:tc>
          <w:tcPr>
            <w:tcW w:w="880" w:type="dxa"/>
            <w:vMerge/>
            <w:tcBorders>
              <w:top w:val="nil"/>
              <w:left w:val="single" w:sz="4" w:space="0" w:color="auto"/>
              <w:bottom w:val="single" w:sz="4" w:space="0" w:color="000000"/>
              <w:right w:val="single" w:sz="4" w:space="0" w:color="auto"/>
            </w:tcBorders>
            <w:vAlign w:val="center"/>
            <w:hideMark/>
          </w:tcPr>
          <w:p w14:paraId="181CA332" w14:textId="77777777" w:rsidR="00995775" w:rsidRPr="00995775" w:rsidRDefault="00995775" w:rsidP="00995775">
            <w:pPr>
              <w:spacing w:after="0"/>
              <w:jc w:val="left"/>
              <w:rPr>
                <w:rFonts w:eastAsia="Times New Roman" w:cs="Times New Roman"/>
                <w:color w:val="000000"/>
                <w:szCs w:val="24"/>
                <w:lang w:eastAsia="en-GB"/>
              </w:rPr>
            </w:pPr>
          </w:p>
        </w:tc>
        <w:tc>
          <w:tcPr>
            <w:tcW w:w="1960" w:type="dxa"/>
            <w:tcBorders>
              <w:top w:val="nil"/>
              <w:left w:val="nil"/>
              <w:bottom w:val="single" w:sz="4" w:space="0" w:color="auto"/>
              <w:right w:val="single" w:sz="4" w:space="0" w:color="auto"/>
            </w:tcBorders>
            <w:shd w:val="clear" w:color="000000" w:fill="FFFF00"/>
            <w:vAlign w:val="center"/>
            <w:hideMark/>
          </w:tcPr>
          <w:p w14:paraId="1DAD7CA6" w14:textId="77777777" w:rsidR="00995775" w:rsidRPr="00995775" w:rsidRDefault="00995775" w:rsidP="00995775">
            <w:pPr>
              <w:spacing w:after="0"/>
              <w:jc w:val="left"/>
              <w:rPr>
                <w:rFonts w:eastAsia="Times New Roman" w:cs="Times New Roman"/>
                <w:color w:val="000000"/>
                <w:szCs w:val="24"/>
                <w:lang w:eastAsia="en-GB"/>
              </w:rPr>
            </w:pPr>
            <w:r w:rsidRPr="00995775">
              <w:rPr>
                <w:rFonts w:eastAsia="Times New Roman" w:cs="Times New Roman"/>
                <w:color w:val="000000"/>
                <w:szCs w:val="24"/>
                <w:lang w:eastAsia="en-GB"/>
              </w:rPr>
              <w:t>9.10 (Lot 3)</w:t>
            </w:r>
          </w:p>
        </w:tc>
      </w:tr>
      <w:tr w:rsidR="00995775" w:rsidRPr="00995775" w14:paraId="75E0ECB8" w14:textId="77777777" w:rsidTr="00995775">
        <w:trPr>
          <w:trHeight w:val="315"/>
        </w:trPr>
        <w:tc>
          <w:tcPr>
            <w:tcW w:w="7640" w:type="dxa"/>
            <w:vMerge/>
            <w:tcBorders>
              <w:top w:val="nil"/>
              <w:left w:val="single" w:sz="4" w:space="0" w:color="auto"/>
              <w:bottom w:val="single" w:sz="4" w:space="0" w:color="000000"/>
              <w:right w:val="single" w:sz="4" w:space="0" w:color="auto"/>
            </w:tcBorders>
            <w:vAlign w:val="center"/>
            <w:hideMark/>
          </w:tcPr>
          <w:p w14:paraId="73093A72" w14:textId="77777777" w:rsidR="00995775" w:rsidRPr="00995775" w:rsidRDefault="00995775" w:rsidP="00995775">
            <w:pPr>
              <w:spacing w:after="0"/>
              <w:jc w:val="left"/>
              <w:rPr>
                <w:rFonts w:eastAsia="Times New Roman" w:cs="Times New Roman"/>
                <w:b/>
                <w:bCs/>
                <w:color w:val="000000"/>
                <w:szCs w:val="24"/>
                <w:lang w:eastAsia="en-GB"/>
              </w:rPr>
            </w:pPr>
          </w:p>
        </w:tc>
        <w:tc>
          <w:tcPr>
            <w:tcW w:w="880" w:type="dxa"/>
            <w:vMerge/>
            <w:tcBorders>
              <w:top w:val="nil"/>
              <w:left w:val="single" w:sz="4" w:space="0" w:color="auto"/>
              <w:bottom w:val="single" w:sz="4" w:space="0" w:color="000000"/>
              <w:right w:val="single" w:sz="4" w:space="0" w:color="auto"/>
            </w:tcBorders>
            <w:vAlign w:val="center"/>
            <w:hideMark/>
          </w:tcPr>
          <w:p w14:paraId="44140CF1" w14:textId="77777777" w:rsidR="00995775" w:rsidRPr="00995775" w:rsidRDefault="00995775" w:rsidP="00995775">
            <w:pPr>
              <w:spacing w:after="0"/>
              <w:jc w:val="left"/>
              <w:rPr>
                <w:rFonts w:eastAsia="Times New Roman" w:cs="Times New Roman"/>
                <w:color w:val="000000"/>
                <w:szCs w:val="24"/>
                <w:lang w:eastAsia="en-GB"/>
              </w:rPr>
            </w:pPr>
          </w:p>
        </w:tc>
        <w:tc>
          <w:tcPr>
            <w:tcW w:w="1960" w:type="dxa"/>
            <w:tcBorders>
              <w:top w:val="nil"/>
              <w:left w:val="nil"/>
              <w:bottom w:val="single" w:sz="4" w:space="0" w:color="auto"/>
              <w:right w:val="single" w:sz="4" w:space="0" w:color="auto"/>
            </w:tcBorders>
            <w:shd w:val="clear" w:color="000000" w:fill="FFFF00"/>
            <w:vAlign w:val="center"/>
            <w:hideMark/>
          </w:tcPr>
          <w:p w14:paraId="5041582F" w14:textId="77777777" w:rsidR="00995775" w:rsidRPr="00995775" w:rsidRDefault="00995775" w:rsidP="00995775">
            <w:pPr>
              <w:spacing w:after="0"/>
              <w:jc w:val="left"/>
              <w:rPr>
                <w:rFonts w:eastAsia="Times New Roman" w:cs="Times New Roman"/>
                <w:color w:val="000000"/>
                <w:szCs w:val="24"/>
                <w:lang w:eastAsia="en-GB"/>
              </w:rPr>
            </w:pPr>
            <w:r w:rsidRPr="00995775">
              <w:rPr>
                <w:rFonts w:eastAsia="Times New Roman" w:cs="Times New Roman"/>
                <w:color w:val="000000"/>
                <w:szCs w:val="24"/>
                <w:lang w:eastAsia="en-GB"/>
              </w:rPr>
              <w:t>9.11 (Lot 3)</w:t>
            </w:r>
          </w:p>
        </w:tc>
      </w:tr>
      <w:tr w:rsidR="00995775" w:rsidRPr="00995775" w14:paraId="3CE2BC7C" w14:textId="77777777" w:rsidTr="00995775">
        <w:trPr>
          <w:trHeight w:val="315"/>
        </w:trPr>
        <w:tc>
          <w:tcPr>
            <w:tcW w:w="7640" w:type="dxa"/>
            <w:vMerge/>
            <w:tcBorders>
              <w:top w:val="nil"/>
              <w:left w:val="single" w:sz="4" w:space="0" w:color="auto"/>
              <w:bottom w:val="single" w:sz="4" w:space="0" w:color="000000"/>
              <w:right w:val="single" w:sz="4" w:space="0" w:color="auto"/>
            </w:tcBorders>
            <w:vAlign w:val="center"/>
            <w:hideMark/>
          </w:tcPr>
          <w:p w14:paraId="50E65364" w14:textId="77777777" w:rsidR="00995775" w:rsidRPr="00995775" w:rsidRDefault="00995775" w:rsidP="00995775">
            <w:pPr>
              <w:spacing w:after="0"/>
              <w:jc w:val="left"/>
              <w:rPr>
                <w:rFonts w:eastAsia="Times New Roman" w:cs="Times New Roman"/>
                <w:b/>
                <w:bCs/>
                <w:color w:val="000000"/>
                <w:szCs w:val="24"/>
                <w:lang w:eastAsia="en-GB"/>
              </w:rPr>
            </w:pPr>
          </w:p>
        </w:tc>
        <w:tc>
          <w:tcPr>
            <w:tcW w:w="880" w:type="dxa"/>
            <w:vMerge/>
            <w:tcBorders>
              <w:top w:val="nil"/>
              <w:left w:val="single" w:sz="4" w:space="0" w:color="auto"/>
              <w:bottom w:val="single" w:sz="4" w:space="0" w:color="000000"/>
              <w:right w:val="single" w:sz="4" w:space="0" w:color="auto"/>
            </w:tcBorders>
            <w:vAlign w:val="center"/>
            <w:hideMark/>
          </w:tcPr>
          <w:p w14:paraId="2F1A099B" w14:textId="77777777" w:rsidR="00995775" w:rsidRPr="00995775" w:rsidRDefault="00995775" w:rsidP="00995775">
            <w:pPr>
              <w:spacing w:after="0"/>
              <w:jc w:val="left"/>
              <w:rPr>
                <w:rFonts w:eastAsia="Times New Roman" w:cs="Times New Roman"/>
                <w:color w:val="000000"/>
                <w:szCs w:val="24"/>
                <w:lang w:eastAsia="en-GB"/>
              </w:rPr>
            </w:pPr>
          </w:p>
        </w:tc>
        <w:tc>
          <w:tcPr>
            <w:tcW w:w="1960" w:type="dxa"/>
            <w:tcBorders>
              <w:top w:val="nil"/>
              <w:left w:val="nil"/>
              <w:bottom w:val="single" w:sz="4" w:space="0" w:color="auto"/>
              <w:right w:val="single" w:sz="4" w:space="0" w:color="auto"/>
            </w:tcBorders>
            <w:shd w:val="clear" w:color="000000" w:fill="FFFF00"/>
            <w:vAlign w:val="center"/>
            <w:hideMark/>
          </w:tcPr>
          <w:p w14:paraId="14EF56D4" w14:textId="77777777" w:rsidR="00995775" w:rsidRPr="00995775" w:rsidRDefault="00995775" w:rsidP="00995775">
            <w:pPr>
              <w:spacing w:after="0"/>
              <w:jc w:val="left"/>
              <w:rPr>
                <w:rFonts w:eastAsia="Times New Roman" w:cs="Times New Roman"/>
                <w:color w:val="000000"/>
                <w:szCs w:val="24"/>
                <w:lang w:eastAsia="en-GB"/>
              </w:rPr>
            </w:pPr>
            <w:r w:rsidRPr="00995775">
              <w:rPr>
                <w:rFonts w:eastAsia="Times New Roman" w:cs="Times New Roman"/>
                <w:color w:val="000000"/>
                <w:szCs w:val="24"/>
                <w:lang w:eastAsia="en-GB"/>
              </w:rPr>
              <w:t>9.12 (Lot 3)</w:t>
            </w:r>
          </w:p>
        </w:tc>
      </w:tr>
      <w:tr w:rsidR="00995775" w:rsidRPr="00995775" w14:paraId="7DDB4B15" w14:textId="77777777" w:rsidTr="00995775">
        <w:trPr>
          <w:trHeight w:val="315"/>
        </w:trPr>
        <w:tc>
          <w:tcPr>
            <w:tcW w:w="7640" w:type="dxa"/>
            <w:vMerge/>
            <w:tcBorders>
              <w:top w:val="nil"/>
              <w:left w:val="single" w:sz="4" w:space="0" w:color="auto"/>
              <w:bottom w:val="single" w:sz="4" w:space="0" w:color="000000"/>
              <w:right w:val="single" w:sz="4" w:space="0" w:color="auto"/>
            </w:tcBorders>
            <w:vAlign w:val="center"/>
            <w:hideMark/>
          </w:tcPr>
          <w:p w14:paraId="6165C719" w14:textId="77777777" w:rsidR="00995775" w:rsidRPr="00995775" w:rsidRDefault="00995775" w:rsidP="00995775">
            <w:pPr>
              <w:spacing w:after="0"/>
              <w:jc w:val="left"/>
              <w:rPr>
                <w:rFonts w:eastAsia="Times New Roman" w:cs="Times New Roman"/>
                <w:b/>
                <w:bCs/>
                <w:color w:val="000000"/>
                <w:szCs w:val="24"/>
                <w:lang w:eastAsia="en-GB"/>
              </w:rPr>
            </w:pPr>
          </w:p>
        </w:tc>
        <w:tc>
          <w:tcPr>
            <w:tcW w:w="880" w:type="dxa"/>
            <w:vMerge/>
            <w:tcBorders>
              <w:top w:val="nil"/>
              <w:left w:val="single" w:sz="4" w:space="0" w:color="auto"/>
              <w:bottom w:val="single" w:sz="4" w:space="0" w:color="000000"/>
              <w:right w:val="single" w:sz="4" w:space="0" w:color="auto"/>
            </w:tcBorders>
            <w:vAlign w:val="center"/>
            <w:hideMark/>
          </w:tcPr>
          <w:p w14:paraId="1893F30F" w14:textId="77777777" w:rsidR="00995775" w:rsidRPr="00995775" w:rsidRDefault="00995775" w:rsidP="00995775">
            <w:pPr>
              <w:spacing w:after="0"/>
              <w:jc w:val="left"/>
              <w:rPr>
                <w:rFonts w:eastAsia="Times New Roman" w:cs="Times New Roman"/>
                <w:color w:val="000000"/>
                <w:szCs w:val="24"/>
                <w:lang w:eastAsia="en-GB"/>
              </w:rPr>
            </w:pPr>
          </w:p>
        </w:tc>
        <w:tc>
          <w:tcPr>
            <w:tcW w:w="1960" w:type="dxa"/>
            <w:tcBorders>
              <w:top w:val="nil"/>
              <w:left w:val="nil"/>
              <w:bottom w:val="single" w:sz="4" w:space="0" w:color="auto"/>
              <w:right w:val="single" w:sz="4" w:space="0" w:color="auto"/>
            </w:tcBorders>
            <w:shd w:val="clear" w:color="000000" w:fill="FFFF00"/>
            <w:vAlign w:val="center"/>
            <w:hideMark/>
          </w:tcPr>
          <w:p w14:paraId="7EE04C47" w14:textId="77777777" w:rsidR="00995775" w:rsidRPr="00995775" w:rsidRDefault="00995775" w:rsidP="00995775">
            <w:pPr>
              <w:spacing w:after="0"/>
              <w:jc w:val="left"/>
              <w:rPr>
                <w:rFonts w:eastAsia="Times New Roman" w:cs="Times New Roman"/>
                <w:color w:val="000000"/>
                <w:szCs w:val="24"/>
                <w:lang w:eastAsia="en-GB"/>
              </w:rPr>
            </w:pPr>
            <w:r w:rsidRPr="00995775">
              <w:rPr>
                <w:rFonts w:eastAsia="Times New Roman" w:cs="Times New Roman"/>
                <w:color w:val="000000"/>
                <w:szCs w:val="24"/>
                <w:lang w:eastAsia="en-GB"/>
              </w:rPr>
              <w:t>9.14 (Lot 4)</w:t>
            </w:r>
          </w:p>
        </w:tc>
      </w:tr>
      <w:tr w:rsidR="00995775" w:rsidRPr="00995775" w14:paraId="45026396" w14:textId="77777777" w:rsidTr="00995775">
        <w:trPr>
          <w:trHeight w:val="315"/>
        </w:trPr>
        <w:tc>
          <w:tcPr>
            <w:tcW w:w="7640" w:type="dxa"/>
            <w:vMerge/>
            <w:tcBorders>
              <w:top w:val="nil"/>
              <w:left w:val="single" w:sz="4" w:space="0" w:color="auto"/>
              <w:bottom w:val="single" w:sz="4" w:space="0" w:color="000000"/>
              <w:right w:val="single" w:sz="4" w:space="0" w:color="auto"/>
            </w:tcBorders>
            <w:vAlign w:val="center"/>
            <w:hideMark/>
          </w:tcPr>
          <w:p w14:paraId="60DC583E" w14:textId="77777777" w:rsidR="00995775" w:rsidRPr="00995775" w:rsidRDefault="00995775" w:rsidP="00995775">
            <w:pPr>
              <w:spacing w:after="0"/>
              <w:jc w:val="left"/>
              <w:rPr>
                <w:rFonts w:eastAsia="Times New Roman" w:cs="Times New Roman"/>
                <w:b/>
                <w:bCs/>
                <w:color w:val="000000"/>
                <w:szCs w:val="24"/>
                <w:lang w:eastAsia="en-GB"/>
              </w:rPr>
            </w:pPr>
          </w:p>
        </w:tc>
        <w:tc>
          <w:tcPr>
            <w:tcW w:w="880" w:type="dxa"/>
            <w:vMerge/>
            <w:tcBorders>
              <w:top w:val="nil"/>
              <w:left w:val="single" w:sz="4" w:space="0" w:color="auto"/>
              <w:bottom w:val="single" w:sz="4" w:space="0" w:color="000000"/>
              <w:right w:val="single" w:sz="4" w:space="0" w:color="auto"/>
            </w:tcBorders>
            <w:vAlign w:val="center"/>
            <w:hideMark/>
          </w:tcPr>
          <w:p w14:paraId="003226DB" w14:textId="77777777" w:rsidR="00995775" w:rsidRPr="00995775" w:rsidRDefault="00995775" w:rsidP="00995775">
            <w:pPr>
              <w:spacing w:after="0"/>
              <w:jc w:val="left"/>
              <w:rPr>
                <w:rFonts w:eastAsia="Times New Roman" w:cs="Times New Roman"/>
                <w:color w:val="000000"/>
                <w:szCs w:val="24"/>
                <w:lang w:eastAsia="en-GB"/>
              </w:rPr>
            </w:pPr>
          </w:p>
        </w:tc>
        <w:tc>
          <w:tcPr>
            <w:tcW w:w="1960" w:type="dxa"/>
            <w:tcBorders>
              <w:top w:val="nil"/>
              <w:left w:val="nil"/>
              <w:bottom w:val="single" w:sz="4" w:space="0" w:color="auto"/>
              <w:right w:val="single" w:sz="4" w:space="0" w:color="auto"/>
            </w:tcBorders>
            <w:shd w:val="clear" w:color="000000" w:fill="FFFF00"/>
            <w:vAlign w:val="center"/>
            <w:hideMark/>
          </w:tcPr>
          <w:p w14:paraId="1F095B5B" w14:textId="77777777" w:rsidR="00995775" w:rsidRPr="00995775" w:rsidRDefault="00995775" w:rsidP="00995775">
            <w:pPr>
              <w:spacing w:after="0"/>
              <w:jc w:val="left"/>
              <w:rPr>
                <w:rFonts w:eastAsia="Times New Roman" w:cs="Times New Roman"/>
                <w:color w:val="000000"/>
                <w:szCs w:val="24"/>
                <w:lang w:eastAsia="en-GB"/>
              </w:rPr>
            </w:pPr>
            <w:r w:rsidRPr="00995775">
              <w:rPr>
                <w:rFonts w:eastAsia="Times New Roman" w:cs="Times New Roman"/>
                <w:color w:val="000000"/>
                <w:szCs w:val="24"/>
                <w:lang w:eastAsia="en-GB"/>
              </w:rPr>
              <w:t>9.15 (Lot 4)</w:t>
            </w:r>
          </w:p>
        </w:tc>
      </w:tr>
      <w:tr w:rsidR="00995775" w:rsidRPr="00995775" w14:paraId="08A999E3" w14:textId="77777777" w:rsidTr="00995775">
        <w:trPr>
          <w:trHeight w:val="315"/>
        </w:trPr>
        <w:tc>
          <w:tcPr>
            <w:tcW w:w="7640" w:type="dxa"/>
            <w:vMerge/>
            <w:tcBorders>
              <w:top w:val="nil"/>
              <w:left w:val="single" w:sz="4" w:space="0" w:color="auto"/>
              <w:bottom w:val="single" w:sz="4" w:space="0" w:color="000000"/>
              <w:right w:val="single" w:sz="4" w:space="0" w:color="auto"/>
            </w:tcBorders>
            <w:vAlign w:val="center"/>
            <w:hideMark/>
          </w:tcPr>
          <w:p w14:paraId="07B35C32" w14:textId="77777777" w:rsidR="00995775" w:rsidRPr="00995775" w:rsidRDefault="00995775" w:rsidP="00995775">
            <w:pPr>
              <w:spacing w:after="0"/>
              <w:jc w:val="left"/>
              <w:rPr>
                <w:rFonts w:eastAsia="Times New Roman" w:cs="Times New Roman"/>
                <w:b/>
                <w:bCs/>
                <w:color w:val="000000"/>
                <w:szCs w:val="24"/>
                <w:lang w:eastAsia="en-GB"/>
              </w:rPr>
            </w:pPr>
          </w:p>
        </w:tc>
        <w:tc>
          <w:tcPr>
            <w:tcW w:w="880" w:type="dxa"/>
            <w:vMerge/>
            <w:tcBorders>
              <w:top w:val="nil"/>
              <w:left w:val="single" w:sz="4" w:space="0" w:color="auto"/>
              <w:bottom w:val="single" w:sz="4" w:space="0" w:color="000000"/>
              <w:right w:val="single" w:sz="4" w:space="0" w:color="auto"/>
            </w:tcBorders>
            <w:vAlign w:val="center"/>
            <w:hideMark/>
          </w:tcPr>
          <w:p w14:paraId="06E49075" w14:textId="77777777" w:rsidR="00995775" w:rsidRPr="00995775" w:rsidRDefault="00995775" w:rsidP="00995775">
            <w:pPr>
              <w:spacing w:after="0"/>
              <w:jc w:val="left"/>
              <w:rPr>
                <w:rFonts w:eastAsia="Times New Roman" w:cs="Times New Roman"/>
                <w:color w:val="000000"/>
                <w:szCs w:val="24"/>
                <w:lang w:eastAsia="en-GB"/>
              </w:rPr>
            </w:pPr>
          </w:p>
        </w:tc>
        <w:tc>
          <w:tcPr>
            <w:tcW w:w="1960" w:type="dxa"/>
            <w:tcBorders>
              <w:top w:val="nil"/>
              <w:left w:val="nil"/>
              <w:bottom w:val="single" w:sz="4" w:space="0" w:color="auto"/>
              <w:right w:val="single" w:sz="4" w:space="0" w:color="auto"/>
            </w:tcBorders>
            <w:shd w:val="clear" w:color="000000" w:fill="FFFF00"/>
            <w:vAlign w:val="center"/>
            <w:hideMark/>
          </w:tcPr>
          <w:p w14:paraId="09868504" w14:textId="77777777" w:rsidR="00995775" w:rsidRPr="00995775" w:rsidRDefault="00995775" w:rsidP="00995775">
            <w:pPr>
              <w:spacing w:after="0"/>
              <w:jc w:val="left"/>
              <w:rPr>
                <w:rFonts w:eastAsia="Times New Roman" w:cs="Times New Roman"/>
                <w:color w:val="000000"/>
                <w:szCs w:val="24"/>
                <w:lang w:eastAsia="en-GB"/>
              </w:rPr>
            </w:pPr>
            <w:r w:rsidRPr="00995775">
              <w:rPr>
                <w:rFonts w:eastAsia="Times New Roman" w:cs="Times New Roman"/>
                <w:color w:val="000000"/>
                <w:szCs w:val="24"/>
                <w:lang w:eastAsia="en-GB"/>
              </w:rPr>
              <w:t>9.16 (Lot 4)</w:t>
            </w:r>
          </w:p>
        </w:tc>
      </w:tr>
      <w:tr w:rsidR="00995775" w:rsidRPr="00995775" w14:paraId="102E71F3" w14:textId="77777777" w:rsidTr="00995775">
        <w:trPr>
          <w:trHeight w:val="315"/>
        </w:trPr>
        <w:tc>
          <w:tcPr>
            <w:tcW w:w="7640" w:type="dxa"/>
            <w:vMerge w:val="restart"/>
            <w:tcBorders>
              <w:top w:val="nil"/>
              <w:left w:val="single" w:sz="4" w:space="0" w:color="auto"/>
              <w:bottom w:val="single" w:sz="4" w:space="0" w:color="000000"/>
              <w:right w:val="single" w:sz="4" w:space="0" w:color="auto"/>
            </w:tcBorders>
            <w:shd w:val="clear" w:color="000000" w:fill="00B0F0"/>
            <w:vAlign w:val="center"/>
            <w:hideMark/>
          </w:tcPr>
          <w:p w14:paraId="6D814C1D" w14:textId="77777777" w:rsidR="00995775" w:rsidRPr="00995775" w:rsidRDefault="00995775" w:rsidP="00995775">
            <w:pPr>
              <w:spacing w:after="0"/>
              <w:jc w:val="left"/>
              <w:rPr>
                <w:rFonts w:eastAsia="Times New Roman" w:cs="Times New Roman"/>
                <w:b/>
                <w:bCs/>
                <w:color w:val="000000"/>
                <w:szCs w:val="24"/>
                <w:lang w:eastAsia="en-GB"/>
              </w:rPr>
            </w:pPr>
            <w:r w:rsidRPr="00995775">
              <w:rPr>
                <w:rFonts w:eastAsia="Times New Roman" w:cs="Times New Roman"/>
                <w:b/>
                <w:bCs/>
                <w:color w:val="000000"/>
                <w:szCs w:val="24"/>
                <w:lang w:eastAsia="en-GB"/>
              </w:rPr>
              <w:t>Pharmacy DPS Questions</w:t>
            </w:r>
          </w:p>
        </w:tc>
        <w:tc>
          <w:tcPr>
            <w:tcW w:w="880" w:type="dxa"/>
            <w:vMerge w:val="restart"/>
            <w:tcBorders>
              <w:top w:val="nil"/>
              <w:left w:val="single" w:sz="4" w:space="0" w:color="auto"/>
              <w:bottom w:val="single" w:sz="4" w:space="0" w:color="000000"/>
              <w:right w:val="single" w:sz="4" w:space="0" w:color="auto"/>
            </w:tcBorders>
            <w:shd w:val="clear" w:color="000000" w:fill="00B0F0"/>
            <w:vAlign w:val="center"/>
            <w:hideMark/>
          </w:tcPr>
          <w:p w14:paraId="1451ECA6" w14:textId="77777777" w:rsidR="00995775" w:rsidRPr="00995775" w:rsidRDefault="00995775" w:rsidP="00995775">
            <w:pPr>
              <w:spacing w:after="0"/>
              <w:jc w:val="left"/>
              <w:rPr>
                <w:rFonts w:eastAsia="Times New Roman" w:cs="Times New Roman"/>
                <w:color w:val="000000"/>
                <w:szCs w:val="24"/>
                <w:lang w:eastAsia="en-GB"/>
              </w:rPr>
            </w:pPr>
            <w:r w:rsidRPr="00995775">
              <w:rPr>
                <w:rFonts w:eastAsia="Times New Roman" w:cs="Times New Roman"/>
                <w:color w:val="000000"/>
                <w:szCs w:val="24"/>
                <w:lang w:eastAsia="en-GB"/>
              </w:rPr>
              <w:t>P/F</w:t>
            </w:r>
          </w:p>
        </w:tc>
        <w:tc>
          <w:tcPr>
            <w:tcW w:w="1960" w:type="dxa"/>
            <w:tcBorders>
              <w:top w:val="nil"/>
              <w:left w:val="nil"/>
              <w:bottom w:val="single" w:sz="4" w:space="0" w:color="auto"/>
              <w:right w:val="single" w:sz="4" w:space="0" w:color="auto"/>
            </w:tcBorders>
            <w:shd w:val="clear" w:color="000000" w:fill="00B0F0"/>
            <w:vAlign w:val="center"/>
            <w:hideMark/>
          </w:tcPr>
          <w:p w14:paraId="25F05660" w14:textId="77777777" w:rsidR="00995775" w:rsidRPr="00995775" w:rsidRDefault="00995775" w:rsidP="00995775">
            <w:pPr>
              <w:spacing w:after="0"/>
              <w:jc w:val="left"/>
              <w:rPr>
                <w:rFonts w:eastAsia="Times New Roman" w:cs="Times New Roman"/>
                <w:color w:val="000000"/>
                <w:szCs w:val="24"/>
                <w:lang w:eastAsia="en-GB"/>
              </w:rPr>
            </w:pPr>
            <w:r w:rsidRPr="00995775">
              <w:rPr>
                <w:rFonts w:eastAsia="Times New Roman" w:cs="Times New Roman"/>
                <w:color w:val="000000"/>
                <w:szCs w:val="24"/>
                <w:lang w:eastAsia="en-GB"/>
              </w:rPr>
              <w:t>9.3 (Lot 1)</w:t>
            </w:r>
          </w:p>
        </w:tc>
      </w:tr>
      <w:tr w:rsidR="00995775" w:rsidRPr="00995775" w14:paraId="5C83B0ED" w14:textId="77777777" w:rsidTr="00995775">
        <w:trPr>
          <w:trHeight w:val="315"/>
        </w:trPr>
        <w:tc>
          <w:tcPr>
            <w:tcW w:w="7640" w:type="dxa"/>
            <w:vMerge/>
            <w:tcBorders>
              <w:top w:val="nil"/>
              <w:left w:val="single" w:sz="4" w:space="0" w:color="auto"/>
              <w:bottom w:val="single" w:sz="4" w:space="0" w:color="000000"/>
              <w:right w:val="single" w:sz="4" w:space="0" w:color="auto"/>
            </w:tcBorders>
            <w:vAlign w:val="center"/>
            <w:hideMark/>
          </w:tcPr>
          <w:p w14:paraId="60D63F48" w14:textId="77777777" w:rsidR="00995775" w:rsidRPr="00995775" w:rsidRDefault="00995775" w:rsidP="00995775">
            <w:pPr>
              <w:spacing w:after="0"/>
              <w:jc w:val="left"/>
              <w:rPr>
                <w:rFonts w:eastAsia="Times New Roman" w:cs="Times New Roman"/>
                <w:b/>
                <w:bCs/>
                <w:color w:val="000000"/>
                <w:szCs w:val="24"/>
                <w:lang w:eastAsia="en-GB"/>
              </w:rPr>
            </w:pPr>
          </w:p>
        </w:tc>
        <w:tc>
          <w:tcPr>
            <w:tcW w:w="880" w:type="dxa"/>
            <w:vMerge/>
            <w:tcBorders>
              <w:top w:val="nil"/>
              <w:left w:val="single" w:sz="4" w:space="0" w:color="auto"/>
              <w:bottom w:val="single" w:sz="4" w:space="0" w:color="000000"/>
              <w:right w:val="single" w:sz="4" w:space="0" w:color="auto"/>
            </w:tcBorders>
            <w:vAlign w:val="center"/>
            <w:hideMark/>
          </w:tcPr>
          <w:p w14:paraId="16469C5A" w14:textId="77777777" w:rsidR="00995775" w:rsidRPr="00995775" w:rsidRDefault="00995775" w:rsidP="00995775">
            <w:pPr>
              <w:spacing w:after="0"/>
              <w:jc w:val="left"/>
              <w:rPr>
                <w:rFonts w:eastAsia="Times New Roman" w:cs="Times New Roman"/>
                <w:color w:val="000000"/>
                <w:szCs w:val="24"/>
                <w:lang w:eastAsia="en-GB"/>
              </w:rPr>
            </w:pPr>
          </w:p>
        </w:tc>
        <w:tc>
          <w:tcPr>
            <w:tcW w:w="1960" w:type="dxa"/>
            <w:tcBorders>
              <w:top w:val="nil"/>
              <w:left w:val="nil"/>
              <w:bottom w:val="single" w:sz="4" w:space="0" w:color="auto"/>
              <w:right w:val="single" w:sz="4" w:space="0" w:color="auto"/>
            </w:tcBorders>
            <w:shd w:val="clear" w:color="000000" w:fill="00B0F0"/>
            <w:vAlign w:val="center"/>
            <w:hideMark/>
          </w:tcPr>
          <w:p w14:paraId="2DE8F174" w14:textId="77777777" w:rsidR="00995775" w:rsidRPr="00995775" w:rsidRDefault="00995775" w:rsidP="00995775">
            <w:pPr>
              <w:spacing w:after="0"/>
              <w:jc w:val="left"/>
              <w:rPr>
                <w:rFonts w:eastAsia="Times New Roman" w:cs="Times New Roman"/>
                <w:color w:val="000000"/>
                <w:szCs w:val="24"/>
                <w:lang w:eastAsia="en-GB"/>
              </w:rPr>
            </w:pPr>
            <w:r w:rsidRPr="00995775">
              <w:rPr>
                <w:rFonts w:eastAsia="Times New Roman" w:cs="Times New Roman"/>
                <w:color w:val="000000"/>
                <w:szCs w:val="24"/>
                <w:lang w:eastAsia="en-GB"/>
              </w:rPr>
              <w:t>9.4 (Lot 1)</w:t>
            </w:r>
          </w:p>
        </w:tc>
      </w:tr>
      <w:tr w:rsidR="00995775" w:rsidRPr="00995775" w14:paraId="02FA532C" w14:textId="77777777" w:rsidTr="00995775">
        <w:trPr>
          <w:trHeight w:val="315"/>
        </w:trPr>
        <w:tc>
          <w:tcPr>
            <w:tcW w:w="7640" w:type="dxa"/>
            <w:vMerge/>
            <w:tcBorders>
              <w:top w:val="nil"/>
              <w:left w:val="single" w:sz="4" w:space="0" w:color="auto"/>
              <w:bottom w:val="single" w:sz="4" w:space="0" w:color="000000"/>
              <w:right w:val="single" w:sz="4" w:space="0" w:color="auto"/>
            </w:tcBorders>
            <w:vAlign w:val="center"/>
            <w:hideMark/>
          </w:tcPr>
          <w:p w14:paraId="4327605F" w14:textId="77777777" w:rsidR="00995775" w:rsidRPr="00995775" w:rsidRDefault="00995775" w:rsidP="00995775">
            <w:pPr>
              <w:spacing w:after="0"/>
              <w:jc w:val="left"/>
              <w:rPr>
                <w:rFonts w:eastAsia="Times New Roman" w:cs="Times New Roman"/>
                <w:b/>
                <w:bCs/>
                <w:color w:val="000000"/>
                <w:szCs w:val="24"/>
                <w:lang w:eastAsia="en-GB"/>
              </w:rPr>
            </w:pPr>
          </w:p>
        </w:tc>
        <w:tc>
          <w:tcPr>
            <w:tcW w:w="880" w:type="dxa"/>
            <w:vMerge/>
            <w:tcBorders>
              <w:top w:val="nil"/>
              <w:left w:val="single" w:sz="4" w:space="0" w:color="auto"/>
              <w:bottom w:val="single" w:sz="4" w:space="0" w:color="000000"/>
              <w:right w:val="single" w:sz="4" w:space="0" w:color="auto"/>
            </w:tcBorders>
            <w:vAlign w:val="center"/>
            <w:hideMark/>
          </w:tcPr>
          <w:p w14:paraId="58A8E20B" w14:textId="77777777" w:rsidR="00995775" w:rsidRPr="00995775" w:rsidRDefault="00995775" w:rsidP="00995775">
            <w:pPr>
              <w:spacing w:after="0"/>
              <w:jc w:val="left"/>
              <w:rPr>
                <w:rFonts w:eastAsia="Times New Roman" w:cs="Times New Roman"/>
                <w:color w:val="000000"/>
                <w:szCs w:val="24"/>
                <w:lang w:eastAsia="en-GB"/>
              </w:rPr>
            </w:pPr>
          </w:p>
        </w:tc>
        <w:tc>
          <w:tcPr>
            <w:tcW w:w="1960" w:type="dxa"/>
            <w:tcBorders>
              <w:top w:val="nil"/>
              <w:left w:val="nil"/>
              <w:bottom w:val="single" w:sz="4" w:space="0" w:color="auto"/>
              <w:right w:val="single" w:sz="4" w:space="0" w:color="auto"/>
            </w:tcBorders>
            <w:shd w:val="clear" w:color="000000" w:fill="00B0F0"/>
            <w:vAlign w:val="center"/>
            <w:hideMark/>
          </w:tcPr>
          <w:p w14:paraId="61F4AF6A" w14:textId="77777777" w:rsidR="00995775" w:rsidRPr="00995775" w:rsidRDefault="00995775" w:rsidP="00995775">
            <w:pPr>
              <w:spacing w:after="0"/>
              <w:jc w:val="left"/>
              <w:rPr>
                <w:rFonts w:eastAsia="Times New Roman" w:cs="Times New Roman"/>
                <w:color w:val="000000"/>
                <w:szCs w:val="24"/>
                <w:lang w:eastAsia="en-GB"/>
              </w:rPr>
            </w:pPr>
            <w:r w:rsidRPr="00995775">
              <w:rPr>
                <w:rFonts w:eastAsia="Times New Roman" w:cs="Times New Roman"/>
                <w:color w:val="000000"/>
                <w:szCs w:val="24"/>
                <w:lang w:eastAsia="en-GB"/>
              </w:rPr>
              <w:t>9.5 (Lot 1)</w:t>
            </w:r>
          </w:p>
        </w:tc>
      </w:tr>
      <w:tr w:rsidR="00995775" w:rsidRPr="00995775" w14:paraId="09B9457A" w14:textId="77777777" w:rsidTr="00995775">
        <w:trPr>
          <w:trHeight w:val="315"/>
        </w:trPr>
        <w:tc>
          <w:tcPr>
            <w:tcW w:w="7640" w:type="dxa"/>
            <w:vMerge/>
            <w:tcBorders>
              <w:top w:val="nil"/>
              <w:left w:val="single" w:sz="4" w:space="0" w:color="auto"/>
              <w:bottom w:val="single" w:sz="4" w:space="0" w:color="000000"/>
              <w:right w:val="single" w:sz="4" w:space="0" w:color="auto"/>
            </w:tcBorders>
            <w:vAlign w:val="center"/>
            <w:hideMark/>
          </w:tcPr>
          <w:p w14:paraId="58557468" w14:textId="77777777" w:rsidR="00995775" w:rsidRPr="00995775" w:rsidRDefault="00995775" w:rsidP="00995775">
            <w:pPr>
              <w:spacing w:after="0"/>
              <w:jc w:val="left"/>
              <w:rPr>
                <w:rFonts w:eastAsia="Times New Roman" w:cs="Times New Roman"/>
                <w:b/>
                <w:bCs/>
                <w:color w:val="000000"/>
                <w:szCs w:val="24"/>
                <w:lang w:eastAsia="en-GB"/>
              </w:rPr>
            </w:pPr>
          </w:p>
        </w:tc>
        <w:tc>
          <w:tcPr>
            <w:tcW w:w="880" w:type="dxa"/>
            <w:vMerge/>
            <w:tcBorders>
              <w:top w:val="nil"/>
              <w:left w:val="single" w:sz="4" w:space="0" w:color="auto"/>
              <w:bottom w:val="single" w:sz="4" w:space="0" w:color="000000"/>
              <w:right w:val="single" w:sz="4" w:space="0" w:color="auto"/>
            </w:tcBorders>
            <w:vAlign w:val="center"/>
            <w:hideMark/>
          </w:tcPr>
          <w:p w14:paraId="615FA72D" w14:textId="77777777" w:rsidR="00995775" w:rsidRPr="00995775" w:rsidRDefault="00995775" w:rsidP="00995775">
            <w:pPr>
              <w:spacing w:after="0"/>
              <w:jc w:val="left"/>
              <w:rPr>
                <w:rFonts w:eastAsia="Times New Roman" w:cs="Times New Roman"/>
                <w:color w:val="000000"/>
                <w:szCs w:val="24"/>
                <w:lang w:eastAsia="en-GB"/>
              </w:rPr>
            </w:pPr>
          </w:p>
        </w:tc>
        <w:tc>
          <w:tcPr>
            <w:tcW w:w="1960" w:type="dxa"/>
            <w:tcBorders>
              <w:top w:val="nil"/>
              <w:left w:val="nil"/>
              <w:bottom w:val="single" w:sz="4" w:space="0" w:color="auto"/>
              <w:right w:val="single" w:sz="4" w:space="0" w:color="auto"/>
            </w:tcBorders>
            <w:shd w:val="clear" w:color="000000" w:fill="00B0F0"/>
            <w:vAlign w:val="center"/>
            <w:hideMark/>
          </w:tcPr>
          <w:p w14:paraId="2D9D61AF" w14:textId="77777777" w:rsidR="00995775" w:rsidRPr="00995775" w:rsidRDefault="00995775" w:rsidP="00995775">
            <w:pPr>
              <w:spacing w:after="0"/>
              <w:jc w:val="left"/>
              <w:rPr>
                <w:rFonts w:eastAsia="Times New Roman" w:cs="Times New Roman"/>
                <w:color w:val="000000"/>
                <w:szCs w:val="24"/>
                <w:lang w:eastAsia="en-GB"/>
              </w:rPr>
            </w:pPr>
            <w:r w:rsidRPr="00995775">
              <w:rPr>
                <w:rFonts w:eastAsia="Times New Roman" w:cs="Times New Roman"/>
                <w:color w:val="000000"/>
                <w:szCs w:val="24"/>
                <w:lang w:eastAsia="en-GB"/>
              </w:rPr>
              <w:t>9.6 (Lot 2)</w:t>
            </w:r>
          </w:p>
        </w:tc>
      </w:tr>
      <w:tr w:rsidR="00995775" w:rsidRPr="00995775" w14:paraId="0A7EC784" w14:textId="77777777" w:rsidTr="00995775">
        <w:trPr>
          <w:trHeight w:val="315"/>
        </w:trPr>
        <w:tc>
          <w:tcPr>
            <w:tcW w:w="7640" w:type="dxa"/>
            <w:vMerge/>
            <w:tcBorders>
              <w:top w:val="nil"/>
              <w:left w:val="single" w:sz="4" w:space="0" w:color="auto"/>
              <w:bottom w:val="single" w:sz="4" w:space="0" w:color="000000"/>
              <w:right w:val="single" w:sz="4" w:space="0" w:color="auto"/>
            </w:tcBorders>
            <w:vAlign w:val="center"/>
            <w:hideMark/>
          </w:tcPr>
          <w:p w14:paraId="23AB1710" w14:textId="77777777" w:rsidR="00995775" w:rsidRPr="00995775" w:rsidRDefault="00995775" w:rsidP="00995775">
            <w:pPr>
              <w:spacing w:after="0"/>
              <w:jc w:val="left"/>
              <w:rPr>
                <w:rFonts w:eastAsia="Times New Roman" w:cs="Times New Roman"/>
                <w:b/>
                <w:bCs/>
                <w:color w:val="000000"/>
                <w:szCs w:val="24"/>
                <w:lang w:eastAsia="en-GB"/>
              </w:rPr>
            </w:pPr>
          </w:p>
        </w:tc>
        <w:tc>
          <w:tcPr>
            <w:tcW w:w="880" w:type="dxa"/>
            <w:vMerge/>
            <w:tcBorders>
              <w:top w:val="nil"/>
              <w:left w:val="single" w:sz="4" w:space="0" w:color="auto"/>
              <w:bottom w:val="single" w:sz="4" w:space="0" w:color="000000"/>
              <w:right w:val="single" w:sz="4" w:space="0" w:color="auto"/>
            </w:tcBorders>
            <w:vAlign w:val="center"/>
            <w:hideMark/>
          </w:tcPr>
          <w:p w14:paraId="75A08E10" w14:textId="77777777" w:rsidR="00995775" w:rsidRPr="00995775" w:rsidRDefault="00995775" w:rsidP="00995775">
            <w:pPr>
              <w:spacing w:after="0"/>
              <w:jc w:val="left"/>
              <w:rPr>
                <w:rFonts w:eastAsia="Times New Roman" w:cs="Times New Roman"/>
                <w:color w:val="000000"/>
                <w:szCs w:val="24"/>
                <w:lang w:eastAsia="en-GB"/>
              </w:rPr>
            </w:pPr>
          </w:p>
        </w:tc>
        <w:tc>
          <w:tcPr>
            <w:tcW w:w="1960" w:type="dxa"/>
            <w:tcBorders>
              <w:top w:val="nil"/>
              <w:left w:val="nil"/>
              <w:bottom w:val="single" w:sz="4" w:space="0" w:color="auto"/>
              <w:right w:val="single" w:sz="4" w:space="0" w:color="auto"/>
            </w:tcBorders>
            <w:shd w:val="clear" w:color="000000" w:fill="00B0F0"/>
            <w:vAlign w:val="center"/>
            <w:hideMark/>
          </w:tcPr>
          <w:p w14:paraId="2B76E011" w14:textId="77777777" w:rsidR="00995775" w:rsidRPr="00995775" w:rsidRDefault="00995775" w:rsidP="00995775">
            <w:pPr>
              <w:spacing w:after="0"/>
              <w:jc w:val="left"/>
              <w:rPr>
                <w:rFonts w:eastAsia="Times New Roman" w:cs="Times New Roman"/>
                <w:color w:val="000000"/>
                <w:szCs w:val="24"/>
                <w:lang w:eastAsia="en-GB"/>
              </w:rPr>
            </w:pPr>
            <w:r w:rsidRPr="00995775">
              <w:rPr>
                <w:rFonts w:eastAsia="Times New Roman" w:cs="Times New Roman"/>
                <w:color w:val="000000"/>
                <w:szCs w:val="24"/>
                <w:lang w:eastAsia="en-GB"/>
              </w:rPr>
              <w:t>9.7 (Lot 2)</w:t>
            </w:r>
          </w:p>
        </w:tc>
      </w:tr>
      <w:tr w:rsidR="00995775" w:rsidRPr="00995775" w14:paraId="5A906758" w14:textId="77777777" w:rsidTr="00995775">
        <w:trPr>
          <w:trHeight w:val="315"/>
        </w:trPr>
        <w:tc>
          <w:tcPr>
            <w:tcW w:w="7640" w:type="dxa"/>
            <w:vMerge/>
            <w:tcBorders>
              <w:top w:val="nil"/>
              <w:left w:val="single" w:sz="4" w:space="0" w:color="auto"/>
              <w:bottom w:val="single" w:sz="4" w:space="0" w:color="000000"/>
              <w:right w:val="single" w:sz="4" w:space="0" w:color="auto"/>
            </w:tcBorders>
            <w:vAlign w:val="center"/>
            <w:hideMark/>
          </w:tcPr>
          <w:p w14:paraId="3CB8D68A" w14:textId="77777777" w:rsidR="00995775" w:rsidRPr="00995775" w:rsidRDefault="00995775" w:rsidP="00995775">
            <w:pPr>
              <w:spacing w:after="0"/>
              <w:jc w:val="left"/>
              <w:rPr>
                <w:rFonts w:eastAsia="Times New Roman" w:cs="Times New Roman"/>
                <w:b/>
                <w:bCs/>
                <w:color w:val="000000"/>
                <w:szCs w:val="24"/>
                <w:lang w:eastAsia="en-GB"/>
              </w:rPr>
            </w:pPr>
          </w:p>
        </w:tc>
        <w:tc>
          <w:tcPr>
            <w:tcW w:w="880" w:type="dxa"/>
            <w:vMerge/>
            <w:tcBorders>
              <w:top w:val="nil"/>
              <w:left w:val="single" w:sz="4" w:space="0" w:color="auto"/>
              <w:bottom w:val="single" w:sz="4" w:space="0" w:color="000000"/>
              <w:right w:val="single" w:sz="4" w:space="0" w:color="auto"/>
            </w:tcBorders>
            <w:vAlign w:val="center"/>
            <w:hideMark/>
          </w:tcPr>
          <w:p w14:paraId="1A0B3FD5" w14:textId="77777777" w:rsidR="00995775" w:rsidRPr="00995775" w:rsidRDefault="00995775" w:rsidP="00995775">
            <w:pPr>
              <w:spacing w:after="0"/>
              <w:jc w:val="left"/>
              <w:rPr>
                <w:rFonts w:eastAsia="Times New Roman" w:cs="Times New Roman"/>
                <w:color w:val="000000"/>
                <w:szCs w:val="24"/>
                <w:lang w:eastAsia="en-GB"/>
              </w:rPr>
            </w:pPr>
          </w:p>
        </w:tc>
        <w:tc>
          <w:tcPr>
            <w:tcW w:w="1960" w:type="dxa"/>
            <w:tcBorders>
              <w:top w:val="nil"/>
              <w:left w:val="nil"/>
              <w:bottom w:val="single" w:sz="4" w:space="0" w:color="auto"/>
              <w:right w:val="single" w:sz="4" w:space="0" w:color="auto"/>
            </w:tcBorders>
            <w:shd w:val="clear" w:color="000000" w:fill="00B0F0"/>
            <w:vAlign w:val="center"/>
            <w:hideMark/>
          </w:tcPr>
          <w:p w14:paraId="3C9C7DBC" w14:textId="77777777" w:rsidR="00995775" w:rsidRPr="00995775" w:rsidRDefault="00995775" w:rsidP="00995775">
            <w:pPr>
              <w:spacing w:after="0"/>
              <w:jc w:val="left"/>
              <w:rPr>
                <w:rFonts w:eastAsia="Times New Roman" w:cs="Times New Roman"/>
                <w:color w:val="000000"/>
                <w:szCs w:val="24"/>
                <w:lang w:eastAsia="en-GB"/>
              </w:rPr>
            </w:pPr>
            <w:r w:rsidRPr="00995775">
              <w:rPr>
                <w:rFonts w:eastAsia="Times New Roman" w:cs="Times New Roman"/>
                <w:color w:val="000000"/>
                <w:szCs w:val="24"/>
                <w:lang w:eastAsia="en-GB"/>
              </w:rPr>
              <w:t>9.8 (Lot 2)</w:t>
            </w:r>
          </w:p>
        </w:tc>
      </w:tr>
      <w:tr w:rsidR="00995775" w:rsidRPr="00995775" w14:paraId="398180C5" w14:textId="77777777" w:rsidTr="00995775">
        <w:trPr>
          <w:trHeight w:val="315"/>
        </w:trPr>
        <w:tc>
          <w:tcPr>
            <w:tcW w:w="7640" w:type="dxa"/>
            <w:vMerge/>
            <w:tcBorders>
              <w:top w:val="nil"/>
              <w:left w:val="single" w:sz="4" w:space="0" w:color="auto"/>
              <w:bottom w:val="single" w:sz="4" w:space="0" w:color="000000"/>
              <w:right w:val="single" w:sz="4" w:space="0" w:color="auto"/>
            </w:tcBorders>
            <w:vAlign w:val="center"/>
            <w:hideMark/>
          </w:tcPr>
          <w:p w14:paraId="70D970D5" w14:textId="77777777" w:rsidR="00995775" w:rsidRPr="00995775" w:rsidRDefault="00995775" w:rsidP="00995775">
            <w:pPr>
              <w:spacing w:after="0"/>
              <w:jc w:val="left"/>
              <w:rPr>
                <w:rFonts w:eastAsia="Times New Roman" w:cs="Times New Roman"/>
                <w:b/>
                <w:bCs/>
                <w:color w:val="000000"/>
                <w:szCs w:val="24"/>
                <w:lang w:eastAsia="en-GB"/>
              </w:rPr>
            </w:pPr>
          </w:p>
        </w:tc>
        <w:tc>
          <w:tcPr>
            <w:tcW w:w="880" w:type="dxa"/>
            <w:vMerge/>
            <w:tcBorders>
              <w:top w:val="nil"/>
              <w:left w:val="single" w:sz="4" w:space="0" w:color="auto"/>
              <w:bottom w:val="single" w:sz="4" w:space="0" w:color="000000"/>
              <w:right w:val="single" w:sz="4" w:space="0" w:color="auto"/>
            </w:tcBorders>
            <w:vAlign w:val="center"/>
            <w:hideMark/>
          </w:tcPr>
          <w:p w14:paraId="60CAA1B9" w14:textId="77777777" w:rsidR="00995775" w:rsidRPr="00995775" w:rsidRDefault="00995775" w:rsidP="00995775">
            <w:pPr>
              <w:spacing w:after="0"/>
              <w:jc w:val="left"/>
              <w:rPr>
                <w:rFonts w:eastAsia="Times New Roman" w:cs="Times New Roman"/>
                <w:color w:val="000000"/>
                <w:szCs w:val="24"/>
                <w:lang w:eastAsia="en-GB"/>
              </w:rPr>
            </w:pPr>
          </w:p>
        </w:tc>
        <w:tc>
          <w:tcPr>
            <w:tcW w:w="1960" w:type="dxa"/>
            <w:tcBorders>
              <w:top w:val="nil"/>
              <w:left w:val="nil"/>
              <w:bottom w:val="single" w:sz="4" w:space="0" w:color="auto"/>
              <w:right w:val="single" w:sz="4" w:space="0" w:color="auto"/>
            </w:tcBorders>
            <w:shd w:val="clear" w:color="000000" w:fill="00B0F0"/>
            <w:vAlign w:val="center"/>
            <w:hideMark/>
          </w:tcPr>
          <w:p w14:paraId="58AB2A45" w14:textId="77777777" w:rsidR="00995775" w:rsidRPr="00995775" w:rsidRDefault="00995775" w:rsidP="00995775">
            <w:pPr>
              <w:spacing w:after="0"/>
              <w:jc w:val="left"/>
              <w:rPr>
                <w:rFonts w:eastAsia="Times New Roman" w:cs="Times New Roman"/>
                <w:color w:val="000000"/>
                <w:szCs w:val="24"/>
                <w:lang w:eastAsia="en-GB"/>
              </w:rPr>
            </w:pPr>
            <w:r w:rsidRPr="00995775">
              <w:rPr>
                <w:rFonts w:eastAsia="Times New Roman" w:cs="Times New Roman"/>
                <w:color w:val="000000"/>
                <w:szCs w:val="24"/>
                <w:lang w:eastAsia="en-GB"/>
              </w:rPr>
              <w:t>9.9 (Lot 3)</w:t>
            </w:r>
          </w:p>
        </w:tc>
      </w:tr>
      <w:tr w:rsidR="00995775" w:rsidRPr="00995775" w14:paraId="037A1960" w14:textId="77777777" w:rsidTr="00995775">
        <w:trPr>
          <w:trHeight w:val="315"/>
        </w:trPr>
        <w:tc>
          <w:tcPr>
            <w:tcW w:w="7640" w:type="dxa"/>
            <w:vMerge/>
            <w:tcBorders>
              <w:top w:val="nil"/>
              <w:left w:val="single" w:sz="4" w:space="0" w:color="auto"/>
              <w:bottom w:val="single" w:sz="4" w:space="0" w:color="000000"/>
              <w:right w:val="single" w:sz="4" w:space="0" w:color="auto"/>
            </w:tcBorders>
            <w:vAlign w:val="center"/>
            <w:hideMark/>
          </w:tcPr>
          <w:p w14:paraId="3835C807" w14:textId="77777777" w:rsidR="00995775" w:rsidRPr="00995775" w:rsidRDefault="00995775" w:rsidP="00995775">
            <w:pPr>
              <w:spacing w:after="0"/>
              <w:jc w:val="left"/>
              <w:rPr>
                <w:rFonts w:eastAsia="Times New Roman" w:cs="Times New Roman"/>
                <w:b/>
                <w:bCs/>
                <w:color w:val="000000"/>
                <w:szCs w:val="24"/>
                <w:lang w:eastAsia="en-GB"/>
              </w:rPr>
            </w:pPr>
          </w:p>
        </w:tc>
        <w:tc>
          <w:tcPr>
            <w:tcW w:w="880" w:type="dxa"/>
            <w:vMerge/>
            <w:tcBorders>
              <w:top w:val="nil"/>
              <w:left w:val="single" w:sz="4" w:space="0" w:color="auto"/>
              <w:bottom w:val="single" w:sz="4" w:space="0" w:color="000000"/>
              <w:right w:val="single" w:sz="4" w:space="0" w:color="auto"/>
            </w:tcBorders>
            <w:vAlign w:val="center"/>
            <w:hideMark/>
          </w:tcPr>
          <w:p w14:paraId="024792CF" w14:textId="77777777" w:rsidR="00995775" w:rsidRPr="00995775" w:rsidRDefault="00995775" w:rsidP="00995775">
            <w:pPr>
              <w:spacing w:after="0"/>
              <w:jc w:val="left"/>
              <w:rPr>
                <w:rFonts w:eastAsia="Times New Roman" w:cs="Times New Roman"/>
                <w:color w:val="000000"/>
                <w:szCs w:val="24"/>
                <w:lang w:eastAsia="en-GB"/>
              </w:rPr>
            </w:pPr>
          </w:p>
        </w:tc>
        <w:tc>
          <w:tcPr>
            <w:tcW w:w="1960" w:type="dxa"/>
            <w:tcBorders>
              <w:top w:val="nil"/>
              <w:left w:val="nil"/>
              <w:bottom w:val="single" w:sz="4" w:space="0" w:color="auto"/>
              <w:right w:val="single" w:sz="4" w:space="0" w:color="auto"/>
            </w:tcBorders>
            <w:shd w:val="clear" w:color="000000" w:fill="00B0F0"/>
            <w:vAlign w:val="center"/>
            <w:hideMark/>
          </w:tcPr>
          <w:p w14:paraId="0ED7AFA6" w14:textId="77777777" w:rsidR="00995775" w:rsidRPr="00995775" w:rsidRDefault="00995775" w:rsidP="00995775">
            <w:pPr>
              <w:spacing w:after="0"/>
              <w:jc w:val="left"/>
              <w:rPr>
                <w:rFonts w:eastAsia="Times New Roman" w:cs="Times New Roman"/>
                <w:color w:val="000000"/>
                <w:szCs w:val="24"/>
                <w:lang w:eastAsia="en-GB"/>
              </w:rPr>
            </w:pPr>
            <w:r w:rsidRPr="00995775">
              <w:rPr>
                <w:rFonts w:eastAsia="Times New Roman" w:cs="Times New Roman"/>
                <w:color w:val="000000"/>
                <w:szCs w:val="24"/>
                <w:lang w:eastAsia="en-GB"/>
              </w:rPr>
              <w:t>9.10 (Lot 3)</w:t>
            </w:r>
          </w:p>
        </w:tc>
      </w:tr>
      <w:tr w:rsidR="00995775" w:rsidRPr="00995775" w14:paraId="6BB8E71F" w14:textId="77777777" w:rsidTr="00995775">
        <w:trPr>
          <w:trHeight w:val="315"/>
        </w:trPr>
        <w:tc>
          <w:tcPr>
            <w:tcW w:w="7640" w:type="dxa"/>
            <w:vMerge/>
            <w:tcBorders>
              <w:top w:val="nil"/>
              <w:left w:val="single" w:sz="4" w:space="0" w:color="auto"/>
              <w:bottom w:val="single" w:sz="4" w:space="0" w:color="000000"/>
              <w:right w:val="single" w:sz="4" w:space="0" w:color="auto"/>
            </w:tcBorders>
            <w:vAlign w:val="center"/>
            <w:hideMark/>
          </w:tcPr>
          <w:p w14:paraId="7E2C267A" w14:textId="77777777" w:rsidR="00995775" w:rsidRPr="00995775" w:rsidRDefault="00995775" w:rsidP="00995775">
            <w:pPr>
              <w:spacing w:after="0"/>
              <w:jc w:val="left"/>
              <w:rPr>
                <w:rFonts w:eastAsia="Times New Roman" w:cs="Times New Roman"/>
                <w:b/>
                <w:bCs/>
                <w:color w:val="000000"/>
                <w:szCs w:val="24"/>
                <w:lang w:eastAsia="en-GB"/>
              </w:rPr>
            </w:pPr>
          </w:p>
        </w:tc>
        <w:tc>
          <w:tcPr>
            <w:tcW w:w="880" w:type="dxa"/>
            <w:vMerge/>
            <w:tcBorders>
              <w:top w:val="nil"/>
              <w:left w:val="single" w:sz="4" w:space="0" w:color="auto"/>
              <w:bottom w:val="single" w:sz="4" w:space="0" w:color="000000"/>
              <w:right w:val="single" w:sz="4" w:space="0" w:color="auto"/>
            </w:tcBorders>
            <w:vAlign w:val="center"/>
            <w:hideMark/>
          </w:tcPr>
          <w:p w14:paraId="7ECD15C5" w14:textId="77777777" w:rsidR="00995775" w:rsidRPr="00995775" w:rsidRDefault="00995775" w:rsidP="00995775">
            <w:pPr>
              <w:spacing w:after="0"/>
              <w:jc w:val="left"/>
              <w:rPr>
                <w:rFonts w:eastAsia="Times New Roman" w:cs="Times New Roman"/>
                <w:color w:val="000000"/>
                <w:szCs w:val="24"/>
                <w:lang w:eastAsia="en-GB"/>
              </w:rPr>
            </w:pPr>
          </w:p>
        </w:tc>
        <w:tc>
          <w:tcPr>
            <w:tcW w:w="1960" w:type="dxa"/>
            <w:tcBorders>
              <w:top w:val="nil"/>
              <w:left w:val="nil"/>
              <w:bottom w:val="single" w:sz="4" w:space="0" w:color="auto"/>
              <w:right w:val="single" w:sz="4" w:space="0" w:color="auto"/>
            </w:tcBorders>
            <w:shd w:val="clear" w:color="000000" w:fill="00B0F0"/>
            <w:vAlign w:val="center"/>
            <w:hideMark/>
          </w:tcPr>
          <w:p w14:paraId="1CC925B9" w14:textId="77777777" w:rsidR="00995775" w:rsidRPr="00995775" w:rsidRDefault="00995775" w:rsidP="00995775">
            <w:pPr>
              <w:spacing w:after="0"/>
              <w:jc w:val="left"/>
              <w:rPr>
                <w:rFonts w:eastAsia="Times New Roman" w:cs="Times New Roman"/>
                <w:color w:val="000000"/>
                <w:szCs w:val="24"/>
                <w:lang w:eastAsia="en-GB"/>
              </w:rPr>
            </w:pPr>
            <w:r w:rsidRPr="00995775">
              <w:rPr>
                <w:rFonts w:eastAsia="Times New Roman" w:cs="Times New Roman"/>
                <w:color w:val="000000"/>
                <w:szCs w:val="24"/>
                <w:lang w:eastAsia="en-GB"/>
              </w:rPr>
              <w:t>9.11 (Lot 3)</w:t>
            </w:r>
          </w:p>
        </w:tc>
      </w:tr>
      <w:tr w:rsidR="00995775" w:rsidRPr="00995775" w14:paraId="2BFCB437" w14:textId="77777777" w:rsidTr="00995775">
        <w:trPr>
          <w:trHeight w:val="315"/>
        </w:trPr>
        <w:tc>
          <w:tcPr>
            <w:tcW w:w="7640" w:type="dxa"/>
            <w:vMerge/>
            <w:tcBorders>
              <w:top w:val="nil"/>
              <w:left w:val="single" w:sz="4" w:space="0" w:color="auto"/>
              <w:bottom w:val="single" w:sz="4" w:space="0" w:color="000000"/>
              <w:right w:val="single" w:sz="4" w:space="0" w:color="auto"/>
            </w:tcBorders>
            <w:vAlign w:val="center"/>
            <w:hideMark/>
          </w:tcPr>
          <w:p w14:paraId="2F8783F4" w14:textId="77777777" w:rsidR="00995775" w:rsidRPr="00995775" w:rsidRDefault="00995775" w:rsidP="00995775">
            <w:pPr>
              <w:spacing w:after="0"/>
              <w:jc w:val="left"/>
              <w:rPr>
                <w:rFonts w:eastAsia="Times New Roman" w:cs="Times New Roman"/>
                <w:b/>
                <w:bCs/>
                <w:color w:val="000000"/>
                <w:szCs w:val="24"/>
                <w:lang w:eastAsia="en-GB"/>
              </w:rPr>
            </w:pPr>
          </w:p>
        </w:tc>
        <w:tc>
          <w:tcPr>
            <w:tcW w:w="880" w:type="dxa"/>
            <w:vMerge/>
            <w:tcBorders>
              <w:top w:val="nil"/>
              <w:left w:val="single" w:sz="4" w:space="0" w:color="auto"/>
              <w:bottom w:val="single" w:sz="4" w:space="0" w:color="000000"/>
              <w:right w:val="single" w:sz="4" w:space="0" w:color="auto"/>
            </w:tcBorders>
            <w:vAlign w:val="center"/>
            <w:hideMark/>
          </w:tcPr>
          <w:p w14:paraId="7CDDEC7F" w14:textId="77777777" w:rsidR="00995775" w:rsidRPr="00995775" w:rsidRDefault="00995775" w:rsidP="00995775">
            <w:pPr>
              <w:spacing w:after="0"/>
              <w:jc w:val="left"/>
              <w:rPr>
                <w:rFonts w:eastAsia="Times New Roman" w:cs="Times New Roman"/>
                <w:color w:val="000000"/>
                <w:szCs w:val="24"/>
                <w:lang w:eastAsia="en-GB"/>
              </w:rPr>
            </w:pPr>
          </w:p>
        </w:tc>
        <w:tc>
          <w:tcPr>
            <w:tcW w:w="1960" w:type="dxa"/>
            <w:tcBorders>
              <w:top w:val="nil"/>
              <w:left w:val="nil"/>
              <w:bottom w:val="single" w:sz="4" w:space="0" w:color="auto"/>
              <w:right w:val="single" w:sz="4" w:space="0" w:color="auto"/>
            </w:tcBorders>
            <w:shd w:val="clear" w:color="000000" w:fill="00B0F0"/>
            <w:vAlign w:val="center"/>
            <w:hideMark/>
          </w:tcPr>
          <w:p w14:paraId="68C6C191" w14:textId="77777777" w:rsidR="00995775" w:rsidRPr="00995775" w:rsidRDefault="00995775" w:rsidP="00995775">
            <w:pPr>
              <w:spacing w:after="0"/>
              <w:jc w:val="left"/>
              <w:rPr>
                <w:rFonts w:eastAsia="Times New Roman" w:cs="Times New Roman"/>
                <w:color w:val="000000"/>
                <w:szCs w:val="24"/>
                <w:lang w:eastAsia="en-GB"/>
              </w:rPr>
            </w:pPr>
            <w:r w:rsidRPr="00995775">
              <w:rPr>
                <w:rFonts w:eastAsia="Times New Roman" w:cs="Times New Roman"/>
                <w:color w:val="000000"/>
                <w:szCs w:val="24"/>
                <w:lang w:eastAsia="en-GB"/>
              </w:rPr>
              <w:t>9.12 (Lot 3)</w:t>
            </w:r>
          </w:p>
        </w:tc>
      </w:tr>
      <w:tr w:rsidR="00995775" w:rsidRPr="00995775" w14:paraId="762BA0BF" w14:textId="77777777" w:rsidTr="00995775">
        <w:trPr>
          <w:trHeight w:val="315"/>
        </w:trPr>
        <w:tc>
          <w:tcPr>
            <w:tcW w:w="7640" w:type="dxa"/>
            <w:vMerge/>
            <w:tcBorders>
              <w:top w:val="nil"/>
              <w:left w:val="single" w:sz="4" w:space="0" w:color="auto"/>
              <w:bottom w:val="single" w:sz="4" w:space="0" w:color="000000"/>
              <w:right w:val="single" w:sz="4" w:space="0" w:color="auto"/>
            </w:tcBorders>
            <w:vAlign w:val="center"/>
            <w:hideMark/>
          </w:tcPr>
          <w:p w14:paraId="189A61F9" w14:textId="77777777" w:rsidR="00995775" w:rsidRPr="00995775" w:rsidRDefault="00995775" w:rsidP="00995775">
            <w:pPr>
              <w:spacing w:after="0"/>
              <w:jc w:val="left"/>
              <w:rPr>
                <w:rFonts w:eastAsia="Times New Roman" w:cs="Times New Roman"/>
                <w:b/>
                <w:bCs/>
                <w:color w:val="000000"/>
                <w:szCs w:val="24"/>
                <w:lang w:eastAsia="en-GB"/>
              </w:rPr>
            </w:pPr>
          </w:p>
        </w:tc>
        <w:tc>
          <w:tcPr>
            <w:tcW w:w="880" w:type="dxa"/>
            <w:vMerge/>
            <w:tcBorders>
              <w:top w:val="nil"/>
              <w:left w:val="single" w:sz="4" w:space="0" w:color="auto"/>
              <w:bottom w:val="single" w:sz="4" w:space="0" w:color="000000"/>
              <w:right w:val="single" w:sz="4" w:space="0" w:color="auto"/>
            </w:tcBorders>
            <w:vAlign w:val="center"/>
            <w:hideMark/>
          </w:tcPr>
          <w:p w14:paraId="75AD4593" w14:textId="77777777" w:rsidR="00995775" w:rsidRPr="00995775" w:rsidRDefault="00995775" w:rsidP="00995775">
            <w:pPr>
              <w:spacing w:after="0"/>
              <w:jc w:val="left"/>
              <w:rPr>
                <w:rFonts w:eastAsia="Times New Roman" w:cs="Times New Roman"/>
                <w:color w:val="000000"/>
                <w:szCs w:val="24"/>
                <w:lang w:eastAsia="en-GB"/>
              </w:rPr>
            </w:pPr>
          </w:p>
        </w:tc>
        <w:tc>
          <w:tcPr>
            <w:tcW w:w="1960" w:type="dxa"/>
            <w:tcBorders>
              <w:top w:val="nil"/>
              <w:left w:val="nil"/>
              <w:bottom w:val="single" w:sz="4" w:space="0" w:color="auto"/>
              <w:right w:val="single" w:sz="4" w:space="0" w:color="auto"/>
            </w:tcBorders>
            <w:shd w:val="clear" w:color="000000" w:fill="00B0F0"/>
            <w:vAlign w:val="center"/>
            <w:hideMark/>
          </w:tcPr>
          <w:p w14:paraId="13531A7B" w14:textId="77777777" w:rsidR="00995775" w:rsidRPr="00995775" w:rsidRDefault="00995775" w:rsidP="00995775">
            <w:pPr>
              <w:spacing w:after="0"/>
              <w:jc w:val="left"/>
              <w:rPr>
                <w:rFonts w:eastAsia="Times New Roman" w:cs="Times New Roman"/>
                <w:color w:val="000000"/>
                <w:szCs w:val="24"/>
                <w:lang w:eastAsia="en-GB"/>
              </w:rPr>
            </w:pPr>
            <w:r w:rsidRPr="00995775">
              <w:rPr>
                <w:rFonts w:eastAsia="Times New Roman" w:cs="Times New Roman"/>
                <w:color w:val="000000"/>
                <w:szCs w:val="24"/>
                <w:lang w:eastAsia="en-GB"/>
              </w:rPr>
              <w:t>9.13 (Lot 4)</w:t>
            </w:r>
          </w:p>
        </w:tc>
      </w:tr>
      <w:tr w:rsidR="00995775" w:rsidRPr="00995775" w14:paraId="4A3F03F1" w14:textId="77777777" w:rsidTr="00995775">
        <w:trPr>
          <w:trHeight w:val="315"/>
        </w:trPr>
        <w:tc>
          <w:tcPr>
            <w:tcW w:w="7640" w:type="dxa"/>
            <w:tcBorders>
              <w:top w:val="nil"/>
              <w:left w:val="single" w:sz="4" w:space="0" w:color="auto"/>
              <w:bottom w:val="single" w:sz="4" w:space="0" w:color="auto"/>
              <w:right w:val="single" w:sz="4" w:space="0" w:color="auto"/>
            </w:tcBorders>
            <w:shd w:val="clear" w:color="auto" w:fill="auto"/>
            <w:vAlign w:val="center"/>
            <w:hideMark/>
          </w:tcPr>
          <w:p w14:paraId="02C2A4D8" w14:textId="77777777" w:rsidR="00995775" w:rsidRPr="00995775" w:rsidRDefault="00995775" w:rsidP="00995775">
            <w:pPr>
              <w:spacing w:after="0"/>
              <w:jc w:val="left"/>
              <w:rPr>
                <w:rFonts w:eastAsia="Times New Roman" w:cs="Times New Roman"/>
                <w:b/>
                <w:bCs/>
                <w:color w:val="000000"/>
                <w:szCs w:val="24"/>
                <w:lang w:eastAsia="en-GB"/>
              </w:rPr>
            </w:pPr>
            <w:r w:rsidRPr="00995775">
              <w:rPr>
                <w:rFonts w:eastAsia="Times New Roman" w:cs="Times New Roman"/>
                <w:b/>
                <w:bCs/>
                <w:color w:val="000000"/>
                <w:szCs w:val="24"/>
                <w:lang w:eastAsia="en-GB"/>
              </w:rPr>
              <w:t>Declaration</w:t>
            </w:r>
          </w:p>
        </w:tc>
        <w:tc>
          <w:tcPr>
            <w:tcW w:w="880" w:type="dxa"/>
            <w:tcBorders>
              <w:top w:val="nil"/>
              <w:left w:val="nil"/>
              <w:bottom w:val="single" w:sz="4" w:space="0" w:color="auto"/>
              <w:right w:val="single" w:sz="4" w:space="0" w:color="auto"/>
            </w:tcBorders>
            <w:shd w:val="clear" w:color="auto" w:fill="auto"/>
            <w:vAlign w:val="center"/>
            <w:hideMark/>
          </w:tcPr>
          <w:p w14:paraId="003AA3DA" w14:textId="77777777" w:rsidR="00995775" w:rsidRPr="00995775" w:rsidRDefault="00995775" w:rsidP="00995775">
            <w:pPr>
              <w:spacing w:after="0"/>
              <w:jc w:val="left"/>
              <w:rPr>
                <w:rFonts w:eastAsia="Times New Roman" w:cs="Times New Roman"/>
                <w:color w:val="000000"/>
                <w:szCs w:val="24"/>
                <w:lang w:eastAsia="en-GB"/>
              </w:rPr>
            </w:pPr>
            <w:r w:rsidRPr="00995775">
              <w:rPr>
                <w:rFonts w:eastAsia="Times New Roman" w:cs="Times New Roman"/>
                <w:color w:val="000000"/>
                <w:szCs w:val="24"/>
                <w:lang w:eastAsia="en-GB"/>
              </w:rPr>
              <w:t>P/F</w:t>
            </w:r>
          </w:p>
        </w:tc>
        <w:tc>
          <w:tcPr>
            <w:tcW w:w="1960" w:type="dxa"/>
            <w:tcBorders>
              <w:top w:val="nil"/>
              <w:left w:val="nil"/>
              <w:bottom w:val="single" w:sz="4" w:space="0" w:color="auto"/>
              <w:right w:val="single" w:sz="4" w:space="0" w:color="auto"/>
            </w:tcBorders>
            <w:shd w:val="clear" w:color="auto" w:fill="auto"/>
            <w:vAlign w:val="center"/>
            <w:hideMark/>
          </w:tcPr>
          <w:p w14:paraId="64AC8A35" w14:textId="77777777" w:rsidR="00995775" w:rsidRPr="00995775" w:rsidRDefault="00995775" w:rsidP="00995775">
            <w:pPr>
              <w:spacing w:after="0"/>
              <w:jc w:val="left"/>
              <w:rPr>
                <w:rFonts w:eastAsia="Times New Roman" w:cs="Times New Roman"/>
                <w:color w:val="000000"/>
                <w:szCs w:val="24"/>
                <w:lang w:eastAsia="en-GB"/>
              </w:rPr>
            </w:pPr>
            <w:r w:rsidRPr="00995775">
              <w:rPr>
                <w:rFonts w:eastAsia="Times New Roman" w:cs="Times New Roman"/>
                <w:color w:val="000000"/>
                <w:szCs w:val="24"/>
                <w:lang w:eastAsia="en-GB"/>
              </w:rPr>
              <w:t>All questions</w:t>
            </w:r>
          </w:p>
        </w:tc>
      </w:tr>
    </w:tbl>
    <w:p w14:paraId="7D5967E2" w14:textId="77777777" w:rsidR="002F345F" w:rsidRDefault="002F345F" w:rsidP="002F345F">
      <w:pPr>
        <w:pStyle w:val="ANumberedText2"/>
        <w:numPr>
          <w:ilvl w:val="0"/>
          <w:numId w:val="0"/>
        </w:numPr>
        <w:ind w:left="1985"/>
      </w:pPr>
    </w:p>
    <w:p w14:paraId="220FADE5" w14:textId="3666DA77" w:rsidR="009B75EA" w:rsidRPr="00494B9E" w:rsidRDefault="009B75EA" w:rsidP="00494B9E">
      <w:pPr>
        <w:pStyle w:val="ANumberedText2"/>
      </w:pPr>
      <w:r w:rsidRPr="00494B9E">
        <w:t xml:space="preserve">The Authority is under no obligation to "follow up" with the </w:t>
      </w:r>
      <w:r w:rsidR="00DF041F" w:rsidRPr="00494B9E">
        <w:t>Potential Provider</w:t>
      </w:r>
      <w:r w:rsidRPr="00494B9E">
        <w:t xml:space="preserve"> to obtain information found to be missing from the </w:t>
      </w:r>
      <w:r w:rsidR="002F345F">
        <w:t xml:space="preserve">DPS </w:t>
      </w:r>
      <w:r w:rsidRPr="00494B9E">
        <w:t>response.</w:t>
      </w:r>
    </w:p>
    <w:p w14:paraId="22D7D083" w14:textId="77777777" w:rsidR="002F345F" w:rsidRDefault="002F345F" w:rsidP="002F345F">
      <w:pPr>
        <w:pStyle w:val="AHeading2"/>
        <w:numPr>
          <w:ilvl w:val="0"/>
          <w:numId w:val="0"/>
        </w:numPr>
        <w:ind w:left="851"/>
      </w:pPr>
    </w:p>
    <w:p w14:paraId="77C1DB0D" w14:textId="3474C859" w:rsidR="009B75EA" w:rsidRPr="00494B9E" w:rsidRDefault="009B75EA" w:rsidP="00494B9E">
      <w:pPr>
        <w:pStyle w:val="AHeading2"/>
      </w:pPr>
      <w:bookmarkStart w:id="46" w:name="_Toc4147450"/>
      <w:r w:rsidRPr="00494B9E">
        <w:t>VARIANT BIDS</w:t>
      </w:r>
      <w:bookmarkEnd w:id="46"/>
    </w:p>
    <w:p w14:paraId="33DB427F" w14:textId="10875FD9" w:rsidR="009B75EA" w:rsidRPr="002F345F" w:rsidRDefault="009B75EA" w:rsidP="00494B9E">
      <w:pPr>
        <w:pStyle w:val="ANumberedText"/>
      </w:pPr>
      <w:r w:rsidRPr="00494B9E">
        <w:t xml:space="preserve">In line with the scope of the project and the OJEU advertisement, variant </w:t>
      </w:r>
      <w:r w:rsidRPr="002F345F">
        <w:t>bids are not offered</w:t>
      </w:r>
      <w:r w:rsidR="002F345F" w:rsidRPr="002F345F">
        <w:t>.</w:t>
      </w:r>
    </w:p>
    <w:p w14:paraId="42C17BAA" w14:textId="77777777" w:rsidR="00705090" w:rsidRPr="00494B9E" w:rsidRDefault="00705090" w:rsidP="00494B9E"/>
    <w:p w14:paraId="0502C4B1" w14:textId="77777777" w:rsidR="009B75EA" w:rsidRDefault="00644B6F" w:rsidP="00494B9E">
      <w:pPr>
        <w:pStyle w:val="AHeading2"/>
      </w:pPr>
      <w:bookmarkStart w:id="47" w:name="_Toc4147451"/>
      <w:bookmarkStart w:id="48" w:name="Timetable"/>
      <w:r w:rsidRPr="00494B9E">
        <w:t xml:space="preserve">PROCUREMENT </w:t>
      </w:r>
      <w:r w:rsidR="009B75EA" w:rsidRPr="00494B9E">
        <w:t>TIMETABLE</w:t>
      </w:r>
      <w:bookmarkEnd w:id="47"/>
    </w:p>
    <w:p w14:paraId="26C69D74" w14:textId="67637865" w:rsidR="00625A08" w:rsidRPr="00625A08" w:rsidRDefault="00625A08" w:rsidP="00625A08">
      <w:pPr>
        <w:pStyle w:val="AHeading2"/>
        <w:numPr>
          <w:ilvl w:val="0"/>
          <w:numId w:val="0"/>
        </w:numPr>
        <w:ind w:left="851"/>
        <w:rPr>
          <w:b w:val="0"/>
          <w:color w:val="auto"/>
          <w:u w:val="single"/>
        </w:rPr>
      </w:pPr>
      <w:bookmarkStart w:id="49" w:name="_Toc3980680"/>
      <w:bookmarkStart w:id="50" w:name="_Toc4147452"/>
      <w:r w:rsidRPr="00625A08">
        <w:rPr>
          <w:b w:val="0"/>
          <w:color w:val="auto"/>
          <w:u w:val="single"/>
        </w:rPr>
        <w:t>Please note the below is relevant to Round 1</w:t>
      </w:r>
      <w:r>
        <w:rPr>
          <w:b w:val="0"/>
          <w:color w:val="auto"/>
          <w:u w:val="single"/>
        </w:rPr>
        <w:t xml:space="preserve"> of the DPS</w:t>
      </w:r>
      <w:r w:rsidRPr="00625A08">
        <w:rPr>
          <w:b w:val="0"/>
          <w:color w:val="auto"/>
          <w:u w:val="single"/>
        </w:rPr>
        <w:t>:</w:t>
      </w:r>
      <w:bookmarkEnd w:id="49"/>
      <w:bookmarkEnd w:id="50"/>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8"/>
        <w:gridCol w:w="3876"/>
      </w:tblGrid>
      <w:tr w:rsidR="00625A08" w:rsidRPr="00494B9E" w14:paraId="19046A5B" w14:textId="77777777" w:rsidTr="00625A08">
        <w:tc>
          <w:tcPr>
            <w:tcW w:w="5103" w:type="dxa"/>
          </w:tcPr>
          <w:p w14:paraId="7A4C328D" w14:textId="77777777" w:rsidR="00625A08" w:rsidRPr="00494B9E" w:rsidRDefault="00625A08" w:rsidP="00302960">
            <w:bookmarkStart w:id="51" w:name="_Toc504394368"/>
            <w:bookmarkStart w:id="52" w:name="_Toc516826047"/>
            <w:bookmarkEnd w:id="48"/>
            <w:r>
              <w:t>Amendment to DPS</w:t>
            </w:r>
            <w:r w:rsidRPr="00494B9E">
              <w:t xml:space="preserve"> documents deadline</w:t>
            </w:r>
            <w:bookmarkEnd w:id="51"/>
            <w:bookmarkEnd w:id="52"/>
          </w:p>
        </w:tc>
        <w:tc>
          <w:tcPr>
            <w:tcW w:w="3969" w:type="dxa"/>
          </w:tcPr>
          <w:p w14:paraId="583C3685" w14:textId="30ADCB07" w:rsidR="00625A08" w:rsidRPr="00494B9E" w:rsidRDefault="00CD1335" w:rsidP="00CD1335">
            <w:r>
              <w:t>9</w:t>
            </w:r>
            <w:r w:rsidR="00625A08" w:rsidRPr="00625A08">
              <w:rPr>
                <w:vertAlign w:val="superscript"/>
              </w:rPr>
              <w:t>th</w:t>
            </w:r>
            <w:r w:rsidR="00625A08">
              <w:t xml:space="preserve"> April 2019</w:t>
            </w:r>
          </w:p>
        </w:tc>
      </w:tr>
      <w:tr w:rsidR="00625A08" w:rsidRPr="00494B9E" w14:paraId="0EBC05BD" w14:textId="77777777" w:rsidTr="00625A08">
        <w:tc>
          <w:tcPr>
            <w:tcW w:w="5103" w:type="dxa"/>
          </w:tcPr>
          <w:p w14:paraId="5970D6F6" w14:textId="14A38DCA" w:rsidR="00625A08" w:rsidRPr="00494B9E" w:rsidRDefault="00625A08" w:rsidP="00302960">
            <w:bookmarkStart w:id="53" w:name="_Toc504129308"/>
            <w:bookmarkStart w:id="54" w:name="_Toc504394370"/>
            <w:bookmarkStart w:id="55" w:name="_Toc516826049"/>
            <w:r w:rsidRPr="00494B9E">
              <w:lastRenderedPageBreak/>
              <w:t>Deadline for Potential Provider’s</w:t>
            </w:r>
            <w:r>
              <w:t xml:space="preserve"> DPS </w:t>
            </w:r>
            <w:r w:rsidRPr="00494B9E">
              <w:t>clarification questions</w:t>
            </w:r>
            <w:bookmarkEnd w:id="53"/>
            <w:bookmarkEnd w:id="54"/>
            <w:bookmarkEnd w:id="55"/>
          </w:p>
        </w:tc>
        <w:tc>
          <w:tcPr>
            <w:tcW w:w="3969" w:type="dxa"/>
          </w:tcPr>
          <w:p w14:paraId="58F37428" w14:textId="245493D2" w:rsidR="00625A08" w:rsidRPr="00494B9E" w:rsidRDefault="00CD1335" w:rsidP="00302960">
            <w:r>
              <w:t>16</w:t>
            </w:r>
            <w:r w:rsidR="00625A08" w:rsidRPr="00625A08">
              <w:rPr>
                <w:vertAlign w:val="superscript"/>
              </w:rPr>
              <w:t>th</w:t>
            </w:r>
            <w:r w:rsidR="00625A08">
              <w:t xml:space="preserve"> April 2019</w:t>
            </w:r>
          </w:p>
        </w:tc>
      </w:tr>
      <w:tr w:rsidR="00625A08" w:rsidRPr="00494B9E" w14:paraId="0F938ACE" w14:textId="77777777" w:rsidTr="00625A08">
        <w:tc>
          <w:tcPr>
            <w:tcW w:w="5103" w:type="dxa"/>
          </w:tcPr>
          <w:p w14:paraId="5E34EA04" w14:textId="57BE37C1" w:rsidR="00625A08" w:rsidRPr="00494B9E" w:rsidRDefault="00625A08" w:rsidP="00302960">
            <w:bookmarkStart w:id="56" w:name="_Toc504129314"/>
            <w:bookmarkStart w:id="57" w:name="_Toc504394376"/>
            <w:bookmarkStart w:id="58" w:name="_Toc516826055"/>
            <w:r>
              <w:t xml:space="preserve">DPS Application </w:t>
            </w:r>
            <w:r w:rsidRPr="00494B9E">
              <w:t>response deadline</w:t>
            </w:r>
            <w:bookmarkEnd w:id="56"/>
            <w:bookmarkEnd w:id="57"/>
            <w:r w:rsidRPr="00494B9E">
              <w:t xml:space="preserve"> (the “Deadline”)</w:t>
            </w:r>
            <w:bookmarkEnd w:id="58"/>
          </w:p>
        </w:tc>
        <w:tc>
          <w:tcPr>
            <w:tcW w:w="3969" w:type="dxa"/>
          </w:tcPr>
          <w:p w14:paraId="2F028ACC" w14:textId="45BCBF2E" w:rsidR="00625A08" w:rsidRPr="00494B9E" w:rsidRDefault="00CD1335" w:rsidP="00625A08">
            <w:pPr>
              <w:jc w:val="left"/>
            </w:pPr>
            <w:r>
              <w:t>12:00noon 23</w:t>
            </w:r>
            <w:r w:rsidRPr="00CD1335">
              <w:rPr>
                <w:vertAlign w:val="superscript"/>
              </w:rPr>
              <w:t>rd</w:t>
            </w:r>
            <w:r>
              <w:t xml:space="preserve"> </w:t>
            </w:r>
            <w:r w:rsidR="00625A08">
              <w:t>April 2019</w:t>
            </w:r>
          </w:p>
        </w:tc>
      </w:tr>
      <w:tr w:rsidR="00625A08" w:rsidRPr="00494B9E" w14:paraId="43B8B0D5" w14:textId="77777777" w:rsidTr="00625A08">
        <w:tc>
          <w:tcPr>
            <w:tcW w:w="5103" w:type="dxa"/>
          </w:tcPr>
          <w:p w14:paraId="2A40BA62" w14:textId="0C47DDB4" w:rsidR="00625A08" w:rsidRPr="00494B9E" w:rsidRDefault="00625A08" w:rsidP="00302960">
            <w:bookmarkStart w:id="59" w:name="_Toc504129316"/>
            <w:bookmarkStart w:id="60" w:name="_Toc504394378"/>
            <w:bookmarkStart w:id="61" w:name="_Toc516826057"/>
            <w:r>
              <w:t xml:space="preserve">Validation </w:t>
            </w:r>
            <w:r w:rsidRPr="00494B9E">
              <w:t>commencing</w:t>
            </w:r>
            <w:bookmarkEnd w:id="59"/>
            <w:bookmarkEnd w:id="60"/>
            <w:bookmarkEnd w:id="61"/>
          </w:p>
        </w:tc>
        <w:tc>
          <w:tcPr>
            <w:tcW w:w="3969" w:type="dxa"/>
          </w:tcPr>
          <w:p w14:paraId="103B0843" w14:textId="3EF336D5" w:rsidR="00625A08" w:rsidRPr="00494B9E" w:rsidRDefault="00CD1335" w:rsidP="00302960">
            <w:r>
              <w:t>23</w:t>
            </w:r>
            <w:r w:rsidRPr="00CD1335">
              <w:rPr>
                <w:vertAlign w:val="superscript"/>
              </w:rPr>
              <w:t>rd</w:t>
            </w:r>
            <w:r>
              <w:t xml:space="preserve"> </w:t>
            </w:r>
            <w:r w:rsidR="00625A08">
              <w:t>April 2019</w:t>
            </w:r>
          </w:p>
        </w:tc>
      </w:tr>
      <w:tr w:rsidR="00625A08" w:rsidRPr="00494B9E" w14:paraId="4668CE7D" w14:textId="77777777" w:rsidTr="00625A08">
        <w:tc>
          <w:tcPr>
            <w:tcW w:w="5103" w:type="dxa"/>
          </w:tcPr>
          <w:p w14:paraId="1F64A197" w14:textId="3448C60C" w:rsidR="00625A08" w:rsidRPr="00494B9E" w:rsidRDefault="00625A08" w:rsidP="00302960">
            <w:bookmarkStart w:id="62" w:name="_Toc504129322"/>
            <w:bookmarkStart w:id="63" w:name="_Toc504394382"/>
            <w:bookmarkStart w:id="64" w:name="_Toc516826061"/>
            <w:r>
              <w:t>Anticipated acceptance</w:t>
            </w:r>
            <w:bookmarkEnd w:id="62"/>
            <w:bookmarkEnd w:id="63"/>
            <w:bookmarkEnd w:id="64"/>
          </w:p>
        </w:tc>
        <w:tc>
          <w:tcPr>
            <w:tcW w:w="3969" w:type="dxa"/>
          </w:tcPr>
          <w:p w14:paraId="7297D8E5" w14:textId="346998A9" w:rsidR="00625A08" w:rsidRPr="00494B9E" w:rsidRDefault="002908D8" w:rsidP="00302960">
            <w:r>
              <w:t>May</w:t>
            </w:r>
            <w:r w:rsidR="00625A08">
              <w:t xml:space="preserve"> 2019</w:t>
            </w:r>
          </w:p>
        </w:tc>
      </w:tr>
      <w:tr w:rsidR="00625A08" w:rsidRPr="00494B9E" w14:paraId="1C5ACA41" w14:textId="77777777" w:rsidTr="00625A08">
        <w:tc>
          <w:tcPr>
            <w:tcW w:w="5103" w:type="dxa"/>
          </w:tcPr>
          <w:p w14:paraId="3DC670A5" w14:textId="5160A790" w:rsidR="00625A08" w:rsidRPr="00494B9E" w:rsidRDefault="00625A08" w:rsidP="00302960">
            <w:bookmarkStart w:id="65" w:name="_Toc504129324"/>
            <w:bookmarkStart w:id="66" w:name="_Toc504394384"/>
            <w:bookmarkStart w:id="67" w:name="_Toc516826063"/>
            <w:r w:rsidRPr="00494B9E">
              <w:t xml:space="preserve">Implementation </w:t>
            </w:r>
            <w:bookmarkEnd w:id="65"/>
            <w:bookmarkEnd w:id="66"/>
            <w:bookmarkEnd w:id="67"/>
          </w:p>
        </w:tc>
        <w:tc>
          <w:tcPr>
            <w:tcW w:w="3969" w:type="dxa"/>
          </w:tcPr>
          <w:p w14:paraId="00DC3E9D" w14:textId="2654B465" w:rsidR="00625A08" w:rsidRPr="00494B9E" w:rsidRDefault="00625A08" w:rsidP="002908D8">
            <w:r>
              <w:t>1</w:t>
            </w:r>
            <w:r w:rsidRPr="00625A08">
              <w:rPr>
                <w:vertAlign w:val="superscript"/>
              </w:rPr>
              <w:t>st</w:t>
            </w:r>
            <w:r w:rsidR="002908D8">
              <w:t xml:space="preserve"> June</w:t>
            </w:r>
            <w:r>
              <w:t xml:space="preserve"> 2019</w:t>
            </w:r>
          </w:p>
        </w:tc>
      </w:tr>
    </w:tbl>
    <w:p w14:paraId="3FD4BD80" w14:textId="77777777" w:rsidR="001424A6" w:rsidRDefault="001424A6" w:rsidP="00494B9E"/>
    <w:p w14:paraId="25956B99" w14:textId="77777777" w:rsidR="0068004E" w:rsidRPr="00494B9E" w:rsidRDefault="0068004E" w:rsidP="00494B9E"/>
    <w:p w14:paraId="5F76B994" w14:textId="65710FA6" w:rsidR="009B75EA" w:rsidRPr="00494B9E" w:rsidRDefault="009B75EA" w:rsidP="00494B9E">
      <w:pPr>
        <w:pStyle w:val="AHeading2"/>
      </w:pPr>
      <w:bookmarkStart w:id="68" w:name="_Toc4147453"/>
      <w:r w:rsidRPr="00494B9E">
        <w:t xml:space="preserve">AWARD / </w:t>
      </w:r>
      <w:r w:rsidR="00625A08">
        <w:t>ACCEPTANCE ON TO THE DPS</w:t>
      </w:r>
      <w:bookmarkEnd w:id="68"/>
    </w:p>
    <w:p w14:paraId="7DBB12A5" w14:textId="77777777" w:rsidR="00A64E70" w:rsidRDefault="00A64E70" w:rsidP="00A64E70">
      <w:pPr>
        <w:pStyle w:val="ANumberedText"/>
      </w:pPr>
      <w:r w:rsidRPr="00E02A87">
        <w:t xml:space="preserve">The Authority will notify successful Providers (via the </w:t>
      </w:r>
      <w:proofErr w:type="spellStart"/>
      <w:r w:rsidRPr="00E02A87">
        <w:t>ProContract</w:t>
      </w:r>
      <w:proofErr w:type="spellEnd"/>
      <w:r w:rsidRPr="00E02A87">
        <w:t xml:space="preserve"> messaging facility) of its intention to admit them on to the DPS following the Application process.</w:t>
      </w:r>
    </w:p>
    <w:p w14:paraId="04173D35" w14:textId="77777777" w:rsidR="00447D9A" w:rsidRPr="00E02A87" w:rsidRDefault="00447D9A" w:rsidP="00447D9A">
      <w:pPr>
        <w:pStyle w:val="ANumberedText"/>
        <w:numPr>
          <w:ilvl w:val="0"/>
          <w:numId w:val="0"/>
        </w:numPr>
        <w:ind w:left="851"/>
      </w:pPr>
    </w:p>
    <w:p w14:paraId="73AF6C49" w14:textId="0A93C2A5" w:rsidR="00705090" w:rsidRPr="002745AE" w:rsidRDefault="00400C73" w:rsidP="00705090">
      <w:pPr>
        <w:pStyle w:val="AAppendix"/>
      </w:pPr>
      <w:bookmarkStart w:id="69" w:name="_Toc4147454"/>
      <w:r w:rsidRPr="002745AE">
        <w:t>CONDITIONS OF CONTRACT</w:t>
      </w:r>
      <w:r w:rsidR="00447D9A">
        <w:t xml:space="preserve"> (GP)</w:t>
      </w:r>
      <w:bookmarkEnd w:id="69"/>
    </w:p>
    <w:p w14:paraId="7D2B4FE1" w14:textId="77777777" w:rsidR="00705090" w:rsidRPr="00494B9E" w:rsidRDefault="00705090" w:rsidP="00494B9E"/>
    <w:p w14:paraId="5B2BE128" w14:textId="0FB68E65" w:rsidR="00447D9A" w:rsidRPr="00494B9E" w:rsidRDefault="009B75EA" w:rsidP="00447D9A">
      <w:r w:rsidRPr="00494B9E">
        <w:t xml:space="preserve">Please refer to separate attachment on the </w:t>
      </w:r>
      <w:r w:rsidR="00A9156B" w:rsidRPr="00494B9E">
        <w:t>Procurement</w:t>
      </w:r>
      <w:r w:rsidRPr="00494B9E">
        <w:t xml:space="preserve"> Portal </w:t>
      </w:r>
      <w:r w:rsidR="005C3BB6" w:rsidRPr="00494B9E">
        <w:t>(</w:t>
      </w:r>
      <w:proofErr w:type="spellStart"/>
      <w:r w:rsidR="00383504" w:rsidRPr="00494B9E">
        <w:t>ProContract</w:t>
      </w:r>
      <w:proofErr w:type="spellEnd"/>
      <w:r w:rsidR="00447D9A">
        <w:t>).</w:t>
      </w:r>
    </w:p>
    <w:p w14:paraId="3D69AF39" w14:textId="619EE3BE" w:rsidR="009B75EA" w:rsidRDefault="009B75EA" w:rsidP="00494B9E"/>
    <w:p w14:paraId="66CE29C8" w14:textId="6621BA89" w:rsidR="00447D9A" w:rsidRPr="002745AE" w:rsidRDefault="00447D9A" w:rsidP="00447D9A">
      <w:pPr>
        <w:pStyle w:val="AAppendix"/>
      </w:pPr>
      <w:bookmarkStart w:id="70" w:name="_Toc4147455"/>
      <w:r w:rsidRPr="002745AE">
        <w:t>CONDITIONS OF CONTRACT</w:t>
      </w:r>
      <w:r>
        <w:t xml:space="preserve"> (Pharmacies)</w:t>
      </w:r>
      <w:bookmarkEnd w:id="70"/>
    </w:p>
    <w:p w14:paraId="0E25C3DD" w14:textId="77777777" w:rsidR="00447D9A" w:rsidRPr="00494B9E" w:rsidRDefault="00447D9A" w:rsidP="00447D9A"/>
    <w:p w14:paraId="59D79F78" w14:textId="69817994" w:rsidR="00447D9A" w:rsidRPr="00494B9E" w:rsidRDefault="00447D9A" w:rsidP="00447D9A">
      <w:r w:rsidRPr="00494B9E">
        <w:t>Please refer to separate attachment on the Procurement Portal (</w:t>
      </w:r>
      <w:proofErr w:type="spellStart"/>
      <w:r w:rsidRPr="00494B9E">
        <w:t>ProContract</w:t>
      </w:r>
      <w:proofErr w:type="spellEnd"/>
      <w:r>
        <w:t>).</w:t>
      </w:r>
    </w:p>
    <w:p w14:paraId="6AB96E6D" w14:textId="77777777" w:rsidR="00447D9A" w:rsidRPr="00494B9E" w:rsidRDefault="00447D9A" w:rsidP="00494B9E"/>
    <w:sectPr w:rsidR="00447D9A" w:rsidRPr="00494B9E" w:rsidSect="001864A2">
      <w:headerReference w:type="default" r:id="rId14"/>
      <w:headerReference w:type="first" r:id="rId15"/>
      <w:footerReference w:type="first" r:id="rId16"/>
      <w:pgSz w:w="12240" w:h="15840"/>
      <w:pgMar w:top="1843" w:right="144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F21DE" w14:textId="77777777" w:rsidR="003F7399" w:rsidRDefault="003F7399">
      <w:pPr>
        <w:spacing w:after="0"/>
      </w:pPr>
      <w:r>
        <w:separator/>
      </w:r>
    </w:p>
  </w:endnote>
  <w:endnote w:type="continuationSeparator" w:id="0">
    <w:p w14:paraId="20F46EB5" w14:textId="77777777" w:rsidR="003F7399" w:rsidRDefault="003F7399">
      <w:pPr>
        <w:spacing w:after="0"/>
      </w:pPr>
      <w:r>
        <w:continuationSeparator/>
      </w:r>
    </w:p>
  </w:endnote>
  <w:endnote w:type="continuationNotice" w:id="1">
    <w:p w14:paraId="4BA04FD8" w14:textId="77777777" w:rsidR="003F7399" w:rsidRDefault="003F739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390942"/>
      <w:docPartObj>
        <w:docPartGallery w:val="Page Numbers (Bottom of Page)"/>
        <w:docPartUnique/>
      </w:docPartObj>
    </w:sdtPr>
    <w:sdtEndPr>
      <w:rPr>
        <w:noProof/>
      </w:rPr>
    </w:sdtEndPr>
    <w:sdtContent>
      <w:p w14:paraId="45479356" w14:textId="23DB30AA" w:rsidR="003F7399" w:rsidRDefault="00B21987">
        <w:pPr>
          <w:pStyle w:val="Footer"/>
          <w:jc w:val="center"/>
        </w:pPr>
      </w:p>
    </w:sdtContent>
  </w:sdt>
  <w:p w14:paraId="1178864A" w14:textId="5D026A2E" w:rsidR="003F7399" w:rsidRDefault="003F7399" w:rsidP="00D56BFD">
    <w:pPr>
      <w:tabs>
        <w:tab w:val="center" w:pos="497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E1D8E" w14:textId="77777777" w:rsidR="003F7399" w:rsidRDefault="003F7399">
      <w:pPr>
        <w:spacing w:after="0"/>
      </w:pPr>
      <w:r>
        <w:separator/>
      </w:r>
    </w:p>
  </w:footnote>
  <w:footnote w:type="continuationSeparator" w:id="0">
    <w:p w14:paraId="55A8CA3B" w14:textId="77777777" w:rsidR="003F7399" w:rsidRDefault="003F7399">
      <w:pPr>
        <w:spacing w:after="0"/>
      </w:pPr>
      <w:r>
        <w:continuationSeparator/>
      </w:r>
    </w:p>
  </w:footnote>
  <w:footnote w:type="continuationNotice" w:id="1">
    <w:p w14:paraId="401DA822" w14:textId="77777777" w:rsidR="003F7399" w:rsidRDefault="003F739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77538" w14:textId="770AB237" w:rsidR="00C46D75" w:rsidRDefault="00C46D75" w:rsidP="00C46D75">
    <w:pPr>
      <w:pStyle w:val="Header"/>
      <w:jc w:val="right"/>
    </w:pPr>
    <w:r>
      <w:rPr>
        <w:noProof/>
      </w:rPr>
      <w:drawing>
        <wp:inline distT="0" distB="0" distL="0" distR="0" wp14:anchorId="7063E376" wp14:editId="431A0CE5">
          <wp:extent cx="2041274" cy="667516"/>
          <wp:effectExtent l="0" t="0" r="0"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8475" cy="69603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12AB" w14:textId="23B5EE24" w:rsidR="00C46D75" w:rsidRDefault="00C46D75" w:rsidP="00C46D75">
    <w:pPr>
      <w:pStyle w:val="Header"/>
      <w:jc w:val="right"/>
    </w:pPr>
    <w:r>
      <w:rPr>
        <w:noProof/>
      </w:rPr>
      <w:drawing>
        <wp:inline distT="0" distB="0" distL="0" distR="0" wp14:anchorId="52F41030" wp14:editId="2673C30D">
          <wp:extent cx="2041274" cy="667516"/>
          <wp:effectExtent l="0" t="0" r="0"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8475" cy="6960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726E2"/>
    <w:multiLevelType w:val="hybridMultilevel"/>
    <w:tmpl w:val="D836307E"/>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1" w15:restartNumberingAfterBreak="0">
    <w:nsid w:val="1914405C"/>
    <w:multiLevelType w:val="hybridMultilevel"/>
    <w:tmpl w:val="903489EE"/>
    <w:lvl w:ilvl="0" w:tplc="EC16A42E">
      <w:start w:val="1"/>
      <w:numFmt w:val="bullet"/>
      <w:lvlText w:val=""/>
      <w:lvlJc w:val="left"/>
      <w:pPr>
        <w:ind w:left="720" w:hanging="360"/>
      </w:pPr>
      <w:rPr>
        <w:rFonts w:ascii="Wingdings" w:hAnsi="Wingdings" w:hint="default"/>
        <w:color w:val="00A3E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E42C18"/>
    <w:multiLevelType w:val="hybridMultilevel"/>
    <w:tmpl w:val="6ACA55E0"/>
    <w:lvl w:ilvl="0" w:tplc="829C2846">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925EC3"/>
    <w:multiLevelType w:val="hybridMultilevel"/>
    <w:tmpl w:val="3A66C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B14AA9"/>
    <w:multiLevelType w:val="multilevel"/>
    <w:tmpl w:val="4FD0641E"/>
    <w:lvl w:ilvl="0">
      <w:start w:val="1"/>
      <w:numFmt w:val="decimal"/>
      <w:pStyle w:val="AHeading1"/>
      <w:suff w:val="space"/>
      <w:lvlText w:val="SECTION %1 -"/>
      <w:lvlJc w:val="left"/>
      <w:pPr>
        <w:ind w:left="360" w:hanging="360"/>
      </w:pPr>
      <w:rPr>
        <w:rFonts w:hint="default"/>
      </w:rPr>
    </w:lvl>
    <w:lvl w:ilvl="1">
      <w:start w:val="1"/>
      <w:numFmt w:val="decimal"/>
      <w:pStyle w:val="AHeading2"/>
      <w:lvlText w:val="%1.%2."/>
      <w:lvlJc w:val="left"/>
      <w:pPr>
        <w:ind w:left="792" w:hanging="432"/>
      </w:pPr>
      <w:rPr>
        <w:rFonts w:hint="default"/>
      </w:rPr>
    </w:lvl>
    <w:lvl w:ilvl="2">
      <w:start w:val="1"/>
      <w:numFmt w:val="decimal"/>
      <w:pStyle w:val="ANumberedText"/>
      <w:lvlText w:val="%1.%2.%3."/>
      <w:lvlJc w:val="left"/>
      <w:pPr>
        <w:ind w:left="1497" w:hanging="504"/>
      </w:pPr>
      <w:rPr>
        <w:rFonts w:hint="default"/>
        <w:color w:val="auto"/>
      </w:rPr>
    </w:lvl>
    <w:lvl w:ilvl="3">
      <w:start w:val="1"/>
      <w:numFmt w:val="decimal"/>
      <w:pStyle w:val="ANumberedText2"/>
      <w:lvlText w:val="%1.%2.%3.%4."/>
      <w:lvlJc w:val="left"/>
      <w:pPr>
        <w:ind w:left="206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1406678"/>
    <w:multiLevelType w:val="multilevel"/>
    <w:tmpl w:val="ED403D7C"/>
    <w:lvl w:ilvl="0">
      <w:start w:val="1"/>
      <w:numFmt w:val="decimal"/>
      <w:pStyle w:val="Heading1"/>
      <w:suff w:val="space"/>
      <w:lvlText w:val="APPENDIX %1:"/>
      <w:lvlJc w:val="left"/>
      <w:pPr>
        <w:ind w:left="360" w:hanging="360"/>
      </w:pPr>
      <w:rPr>
        <w:rFonts w:hint="default"/>
      </w:rPr>
    </w:lvl>
    <w:lvl w:ilvl="1">
      <w:start w:val="1"/>
      <w:numFmt w:val="upperLetter"/>
      <w:pStyle w:val="Heading2"/>
      <w:suff w:val="space"/>
      <w:lvlText w:val="PART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6722BAD"/>
    <w:multiLevelType w:val="hybridMultilevel"/>
    <w:tmpl w:val="83666780"/>
    <w:lvl w:ilvl="0" w:tplc="EC16A42E">
      <w:start w:val="1"/>
      <w:numFmt w:val="bullet"/>
      <w:lvlText w:val=""/>
      <w:lvlJc w:val="left"/>
      <w:pPr>
        <w:ind w:left="2160" w:hanging="360"/>
      </w:pPr>
      <w:rPr>
        <w:rFonts w:ascii="Wingdings" w:hAnsi="Wingdings" w:hint="default"/>
        <w:color w:val="00A3E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611A7E17"/>
    <w:multiLevelType w:val="hybridMultilevel"/>
    <w:tmpl w:val="F3A819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60D458E"/>
    <w:multiLevelType w:val="hybridMultilevel"/>
    <w:tmpl w:val="5426958A"/>
    <w:lvl w:ilvl="0" w:tplc="EC16A42E">
      <w:start w:val="1"/>
      <w:numFmt w:val="bullet"/>
      <w:lvlText w:val=""/>
      <w:lvlJc w:val="left"/>
      <w:pPr>
        <w:ind w:left="720" w:hanging="360"/>
      </w:pPr>
      <w:rPr>
        <w:rFonts w:ascii="Wingdings" w:hAnsi="Wingdings" w:hint="default"/>
        <w:color w:val="00A3E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F52C0F"/>
    <w:multiLevelType w:val="hybridMultilevel"/>
    <w:tmpl w:val="E21AA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B135B7"/>
    <w:multiLevelType w:val="hybridMultilevel"/>
    <w:tmpl w:val="D51C1836"/>
    <w:lvl w:ilvl="0" w:tplc="24E02E5A">
      <w:start w:val="1"/>
      <w:numFmt w:val="bullet"/>
      <w:pStyle w:val="ListParagraph"/>
      <w:lvlText w:val=""/>
      <w:lvlJc w:val="left"/>
      <w:pPr>
        <w:ind w:left="720" w:hanging="360"/>
      </w:pPr>
      <w:rPr>
        <w:rFonts w:ascii="Wingdings" w:hAnsi="Wingdings" w:hint="default"/>
        <w:color w:val="00A3E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151FB5"/>
    <w:multiLevelType w:val="hybridMultilevel"/>
    <w:tmpl w:val="32740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6C3534"/>
    <w:multiLevelType w:val="hybridMultilevel"/>
    <w:tmpl w:val="93C449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E27C88"/>
    <w:multiLevelType w:val="hybridMultilevel"/>
    <w:tmpl w:val="8000E7BA"/>
    <w:lvl w:ilvl="0" w:tplc="EC16A42E">
      <w:start w:val="1"/>
      <w:numFmt w:val="bullet"/>
      <w:lvlText w:val=""/>
      <w:lvlJc w:val="left"/>
      <w:pPr>
        <w:ind w:left="720" w:hanging="360"/>
      </w:pPr>
      <w:rPr>
        <w:rFonts w:ascii="Wingdings" w:hAnsi="Wingdings" w:hint="default"/>
        <w:color w:val="00A3E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3"/>
  </w:num>
  <w:num w:numId="4">
    <w:abstractNumId w:val="6"/>
  </w:num>
  <w:num w:numId="5">
    <w:abstractNumId w:val="8"/>
  </w:num>
  <w:num w:numId="6">
    <w:abstractNumId w:val="0"/>
  </w:num>
  <w:num w:numId="7">
    <w:abstractNumId w:val="7"/>
  </w:num>
  <w:num w:numId="8">
    <w:abstractNumId w:val="2"/>
  </w:num>
  <w:num w:numId="9">
    <w:abstractNumId w:val="11"/>
  </w:num>
  <w:num w:numId="10">
    <w:abstractNumId w:val="3"/>
  </w:num>
  <w:num w:numId="11">
    <w:abstractNumId w:val="9"/>
  </w:num>
  <w:num w:numId="12">
    <w:abstractNumId w:val="10"/>
  </w:num>
  <w:num w:numId="13">
    <w:abstractNumId w:val="1"/>
  </w:num>
  <w:num w:numId="1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DateAndTime/>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80225" fill="f" fillcolor="none [3212]" stroke="f">
      <v:fill color="none [3212]" on="f"/>
      <v:stroke on="f"/>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CFA"/>
    <w:rsid w:val="00002DD8"/>
    <w:rsid w:val="00004DB2"/>
    <w:rsid w:val="00006B25"/>
    <w:rsid w:val="00015216"/>
    <w:rsid w:val="00016B03"/>
    <w:rsid w:val="00017C7C"/>
    <w:rsid w:val="00020E1D"/>
    <w:rsid w:val="00022DBB"/>
    <w:rsid w:val="00022F21"/>
    <w:rsid w:val="00023C8A"/>
    <w:rsid w:val="00023F2F"/>
    <w:rsid w:val="00024195"/>
    <w:rsid w:val="00024F43"/>
    <w:rsid w:val="00027B74"/>
    <w:rsid w:val="00027EAD"/>
    <w:rsid w:val="00035069"/>
    <w:rsid w:val="000365BE"/>
    <w:rsid w:val="000401BC"/>
    <w:rsid w:val="00045914"/>
    <w:rsid w:val="00046180"/>
    <w:rsid w:val="000472D1"/>
    <w:rsid w:val="00053BF2"/>
    <w:rsid w:val="00055E5E"/>
    <w:rsid w:val="00056A4D"/>
    <w:rsid w:val="00056B8A"/>
    <w:rsid w:val="00060870"/>
    <w:rsid w:val="0006423B"/>
    <w:rsid w:val="00064400"/>
    <w:rsid w:val="0006449E"/>
    <w:rsid w:val="000702D7"/>
    <w:rsid w:val="000763F3"/>
    <w:rsid w:val="00082634"/>
    <w:rsid w:val="00087794"/>
    <w:rsid w:val="00087C79"/>
    <w:rsid w:val="000976CA"/>
    <w:rsid w:val="00097BA8"/>
    <w:rsid w:val="000A0999"/>
    <w:rsid w:val="000A13CF"/>
    <w:rsid w:val="000B1091"/>
    <w:rsid w:val="000B1F7A"/>
    <w:rsid w:val="000B4D48"/>
    <w:rsid w:val="000C1F7A"/>
    <w:rsid w:val="000C5BBE"/>
    <w:rsid w:val="000D3341"/>
    <w:rsid w:val="000D4EE9"/>
    <w:rsid w:val="000E4DA8"/>
    <w:rsid w:val="000E60B9"/>
    <w:rsid w:val="000F3D90"/>
    <w:rsid w:val="000F5139"/>
    <w:rsid w:val="00104367"/>
    <w:rsid w:val="00110E0B"/>
    <w:rsid w:val="00111BD5"/>
    <w:rsid w:val="00113685"/>
    <w:rsid w:val="00115768"/>
    <w:rsid w:val="00117A20"/>
    <w:rsid w:val="00122B69"/>
    <w:rsid w:val="0012537F"/>
    <w:rsid w:val="00135D72"/>
    <w:rsid w:val="001422E6"/>
    <w:rsid w:val="001424A6"/>
    <w:rsid w:val="001471E6"/>
    <w:rsid w:val="001513DB"/>
    <w:rsid w:val="001535F7"/>
    <w:rsid w:val="00157D10"/>
    <w:rsid w:val="001628B2"/>
    <w:rsid w:val="001638EB"/>
    <w:rsid w:val="00170180"/>
    <w:rsid w:val="00171695"/>
    <w:rsid w:val="00172CC5"/>
    <w:rsid w:val="00174EF4"/>
    <w:rsid w:val="001769BB"/>
    <w:rsid w:val="00183487"/>
    <w:rsid w:val="00184DAC"/>
    <w:rsid w:val="001864A2"/>
    <w:rsid w:val="00186CAA"/>
    <w:rsid w:val="00187221"/>
    <w:rsid w:val="00190C62"/>
    <w:rsid w:val="0019351B"/>
    <w:rsid w:val="001A0D64"/>
    <w:rsid w:val="001A1BDB"/>
    <w:rsid w:val="001B1B90"/>
    <w:rsid w:val="001B5BEF"/>
    <w:rsid w:val="001B791B"/>
    <w:rsid w:val="001C20E7"/>
    <w:rsid w:val="001D3BAE"/>
    <w:rsid w:val="001D5EEB"/>
    <w:rsid w:val="001E265B"/>
    <w:rsid w:val="001E534F"/>
    <w:rsid w:val="001F139D"/>
    <w:rsid w:val="001F46C7"/>
    <w:rsid w:val="00200123"/>
    <w:rsid w:val="0021099F"/>
    <w:rsid w:val="00211F74"/>
    <w:rsid w:val="00212589"/>
    <w:rsid w:val="0021320F"/>
    <w:rsid w:val="00222B5E"/>
    <w:rsid w:val="00224C68"/>
    <w:rsid w:val="00225652"/>
    <w:rsid w:val="00237B35"/>
    <w:rsid w:val="00237E69"/>
    <w:rsid w:val="00245E49"/>
    <w:rsid w:val="00246BB7"/>
    <w:rsid w:val="002517C2"/>
    <w:rsid w:val="002517F8"/>
    <w:rsid w:val="00254D28"/>
    <w:rsid w:val="0025716E"/>
    <w:rsid w:val="00261888"/>
    <w:rsid w:val="002620EE"/>
    <w:rsid w:val="002631A5"/>
    <w:rsid w:val="00263ECB"/>
    <w:rsid w:val="0027394C"/>
    <w:rsid w:val="002745AE"/>
    <w:rsid w:val="002813A7"/>
    <w:rsid w:val="002876C8"/>
    <w:rsid w:val="00290257"/>
    <w:rsid w:val="002908D8"/>
    <w:rsid w:val="002969F8"/>
    <w:rsid w:val="002A154C"/>
    <w:rsid w:val="002A272B"/>
    <w:rsid w:val="002B62FD"/>
    <w:rsid w:val="002C1E5A"/>
    <w:rsid w:val="002C51E8"/>
    <w:rsid w:val="002C747E"/>
    <w:rsid w:val="002D78AD"/>
    <w:rsid w:val="002D7B7F"/>
    <w:rsid w:val="002D7CFA"/>
    <w:rsid w:val="002F1223"/>
    <w:rsid w:val="002F2B2F"/>
    <w:rsid w:val="002F345F"/>
    <w:rsid w:val="002F6672"/>
    <w:rsid w:val="00302960"/>
    <w:rsid w:val="00303997"/>
    <w:rsid w:val="003069FE"/>
    <w:rsid w:val="003117D4"/>
    <w:rsid w:val="003146ED"/>
    <w:rsid w:val="003170FF"/>
    <w:rsid w:val="00322BA1"/>
    <w:rsid w:val="003261BB"/>
    <w:rsid w:val="00326BE9"/>
    <w:rsid w:val="0032706E"/>
    <w:rsid w:val="0033300A"/>
    <w:rsid w:val="00340F5D"/>
    <w:rsid w:val="00352719"/>
    <w:rsid w:val="0036207F"/>
    <w:rsid w:val="00363882"/>
    <w:rsid w:val="00363F85"/>
    <w:rsid w:val="0037070B"/>
    <w:rsid w:val="003746A8"/>
    <w:rsid w:val="00376B8B"/>
    <w:rsid w:val="00383504"/>
    <w:rsid w:val="003914C9"/>
    <w:rsid w:val="00393026"/>
    <w:rsid w:val="00394E94"/>
    <w:rsid w:val="00395609"/>
    <w:rsid w:val="00397343"/>
    <w:rsid w:val="003A0256"/>
    <w:rsid w:val="003A2A0B"/>
    <w:rsid w:val="003A48D6"/>
    <w:rsid w:val="003A4C3A"/>
    <w:rsid w:val="003A741F"/>
    <w:rsid w:val="003A7FC4"/>
    <w:rsid w:val="003B5F16"/>
    <w:rsid w:val="003C4891"/>
    <w:rsid w:val="003D3A15"/>
    <w:rsid w:val="003D43B5"/>
    <w:rsid w:val="003D73F8"/>
    <w:rsid w:val="003E2233"/>
    <w:rsid w:val="003E2D96"/>
    <w:rsid w:val="003E666D"/>
    <w:rsid w:val="003E71B8"/>
    <w:rsid w:val="003F29C3"/>
    <w:rsid w:val="003F7399"/>
    <w:rsid w:val="003F74D3"/>
    <w:rsid w:val="003F7667"/>
    <w:rsid w:val="003F7EDD"/>
    <w:rsid w:val="00400ADD"/>
    <w:rsid w:val="00400C73"/>
    <w:rsid w:val="004057BF"/>
    <w:rsid w:val="004104DB"/>
    <w:rsid w:val="00410DEF"/>
    <w:rsid w:val="004232C9"/>
    <w:rsid w:val="00424423"/>
    <w:rsid w:val="00427415"/>
    <w:rsid w:val="00427B7C"/>
    <w:rsid w:val="00430DE0"/>
    <w:rsid w:val="00433421"/>
    <w:rsid w:val="00437753"/>
    <w:rsid w:val="004379FC"/>
    <w:rsid w:val="00442D5E"/>
    <w:rsid w:val="00447155"/>
    <w:rsid w:val="00447D9A"/>
    <w:rsid w:val="004539FF"/>
    <w:rsid w:val="004608AC"/>
    <w:rsid w:val="00463D37"/>
    <w:rsid w:val="004728C1"/>
    <w:rsid w:val="004738B1"/>
    <w:rsid w:val="00474096"/>
    <w:rsid w:val="004749C7"/>
    <w:rsid w:val="004750D4"/>
    <w:rsid w:val="00475876"/>
    <w:rsid w:val="00476D30"/>
    <w:rsid w:val="00483ABC"/>
    <w:rsid w:val="004844D0"/>
    <w:rsid w:val="00486BC0"/>
    <w:rsid w:val="00493177"/>
    <w:rsid w:val="00494B9E"/>
    <w:rsid w:val="00495FAB"/>
    <w:rsid w:val="0049699A"/>
    <w:rsid w:val="0049799B"/>
    <w:rsid w:val="004A366E"/>
    <w:rsid w:val="004A40AD"/>
    <w:rsid w:val="004A58D5"/>
    <w:rsid w:val="004B1F99"/>
    <w:rsid w:val="004B29B4"/>
    <w:rsid w:val="004B3E4E"/>
    <w:rsid w:val="004B3F91"/>
    <w:rsid w:val="004B55BD"/>
    <w:rsid w:val="004B73F0"/>
    <w:rsid w:val="004C492E"/>
    <w:rsid w:val="004C4BF7"/>
    <w:rsid w:val="004C635D"/>
    <w:rsid w:val="004C74F1"/>
    <w:rsid w:val="004C78E0"/>
    <w:rsid w:val="004D7B3D"/>
    <w:rsid w:val="004E141D"/>
    <w:rsid w:val="004F3FB8"/>
    <w:rsid w:val="004F458A"/>
    <w:rsid w:val="00501B3B"/>
    <w:rsid w:val="005020E2"/>
    <w:rsid w:val="005036B8"/>
    <w:rsid w:val="00505FDA"/>
    <w:rsid w:val="005065FD"/>
    <w:rsid w:val="00510708"/>
    <w:rsid w:val="005143B6"/>
    <w:rsid w:val="005144E5"/>
    <w:rsid w:val="0051614A"/>
    <w:rsid w:val="00516D4D"/>
    <w:rsid w:val="00520AC4"/>
    <w:rsid w:val="005212AF"/>
    <w:rsid w:val="00522050"/>
    <w:rsid w:val="00524D2D"/>
    <w:rsid w:val="00532892"/>
    <w:rsid w:val="005338C7"/>
    <w:rsid w:val="005434EA"/>
    <w:rsid w:val="00546E6C"/>
    <w:rsid w:val="00547B59"/>
    <w:rsid w:val="00550374"/>
    <w:rsid w:val="005531D6"/>
    <w:rsid w:val="00553E5E"/>
    <w:rsid w:val="005574DE"/>
    <w:rsid w:val="00561EA6"/>
    <w:rsid w:val="00562FF9"/>
    <w:rsid w:val="00581BCC"/>
    <w:rsid w:val="00590615"/>
    <w:rsid w:val="005908D7"/>
    <w:rsid w:val="00594CD1"/>
    <w:rsid w:val="00595125"/>
    <w:rsid w:val="00595BDE"/>
    <w:rsid w:val="00596D27"/>
    <w:rsid w:val="005970D3"/>
    <w:rsid w:val="005A5546"/>
    <w:rsid w:val="005B24DB"/>
    <w:rsid w:val="005B40A3"/>
    <w:rsid w:val="005C3BB6"/>
    <w:rsid w:val="005C585E"/>
    <w:rsid w:val="005C6A3F"/>
    <w:rsid w:val="005C7942"/>
    <w:rsid w:val="005D0B66"/>
    <w:rsid w:val="005D6049"/>
    <w:rsid w:val="005E1376"/>
    <w:rsid w:val="005E3D77"/>
    <w:rsid w:val="005E5272"/>
    <w:rsid w:val="005F5B1D"/>
    <w:rsid w:val="005F6C00"/>
    <w:rsid w:val="00601C2A"/>
    <w:rsid w:val="0060318B"/>
    <w:rsid w:val="006031BB"/>
    <w:rsid w:val="006103D8"/>
    <w:rsid w:val="00610688"/>
    <w:rsid w:val="00613BAC"/>
    <w:rsid w:val="006214EA"/>
    <w:rsid w:val="006216D6"/>
    <w:rsid w:val="00621B94"/>
    <w:rsid w:val="00624399"/>
    <w:rsid w:val="006253DD"/>
    <w:rsid w:val="00625A08"/>
    <w:rsid w:val="006344E9"/>
    <w:rsid w:val="006434DB"/>
    <w:rsid w:val="00644B6F"/>
    <w:rsid w:val="00652043"/>
    <w:rsid w:val="00656BE8"/>
    <w:rsid w:val="00656CE3"/>
    <w:rsid w:val="00657720"/>
    <w:rsid w:val="00661203"/>
    <w:rsid w:val="00661BAF"/>
    <w:rsid w:val="00663605"/>
    <w:rsid w:val="00665F4A"/>
    <w:rsid w:val="00666920"/>
    <w:rsid w:val="00670484"/>
    <w:rsid w:val="00670C1F"/>
    <w:rsid w:val="00672597"/>
    <w:rsid w:val="006730A5"/>
    <w:rsid w:val="006731FB"/>
    <w:rsid w:val="0068004E"/>
    <w:rsid w:val="006801A0"/>
    <w:rsid w:val="00681E5C"/>
    <w:rsid w:val="00683464"/>
    <w:rsid w:val="00683BA3"/>
    <w:rsid w:val="0069114B"/>
    <w:rsid w:val="0069117A"/>
    <w:rsid w:val="00695D05"/>
    <w:rsid w:val="00696289"/>
    <w:rsid w:val="006977B7"/>
    <w:rsid w:val="006A1444"/>
    <w:rsid w:val="006A4AEE"/>
    <w:rsid w:val="006A58CF"/>
    <w:rsid w:val="006B0479"/>
    <w:rsid w:val="006B350C"/>
    <w:rsid w:val="006B6729"/>
    <w:rsid w:val="006C009D"/>
    <w:rsid w:val="006C11EE"/>
    <w:rsid w:val="006C1EBC"/>
    <w:rsid w:val="006D5796"/>
    <w:rsid w:val="006E02E1"/>
    <w:rsid w:val="006E2035"/>
    <w:rsid w:val="006E3F97"/>
    <w:rsid w:val="00705090"/>
    <w:rsid w:val="007051AB"/>
    <w:rsid w:val="00706757"/>
    <w:rsid w:val="007127FB"/>
    <w:rsid w:val="007146F5"/>
    <w:rsid w:val="007147EA"/>
    <w:rsid w:val="00720DD0"/>
    <w:rsid w:val="00720E4E"/>
    <w:rsid w:val="007218BD"/>
    <w:rsid w:val="00722D90"/>
    <w:rsid w:val="0072748F"/>
    <w:rsid w:val="00731B6D"/>
    <w:rsid w:val="007470DE"/>
    <w:rsid w:val="00754380"/>
    <w:rsid w:val="0075553B"/>
    <w:rsid w:val="00755EA0"/>
    <w:rsid w:val="00763F6D"/>
    <w:rsid w:val="0076451A"/>
    <w:rsid w:val="00770CC7"/>
    <w:rsid w:val="00772EEE"/>
    <w:rsid w:val="00773EC7"/>
    <w:rsid w:val="007864D9"/>
    <w:rsid w:val="0079098F"/>
    <w:rsid w:val="00790D00"/>
    <w:rsid w:val="00792480"/>
    <w:rsid w:val="007931B2"/>
    <w:rsid w:val="00794FBC"/>
    <w:rsid w:val="00796821"/>
    <w:rsid w:val="007B05C5"/>
    <w:rsid w:val="007B38A6"/>
    <w:rsid w:val="007C2CF1"/>
    <w:rsid w:val="007C6B10"/>
    <w:rsid w:val="007D0B0F"/>
    <w:rsid w:val="007D6443"/>
    <w:rsid w:val="007E0925"/>
    <w:rsid w:val="007E17F3"/>
    <w:rsid w:val="007F2506"/>
    <w:rsid w:val="007F3E37"/>
    <w:rsid w:val="007F7446"/>
    <w:rsid w:val="00800033"/>
    <w:rsid w:val="0080152C"/>
    <w:rsid w:val="00802347"/>
    <w:rsid w:val="00804953"/>
    <w:rsid w:val="00805DE1"/>
    <w:rsid w:val="00811745"/>
    <w:rsid w:val="00811AE3"/>
    <w:rsid w:val="008161A1"/>
    <w:rsid w:val="008206A7"/>
    <w:rsid w:val="008230DF"/>
    <w:rsid w:val="00824C63"/>
    <w:rsid w:val="0082543A"/>
    <w:rsid w:val="00826FE3"/>
    <w:rsid w:val="00833BB3"/>
    <w:rsid w:val="00842659"/>
    <w:rsid w:val="008466D7"/>
    <w:rsid w:val="00850B6D"/>
    <w:rsid w:val="00853837"/>
    <w:rsid w:val="00854038"/>
    <w:rsid w:val="00857678"/>
    <w:rsid w:val="00860356"/>
    <w:rsid w:val="00860363"/>
    <w:rsid w:val="00862316"/>
    <w:rsid w:val="00862F92"/>
    <w:rsid w:val="0087306E"/>
    <w:rsid w:val="00874C2A"/>
    <w:rsid w:val="008826E5"/>
    <w:rsid w:val="008831F9"/>
    <w:rsid w:val="00892091"/>
    <w:rsid w:val="00894C80"/>
    <w:rsid w:val="008A187A"/>
    <w:rsid w:val="008A79FB"/>
    <w:rsid w:val="008B1FF2"/>
    <w:rsid w:val="008C547A"/>
    <w:rsid w:val="008D12F3"/>
    <w:rsid w:val="008D3B50"/>
    <w:rsid w:val="008D5C9C"/>
    <w:rsid w:val="008E16B5"/>
    <w:rsid w:val="008E3A6E"/>
    <w:rsid w:val="008E692C"/>
    <w:rsid w:val="008F16DA"/>
    <w:rsid w:val="008F64AA"/>
    <w:rsid w:val="0090302C"/>
    <w:rsid w:val="00904236"/>
    <w:rsid w:val="00910B77"/>
    <w:rsid w:val="009121D4"/>
    <w:rsid w:val="009144B7"/>
    <w:rsid w:val="009144ED"/>
    <w:rsid w:val="00914A35"/>
    <w:rsid w:val="00916E9C"/>
    <w:rsid w:val="00917283"/>
    <w:rsid w:val="00925A29"/>
    <w:rsid w:val="00931D5E"/>
    <w:rsid w:val="009479EB"/>
    <w:rsid w:val="00952D2C"/>
    <w:rsid w:val="009557BF"/>
    <w:rsid w:val="00961FBB"/>
    <w:rsid w:val="00962B3A"/>
    <w:rsid w:val="009632DB"/>
    <w:rsid w:val="0096403C"/>
    <w:rsid w:val="0096665E"/>
    <w:rsid w:val="009749F3"/>
    <w:rsid w:val="009775C6"/>
    <w:rsid w:val="0098045C"/>
    <w:rsid w:val="0098164C"/>
    <w:rsid w:val="009953BE"/>
    <w:rsid w:val="00995775"/>
    <w:rsid w:val="009A1657"/>
    <w:rsid w:val="009A189B"/>
    <w:rsid w:val="009B1EA3"/>
    <w:rsid w:val="009B22D5"/>
    <w:rsid w:val="009B39CD"/>
    <w:rsid w:val="009B405B"/>
    <w:rsid w:val="009B75EA"/>
    <w:rsid w:val="009B7D70"/>
    <w:rsid w:val="009C66B4"/>
    <w:rsid w:val="009C7652"/>
    <w:rsid w:val="009D42A5"/>
    <w:rsid w:val="009D632D"/>
    <w:rsid w:val="009E0963"/>
    <w:rsid w:val="009E12E5"/>
    <w:rsid w:val="009E1F85"/>
    <w:rsid w:val="009E6AD8"/>
    <w:rsid w:val="009E723B"/>
    <w:rsid w:val="009E7A10"/>
    <w:rsid w:val="00A0216F"/>
    <w:rsid w:val="00A0295E"/>
    <w:rsid w:val="00A05EB9"/>
    <w:rsid w:val="00A17158"/>
    <w:rsid w:val="00A23746"/>
    <w:rsid w:val="00A269C7"/>
    <w:rsid w:val="00A35DA6"/>
    <w:rsid w:val="00A3609B"/>
    <w:rsid w:val="00A40263"/>
    <w:rsid w:val="00A40F67"/>
    <w:rsid w:val="00A46848"/>
    <w:rsid w:val="00A50A84"/>
    <w:rsid w:val="00A52F5F"/>
    <w:rsid w:val="00A53CD6"/>
    <w:rsid w:val="00A5491D"/>
    <w:rsid w:val="00A55453"/>
    <w:rsid w:val="00A567C7"/>
    <w:rsid w:val="00A579FE"/>
    <w:rsid w:val="00A60A42"/>
    <w:rsid w:val="00A61362"/>
    <w:rsid w:val="00A6152A"/>
    <w:rsid w:val="00A61933"/>
    <w:rsid w:val="00A64E70"/>
    <w:rsid w:val="00A65A82"/>
    <w:rsid w:val="00A66F98"/>
    <w:rsid w:val="00A70E0B"/>
    <w:rsid w:val="00A7215F"/>
    <w:rsid w:val="00A8182E"/>
    <w:rsid w:val="00A84C65"/>
    <w:rsid w:val="00A86FDA"/>
    <w:rsid w:val="00A9156B"/>
    <w:rsid w:val="00A93D51"/>
    <w:rsid w:val="00A94B4E"/>
    <w:rsid w:val="00A95AE1"/>
    <w:rsid w:val="00AA03E3"/>
    <w:rsid w:val="00AA0B02"/>
    <w:rsid w:val="00AA2401"/>
    <w:rsid w:val="00AA61DD"/>
    <w:rsid w:val="00AA7F80"/>
    <w:rsid w:val="00AB0050"/>
    <w:rsid w:val="00AC019F"/>
    <w:rsid w:val="00AC55FC"/>
    <w:rsid w:val="00AC5801"/>
    <w:rsid w:val="00AD1882"/>
    <w:rsid w:val="00AD3BE9"/>
    <w:rsid w:val="00AD3E0B"/>
    <w:rsid w:val="00AD4B6C"/>
    <w:rsid w:val="00AD6CF5"/>
    <w:rsid w:val="00AE096A"/>
    <w:rsid w:val="00AE29ED"/>
    <w:rsid w:val="00AE357B"/>
    <w:rsid w:val="00AE4D09"/>
    <w:rsid w:val="00AF106B"/>
    <w:rsid w:val="00AF54D0"/>
    <w:rsid w:val="00AF5AFC"/>
    <w:rsid w:val="00AF7724"/>
    <w:rsid w:val="00AF7F86"/>
    <w:rsid w:val="00B027CE"/>
    <w:rsid w:val="00B04CBB"/>
    <w:rsid w:val="00B077E0"/>
    <w:rsid w:val="00B156C6"/>
    <w:rsid w:val="00B15788"/>
    <w:rsid w:val="00B21987"/>
    <w:rsid w:val="00B220FC"/>
    <w:rsid w:val="00B23F1B"/>
    <w:rsid w:val="00B240F3"/>
    <w:rsid w:val="00B25C30"/>
    <w:rsid w:val="00B27F6E"/>
    <w:rsid w:val="00B30F63"/>
    <w:rsid w:val="00B33A3E"/>
    <w:rsid w:val="00B35BD8"/>
    <w:rsid w:val="00B56C33"/>
    <w:rsid w:val="00B57CA7"/>
    <w:rsid w:val="00B601B3"/>
    <w:rsid w:val="00B607B6"/>
    <w:rsid w:val="00B6359E"/>
    <w:rsid w:val="00B70AD3"/>
    <w:rsid w:val="00B732DA"/>
    <w:rsid w:val="00B742EF"/>
    <w:rsid w:val="00B77AC4"/>
    <w:rsid w:val="00B8761F"/>
    <w:rsid w:val="00B900B1"/>
    <w:rsid w:val="00B9097A"/>
    <w:rsid w:val="00B90A47"/>
    <w:rsid w:val="00BA025A"/>
    <w:rsid w:val="00BA0661"/>
    <w:rsid w:val="00BA189E"/>
    <w:rsid w:val="00BA3000"/>
    <w:rsid w:val="00BA61A9"/>
    <w:rsid w:val="00BA75D8"/>
    <w:rsid w:val="00BB2494"/>
    <w:rsid w:val="00BB54F9"/>
    <w:rsid w:val="00BB6EFD"/>
    <w:rsid w:val="00BC6CF7"/>
    <w:rsid w:val="00BC6D71"/>
    <w:rsid w:val="00BD1E37"/>
    <w:rsid w:val="00BD64B6"/>
    <w:rsid w:val="00BD7875"/>
    <w:rsid w:val="00BE0A09"/>
    <w:rsid w:val="00BE1122"/>
    <w:rsid w:val="00BE1506"/>
    <w:rsid w:val="00BE2DDA"/>
    <w:rsid w:val="00BE4E98"/>
    <w:rsid w:val="00BE6560"/>
    <w:rsid w:val="00BE680B"/>
    <w:rsid w:val="00BF0DF9"/>
    <w:rsid w:val="00BF19E9"/>
    <w:rsid w:val="00BF6400"/>
    <w:rsid w:val="00BF79B1"/>
    <w:rsid w:val="00BF7E08"/>
    <w:rsid w:val="00C1447B"/>
    <w:rsid w:val="00C2132A"/>
    <w:rsid w:val="00C33D5F"/>
    <w:rsid w:val="00C356C4"/>
    <w:rsid w:val="00C35CCC"/>
    <w:rsid w:val="00C46D75"/>
    <w:rsid w:val="00C54204"/>
    <w:rsid w:val="00C553F3"/>
    <w:rsid w:val="00C55B9B"/>
    <w:rsid w:val="00C65F0A"/>
    <w:rsid w:val="00C7190C"/>
    <w:rsid w:val="00C72152"/>
    <w:rsid w:val="00C72172"/>
    <w:rsid w:val="00C72C90"/>
    <w:rsid w:val="00C76B46"/>
    <w:rsid w:val="00C83CFA"/>
    <w:rsid w:val="00C925E6"/>
    <w:rsid w:val="00CA7EA8"/>
    <w:rsid w:val="00CB7872"/>
    <w:rsid w:val="00CC31D9"/>
    <w:rsid w:val="00CC56A5"/>
    <w:rsid w:val="00CD0879"/>
    <w:rsid w:val="00CD1335"/>
    <w:rsid w:val="00CD2BFA"/>
    <w:rsid w:val="00CD7CC8"/>
    <w:rsid w:val="00CE44F6"/>
    <w:rsid w:val="00CE57D2"/>
    <w:rsid w:val="00CE5DBF"/>
    <w:rsid w:val="00CE6097"/>
    <w:rsid w:val="00CE6D8F"/>
    <w:rsid w:val="00CF2837"/>
    <w:rsid w:val="00CF7723"/>
    <w:rsid w:val="00D01E75"/>
    <w:rsid w:val="00D029A0"/>
    <w:rsid w:val="00D04B16"/>
    <w:rsid w:val="00D052A3"/>
    <w:rsid w:val="00D0793B"/>
    <w:rsid w:val="00D1254F"/>
    <w:rsid w:val="00D1651B"/>
    <w:rsid w:val="00D16D6D"/>
    <w:rsid w:val="00D16F0B"/>
    <w:rsid w:val="00D174B6"/>
    <w:rsid w:val="00D17A2F"/>
    <w:rsid w:val="00D25305"/>
    <w:rsid w:val="00D300D9"/>
    <w:rsid w:val="00D34481"/>
    <w:rsid w:val="00D373F3"/>
    <w:rsid w:val="00D4436C"/>
    <w:rsid w:val="00D522A8"/>
    <w:rsid w:val="00D524DE"/>
    <w:rsid w:val="00D56203"/>
    <w:rsid w:val="00D56BFD"/>
    <w:rsid w:val="00D65CD1"/>
    <w:rsid w:val="00D713F9"/>
    <w:rsid w:val="00D76A4B"/>
    <w:rsid w:val="00D96716"/>
    <w:rsid w:val="00DA16C5"/>
    <w:rsid w:val="00DA2EF0"/>
    <w:rsid w:val="00DA601D"/>
    <w:rsid w:val="00DB3464"/>
    <w:rsid w:val="00DC202B"/>
    <w:rsid w:val="00DD1456"/>
    <w:rsid w:val="00DD356D"/>
    <w:rsid w:val="00DD3F2C"/>
    <w:rsid w:val="00DD5190"/>
    <w:rsid w:val="00DE0D72"/>
    <w:rsid w:val="00DE3DE6"/>
    <w:rsid w:val="00DE6506"/>
    <w:rsid w:val="00DF041F"/>
    <w:rsid w:val="00DF0C11"/>
    <w:rsid w:val="00DF7CA2"/>
    <w:rsid w:val="00E02905"/>
    <w:rsid w:val="00E03D7E"/>
    <w:rsid w:val="00E044A4"/>
    <w:rsid w:val="00E04C80"/>
    <w:rsid w:val="00E106CE"/>
    <w:rsid w:val="00E201B7"/>
    <w:rsid w:val="00E20669"/>
    <w:rsid w:val="00E336C3"/>
    <w:rsid w:val="00E3389A"/>
    <w:rsid w:val="00E3525F"/>
    <w:rsid w:val="00E36ADA"/>
    <w:rsid w:val="00E37622"/>
    <w:rsid w:val="00E43554"/>
    <w:rsid w:val="00E507DF"/>
    <w:rsid w:val="00E57A64"/>
    <w:rsid w:val="00E67CBF"/>
    <w:rsid w:val="00E728EB"/>
    <w:rsid w:val="00E833E9"/>
    <w:rsid w:val="00E83DF7"/>
    <w:rsid w:val="00E84041"/>
    <w:rsid w:val="00E92F83"/>
    <w:rsid w:val="00E938B2"/>
    <w:rsid w:val="00E955F3"/>
    <w:rsid w:val="00E96691"/>
    <w:rsid w:val="00EA1502"/>
    <w:rsid w:val="00EA23D8"/>
    <w:rsid w:val="00EA250D"/>
    <w:rsid w:val="00EA7A50"/>
    <w:rsid w:val="00EB1F94"/>
    <w:rsid w:val="00EC10CF"/>
    <w:rsid w:val="00EC2466"/>
    <w:rsid w:val="00EC25A7"/>
    <w:rsid w:val="00ED3BDB"/>
    <w:rsid w:val="00ED5F41"/>
    <w:rsid w:val="00ED6F6E"/>
    <w:rsid w:val="00EE0A1E"/>
    <w:rsid w:val="00EE49EE"/>
    <w:rsid w:val="00EE7626"/>
    <w:rsid w:val="00EF0365"/>
    <w:rsid w:val="00EF0AB4"/>
    <w:rsid w:val="00EF1818"/>
    <w:rsid w:val="00F029D5"/>
    <w:rsid w:val="00F06D1D"/>
    <w:rsid w:val="00F070EB"/>
    <w:rsid w:val="00F1069B"/>
    <w:rsid w:val="00F14477"/>
    <w:rsid w:val="00F20547"/>
    <w:rsid w:val="00F2228F"/>
    <w:rsid w:val="00F22A48"/>
    <w:rsid w:val="00F22EE3"/>
    <w:rsid w:val="00F23C98"/>
    <w:rsid w:val="00F2660E"/>
    <w:rsid w:val="00F301B3"/>
    <w:rsid w:val="00F31115"/>
    <w:rsid w:val="00F314CF"/>
    <w:rsid w:val="00F3497A"/>
    <w:rsid w:val="00F47165"/>
    <w:rsid w:val="00F5124B"/>
    <w:rsid w:val="00F5621B"/>
    <w:rsid w:val="00F5689F"/>
    <w:rsid w:val="00F56C93"/>
    <w:rsid w:val="00F62328"/>
    <w:rsid w:val="00F62839"/>
    <w:rsid w:val="00F66EB9"/>
    <w:rsid w:val="00F7104C"/>
    <w:rsid w:val="00F724DD"/>
    <w:rsid w:val="00F74508"/>
    <w:rsid w:val="00F745C2"/>
    <w:rsid w:val="00F81094"/>
    <w:rsid w:val="00F82158"/>
    <w:rsid w:val="00F82CED"/>
    <w:rsid w:val="00F86DE1"/>
    <w:rsid w:val="00F90601"/>
    <w:rsid w:val="00F9682C"/>
    <w:rsid w:val="00F96D48"/>
    <w:rsid w:val="00F97E26"/>
    <w:rsid w:val="00FA0395"/>
    <w:rsid w:val="00FA405B"/>
    <w:rsid w:val="00FA5E51"/>
    <w:rsid w:val="00FA6A72"/>
    <w:rsid w:val="00FB22A5"/>
    <w:rsid w:val="00FB26EF"/>
    <w:rsid w:val="00FB510A"/>
    <w:rsid w:val="00FC376C"/>
    <w:rsid w:val="00FD01E1"/>
    <w:rsid w:val="00FD0AB8"/>
    <w:rsid w:val="00FD7F28"/>
    <w:rsid w:val="00FE0ADE"/>
    <w:rsid w:val="00FE2377"/>
    <w:rsid w:val="00FE3803"/>
    <w:rsid w:val="00FE4A83"/>
    <w:rsid w:val="00FF484F"/>
    <w:rsid w:val="00FF4E9E"/>
    <w:rsid w:val="00FF5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0225" fill="f" fillcolor="none [3212]" stroke="f">
      <v:fill color="none [3212]" on="f"/>
      <v:stroke on="f"/>
    </o:shapedefaults>
    <o:shapelayout v:ext="edit">
      <o:idmap v:ext="edit" data="1"/>
    </o:shapelayout>
  </w:shapeDefaults>
  <w:decimalSymbol w:val="."/>
  <w:listSeparator w:val=","/>
  <w14:docId w14:val="0CA719CC"/>
  <w15:docId w15:val="{14CD89BF-CB70-4C6C-B352-51B76738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5AE"/>
    <w:pPr>
      <w:spacing w:after="120" w:line="240" w:lineRule="auto"/>
      <w:jc w:val="both"/>
    </w:pPr>
    <w:rPr>
      <w:rFonts w:ascii="Calibri" w:hAnsi="Calibri"/>
      <w:sz w:val="24"/>
      <w:lang w:val="en-GB"/>
    </w:rPr>
  </w:style>
  <w:style w:type="paragraph" w:styleId="Heading1">
    <w:name w:val="heading 1"/>
    <w:basedOn w:val="Normal"/>
    <w:next w:val="Normal"/>
    <w:link w:val="Heading1Char"/>
    <w:uiPriority w:val="99"/>
    <w:rsid w:val="004379FC"/>
    <w:pPr>
      <w:keepNext/>
      <w:keepLines/>
      <w:numPr>
        <w:numId w:val="1"/>
      </w:numPr>
      <w:spacing w:before="480" w:after="0"/>
      <w:jc w:val="center"/>
      <w:outlineLvl w:val="0"/>
    </w:pPr>
    <w:rPr>
      <w:rFonts w:eastAsiaTheme="majorEastAsia" w:cstheme="majorBidi"/>
      <w:b/>
      <w:bCs/>
      <w:caps/>
      <w:color w:val="00A3E0"/>
      <w:sz w:val="32"/>
      <w:szCs w:val="28"/>
    </w:rPr>
  </w:style>
  <w:style w:type="paragraph" w:styleId="Heading2">
    <w:name w:val="heading 2"/>
    <w:basedOn w:val="Normal"/>
    <w:next w:val="Normal"/>
    <w:link w:val="Heading2Char"/>
    <w:uiPriority w:val="9"/>
    <w:unhideWhenUsed/>
    <w:qFormat/>
    <w:rsid w:val="005143B6"/>
    <w:pPr>
      <w:keepNext/>
      <w:keepLines/>
      <w:numPr>
        <w:ilvl w:val="1"/>
        <w:numId w:val="1"/>
      </w:numPr>
      <w:spacing w:before="200" w:after="0"/>
      <w:outlineLvl w:val="1"/>
    </w:pPr>
    <w:rPr>
      <w:rFonts w:asciiTheme="majorHAnsi" w:eastAsiaTheme="majorEastAsia" w:hAnsiTheme="majorHAnsi" w:cstheme="majorBidi"/>
      <w:b/>
      <w:bCs/>
      <w:color w:val="7A7A7A" w:themeColor="accent1"/>
      <w:sz w:val="26"/>
      <w:szCs w:val="26"/>
    </w:rPr>
  </w:style>
  <w:style w:type="paragraph" w:styleId="Heading3">
    <w:name w:val="heading 3"/>
    <w:basedOn w:val="Normal"/>
    <w:next w:val="Normal"/>
    <w:link w:val="Heading3Char"/>
    <w:uiPriority w:val="9"/>
    <w:semiHidden/>
    <w:unhideWhenUsed/>
    <w:qFormat/>
    <w:rsid w:val="005143B6"/>
    <w:pPr>
      <w:keepNext/>
      <w:keepLines/>
      <w:spacing w:before="60" w:after="0"/>
      <w:outlineLvl w:val="2"/>
    </w:pPr>
    <w:rPr>
      <w:rFonts w:eastAsiaTheme="majorEastAsia" w:cstheme="majorBidi"/>
      <w:b/>
      <w:bCs/>
      <w:caps/>
      <w:color w:val="D1282E" w:themeColor="text2"/>
    </w:rPr>
  </w:style>
  <w:style w:type="paragraph" w:styleId="Heading4">
    <w:name w:val="heading 4"/>
    <w:basedOn w:val="Normal"/>
    <w:next w:val="Normal"/>
    <w:link w:val="Heading4Char"/>
    <w:uiPriority w:val="9"/>
    <w:semiHidden/>
    <w:unhideWhenUsed/>
    <w:qFormat/>
    <w:rsid w:val="005143B6"/>
    <w:pPr>
      <w:keepNext/>
      <w:keepLines/>
      <w:spacing w:before="200" w:after="0"/>
      <w:outlineLvl w:val="3"/>
    </w:pPr>
    <w:rPr>
      <w:rFonts w:asciiTheme="majorHAnsi" w:eastAsiaTheme="majorEastAsia" w:hAnsiTheme="majorHAnsi" w:cstheme="majorBidi"/>
      <w:bCs/>
      <w:i/>
      <w:iCs/>
      <w:color w:val="7A7A7A" w:themeColor="accent1"/>
    </w:rPr>
  </w:style>
  <w:style w:type="paragraph" w:styleId="Heading5">
    <w:name w:val="heading 5"/>
    <w:basedOn w:val="Normal"/>
    <w:next w:val="Normal"/>
    <w:link w:val="Heading5Char"/>
    <w:uiPriority w:val="9"/>
    <w:semiHidden/>
    <w:unhideWhenUsed/>
    <w:qFormat/>
    <w:rsid w:val="005143B6"/>
    <w:pPr>
      <w:keepNext/>
      <w:keepLines/>
      <w:spacing w:before="200" w:after="0"/>
      <w:outlineLvl w:val="4"/>
    </w:pPr>
    <w:rPr>
      <w:rFonts w:eastAsiaTheme="majorEastAsia" w:cstheme="majorBidi"/>
      <w:b/>
      <w:color w:val="5B5B5B" w:themeColor="accent1" w:themeShade="BF"/>
    </w:rPr>
  </w:style>
  <w:style w:type="paragraph" w:styleId="Heading6">
    <w:name w:val="heading 6"/>
    <w:basedOn w:val="Normal"/>
    <w:next w:val="Normal"/>
    <w:link w:val="Heading6Char"/>
    <w:uiPriority w:val="9"/>
    <w:semiHidden/>
    <w:unhideWhenUsed/>
    <w:qFormat/>
    <w:rsid w:val="005143B6"/>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Heading7">
    <w:name w:val="heading 7"/>
    <w:basedOn w:val="Normal"/>
    <w:next w:val="Normal"/>
    <w:link w:val="Heading7Char"/>
    <w:uiPriority w:val="9"/>
    <w:semiHidden/>
    <w:unhideWhenUsed/>
    <w:qFormat/>
    <w:rsid w:val="005143B6"/>
    <w:pPr>
      <w:keepNext/>
      <w:keepLines/>
      <w:spacing w:before="200" w:after="0"/>
      <w:outlineLvl w:val="6"/>
    </w:pPr>
    <w:rPr>
      <w:rFonts w:eastAsiaTheme="majorEastAsia" w:cstheme="majorBidi"/>
      <w:b/>
      <w:iCs/>
      <w:color w:val="D1282E" w:themeColor="text2"/>
    </w:rPr>
  </w:style>
  <w:style w:type="paragraph" w:styleId="Heading8">
    <w:name w:val="heading 8"/>
    <w:basedOn w:val="Normal"/>
    <w:next w:val="Normal"/>
    <w:link w:val="Heading8Char"/>
    <w:uiPriority w:val="9"/>
    <w:semiHidden/>
    <w:unhideWhenUsed/>
    <w:qFormat/>
    <w:rsid w:val="005143B6"/>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Heading9">
    <w:name w:val="heading 9"/>
    <w:basedOn w:val="Normal"/>
    <w:next w:val="Normal"/>
    <w:link w:val="Heading9Char"/>
    <w:uiPriority w:val="9"/>
    <w:semiHidden/>
    <w:unhideWhenUsed/>
    <w:qFormat/>
    <w:rsid w:val="005143B6"/>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379FC"/>
    <w:rPr>
      <w:rFonts w:ascii="Calibri" w:eastAsiaTheme="majorEastAsia" w:hAnsi="Calibri" w:cstheme="majorBidi"/>
      <w:b/>
      <w:bCs/>
      <w:caps/>
      <w:color w:val="00A3E0"/>
      <w:sz w:val="32"/>
      <w:szCs w:val="28"/>
      <w:lang w:val="en-GB"/>
    </w:rPr>
  </w:style>
  <w:style w:type="character" w:customStyle="1" w:styleId="Heading2Char">
    <w:name w:val="Heading 2 Char"/>
    <w:basedOn w:val="DefaultParagraphFont"/>
    <w:link w:val="Heading2"/>
    <w:uiPriority w:val="9"/>
    <w:rsid w:val="005143B6"/>
    <w:rPr>
      <w:rFonts w:asciiTheme="majorHAnsi" w:eastAsiaTheme="majorEastAsia" w:hAnsiTheme="majorHAnsi" w:cstheme="majorBidi"/>
      <w:b/>
      <w:bCs/>
      <w:color w:val="7A7A7A" w:themeColor="accent1"/>
      <w:sz w:val="26"/>
      <w:szCs w:val="26"/>
      <w:lang w:val="en-GB"/>
    </w:rPr>
  </w:style>
  <w:style w:type="character" w:customStyle="1" w:styleId="Heading3Char">
    <w:name w:val="Heading 3 Char"/>
    <w:basedOn w:val="DefaultParagraphFont"/>
    <w:link w:val="Heading3"/>
    <w:uiPriority w:val="9"/>
    <w:semiHidden/>
    <w:rsid w:val="005143B6"/>
    <w:rPr>
      <w:rFonts w:eastAsiaTheme="majorEastAsia" w:cstheme="majorBidi"/>
      <w:b/>
      <w:bCs/>
      <w:caps/>
      <w:color w:val="D1282E" w:themeColor="text2"/>
    </w:rPr>
  </w:style>
  <w:style w:type="character" w:customStyle="1" w:styleId="Heading4Char">
    <w:name w:val="Heading 4 Char"/>
    <w:basedOn w:val="DefaultParagraphFont"/>
    <w:link w:val="Heading4"/>
    <w:uiPriority w:val="9"/>
    <w:semiHidden/>
    <w:rsid w:val="005143B6"/>
    <w:rPr>
      <w:rFonts w:asciiTheme="majorHAnsi" w:eastAsiaTheme="majorEastAsia" w:hAnsiTheme="majorHAnsi" w:cstheme="majorBidi"/>
      <w:bCs/>
      <w:i/>
      <w:iCs/>
      <w:color w:val="7A7A7A" w:themeColor="accent1"/>
    </w:rPr>
  </w:style>
  <w:style w:type="character" w:customStyle="1" w:styleId="Heading5Char">
    <w:name w:val="Heading 5 Char"/>
    <w:basedOn w:val="DefaultParagraphFont"/>
    <w:link w:val="Heading5"/>
    <w:uiPriority w:val="9"/>
    <w:semiHidden/>
    <w:rsid w:val="005143B6"/>
    <w:rPr>
      <w:rFonts w:eastAsiaTheme="majorEastAsia" w:cstheme="majorBidi"/>
      <w:b/>
      <w:color w:val="5B5B5B" w:themeColor="accent1" w:themeShade="BF"/>
    </w:rPr>
  </w:style>
  <w:style w:type="character" w:customStyle="1" w:styleId="Heading6Char">
    <w:name w:val="Heading 6 Char"/>
    <w:basedOn w:val="DefaultParagraphFont"/>
    <w:link w:val="Heading6"/>
    <w:uiPriority w:val="9"/>
    <w:semiHidden/>
    <w:rsid w:val="005143B6"/>
    <w:rPr>
      <w:rFonts w:asciiTheme="majorHAnsi" w:eastAsiaTheme="majorEastAsia" w:hAnsiTheme="majorHAnsi" w:cstheme="majorBidi"/>
      <w:i/>
      <w:iCs/>
      <w:color w:val="5B5B5B" w:themeColor="accent1" w:themeShade="BF"/>
    </w:rPr>
  </w:style>
  <w:style w:type="character" w:customStyle="1" w:styleId="Heading7Char">
    <w:name w:val="Heading 7 Char"/>
    <w:basedOn w:val="DefaultParagraphFont"/>
    <w:link w:val="Heading7"/>
    <w:uiPriority w:val="9"/>
    <w:semiHidden/>
    <w:rsid w:val="005143B6"/>
    <w:rPr>
      <w:rFonts w:eastAsiaTheme="majorEastAsia" w:cstheme="majorBidi"/>
      <w:b/>
      <w:iCs/>
      <w:color w:val="D1282E" w:themeColor="text2"/>
    </w:rPr>
  </w:style>
  <w:style w:type="character" w:customStyle="1" w:styleId="Heading8Char">
    <w:name w:val="Heading 8 Char"/>
    <w:basedOn w:val="DefaultParagraphFont"/>
    <w:link w:val="Heading8"/>
    <w:uiPriority w:val="9"/>
    <w:semiHidden/>
    <w:rsid w:val="005143B6"/>
    <w:rPr>
      <w:rFonts w:asciiTheme="majorHAnsi" w:eastAsiaTheme="majorEastAsia" w:hAnsiTheme="majorHAnsi" w:cstheme="majorBidi"/>
      <w:color w:val="7A7A7A" w:themeColor="accent1"/>
      <w:sz w:val="20"/>
      <w:szCs w:val="20"/>
    </w:rPr>
  </w:style>
  <w:style w:type="character" w:customStyle="1" w:styleId="Heading9Char">
    <w:name w:val="Heading 9 Char"/>
    <w:basedOn w:val="DefaultParagraphFont"/>
    <w:link w:val="Heading9"/>
    <w:uiPriority w:val="9"/>
    <w:semiHidden/>
    <w:rsid w:val="005143B6"/>
    <w:rPr>
      <w:rFonts w:asciiTheme="majorHAnsi" w:eastAsiaTheme="majorEastAsia" w:hAnsiTheme="majorHAnsi" w:cstheme="majorBidi"/>
      <w:i/>
      <w:iCs/>
      <w:color w:val="5B5B5B" w:themeColor="accent1" w:themeShade="BF"/>
      <w:sz w:val="20"/>
      <w:szCs w:val="20"/>
    </w:rPr>
  </w:style>
  <w:style w:type="character" w:styleId="Strong">
    <w:name w:val="Strong"/>
    <w:basedOn w:val="DefaultParagraphFont"/>
    <w:uiPriority w:val="22"/>
    <w:qFormat/>
    <w:rsid w:val="005143B6"/>
    <w:rPr>
      <w:b/>
      <w:bCs/>
    </w:rPr>
  </w:style>
  <w:style w:type="paragraph" w:styleId="ListParagraph">
    <w:name w:val="List Paragraph"/>
    <w:basedOn w:val="Normal"/>
    <w:uiPriority w:val="34"/>
    <w:qFormat/>
    <w:rsid w:val="00F62839"/>
    <w:pPr>
      <w:numPr>
        <w:numId w:val="12"/>
      </w:numPr>
      <w:ind w:left="1134" w:hanging="283"/>
      <w:contextualSpacing/>
    </w:pPr>
  </w:style>
  <w:style w:type="paragraph" w:styleId="TOCHeading">
    <w:name w:val="TOC Heading"/>
    <w:basedOn w:val="Heading1"/>
    <w:next w:val="Normal"/>
    <w:uiPriority w:val="39"/>
    <w:unhideWhenUsed/>
    <w:qFormat/>
    <w:rsid w:val="00672597"/>
    <w:pPr>
      <w:numPr>
        <w:numId w:val="0"/>
      </w:numPr>
      <w:outlineLvl w:val="9"/>
    </w:pPr>
  </w:style>
  <w:style w:type="paragraph" w:styleId="BalloonText">
    <w:name w:val="Balloon Text"/>
    <w:basedOn w:val="Normal"/>
    <w:link w:val="BalloonTextChar"/>
    <w:uiPriority w:val="99"/>
    <w:semiHidden/>
    <w:unhideWhenUsed/>
    <w:rsid w:val="005143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3B6"/>
    <w:rPr>
      <w:rFonts w:ascii="Tahoma" w:hAnsi="Tahoma" w:cs="Tahoma"/>
      <w:sz w:val="16"/>
      <w:szCs w:val="16"/>
    </w:rPr>
  </w:style>
  <w:style w:type="character" w:styleId="Hyperlink">
    <w:name w:val="Hyperlink"/>
    <w:basedOn w:val="DefaultParagraphFont"/>
    <w:uiPriority w:val="99"/>
    <w:unhideWhenUsed/>
    <w:rsid w:val="00AE096A"/>
    <w:rPr>
      <w:rFonts w:ascii="Calibri" w:hAnsi="Calibri" w:cs="Times New Roman" w:hint="default"/>
      <w:color w:val="0000FF"/>
      <w:u w:val="single"/>
    </w:rPr>
  </w:style>
  <w:style w:type="paragraph" w:styleId="BodyText">
    <w:name w:val="Body Text"/>
    <w:basedOn w:val="Normal"/>
    <w:link w:val="BodyTextChar"/>
    <w:uiPriority w:val="99"/>
    <w:semiHidden/>
    <w:unhideWhenUsed/>
    <w:rsid w:val="009B75EA"/>
    <w:pPr>
      <w:spacing w:after="0"/>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semiHidden/>
    <w:rsid w:val="009B75EA"/>
    <w:rPr>
      <w:rFonts w:ascii="Times New Roman" w:eastAsia="Times New Roman" w:hAnsi="Times New Roman" w:cs="Times New Roman"/>
      <w:sz w:val="24"/>
      <w:szCs w:val="20"/>
      <w:lang w:val="en-GB"/>
    </w:rPr>
  </w:style>
  <w:style w:type="paragraph" w:styleId="BodyText3">
    <w:name w:val="Body Text 3"/>
    <w:basedOn w:val="Normal"/>
    <w:link w:val="BodyText3Char"/>
    <w:uiPriority w:val="99"/>
    <w:semiHidden/>
    <w:unhideWhenUsed/>
    <w:rsid w:val="009B75EA"/>
    <w:pPr>
      <w:spacing w:after="0"/>
    </w:pPr>
    <w:rPr>
      <w:rFonts w:ascii="Arial" w:eastAsia="Times New Roman" w:hAnsi="Arial" w:cs="Times New Roman"/>
      <w:szCs w:val="20"/>
    </w:rPr>
  </w:style>
  <w:style w:type="character" w:customStyle="1" w:styleId="BodyText3Char">
    <w:name w:val="Body Text 3 Char"/>
    <w:basedOn w:val="DefaultParagraphFont"/>
    <w:link w:val="BodyText3"/>
    <w:uiPriority w:val="99"/>
    <w:semiHidden/>
    <w:rsid w:val="009B75EA"/>
    <w:rPr>
      <w:rFonts w:ascii="Arial" w:eastAsia="Times New Roman" w:hAnsi="Arial" w:cs="Times New Roman"/>
      <w:szCs w:val="20"/>
      <w:lang w:val="en-GB"/>
    </w:rPr>
  </w:style>
  <w:style w:type="paragraph" w:styleId="BodyTextIndent2">
    <w:name w:val="Body Text Indent 2"/>
    <w:basedOn w:val="Normal"/>
    <w:link w:val="BodyTextIndent2Char"/>
    <w:uiPriority w:val="99"/>
    <w:semiHidden/>
    <w:unhideWhenUsed/>
    <w:rsid w:val="009B75EA"/>
    <w:pPr>
      <w:spacing w:after="0"/>
      <w:ind w:left="720" w:hanging="720"/>
    </w:pPr>
    <w:rPr>
      <w:rFonts w:ascii="Arial" w:eastAsia="Times New Roman" w:hAnsi="Arial" w:cs="Arial"/>
      <w:szCs w:val="20"/>
    </w:rPr>
  </w:style>
  <w:style w:type="character" w:customStyle="1" w:styleId="BodyTextIndent2Char">
    <w:name w:val="Body Text Indent 2 Char"/>
    <w:basedOn w:val="DefaultParagraphFont"/>
    <w:link w:val="BodyTextIndent2"/>
    <w:uiPriority w:val="99"/>
    <w:semiHidden/>
    <w:rsid w:val="009B75EA"/>
    <w:rPr>
      <w:rFonts w:ascii="Arial" w:eastAsia="Times New Roman" w:hAnsi="Arial" w:cs="Arial"/>
      <w:sz w:val="24"/>
      <w:szCs w:val="20"/>
      <w:lang w:val="en-GB"/>
    </w:rPr>
  </w:style>
  <w:style w:type="paragraph" w:customStyle="1" w:styleId="StyleHeading120pt">
    <w:name w:val="Style Heading 1 + 20 pt"/>
    <w:basedOn w:val="Heading1"/>
    <w:uiPriority w:val="99"/>
    <w:rsid w:val="009B75EA"/>
    <w:pPr>
      <w:keepLines w:val="0"/>
      <w:overflowPunct w:val="0"/>
      <w:autoSpaceDE w:val="0"/>
      <w:autoSpaceDN w:val="0"/>
      <w:adjustRightInd w:val="0"/>
      <w:spacing w:before="0" w:after="440"/>
      <w:ind w:left="431" w:hanging="431"/>
    </w:pPr>
    <w:rPr>
      <w:rFonts w:ascii="Arial" w:eastAsia="Times New Roman" w:hAnsi="Arial" w:cs="Times New Roman"/>
      <w:b w:val="0"/>
      <w:caps w:val="0"/>
      <w:noProof/>
      <w:color w:val="566BBA"/>
      <w:szCs w:val="12"/>
    </w:rPr>
  </w:style>
  <w:style w:type="table" w:customStyle="1" w:styleId="GridTable6Colorful-Accent31">
    <w:name w:val="Grid Table 6 Colorful - Accent 31"/>
    <w:basedOn w:val="TableNormal"/>
    <w:uiPriority w:val="51"/>
    <w:rsid w:val="00400C73"/>
    <w:pPr>
      <w:spacing w:after="0" w:line="240" w:lineRule="auto"/>
    </w:pPr>
    <w:rPr>
      <w:color w:val="3C5184" w:themeColor="accent3" w:themeShade="BF"/>
    </w:rPr>
    <w:tblPr>
      <w:tblStyleRowBandSize w:val="1"/>
      <w:tblStyleColBandSize w:val="1"/>
      <w:tblBorders>
        <w:top w:val="single" w:sz="4" w:space="0" w:color="97A7CF" w:themeColor="accent3" w:themeTint="99"/>
        <w:left w:val="single" w:sz="4" w:space="0" w:color="97A7CF" w:themeColor="accent3" w:themeTint="99"/>
        <w:bottom w:val="single" w:sz="4" w:space="0" w:color="97A7CF" w:themeColor="accent3" w:themeTint="99"/>
        <w:right w:val="single" w:sz="4" w:space="0" w:color="97A7CF" w:themeColor="accent3" w:themeTint="99"/>
        <w:insideH w:val="single" w:sz="4" w:space="0" w:color="97A7CF" w:themeColor="accent3" w:themeTint="99"/>
        <w:insideV w:val="single" w:sz="4" w:space="0" w:color="97A7CF" w:themeColor="accent3" w:themeTint="99"/>
      </w:tblBorders>
    </w:tblPr>
    <w:tblStylePr w:type="firstRow">
      <w:rPr>
        <w:b/>
        <w:bCs/>
      </w:rPr>
      <w:tblPr/>
      <w:tcPr>
        <w:tcBorders>
          <w:bottom w:val="single" w:sz="12" w:space="0" w:color="97A7CF" w:themeColor="accent3" w:themeTint="99"/>
        </w:tcBorders>
      </w:tcPr>
    </w:tblStylePr>
    <w:tblStylePr w:type="lastRow">
      <w:rPr>
        <w:b/>
        <w:bCs/>
      </w:rPr>
      <w:tblPr/>
      <w:tcPr>
        <w:tcBorders>
          <w:top w:val="double" w:sz="4" w:space="0" w:color="97A7CF" w:themeColor="accent3" w:themeTint="99"/>
        </w:tcBorders>
      </w:tcPr>
    </w:tblStylePr>
    <w:tblStylePr w:type="firstCol">
      <w:rPr>
        <w:b/>
        <w:bCs/>
      </w:rPr>
    </w:tblStylePr>
    <w:tblStylePr w:type="lastCol">
      <w:rPr>
        <w:b/>
        <w:bCs/>
      </w:rPr>
    </w:tblStylePr>
    <w:tblStylePr w:type="band1Vert">
      <w:tblPr/>
      <w:tcPr>
        <w:shd w:val="clear" w:color="auto" w:fill="DCE1EF" w:themeFill="accent3" w:themeFillTint="33"/>
      </w:tcPr>
    </w:tblStylePr>
    <w:tblStylePr w:type="band1Horz">
      <w:tblPr/>
      <w:tcPr>
        <w:shd w:val="clear" w:color="auto" w:fill="DCE1EF" w:themeFill="accent3" w:themeFillTint="33"/>
      </w:tcPr>
    </w:tblStylePr>
  </w:style>
  <w:style w:type="table" w:customStyle="1" w:styleId="GridTable6Colorful-Accent51">
    <w:name w:val="Grid Table 6 Colorful - Accent 51"/>
    <w:basedOn w:val="TableNormal"/>
    <w:uiPriority w:val="51"/>
    <w:rsid w:val="00400C73"/>
    <w:pPr>
      <w:spacing w:after="0" w:line="240" w:lineRule="auto"/>
    </w:pPr>
    <w:rPr>
      <w:color w:val="A5421A" w:themeColor="accent5" w:themeShade="BF"/>
    </w:rPr>
    <w:tblPr>
      <w:tblStyleRowBandSize w:val="1"/>
      <w:tblStyleColBandSize w:val="1"/>
      <w:tblBorders>
        <w:top w:val="single" w:sz="4" w:space="0" w:color="EA9B7B" w:themeColor="accent5" w:themeTint="99"/>
        <w:left w:val="single" w:sz="4" w:space="0" w:color="EA9B7B" w:themeColor="accent5" w:themeTint="99"/>
        <w:bottom w:val="single" w:sz="4" w:space="0" w:color="EA9B7B" w:themeColor="accent5" w:themeTint="99"/>
        <w:right w:val="single" w:sz="4" w:space="0" w:color="EA9B7B" w:themeColor="accent5" w:themeTint="99"/>
        <w:insideH w:val="single" w:sz="4" w:space="0" w:color="EA9B7B" w:themeColor="accent5" w:themeTint="99"/>
        <w:insideV w:val="single" w:sz="4" w:space="0" w:color="EA9B7B" w:themeColor="accent5" w:themeTint="99"/>
      </w:tblBorders>
    </w:tblPr>
    <w:tblStylePr w:type="firstRow">
      <w:rPr>
        <w:b/>
        <w:bCs/>
      </w:rPr>
      <w:tblPr/>
      <w:tcPr>
        <w:tcBorders>
          <w:bottom w:val="single" w:sz="12" w:space="0" w:color="EA9B7B" w:themeColor="accent5" w:themeTint="99"/>
        </w:tcBorders>
      </w:tcPr>
    </w:tblStylePr>
    <w:tblStylePr w:type="lastRow">
      <w:rPr>
        <w:b/>
        <w:bCs/>
      </w:rPr>
      <w:tblPr/>
      <w:tcPr>
        <w:tcBorders>
          <w:top w:val="double" w:sz="4" w:space="0" w:color="EA9B7B" w:themeColor="accent5" w:themeTint="99"/>
        </w:tcBorders>
      </w:tcPr>
    </w:tblStylePr>
    <w:tblStylePr w:type="firstCol">
      <w:rPr>
        <w:b/>
        <w:bCs/>
      </w:rPr>
    </w:tblStylePr>
    <w:tblStylePr w:type="lastCol">
      <w:rPr>
        <w:b/>
        <w:bCs/>
      </w:rPr>
    </w:tblStylePr>
    <w:tblStylePr w:type="band1Vert">
      <w:tblPr/>
      <w:tcPr>
        <w:shd w:val="clear" w:color="auto" w:fill="F8DDD3" w:themeFill="accent5" w:themeFillTint="33"/>
      </w:tcPr>
    </w:tblStylePr>
    <w:tblStylePr w:type="band1Horz">
      <w:tblPr/>
      <w:tcPr>
        <w:shd w:val="clear" w:color="auto" w:fill="F8DDD3" w:themeFill="accent5" w:themeFillTint="33"/>
      </w:tcPr>
    </w:tblStylePr>
  </w:style>
  <w:style w:type="table" w:customStyle="1" w:styleId="ListTable5Dark-Accent61">
    <w:name w:val="List Table 5 Dark - Accent 61"/>
    <w:basedOn w:val="TableNormal"/>
    <w:uiPriority w:val="50"/>
    <w:rsid w:val="00E84041"/>
    <w:pPr>
      <w:spacing w:after="0" w:line="240" w:lineRule="auto"/>
    </w:pPr>
    <w:rPr>
      <w:color w:val="FFFFFF" w:themeColor="background1"/>
    </w:rPr>
    <w:tblPr>
      <w:tblStyleRowBandSize w:val="1"/>
      <w:tblStyleColBandSize w:val="1"/>
      <w:tblBorders>
        <w:top w:val="single" w:sz="24" w:space="0" w:color="B4B392" w:themeColor="accent6"/>
        <w:left w:val="single" w:sz="24" w:space="0" w:color="B4B392" w:themeColor="accent6"/>
        <w:bottom w:val="single" w:sz="24" w:space="0" w:color="B4B392" w:themeColor="accent6"/>
        <w:right w:val="single" w:sz="24" w:space="0" w:color="B4B392" w:themeColor="accent6"/>
      </w:tblBorders>
    </w:tblPr>
    <w:tcPr>
      <w:shd w:val="clear" w:color="auto" w:fill="B4B39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5Dark-Accent11">
    <w:name w:val="Grid Table 5 Dark - Accent 11"/>
    <w:basedOn w:val="TableNormal"/>
    <w:uiPriority w:val="50"/>
    <w:rsid w:val="00E840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4E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7A7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7A7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7A7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7A7A" w:themeFill="accent1"/>
      </w:tcPr>
    </w:tblStylePr>
    <w:tblStylePr w:type="band1Vert">
      <w:tblPr/>
      <w:tcPr>
        <w:shd w:val="clear" w:color="auto" w:fill="C9C9C9" w:themeFill="accent1" w:themeFillTint="66"/>
      </w:tcPr>
    </w:tblStylePr>
    <w:tblStylePr w:type="band1Horz">
      <w:tblPr/>
      <w:tcPr>
        <w:shd w:val="clear" w:color="auto" w:fill="C9C9C9" w:themeFill="accent1" w:themeFillTint="66"/>
      </w:tcPr>
    </w:tblStylePr>
  </w:style>
  <w:style w:type="table" w:customStyle="1" w:styleId="GridTable5Dark1">
    <w:name w:val="Grid Table 5 Dark1"/>
    <w:basedOn w:val="TableNormal"/>
    <w:uiPriority w:val="50"/>
    <w:rsid w:val="00E840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ListTable6Colorful-Accent51">
    <w:name w:val="List Table 6 Colorful - Accent 51"/>
    <w:basedOn w:val="TableNormal"/>
    <w:uiPriority w:val="51"/>
    <w:rsid w:val="00E84041"/>
    <w:pPr>
      <w:spacing w:after="0" w:line="240" w:lineRule="auto"/>
    </w:pPr>
    <w:rPr>
      <w:color w:val="A5421A" w:themeColor="accent5" w:themeShade="BF"/>
    </w:rPr>
    <w:tblPr>
      <w:tblStyleRowBandSize w:val="1"/>
      <w:tblStyleColBandSize w:val="1"/>
      <w:tblBorders>
        <w:top w:val="single" w:sz="4" w:space="0" w:color="DC5924" w:themeColor="accent5"/>
        <w:bottom w:val="single" w:sz="4" w:space="0" w:color="DC5924" w:themeColor="accent5"/>
      </w:tblBorders>
    </w:tblPr>
    <w:tblStylePr w:type="firstRow">
      <w:rPr>
        <w:b/>
        <w:bCs/>
      </w:rPr>
      <w:tblPr/>
      <w:tcPr>
        <w:tcBorders>
          <w:bottom w:val="single" w:sz="4" w:space="0" w:color="DC5924" w:themeColor="accent5"/>
        </w:tcBorders>
      </w:tcPr>
    </w:tblStylePr>
    <w:tblStylePr w:type="lastRow">
      <w:rPr>
        <w:b/>
        <w:bCs/>
      </w:rPr>
      <w:tblPr/>
      <w:tcPr>
        <w:tcBorders>
          <w:top w:val="double" w:sz="4" w:space="0" w:color="DC5924" w:themeColor="accent5"/>
        </w:tcBorders>
      </w:tcPr>
    </w:tblStylePr>
    <w:tblStylePr w:type="firstCol">
      <w:rPr>
        <w:b/>
        <w:bCs/>
      </w:rPr>
    </w:tblStylePr>
    <w:tblStylePr w:type="lastCol">
      <w:rPr>
        <w:b/>
        <w:bCs/>
      </w:rPr>
    </w:tblStylePr>
    <w:tblStylePr w:type="band1Vert">
      <w:tblPr/>
      <w:tcPr>
        <w:shd w:val="clear" w:color="auto" w:fill="F8DDD3" w:themeFill="accent5" w:themeFillTint="33"/>
      </w:tcPr>
    </w:tblStylePr>
    <w:tblStylePr w:type="band1Horz">
      <w:tblPr/>
      <w:tcPr>
        <w:shd w:val="clear" w:color="auto" w:fill="F8DDD3" w:themeFill="accent5" w:themeFillTint="33"/>
      </w:tcPr>
    </w:tblStylePr>
  </w:style>
  <w:style w:type="table" w:customStyle="1" w:styleId="GridTable4-Accent11">
    <w:name w:val="Grid Table 4 - Accent 11"/>
    <w:basedOn w:val="TableNormal"/>
    <w:uiPriority w:val="49"/>
    <w:rsid w:val="00E84041"/>
    <w:pPr>
      <w:spacing w:after="0" w:line="240" w:lineRule="auto"/>
    </w:pPr>
    <w:tblPr>
      <w:tblStyleRowBandSize w:val="1"/>
      <w:tblStyleColBandSize w:val="1"/>
      <w:tblBorders>
        <w:top w:val="single" w:sz="4" w:space="0" w:color="AFAFAF" w:themeColor="accent1" w:themeTint="99"/>
        <w:left w:val="single" w:sz="4" w:space="0" w:color="AFAFAF" w:themeColor="accent1" w:themeTint="99"/>
        <w:bottom w:val="single" w:sz="4" w:space="0" w:color="AFAFAF" w:themeColor="accent1" w:themeTint="99"/>
        <w:right w:val="single" w:sz="4" w:space="0" w:color="AFAFAF" w:themeColor="accent1" w:themeTint="99"/>
        <w:insideH w:val="single" w:sz="4" w:space="0" w:color="AFAFAF" w:themeColor="accent1" w:themeTint="99"/>
        <w:insideV w:val="single" w:sz="4" w:space="0" w:color="AFAFAF" w:themeColor="accent1" w:themeTint="99"/>
      </w:tblBorders>
    </w:tblPr>
    <w:tblStylePr w:type="firstRow">
      <w:rPr>
        <w:b/>
        <w:bCs/>
        <w:color w:val="FFFFFF" w:themeColor="background1"/>
      </w:rPr>
      <w:tblPr/>
      <w:tcPr>
        <w:tcBorders>
          <w:top w:val="single" w:sz="4" w:space="0" w:color="7A7A7A" w:themeColor="accent1"/>
          <w:left w:val="single" w:sz="4" w:space="0" w:color="7A7A7A" w:themeColor="accent1"/>
          <w:bottom w:val="single" w:sz="4" w:space="0" w:color="7A7A7A" w:themeColor="accent1"/>
          <w:right w:val="single" w:sz="4" w:space="0" w:color="7A7A7A" w:themeColor="accent1"/>
          <w:insideH w:val="nil"/>
          <w:insideV w:val="nil"/>
        </w:tcBorders>
        <w:shd w:val="clear" w:color="auto" w:fill="7A7A7A" w:themeFill="accent1"/>
      </w:tcPr>
    </w:tblStylePr>
    <w:tblStylePr w:type="lastRow">
      <w:rPr>
        <w:b/>
        <w:bCs/>
      </w:rPr>
      <w:tblPr/>
      <w:tcPr>
        <w:tcBorders>
          <w:top w:val="double" w:sz="4" w:space="0" w:color="7A7A7A" w:themeColor="accent1"/>
        </w:tcBorders>
      </w:tcPr>
    </w:tblStylePr>
    <w:tblStylePr w:type="firstCol">
      <w:rPr>
        <w:b/>
        <w:bCs/>
      </w:rPr>
    </w:tblStylePr>
    <w:tblStylePr w:type="lastCol">
      <w:rPr>
        <w:b/>
        <w:bCs/>
      </w:rPr>
    </w:tblStylePr>
    <w:tblStylePr w:type="band1Vert">
      <w:tblPr/>
      <w:tcPr>
        <w:shd w:val="clear" w:color="auto" w:fill="E4E4E4" w:themeFill="accent1" w:themeFillTint="33"/>
      </w:tcPr>
    </w:tblStylePr>
    <w:tblStylePr w:type="band1Horz">
      <w:tblPr/>
      <w:tcPr>
        <w:shd w:val="clear" w:color="auto" w:fill="E4E4E4" w:themeFill="accent1" w:themeFillTint="33"/>
      </w:tcPr>
    </w:tblStylePr>
  </w:style>
  <w:style w:type="table" w:customStyle="1" w:styleId="GridTable5Dark-Accent61">
    <w:name w:val="Grid Table 5 Dark - Accent 61"/>
    <w:basedOn w:val="TableNormal"/>
    <w:uiPriority w:val="50"/>
    <w:rsid w:val="00E840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F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4B39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4B39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4B39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4B392" w:themeFill="accent6"/>
      </w:tcPr>
    </w:tblStylePr>
    <w:tblStylePr w:type="band1Vert">
      <w:tblPr/>
      <w:tcPr>
        <w:shd w:val="clear" w:color="auto" w:fill="E1E0D3" w:themeFill="accent6" w:themeFillTint="66"/>
      </w:tcPr>
    </w:tblStylePr>
    <w:tblStylePr w:type="band1Horz">
      <w:tblPr/>
      <w:tcPr>
        <w:shd w:val="clear" w:color="auto" w:fill="E1E0D3" w:themeFill="accent6" w:themeFillTint="66"/>
      </w:tcPr>
    </w:tblStylePr>
  </w:style>
  <w:style w:type="table" w:customStyle="1" w:styleId="GridTable4-Accent51">
    <w:name w:val="Grid Table 4 - Accent 51"/>
    <w:basedOn w:val="TableNormal"/>
    <w:uiPriority w:val="49"/>
    <w:rsid w:val="00E84041"/>
    <w:pPr>
      <w:spacing w:after="0" w:line="240" w:lineRule="auto"/>
    </w:pPr>
    <w:tblPr>
      <w:tblStyleRowBandSize w:val="1"/>
      <w:tblStyleColBandSize w:val="1"/>
      <w:tblBorders>
        <w:top w:val="single" w:sz="4" w:space="0" w:color="EA9B7B" w:themeColor="accent5" w:themeTint="99"/>
        <w:left w:val="single" w:sz="4" w:space="0" w:color="EA9B7B" w:themeColor="accent5" w:themeTint="99"/>
        <w:bottom w:val="single" w:sz="4" w:space="0" w:color="EA9B7B" w:themeColor="accent5" w:themeTint="99"/>
        <w:right w:val="single" w:sz="4" w:space="0" w:color="EA9B7B" w:themeColor="accent5" w:themeTint="99"/>
        <w:insideH w:val="single" w:sz="4" w:space="0" w:color="EA9B7B" w:themeColor="accent5" w:themeTint="99"/>
        <w:insideV w:val="single" w:sz="4" w:space="0" w:color="EA9B7B" w:themeColor="accent5" w:themeTint="99"/>
      </w:tblBorders>
    </w:tblPr>
    <w:tblStylePr w:type="firstRow">
      <w:rPr>
        <w:b/>
        <w:bCs/>
        <w:color w:val="FFFFFF" w:themeColor="background1"/>
      </w:rPr>
      <w:tblPr/>
      <w:tcPr>
        <w:tcBorders>
          <w:top w:val="single" w:sz="4" w:space="0" w:color="DC5924" w:themeColor="accent5"/>
          <w:left w:val="single" w:sz="4" w:space="0" w:color="DC5924" w:themeColor="accent5"/>
          <w:bottom w:val="single" w:sz="4" w:space="0" w:color="DC5924" w:themeColor="accent5"/>
          <w:right w:val="single" w:sz="4" w:space="0" w:color="DC5924" w:themeColor="accent5"/>
          <w:insideH w:val="nil"/>
          <w:insideV w:val="nil"/>
        </w:tcBorders>
        <w:shd w:val="clear" w:color="auto" w:fill="DC5924" w:themeFill="accent5"/>
      </w:tcPr>
    </w:tblStylePr>
    <w:tblStylePr w:type="lastRow">
      <w:rPr>
        <w:b/>
        <w:bCs/>
      </w:rPr>
      <w:tblPr/>
      <w:tcPr>
        <w:tcBorders>
          <w:top w:val="double" w:sz="4" w:space="0" w:color="DC5924" w:themeColor="accent5"/>
        </w:tcBorders>
      </w:tcPr>
    </w:tblStylePr>
    <w:tblStylePr w:type="firstCol">
      <w:rPr>
        <w:b/>
        <w:bCs/>
      </w:rPr>
    </w:tblStylePr>
    <w:tblStylePr w:type="lastCol">
      <w:rPr>
        <w:b/>
        <w:bCs/>
      </w:rPr>
    </w:tblStylePr>
    <w:tblStylePr w:type="band1Vert">
      <w:tblPr/>
      <w:tcPr>
        <w:shd w:val="clear" w:color="auto" w:fill="F8DDD3" w:themeFill="accent5" w:themeFillTint="33"/>
      </w:tcPr>
    </w:tblStylePr>
    <w:tblStylePr w:type="band1Horz">
      <w:tblPr/>
      <w:tcPr>
        <w:shd w:val="clear" w:color="auto" w:fill="F8DDD3" w:themeFill="accent5" w:themeFillTint="33"/>
      </w:tcPr>
    </w:tblStylePr>
  </w:style>
  <w:style w:type="table" w:customStyle="1" w:styleId="GridTable6Colorful1">
    <w:name w:val="Grid Table 6 Colorful1"/>
    <w:basedOn w:val="TableNormal"/>
    <w:uiPriority w:val="51"/>
    <w:rsid w:val="00E8404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7Colorful-Accent51">
    <w:name w:val="Grid Table 7 Colorful - Accent 51"/>
    <w:basedOn w:val="TableNormal"/>
    <w:uiPriority w:val="52"/>
    <w:rsid w:val="00E84041"/>
    <w:pPr>
      <w:spacing w:after="0" w:line="240" w:lineRule="auto"/>
    </w:pPr>
    <w:rPr>
      <w:color w:val="A5421A" w:themeColor="accent5" w:themeShade="BF"/>
    </w:rPr>
    <w:tblPr>
      <w:tblStyleRowBandSize w:val="1"/>
      <w:tblStyleColBandSize w:val="1"/>
      <w:tblBorders>
        <w:top w:val="single" w:sz="4" w:space="0" w:color="EA9B7B" w:themeColor="accent5" w:themeTint="99"/>
        <w:left w:val="single" w:sz="4" w:space="0" w:color="EA9B7B" w:themeColor="accent5" w:themeTint="99"/>
        <w:bottom w:val="single" w:sz="4" w:space="0" w:color="EA9B7B" w:themeColor="accent5" w:themeTint="99"/>
        <w:right w:val="single" w:sz="4" w:space="0" w:color="EA9B7B" w:themeColor="accent5" w:themeTint="99"/>
        <w:insideH w:val="single" w:sz="4" w:space="0" w:color="EA9B7B" w:themeColor="accent5" w:themeTint="99"/>
        <w:insideV w:val="single" w:sz="4" w:space="0" w:color="EA9B7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DD3" w:themeFill="accent5" w:themeFillTint="33"/>
      </w:tcPr>
    </w:tblStylePr>
    <w:tblStylePr w:type="band1Horz">
      <w:tblPr/>
      <w:tcPr>
        <w:shd w:val="clear" w:color="auto" w:fill="F8DDD3" w:themeFill="accent5" w:themeFillTint="33"/>
      </w:tcPr>
    </w:tblStylePr>
    <w:tblStylePr w:type="neCell">
      <w:tblPr/>
      <w:tcPr>
        <w:tcBorders>
          <w:bottom w:val="single" w:sz="4" w:space="0" w:color="EA9B7B" w:themeColor="accent5" w:themeTint="99"/>
        </w:tcBorders>
      </w:tcPr>
    </w:tblStylePr>
    <w:tblStylePr w:type="nwCell">
      <w:tblPr/>
      <w:tcPr>
        <w:tcBorders>
          <w:bottom w:val="single" w:sz="4" w:space="0" w:color="EA9B7B" w:themeColor="accent5" w:themeTint="99"/>
        </w:tcBorders>
      </w:tcPr>
    </w:tblStylePr>
    <w:tblStylePr w:type="seCell">
      <w:tblPr/>
      <w:tcPr>
        <w:tcBorders>
          <w:top w:val="single" w:sz="4" w:space="0" w:color="EA9B7B" w:themeColor="accent5" w:themeTint="99"/>
        </w:tcBorders>
      </w:tcPr>
    </w:tblStylePr>
    <w:tblStylePr w:type="swCell">
      <w:tblPr/>
      <w:tcPr>
        <w:tcBorders>
          <w:top w:val="single" w:sz="4" w:space="0" w:color="EA9B7B" w:themeColor="accent5" w:themeTint="99"/>
        </w:tcBorders>
      </w:tcPr>
    </w:tblStylePr>
  </w:style>
  <w:style w:type="paragraph" w:styleId="TOC1">
    <w:name w:val="toc 1"/>
    <w:basedOn w:val="Normal"/>
    <w:next w:val="Normal"/>
    <w:autoRedefine/>
    <w:uiPriority w:val="39"/>
    <w:unhideWhenUsed/>
    <w:rsid w:val="00BB2494"/>
    <w:pPr>
      <w:tabs>
        <w:tab w:val="right" w:leader="dot" w:pos="9923"/>
      </w:tabs>
      <w:spacing w:after="100"/>
      <w:ind w:right="26"/>
    </w:pPr>
    <w:rPr>
      <w:noProof/>
    </w:rPr>
  </w:style>
  <w:style w:type="paragraph" w:styleId="TOC2">
    <w:name w:val="toc 2"/>
    <w:basedOn w:val="Normal"/>
    <w:next w:val="Normal"/>
    <w:autoRedefine/>
    <w:uiPriority w:val="39"/>
    <w:unhideWhenUsed/>
    <w:rsid w:val="00BB2494"/>
    <w:pPr>
      <w:tabs>
        <w:tab w:val="left" w:pos="851"/>
        <w:tab w:val="right" w:leader="dot" w:pos="9923"/>
      </w:tabs>
      <w:spacing w:after="100"/>
      <w:ind w:left="851" w:right="26" w:hanging="631"/>
    </w:pPr>
    <w:rPr>
      <w:noProof/>
    </w:rPr>
  </w:style>
  <w:style w:type="paragraph" w:styleId="TOC3">
    <w:name w:val="toc 3"/>
    <w:basedOn w:val="Normal"/>
    <w:next w:val="Normal"/>
    <w:autoRedefine/>
    <w:uiPriority w:val="39"/>
    <w:unhideWhenUsed/>
    <w:rsid w:val="00B25C30"/>
    <w:pPr>
      <w:spacing w:after="100"/>
      <w:ind w:left="440"/>
    </w:pPr>
  </w:style>
  <w:style w:type="table" w:styleId="LightShading-Accent6">
    <w:name w:val="Light Shading Accent 6"/>
    <w:basedOn w:val="TableNormal"/>
    <w:uiPriority w:val="60"/>
    <w:rsid w:val="006977B7"/>
    <w:pPr>
      <w:spacing w:after="0" w:line="240" w:lineRule="auto"/>
    </w:pPr>
    <w:rPr>
      <w:color w:val="908E63" w:themeColor="accent6" w:themeShade="BF"/>
    </w:rPr>
    <w:tblPr>
      <w:tblStyleRowBandSize w:val="1"/>
      <w:tblStyleColBandSize w:val="1"/>
      <w:tblBorders>
        <w:top w:val="single" w:sz="8" w:space="0" w:color="B4B392" w:themeColor="accent6"/>
        <w:bottom w:val="single" w:sz="8" w:space="0" w:color="B4B392" w:themeColor="accent6"/>
      </w:tblBorders>
    </w:tblPr>
    <w:tblStylePr w:type="firstRow">
      <w:pPr>
        <w:spacing w:before="0" w:after="0" w:line="240" w:lineRule="auto"/>
      </w:pPr>
      <w:rPr>
        <w:b/>
        <w:bCs/>
      </w:rPr>
      <w:tblPr/>
      <w:tcPr>
        <w:tcBorders>
          <w:top w:val="single" w:sz="8" w:space="0" w:color="B4B392" w:themeColor="accent6"/>
          <w:left w:val="nil"/>
          <w:bottom w:val="single" w:sz="8" w:space="0" w:color="B4B392" w:themeColor="accent6"/>
          <w:right w:val="nil"/>
          <w:insideH w:val="nil"/>
          <w:insideV w:val="nil"/>
        </w:tcBorders>
      </w:tcPr>
    </w:tblStylePr>
    <w:tblStylePr w:type="lastRow">
      <w:pPr>
        <w:spacing w:before="0" w:after="0" w:line="240" w:lineRule="auto"/>
      </w:pPr>
      <w:rPr>
        <w:b/>
        <w:bCs/>
      </w:rPr>
      <w:tblPr/>
      <w:tcPr>
        <w:tcBorders>
          <w:top w:val="single" w:sz="8" w:space="0" w:color="B4B392" w:themeColor="accent6"/>
          <w:left w:val="nil"/>
          <w:bottom w:val="single" w:sz="8" w:space="0" w:color="B4B39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CE3" w:themeFill="accent6" w:themeFillTint="3F"/>
      </w:tcPr>
    </w:tblStylePr>
    <w:tblStylePr w:type="band1Horz">
      <w:tblPr/>
      <w:tcPr>
        <w:tcBorders>
          <w:left w:val="nil"/>
          <w:right w:val="nil"/>
          <w:insideH w:val="nil"/>
          <w:insideV w:val="nil"/>
        </w:tcBorders>
        <w:shd w:val="clear" w:color="auto" w:fill="ECECE3" w:themeFill="accent6" w:themeFillTint="3F"/>
      </w:tcPr>
    </w:tblStylePr>
  </w:style>
  <w:style w:type="table" w:customStyle="1" w:styleId="LightShading-Accent11">
    <w:name w:val="Light Shading - Accent 11"/>
    <w:basedOn w:val="TableNormal"/>
    <w:uiPriority w:val="60"/>
    <w:rsid w:val="006977B7"/>
    <w:pPr>
      <w:spacing w:after="0" w:line="240" w:lineRule="auto"/>
    </w:pPr>
    <w:rPr>
      <w:color w:val="5B5B5B" w:themeColor="accent1" w:themeShade="BF"/>
    </w:rPr>
    <w:tblPr>
      <w:tblStyleRowBandSize w:val="1"/>
      <w:tblStyleColBandSize w:val="1"/>
      <w:tblBorders>
        <w:top w:val="single" w:sz="8" w:space="0" w:color="7A7A7A" w:themeColor="accent1"/>
        <w:bottom w:val="single" w:sz="8" w:space="0" w:color="7A7A7A" w:themeColor="accent1"/>
      </w:tblBorders>
    </w:tblPr>
    <w:tblStylePr w:type="firstRow">
      <w:pPr>
        <w:spacing w:before="0" w:after="0" w:line="240" w:lineRule="auto"/>
      </w:pPr>
      <w:rPr>
        <w:b/>
        <w:bCs/>
      </w:rPr>
      <w:tblPr/>
      <w:tcPr>
        <w:tcBorders>
          <w:top w:val="single" w:sz="8" w:space="0" w:color="7A7A7A" w:themeColor="accent1"/>
          <w:left w:val="nil"/>
          <w:bottom w:val="single" w:sz="8" w:space="0" w:color="7A7A7A" w:themeColor="accent1"/>
          <w:right w:val="nil"/>
          <w:insideH w:val="nil"/>
          <w:insideV w:val="nil"/>
        </w:tcBorders>
      </w:tcPr>
    </w:tblStylePr>
    <w:tblStylePr w:type="lastRow">
      <w:pPr>
        <w:spacing w:before="0" w:after="0" w:line="240" w:lineRule="auto"/>
      </w:pPr>
      <w:rPr>
        <w:b/>
        <w:bCs/>
      </w:rPr>
      <w:tblPr/>
      <w:tcPr>
        <w:tcBorders>
          <w:top w:val="single" w:sz="8" w:space="0" w:color="7A7A7A" w:themeColor="accent1"/>
          <w:left w:val="nil"/>
          <w:bottom w:val="single" w:sz="8" w:space="0" w:color="7A7A7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DEDE" w:themeFill="accent1" w:themeFillTint="3F"/>
      </w:tcPr>
    </w:tblStylePr>
    <w:tblStylePr w:type="band1Horz">
      <w:tblPr/>
      <w:tcPr>
        <w:tcBorders>
          <w:left w:val="nil"/>
          <w:right w:val="nil"/>
          <w:insideH w:val="nil"/>
          <w:insideV w:val="nil"/>
        </w:tcBorders>
        <w:shd w:val="clear" w:color="auto" w:fill="DEDEDE" w:themeFill="accent1" w:themeFillTint="3F"/>
      </w:tcPr>
    </w:tblStylePr>
  </w:style>
  <w:style w:type="table" w:styleId="MediumList1-Accent4">
    <w:name w:val="Medium List 1 Accent 4"/>
    <w:basedOn w:val="TableNormal"/>
    <w:uiPriority w:val="65"/>
    <w:rsid w:val="006977B7"/>
    <w:pPr>
      <w:spacing w:after="0" w:line="240" w:lineRule="auto"/>
    </w:pPr>
    <w:rPr>
      <w:color w:val="000000" w:themeColor="text1"/>
    </w:rPr>
    <w:tblPr>
      <w:tblStyleRowBandSize w:val="1"/>
      <w:tblStyleColBandSize w:val="1"/>
      <w:tblBorders>
        <w:top w:val="single" w:sz="8" w:space="0" w:color="989AAC" w:themeColor="accent4"/>
        <w:bottom w:val="single" w:sz="8" w:space="0" w:color="989AAC" w:themeColor="accent4"/>
      </w:tblBorders>
    </w:tblPr>
    <w:tblStylePr w:type="firstRow">
      <w:rPr>
        <w:rFonts w:asciiTheme="majorHAnsi" w:eastAsiaTheme="majorEastAsia" w:hAnsiTheme="majorHAnsi" w:cstheme="majorBidi"/>
      </w:rPr>
      <w:tblPr/>
      <w:tcPr>
        <w:tcBorders>
          <w:top w:val="nil"/>
          <w:bottom w:val="single" w:sz="8" w:space="0" w:color="989AAC" w:themeColor="accent4"/>
        </w:tcBorders>
      </w:tcPr>
    </w:tblStylePr>
    <w:tblStylePr w:type="lastRow">
      <w:rPr>
        <w:b/>
        <w:bCs/>
        <w:color w:val="D1282E" w:themeColor="text2"/>
      </w:rPr>
      <w:tblPr/>
      <w:tcPr>
        <w:tcBorders>
          <w:top w:val="single" w:sz="8" w:space="0" w:color="989AAC" w:themeColor="accent4"/>
          <w:bottom w:val="single" w:sz="8" w:space="0" w:color="989AAC" w:themeColor="accent4"/>
        </w:tcBorders>
      </w:tcPr>
    </w:tblStylePr>
    <w:tblStylePr w:type="firstCol">
      <w:rPr>
        <w:b/>
        <w:bCs/>
      </w:rPr>
    </w:tblStylePr>
    <w:tblStylePr w:type="lastCol">
      <w:rPr>
        <w:b/>
        <w:bCs/>
      </w:rPr>
      <w:tblPr/>
      <w:tcPr>
        <w:tcBorders>
          <w:top w:val="single" w:sz="8" w:space="0" w:color="989AAC" w:themeColor="accent4"/>
          <w:bottom w:val="single" w:sz="8" w:space="0" w:color="989AAC" w:themeColor="accent4"/>
        </w:tcBorders>
      </w:tcPr>
    </w:tblStylePr>
    <w:tblStylePr w:type="band1Vert">
      <w:tblPr/>
      <w:tcPr>
        <w:shd w:val="clear" w:color="auto" w:fill="E5E5EA" w:themeFill="accent4" w:themeFillTint="3F"/>
      </w:tcPr>
    </w:tblStylePr>
    <w:tblStylePr w:type="band1Horz">
      <w:tblPr/>
      <w:tcPr>
        <w:shd w:val="clear" w:color="auto" w:fill="E5E5EA" w:themeFill="accent4" w:themeFillTint="3F"/>
      </w:tcPr>
    </w:tblStylePr>
  </w:style>
  <w:style w:type="paragraph" w:customStyle="1" w:styleId="AHeading1">
    <w:name w:val="A Heading 1"/>
    <w:basedOn w:val="Normal"/>
    <w:qFormat/>
    <w:rsid w:val="00AE096A"/>
    <w:pPr>
      <w:numPr>
        <w:numId w:val="2"/>
      </w:numPr>
      <w:jc w:val="center"/>
      <w:outlineLvl w:val="0"/>
    </w:pPr>
    <w:rPr>
      <w:b/>
      <w:color w:val="00A3E0"/>
      <w:sz w:val="32"/>
    </w:rPr>
  </w:style>
  <w:style w:type="paragraph" w:customStyle="1" w:styleId="AHeading2">
    <w:name w:val="A Heading 2"/>
    <w:basedOn w:val="Normal"/>
    <w:qFormat/>
    <w:rsid w:val="002876C8"/>
    <w:pPr>
      <w:numPr>
        <w:ilvl w:val="1"/>
        <w:numId w:val="2"/>
      </w:numPr>
      <w:ind w:left="851" w:hanging="851"/>
      <w:outlineLvl w:val="1"/>
    </w:pPr>
    <w:rPr>
      <w:b/>
      <w:color w:val="981D97"/>
    </w:rPr>
  </w:style>
  <w:style w:type="paragraph" w:customStyle="1" w:styleId="ANumberedText">
    <w:name w:val="A Numbered Text"/>
    <w:basedOn w:val="ListParagraph"/>
    <w:qFormat/>
    <w:rsid w:val="00A0216F"/>
    <w:pPr>
      <w:numPr>
        <w:ilvl w:val="2"/>
        <w:numId w:val="2"/>
      </w:numPr>
      <w:ind w:left="851" w:hanging="851"/>
      <w:contextualSpacing w:val="0"/>
    </w:pPr>
  </w:style>
  <w:style w:type="paragraph" w:customStyle="1" w:styleId="AIndentedText">
    <w:name w:val="A Indented Text"/>
    <w:basedOn w:val="Normal"/>
    <w:qFormat/>
    <w:rsid w:val="00D300D9"/>
    <w:pPr>
      <w:ind w:left="851"/>
    </w:pPr>
  </w:style>
  <w:style w:type="paragraph" w:customStyle="1" w:styleId="ACenteredText">
    <w:name w:val="A Centered Text"/>
    <w:basedOn w:val="Normal"/>
    <w:qFormat/>
    <w:rsid w:val="00AE096A"/>
    <w:pPr>
      <w:jc w:val="center"/>
    </w:pPr>
  </w:style>
  <w:style w:type="table" w:styleId="TableGrid">
    <w:name w:val="Table Grid"/>
    <w:basedOn w:val="TableNormal"/>
    <w:uiPriority w:val="59"/>
    <w:rsid w:val="0067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umberedText2">
    <w:name w:val="A Numbered Text 2"/>
    <w:basedOn w:val="ANumberedText"/>
    <w:qFormat/>
    <w:rsid w:val="00811AE3"/>
    <w:pPr>
      <w:numPr>
        <w:ilvl w:val="3"/>
      </w:numPr>
      <w:ind w:left="1985" w:hanging="1134"/>
    </w:pPr>
    <w:rPr>
      <w:snapToGrid w:val="0"/>
    </w:rPr>
  </w:style>
  <w:style w:type="paragraph" w:styleId="CommentText">
    <w:name w:val="annotation text"/>
    <w:basedOn w:val="Normal"/>
    <w:link w:val="CommentTextChar"/>
    <w:unhideWhenUsed/>
    <w:rsid w:val="00122B69"/>
    <w:rPr>
      <w:sz w:val="20"/>
      <w:szCs w:val="20"/>
    </w:rPr>
  </w:style>
  <w:style w:type="character" w:customStyle="1" w:styleId="CommentTextChar">
    <w:name w:val="Comment Text Char"/>
    <w:basedOn w:val="DefaultParagraphFont"/>
    <w:link w:val="CommentText"/>
    <w:rsid w:val="00122B69"/>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122B69"/>
    <w:rPr>
      <w:b/>
      <w:bCs/>
    </w:rPr>
  </w:style>
  <w:style w:type="character" w:customStyle="1" w:styleId="CommentSubjectChar">
    <w:name w:val="Comment Subject Char"/>
    <w:basedOn w:val="CommentTextChar"/>
    <w:link w:val="CommentSubject"/>
    <w:uiPriority w:val="99"/>
    <w:semiHidden/>
    <w:rsid w:val="00122B69"/>
    <w:rPr>
      <w:rFonts w:ascii="Calibri" w:hAnsi="Calibri"/>
      <w:b/>
      <w:bCs/>
      <w:sz w:val="20"/>
      <w:szCs w:val="20"/>
    </w:rPr>
  </w:style>
  <w:style w:type="paragraph" w:customStyle="1" w:styleId="AAppendix">
    <w:name w:val="A Appendix"/>
    <w:basedOn w:val="Heading1"/>
    <w:qFormat/>
    <w:rsid w:val="002745AE"/>
  </w:style>
  <w:style w:type="paragraph" w:customStyle="1" w:styleId="ANormalWhite">
    <w:name w:val="A Normal White"/>
    <w:basedOn w:val="Normal"/>
    <w:qFormat/>
    <w:rsid w:val="002745AE"/>
    <w:rPr>
      <w:color w:val="FFFFFF" w:themeColor="background1"/>
    </w:rPr>
  </w:style>
  <w:style w:type="character" w:styleId="FollowedHyperlink">
    <w:name w:val="FollowedHyperlink"/>
    <w:basedOn w:val="DefaultParagraphFont"/>
    <w:uiPriority w:val="99"/>
    <w:semiHidden/>
    <w:unhideWhenUsed/>
    <w:rsid w:val="00581BCC"/>
    <w:rPr>
      <w:color w:val="969696" w:themeColor="followedHyperlink"/>
      <w:u w:val="single"/>
    </w:rPr>
  </w:style>
  <w:style w:type="paragraph" w:styleId="Revision">
    <w:name w:val="Revision"/>
    <w:hidden/>
    <w:uiPriority w:val="99"/>
    <w:semiHidden/>
    <w:rsid w:val="004E141D"/>
    <w:pPr>
      <w:spacing w:after="0" w:line="240" w:lineRule="auto"/>
    </w:pPr>
    <w:rPr>
      <w:rFonts w:ascii="Calibri" w:hAnsi="Calibri"/>
      <w:sz w:val="24"/>
    </w:rPr>
  </w:style>
  <w:style w:type="paragraph" w:customStyle="1" w:styleId="AIndentedText2">
    <w:name w:val="A Indented Text 2"/>
    <w:basedOn w:val="AIndentedText"/>
    <w:qFormat/>
    <w:rsid w:val="00B6359E"/>
    <w:pPr>
      <w:ind w:left="1985"/>
    </w:pPr>
  </w:style>
  <w:style w:type="paragraph" w:customStyle="1" w:styleId="ListParagraph2">
    <w:name w:val="List Paragraph 2"/>
    <w:basedOn w:val="ListParagraph"/>
    <w:qFormat/>
    <w:rsid w:val="00494B9E"/>
    <w:pPr>
      <w:ind w:left="2268"/>
    </w:pPr>
  </w:style>
  <w:style w:type="paragraph" w:styleId="Header">
    <w:name w:val="header"/>
    <w:basedOn w:val="Normal"/>
    <w:link w:val="HeaderChar"/>
    <w:uiPriority w:val="99"/>
    <w:unhideWhenUsed/>
    <w:rsid w:val="00F82CED"/>
    <w:pPr>
      <w:tabs>
        <w:tab w:val="center" w:pos="4513"/>
        <w:tab w:val="right" w:pos="9026"/>
      </w:tabs>
      <w:spacing w:after="0"/>
    </w:pPr>
  </w:style>
  <w:style w:type="character" w:customStyle="1" w:styleId="HeaderChar">
    <w:name w:val="Header Char"/>
    <w:basedOn w:val="DefaultParagraphFont"/>
    <w:link w:val="Header"/>
    <w:uiPriority w:val="99"/>
    <w:rsid w:val="00F82CED"/>
    <w:rPr>
      <w:rFonts w:ascii="Calibri" w:hAnsi="Calibri"/>
      <w:sz w:val="24"/>
      <w:lang w:val="en-GB"/>
    </w:rPr>
  </w:style>
  <w:style w:type="paragraph" w:styleId="Footer">
    <w:name w:val="footer"/>
    <w:basedOn w:val="Normal"/>
    <w:link w:val="FooterChar"/>
    <w:uiPriority w:val="99"/>
    <w:unhideWhenUsed/>
    <w:rsid w:val="00F82CED"/>
    <w:pPr>
      <w:tabs>
        <w:tab w:val="center" w:pos="4513"/>
        <w:tab w:val="right" w:pos="9026"/>
      </w:tabs>
      <w:spacing w:after="0"/>
    </w:pPr>
  </w:style>
  <w:style w:type="character" w:customStyle="1" w:styleId="FooterChar">
    <w:name w:val="Footer Char"/>
    <w:basedOn w:val="DefaultParagraphFont"/>
    <w:link w:val="Footer"/>
    <w:uiPriority w:val="99"/>
    <w:rsid w:val="00F82CED"/>
    <w:rPr>
      <w:rFonts w:ascii="Calibri" w:hAnsi="Calibri"/>
      <w:sz w:val="24"/>
      <w:lang w:val="en-GB"/>
    </w:rPr>
  </w:style>
  <w:style w:type="character" w:styleId="CommentReference">
    <w:name w:val="annotation reference"/>
    <w:basedOn w:val="DefaultParagraphFont"/>
    <w:semiHidden/>
    <w:unhideWhenUsed/>
    <w:rsid w:val="00395609"/>
    <w:rPr>
      <w:sz w:val="16"/>
      <w:szCs w:val="16"/>
    </w:rPr>
  </w:style>
  <w:style w:type="paragraph" w:styleId="NormalWeb">
    <w:name w:val="Normal (Web)"/>
    <w:basedOn w:val="Normal"/>
    <w:uiPriority w:val="99"/>
    <w:unhideWhenUsed/>
    <w:rsid w:val="00B220FC"/>
    <w:pPr>
      <w:spacing w:before="100" w:beforeAutospacing="1" w:after="100" w:afterAutospacing="1"/>
      <w:jc w:val="left"/>
    </w:pPr>
    <w:rPr>
      <w:rFonts w:ascii="Times New Roman" w:eastAsia="Times New Roman" w:hAnsi="Times New Roman" w:cs="Times New Roman"/>
      <w:szCs w:val="24"/>
      <w:lang w:eastAsia="en-GB"/>
    </w:rPr>
  </w:style>
  <w:style w:type="character" w:styleId="UnresolvedMention">
    <w:name w:val="Unresolved Mention"/>
    <w:basedOn w:val="DefaultParagraphFont"/>
    <w:uiPriority w:val="99"/>
    <w:semiHidden/>
    <w:unhideWhenUsed/>
    <w:rsid w:val="00A35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77451">
      <w:bodyDiv w:val="1"/>
      <w:marLeft w:val="0"/>
      <w:marRight w:val="0"/>
      <w:marTop w:val="0"/>
      <w:marBottom w:val="0"/>
      <w:divBdr>
        <w:top w:val="none" w:sz="0" w:space="0" w:color="auto"/>
        <w:left w:val="none" w:sz="0" w:space="0" w:color="auto"/>
        <w:bottom w:val="none" w:sz="0" w:space="0" w:color="auto"/>
        <w:right w:val="none" w:sz="0" w:space="0" w:color="auto"/>
      </w:divBdr>
    </w:div>
    <w:div w:id="151533882">
      <w:bodyDiv w:val="1"/>
      <w:marLeft w:val="0"/>
      <w:marRight w:val="0"/>
      <w:marTop w:val="0"/>
      <w:marBottom w:val="0"/>
      <w:divBdr>
        <w:top w:val="none" w:sz="0" w:space="0" w:color="auto"/>
        <w:left w:val="none" w:sz="0" w:space="0" w:color="auto"/>
        <w:bottom w:val="none" w:sz="0" w:space="0" w:color="auto"/>
        <w:right w:val="none" w:sz="0" w:space="0" w:color="auto"/>
      </w:divBdr>
      <w:divsChild>
        <w:div w:id="1605919928">
          <w:marLeft w:val="0"/>
          <w:marRight w:val="0"/>
          <w:marTop w:val="0"/>
          <w:marBottom w:val="0"/>
          <w:divBdr>
            <w:top w:val="none" w:sz="0" w:space="0" w:color="auto"/>
            <w:left w:val="none" w:sz="0" w:space="0" w:color="auto"/>
            <w:bottom w:val="none" w:sz="0" w:space="0" w:color="auto"/>
            <w:right w:val="none" w:sz="0" w:space="0" w:color="auto"/>
          </w:divBdr>
        </w:div>
        <w:div w:id="290135576">
          <w:marLeft w:val="0"/>
          <w:marRight w:val="0"/>
          <w:marTop w:val="0"/>
          <w:marBottom w:val="0"/>
          <w:divBdr>
            <w:top w:val="none" w:sz="0" w:space="0" w:color="auto"/>
            <w:left w:val="none" w:sz="0" w:space="0" w:color="auto"/>
            <w:bottom w:val="none" w:sz="0" w:space="0" w:color="auto"/>
            <w:right w:val="none" w:sz="0" w:space="0" w:color="auto"/>
          </w:divBdr>
        </w:div>
      </w:divsChild>
    </w:div>
    <w:div w:id="277373121">
      <w:bodyDiv w:val="1"/>
      <w:marLeft w:val="0"/>
      <w:marRight w:val="0"/>
      <w:marTop w:val="0"/>
      <w:marBottom w:val="0"/>
      <w:divBdr>
        <w:top w:val="none" w:sz="0" w:space="0" w:color="auto"/>
        <w:left w:val="none" w:sz="0" w:space="0" w:color="auto"/>
        <w:bottom w:val="none" w:sz="0" w:space="0" w:color="auto"/>
        <w:right w:val="none" w:sz="0" w:space="0" w:color="auto"/>
      </w:divBdr>
    </w:div>
    <w:div w:id="390615385">
      <w:bodyDiv w:val="1"/>
      <w:marLeft w:val="0"/>
      <w:marRight w:val="0"/>
      <w:marTop w:val="0"/>
      <w:marBottom w:val="0"/>
      <w:divBdr>
        <w:top w:val="none" w:sz="0" w:space="0" w:color="auto"/>
        <w:left w:val="none" w:sz="0" w:space="0" w:color="auto"/>
        <w:bottom w:val="none" w:sz="0" w:space="0" w:color="auto"/>
        <w:right w:val="none" w:sz="0" w:space="0" w:color="auto"/>
      </w:divBdr>
    </w:div>
    <w:div w:id="416246521">
      <w:bodyDiv w:val="1"/>
      <w:marLeft w:val="0"/>
      <w:marRight w:val="0"/>
      <w:marTop w:val="0"/>
      <w:marBottom w:val="0"/>
      <w:divBdr>
        <w:top w:val="none" w:sz="0" w:space="0" w:color="auto"/>
        <w:left w:val="none" w:sz="0" w:space="0" w:color="auto"/>
        <w:bottom w:val="none" w:sz="0" w:space="0" w:color="auto"/>
        <w:right w:val="none" w:sz="0" w:space="0" w:color="auto"/>
      </w:divBdr>
    </w:div>
    <w:div w:id="446660223">
      <w:bodyDiv w:val="1"/>
      <w:marLeft w:val="0"/>
      <w:marRight w:val="0"/>
      <w:marTop w:val="0"/>
      <w:marBottom w:val="0"/>
      <w:divBdr>
        <w:top w:val="none" w:sz="0" w:space="0" w:color="auto"/>
        <w:left w:val="none" w:sz="0" w:space="0" w:color="auto"/>
        <w:bottom w:val="none" w:sz="0" w:space="0" w:color="auto"/>
        <w:right w:val="none" w:sz="0" w:space="0" w:color="auto"/>
      </w:divBdr>
    </w:div>
    <w:div w:id="472791038">
      <w:bodyDiv w:val="1"/>
      <w:marLeft w:val="0"/>
      <w:marRight w:val="0"/>
      <w:marTop w:val="0"/>
      <w:marBottom w:val="0"/>
      <w:divBdr>
        <w:top w:val="none" w:sz="0" w:space="0" w:color="auto"/>
        <w:left w:val="none" w:sz="0" w:space="0" w:color="auto"/>
        <w:bottom w:val="none" w:sz="0" w:space="0" w:color="auto"/>
        <w:right w:val="none" w:sz="0" w:space="0" w:color="auto"/>
      </w:divBdr>
    </w:div>
    <w:div w:id="525367907">
      <w:bodyDiv w:val="1"/>
      <w:marLeft w:val="0"/>
      <w:marRight w:val="0"/>
      <w:marTop w:val="0"/>
      <w:marBottom w:val="0"/>
      <w:divBdr>
        <w:top w:val="none" w:sz="0" w:space="0" w:color="auto"/>
        <w:left w:val="none" w:sz="0" w:space="0" w:color="auto"/>
        <w:bottom w:val="none" w:sz="0" w:space="0" w:color="auto"/>
        <w:right w:val="none" w:sz="0" w:space="0" w:color="auto"/>
      </w:divBdr>
    </w:div>
    <w:div w:id="623536265">
      <w:bodyDiv w:val="1"/>
      <w:marLeft w:val="0"/>
      <w:marRight w:val="0"/>
      <w:marTop w:val="0"/>
      <w:marBottom w:val="0"/>
      <w:divBdr>
        <w:top w:val="none" w:sz="0" w:space="0" w:color="auto"/>
        <w:left w:val="none" w:sz="0" w:space="0" w:color="auto"/>
        <w:bottom w:val="none" w:sz="0" w:space="0" w:color="auto"/>
        <w:right w:val="none" w:sz="0" w:space="0" w:color="auto"/>
      </w:divBdr>
    </w:div>
    <w:div w:id="701592781">
      <w:bodyDiv w:val="1"/>
      <w:marLeft w:val="0"/>
      <w:marRight w:val="0"/>
      <w:marTop w:val="0"/>
      <w:marBottom w:val="0"/>
      <w:divBdr>
        <w:top w:val="none" w:sz="0" w:space="0" w:color="auto"/>
        <w:left w:val="none" w:sz="0" w:space="0" w:color="auto"/>
        <w:bottom w:val="none" w:sz="0" w:space="0" w:color="auto"/>
        <w:right w:val="none" w:sz="0" w:space="0" w:color="auto"/>
      </w:divBdr>
      <w:divsChild>
        <w:div w:id="1130631587">
          <w:marLeft w:val="0"/>
          <w:marRight w:val="0"/>
          <w:marTop w:val="0"/>
          <w:marBottom w:val="0"/>
          <w:divBdr>
            <w:top w:val="none" w:sz="0" w:space="0" w:color="auto"/>
            <w:left w:val="none" w:sz="0" w:space="0" w:color="auto"/>
            <w:bottom w:val="none" w:sz="0" w:space="0" w:color="auto"/>
            <w:right w:val="none" w:sz="0" w:space="0" w:color="auto"/>
          </w:divBdr>
        </w:div>
        <w:div w:id="573515512">
          <w:marLeft w:val="0"/>
          <w:marRight w:val="0"/>
          <w:marTop w:val="0"/>
          <w:marBottom w:val="0"/>
          <w:divBdr>
            <w:top w:val="none" w:sz="0" w:space="0" w:color="auto"/>
            <w:left w:val="none" w:sz="0" w:space="0" w:color="auto"/>
            <w:bottom w:val="none" w:sz="0" w:space="0" w:color="auto"/>
            <w:right w:val="none" w:sz="0" w:space="0" w:color="auto"/>
          </w:divBdr>
        </w:div>
        <w:div w:id="222330032">
          <w:marLeft w:val="0"/>
          <w:marRight w:val="0"/>
          <w:marTop w:val="0"/>
          <w:marBottom w:val="0"/>
          <w:divBdr>
            <w:top w:val="none" w:sz="0" w:space="0" w:color="auto"/>
            <w:left w:val="none" w:sz="0" w:space="0" w:color="auto"/>
            <w:bottom w:val="none" w:sz="0" w:space="0" w:color="auto"/>
            <w:right w:val="none" w:sz="0" w:space="0" w:color="auto"/>
          </w:divBdr>
        </w:div>
        <w:div w:id="630987506">
          <w:marLeft w:val="0"/>
          <w:marRight w:val="0"/>
          <w:marTop w:val="0"/>
          <w:marBottom w:val="0"/>
          <w:divBdr>
            <w:top w:val="none" w:sz="0" w:space="0" w:color="auto"/>
            <w:left w:val="none" w:sz="0" w:space="0" w:color="auto"/>
            <w:bottom w:val="none" w:sz="0" w:space="0" w:color="auto"/>
            <w:right w:val="none" w:sz="0" w:space="0" w:color="auto"/>
          </w:divBdr>
        </w:div>
        <w:div w:id="1330209890">
          <w:marLeft w:val="0"/>
          <w:marRight w:val="0"/>
          <w:marTop w:val="0"/>
          <w:marBottom w:val="0"/>
          <w:divBdr>
            <w:top w:val="none" w:sz="0" w:space="0" w:color="auto"/>
            <w:left w:val="none" w:sz="0" w:space="0" w:color="auto"/>
            <w:bottom w:val="none" w:sz="0" w:space="0" w:color="auto"/>
            <w:right w:val="none" w:sz="0" w:space="0" w:color="auto"/>
          </w:divBdr>
        </w:div>
        <w:div w:id="350641546">
          <w:marLeft w:val="0"/>
          <w:marRight w:val="0"/>
          <w:marTop w:val="0"/>
          <w:marBottom w:val="0"/>
          <w:divBdr>
            <w:top w:val="none" w:sz="0" w:space="0" w:color="auto"/>
            <w:left w:val="none" w:sz="0" w:space="0" w:color="auto"/>
            <w:bottom w:val="none" w:sz="0" w:space="0" w:color="auto"/>
            <w:right w:val="none" w:sz="0" w:space="0" w:color="auto"/>
          </w:divBdr>
        </w:div>
      </w:divsChild>
    </w:div>
    <w:div w:id="729691334">
      <w:bodyDiv w:val="1"/>
      <w:marLeft w:val="0"/>
      <w:marRight w:val="0"/>
      <w:marTop w:val="0"/>
      <w:marBottom w:val="0"/>
      <w:divBdr>
        <w:top w:val="none" w:sz="0" w:space="0" w:color="auto"/>
        <w:left w:val="none" w:sz="0" w:space="0" w:color="auto"/>
        <w:bottom w:val="none" w:sz="0" w:space="0" w:color="auto"/>
        <w:right w:val="none" w:sz="0" w:space="0" w:color="auto"/>
      </w:divBdr>
    </w:div>
    <w:div w:id="884295073">
      <w:bodyDiv w:val="1"/>
      <w:marLeft w:val="0"/>
      <w:marRight w:val="0"/>
      <w:marTop w:val="0"/>
      <w:marBottom w:val="0"/>
      <w:divBdr>
        <w:top w:val="none" w:sz="0" w:space="0" w:color="auto"/>
        <w:left w:val="none" w:sz="0" w:space="0" w:color="auto"/>
        <w:bottom w:val="none" w:sz="0" w:space="0" w:color="auto"/>
        <w:right w:val="none" w:sz="0" w:space="0" w:color="auto"/>
      </w:divBdr>
    </w:div>
    <w:div w:id="982001768">
      <w:bodyDiv w:val="1"/>
      <w:marLeft w:val="0"/>
      <w:marRight w:val="0"/>
      <w:marTop w:val="0"/>
      <w:marBottom w:val="0"/>
      <w:divBdr>
        <w:top w:val="none" w:sz="0" w:space="0" w:color="auto"/>
        <w:left w:val="none" w:sz="0" w:space="0" w:color="auto"/>
        <w:bottom w:val="none" w:sz="0" w:space="0" w:color="auto"/>
        <w:right w:val="none" w:sz="0" w:space="0" w:color="auto"/>
      </w:divBdr>
    </w:div>
    <w:div w:id="1104501777">
      <w:bodyDiv w:val="1"/>
      <w:marLeft w:val="0"/>
      <w:marRight w:val="0"/>
      <w:marTop w:val="0"/>
      <w:marBottom w:val="0"/>
      <w:divBdr>
        <w:top w:val="none" w:sz="0" w:space="0" w:color="auto"/>
        <w:left w:val="none" w:sz="0" w:space="0" w:color="auto"/>
        <w:bottom w:val="none" w:sz="0" w:space="0" w:color="auto"/>
        <w:right w:val="none" w:sz="0" w:space="0" w:color="auto"/>
      </w:divBdr>
    </w:div>
    <w:div w:id="1151603258">
      <w:bodyDiv w:val="1"/>
      <w:marLeft w:val="0"/>
      <w:marRight w:val="0"/>
      <w:marTop w:val="0"/>
      <w:marBottom w:val="0"/>
      <w:divBdr>
        <w:top w:val="none" w:sz="0" w:space="0" w:color="auto"/>
        <w:left w:val="none" w:sz="0" w:space="0" w:color="auto"/>
        <w:bottom w:val="none" w:sz="0" w:space="0" w:color="auto"/>
        <w:right w:val="none" w:sz="0" w:space="0" w:color="auto"/>
      </w:divBdr>
    </w:div>
    <w:div w:id="1367372523">
      <w:bodyDiv w:val="1"/>
      <w:marLeft w:val="0"/>
      <w:marRight w:val="0"/>
      <w:marTop w:val="0"/>
      <w:marBottom w:val="0"/>
      <w:divBdr>
        <w:top w:val="none" w:sz="0" w:space="0" w:color="auto"/>
        <w:left w:val="none" w:sz="0" w:space="0" w:color="auto"/>
        <w:bottom w:val="none" w:sz="0" w:space="0" w:color="auto"/>
        <w:right w:val="none" w:sz="0" w:space="0" w:color="auto"/>
      </w:divBdr>
    </w:div>
    <w:div w:id="1624726525">
      <w:bodyDiv w:val="1"/>
      <w:marLeft w:val="0"/>
      <w:marRight w:val="0"/>
      <w:marTop w:val="0"/>
      <w:marBottom w:val="0"/>
      <w:divBdr>
        <w:top w:val="none" w:sz="0" w:space="0" w:color="auto"/>
        <w:left w:val="none" w:sz="0" w:space="0" w:color="auto"/>
        <w:bottom w:val="none" w:sz="0" w:space="0" w:color="auto"/>
        <w:right w:val="none" w:sz="0" w:space="0" w:color="auto"/>
      </w:divBdr>
    </w:div>
    <w:div w:id="1706909282">
      <w:bodyDiv w:val="1"/>
      <w:marLeft w:val="0"/>
      <w:marRight w:val="0"/>
      <w:marTop w:val="0"/>
      <w:marBottom w:val="0"/>
      <w:divBdr>
        <w:top w:val="none" w:sz="0" w:space="0" w:color="auto"/>
        <w:left w:val="none" w:sz="0" w:space="0" w:color="auto"/>
        <w:bottom w:val="none" w:sz="0" w:space="0" w:color="auto"/>
        <w:right w:val="none" w:sz="0" w:space="0" w:color="auto"/>
      </w:divBdr>
    </w:div>
    <w:div w:id="1771269511">
      <w:bodyDiv w:val="1"/>
      <w:marLeft w:val="0"/>
      <w:marRight w:val="0"/>
      <w:marTop w:val="0"/>
      <w:marBottom w:val="0"/>
      <w:divBdr>
        <w:top w:val="none" w:sz="0" w:space="0" w:color="auto"/>
        <w:left w:val="none" w:sz="0" w:space="0" w:color="auto"/>
        <w:bottom w:val="none" w:sz="0" w:space="0" w:color="auto"/>
        <w:right w:val="none" w:sz="0" w:space="0" w:color="auto"/>
      </w:divBdr>
    </w:div>
    <w:div w:id="2006545054">
      <w:bodyDiv w:val="1"/>
      <w:marLeft w:val="0"/>
      <w:marRight w:val="0"/>
      <w:marTop w:val="0"/>
      <w:marBottom w:val="0"/>
      <w:divBdr>
        <w:top w:val="none" w:sz="0" w:space="0" w:color="auto"/>
        <w:left w:val="none" w:sz="0" w:space="0" w:color="auto"/>
        <w:bottom w:val="none" w:sz="0" w:space="0" w:color="auto"/>
        <w:right w:val="none" w:sz="0" w:space="0" w:color="auto"/>
      </w:divBdr>
    </w:div>
    <w:div w:id="2114278738">
      <w:bodyDiv w:val="1"/>
      <w:marLeft w:val="0"/>
      <w:marRight w:val="0"/>
      <w:marTop w:val="0"/>
      <w:marBottom w:val="0"/>
      <w:divBdr>
        <w:top w:val="none" w:sz="0" w:space="0" w:color="auto"/>
        <w:left w:val="none" w:sz="0" w:space="0" w:color="auto"/>
        <w:bottom w:val="none" w:sz="0" w:space="0" w:color="auto"/>
        <w:right w:val="none" w:sz="0" w:space="0" w:color="auto"/>
      </w:divBdr>
    </w:div>
    <w:div w:id="2134210449">
      <w:bodyDiv w:val="1"/>
      <w:marLeft w:val="0"/>
      <w:marRight w:val="0"/>
      <w:marTop w:val="0"/>
      <w:marBottom w:val="0"/>
      <w:divBdr>
        <w:top w:val="none" w:sz="0" w:space="0" w:color="auto"/>
        <w:left w:val="none" w:sz="0" w:space="0" w:color="auto"/>
        <w:bottom w:val="none" w:sz="0" w:space="0" w:color="auto"/>
        <w:right w:val="none" w:sz="0" w:space="0" w:color="auto"/>
      </w:divBdr>
    </w:div>
    <w:div w:id="214507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mbridgeshire.gov.uk/data-protection-and-foi/open-data-and-website-statistics/open-dat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ontractSuppliers@proacti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contract@due-north.com/Logi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33\Essential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F87CB458F5E74AA4385E9F65D69928" ma:contentTypeVersion="21" ma:contentTypeDescription="Create a new document." ma:contentTypeScope="" ma:versionID="58da90510c92cebbd5a61dccbe7cf984">
  <xsd:schema xmlns:xsd="http://www.w3.org/2001/XMLSchema" xmlns:xs="http://www.w3.org/2001/XMLSchema" xmlns:p="http://schemas.microsoft.com/office/2006/metadata/properties" xmlns:ns2="5a23d0fe-0b9e-4e9f-933e-172fdb8caa56" xmlns:ns3="80ffbe11-da4c-4b5d-802d-0d0ca4320d26" targetNamespace="http://schemas.microsoft.com/office/2006/metadata/properties" ma:root="true" ma:fieldsID="575eaaa5447b45fc1077d8b0f5ac55e7" ns2:_="" ns3:_="">
    <xsd:import namespace="5a23d0fe-0b9e-4e9f-933e-172fdb8caa56"/>
    <xsd:import namespace="80ffbe11-da4c-4b5d-802d-0d0ca4320d26"/>
    <xsd:element name="properties">
      <xsd:complexType>
        <xsd:sequence>
          <xsd:element name="documentManagement">
            <xsd:complexType>
              <xsd:all>
                <xsd:element ref="ns2:Project_x0020_Name" minOccurs="0"/>
                <xsd:element ref="ns2:Project_x0020_Ref" minOccurs="0"/>
                <xsd:element ref="ns2:Project_x0020_Stage"/>
                <xsd:element ref="ns2:Project_x0020_Status"/>
                <xsd:element ref="ns3:Procurement_x0020_Lead2"/>
                <xsd:element ref="ns3:NEW_x0020_2019_x0020_NC_x0020_Funeral_x0020_Servic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3d0fe-0b9e-4e9f-933e-172fdb8caa56" elementFormDefault="qualified">
    <xsd:import namespace="http://schemas.microsoft.com/office/2006/documentManagement/types"/>
    <xsd:import namespace="http://schemas.microsoft.com/office/infopath/2007/PartnerControls"/>
    <xsd:element name="Project_x0020_Name" ma:index="8" nillable="true" ma:displayName="Project Name" ma:format="Dropdown" ma:internalName="Project_x0020_Name">
      <xsd:simpleType>
        <xsd:restriction base="dms:Choice">
          <xsd:enumeration value="Archaeological Services CCC"/>
          <xsd:enumeration value="Cambridgeshire and Peterborough Carers Support Services"/>
          <xsd:enumeration value="Cambridgeshire and Peterborough Integrated Lifestyle Services"/>
          <xsd:enumeration value="Cambridgeshire and Peterborough Multi-disciplinary Floating Support"/>
          <xsd:enumeration value="CCC and PCC Sexual Illhealth Prevention Services"/>
          <xsd:enumeration value="CCC and PCC Supervised Contact"/>
          <xsd:enumeration value="CCC and PCC Supported Accommodation Service for LAC 16-18"/>
          <xsd:enumeration value="CCC Adult Positive Challenge"/>
          <xsd:enumeration value="CCC Adult Transformation"/>
          <xsd:enumeration value="CCC Appropriate Adult and Reparation Services"/>
          <xsd:enumeration value="CCC Associate Advisors"/>
          <xsd:enumeration value="CCC Autism Support Services"/>
          <xsd:enumeration value="CCC Cambridge City Homelessness support and reablement service"/>
          <xsd:enumeration value="CCC Cambridgeshire Healthy Lifestyles and Stop Smoking Services"/>
          <xsd:enumeration value="CCC Cambridgeshire Lifeline Project Alarm Receiving Centre"/>
          <xsd:enumeration value="CCC Care Home Development"/>
          <xsd:enumeration value="CCC Childminding Support"/>
          <xsd:enumeration value="CCC Children’s External Placements"/>
          <xsd:enumeration value="CCC Children’s Residential and Support Accommodation"/>
          <xsd:enumeration value="CCC Complaints Management Framework"/>
          <xsd:enumeration value="CCC Community Short Breaks for Disabled Children and Young People"/>
          <xsd:enumeration value="CCC Coroners"/>
          <xsd:enumeration value="CCC Day Opportunities for Adults with Learning Disabilities"/>
          <xsd:enumeration value="CCC Direct Payment Support Service"/>
          <xsd:enumeration value="CCC East Barnwell"/>
          <xsd:enumeration value="CCC Extra Care Schemes BL, EP, MH, NC and SC"/>
          <xsd:enumeration value="CCC Extra Care Schemes DC, JC NC and PV"/>
          <xsd:enumeration value="CCC Hinchingbrooke and Addenbrookes Care Home Trusted Assessor"/>
          <xsd:enumeration value="CCC Home and Community Support"/>
          <xsd:enumeration value="CCC Home Care"/>
          <xsd:enumeration value="CCC Homelessness Services"/>
          <xsd:enumeration value="CCC Housing Related Support"/>
          <xsd:enumeration value="CCC LD Residential and Supported Living Services for Adults with a Learning Disability"/>
          <xsd:enumeration value="CCC Mediation and Dispute Resolution"/>
          <xsd:enumeration value="CCC Mental Health Accommodation Services"/>
          <xsd:enumeration value="CCC Mental Health Community Support and Prevention Service"/>
          <xsd:enumeration value="CCC Mental Health Housing Related Support (The Haven)"/>
          <xsd:enumeration value="CCC Mental Health Recovery and Inclusion"/>
          <xsd:enumeration value="CCC Multi-Systemic Therapies (MST)"/>
          <xsd:enumeration value="CCC Nursing and Residential Block Bed Contracts"/>
          <xsd:enumeration value="CCC Older People's Residential and Nursing Block Bed Contracts"/>
          <xsd:enumeration value="CCC Older People's Residential and Nursing Block Bed Contracts (Revised)"/>
          <xsd:enumeration value="CCC Primary Care DPS"/>
          <xsd:enumeration value="CCC Provision of Childcare at The  Annex, Blinco Grove"/>
          <xsd:enumeration value="CCC RAA"/>
          <xsd:enumeration value="CCC Rapid Discharge and Transition Service Call-Off 2017"/>
          <xsd:enumeration value="CCC Residential and Nursing Framework"/>
          <xsd:enumeration value="CCC Return Interviews for Children &amp; Young People Missing from Home/Care"/>
          <xsd:enumeration value="CCC Sexual and Reproductive Health"/>
          <xsd:enumeration value="CCC Short Breaks"/>
          <xsd:enumeration value="CCC Support Services to LGBT and Questioning Young People"/>
          <xsd:enumeration value="CCC Supported Accommodation"/>
          <xsd:enumeration value="CCC Supported Accommodation for Young People"/>
          <xsd:enumeration value="CCC Supported living – Mini competition"/>
          <xsd:enumeration value="CCC Young Parents Programme"/>
          <xsd:enumeration value="CCC and Peterbough City Council VAA Regional Adoption Agency (RAA)"/>
          <xsd:enumeration value="Central East Regional Adoption Agency"/>
          <xsd:enumeration value="Consultancy (Social Care, Health, Education and Wellbeing)”"/>
          <xsd:enumeration value="CPCCG Discharge Cars and Transition to Mainstream Service"/>
          <xsd:enumeration value="CPCCG Minor Eye Conditions Service"/>
          <xsd:enumeration value="CPCCG Social Prescribing and Wellbeing"/>
          <xsd:enumeration value="DN521878 Call for Competition Under the Northamptonshire County Council Home Care Services - Lead Provider Status East Northants Zone and Daventry Zone 1"/>
          <xsd:enumeration value="DN521880 Call for Competition Under the Northamptonshire County Council Home Care Services - Daventry Zone 2"/>
          <xsd:enumeration value="Early Years Business Support"/>
          <xsd:enumeration value="East Midlands Regional Children's Framework Agreement 2018"/>
          <xsd:enumeration value="EastWest Rail – Eastern Section"/>
          <xsd:enumeration value="Education ICT CRM System"/>
          <xsd:enumeration value="Education ICT Data Centre"/>
          <xsd:enumeration value="EMRCF Further Competition for Block Beds in Northamptonshire"/>
          <xsd:enumeration value="FFW Lifestyle Weight Management DPS"/>
          <xsd:enumeration value="FFW NRT DPS"/>
          <xsd:enumeration value="Further Competition under Lot 1.2: Independent Fostering Agency placements for Children in Care"/>
          <xsd:enumeration value="Greater Cambridge City Deal – A428/A1303/Western Orbital/A1307"/>
          <xsd:enumeration value="Green Waste Disposal NCC"/>
          <xsd:enumeration value="Jeandre Hunter"/>
          <xsd:enumeration value="NASS Supported Living in Northampton"/>
          <xsd:enumeration value="NBC Funeral Services (2019)"/>
          <xsd:enumeration value="NBC Temporary Accommodation for Homeless People"/>
          <xsd:enumeration value="NEW 2019 NBC Funeral Services"/>
          <xsd:enumeration value="New 2019 NBC Temporary Accommodation for Homeless People"/>
          <xsd:enumeration value="NCC Alternative Education Provision"/>
          <xsd:enumeration value="NCC Assistive Technology"/>
          <xsd:enumeration value="NCC Brighter Futures Commissioning and Contract Framework"/>
          <xsd:enumeration value="NCC Call off for Northamptonshire County Council Home Care Services (Lead Providers)"/>
          <xsd:enumeration value="NCC Care Leavers Support Service at Belinda Ferrison House"/>
          <xsd:enumeration value="NCC Children and Families Framework"/>
          <xsd:enumeration value="NCC Commissioning Framework for People with a Learning Disability"/>
          <xsd:enumeration value="NCC Community Equipment"/>
          <xsd:enumeration value="NCC Community Living Services 2016-2020"/>
          <xsd:enumeration value="NCC Coroner’s Services"/>
          <xsd:enumeration value="NCC CSSH FW – Bective House"/>
          <xsd:enumeration value="NCC CSSH FW – Carey Street"/>
          <xsd:enumeration value="NCC CSSH FW – Saxon Court"/>
          <xsd:enumeration value="NCC CSSH FW SC3 2019 Re-opening"/>
          <xsd:enumeration value="NCC CSSH FW – Trinity"/>
          <xsd:enumeration value="NCC Diagnostics Newton Europe"/>
          <xsd:enumeration value="NCC Domestic Abuse"/>
          <xsd:enumeration value="NCC DPS Interim Block Beds"/>
          <xsd:enumeration value="NCC Early Intervention/Targeted Support Services for Children in Corby"/>
          <xsd:enumeration value="NCC EOI Extra Care Schemes"/>
          <xsd:enumeration value="NCC Expression of Interest - Care Home and Specialist Accommodation Capacity in Northamptonshire"/>
          <xsd:enumeration value="NCC Family Group Conference"/>
          <xsd:enumeration value="NCC Family Support Link"/>
          <xsd:enumeration value="NCC Further competition from Lot 1 - Supported Living for People with Learning Disability"/>
          <xsd:enumeration value="NCC Health Checks"/>
          <xsd:enumeration value="NCC Health Checks IT Software"/>
          <xsd:enumeration value="NCC Home Care 2017"/>
          <xsd:enumeration value="NCC Home Care Services framework"/>
          <xsd:enumeration value="NCC IFA &amp; Childrens Homes Framework 2019"/>
          <xsd:enumeration value="NCC Intensive Support Services"/>
          <xsd:enumeration value="NCC ISA (Independent Support Accommodation)"/>
          <xsd:enumeration value="NCC ISA Framework 2019"/>
          <xsd:enumeration value="NCC Moray Lodge (CSSH FW)"/>
          <xsd:enumeration value="NCC NEET 2021"/>
          <xsd:enumeration value="NCC Newton Europe"/>
          <xsd:enumeration value="NCC Nicotine Replacement Therapy"/>
          <xsd:enumeration value="NCC NORTHAMPTONSHIRE PERSONAL CARE AND SUPPORT SERVICES FOR CHILDREN WITH DISABILITIES"/>
          <xsd:enumeration value="NCC Partnering Framework - ICT for Vesting Day"/>
          <xsd:enumeration value="NCC Pathology Services"/>
          <xsd:enumeration value="NCC Permanent Nursing Bed Blocks"/>
          <xsd:enumeration value="NCC Personal Support and Care Services Call-Off"/>
          <xsd:enumeration value="NCC Point of Care Testing Equipment"/>
          <xsd:enumeration value="NCC Prevention – Hearing Impaired"/>
          <xsd:enumeration value="NCC Prevention – Visually Impaired"/>
          <xsd:enumeration value="NCC Prison Care"/>
          <xsd:enumeration value="NCC Provision of Residential Short Breaks for Children with Disabilities"/>
          <xsd:enumeration value="NCC Public Health Referral Management System"/>
          <xsd:enumeration value="NCC Residential and Nursing Care Homes 2021"/>
          <xsd:enumeration value="NCC Residential Care Home; New Build, Design and Refurbish and Design and Rebuild opportunities"/>
          <xsd:enumeration value="NCC Residential Care and Nursing Homes"/>
          <xsd:enumeration value="NCC RFQ for 2019/20 Dental Epidemiology Survey for 3 Year Olds"/>
          <xsd:enumeration value="NCC Services to People with a Learning Disability"/>
          <xsd:enumeration value="NCC Targeted Child Sexual Exploitation (CSE)"/>
          <xsd:enumeration value="NCC Targeted Safeguarding Support Services for Children and Young People"/>
          <xsd:enumeration value="NCC Target Operating Model"/>
          <xsd:enumeration value="NCC Tier 2 Home Care Services"/>
          <xsd:enumeration value="NCC VSH/Extra Care"/>
          <xsd:enumeration value="NCC Weight Management Digital Service"/>
          <xsd:enumeration value="NCC Weight Management Framework"/>
          <xsd:enumeration value="Northamptonshire County Council Call for Expression of Interest and Call for Competition and for Management Consultancy Framework Two (MCF2) Lot 3 Complex And Transformation Consultancy Services"/>
          <xsd:enumeration value="Parish Record Digitisation Project CCC"/>
          <xsd:enumeration value="Planning"/>
          <xsd:enumeration value="SEND Legal Services"/>
          <xsd:enumeration value="Social Care Presentations"/>
          <xsd:enumeration value="Templates"/>
          <xsd:enumeration value="Young parents programme"/>
        </xsd:restriction>
      </xsd:simpleType>
    </xsd:element>
    <xsd:element name="Project_x0020_Ref" ma:index="9" nillable="true" ma:displayName="Project Ref" ma:internalName="Project_x0020_Ref">
      <xsd:simpleType>
        <xsd:restriction base="dms:Text">
          <xsd:maxLength value="255"/>
        </xsd:restriction>
      </xsd:simpleType>
    </xsd:element>
    <xsd:element name="Project_x0020_Stage" ma:index="10" ma:displayName="Project Stage" ma:format="Dropdown" ma:internalName="Project_x0020_Stage">
      <xsd:simpleType>
        <xsd:restriction base="dms:Choice">
          <xsd:enumeration value="1 Pre Procurement"/>
          <xsd:enumeration value="2 SQ"/>
          <xsd:enumeration value="2.1 SQ Evaluation"/>
          <xsd:enumeration value="2.2 SQ Moderation"/>
          <xsd:enumeration value="3 ITT"/>
          <xsd:enumeration value="3.1 ITT Evaluation"/>
          <xsd:enumeration value="3.2 ITT Moderation"/>
          <xsd:enumeration value="4 Award"/>
          <xsd:enumeration value="5 Contract Management"/>
          <xsd:enumeration value="6 Templates"/>
        </xsd:restriction>
      </xsd:simpleType>
    </xsd:element>
    <xsd:element name="Project_x0020_Status" ma:index="11" ma:displayName="Project Status" ma:format="Dropdown" ma:internalName="Project_x0020_Status">
      <xsd:simpleType>
        <xsd:restriction base="dms:Choice">
          <xsd:enumeration value="Active"/>
          <xsd:enumeration value="Archived"/>
          <xsd:enumeration value="DI Archived"/>
          <xsd:enumeration value="JJJ_Archived"/>
          <xsd:enumeration value="PPP_Archived"/>
          <xsd:enumeration value="SSS_Archived"/>
          <xsd:enumeration value="TTT_Archived"/>
          <xsd:enumeration value="WWW_Archived"/>
          <xsd:enumeration value="XXX_Archived"/>
          <xsd:enumeration value="YYY_Archived"/>
        </xsd:restriction>
      </xsd:simpleType>
    </xsd:element>
  </xsd:schema>
  <xsd:schema xmlns:xsd="http://www.w3.org/2001/XMLSchema" xmlns:xs="http://www.w3.org/2001/XMLSchema" xmlns:dms="http://schemas.microsoft.com/office/2006/documentManagement/types" xmlns:pc="http://schemas.microsoft.com/office/infopath/2007/PartnerControls" targetNamespace="80ffbe11-da4c-4b5d-802d-0d0ca4320d26" elementFormDefault="qualified">
    <xsd:import namespace="http://schemas.microsoft.com/office/2006/documentManagement/types"/>
    <xsd:import namespace="http://schemas.microsoft.com/office/infopath/2007/PartnerControls"/>
    <xsd:element name="Procurement_x0020_Lead2" ma:index="12" ma:displayName="Procurement Lead" ma:list="UserInfo" ma:SharePointGroup="0" ma:internalName="Procurement_x0020_Lead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EW_x0020_2019_x0020_NC_x0020_Funeral_x0020_Services" ma:index="13" nillable="true" ma:displayName="NEW 2019 NC Funeral Services" ma:internalName="NEW_x0020_2019_x0020_NC_x0020_Funeral_x0020_Service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documentManagement>
    <Project_x0020_Status xmlns="5a23d0fe-0b9e-4e9f-933e-172fdb8caa56">YYY_Archived</Project_x0020_Status>
    <Procurement_x0020_Lead2 xmlns="80ffbe11-da4c-4b5d-802d-0d0ca4320d26">
      <UserInfo>
        <DisplayName>Amy Myers</DisplayName>
        <AccountId>159</AccountId>
        <AccountType/>
      </UserInfo>
    </Procurement_x0020_Lead2>
    <Project_x0020_Name xmlns="5a23d0fe-0b9e-4e9f-933e-172fdb8caa56">CCC Primary Care DPS</Project_x0020_Name>
    <Project_x0020_Stage xmlns="5a23d0fe-0b9e-4e9f-933e-172fdb8caa56">3 ITT</Project_x0020_Stage>
    <Project_x0020_Ref xmlns="5a23d0fe-0b9e-4e9f-933e-172fdb8caa56" xsi:nil="true"/>
    <NEW_x0020_2019_x0020_NC_x0020_Funeral_x0020_Services xmlns="80ffbe11-da4c-4b5d-802d-0d0ca4320d26" xsi:nil="true"/>
  </documentManagement>
</p:properties>
</file>

<file path=customXml/itemProps1.xml><?xml version="1.0" encoding="utf-8"?>
<ds:datastoreItem xmlns:ds="http://schemas.openxmlformats.org/officeDocument/2006/customXml" ds:itemID="{032E6AB3-2D54-46F5-A10D-497162BDD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3d0fe-0b9e-4e9f-933e-172fdb8caa56"/>
    <ds:schemaRef ds:uri="80ffbe11-da4c-4b5d-802d-0d0ca4320d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210DEA-6435-4582-BB9F-5E5EED71CAA3}">
  <ds:schemaRefs>
    <ds:schemaRef ds:uri="http://schemas.microsoft.com/sharepoint/v3/contenttype/forms"/>
  </ds:schemaRefs>
</ds:datastoreItem>
</file>

<file path=customXml/itemProps3.xml><?xml version="1.0" encoding="utf-8"?>
<ds:datastoreItem xmlns:ds="http://schemas.openxmlformats.org/officeDocument/2006/customXml" ds:itemID="{3A00109C-BDF1-4BCA-994A-C35CAA91F88E}">
  <ds:schemaRefs>
    <ds:schemaRef ds:uri="http://schemas.openxmlformats.org/officeDocument/2006/bibliography"/>
  </ds:schemaRefs>
</ds:datastoreItem>
</file>

<file path=customXml/itemProps4.xml><?xml version="1.0" encoding="utf-8"?>
<ds:datastoreItem xmlns:ds="http://schemas.openxmlformats.org/officeDocument/2006/customXml" ds:itemID="{027B801B-F487-4DB5-9A68-A6104B770E47}">
  <ds:schemaRefs>
    <ds:schemaRef ds:uri="http://purl.org/dc/terms/"/>
    <ds:schemaRef ds:uri="http://schemas.microsoft.com/office/2006/metadata/propertie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5a23d0fe-0b9e-4e9f-933e-172fdb8caa56"/>
    <ds:schemaRef ds:uri="edfcf3f2-5e2b-4100-a237-45580b929833"/>
    <ds:schemaRef ds:uri="http://www.w3.org/XML/1998/namespace"/>
    <ds:schemaRef ds:uri="80ffbe11-da4c-4b5d-802d-0d0ca4320d26"/>
  </ds:schemaRefs>
</ds:datastoreItem>
</file>

<file path=docProps/app.xml><?xml version="1.0" encoding="utf-8"?>
<Properties xmlns="http://schemas.openxmlformats.org/officeDocument/2006/extended-properties" xmlns:vt="http://schemas.openxmlformats.org/officeDocument/2006/docPropsVTypes">
  <Template>EssentialReport</Template>
  <TotalTime>1</TotalTime>
  <Pages>18</Pages>
  <Words>5650</Words>
  <Characters>32211</Characters>
  <Application>Microsoft Office Word</Application>
  <DocSecurity>4</DocSecurity>
  <Lines>268</Lines>
  <Paragraphs>75</Paragraphs>
  <ScaleCrop>false</ScaleCrop>
  <HeadingPairs>
    <vt:vector size="2" baseType="variant">
      <vt:variant>
        <vt:lpstr>Title</vt:lpstr>
      </vt:variant>
      <vt:variant>
        <vt:i4>1</vt:i4>
      </vt:variant>
    </vt:vector>
  </HeadingPairs>
  <TitlesOfParts>
    <vt:vector size="1" baseType="lpstr">
      <vt:lpstr>Invitation To Tender</vt:lpstr>
    </vt:vector>
  </TitlesOfParts>
  <Company>Northamptonshire County Council</Company>
  <LinksUpToDate>false</LinksUpToDate>
  <CharactersWithSpaces>37786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dc:title>
  <dc:creator>Gus dS</dc:creator>
  <cp:lastModifiedBy>Kerri Marshall</cp:lastModifiedBy>
  <cp:revision>2</cp:revision>
  <cp:lastPrinted>2019-03-22T11:45:00Z</cp:lastPrinted>
  <dcterms:created xsi:type="dcterms:W3CDTF">2021-05-27T14:24:00Z</dcterms:created>
  <dcterms:modified xsi:type="dcterms:W3CDTF">2021-05-27T14:24:00Z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0x01010052F87CB458F5E74AA4385E9F65D69928</vt:lpwstr>
  </property>
</Properties>
</file>