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9AC28" w14:textId="77777777" w:rsidR="00214F92" w:rsidRPr="00F875EE" w:rsidRDefault="00214F92" w:rsidP="00FF3535">
      <w:pPr>
        <w:jc w:val="center"/>
        <w:rPr>
          <w:b/>
          <w:bCs/>
          <w:sz w:val="16"/>
          <w:szCs w:val="16"/>
        </w:rPr>
      </w:pPr>
      <w:bookmarkStart w:id="0" w:name="_GoBack"/>
      <w:bookmarkEnd w:id="0"/>
    </w:p>
    <w:p w14:paraId="37892E61" w14:textId="2252E6F5" w:rsidR="00FD3A85" w:rsidRDefault="009417C0" w:rsidP="008400BE">
      <w:pPr>
        <w:jc w:val="center"/>
        <w:rPr>
          <w:b/>
          <w:bCs/>
          <w:sz w:val="22"/>
          <w:szCs w:val="22"/>
          <w:u w:val="single"/>
        </w:rPr>
      </w:pPr>
      <w:r w:rsidRPr="00214F92">
        <w:rPr>
          <w:b/>
          <w:bCs/>
          <w:sz w:val="22"/>
          <w:szCs w:val="22"/>
          <w:u w:val="single"/>
        </w:rPr>
        <w:t xml:space="preserve">Local </w:t>
      </w:r>
      <w:r w:rsidR="003374A1" w:rsidRPr="00214F92">
        <w:rPr>
          <w:b/>
          <w:bCs/>
          <w:sz w:val="22"/>
          <w:szCs w:val="22"/>
          <w:u w:val="single"/>
        </w:rPr>
        <w:t>Stop Smoking Services in Oxfordshire</w:t>
      </w:r>
      <w:r w:rsidR="00262927">
        <w:rPr>
          <w:b/>
          <w:bCs/>
          <w:sz w:val="22"/>
          <w:szCs w:val="22"/>
          <w:u w:val="single"/>
        </w:rPr>
        <w:t xml:space="preserve"> </w:t>
      </w:r>
      <w:r w:rsidR="00214F92" w:rsidRPr="00214F92">
        <w:rPr>
          <w:b/>
          <w:bCs/>
          <w:sz w:val="22"/>
          <w:szCs w:val="22"/>
          <w:u w:val="single"/>
        </w:rPr>
        <w:t xml:space="preserve">– A </w:t>
      </w:r>
      <w:r w:rsidR="00214F92" w:rsidRPr="3EE94C4D">
        <w:rPr>
          <w:b/>
          <w:bCs/>
          <w:sz w:val="22"/>
          <w:szCs w:val="22"/>
          <w:u w:val="single"/>
        </w:rPr>
        <w:t>Potted</w:t>
      </w:r>
      <w:r w:rsidR="00214F92" w:rsidRPr="00214F92">
        <w:rPr>
          <w:b/>
          <w:bCs/>
          <w:sz w:val="22"/>
          <w:szCs w:val="22"/>
          <w:u w:val="single"/>
        </w:rPr>
        <w:t xml:space="preserve"> History</w:t>
      </w:r>
    </w:p>
    <w:p w14:paraId="61731972" w14:textId="17A41F74" w:rsidR="00B63E4E" w:rsidRDefault="00B63E4E" w:rsidP="008400BE">
      <w:pPr>
        <w:jc w:val="center"/>
        <w:rPr>
          <w:b/>
          <w:bCs/>
          <w:sz w:val="22"/>
          <w:szCs w:val="22"/>
          <w:u w:val="single"/>
        </w:rPr>
      </w:pPr>
    </w:p>
    <w:p w14:paraId="0E577458" w14:textId="74E98EF8" w:rsidR="00B63E4E" w:rsidRPr="00214F92" w:rsidRDefault="00B63E4E" w:rsidP="008400BE">
      <w:pPr>
        <w:jc w:val="center"/>
        <w:rPr>
          <w:b/>
          <w:bCs/>
          <w:sz w:val="22"/>
          <w:szCs w:val="22"/>
          <w:u w:val="single"/>
        </w:rPr>
      </w:pPr>
      <w:r>
        <w:rPr>
          <w:b/>
          <w:bCs/>
          <w:sz w:val="22"/>
          <w:szCs w:val="22"/>
          <w:u w:val="single"/>
        </w:rPr>
        <w:t>Note – This is supporting information only to assist suppliers with the Invitation to Tender (ITT) but will not form part of the Contract)</w:t>
      </w:r>
    </w:p>
    <w:p w14:paraId="53578E7B" w14:textId="77777777" w:rsidR="00214F92" w:rsidRPr="00F875EE" w:rsidRDefault="00214F92" w:rsidP="008400BE">
      <w:pPr>
        <w:jc w:val="both"/>
        <w:rPr>
          <w:b/>
          <w:bCs/>
          <w:sz w:val="16"/>
          <w:szCs w:val="16"/>
        </w:rPr>
      </w:pPr>
    </w:p>
    <w:p w14:paraId="38FF9215" w14:textId="033E347B" w:rsidR="00214F92" w:rsidRDefault="00186B33" w:rsidP="008400BE">
      <w:pPr>
        <w:jc w:val="both"/>
        <w:rPr>
          <w:sz w:val="22"/>
          <w:szCs w:val="22"/>
        </w:rPr>
      </w:pPr>
      <w:r>
        <w:rPr>
          <w:b/>
          <w:bCs/>
          <w:sz w:val="22"/>
          <w:szCs w:val="22"/>
        </w:rPr>
        <w:t xml:space="preserve">1. </w:t>
      </w:r>
      <w:r w:rsidR="00214F92" w:rsidRPr="00214F92">
        <w:rPr>
          <w:b/>
          <w:bCs/>
          <w:sz w:val="22"/>
          <w:szCs w:val="22"/>
        </w:rPr>
        <w:t>Background</w:t>
      </w:r>
      <w:r w:rsidR="00214F92">
        <w:rPr>
          <w:sz w:val="22"/>
          <w:szCs w:val="22"/>
        </w:rPr>
        <w:t xml:space="preserve"> - </w:t>
      </w:r>
      <w:r w:rsidR="00214F92" w:rsidRPr="00214F92">
        <w:rPr>
          <w:sz w:val="22"/>
          <w:szCs w:val="22"/>
        </w:rPr>
        <w:t xml:space="preserve">In May 2020, Oxfordshire County Council (the Council) issued an invitation to have a conversation with suppliers in the market to help develop the future delivery model of a Local Stop Smoking Service </w:t>
      </w:r>
      <w:r w:rsidR="008400BE">
        <w:rPr>
          <w:sz w:val="22"/>
          <w:szCs w:val="22"/>
        </w:rPr>
        <w:t>(the Service)</w:t>
      </w:r>
      <w:r w:rsidR="00214F92" w:rsidRPr="00214F92">
        <w:rPr>
          <w:sz w:val="22"/>
          <w:szCs w:val="22"/>
        </w:rPr>
        <w:t xml:space="preserve">. </w:t>
      </w:r>
      <w:r w:rsidR="00214F92">
        <w:rPr>
          <w:sz w:val="22"/>
          <w:szCs w:val="22"/>
        </w:rPr>
        <w:t>In doing so it shared a</w:t>
      </w:r>
      <w:r w:rsidR="00214F92" w:rsidRPr="00214F92">
        <w:rPr>
          <w:sz w:val="22"/>
          <w:szCs w:val="22"/>
        </w:rPr>
        <w:t xml:space="preserve"> document </w:t>
      </w:r>
      <w:r w:rsidR="00214F92">
        <w:rPr>
          <w:sz w:val="22"/>
          <w:szCs w:val="22"/>
        </w:rPr>
        <w:t xml:space="preserve">that </w:t>
      </w:r>
      <w:r w:rsidR="00214F92" w:rsidRPr="00214F92">
        <w:rPr>
          <w:sz w:val="22"/>
          <w:szCs w:val="22"/>
        </w:rPr>
        <w:t>aim</w:t>
      </w:r>
      <w:r w:rsidR="00214F92">
        <w:rPr>
          <w:sz w:val="22"/>
          <w:szCs w:val="22"/>
        </w:rPr>
        <w:t>ed</w:t>
      </w:r>
      <w:r w:rsidR="00214F92" w:rsidRPr="00214F92">
        <w:rPr>
          <w:sz w:val="22"/>
          <w:szCs w:val="22"/>
        </w:rPr>
        <w:t xml:space="preserve"> to give suppliers access to a curated library of local data and insight on smoking and tobacco control in Oxfordshire</w:t>
      </w:r>
      <w:r w:rsidR="00214F92">
        <w:rPr>
          <w:sz w:val="22"/>
          <w:szCs w:val="22"/>
        </w:rPr>
        <w:t>:</w:t>
      </w:r>
    </w:p>
    <w:bookmarkStart w:id="1" w:name="_MON_1658307802"/>
    <w:bookmarkEnd w:id="1"/>
    <w:p w14:paraId="485FBA38" w14:textId="1ABE4B2C" w:rsidR="00B63E4E" w:rsidRPr="00214F92" w:rsidRDefault="00B63E4E" w:rsidP="008400BE">
      <w:pPr>
        <w:jc w:val="both"/>
        <w:rPr>
          <w:sz w:val="22"/>
          <w:szCs w:val="22"/>
        </w:rPr>
      </w:pPr>
      <w:r>
        <w:rPr>
          <w:sz w:val="22"/>
          <w:szCs w:val="22"/>
        </w:rPr>
        <w:object w:dxaOrig="1539" w:dyaOrig="995" w14:anchorId="67D15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pt;height:49.55pt" o:ole="">
            <v:imagedata r:id="rId11" o:title=""/>
          </v:shape>
          <o:OLEObject Type="Embed" ProgID="Word.Document.12" ShapeID="_x0000_i1027" DrawAspect="Icon" ObjectID="_1658307858" r:id="rId12">
            <o:FieldCodes>\s</o:FieldCodes>
          </o:OLEObject>
        </w:object>
      </w:r>
    </w:p>
    <w:p w14:paraId="2DB80DE6" w14:textId="1751BC54" w:rsidR="009417C0" w:rsidRPr="001E326C" w:rsidRDefault="00214F92" w:rsidP="001E326C">
      <w:pPr>
        <w:jc w:val="both"/>
        <w:rPr>
          <w:color w:val="000000"/>
          <w:shd w:val="clear" w:color="auto" w:fill="FFFFFF"/>
        </w:rPr>
      </w:pPr>
      <w:r w:rsidRPr="00214F92">
        <w:rPr>
          <w:sz w:val="22"/>
          <w:szCs w:val="22"/>
        </w:rPr>
        <w:t>Feedback from suppliers during the vi</w:t>
      </w:r>
      <w:r w:rsidRPr="00214F92">
        <w:rPr>
          <w:rStyle w:val="normaltextrun"/>
          <w:color w:val="000000"/>
          <w:sz w:val="22"/>
          <w:szCs w:val="22"/>
          <w:shd w:val="clear" w:color="auto" w:fill="FFFFFF"/>
        </w:rPr>
        <w:t>deo-based conversation via Microsoft Teams with the Council on either Wednesday 17</w:t>
      </w:r>
      <w:r w:rsidRPr="00214F92">
        <w:rPr>
          <w:rStyle w:val="normaltextrun"/>
          <w:color w:val="000000"/>
          <w:sz w:val="22"/>
          <w:szCs w:val="22"/>
          <w:shd w:val="clear" w:color="auto" w:fill="FFFFFF"/>
          <w:vertAlign w:val="superscript"/>
        </w:rPr>
        <w:t>th</w:t>
      </w:r>
      <w:r w:rsidRPr="00214F92">
        <w:rPr>
          <w:rStyle w:val="normaltextrun"/>
          <w:color w:val="000000"/>
          <w:sz w:val="22"/>
          <w:szCs w:val="22"/>
          <w:shd w:val="clear" w:color="auto" w:fill="FFFFFF"/>
        </w:rPr>
        <w:t> or Thursday 18</w:t>
      </w:r>
      <w:r w:rsidRPr="00214F92">
        <w:rPr>
          <w:rStyle w:val="normaltextrun"/>
          <w:color w:val="000000"/>
          <w:sz w:val="22"/>
          <w:szCs w:val="22"/>
          <w:shd w:val="clear" w:color="auto" w:fill="FFFFFF"/>
          <w:vertAlign w:val="superscript"/>
        </w:rPr>
        <w:t>th</w:t>
      </w:r>
      <w:r w:rsidRPr="00214F92">
        <w:rPr>
          <w:rStyle w:val="normaltextrun"/>
          <w:color w:val="000000"/>
          <w:sz w:val="22"/>
          <w:szCs w:val="22"/>
          <w:shd w:val="clear" w:color="auto" w:fill="FFFFFF"/>
        </w:rPr>
        <w:t> June 2020</w:t>
      </w:r>
      <w:r w:rsidR="008400BE">
        <w:rPr>
          <w:rStyle w:val="normaltextrun"/>
          <w:color w:val="000000"/>
          <w:sz w:val="22"/>
          <w:szCs w:val="22"/>
          <w:shd w:val="clear" w:color="auto" w:fill="FFFFFF"/>
        </w:rPr>
        <w:t xml:space="preserve"> was a request that, prior to the planned Invitation to Tender (ITT) in the summer 2020, additional </w:t>
      </w:r>
      <w:r w:rsidR="001E326C">
        <w:rPr>
          <w:rStyle w:val="normaltextrun"/>
          <w:color w:val="000000"/>
          <w:sz w:val="22"/>
          <w:szCs w:val="22"/>
          <w:shd w:val="clear" w:color="auto" w:fill="FFFFFF"/>
        </w:rPr>
        <w:t xml:space="preserve">historic </w:t>
      </w:r>
      <w:r w:rsidR="008400BE">
        <w:rPr>
          <w:rStyle w:val="normaltextrun"/>
          <w:color w:val="000000"/>
          <w:sz w:val="22"/>
          <w:szCs w:val="22"/>
          <w:shd w:val="clear" w:color="auto" w:fill="FFFFFF"/>
        </w:rPr>
        <w:t xml:space="preserve">Service </w:t>
      </w:r>
      <w:r w:rsidR="001E326C">
        <w:rPr>
          <w:rStyle w:val="normaltextrun"/>
          <w:color w:val="000000"/>
          <w:sz w:val="22"/>
          <w:szCs w:val="22"/>
          <w:shd w:val="clear" w:color="auto" w:fill="FFFFFF"/>
        </w:rPr>
        <w:t xml:space="preserve">activity level </w:t>
      </w:r>
      <w:r w:rsidR="008400BE">
        <w:rPr>
          <w:rStyle w:val="normaltextrun"/>
          <w:color w:val="000000"/>
          <w:sz w:val="22"/>
          <w:szCs w:val="22"/>
          <w:shd w:val="clear" w:color="auto" w:fill="FFFFFF"/>
        </w:rPr>
        <w:t xml:space="preserve">details were </w:t>
      </w:r>
      <w:r w:rsidR="001E326C">
        <w:rPr>
          <w:rStyle w:val="normaltextrun"/>
          <w:color w:val="000000"/>
          <w:sz w:val="22"/>
          <w:szCs w:val="22"/>
          <w:shd w:val="clear" w:color="auto" w:fill="FFFFFF"/>
        </w:rPr>
        <w:t xml:space="preserve">summarised and </w:t>
      </w:r>
      <w:r w:rsidR="008400BE">
        <w:rPr>
          <w:rStyle w:val="normaltextrun"/>
          <w:color w:val="000000"/>
          <w:sz w:val="22"/>
          <w:szCs w:val="22"/>
          <w:shd w:val="clear" w:color="auto" w:fill="FFFFFF"/>
        </w:rPr>
        <w:t>shared with the market to assist with</w:t>
      </w:r>
      <w:r w:rsidR="001E326C">
        <w:rPr>
          <w:rStyle w:val="normaltextrun"/>
          <w:color w:val="000000"/>
          <w:sz w:val="22"/>
          <w:szCs w:val="22"/>
          <w:shd w:val="clear" w:color="auto" w:fill="FFFFFF"/>
        </w:rPr>
        <w:t xml:space="preserve"> the</w:t>
      </w:r>
      <w:r w:rsidR="008400BE">
        <w:rPr>
          <w:rStyle w:val="normaltextrun"/>
          <w:color w:val="000000"/>
          <w:sz w:val="22"/>
          <w:szCs w:val="22"/>
          <w:shd w:val="clear" w:color="auto" w:fill="FFFFFF"/>
        </w:rPr>
        <w:t xml:space="preserve"> activity profiling</w:t>
      </w:r>
      <w:r w:rsidR="001E326C">
        <w:rPr>
          <w:rStyle w:val="normaltextrun"/>
          <w:color w:val="000000"/>
          <w:sz w:val="22"/>
          <w:szCs w:val="22"/>
          <w:shd w:val="clear" w:color="auto" w:fill="FFFFFF"/>
        </w:rPr>
        <w:t xml:space="preserve"> during the tender</w:t>
      </w:r>
      <w:r w:rsidR="008400BE">
        <w:rPr>
          <w:rStyle w:val="normaltextrun"/>
          <w:color w:val="000000"/>
          <w:sz w:val="22"/>
          <w:szCs w:val="22"/>
          <w:shd w:val="clear" w:color="auto" w:fill="FFFFFF"/>
        </w:rPr>
        <w:t>.</w:t>
      </w:r>
      <w:r w:rsidR="001E326C">
        <w:rPr>
          <w:rStyle w:val="normaltextrun"/>
          <w:color w:val="000000"/>
          <w:sz w:val="22"/>
          <w:szCs w:val="22"/>
          <w:shd w:val="clear" w:color="auto" w:fill="FFFFFF"/>
        </w:rPr>
        <w:t xml:space="preserve"> </w:t>
      </w:r>
      <w:r w:rsidR="009417C0" w:rsidRPr="00214F92">
        <w:rPr>
          <w:sz w:val="22"/>
          <w:szCs w:val="22"/>
        </w:rPr>
        <w:t>Th</w:t>
      </w:r>
      <w:r w:rsidR="008400BE">
        <w:rPr>
          <w:sz w:val="22"/>
          <w:szCs w:val="22"/>
        </w:rPr>
        <w:t>is paper therefore aims to summarise key Service activity</w:t>
      </w:r>
      <w:r w:rsidR="00262927">
        <w:rPr>
          <w:sz w:val="22"/>
          <w:szCs w:val="22"/>
        </w:rPr>
        <w:t>, primarily</w:t>
      </w:r>
      <w:r w:rsidR="008400BE">
        <w:rPr>
          <w:sz w:val="22"/>
          <w:szCs w:val="22"/>
        </w:rPr>
        <w:t xml:space="preserve"> since April 2013, </w:t>
      </w:r>
      <w:r w:rsidR="009417C0" w:rsidRPr="00214F92">
        <w:rPr>
          <w:sz w:val="22"/>
          <w:szCs w:val="22"/>
        </w:rPr>
        <w:t>wh</w:t>
      </w:r>
      <w:r w:rsidR="00262927">
        <w:rPr>
          <w:sz w:val="22"/>
          <w:szCs w:val="22"/>
        </w:rPr>
        <w:t>en</w:t>
      </w:r>
      <w:r w:rsidR="009417C0" w:rsidRPr="00214F92">
        <w:rPr>
          <w:sz w:val="22"/>
          <w:szCs w:val="22"/>
        </w:rPr>
        <w:t xml:space="preserve"> the Council took over the </w:t>
      </w:r>
      <w:r w:rsidR="00462AB2">
        <w:rPr>
          <w:sz w:val="22"/>
          <w:szCs w:val="22"/>
        </w:rPr>
        <w:t>r</w:t>
      </w:r>
      <w:r w:rsidR="009417C0" w:rsidRPr="00214F92">
        <w:rPr>
          <w:sz w:val="22"/>
          <w:szCs w:val="22"/>
        </w:rPr>
        <w:t xml:space="preserve">ole </w:t>
      </w:r>
      <w:r w:rsidR="00462AB2">
        <w:rPr>
          <w:sz w:val="22"/>
          <w:szCs w:val="22"/>
        </w:rPr>
        <w:t>of providing the Service under t</w:t>
      </w:r>
      <w:r w:rsidR="00462AB2" w:rsidRPr="00BF2F71">
        <w:rPr>
          <w:sz w:val="22"/>
          <w:szCs w:val="22"/>
        </w:rPr>
        <w:t>he Health and Social Care Act 2012</w:t>
      </w:r>
      <w:r w:rsidR="00462AB2">
        <w:rPr>
          <w:sz w:val="22"/>
          <w:szCs w:val="22"/>
        </w:rPr>
        <w:t>.</w:t>
      </w:r>
      <w:r w:rsidR="00462AB2" w:rsidRPr="00BF2F71">
        <w:rPr>
          <w:sz w:val="22"/>
          <w:szCs w:val="22"/>
        </w:rPr>
        <w:t xml:space="preserve"> </w:t>
      </w:r>
    </w:p>
    <w:p w14:paraId="70E520CE" w14:textId="1371D423" w:rsidR="009417C0" w:rsidRPr="00F875EE" w:rsidRDefault="009417C0" w:rsidP="008400BE">
      <w:pPr>
        <w:jc w:val="both"/>
        <w:rPr>
          <w:sz w:val="16"/>
          <w:szCs w:val="16"/>
        </w:rPr>
      </w:pPr>
    </w:p>
    <w:p w14:paraId="10E3F718" w14:textId="5DCB3600" w:rsidR="008400BE" w:rsidRPr="008400BE" w:rsidRDefault="00186B33" w:rsidP="008400BE">
      <w:pPr>
        <w:jc w:val="both"/>
        <w:rPr>
          <w:sz w:val="22"/>
          <w:szCs w:val="22"/>
        </w:rPr>
      </w:pPr>
      <w:r w:rsidRPr="66A831A9">
        <w:rPr>
          <w:b/>
          <w:bCs/>
          <w:sz w:val="22"/>
          <w:szCs w:val="22"/>
        </w:rPr>
        <w:t xml:space="preserve">2. </w:t>
      </w:r>
      <w:r w:rsidR="008400BE" w:rsidRPr="66A831A9">
        <w:rPr>
          <w:b/>
          <w:bCs/>
          <w:sz w:val="22"/>
          <w:szCs w:val="22"/>
        </w:rPr>
        <w:t xml:space="preserve">A </w:t>
      </w:r>
      <w:r w:rsidR="00462AB2" w:rsidRPr="66A831A9">
        <w:rPr>
          <w:b/>
          <w:bCs/>
          <w:sz w:val="22"/>
          <w:szCs w:val="22"/>
        </w:rPr>
        <w:t xml:space="preserve">Brief </w:t>
      </w:r>
      <w:r w:rsidR="008400BE" w:rsidRPr="66A831A9">
        <w:rPr>
          <w:b/>
          <w:bCs/>
          <w:sz w:val="22"/>
          <w:szCs w:val="22"/>
        </w:rPr>
        <w:t>Potted History</w:t>
      </w:r>
    </w:p>
    <w:p w14:paraId="4AE56AE9" w14:textId="217BBF8A" w:rsidR="003374A1" w:rsidRDefault="00072D01" w:rsidP="008400BE">
      <w:pPr>
        <w:pStyle w:val="ListParagraph"/>
        <w:numPr>
          <w:ilvl w:val="0"/>
          <w:numId w:val="1"/>
        </w:numPr>
        <w:jc w:val="both"/>
        <w:rPr>
          <w:sz w:val="22"/>
          <w:szCs w:val="22"/>
        </w:rPr>
      </w:pPr>
      <w:r>
        <w:rPr>
          <w:noProof/>
        </w:rPr>
        <w:drawing>
          <wp:anchor distT="0" distB="0" distL="114300" distR="114300" simplePos="0" relativeHeight="251658240" behindDoc="1" locked="0" layoutInCell="1" allowOverlap="1" wp14:anchorId="236FCE34" wp14:editId="1385CA37">
            <wp:simplePos x="0" y="0"/>
            <wp:positionH relativeFrom="column">
              <wp:posOffset>232410</wp:posOffset>
            </wp:positionH>
            <wp:positionV relativeFrom="paragraph">
              <wp:posOffset>-4445</wp:posOffset>
            </wp:positionV>
            <wp:extent cx="6120000" cy="1263600"/>
            <wp:effectExtent l="1837690" t="0" r="192849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8804917">
                      <a:off x="0" y="0"/>
                      <a:ext cx="6120000" cy="1263600"/>
                    </a:xfrm>
                    <a:prstGeom prst="rect">
                      <a:avLst/>
                    </a:prstGeom>
                  </pic:spPr>
                </pic:pic>
              </a:graphicData>
            </a:graphic>
            <wp14:sizeRelH relativeFrom="margin">
              <wp14:pctWidth>0</wp14:pctWidth>
            </wp14:sizeRelH>
            <wp14:sizeRelV relativeFrom="margin">
              <wp14:pctHeight>0</wp14:pctHeight>
            </wp14:sizeRelV>
          </wp:anchor>
        </w:drawing>
      </w:r>
      <w:r w:rsidR="0007664D" w:rsidRPr="00462AB2">
        <w:rPr>
          <w:b/>
          <w:bCs/>
          <w:sz w:val="22"/>
          <w:szCs w:val="22"/>
        </w:rPr>
        <w:t>April</w:t>
      </w:r>
      <w:r w:rsidR="003374A1" w:rsidRPr="00462AB2">
        <w:rPr>
          <w:b/>
          <w:bCs/>
          <w:sz w:val="22"/>
          <w:szCs w:val="22"/>
        </w:rPr>
        <w:t xml:space="preserve"> 2013 </w:t>
      </w:r>
      <w:r w:rsidR="00462AB2" w:rsidRPr="00462AB2">
        <w:rPr>
          <w:b/>
          <w:bCs/>
          <w:sz w:val="22"/>
          <w:szCs w:val="22"/>
        </w:rPr>
        <w:t xml:space="preserve">to </w:t>
      </w:r>
      <w:r w:rsidR="00E13679">
        <w:rPr>
          <w:b/>
          <w:bCs/>
          <w:sz w:val="22"/>
          <w:szCs w:val="22"/>
        </w:rPr>
        <w:t>March</w:t>
      </w:r>
      <w:r w:rsidR="00462AB2" w:rsidRPr="00462AB2">
        <w:rPr>
          <w:b/>
          <w:bCs/>
          <w:sz w:val="22"/>
          <w:szCs w:val="22"/>
        </w:rPr>
        <w:t xml:space="preserve"> 201</w:t>
      </w:r>
      <w:r w:rsidR="00E13679">
        <w:rPr>
          <w:b/>
          <w:bCs/>
          <w:sz w:val="22"/>
          <w:szCs w:val="22"/>
        </w:rPr>
        <w:t>5</w:t>
      </w:r>
      <w:r w:rsidR="00462AB2">
        <w:rPr>
          <w:sz w:val="22"/>
          <w:szCs w:val="22"/>
        </w:rPr>
        <w:t xml:space="preserve"> </w:t>
      </w:r>
      <w:r w:rsidR="003374A1" w:rsidRPr="008400BE">
        <w:rPr>
          <w:sz w:val="22"/>
          <w:szCs w:val="22"/>
        </w:rPr>
        <w:t xml:space="preserve">– </w:t>
      </w:r>
      <w:r w:rsidR="00E21284">
        <w:rPr>
          <w:sz w:val="22"/>
          <w:szCs w:val="22"/>
        </w:rPr>
        <w:t>From 1</w:t>
      </w:r>
      <w:r w:rsidR="00E21284" w:rsidRPr="00E21284">
        <w:rPr>
          <w:sz w:val="22"/>
          <w:szCs w:val="22"/>
          <w:vertAlign w:val="superscript"/>
        </w:rPr>
        <w:t>st</w:t>
      </w:r>
      <w:r w:rsidR="00E21284">
        <w:rPr>
          <w:sz w:val="22"/>
          <w:szCs w:val="22"/>
        </w:rPr>
        <w:t xml:space="preserve"> April 2013 </w:t>
      </w:r>
      <w:hyperlink r:id="rId14" w:history="1">
        <w:r w:rsidR="003374A1" w:rsidRPr="00E21284">
          <w:rPr>
            <w:rStyle w:val="Hyperlink"/>
            <w:sz w:val="22"/>
            <w:szCs w:val="22"/>
          </w:rPr>
          <w:t xml:space="preserve">Oxford Health NHS </w:t>
        </w:r>
        <w:r w:rsidR="0007664D" w:rsidRPr="00E21284">
          <w:rPr>
            <w:rStyle w:val="Hyperlink"/>
            <w:sz w:val="22"/>
            <w:szCs w:val="22"/>
          </w:rPr>
          <w:t xml:space="preserve">Foundation </w:t>
        </w:r>
        <w:r w:rsidR="003374A1" w:rsidRPr="00E21284">
          <w:rPr>
            <w:rStyle w:val="Hyperlink"/>
            <w:sz w:val="22"/>
            <w:szCs w:val="22"/>
          </w:rPr>
          <w:t>Trust</w:t>
        </w:r>
      </w:hyperlink>
      <w:r w:rsidR="003374A1" w:rsidRPr="008400BE">
        <w:rPr>
          <w:sz w:val="22"/>
          <w:szCs w:val="22"/>
        </w:rPr>
        <w:t xml:space="preserve"> </w:t>
      </w:r>
      <w:r w:rsidR="00462AB2">
        <w:rPr>
          <w:sz w:val="22"/>
          <w:szCs w:val="22"/>
        </w:rPr>
        <w:t>retained the</w:t>
      </w:r>
      <w:r w:rsidR="0007664D" w:rsidRPr="008400BE">
        <w:rPr>
          <w:sz w:val="22"/>
          <w:szCs w:val="22"/>
        </w:rPr>
        <w:t xml:space="preserve"> </w:t>
      </w:r>
      <w:r w:rsidR="00462AB2">
        <w:rPr>
          <w:sz w:val="22"/>
          <w:szCs w:val="22"/>
        </w:rPr>
        <w:t>core</w:t>
      </w:r>
      <w:r w:rsidR="0007664D" w:rsidRPr="008400BE">
        <w:rPr>
          <w:sz w:val="22"/>
          <w:szCs w:val="22"/>
        </w:rPr>
        <w:t xml:space="preserve"> </w:t>
      </w:r>
      <w:r w:rsidR="00E13679">
        <w:rPr>
          <w:sz w:val="22"/>
          <w:szCs w:val="22"/>
        </w:rPr>
        <w:t>C</w:t>
      </w:r>
      <w:r w:rsidR="0007664D" w:rsidRPr="008400BE">
        <w:rPr>
          <w:sz w:val="22"/>
          <w:szCs w:val="22"/>
        </w:rPr>
        <w:t>ontract</w:t>
      </w:r>
      <w:r w:rsidR="00E13679">
        <w:rPr>
          <w:sz w:val="22"/>
          <w:szCs w:val="22"/>
        </w:rPr>
        <w:t>, initially awarded under the then Primary Care Trust,</w:t>
      </w:r>
      <w:r w:rsidR="0007664D" w:rsidRPr="008400BE">
        <w:rPr>
          <w:sz w:val="22"/>
          <w:szCs w:val="22"/>
        </w:rPr>
        <w:t xml:space="preserve"> to provide a universal </w:t>
      </w:r>
      <w:r w:rsidR="00E13679">
        <w:rPr>
          <w:sz w:val="22"/>
          <w:szCs w:val="22"/>
        </w:rPr>
        <w:t xml:space="preserve">specialist </w:t>
      </w:r>
      <w:r w:rsidR="00462AB2">
        <w:rPr>
          <w:sz w:val="22"/>
          <w:szCs w:val="22"/>
        </w:rPr>
        <w:t>Service</w:t>
      </w:r>
      <w:r w:rsidR="00E21284">
        <w:rPr>
          <w:sz w:val="22"/>
          <w:szCs w:val="22"/>
        </w:rPr>
        <w:t xml:space="preserve"> until 31</w:t>
      </w:r>
      <w:r w:rsidR="00E21284" w:rsidRPr="00E21284">
        <w:rPr>
          <w:sz w:val="22"/>
          <w:szCs w:val="22"/>
          <w:vertAlign w:val="superscript"/>
        </w:rPr>
        <w:t>st</w:t>
      </w:r>
      <w:r w:rsidR="00E21284">
        <w:rPr>
          <w:sz w:val="22"/>
          <w:szCs w:val="22"/>
        </w:rPr>
        <w:t xml:space="preserve"> March 2015</w:t>
      </w:r>
      <w:r w:rsidR="00E13679">
        <w:rPr>
          <w:sz w:val="22"/>
          <w:szCs w:val="22"/>
        </w:rPr>
        <w:t>. I</w:t>
      </w:r>
      <w:r w:rsidR="0007664D" w:rsidRPr="008400BE">
        <w:rPr>
          <w:sz w:val="22"/>
          <w:szCs w:val="22"/>
        </w:rPr>
        <w:t>n 2014</w:t>
      </w:r>
      <w:r w:rsidR="00E13679">
        <w:rPr>
          <w:sz w:val="22"/>
          <w:szCs w:val="22"/>
        </w:rPr>
        <w:t>,</w:t>
      </w:r>
      <w:r w:rsidR="0007664D" w:rsidRPr="008400BE">
        <w:rPr>
          <w:sz w:val="22"/>
          <w:szCs w:val="22"/>
        </w:rPr>
        <w:t xml:space="preserve"> a pilot with </w:t>
      </w:r>
      <w:hyperlink r:id="rId15" w:history="1">
        <w:r w:rsidR="00E13679" w:rsidRPr="00E21284">
          <w:rPr>
            <w:rStyle w:val="Hyperlink"/>
            <w:sz w:val="22"/>
            <w:szCs w:val="22"/>
          </w:rPr>
          <w:t>Solutions4Health Ltd</w:t>
        </w:r>
      </w:hyperlink>
      <w:r w:rsidR="00E13679">
        <w:rPr>
          <w:sz w:val="22"/>
          <w:szCs w:val="22"/>
        </w:rPr>
        <w:t>.</w:t>
      </w:r>
      <w:r w:rsidR="0007664D" w:rsidRPr="008400BE">
        <w:rPr>
          <w:sz w:val="22"/>
          <w:szCs w:val="22"/>
        </w:rPr>
        <w:t xml:space="preserve"> provide</w:t>
      </w:r>
      <w:r w:rsidR="00E13679">
        <w:rPr>
          <w:sz w:val="22"/>
          <w:szCs w:val="22"/>
        </w:rPr>
        <w:t>d</w:t>
      </w:r>
      <w:r w:rsidR="0007664D" w:rsidRPr="008400BE">
        <w:rPr>
          <w:sz w:val="22"/>
          <w:szCs w:val="22"/>
        </w:rPr>
        <w:t xml:space="preserve"> additional</w:t>
      </w:r>
      <w:r w:rsidR="00FF3535" w:rsidRPr="008400BE">
        <w:rPr>
          <w:sz w:val="22"/>
          <w:szCs w:val="22"/>
        </w:rPr>
        <w:t xml:space="preserve"> </w:t>
      </w:r>
      <w:r w:rsidR="00E13679">
        <w:rPr>
          <w:sz w:val="22"/>
          <w:szCs w:val="22"/>
        </w:rPr>
        <w:t xml:space="preserve">specialist targeted </w:t>
      </w:r>
      <w:r w:rsidR="003374A1" w:rsidRPr="008400BE">
        <w:rPr>
          <w:sz w:val="22"/>
          <w:szCs w:val="22"/>
        </w:rPr>
        <w:t>community outreach</w:t>
      </w:r>
      <w:r w:rsidR="00E21284">
        <w:rPr>
          <w:sz w:val="22"/>
          <w:szCs w:val="22"/>
        </w:rPr>
        <w:t xml:space="preserve"> until 31</w:t>
      </w:r>
      <w:r w:rsidR="00E21284" w:rsidRPr="00E21284">
        <w:rPr>
          <w:sz w:val="22"/>
          <w:szCs w:val="22"/>
          <w:vertAlign w:val="superscript"/>
        </w:rPr>
        <w:t>st</w:t>
      </w:r>
      <w:r w:rsidR="00E21284">
        <w:rPr>
          <w:sz w:val="22"/>
          <w:szCs w:val="22"/>
        </w:rPr>
        <w:t xml:space="preserve"> March 2015</w:t>
      </w:r>
      <w:r w:rsidR="0007664D" w:rsidRPr="008400BE">
        <w:rPr>
          <w:sz w:val="22"/>
          <w:szCs w:val="22"/>
        </w:rPr>
        <w:t xml:space="preserve">. In </w:t>
      </w:r>
      <w:r w:rsidR="00E13679" w:rsidRPr="008400BE">
        <w:rPr>
          <w:sz w:val="22"/>
          <w:szCs w:val="22"/>
        </w:rPr>
        <w:t>addition</w:t>
      </w:r>
      <w:r w:rsidR="00E13679">
        <w:rPr>
          <w:sz w:val="22"/>
          <w:szCs w:val="22"/>
        </w:rPr>
        <w:t xml:space="preserve"> to the specialist Services</w:t>
      </w:r>
      <w:r w:rsidR="00E13679" w:rsidRPr="008400BE">
        <w:rPr>
          <w:sz w:val="22"/>
          <w:szCs w:val="22"/>
        </w:rPr>
        <w:t>,</w:t>
      </w:r>
      <w:r w:rsidR="0007664D" w:rsidRPr="008400BE">
        <w:rPr>
          <w:sz w:val="22"/>
          <w:szCs w:val="22"/>
        </w:rPr>
        <w:t xml:space="preserve"> there was </w:t>
      </w:r>
      <w:r w:rsidR="00E13679">
        <w:rPr>
          <w:sz w:val="22"/>
          <w:szCs w:val="22"/>
        </w:rPr>
        <w:t xml:space="preserve">also Local Enhanced Services </w:t>
      </w:r>
      <w:r w:rsidR="0007664D" w:rsidRPr="008400BE">
        <w:rPr>
          <w:sz w:val="22"/>
          <w:szCs w:val="22"/>
        </w:rPr>
        <w:t xml:space="preserve">with </w:t>
      </w:r>
      <w:r w:rsidR="00E13679">
        <w:rPr>
          <w:sz w:val="22"/>
          <w:szCs w:val="22"/>
        </w:rPr>
        <w:t>Primary Care settings (</w:t>
      </w:r>
      <w:r w:rsidR="003374A1" w:rsidRPr="008400BE">
        <w:rPr>
          <w:sz w:val="22"/>
          <w:szCs w:val="22"/>
        </w:rPr>
        <w:t xml:space="preserve">GP and </w:t>
      </w:r>
      <w:r w:rsidR="00E13679">
        <w:rPr>
          <w:sz w:val="22"/>
          <w:szCs w:val="22"/>
        </w:rPr>
        <w:t xml:space="preserve">Community </w:t>
      </w:r>
      <w:r w:rsidR="003374A1" w:rsidRPr="008400BE">
        <w:rPr>
          <w:sz w:val="22"/>
          <w:szCs w:val="22"/>
        </w:rPr>
        <w:t>Pharmacy</w:t>
      </w:r>
      <w:r w:rsidR="00E13679">
        <w:rPr>
          <w:sz w:val="22"/>
          <w:szCs w:val="22"/>
        </w:rPr>
        <w:t>)</w:t>
      </w:r>
      <w:r w:rsidR="0007664D" w:rsidRPr="008400BE">
        <w:rPr>
          <w:sz w:val="22"/>
          <w:szCs w:val="22"/>
        </w:rPr>
        <w:t xml:space="preserve"> </w:t>
      </w:r>
      <w:r w:rsidR="00FF3535" w:rsidRPr="008400BE">
        <w:rPr>
          <w:sz w:val="22"/>
          <w:szCs w:val="22"/>
        </w:rPr>
        <w:t xml:space="preserve">to provide </w:t>
      </w:r>
      <w:r w:rsidR="00E13679">
        <w:rPr>
          <w:sz w:val="22"/>
          <w:szCs w:val="22"/>
        </w:rPr>
        <w:t>access to behavioural</w:t>
      </w:r>
      <w:r w:rsidR="0007664D" w:rsidRPr="008400BE">
        <w:rPr>
          <w:sz w:val="22"/>
          <w:szCs w:val="22"/>
        </w:rPr>
        <w:t xml:space="preserve"> </w:t>
      </w:r>
      <w:r w:rsidR="00FF3535" w:rsidRPr="008400BE">
        <w:rPr>
          <w:sz w:val="22"/>
          <w:szCs w:val="22"/>
        </w:rPr>
        <w:t>support and pharmacotherapy</w:t>
      </w:r>
      <w:r w:rsidR="00E13679">
        <w:rPr>
          <w:sz w:val="22"/>
          <w:szCs w:val="22"/>
        </w:rPr>
        <w:t xml:space="preserve"> </w:t>
      </w:r>
      <w:r w:rsidR="00E21284">
        <w:rPr>
          <w:sz w:val="22"/>
          <w:szCs w:val="22"/>
        </w:rPr>
        <w:t>between 1</w:t>
      </w:r>
      <w:r w:rsidR="00E21284" w:rsidRPr="00E21284">
        <w:rPr>
          <w:sz w:val="22"/>
          <w:szCs w:val="22"/>
          <w:vertAlign w:val="superscript"/>
        </w:rPr>
        <w:t>st</w:t>
      </w:r>
      <w:r w:rsidR="00E21284">
        <w:rPr>
          <w:sz w:val="22"/>
          <w:szCs w:val="22"/>
        </w:rPr>
        <w:t xml:space="preserve"> April 2013 and</w:t>
      </w:r>
      <w:r w:rsidR="00E13679">
        <w:rPr>
          <w:sz w:val="22"/>
          <w:szCs w:val="22"/>
        </w:rPr>
        <w:t xml:space="preserve"> 31</w:t>
      </w:r>
      <w:r w:rsidR="00E13679" w:rsidRPr="00E13679">
        <w:rPr>
          <w:sz w:val="22"/>
          <w:szCs w:val="22"/>
          <w:vertAlign w:val="superscript"/>
        </w:rPr>
        <w:t>st</w:t>
      </w:r>
      <w:r w:rsidR="00E13679">
        <w:rPr>
          <w:sz w:val="22"/>
          <w:szCs w:val="22"/>
        </w:rPr>
        <w:t xml:space="preserve"> March 2014.</w:t>
      </w:r>
    </w:p>
    <w:p w14:paraId="4D105BE4" w14:textId="77777777" w:rsidR="001E326C" w:rsidRPr="00F875EE" w:rsidRDefault="001E326C" w:rsidP="001E326C">
      <w:pPr>
        <w:pStyle w:val="ListParagraph"/>
        <w:ind w:left="360"/>
        <w:jc w:val="both"/>
        <w:rPr>
          <w:sz w:val="16"/>
          <w:szCs w:val="16"/>
        </w:rPr>
      </w:pPr>
    </w:p>
    <w:p w14:paraId="53B6E9A5" w14:textId="07A21984" w:rsidR="003374A1" w:rsidRDefault="00462AB2" w:rsidP="00E13679">
      <w:pPr>
        <w:pStyle w:val="ListParagraph"/>
        <w:numPr>
          <w:ilvl w:val="0"/>
          <w:numId w:val="1"/>
        </w:numPr>
        <w:jc w:val="both"/>
        <w:rPr>
          <w:sz w:val="22"/>
          <w:szCs w:val="22"/>
        </w:rPr>
      </w:pPr>
      <w:r>
        <w:rPr>
          <w:b/>
          <w:bCs/>
          <w:sz w:val="22"/>
          <w:szCs w:val="22"/>
        </w:rPr>
        <w:t xml:space="preserve">April </w:t>
      </w:r>
      <w:r w:rsidR="003374A1" w:rsidRPr="008400BE">
        <w:rPr>
          <w:b/>
          <w:bCs/>
          <w:sz w:val="22"/>
          <w:szCs w:val="22"/>
        </w:rPr>
        <w:t xml:space="preserve">2014 to </w:t>
      </w:r>
      <w:r>
        <w:rPr>
          <w:b/>
          <w:bCs/>
          <w:sz w:val="22"/>
          <w:szCs w:val="22"/>
        </w:rPr>
        <w:t xml:space="preserve">March </w:t>
      </w:r>
      <w:r w:rsidR="003374A1" w:rsidRPr="008400BE">
        <w:rPr>
          <w:b/>
          <w:bCs/>
          <w:sz w:val="22"/>
          <w:szCs w:val="22"/>
        </w:rPr>
        <w:t>201</w:t>
      </w:r>
      <w:r w:rsidR="0065565D" w:rsidRPr="008400BE">
        <w:rPr>
          <w:b/>
          <w:bCs/>
          <w:sz w:val="22"/>
          <w:szCs w:val="22"/>
        </w:rPr>
        <w:t>8</w:t>
      </w:r>
      <w:r w:rsidR="003374A1" w:rsidRPr="008400BE">
        <w:rPr>
          <w:sz w:val="22"/>
          <w:szCs w:val="22"/>
        </w:rPr>
        <w:t xml:space="preserve"> – </w:t>
      </w:r>
      <w:r w:rsidR="00E13679">
        <w:rPr>
          <w:sz w:val="22"/>
          <w:szCs w:val="22"/>
        </w:rPr>
        <w:t>On 1</w:t>
      </w:r>
      <w:r w:rsidR="00E13679" w:rsidRPr="00E13679">
        <w:rPr>
          <w:sz w:val="22"/>
          <w:szCs w:val="22"/>
          <w:vertAlign w:val="superscript"/>
        </w:rPr>
        <w:t>st</w:t>
      </w:r>
      <w:r w:rsidR="00E13679">
        <w:rPr>
          <w:sz w:val="22"/>
          <w:szCs w:val="22"/>
        </w:rPr>
        <w:t xml:space="preserve"> April 2014 an Approved Provider List </w:t>
      </w:r>
      <w:r w:rsidR="00E13679" w:rsidRPr="008400BE">
        <w:rPr>
          <w:sz w:val="22"/>
          <w:szCs w:val="22"/>
        </w:rPr>
        <w:t xml:space="preserve">Framework </w:t>
      </w:r>
      <w:r w:rsidR="00E13679">
        <w:rPr>
          <w:sz w:val="22"/>
          <w:szCs w:val="22"/>
        </w:rPr>
        <w:t>A</w:t>
      </w:r>
      <w:r w:rsidR="00E13679" w:rsidRPr="008400BE">
        <w:rPr>
          <w:sz w:val="22"/>
          <w:szCs w:val="22"/>
        </w:rPr>
        <w:t xml:space="preserve">greement with </w:t>
      </w:r>
      <w:r w:rsidR="00E13679">
        <w:rPr>
          <w:sz w:val="22"/>
          <w:szCs w:val="22"/>
        </w:rPr>
        <w:t>Primary Care settings (</w:t>
      </w:r>
      <w:r w:rsidR="00E13679" w:rsidRPr="008400BE">
        <w:rPr>
          <w:sz w:val="22"/>
          <w:szCs w:val="22"/>
        </w:rPr>
        <w:t>GP</w:t>
      </w:r>
      <w:r w:rsidR="00BC71FE">
        <w:rPr>
          <w:sz w:val="22"/>
          <w:szCs w:val="22"/>
        </w:rPr>
        <w:t>s</w:t>
      </w:r>
      <w:r w:rsidR="00E13679" w:rsidRPr="008400BE">
        <w:rPr>
          <w:sz w:val="22"/>
          <w:szCs w:val="22"/>
        </w:rPr>
        <w:t xml:space="preserve"> and </w:t>
      </w:r>
      <w:r w:rsidR="00E13679">
        <w:rPr>
          <w:sz w:val="22"/>
          <w:szCs w:val="22"/>
        </w:rPr>
        <w:t xml:space="preserve">Community </w:t>
      </w:r>
      <w:r w:rsidR="00BC71FE" w:rsidRPr="008400BE">
        <w:rPr>
          <w:sz w:val="22"/>
          <w:szCs w:val="22"/>
        </w:rPr>
        <w:t>Pharma</w:t>
      </w:r>
      <w:r w:rsidR="00BC71FE">
        <w:rPr>
          <w:sz w:val="22"/>
          <w:szCs w:val="22"/>
        </w:rPr>
        <w:t>cies</w:t>
      </w:r>
      <w:r w:rsidR="00E13679">
        <w:rPr>
          <w:sz w:val="22"/>
          <w:szCs w:val="22"/>
        </w:rPr>
        <w:t>)</w:t>
      </w:r>
      <w:r w:rsidR="00E13679" w:rsidRPr="008400BE">
        <w:rPr>
          <w:sz w:val="22"/>
          <w:szCs w:val="22"/>
        </w:rPr>
        <w:t xml:space="preserve"> </w:t>
      </w:r>
      <w:r w:rsidR="00E13679">
        <w:rPr>
          <w:sz w:val="22"/>
          <w:szCs w:val="22"/>
        </w:rPr>
        <w:t>was let</w:t>
      </w:r>
      <w:r w:rsidR="00E13679" w:rsidRPr="008400BE">
        <w:rPr>
          <w:sz w:val="22"/>
          <w:szCs w:val="22"/>
        </w:rPr>
        <w:t xml:space="preserve"> to </w:t>
      </w:r>
      <w:r w:rsidR="00E13679">
        <w:rPr>
          <w:sz w:val="22"/>
          <w:szCs w:val="22"/>
        </w:rPr>
        <w:t xml:space="preserve">continue to </w:t>
      </w:r>
      <w:r w:rsidR="00E13679" w:rsidRPr="008400BE">
        <w:rPr>
          <w:sz w:val="22"/>
          <w:szCs w:val="22"/>
        </w:rPr>
        <w:t xml:space="preserve">provide </w:t>
      </w:r>
      <w:r w:rsidR="00E13679">
        <w:rPr>
          <w:sz w:val="22"/>
          <w:szCs w:val="22"/>
        </w:rPr>
        <w:t>access to behavioural</w:t>
      </w:r>
      <w:r w:rsidR="00E13679" w:rsidRPr="008400BE">
        <w:rPr>
          <w:sz w:val="22"/>
          <w:szCs w:val="22"/>
        </w:rPr>
        <w:t xml:space="preserve"> support and pharmacotherapy</w:t>
      </w:r>
      <w:r w:rsidR="00E21284">
        <w:rPr>
          <w:sz w:val="22"/>
          <w:szCs w:val="22"/>
        </w:rPr>
        <w:t xml:space="preserve"> under Call-off Contracts</w:t>
      </w:r>
      <w:r w:rsidR="00E13679">
        <w:rPr>
          <w:sz w:val="22"/>
          <w:szCs w:val="22"/>
        </w:rPr>
        <w:t xml:space="preserve">. In the last year (2017/18), 70 (out of the 71) GP providers and </w:t>
      </w:r>
      <w:r w:rsidR="00E21284">
        <w:rPr>
          <w:sz w:val="22"/>
          <w:szCs w:val="22"/>
        </w:rPr>
        <w:t>88 (out of 116)</w:t>
      </w:r>
      <w:r w:rsidR="00BC71FE">
        <w:rPr>
          <w:sz w:val="22"/>
          <w:szCs w:val="22"/>
        </w:rPr>
        <w:t xml:space="preserve"> Community Pharmacies</w:t>
      </w:r>
      <w:r w:rsidR="00E21284">
        <w:rPr>
          <w:sz w:val="22"/>
          <w:szCs w:val="22"/>
        </w:rPr>
        <w:t xml:space="preserve"> </w:t>
      </w:r>
      <w:r w:rsidR="00E13679">
        <w:rPr>
          <w:sz w:val="22"/>
          <w:szCs w:val="22"/>
        </w:rPr>
        <w:t xml:space="preserve">held a </w:t>
      </w:r>
      <w:r w:rsidR="00E21284">
        <w:rPr>
          <w:sz w:val="22"/>
          <w:szCs w:val="22"/>
        </w:rPr>
        <w:t xml:space="preserve">Call-off </w:t>
      </w:r>
      <w:r w:rsidR="00E13679">
        <w:rPr>
          <w:sz w:val="22"/>
          <w:szCs w:val="22"/>
        </w:rPr>
        <w:t>Contract</w:t>
      </w:r>
      <w:r w:rsidR="00E21284">
        <w:rPr>
          <w:sz w:val="22"/>
          <w:szCs w:val="22"/>
        </w:rPr>
        <w:t xml:space="preserve"> to provide the Service under the Agreements</w:t>
      </w:r>
      <w:r w:rsidR="00E13679">
        <w:rPr>
          <w:sz w:val="22"/>
          <w:szCs w:val="22"/>
        </w:rPr>
        <w:t>.</w:t>
      </w:r>
      <w:r w:rsidR="00BC71FE">
        <w:rPr>
          <w:sz w:val="22"/>
          <w:szCs w:val="22"/>
        </w:rPr>
        <w:t xml:space="preserve"> </w:t>
      </w:r>
      <w:r w:rsidR="00E21284">
        <w:rPr>
          <w:sz w:val="22"/>
          <w:szCs w:val="22"/>
        </w:rPr>
        <w:t>T</w:t>
      </w:r>
      <w:r w:rsidR="00E13679">
        <w:rPr>
          <w:sz w:val="22"/>
          <w:szCs w:val="22"/>
        </w:rPr>
        <w:t>h</w:t>
      </w:r>
      <w:r w:rsidR="00E21284">
        <w:rPr>
          <w:sz w:val="22"/>
          <w:szCs w:val="22"/>
        </w:rPr>
        <w:t>ese Call-off Contracts</w:t>
      </w:r>
      <w:r w:rsidR="00E13679">
        <w:rPr>
          <w:sz w:val="22"/>
          <w:szCs w:val="22"/>
        </w:rPr>
        <w:t xml:space="preserve"> expired on 31</w:t>
      </w:r>
      <w:r w:rsidR="00E13679" w:rsidRPr="00E13679">
        <w:rPr>
          <w:sz w:val="22"/>
          <w:szCs w:val="22"/>
          <w:vertAlign w:val="superscript"/>
        </w:rPr>
        <w:t>st</w:t>
      </w:r>
      <w:r w:rsidR="00E13679">
        <w:rPr>
          <w:sz w:val="22"/>
          <w:szCs w:val="22"/>
        </w:rPr>
        <w:t xml:space="preserve"> March 2018</w:t>
      </w:r>
      <w:r w:rsidR="00E21284">
        <w:rPr>
          <w:sz w:val="22"/>
          <w:szCs w:val="22"/>
        </w:rPr>
        <w:t xml:space="preserve"> and were not retendered by the Council from 1</w:t>
      </w:r>
      <w:r w:rsidR="00E21284" w:rsidRPr="00E21284">
        <w:rPr>
          <w:sz w:val="22"/>
          <w:szCs w:val="22"/>
          <w:vertAlign w:val="superscript"/>
        </w:rPr>
        <w:t>st</w:t>
      </w:r>
      <w:r w:rsidR="00E21284">
        <w:rPr>
          <w:sz w:val="22"/>
          <w:szCs w:val="22"/>
        </w:rPr>
        <w:t xml:space="preserve"> April 2018 following a period of public and stakeholder engagement</w:t>
      </w:r>
      <w:r w:rsidR="00BC71FE">
        <w:rPr>
          <w:sz w:val="22"/>
          <w:szCs w:val="22"/>
        </w:rPr>
        <w:t>/consultation that changed the Service delivery model</w:t>
      </w:r>
      <w:r w:rsidR="00E21284">
        <w:rPr>
          <w:sz w:val="22"/>
          <w:szCs w:val="22"/>
        </w:rPr>
        <w:t xml:space="preserve">, a summary of this process can be found </w:t>
      </w:r>
      <w:hyperlink r:id="rId16" w:history="1">
        <w:r w:rsidR="00E21284" w:rsidRPr="00E21284">
          <w:rPr>
            <w:rStyle w:val="Hyperlink"/>
            <w:sz w:val="22"/>
            <w:szCs w:val="22"/>
          </w:rPr>
          <w:t>here</w:t>
        </w:r>
      </w:hyperlink>
      <w:r w:rsidR="00E21284">
        <w:rPr>
          <w:sz w:val="22"/>
          <w:szCs w:val="22"/>
        </w:rPr>
        <w:t>.</w:t>
      </w:r>
      <w:r w:rsidR="00E13679" w:rsidRPr="008400BE">
        <w:rPr>
          <w:sz w:val="22"/>
          <w:szCs w:val="22"/>
        </w:rPr>
        <w:t xml:space="preserve"> </w:t>
      </w:r>
      <w:r w:rsidR="00E21284">
        <w:rPr>
          <w:sz w:val="22"/>
          <w:szCs w:val="22"/>
        </w:rPr>
        <w:t xml:space="preserve">Note that from 2016/17, activity </w:t>
      </w:r>
      <w:r w:rsidR="00BC71FE">
        <w:rPr>
          <w:sz w:val="22"/>
          <w:szCs w:val="22"/>
        </w:rPr>
        <w:t xml:space="preserve">recording within these Primary Care settings </w:t>
      </w:r>
      <w:r w:rsidR="00E21284">
        <w:rPr>
          <w:sz w:val="22"/>
          <w:szCs w:val="22"/>
        </w:rPr>
        <w:t xml:space="preserve">was moved from paper-based monitoring forms to electronic </w:t>
      </w:r>
      <w:r w:rsidR="00BC71FE">
        <w:rPr>
          <w:sz w:val="22"/>
          <w:szCs w:val="22"/>
        </w:rPr>
        <w:t xml:space="preserve">forms </w:t>
      </w:r>
      <w:r w:rsidR="00E21284">
        <w:rPr>
          <w:sz w:val="22"/>
          <w:szCs w:val="22"/>
        </w:rPr>
        <w:t>via EMI</w:t>
      </w:r>
      <w:r w:rsidR="00E13679" w:rsidRPr="008400BE">
        <w:rPr>
          <w:sz w:val="22"/>
          <w:szCs w:val="22"/>
        </w:rPr>
        <w:t xml:space="preserve">S </w:t>
      </w:r>
      <w:r w:rsidR="00E21284">
        <w:rPr>
          <w:sz w:val="22"/>
          <w:szCs w:val="22"/>
        </w:rPr>
        <w:t xml:space="preserve">for GP’s </w:t>
      </w:r>
      <w:r w:rsidR="00E13679" w:rsidRPr="008400BE">
        <w:rPr>
          <w:sz w:val="22"/>
          <w:szCs w:val="22"/>
        </w:rPr>
        <w:t>and Pharm</w:t>
      </w:r>
      <w:r w:rsidR="00E21284">
        <w:rPr>
          <w:sz w:val="22"/>
          <w:szCs w:val="22"/>
        </w:rPr>
        <w:t>O</w:t>
      </w:r>
      <w:r w:rsidR="00E13679" w:rsidRPr="008400BE">
        <w:rPr>
          <w:sz w:val="22"/>
          <w:szCs w:val="22"/>
        </w:rPr>
        <w:t xml:space="preserve">utcomes by </w:t>
      </w:r>
      <w:r w:rsidR="00E21284">
        <w:rPr>
          <w:sz w:val="22"/>
          <w:szCs w:val="22"/>
        </w:rPr>
        <w:t>Community Ph</w:t>
      </w:r>
      <w:r w:rsidR="00E13679" w:rsidRPr="008400BE">
        <w:rPr>
          <w:sz w:val="22"/>
          <w:szCs w:val="22"/>
        </w:rPr>
        <w:t>armacies.</w:t>
      </w:r>
      <w:r w:rsidR="00E21284">
        <w:rPr>
          <w:sz w:val="22"/>
          <w:szCs w:val="22"/>
        </w:rPr>
        <w:t xml:space="preserve"> </w:t>
      </w:r>
      <w:r w:rsidR="00BC71FE">
        <w:rPr>
          <w:sz w:val="22"/>
          <w:szCs w:val="22"/>
        </w:rPr>
        <w:t>On 1</w:t>
      </w:r>
      <w:r w:rsidR="00BC71FE" w:rsidRPr="00BC71FE">
        <w:rPr>
          <w:sz w:val="22"/>
          <w:szCs w:val="22"/>
          <w:vertAlign w:val="superscript"/>
        </w:rPr>
        <w:t>st</w:t>
      </w:r>
      <w:r w:rsidR="00E21284">
        <w:rPr>
          <w:sz w:val="22"/>
          <w:szCs w:val="22"/>
        </w:rPr>
        <w:t xml:space="preserve"> April 2015, </w:t>
      </w:r>
      <w:r w:rsidR="003374A1" w:rsidRPr="00E21284">
        <w:rPr>
          <w:sz w:val="22"/>
          <w:szCs w:val="22"/>
        </w:rPr>
        <w:t>Solutions</w:t>
      </w:r>
      <w:r w:rsidR="00E13679" w:rsidRPr="00E21284">
        <w:rPr>
          <w:sz w:val="22"/>
          <w:szCs w:val="22"/>
        </w:rPr>
        <w:t>4</w:t>
      </w:r>
      <w:r w:rsidR="003374A1" w:rsidRPr="00E21284">
        <w:rPr>
          <w:sz w:val="22"/>
          <w:szCs w:val="22"/>
        </w:rPr>
        <w:t>Health</w:t>
      </w:r>
      <w:r w:rsidR="00E13679" w:rsidRPr="00E21284">
        <w:rPr>
          <w:sz w:val="22"/>
          <w:szCs w:val="22"/>
        </w:rPr>
        <w:t xml:space="preserve"> Ltd. </w:t>
      </w:r>
      <w:r w:rsidR="00E21284">
        <w:rPr>
          <w:sz w:val="22"/>
          <w:szCs w:val="22"/>
        </w:rPr>
        <w:t>(</w:t>
      </w:r>
      <w:r w:rsidR="00E13679" w:rsidRPr="00E21284">
        <w:rPr>
          <w:sz w:val="22"/>
          <w:szCs w:val="22"/>
        </w:rPr>
        <w:t xml:space="preserve">trading as </w:t>
      </w:r>
      <w:hyperlink r:id="rId17" w:history="1">
        <w:r w:rsidR="00E13679" w:rsidRPr="00E21284">
          <w:rPr>
            <w:rStyle w:val="Hyperlink"/>
            <w:sz w:val="22"/>
            <w:szCs w:val="22"/>
          </w:rPr>
          <w:t>Smokefreelife Oxfordshire</w:t>
        </w:r>
      </w:hyperlink>
      <w:r w:rsidR="00E21284">
        <w:rPr>
          <w:sz w:val="22"/>
          <w:szCs w:val="22"/>
        </w:rPr>
        <w:t>)</w:t>
      </w:r>
      <w:r w:rsidR="0007664D" w:rsidRPr="00E21284">
        <w:rPr>
          <w:sz w:val="22"/>
          <w:szCs w:val="22"/>
        </w:rPr>
        <w:t xml:space="preserve"> </w:t>
      </w:r>
      <w:r w:rsidR="00E13679" w:rsidRPr="00E21284">
        <w:rPr>
          <w:sz w:val="22"/>
          <w:szCs w:val="22"/>
        </w:rPr>
        <w:t xml:space="preserve">were successfully awarded a Contract to </w:t>
      </w:r>
      <w:r w:rsidR="0007664D" w:rsidRPr="00E21284">
        <w:rPr>
          <w:sz w:val="22"/>
          <w:szCs w:val="22"/>
        </w:rPr>
        <w:t xml:space="preserve">provide a universal </w:t>
      </w:r>
      <w:r w:rsidR="00E21284">
        <w:rPr>
          <w:sz w:val="22"/>
          <w:szCs w:val="22"/>
        </w:rPr>
        <w:t>specialist Service</w:t>
      </w:r>
      <w:r w:rsidR="00BC71FE">
        <w:rPr>
          <w:sz w:val="22"/>
          <w:szCs w:val="22"/>
        </w:rPr>
        <w:t xml:space="preserve"> that included the provision of training and support to the Primary Care settings. This Contract expired on 31</w:t>
      </w:r>
      <w:r w:rsidR="00BC71FE" w:rsidRPr="00E21284">
        <w:rPr>
          <w:sz w:val="22"/>
          <w:szCs w:val="22"/>
          <w:vertAlign w:val="superscript"/>
        </w:rPr>
        <w:t>st</w:t>
      </w:r>
      <w:r w:rsidR="00BC71FE">
        <w:rPr>
          <w:sz w:val="22"/>
          <w:szCs w:val="22"/>
        </w:rPr>
        <w:t xml:space="preserve"> March 2018 due to the changed Service delivery model (as outlined above) from 1</w:t>
      </w:r>
      <w:r w:rsidR="00BC71FE" w:rsidRPr="00BC71FE">
        <w:rPr>
          <w:sz w:val="22"/>
          <w:szCs w:val="22"/>
          <w:vertAlign w:val="superscript"/>
        </w:rPr>
        <w:t>st</w:t>
      </w:r>
      <w:r w:rsidR="00BC71FE">
        <w:rPr>
          <w:sz w:val="22"/>
          <w:szCs w:val="22"/>
        </w:rPr>
        <w:t xml:space="preserve"> April 2018</w:t>
      </w:r>
      <w:r w:rsidR="00E21284">
        <w:rPr>
          <w:sz w:val="22"/>
          <w:szCs w:val="22"/>
        </w:rPr>
        <w:t>.</w:t>
      </w:r>
      <w:r w:rsidR="00BC71FE">
        <w:rPr>
          <w:sz w:val="22"/>
          <w:szCs w:val="22"/>
        </w:rPr>
        <w:t xml:space="preserve"> </w:t>
      </w:r>
      <w:r w:rsidR="00E21284">
        <w:rPr>
          <w:sz w:val="22"/>
          <w:szCs w:val="22"/>
        </w:rPr>
        <w:t xml:space="preserve"> </w:t>
      </w:r>
      <w:r w:rsidR="003374A1" w:rsidRPr="00E21284">
        <w:rPr>
          <w:sz w:val="22"/>
          <w:szCs w:val="22"/>
        </w:rPr>
        <w:t xml:space="preserve"> </w:t>
      </w:r>
    </w:p>
    <w:p w14:paraId="70B98EB4" w14:textId="77777777" w:rsidR="001E326C" w:rsidRPr="00F875EE" w:rsidRDefault="001E326C" w:rsidP="001E326C">
      <w:pPr>
        <w:pStyle w:val="ListParagraph"/>
        <w:ind w:left="360"/>
        <w:jc w:val="both"/>
        <w:rPr>
          <w:sz w:val="16"/>
          <w:szCs w:val="16"/>
        </w:rPr>
      </w:pPr>
    </w:p>
    <w:p w14:paraId="6CD3F262" w14:textId="56623959" w:rsidR="003374A1" w:rsidRPr="001E326C" w:rsidRDefault="00462AB2" w:rsidP="00F875EE">
      <w:pPr>
        <w:pStyle w:val="Default"/>
        <w:numPr>
          <w:ilvl w:val="0"/>
          <w:numId w:val="1"/>
        </w:numPr>
        <w:jc w:val="both"/>
        <w:rPr>
          <w:sz w:val="22"/>
          <w:szCs w:val="22"/>
        </w:rPr>
      </w:pPr>
      <w:r w:rsidRPr="00BC71FE">
        <w:rPr>
          <w:b/>
          <w:bCs/>
          <w:sz w:val="22"/>
          <w:szCs w:val="22"/>
        </w:rPr>
        <w:t xml:space="preserve">April </w:t>
      </w:r>
      <w:r w:rsidR="003374A1" w:rsidRPr="00BC71FE">
        <w:rPr>
          <w:b/>
          <w:bCs/>
          <w:sz w:val="22"/>
          <w:szCs w:val="22"/>
        </w:rPr>
        <w:t xml:space="preserve">2018 to </w:t>
      </w:r>
      <w:r w:rsidRPr="00BC71FE">
        <w:rPr>
          <w:b/>
          <w:bCs/>
          <w:sz w:val="22"/>
          <w:szCs w:val="22"/>
        </w:rPr>
        <w:t xml:space="preserve">March </w:t>
      </w:r>
      <w:r w:rsidR="003374A1" w:rsidRPr="00BC71FE">
        <w:rPr>
          <w:b/>
          <w:bCs/>
          <w:sz w:val="22"/>
          <w:szCs w:val="22"/>
        </w:rPr>
        <w:t>2021</w:t>
      </w:r>
      <w:r w:rsidR="003374A1" w:rsidRPr="00BC71FE">
        <w:rPr>
          <w:sz w:val="22"/>
          <w:szCs w:val="22"/>
        </w:rPr>
        <w:t xml:space="preserve"> – </w:t>
      </w:r>
      <w:r w:rsidR="00BC71FE" w:rsidRPr="00BC71FE">
        <w:rPr>
          <w:sz w:val="22"/>
          <w:szCs w:val="22"/>
        </w:rPr>
        <w:t>On 1</w:t>
      </w:r>
      <w:r w:rsidR="00BC71FE" w:rsidRPr="00BC71FE">
        <w:rPr>
          <w:sz w:val="22"/>
          <w:szCs w:val="22"/>
          <w:vertAlign w:val="superscript"/>
        </w:rPr>
        <w:t>st</w:t>
      </w:r>
      <w:r w:rsidR="00BC71FE" w:rsidRPr="00BC71FE">
        <w:rPr>
          <w:sz w:val="22"/>
          <w:szCs w:val="22"/>
        </w:rPr>
        <w:t xml:space="preserve"> April 2018, </w:t>
      </w:r>
      <w:r w:rsidR="003374A1" w:rsidRPr="00BC71FE">
        <w:rPr>
          <w:sz w:val="22"/>
          <w:szCs w:val="22"/>
        </w:rPr>
        <w:t>Solutions</w:t>
      </w:r>
      <w:r w:rsidR="00BC71FE" w:rsidRPr="00BC71FE">
        <w:rPr>
          <w:sz w:val="22"/>
          <w:szCs w:val="22"/>
        </w:rPr>
        <w:t>4</w:t>
      </w:r>
      <w:r w:rsidR="003374A1" w:rsidRPr="00BC71FE">
        <w:rPr>
          <w:sz w:val="22"/>
          <w:szCs w:val="22"/>
        </w:rPr>
        <w:t>Health</w:t>
      </w:r>
      <w:r w:rsidR="00BC71FE" w:rsidRPr="00BC71FE">
        <w:rPr>
          <w:sz w:val="22"/>
          <w:szCs w:val="22"/>
        </w:rPr>
        <w:t xml:space="preserve"> Ltd. (still trading as </w:t>
      </w:r>
      <w:hyperlink r:id="rId18" w:history="1">
        <w:r w:rsidR="00BC71FE" w:rsidRPr="00BC71FE">
          <w:rPr>
            <w:rStyle w:val="Hyperlink"/>
            <w:sz w:val="22"/>
            <w:szCs w:val="22"/>
          </w:rPr>
          <w:t>Smokefreelife Oxfordshire</w:t>
        </w:r>
      </w:hyperlink>
      <w:r w:rsidR="00BC71FE" w:rsidRPr="00BC71FE">
        <w:rPr>
          <w:sz w:val="22"/>
          <w:szCs w:val="22"/>
        </w:rPr>
        <w:t>) were successfully awarded a new Contract to continue to provide a universal specialist Service</w:t>
      </w:r>
      <w:r w:rsidR="003374A1" w:rsidRPr="00BC71FE">
        <w:rPr>
          <w:sz w:val="22"/>
          <w:szCs w:val="22"/>
        </w:rPr>
        <w:t xml:space="preserve"> </w:t>
      </w:r>
      <w:r w:rsidR="00BC71FE" w:rsidRPr="00BC71FE">
        <w:rPr>
          <w:sz w:val="22"/>
          <w:szCs w:val="22"/>
        </w:rPr>
        <w:t xml:space="preserve">but </w:t>
      </w:r>
      <w:r w:rsidR="00F875EE">
        <w:rPr>
          <w:sz w:val="22"/>
          <w:szCs w:val="22"/>
        </w:rPr>
        <w:t>w</w:t>
      </w:r>
      <w:r w:rsidR="00BC71FE" w:rsidRPr="00BC71FE">
        <w:rPr>
          <w:sz w:val="22"/>
          <w:szCs w:val="22"/>
        </w:rPr>
        <w:t xml:space="preserve">ith </w:t>
      </w:r>
      <w:r w:rsidR="001E326C">
        <w:rPr>
          <w:sz w:val="22"/>
          <w:szCs w:val="22"/>
        </w:rPr>
        <w:t xml:space="preserve">an </w:t>
      </w:r>
      <w:r w:rsidR="00BC71FE" w:rsidRPr="00BC71FE">
        <w:rPr>
          <w:sz w:val="22"/>
          <w:szCs w:val="22"/>
        </w:rPr>
        <w:t xml:space="preserve">aim to ensure those in priority populations are </w:t>
      </w:r>
      <w:r w:rsidR="00F875EE">
        <w:rPr>
          <w:sz w:val="22"/>
          <w:szCs w:val="22"/>
        </w:rPr>
        <w:t xml:space="preserve">now </w:t>
      </w:r>
      <w:r w:rsidR="00BC71FE" w:rsidRPr="00BC71FE">
        <w:rPr>
          <w:sz w:val="22"/>
          <w:szCs w:val="22"/>
        </w:rPr>
        <w:t>offered</w:t>
      </w:r>
      <w:r w:rsidR="00F875EE">
        <w:rPr>
          <w:sz w:val="22"/>
          <w:szCs w:val="22"/>
        </w:rPr>
        <w:t xml:space="preserve"> </w:t>
      </w:r>
      <w:r w:rsidR="001E326C">
        <w:rPr>
          <w:sz w:val="22"/>
          <w:szCs w:val="22"/>
        </w:rPr>
        <w:t xml:space="preserve">the most </w:t>
      </w:r>
      <w:r w:rsidR="00BC71FE" w:rsidRPr="00BC71FE">
        <w:rPr>
          <w:sz w:val="22"/>
          <w:szCs w:val="22"/>
        </w:rPr>
        <w:t xml:space="preserve">effective </w:t>
      </w:r>
      <w:r w:rsidR="001E326C">
        <w:rPr>
          <w:sz w:val="22"/>
          <w:szCs w:val="22"/>
        </w:rPr>
        <w:t xml:space="preserve">type of </w:t>
      </w:r>
      <w:r w:rsidR="00BC71FE" w:rsidRPr="00BC71FE">
        <w:rPr>
          <w:sz w:val="22"/>
          <w:szCs w:val="22"/>
        </w:rPr>
        <w:t xml:space="preserve">support </w:t>
      </w:r>
      <w:r w:rsidR="001E326C">
        <w:rPr>
          <w:sz w:val="22"/>
          <w:szCs w:val="22"/>
        </w:rPr>
        <w:t xml:space="preserve">(face-to-face) </w:t>
      </w:r>
      <w:r w:rsidR="00BC71FE" w:rsidRPr="00BC71FE">
        <w:rPr>
          <w:sz w:val="22"/>
          <w:szCs w:val="22"/>
        </w:rPr>
        <w:t xml:space="preserve">to maximise reductions </w:t>
      </w:r>
      <w:r w:rsidR="00F875EE">
        <w:rPr>
          <w:sz w:val="22"/>
          <w:szCs w:val="22"/>
        </w:rPr>
        <w:t xml:space="preserve">in </w:t>
      </w:r>
      <w:r w:rsidR="00BC71FE" w:rsidRPr="00BC71FE">
        <w:rPr>
          <w:sz w:val="22"/>
          <w:szCs w:val="22"/>
        </w:rPr>
        <w:t>health inequalities. Priority populations include children and young people, pregnant women, people with mental health problems, those with drug and alcohol dependency, routine and manual workers and those living with long term conditions</w:t>
      </w:r>
      <w:r w:rsidR="001E326C">
        <w:rPr>
          <w:sz w:val="22"/>
          <w:szCs w:val="22"/>
        </w:rPr>
        <w:t xml:space="preserve">. As part of this Contract, </w:t>
      </w:r>
      <w:r w:rsidR="001E326C" w:rsidRPr="00BC71FE">
        <w:rPr>
          <w:sz w:val="22"/>
          <w:szCs w:val="22"/>
        </w:rPr>
        <w:t xml:space="preserve">Solutions4Health Ltd. </w:t>
      </w:r>
      <w:r w:rsidR="003374A1" w:rsidRPr="001E326C">
        <w:rPr>
          <w:sz w:val="22"/>
          <w:szCs w:val="22"/>
        </w:rPr>
        <w:t>sub</w:t>
      </w:r>
      <w:r w:rsidR="001E326C">
        <w:rPr>
          <w:sz w:val="22"/>
          <w:szCs w:val="22"/>
        </w:rPr>
        <w:t>-</w:t>
      </w:r>
      <w:r w:rsidR="003374A1" w:rsidRPr="001E326C">
        <w:rPr>
          <w:sz w:val="22"/>
          <w:szCs w:val="22"/>
        </w:rPr>
        <w:t>contract</w:t>
      </w:r>
      <w:r w:rsidR="001E326C">
        <w:rPr>
          <w:sz w:val="22"/>
          <w:szCs w:val="22"/>
        </w:rPr>
        <w:t>ed</w:t>
      </w:r>
      <w:r w:rsidR="003374A1" w:rsidRPr="001E326C">
        <w:rPr>
          <w:sz w:val="22"/>
          <w:szCs w:val="22"/>
        </w:rPr>
        <w:t xml:space="preserve"> with </w:t>
      </w:r>
      <w:r w:rsidR="001E326C">
        <w:rPr>
          <w:sz w:val="22"/>
          <w:szCs w:val="22"/>
        </w:rPr>
        <w:t xml:space="preserve">8 </w:t>
      </w:r>
      <w:r w:rsidR="003374A1" w:rsidRPr="001E326C">
        <w:rPr>
          <w:sz w:val="22"/>
          <w:szCs w:val="22"/>
        </w:rPr>
        <w:t>GPs</w:t>
      </w:r>
      <w:r w:rsidR="001E326C">
        <w:rPr>
          <w:sz w:val="22"/>
          <w:szCs w:val="22"/>
        </w:rPr>
        <w:t xml:space="preserve"> from 1</w:t>
      </w:r>
      <w:r w:rsidR="001E326C" w:rsidRPr="001E326C">
        <w:rPr>
          <w:sz w:val="22"/>
          <w:szCs w:val="22"/>
          <w:vertAlign w:val="superscript"/>
        </w:rPr>
        <w:t>st</w:t>
      </w:r>
      <w:r w:rsidR="001E326C">
        <w:rPr>
          <w:sz w:val="22"/>
          <w:szCs w:val="22"/>
        </w:rPr>
        <w:t xml:space="preserve"> April 2018 under a Service Level Agreement (SLA) to continue to </w:t>
      </w:r>
      <w:r w:rsidR="001E326C" w:rsidRPr="008400BE">
        <w:rPr>
          <w:sz w:val="22"/>
          <w:szCs w:val="22"/>
        </w:rPr>
        <w:t xml:space="preserve">provide </w:t>
      </w:r>
      <w:r w:rsidR="001E326C">
        <w:rPr>
          <w:sz w:val="22"/>
          <w:szCs w:val="22"/>
        </w:rPr>
        <w:t>access to behavioural</w:t>
      </w:r>
      <w:r w:rsidR="001E326C" w:rsidRPr="008400BE">
        <w:rPr>
          <w:sz w:val="22"/>
          <w:szCs w:val="22"/>
        </w:rPr>
        <w:t xml:space="preserve"> support and pharmacotherapy</w:t>
      </w:r>
      <w:r w:rsidR="001E326C">
        <w:rPr>
          <w:sz w:val="22"/>
          <w:szCs w:val="22"/>
        </w:rPr>
        <w:t>, these SLA’s were all ended by 31</w:t>
      </w:r>
      <w:r w:rsidR="001E326C" w:rsidRPr="001E326C">
        <w:rPr>
          <w:sz w:val="22"/>
          <w:szCs w:val="22"/>
          <w:vertAlign w:val="superscript"/>
        </w:rPr>
        <w:t>st</w:t>
      </w:r>
      <w:r w:rsidR="001E326C">
        <w:rPr>
          <w:sz w:val="22"/>
          <w:szCs w:val="22"/>
        </w:rPr>
        <w:t xml:space="preserve"> August 2019</w:t>
      </w:r>
      <w:r w:rsidR="003374A1" w:rsidRPr="001E326C">
        <w:rPr>
          <w:sz w:val="22"/>
          <w:szCs w:val="22"/>
        </w:rPr>
        <w:t>.</w:t>
      </w:r>
      <w:r w:rsidR="0007664D" w:rsidRPr="001E326C">
        <w:rPr>
          <w:sz w:val="22"/>
          <w:szCs w:val="22"/>
        </w:rPr>
        <w:t xml:space="preserve"> </w:t>
      </w:r>
      <w:r w:rsidR="001E326C">
        <w:rPr>
          <w:sz w:val="22"/>
          <w:szCs w:val="22"/>
        </w:rPr>
        <w:t xml:space="preserve">Note that since April 2018, </w:t>
      </w:r>
      <w:r w:rsidR="0007664D" w:rsidRPr="001E326C">
        <w:rPr>
          <w:sz w:val="22"/>
          <w:szCs w:val="22"/>
        </w:rPr>
        <w:t xml:space="preserve">GPs </w:t>
      </w:r>
      <w:r w:rsidR="001E326C">
        <w:rPr>
          <w:sz w:val="22"/>
          <w:szCs w:val="22"/>
        </w:rPr>
        <w:t xml:space="preserve">in Oxfordshire </w:t>
      </w:r>
      <w:r w:rsidR="00F875EE">
        <w:rPr>
          <w:sz w:val="22"/>
          <w:szCs w:val="22"/>
        </w:rPr>
        <w:t>have been</w:t>
      </w:r>
      <w:r w:rsidR="001E326C">
        <w:rPr>
          <w:sz w:val="22"/>
          <w:szCs w:val="22"/>
        </w:rPr>
        <w:t xml:space="preserve"> </w:t>
      </w:r>
      <w:r w:rsidR="0007664D" w:rsidRPr="001E326C">
        <w:rPr>
          <w:sz w:val="22"/>
          <w:szCs w:val="22"/>
        </w:rPr>
        <w:t xml:space="preserve">no longer able to prescribe </w:t>
      </w:r>
      <w:r w:rsidR="00F875EE">
        <w:rPr>
          <w:sz w:val="22"/>
          <w:szCs w:val="22"/>
        </w:rPr>
        <w:t xml:space="preserve">stop smoking </w:t>
      </w:r>
      <w:r w:rsidR="0007664D" w:rsidRPr="001E326C">
        <w:rPr>
          <w:sz w:val="22"/>
          <w:szCs w:val="22"/>
        </w:rPr>
        <w:t>pharmacotherapy without th</w:t>
      </w:r>
      <w:r w:rsidR="001E326C">
        <w:rPr>
          <w:sz w:val="22"/>
          <w:szCs w:val="22"/>
        </w:rPr>
        <w:t>at</w:t>
      </w:r>
      <w:r w:rsidR="0007664D" w:rsidRPr="001E326C">
        <w:rPr>
          <w:sz w:val="22"/>
          <w:szCs w:val="22"/>
        </w:rPr>
        <w:t xml:space="preserve"> GP practice being sub</w:t>
      </w:r>
      <w:r w:rsidR="001E326C">
        <w:rPr>
          <w:sz w:val="22"/>
          <w:szCs w:val="22"/>
        </w:rPr>
        <w:t>-</w:t>
      </w:r>
      <w:r w:rsidR="0007664D" w:rsidRPr="001E326C">
        <w:rPr>
          <w:sz w:val="22"/>
          <w:szCs w:val="22"/>
        </w:rPr>
        <w:t xml:space="preserve">contracted to provide </w:t>
      </w:r>
      <w:r w:rsidR="001E326C">
        <w:rPr>
          <w:sz w:val="22"/>
          <w:szCs w:val="22"/>
        </w:rPr>
        <w:t>the behavioural support under an SLA</w:t>
      </w:r>
      <w:r w:rsidR="0007664D" w:rsidRPr="001E326C">
        <w:rPr>
          <w:sz w:val="22"/>
          <w:szCs w:val="22"/>
        </w:rPr>
        <w:t xml:space="preserve"> with Solutions4Health</w:t>
      </w:r>
      <w:r w:rsidR="001E326C">
        <w:rPr>
          <w:sz w:val="22"/>
          <w:szCs w:val="22"/>
        </w:rPr>
        <w:t xml:space="preserve"> Ltd.</w:t>
      </w:r>
      <w:r w:rsidR="00F875EE">
        <w:rPr>
          <w:sz w:val="22"/>
          <w:szCs w:val="22"/>
        </w:rPr>
        <w:t xml:space="preserve"> (see </w:t>
      </w:r>
      <w:hyperlink r:id="rId19" w:history="1">
        <w:r w:rsidR="00F875EE" w:rsidRPr="00F875EE">
          <w:rPr>
            <w:rStyle w:val="Hyperlink"/>
            <w:sz w:val="22"/>
            <w:szCs w:val="22"/>
          </w:rPr>
          <w:t>here</w:t>
        </w:r>
      </w:hyperlink>
      <w:r w:rsidR="00F875EE">
        <w:rPr>
          <w:sz w:val="22"/>
          <w:szCs w:val="22"/>
        </w:rPr>
        <w:t>).</w:t>
      </w:r>
      <w:r w:rsidR="0007664D" w:rsidRPr="001E326C">
        <w:rPr>
          <w:sz w:val="22"/>
          <w:szCs w:val="22"/>
        </w:rPr>
        <w:t xml:space="preserve"> </w:t>
      </w:r>
      <w:r w:rsidR="00F875EE">
        <w:rPr>
          <w:sz w:val="22"/>
          <w:szCs w:val="22"/>
        </w:rPr>
        <w:t>Varenicline (</w:t>
      </w:r>
      <w:proofErr w:type="spellStart"/>
      <w:r w:rsidR="003374A1" w:rsidRPr="001E326C">
        <w:rPr>
          <w:sz w:val="22"/>
          <w:szCs w:val="22"/>
        </w:rPr>
        <w:t>Champix</w:t>
      </w:r>
      <w:proofErr w:type="spellEnd"/>
      <w:r w:rsidR="00F875EE">
        <w:rPr>
          <w:sz w:val="22"/>
          <w:szCs w:val="22"/>
        </w:rPr>
        <w:t xml:space="preserve">) is currently </w:t>
      </w:r>
      <w:r w:rsidR="003374A1" w:rsidRPr="001E326C">
        <w:rPr>
          <w:sz w:val="22"/>
          <w:szCs w:val="22"/>
        </w:rPr>
        <w:t xml:space="preserve">provided </w:t>
      </w:r>
      <w:r w:rsidR="00F875EE">
        <w:rPr>
          <w:sz w:val="22"/>
          <w:szCs w:val="22"/>
        </w:rPr>
        <w:t xml:space="preserve">by </w:t>
      </w:r>
      <w:r w:rsidR="00F875EE" w:rsidRPr="00BC71FE">
        <w:rPr>
          <w:sz w:val="22"/>
          <w:szCs w:val="22"/>
        </w:rPr>
        <w:t xml:space="preserve">Solutions4Health Ltd. </w:t>
      </w:r>
      <w:r w:rsidR="00F875EE">
        <w:rPr>
          <w:sz w:val="22"/>
          <w:szCs w:val="22"/>
        </w:rPr>
        <w:t xml:space="preserve">using </w:t>
      </w:r>
      <w:r w:rsidR="003374A1" w:rsidRPr="001E326C">
        <w:rPr>
          <w:sz w:val="22"/>
          <w:szCs w:val="22"/>
        </w:rPr>
        <w:t xml:space="preserve">on a </w:t>
      </w:r>
      <w:hyperlink r:id="rId20" w:history="1">
        <w:r w:rsidR="00F875EE" w:rsidRPr="0067120C">
          <w:rPr>
            <w:rStyle w:val="Hyperlink"/>
            <w:sz w:val="22"/>
            <w:szCs w:val="22"/>
          </w:rPr>
          <w:t xml:space="preserve">Patient </w:t>
        </w:r>
        <w:r w:rsidR="003374A1" w:rsidRPr="0067120C">
          <w:rPr>
            <w:rStyle w:val="Hyperlink"/>
            <w:sz w:val="22"/>
            <w:szCs w:val="22"/>
          </w:rPr>
          <w:t>G</w:t>
        </w:r>
        <w:r w:rsidR="00F875EE" w:rsidRPr="0067120C">
          <w:rPr>
            <w:rStyle w:val="Hyperlink"/>
            <w:sz w:val="22"/>
            <w:szCs w:val="22"/>
          </w:rPr>
          <w:t xml:space="preserve">roup </w:t>
        </w:r>
        <w:r w:rsidR="003374A1" w:rsidRPr="0067120C">
          <w:rPr>
            <w:rStyle w:val="Hyperlink"/>
            <w:sz w:val="22"/>
            <w:szCs w:val="22"/>
          </w:rPr>
          <w:t>D</w:t>
        </w:r>
        <w:r w:rsidR="00F875EE" w:rsidRPr="0067120C">
          <w:rPr>
            <w:rStyle w:val="Hyperlink"/>
            <w:sz w:val="22"/>
            <w:szCs w:val="22"/>
          </w:rPr>
          <w:t>irective</w:t>
        </w:r>
      </w:hyperlink>
      <w:r w:rsidR="00F875EE">
        <w:rPr>
          <w:sz w:val="22"/>
          <w:szCs w:val="22"/>
        </w:rPr>
        <w:t xml:space="preserve"> </w:t>
      </w:r>
      <w:r w:rsidR="00F875EE">
        <w:rPr>
          <w:sz w:val="22"/>
          <w:szCs w:val="22"/>
        </w:rPr>
        <w:lastRenderedPageBreak/>
        <w:t>(PGD) and SLA with Community Pharmacies. There were initially 15 signed up to provide this but as of April 2020, this is now</w:t>
      </w:r>
      <w:r w:rsidR="003374A1" w:rsidRPr="001E326C">
        <w:rPr>
          <w:sz w:val="22"/>
          <w:szCs w:val="22"/>
        </w:rPr>
        <w:t xml:space="preserve"> </w:t>
      </w:r>
      <w:r w:rsidR="00F875EE">
        <w:rPr>
          <w:sz w:val="22"/>
          <w:szCs w:val="22"/>
        </w:rPr>
        <w:t>5. S</w:t>
      </w:r>
      <w:r w:rsidR="003374A1" w:rsidRPr="001E326C">
        <w:rPr>
          <w:sz w:val="22"/>
          <w:szCs w:val="22"/>
        </w:rPr>
        <w:t>ince May 2020</w:t>
      </w:r>
      <w:r w:rsidR="00F875EE">
        <w:rPr>
          <w:sz w:val="22"/>
          <w:szCs w:val="22"/>
        </w:rPr>
        <w:t>, the</w:t>
      </w:r>
      <w:r w:rsidR="003374A1" w:rsidRPr="001E326C">
        <w:rPr>
          <w:sz w:val="22"/>
          <w:szCs w:val="22"/>
        </w:rPr>
        <w:t xml:space="preserve"> recording </w:t>
      </w:r>
      <w:r w:rsidR="00F875EE">
        <w:rPr>
          <w:sz w:val="22"/>
          <w:szCs w:val="22"/>
        </w:rPr>
        <w:t xml:space="preserve">of activity (and associated invoicing) under the PGD/SLA by Community Pharmacies is </w:t>
      </w:r>
      <w:r w:rsidR="003374A1" w:rsidRPr="001E326C">
        <w:rPr>
          <w:sz w:val="22"/>
          <w:szCs w:val="22"/>
        </w:rPr>
        <w:t>provided on Pharm</w:t>
      </w:r>
      <w:r w:rsidR="00F875EE">
        <w:rPr>
          <w:sz w:val="22"/>
          <w:szCs w:val="22"/>
        </w:rPr>
        <w:t>Ou</w:t>
      </w:r>
      <w:r w:rsidR="003374A1" w:rsidRPr="001E326C">
        <w:rPr>
          <w:sz w:val="22"/>
          <w:szCs w:val="22"/>
        </w:rPr>
        <w:t>tcomes.</w:t>
      </w:r>
    </w:p>
    <w:p w14:paraId="7F6F818C" w14:textId="77777777" w:rsidR="00020A6C" w:rsidRDefault="00020A6C" w:rsidP="00186B33">
      <w:pPr>
        <w:jc w:val="both"/>
        <w:rPr>
          <w:b/>
          <w:bCs/>
          <w:sz w:val="22"/>
          <w:szCs w:val="22"/>
        </w:rPr>
      </w:pPr>
    </w:p>
    <w:p w14:paraId="55D8AC6C" w14:textId="085351A3" w:rsidR="00546523" w:rsidRPr="0067120C" w:rsidRDefault="00186B33" w:rsidP="00186B33">
      <w:pPr>
        <w:jc w:val="both"/>
        <w:rPr>
          <w:b/>
          <w:bCs/>
          <w:sz w:val="22"/>
          <w:szCs w:val="22"/>
        </w:rPr>
      </w:pPr>
      <w:r>
        <w:rPr>
          <w:b/>
          <w:bCs/>
          <w:sz w:val="22"/>
          <w:szCs w:val="22"/>
        </w:rPr>
        <w:t xml:space="preserve">3. Oxfordshire </w:t>
      </w:r>
      <w:r w:rsidR="00546523">
        <w:rPr>
          <w:b/>
          <w:bCs/>
          <w:sz w:val="22"/>
          <w:szCs w:val="22"/>
        </w:rPr>
        <w:t>Primary (</w:t>
      </w:r>
      <w:r w:rsidR="0007664D" w:rsidRPr="00214F92">
        <w:rPr>
          <w:b/>
          <w:bCs/>
          <w:sz w:val="22"/>
          <w:szCs w:val="22"/>
        </w:rPr>
        <w:t xml:space="preserve">GP and </w:t>
      </w:r>
      <w:r w:rsidR="00546523">
        <w:rPr>
          <w:b/>
          <w:bCs/>
          <w:sz w:val="22"/>
          <w:szCs w:val="22"/>
        </w:rPr>
        <w:t xml:space="preserve">Community </w:t>
      </w:r>
      <w:r w:rsidR="0007664D" w:rsidRPr="00214F92">
        <w:rPr>
          <w:b/>
          <w:bCs/>
          <w:sz w:val="22"/>
          <w:szCs w:val="22"/>
        </w:rPr>
        <w:t>Pharmacy</w:t>
      </w:r>
      <w:r w:rsidR="00546523">
        <w:rPr>
          <w:b/>
          <w:bCs/>
          <w:sz w:val="22"/>
          <w:szCs w:val="22"/>
        </w:rPr>
        <w:t>)</w:t>
      </w:r>
      <w:r w:rsidR="0007664D" w:rsidRPr="00214F92">
        <w:rPr>
          <w:b/>
          <w:bCs/>
          <w:sz w:val="22"/>
          <w:szCs w:val="22"/>
        </w:rPr>
        <w:t xml:space="preserve"> </w:t>
      </w:r>
      <w:r w:rsidR="0067120C">
        <w:rPr>
          <w:b/>
          <w:bCs/>
          <w:sz w:val="22"/>
          <w:szCs w:val="22"/>
        </w:rPr>
        <w:t xml:space="preserve">and Secondary Care Settings - </w:t>
      </w:r>
      <w:r w:rsidR="00546523" w:rsidRPr="00636BC7">
        <w:rPr>
          <w:sz w:val="22"/>
          <w:szCs w:val="22"/>
          <w:shd w:val="clear" w:color="auto" w:fill="FFFFFF"/>
        </w:rPr>
        <w:t xml:space="preserve">In this area, the Integrated Care System </w:t>
      </w:r>
      <w:r w:rsidR="0067120C">
        <w:rPr>
          <w:sz w:val="22"/>
          <w:szCs w:val="22"/>
          <w:shd w:val="clear" w:color="auto" w:fill="FFFFFF"/>
        </w:rPr>
        <w:t xml:space="preserve">(ICS) </w:t>
      </w:r>
      <w:r w:rsidR="00546523" w:rsidRPr="00636BC7">
        <w:rPr>
          <w:sz w:val="22"/>
          <w:szCs w:val="22"/>
          <w:shd w:val="clear" w:color="auto" w:fill="FFFFFF"/>
        </w:rPr>
        <w:t xml:space="preserve">covers Buckinghamshire, Oxfordshire and Berkshire West; otherwise referred to as BOB. </w:t>
      </w:r>
      <w:r w:rsidR="00636BC7" w:rsidRPr="00636BC7">
        <w:rPr>
          <w:color w:val="231F20"/>
          <w:sz w:val="22"/>
          <w:szCs w:val="22"/>
          <w:shd w:val="clear" w:color="auto" w:fill="FFFFFF"/>
        </w:rPr>
        <w:t>Th</w:t>
      </w:r>
      <w:r w:rsidR="00636BC7">
        <w:rPr>
          <w:color w:val="231F20"/>
          <w:sz w:val="22"/>
          <w:szCs w:val="22"/>
          <w:shd w:val="clear" w:color="auto" w:fill="FFFFFF"/>
        </w:rPr>
        <w:t xml:space="preserve">is </w:t>
      </w:r>
      <w:hyperlink r:id="rId21" w:history="1">
        <w:r w:rsidR="00636BC7" w:rsidRPr="00636BC7">
          <w:rPr>
            <w:rStyle w:val="Hyperlink"/>
            <w:sz w:val="22"/>
            <w:szCs w:val="22"/>
            <w:shd w:val="clear" w:color="auto" w:fill="FFFFFF"/>
          </w:rPr>
          <w:t>report</w:t>
        </w:r>
      </w:hyperlink>
      <w:r w:rsidR="00636BC7" w:rsidRPr="00636BC7">
        <w:rPr>
          <w:color w:val="231F20"/>
          <w:sz w:val="22"/>
          <w:szCs w:val="22"/>
          <w:shd w:val="clear" w:color="auto" w:fill="FFFFFF"/>
        </w:rPr>
        <w:t> </w:t>
      </w:r>
      <w:r w:rsidR="00636BC7">
        <w:rPr>
          <w:color w:val="231F20"/>
          <w:sz w:val="22"/>
          <w:szCs w:val="22"/>
          <w:shd w:val="clear" w:color="auto" w:fill="FFFFFF"/>
        </w:rPr>
        <w:t xml:space="preserve">on </w:t>
      </w:r>
      <w:hyperlink r:id="rId22" w:tooltip="BOB Report 2019 Final.pdf" w:history="1">
        <w:r w:rsidR="00636BC7" w:rsidRPr="00636BC7">
          <w:rPr>
            <w:rStyle w:val="Strong"/>
            <w:b w:val="0"/>
            <w:bCs w:val="0"/>
            <w:sz w:val="22"/>
            <w:szCs w:val="22"/>
            <w:shd w:val="clear" w:color="auto" w:fill="FFFFFF"/>
          </w:rPr>
          <w:t>Improving Health and Care in Buckinghamshire Oxfordshire and Berkshire West </w:t>
        </w:r>
      </w:hyperlink>
      <w:r w:rsidR="00636BC7" w:rsidRPr="00636BC7">
        <w:rPr>
          <w:color w:val="231F20"/>
          <w:sz w:val="22"/>
          <w:szCs w:val="22"/>
          <w:shd w:val="clear" w:color="auto" w:fill="FFFFFF"/>
        </w:rPr>
        <w:t>describes the range of organisations involved in the BOB ICS, how they work together and how they are developing their priorities and plans for the next five years.</w:t>
      </w:r>
    </w:p>
    <w:p w14:paraId="23722621" w14:textId="77777777" w:rsidR="00546523" w:rsidRDefault="00546523" w:rsidP="00186B33">
      <w:pPr>
        <w:jc w:val="both"/>
        <w:rPr>
          <w:sz w:val="22"/>
          <w:szCs w:val="22"/>
        </w:rPr>
      </w:pPr>
    </w:p>
    <w:p w14:paraId="63865B58" w14:textId="2F035324" w:rsidR="00636BC7" w:rsidRPr="00636BC7" w:rsidRDefault="0067120C" w:rsidP="00186B33">
      <w:pPr>
        <w:jc w:val="both"/>
        <w:rPr>
          <w:sz w:val="22"/>
          <w:szCs w:val="22"/>
        </w:rPr>
      </w:pPr>
      <w:r>
        <w:rPr>
          <w:sz w:val="22"/>
          <w:szCs w:val="22"/>
        </w:rPr>
        <w:t>A</w:t>
      </w:r>
      <w:r w:rsidR="00546523" w:rsidRPr="00636BC7">
        <w:rPr>
          <w:sz w:val="22"/>
          <w:szCs w:val="22"/>
        </w:rPr>
        <w:t>s of April 202</w:t>
      </w:r>
      <w:r>
        <w:rPr>
          <w:sz w:val="22"/>
          <w:szCs w:val="22"/>
        </w:rPr>
        <w:t>0</w:t>
      </w:r>
      <w:r w:rsidR="00546523" w:rsidRPr="00636BC7">
        <w:rPr>
          <w:sz w:val="22"/>
          <w:szCs w:val="22"/>
        </w:rPr>
        <w:t xml:space="preserve">, </w:t>
      </w:r>
      <w:r w:rsidR="00636BC7" w:rsidRPr="00636BC7">
        <w:rPr>
          <w:sz w:val="22"/>
          <w:szCs w:val="22"/>
        </w:rPr>
        <w:t xml:space="preserve">within </w:t>
      </w:r>
      <w:hyperlink r:id="rId23" w:history="1">
        <w:r w:rsidR="00636BC7" w:rsidRPr="0067120C">
          <w:rPr>
            <w:rStyle w:val="Hyperlink"/>
            <w:sz w:val="22"/>
            <w:szCs w:val="22"/>
          </w:rPr>
          <w:t>Oxfordshire Clinical Commissioning Group</w:t>
        </w:r>
      </w:hyperlink>
      <w:r w:rsidR="00636BC7" w:rsidRPr="00636BC7">
        <w:rPr>
          <w:sz w:val="22"/>
          <w:szCs w:val="22"/>
        </w:rPr>
        <w:t xml:space="preserve"> </w:t>
      </w:r>
      <w:r w:rsidR="00546523" w:rsidRPr="00636BC7">
        <w:rPr>
          <w:sz w:val="22"/>
          <w:szCs w:val="22"/>
        </w:rPr>
        <w:t>t</w:t>
      </w:r>
      <w:r w:rsidR="003374A1" w:rsidRPr="00636BC7">
        <w:rPr>
          <w:sz w:val="22"/>
          <w:szCs w:val="22"/>
        </w:rPr>
        <w:t xml:space="preserve">here </w:t>
      </w:r>
      <w:r w:rsidR="00636BC7" w:rsidRPr="00636BC7">
        <w:rPr>
          <w:sz w:val="22"/>
          <w:szCs w:val="22"/>
        </w:rPr>
        <w:t>were</w:t>
      </w:r>
      <w:r w:rsidR="003374A1" w:rsidRPr="00636BC7">
        <w:rPr>
          <w:sz w:val="22"/>
          <w:szCs w:val="22"/>
        </w:rPr>
        <w:t xml:space="preserve"> </w:t>
      </w:r>
      <w:r w:rsidR="00636BC7" w:rsidRPr="00636BC7">
        <w:rPr>
          <w:sz w:val="22"/>
          <w:szCs w:val="22"/>
        </w:rPr>
        <w:t>69</w:t>
      </w:r>
      <w:r w:rsidR="003374A1" w:rsidRPr="00636BC7">
        <w:rPr>
          <w:sz w:val="22"/>
          <w:szCs w:val="22"/>
        </w:rPr>
        <w:t xml:space="preserve"> GP </w:t>
      </w:r>
      <w:r w:rsidR="00636BC7" w:rsidRPr="00636BC7">
        <w:rPr>
          <w:sz w:val="22"/>
          <w:szCs w:val="22"/>
        </w:rPr>
        <w:t xml:space="preserve">Practices </w:t>
      </w:r>
      <w:r w:rsidR="00636BC7">
        <w:rPr>
          <w:sz w:val="22"/>
          <w:szCs w:val="22"/>
        </w:rPr>
        <w:t xml:space="preserve">(see further details </w:t>
      </w:r>
      <w:hyperlink r:id="rId24" w:history="1">
        <w:r w:rsidR="00636BC7" w:rsidRPr="00636BC7">
          <w:rPr>
            <w:rStyle w:val="Hyperlink"/>
            <w:sz w:val="22"/>
            <w:szCs w:val="22"/>
          </w:rPr>
          <w:t>here</w:t>
        </w:r>
      </w:hyperlink>
      <w:r w:rsidR="00636BC7">
        <w:rPr>
          <w:sz w:val="22"/>
          <w:szCs w:val="22"/>
        </w:rPr>
        <w:t xml:space="preserve">) </w:t>
      </w:r>
      <w:r w:rsidR="00636BC7" w:rsidRPr="00636BC7">
        <w:rPr>
          <w:sz w:val="22"/>
          <w:szCs w:val="22"/>
        </w:rPr>
        <w:t>and</w:t>
      </w:r>
      <w:r w:rsidR="003374A1" w:rsidRPr="00636BC7">
        <w:rPr>
          <w:sz w:val="22"/>
          <w:szCs w:val="22"/>
        </w:rPr>
        <w:t xml:space="preserve"> </w:t>
      </w:r>
      <w:r w:rsidR="00636BC7" w:rsidRPr="00636BC7">
        <w:rPr>
          <w:sz w:val="22"/>
          <w:szCs w:val="22"/>
        </w:rPr>
        <w:t>19</w:t>
      </w:r>
      <w:r w:rsidR="003374A1" w:rsidRPr="00636BC7">
        <w:rPr>
          <w:sz w:val="22"/>
          <w:szCs w:val="22"/>
        </w:rPr>
        <w:t xml:space="preserve"> </w:t>
      </w:r>
      <w:r w:rsidR="00636BC7" w:rsidRPr="00636BC7">
        <w:rPr>
          <w:sz w:val="22"/>
          <w:szCs w:val="22"/>
        </w:rPr>
        <w:t xml:space="preserve">newly formed </w:t>
      </w:r>
      <w:hyperlink r:id="rId25" w:history="1">
        <w:r w:rsidR="003374A1" w:rsidRPr="0067120C">
          <w:rPr>
            <w:rStyle w:val="Hyperlink"/>
            <w:sz w:val="22"/>
            <w:szCs w:val="22"/>
          </w:rPr>
          <w:t>Primary Care Networks</w:t>
        </w:r>
      </w:hyperlink>
      <w:r w:rsidR="003374A1" w:rsidRPr="00636BC7">
        <w:rPr>
          <w:sz w:val="22"/>
          <w:szCs w:val="22"/>
        </w:rPr>
        <w:t xml:space="preserve">. </w:t>
      </w:r>
      <w:r w:rsidR="00636BC7" w:rsidRPr="00636BC7">
        <w:rPr>
          <w:sz w:val="22"/>
          <w:szCs w:val="22"/>
        </w:rPr>
        <w:t>There are also four GP Federations; Principal Medical Limited, Oxford Federation (</w:t>
      </w:r>
      <w:proofErr w:type="spellStart"/>
      <w:r w:rsidR="00636BC7" w:rsidRPr="00636BC7">
        <w:rPr>
          <w:sz w:val="22"/>
          <w:szCs w:val="22"/>
        </w:rPr>
        <w:t>OxFed</w:t>
      </w:r>
      <w:proofErr w:type="spellEnd"/>
      <w:r w:rsidR="00636BC7" w:rsidRPr="00636BC7">
        <w:rPr>
          <w:sz w:val="22"/>
          <w:szCs w:val="22"/>
        </w:rPr>
        <w:t xml:space="preserve">), Abingdon Federation and </w:t>
      </w:r>
      <w:r w:rsidR="00636BC7" w:rsidRPr="00636BC7">
        <w:rPr>
          <w:rStyle w:val="Emphasis"/>
          <w:i w:val="0"/>
          <w:iCs w:val="0"/>
          <w:sz w:val="22"/>
          <w:szCs w:val="22"/>
          <w:shd w:val="clear" w:color="auto" w:fill="FFFFFF"/>
        </w:rPr>
        <w:t>South East Oxfordshire</w:t>
      </w:r>
      <w:r w:rsidR="00636BC7" w:rsidRPr="00636BC7">
        <w:rPr>
          <w:sz w:val="22"/>
          <w:szCs w:val="22"/>
          <w:shd w:val="clear" w:color="auto" w:fill="FFFFFF"/>
        </w:rPr>
        <w:t> (</w:t>
      </w:r>
      <w:proofErr w:type="spellStart"/>
      <w:r w:rsidR="00636BC7" w:rsidRPr="00636BC7">
        <w:rPr>
          <w:sz w:val="22"/>
          <w:szCs w:val="22"/>
          <w:shd w:val="clear" w:color="auto" w:fill="FFFFFF"/>
        </w:rPr>
        <w:t>SEOx</w:t>
      </w:r>
      <w:proofErr w:type="spellEnd"/>
      <w:r w:rsidR="00636BC7" w:rsidRPr="00636BC7">
        <w:rPr>
          <w:sz w:val="22"/>
          <w:szCs w:val="22"/>
          <w:shd w:val="clear" w:color="auto" w:fill="FFFFFF"/>
        </w:rPr>
        <w:t>) Federation</w:t>
      </w:r>
      <w:r w:rsidR="00636BC7">
        <w:rPr>
          <w:sz w:val="22"/>
          <w:szCs w:val="22"/>
          <w:shd w:val="clear" w:color="auto" w:fill="FFFFFF"/>
        </w:rPr>
        <w:t>.</w:t>
      </w:r>
      <w:r>
        <w:rPr>
          <w:sz w:val="22"/>
          <w:szCs w:val="22"/>
          <w:shd w:val="clear" w:color="auto" w:fill="FFFFFF"/>
        </w:rPr>
        <w:t xml:space="preserve"> There is the </w:t>
      </w:r>
      <w:hyperlink r:id="rId26" w:history="1">
        <w:r w:rsidRPr="0067120C">
          <w:rPr>
            <w:rStyle w:val="Hyperlink"/>
            <w:sz w:val="22"/>
            <w:szCs w:val="22"/>
            <w:shd w:val="clear" w:color="auto" w:fill="FFFFFF"/>
          </w:rPr>
          <w:t>Berkshire, Buckinghamshire and Oxfordshire Local Medical Committee</w:t>
        </w:r>
      </w:hyperlink>
      <w:r>
        <w:rPr>
          <w:sz w:val="22"/>
          <w:szCs w:val="22"/>
          <w:shd w:val="clear" w:color="auto" w:fill="FFFFFF"/>
        </w:rPr>
        <w:t xml:space="preserve"> (BBOLMC) that represent the GP Practices in Oxfordshire.</w:t>
      </w:r>
    </w:p>
    <w:p w14:paraId="0DBFF690" w14:textId="77777777" w:rsidR="00636BC7" w:rsidRDefault="00636BC7" w:rsidP="00186B33">
      <w:pPr>
        <w:jc w:val="both"/>
        <w:rPr>
          <w:sz w:val="22"/>
          <w:szCs w:val="22"/>
        </w:rPr>
      </w:pPr>
    </w:p>
    <w:p w14:paraId="5FC3AE4E" w14:textId="55860996" w:rsidR="00E24843" w:rsidRPr="00E24843" w:rsidRDefault="00E24843" w:rsidP="00186B33">
      <w:pPr>
        <w:pStyle w:val="Default"/>
        <w:jc w:val="both"/>
        <w:rPr>
          <w:rFonts w:ascii="Symbol" w:hAnsi="Symbol" w:cs="Symbol"/>
        </w:rPr>
      </w:pPr>
      <w:r>
        <w:rPr>
          <w:sz w:val="22"/>
          <w:szCs w:val="22"/>
        </w:rPr>
        <w:t xml:space="preserve">The </w:t>
      </w:r>
      <w:hyperlink r:id="rId27" w:history="1">
        <w:r w:rsidRPr="00E24843">
          <w:rPr>
            <w:rStyle w:val="Hyperlink"/>
            <w:sz w:val="22"/>
            <w:szCs w:val="22"/>
          </w:rPr>
          <w:t>2018 Oxfordshire Pharmaceutical Needs Assessment</w:t>
        </w:r>
      </w:hyperlink>
      <w:r>
        <w:rPr>
          <w:sz w:val="22"/>
          <w:szCs w:val="22"/>
        </w:rPr>
        <w:t xml:space="preserve"> outlined that</w:t>
      </w:r>
      <w:r w:rsidR="0067120C">
        <w:rPr>
          <w:sz w:val="22"/>
          <w:szCs w:val="22"/>
        </w:rPr>
        <w:t xml:space="preserve"> t</w:t>
      </w:r>
      <w:r w:rsidR="003374A1" w:rsidRPr="00546523">
        <w:rPr>
          <w:sz w:val="22"/>
          <w:szCs w:val="22"/>
        </w:rPr>
        <w:t xml:space="preserve">here </w:t>
      </w:r>
      <w:r w:rsidR="0067120C">
        <w:rPr>
          <w:sz w:val="22"/>
          <w:szCs w:val="22"/>
        </w:rPr>
        <w:t>were</w:t>
      </w:r>
      <w:r w:rsidR="00872F09" w:rsidRPr="00546523">
        <w:rPr>
          <w:sz w:val="22"/>
          <w:szCs w:val="22"/>
        </w:rPr>
        <w:t xml:space="preserve"> </w:t>
      </w:r>
      <w:r w:rsidRPr="00E24843">
        <w:rPr>
          <w:sz w:val="22"/>
          <w:szCs w:val="22"/>
        </w:rPr>
        <w:t xml:space="preserve">98 standard </w:t>
      </w:r>
      <w:r>
        <w:rPr>
          <w:sz w:val="22"/>
          <w:szCs w:val="22"/>
        </w:rPr>
        <w:t>C</w:t>
      </w:r>
      <w:r w:rsidRPr="00E24843">
        <w:rPr>
          <w:sz w:val="22"/>
          <w:szCs w:val="22"/>
        </w:rPr>
        <w:t xml:space="preserve">ommunity </w:t>
      </w:r>
      <w:r>
        <w:rPr>
          <w:sz w:val="22"/>
          <w:szCs w:val="22"/>
        </w:rPr>
        <w:t>P</w:t>
      </w:r>
      <w:r w:rsidRPr="00E24843">
        <w:rPr>
          <w:sz w:val="22"/>
          <w:szCs w:val="22"/>
        </w:rPr>
        <w:t>harmacies</w:t>
      </w:r>
      <w:r>
        <w:rPr>
          <w:sz w:val="22"/>
          <w:szCs w:val="22"/>
        </w:rPr>
        <w:t xml:space="preserve">, </w:t>
      </w:r>
      <w:r w:rsidRPr="00E24843">
        <w:rPr>
          <w:sz w:val="22"/>
          <w:szCs w:val="22"/>
        </w:rPr>
        <w:t xml:space="preserve">12 100 hours’ </w:t>
      </w:r>
      <w:r>
        <w:rPr>
          <w:sz w:val="22"/>
          <w:szCs w:val="22"/>
        </w:rPr>
        <w:t>C</w:t>
      </w:r>
      <w:r w:rsidRPr="00E24843">
        <w:rPr>
          <w:sz w:val="22"/>
          <w:szCs w:val="22"/>
        </w:rPr>
        <w:t xml:space="preserve">ommunity </w:t>
      </w:r>
      <w:r>
        <w:rPr>
          <w:sz w:val="22"/>
          <w:szCs w:val="22"/>
        </w:rPr>
        <w:t>P</w:t>
      </w:r>
      <w:r w:rsidRPr="00E24843">
        <w:rPr>
          <w:sz w:val="22"/>
          <w:szCs w:val="22"/>
        </w:rPr>
        <w:t>harmacies</w:t>
      </w:r>
      <w:r>
        <w:rPr>
          <w:sz w:val="22"/>
          <w:szCs w:val="22"/>
        </w:rPr>
        <w:t xml:space="preserve">, </w:t>
      </w:r>
      <w:r w:rsidRPr="00E24843">
        <w:rPr>
          <w:sz w:val="22"/>
          <w:szCs w:val="22"/>
        </w:rPr>
        <w:t>2 distance selling / internet pharmacy</w:t>
      </w:r>
      <w:r>
        <w:rPr>
          <w:sz w:val="22"/>
          <w:szCs w:val="22"/>
        </w:rPr>
        <w:t xml:space="preserve">, </w:t>
      </w:r>
      <w:r w:rsidRPr="00E24843">
        <w:rPr>
          <w:sz w:val="22"/>
          <w:szCs w:val="22"/>
        </w:rPr>
        <w:t>1 dispensing appliance contractor</w:t>
      </w:r>
      <w:r>
        <w:rPr>
          <w:sz w:val="22"/>
          <w:szCs w:val="22"/>
        </w:rPr>
        <w:t xml:space="preserve"> and </w:t>
      </w:r>
      <w:r w:rsidRPr="00E24843">
        <w:rPr>
          <w:sz w:val="22"/>
          <w:szCs w:val="22"/>
        </w:rPr>
        <w:t xml:space="preserve">25 dispensing </w:t>
      </w:r>
      <w:r>
        <w:rPr>
          <w:sz w:val="22"/>
          <w:szCs w:val="22"/>
        </w:rPr>
        <w:t>GP P</w:t>
      </w:r>
      <w:r w:rsidRPr="00E24843">
        <w:rPr>
          <w:sz w:val="22"/>
          <w:szCs w:val="22"/>
        </w:rPr>
        <w:t>ractices</w:t>
      </w:r>
      <w:r>
        <w:rPr>
          <w:sz w:val="22"/>
          <w:szCs w:val="22"/>
        </w:rPr>
        <w:t xml:space="preserve">. </w:t>
      </w:r>
      <w:r>
        <w:rPr>
          <w:sz w:val="22"/>
          <w:szCs w:val="22"/>
          <w:lang w:val="en-US"/>
        </w:rPr>
        <w:t xml:space="preserve">There is the </w:t>
      </w:r>
      <w:hyperlink r:id="rId28" w:history="1">
        <w:r w:rsidRPr="00E24843">
          <w:rPr>
            <w:rStyle w:val="Hyperlink"/>
            <w:sz w:val="22"/>
            <w:szCs w:val="22"/>
            <w:lang w:val="en-US"/>
          </w:rPr>
          <w:t>Pharmacy Thames Valley Local Pharmaceutical Committee</w:t>
        </w:r>
      </w:hyperlink>
      <w:r>
        <w:rPr>
          <w:sz w:val="22"/>
          <w:szCs w:val="22"/>
          <w:lang w:val="en-US"/>
        </w:rPr>
        <w:t xml:space="preserve"> </w:t>
      </w:r>
      <w:r>
        <w:rPr>
          <w:sz w:val="22"/>
          <w:szCs w:val="22"/>
          <w:shd w:val="clear" w:color="auto" w:fill="FFFFFF"/>
        </w:rPr>
        <w:t>that represents the Community Pharmacies in Oxfordshire.</w:t>
      </w:r>
    </w:p>
    <w:p w14:paraId="160B5C8D" w14:textId="0C73BDEF" w:rsidR="00E24843" w:rsidRPr="00B901E0" w:rsidRDefault="00072D01" w:rsidP="00186B33">
      <w:pPr>
        <w:jc w:val="both"/>
        <w:rPr>
          <w:sz w:val="22"/>
          <w:szCs w:val="22"/>
        </w:rPr>
      </w:pPr>
      <w:r>
        <w:rPr>
          <w:noProof/>
        </w:rPr>
        <w:drawing>
          <wp:anchor distT="0" distB="0" distL="114300" distR="114300" simplePos="0" relativeHeight="251659264" behindDoc="1" locked="0" layoutInCell="1" allowOverlap="1" wp14:anchorId="4F4A3E02" wp14:editId="649CC4BB">
            <wp:simplePos x="0" y="0"/>
            <wp:positionH relativeFrom="column">
              <wp:posOffset>3810</wp:posOffset>
            </wp:positionH>
            <wp:positionV relativeFrom="paragraph">
              <wp:posOffset>1270</wp:posOffset>
            </wp:positionV>
            <wp:extent cx="6120000" cy="1263600"/>
            <wp:effectExtent l="1856740" t="0" r="1909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8772919">
                      <a:off x="0" y="0"/>
                      <a:ext cx="6120000" cy="1263600"/>
                    </a:xfrm>
                    <a:prstGeom prst="rect">
                      <a:avLst/>
                    </a:prstGeom>
                  </pic:spPr>
                </pic:pic>
              </a:graphicData>
            </a:graphic>
            <wp14:sizeRelH relativeFrom="margin">
              <wp14:pctWidth>0</wp14:pctWidth>
            </wp14:sizeRelH>
            <wp14:sizeRelV relativeFrom="margin">
              <wp14:pctHeight>0</wp14:pctHeight>
            </wp14:sizeRelV>
          </wp:anchor>
        </w:drawing>
      </w:r>
    </w:p>
    <w:p w14:paraId="3491425B" w14:textId="7619563C" w:rsidR="0067120C" w:rsidRPr="00186B33" w:rsidRDefault="0067120C" w:rsidP="00186B33">
      <w:pPr>
        <w:jc w:val="both"/>
        <w:rPr>
          <w:sz w:val="22"/>
          <w:szCs w:val="22"/>
        </w:rPr>
      </w:pPr>
      <w:r w:rsidRPr="00186B33">
        <w:rPr>
          <w:sz w:val="22"/>
          <w:szCs w:val="22"/>
        </w:rPr>
        <w:t>There are two NHS Trusts</w:t>
      </w:r>
      <w:r w:rsidR="00B901E0" w:rsidRPr="00186B33">
        <w:rPr>
          <w:sz w:val="22"/>
          <w:szCs w:val="22"/>
        </w:rPr>
        <w:t xml:space="preserve"> in Oxfordshire with </w:t>
      </w:r>
      <w:hyperlink r:id="rId29" w:history="1">
        <w:r w:rsidR="00B901E0" w:rsidRPr="00186B33">
          <w:rPr>
            <w:rStyle w:val="Hyperlink"/>
            <w:sz w:val="22"/>
            <w:szCs w:val="22"/>
          </w:rPr>
          <w:t>Oxford Health NHS Foundation Trust</w:t>
        </w:r>
      </w:hyperlink>
      <w:r w:rsidR="00B901E0" w:rsidRPr="00186B33">
        <w:rPr>
          <w:sz w:val="22"/>
          <w:szCs w:val="22"/>
        </w:rPr>
        <w:t xml:space="preserve"> </w:t>
      </w:r>
      <w:r w:rsidR="22F036F0" w:rsidRPr="00186B33">
        <w:rPr>
          <w:sz w:val="22"/>
          <w:szCs w:val="22"/>
        </w:rPr>
        <w:t xml:space="preserve"> </w:t>
      </w:r>
      <w:r w:rsidR="00B901E0" w:rsidRPr="00186B33">
        <w:rPr>
          <w:sz w:val="22"/>
          <w:szCs w:val="22"/>
        </w:rPr>
        <w:t xml:space="preserve">and </w:t>
      </w:r>
      <w:hyperlink r:id="rId30" w:history="1">
        <w:r w:rsidR="00B901E0" w:rsidRPr="00186B33">
          <w:rPr>
            <w:rStyle w:val="Hyperlink"/>
            <w:sz w:val="22"/>
            <w:szCs w:val="22"/>
          </w:rPr>
          <w:t>Oxford University Hospitals NHS Foundation Trust</w:t>
        </w:r>
      </w:hyperlink>
      <w:r w:rsidR="00B901E0" w:rsidRPr="00186B33">
        <w:rPr>
          <w:sz w:val="22"/>
          <w:szCs w:val="22"/>
        </w:rPr>
        <w:t xml:space="preserve"> p</w:t>
      </w:r>
      <w:r w:rsidR="00E24843" w:rsidRPr="00186B33">
        <w:rPr>
          <w:sz w:val="22"/>
          <w:szCs w:val="22"/>
        </w:rPr>
        <w:t>roviding</w:t>
      </w:r>
      <w:r w:rsidR="00B901E0" w:rsidRPr="00186B33">
        <w:rPr>
          <w:sz w:val="22"/>
          <w:szCs w:val="22"/>
        </w:rPr>
        <w:t xml:space="preserve"> </w:t>
      </w:r>
      <w:r w:rsidR="089952C6" w:rsidRPr="00186B33">
        <w:rPr>
          <w:sz w:val="22"/>
          <w:szCs w:val="22"/>
        </w:rPr>
        <w:t xml:space="preserve">acute </w:t>
      </w:r>
      <w:r w:rsidR="00B901E0" w:rsidRPr="00186B33">
        <w:rPr>
          <w:sz w:val="22"/>
          <w:szCs w:val="22"/>
        </w:rPr>
        <w:t>hospital (including maternity) and community care (including mental health)</w:t>
      </w:r>
      <w:r w:rsidR="00186B33">
        <w:rPr>
          <w:sz w:val="22"/>
          <w:szCs w:val="22"/>
        </w:rPr>
        <w:t xml:space="preserve"> services</w:t>
      </w:r>
      <w:r w:rsidR="00B901E0" w:rsidRPr="00186B33">
        <w:rPr>
          <w:sz w:val="22"/>
          <w:szCs w:val="22"/>
        </w:rPr>
        <w:t xml:space="preserve">. Oxford Health NHS Foundation Trust </w:t>
      </w:r>
      <w:r w:rsidR="00B901E0" w:rsidRPr="00186B33">
        <w:rPr>
          <w:color w:val="222222"/>
          <w:sz w:val="22"/>
          <w:szCs w:val="22"/>
          <w:shd w:val="clear" w:color="auto" w:fill="FFFFFF"/>
        </w:rPr>
        <w:t> is made up of four hospitals - the </w:t>
      </w:r>
      <w:hyperlink r:id="rId31" w:history="1">
        <w:r w:rsidR="00B901E0" w:rsidRPr="00186B33">
          <w:rPr>
            <w:rStyle w:val="Hyperlink"/>
            <w:color w:val="005EB8"/>
            <w:sz w:val="22"/>
            <w:szCs w:val="22"/>
            <w:shd w:val="clear" w:color="auto" w:fill="FFFFFF"/>
          </w:rPr>
          <w:t>John Radcliffe Hospital</w:t>
        </w:r>
      </w:hyperlink>
      <w:r w:rsidR="00B901E0" w:rsidRPr="00186B33">
        <w:rPr>
          <w:color w:val="222222"/>
          <w:sz w:val="22"/>
          <w:szCs w:val="22"/>
          <w:shd w:val="clear" w:color="auto" w:fill="FFFFFF"/>
        </w:rPr>
        <w:t>, the </w:t>
      </w:r>
      <w:hyperlink r:id="rId32" w:history="1">
        <w:r w:rsidR="00B901E0" w:rsidRPr="00186B33">
          <w:rPr>
            <w:rStyle w:val="Hyperlink"/>
            <w:color w:val="005EB8"/>
            <w:sz w:val="22"/>
            <w:szCs w:val="22"/>
            <w:shd w:val="clear" w:color="auto" w:fill="FFFFFF"/>
          </w:rPr>
          <w:t>Churchill Hospital</w:t>
        </w:r>
      </w:hyperlink>
      <w:r w:rsidR="00B901E0" w:rsidRPr="00186B33">
        <w:rPr>
          <w:color w:val="222222"/>
          <w:sz w:val="22"/>
          <w:szCs w:val="22"/>
          <w:shd w:val="clear" w:color="auto" w:fill="FFFFFF"/>
        </w:rPr>
        <w:t> and the </w:t>
      </w:r>
      <w:hyperlink r:id="rId33" w:history="1">
        <w:r w:rsidR="00B901E0" w:rsidRPr="00186B33">
          <w:rPr>
            <w:rStyle w:val="Hyperlink"/>
            <w:color w:val="005EB8"/>
            <w:sz w:val="22"/>
            <w:szCs w:val="22"/>
            <w:shd w:val="clear" w:color="auto" w:fill="FFFFFF"/>
          </w:rPr>
          <w:t>Nuffield Orthopaedic Centre</w:t>
        </w:r>
      </w:hyperlink>
      <w:r w:rsidR="00B901E0" w:rsidRPr="00186B33">
        <w:rPr>
          <w:color w:val="222222"/>
          <w:sz w:val="22"/>
          <w:szCs w:val="22"/>
          <w:shd w:val="clear" w:color="auto" w:fill="FFFFFF"/>
        </w:rPr>
        <w:t>, all located in Oxford City, and the </w:t>
      </w:r>
      <w:hyperlink r:id="rId34" w:history="1">
        <w:r w:rsidR="00B901E0" w:rsidRPr="00186B33">
          <w:rPr>
            <w:rStyle w:val="Hyperlink"/>
            <w:color w:val="005EB8"/>
            <w:sz w:val="22"/>
            <w:szCs w:val="22"/>
            <w:shd w:val="clear" w:color="auto" w:fill="FFFFFF"/>
          </w:rPr>
          <w:t>Horton General Hospital</w:t>
        </w:r>
      </w:hyperlink>
      <w:r w:rsidR="00B901E0" w:rsidRPr="00186B33">
        <w:rPr>
          <w:color w:val="222222"/>
          <w:sz w:val="22"/>
          <w:szCs w:val="22"/>
          <w:shd w:val="clear" w:color="auto" w:fill="FFFFFF"/>
        </w:rPr>
        <w:t> in Banbury, north Oxfordshire</w:t>
      </w:r>
      <w:r w:rsidR="00B901E0" w:rsidRPr="00186B33">
        <w:rPr>
          <w:sz w:val="22"/>
          <w:szCs w:val="22"/>
        </w:rPr>
        <w:t xml:space="preserve">. Oxford Health NHS Foundation Trust </w:t>
      </w:r>
      <w:r w:rsidR="00B901E0" w:rsidRPr="00186B33">
        <w:rPr>
          <w:color w:val="222222"/>
          <w:sz w:val="22"/>
          <w:szCs w:val="22"/>
          <w:shd w:val="clear" w:color="auto" w:fill="FFFFFF"/>
        </w:rPr>
        <w:t xml:space="preserve"> have the </w:t>
      </w:r>
      <w:hyperlink r:id="rId35" w:history="1">
        <w:r w:rsidR="00B901E0" w:rsidRPr="00186B33">
          <w:rPr>
            <w:rStyle w:val="Hyperlink"/>
            <w:sz w:val="22"/>
            <w:szCs w:val="22"/>
            <w:shd w:val="clear" w:color="auto" w:fill="FFFFFF"/>
          </w:rPr>
          <w:t>Here for Health Centre</w:t>
        </w:r>
      </w:hyperlink>
      <w:r w:rsidR="00B901E0" w:rsidRPr="00186B33">
        <w:rPr>
          <w:color w:val="222222"/>
          <w:sz w:val="22"/>
          <w:szCs w:val="22"/>
          <w:shd w:val="clear" w:color="auto" w:fill="FFFFFF"/>
        </w:rPr>
        <w:t xml:space="preserve">, </w:t>
      </w:r>
      <w:r w:rsidR="00B901E0" w:rsidRPr="00186B33">
        <w:rPr>
          <w:sz w:val="22"/>
          <w:szCs w:val="22"/>
          <w:shd w:val="clear" w:color="auto" w:fill="FFFFFF"/>
        </w:rPr>
        <w:t>this is a Health Improvement Advice Centre for patients, staff and visitors</w:t>
      </w:r>
      <w:r w:rsidR="00186B33">
        <w:rPr>
          <w:sz w:val="22"/>
          <w:szCs w:val="22"/>
          <w:shd w:val="clear" w:color="auto" w:fill="FFFFFF"/>
        </w:rPr>
        <w:t xml:space="preserve"> and currently includes provision of the Service</w:t>
      </w:r>
      <w:r w:rsidR="00B901E0" w:rsidRPr="00186B33">
        <w:rPr>
          <w:sz w:val="22"/>
          <w:szCs w:val="22"/>
          <w:shd w:val="clear" w:color="auto" w:fill="FFFFFF"/>
        </w:rPr>
        <w:t>.</w:t>
      </w:r>
    </w:p>
    <w:p w14:paraId="2059D121" w14:textId="79D19C44" w:rsidR="0067120C" w:rsidRDefault="0067120C" w:rsidP="008400BE">
      <w:pPr>
        <w:jc w:val="both"/>
        <w:rPr>
          <w:sz w:val="22"/>
          <w:szCs w:val="22"/>
        </w:rPr>
      </w:pPr>
    </w:p>
    <w:p w14:paraId="10F7CB6F" w14:textId="7BBA61DE" w:rsidR="00454AD8" w:rsidRDefault="00454AD8" w:rsidP="00454AD8">
      <w:pPr>
        <w:jc w:val="both"/>
        <w:rPr>
          <w:rFonts w:eastAsia="Times New Roman"/>
          <w:iCs/>
          <w:sz w:val="22"/>
          <w:szCs w:val="22"/>
        </w:rPr>
      </w:pPr>
      <w:r w:rsidRPr="00CA5B2B">
        <w:rPr>
          <w:b/>
          <w:bCs/>
          <w:sz w:val="22"/>
          <w:szCs w:val="22"/>
        </w:rPr>
        <w:t xml:space="preserve">4. Referral Activity </w:t>
      </w:r>
      <w:r w:rsidR="00CA5B2B" w:rsidRPr="00CA5B2B">
        <w:rPr>
          <w:b/>
          <w:bCs/>
          <w:sz w:val="22"/>
          <w:szCs w:val="22"/>
        </w:rPr>
        <w:t xml:space="preserve">– </w:t>
      </w:r>
      <w:r w:rsidR="00CA5B2B" w:rsidRPr="00CA5B2B">
        <w:rPr>
          <w:sz w:val="22"/>
          <w:szCs w:val="22"/>
        </w:rPr>
        <w:t xml:space="preserve">The incumbent </w:t>
      </w:r>
      <w:r w:rsidR="00CA5B2B" w:rsidRPr="00CA5B2B">
        <w:rPr>
          <w:rFonts w:eastAsia="Times New Roman"/>
          <w:iCs/>
          <w:sz w:val="22"/>
          <w:szCs w:val="22"/>
        </w:rPr>
        <w:t xml:space="preserve">Service Provider </w:t>
      </w:r>
      <w:r w:rsidR="00CA5B2B">
        <w:rPr>
          <w:rFonts w:eastAsia="Times New Roman"/>
          <w:iCs/>
          <w:sz w:val="22"/>
          <w:szCs w:val="22"/>
        </w:rPr>
        <w:t>(Solutions4Health Ltd.)</w:t>
      </w:r>
      <w:r w:rsidR="00CA5B2B" w:rsidRPr="00CA5B2B">
        <w:rPr>
          <w:rFonts w:eastAsia="Times New Roman"/>
          <w:iCs/>
          <w:sz w:val="22"/>
          <w:szCs w:val="22"/>
        </w:rPr>
        <w:t xml:space="preserve"> produce Quarterly Service Quality Performance</w:t>
      </w:r>
      <w:r w:rsidR="00CA5B2B">
        <w:rPr>
          <w:rFonts w:eastAsia="Times New Roman"/>
          <w:iCs/>
          <w:sz w:val="22"/>
          <w:szCs w:val="22"/>
        </w:rPr>
        <w:t xml:space="preserve"> </w:t>
      </w:r>
      <w:r w:rsidR="00A7435E">
        <w:rPr>
          <w:rFonts w:eastAsia="Times New Roman"/>
          <w:iCs/>
          <w:sz w:val="22"/>
          <w:szCs w:val="22"/>
        </w:rPr>
        <w:t xml:space="preserve">Reports </w:t>
      </w:r>
      <w:r w:rsidR="00CA5B2B">
        <w:rPr>
          <w:rFonts w:eastAsia="Times New Roman"/>
          <w:iCs/>
          <w:sz w:val="22"/>
          <w:szCs w:val="22"/>
        </w:rPr>
        <w:t>for Contract Review purposes. The table below summarises the n</w:t>
      </w:r>
      <w:r w:rsidR="00CA5B2B" w:rsidRPr="00CA5B2B">
        <w:rPr>
          <w:rFonts w:eastAsia="Times New Roman"/>
          <w:iCs/>
          <w:sz w:val="22"/>
          <w:szCs w:val="22"/>
        </w:rPr>
        <w:t>umber of Service Users referred into the Service</w:t>
      </w:r>
      <w:r w:rsidR="00CA5B2B">
        <w:rPr>
          <w:rFonts w:eastAsia="Times New Roman"/>
          <w:iCs/>
          <w:sz w:val="22"/>
          <w:szCs w:val="22"/>
        </w:rPr>
        <w:t xml:space="preserve"> between 2018/19 and 2019/20.</w:t>
      </w:r>
    </w:p>
    <w:p w14:paraId="097113C1" w14:textId="520F8564" w:rsidR="00CA5B2B" w:rsidRDefault="00CA5B2B" w:rsidP="00454AD8">
      <w:pPr>
        <w:jc w:val="both"/>
        <w:rPr>
          <w:rFonts w:eastAsia="Times New Roman"/>
          <w:iCs/>
          <w:sz w:val="22"/>
          <w:szCs w:val="22"/>
        </w:rPr>
      </w:pPr>
    </w:p>
    <w:tbl>
      <w:tblPr>
        <w:tblW w:w="9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3420"/>
        <w:gridCol w:w="1045"/>
        <w:gridCol w:w="1126"/>
        <w:gridCol w:w="1126"/>
        <w:gridCol w:w="1126"/>
        <w:gridCol w:w="1126"/>
      </w:tblGrid>
      <w:tr w:rsidR="00020A6C" w:rsidRPr="00020A6C" w14:paraId="54C0B7D2" w14:textId="77777777" w:rsidTr="008F25C8">
        <w:trPr>
          <w:trHeight w:val="162"/>
        </w:trPr>
        <w:tc>
          <w:tcPr>
            <w:tcW w:w="1017" w:type="dxa"/>
            <w:shd w:val="clear" w:color="auto" w:fill="auto"/>
            <w:noWrap/>
            <w:vAlign w:val="bottom"/>
            <w:hideMark/>
          </w:tcPr>
          <w:p w14:paraId="23E24928" w14:textId="77777777" w:rsidR="00020A6C" w:rsidRPr="00020A6C" w:rsidRDefault="00020A6C" w:rsidP="00020A6C">
            <w:pPr>
              <w:jc w:val="center"/>
              <w:rPr>
                <w:rFonts w:eastAsia="Times New Roman"/>
                <w:b/>
                <w:bCs/>
                <w:sz w:val="22"/>
                <w:szCs w:val="22"/>
                <w:lang w:eastAsia="en-GB"/>
              </w:rPr>
            </w:pPr>
            <w:r w:rsidRPr="00020A6C">
              <w:rPr>
                <w:rFonts w:eastAsia="Times New Roman"/>
                <w:b/>
                <w:bCs/>
                <w:sz w:val="22"/>
                <w:szCs w:val="22"/>
                <w:lang w:eastAsia="en-GB"/>
              </w:rPr>
              <w:t>Year</w:t>
            </w:r>
          </w:p>
        </w:tc>
        <w:tc>
          <w:tcPr>
            <w:tcW w:w="3420" w:type="dxa"/>
            <w:shd w:val="clear" w:color="auto" w:fill="auto"/>
            <w:noWrap/>
            <w:vAlign w:val="bottom"/>
            <w:hideMark/>
          </w:tcPr>
          <w:p w14:paraId="3B1D46BE" w14:textId="77777777" w:rsidR="00020A6C" w:rsidRPr="00020A6C" w:rsidRDefault="00020A6C" w:rsidP="00020A6C">
            <w:pPr>
              <w:jc w:val="center"/>
              <w:rPr>
                <w:rFonts w:eastAsia="Times New Roman"/>
                <w:b/>
                <w:bCs/>
                <w:sz w:val="22"/>
                <w:szCs w:val="22"/>
                <w:lang w:eastAsia="en-GB"/>
              </w:rPr>
            </w:pPr>
            <w:r w:rsidRPr="00020A6C">
              <w:rPr>
                <w:rFonts w:eastAsia="Times New Roman"/>
                <w:b/>
                <w:bCs/>
                <w:sz w:val="22"/>
                <w:szCs w:val="22"/>
                <w:lang w:eastAsia="en-GB"/>
              </w:rPr>
              <w:t>Indicator</w:t>
            </w:r>
          </w:p>
        </w:tc>
        <w:tc>
          <w:tcPr>
            <w:tcW w:w="1045" w:type="dxa"/>
            <w:shd w:val="clear" w:color="auto" w:fill="auto"/>
            <w:noWrap/>
            <w:vAlign w:val="bottom"/>
            <w:hideMark/>
          </w:tcPr>
          <w:p w14:paraId="6D2FBE3D" w14:textId="77777777" w:rsidR="00020A6C" w:rsidRPr="00020A6C" w:rsidRDefault="00020A6C" w:rsidP="00020A6C">
            <w:pPr>
              <w:jc w:val="center"/>
              <w:rPr>
                <w:rFonts w:eastAsia="Times New Roman"/>
                <w:b/>
                <w:bCs/>
                <w:sz w:val="22"/>
                <w:szCs w:val="22"/>
                <w:lang w:eastAsia="en-GB"/>
              </w:rPr>
            </w:pPr>
            <w:r w:rsidRPr="00020A6C">
              <w:rPr>
                <w:rFonts w:eastAsia="Times New Roman"/>
                <w:b/>
                <w:bCs/>
                <w:sz w:val="22"/>
                <w:szCs w:val="22"/>
                <w:lang w:eastAsia="en-GB"/>
              </w:rPr>
              <w:t>Quarter 1</w:t>
            </w:r>
          </w:p>
        </w:tc>
        <w:tc>
          <w:tcPr>
            <w:tcW w:w="1126" w:type="dxa"/>
            <w:shd w:val="clear" w:color="auto" w:fill="auto"/>
            <w:noWrap/>
            <w:vAlign w:val="bottom"/>
            <w:hideMark/>
          </w:tcPr>
          <w:p w14:paraId="5BA2147B" w14:textId="77777777" w:rsidR="00020A6C" w:rsidRPr="00020A6C" w:rsidRDefault="00020A6C" w:rsidP="00020A6C">
            <w:pPr>
              <w:jc w:val="center"/>
              <w:rPr>
                <w:rFonts w:eastAsia="Times New Roman"/>
                <w:b/>
                <w:bCs/>
                <w:sz w:val="22"/>
                <w:szCs w:val="22"/>
                <w:lang w:eastAsia="en-GB"/>
              </w:rPr>
            </w:pPr>
            <w:r w:rsidRPr="00020A6C">
              <w:rPr>
                <w:rFonts w:eastAsia="Times New Roman"/>
                <w:b/>
                <w:bCs/>
                <w:sz w:val="22"/>
                <w:szCs w:val="22"/>
                <w:lang w:eastAsia="en-GB"/>
              </w:rPr>
              <w:t>Quarter 2</w:t>
            </w:r>
          </w:p>
        </w:tc>
        <w:tc>
          <w:tcPr>
            <w:tcW w:w="1126" w:type="dxa"/>
            <w:shd w:val="clear" w:color="auto" w:fill="auto"/>
            <w:noWrap/>
            <w:vAlign w:val="bottom"/>
            <w:hideMark/>
          </w:tcPr>
          <w:p w14:paraId="73F8A94B" w14:textId="77777777" w:rsidR="00020A6C" w:rsidRPr="00020A6C" w:rsidRDefault="00020A6C" w:rsidP="00020A6C">
            <w:pPr>
              <w:jc w:val="center"/>
              <w:rPr>
                <w:rFonts w:eastAsia="Times New Roman"/>
                <w:b/>
                <w:bCs/>
                <w:sz w:val="22"/>
                <w:szCs w:val="22"/>
                <w:lang w:eastAsia="en-GB"/>
              </w:rPr>
            </w:pPr>
            <w:r w:rsidRPr="00020A6C">
              <w:rPr>
                <w:rFonts w:eastAsia="Times New Roman"/>
                <w:b/>
                <w:bCs/>
                <w:sz w:val="22"/>
                <w:szCs w:val="22"/>
                <w:lang w:eastAsia="en-GB"/>
              </w:rPr>
              <w:t>Quarter 3</w:t>
            </w:r>
          </w:p>
        </w:tc>
        <w:tc>
          <w:tcPr>
            <w:tcW w:w="1126" w:type="dxa"/>
            <w:shd w:val="clear" w:color="auto" w:fill="auto"/>
            <w:noWrap/>
            <w:vAlign w:val="bottom"/>
            <w:hideMark/>
          </w:tcPr>
          <w:p w14:paraId="258390B1" w14:textId="77777777" w:rsidR="00020A6C" w:rsidRPr="00020A6C" w:rsidRDefault="00020A6C" w:rsidP="00020A6C">
            <w:pPr>
              <w:jc w:val="center"/>
              <w:rPr>
                <w:rFonts w:eastAsia="Times New Roman"/>
                <w:b/>
                <w:bCs/>
                <w:sz w:val="22"/>
                <w:szCs w:val="22"/>
                <w:lang w:eastAsia="en-GB"/>
              </w:rPr>
            </w:pPr>
            <w:r w:rsidRPr="00020A6C">
              <w:rPr>
                <w:rFonts w:eastAsia="Times New Roman"/>
                <w:b/>
                <w:bCs/>
                <w:sz w:val="22"/>
                <w:szCs w:val="22"/>
                <w:lang w:eastAsia="en-GB"/>
              </w:rPr>
              <w:t>Quarter 4</w:t>
            </w:r>
          </w:p>
        </w:tc>
        <w:tc>
          <w:tcPr>
            <w:tcW w:w="1126" w:type="dxa"/>
            <w:shd w:val="clear" w:color="auto" w:fill="auto"/>
            <w:noWrap/>
            <w:vAlign w:val="bottom"/>
            <w:hideMark/>
          </w:tcPr>
          <w:p w14:paraId="4352A640" w14:textId="77777777" w:rsidR="00020A6C" w:rsidRPr="00020A6C" w:rsidRDefault="00020A6C" w:rsidP="00020A6C">
            <w:pPr>
              <w:jc w:val="center"/>
              <w:rPr>
                <w:rFonts w:eastAsia="Times New Roman"/>
                <w:b/>
                <w:bCs/>
                <w:sz w:val="22"/>
                <w:szCs w:val="22"/>
                <w:lang w:eastAsia="en-GB"/>
              </w:rPr>
            </w:pPr>
            <w:r w:rsidRPr="00020A6C">
              <w:rPr>
                <w:rFonts w:eastAsia="Times New Roman"/>
                <w:b/>
                <w:bCs/>
                <w:sz w:val="22"/>
                <w:szCs w:val="22"/>
                <w:lang w:eastAsia="en-GB"/>
              </w:rPr>
              <w:t>Total</w:t>
            </w:r>
          </w:p>
        </w:tc>
      </w:tr>
      <w:tr w:rsidR="00E82BB9" w:rsidRPr="00020A6C" w14:paraId="4032383D" w14:textId="77777777" w:rsidTr="008F25C8">
        <w:trPr>
          <w:trHeight w:val="293"/>
        </w:trPr>
        <w:tc>
          <w:tcPr>
            <w:tcW w:w="1017" w:type="dxa"/>
            <w:shd w:val="clear" w:color="auto" w:fill="auto"/>
            <w:noWrap/>
            <w:vAlign w:val="center"/>
            <w:hideMark/>
          </w:tcPr>
          <w:p w14:paraId="236F751F" w14:textId="77777777" w:rsidR="00E82BB9" w:rsidRDefault="00E82BB9" w:rsidP="00020A6C">
            <w:pPr>
              <w:jc w:val="center"/>
              <w:rPr>
                <w:rFonts w:eastAsia="Times New Roman"/>
                <w:b/>
                <w:bCs/>
                <w:sz w:val="22"/>
                <w:szCs w:val="22"/>
                <w:lang w:eastAsia="en-GB"/>
              </w:rPr>
            </w:pPr>
          </w:p>
          <w:p w14:paraId="23C631D8" w14:textId="0572E2B2" w:rsidR="00E82BB9" w:rsidRDefault="00E82BB9" w:rsidP="00020A6C">
            <w:pPr>
              <w:jc w:val="center"/>
              <w:rPr>
                <w:rFonts w:eastAsia="Times New Roman"/>
                <w:b/>
                <w:bCs/>
                <w:sz w:val="22"/>
                <w:szCs w:val="22"/>
                <w:lang w:eastAsia="en-GB"/>
              </w:rPr>
            </w:pPr>
            <w:r w:rsidRPr="00020A6C">
              <w:rPr>
                <w:rFonts w:eastAsia="Times New Roman"/>
                <w:b/>
                <w:bCs/>
                <w:sz w:val="22"/>
                <w:szCs w:val="22"/>
                <w:lang w:eastAsia="en-GB"/>
              </w:rPr>
              <w:t>2019/20</w:t>
            </w:r>
          </w:p>
          <w:p w14:paraId="0058D393" w14:textId="0965DC6F" w:rsidR="00E82BB9" w:rsidRPr="00020A6C" w:rsidRDefault="00E82BB9" w:rsidP="00020A6C">
            <w:pPr>
              <w:jc w:val="center"/>
              <w:rPr>
                <w:rFonts w:eastAsia="Times New Roman"/>
                <w:b/>
                <w:bCs/>
                <w:sz w:val="22"/>
                <w:szCs w:val="22"/>
                <w:lang w:eastAsia="en-GB"/>
              </w:rPr>
            </w:pPr>
          </w:p>
        </w:tc>
        <w:tc>
          <w:tcPr>
            <w:tcW w:w="3420" w:type="dxa"/>
            <w:vMerge w:val="restart"/>
            <w:shd w:val="clear" w:color="auto" w:fill="auto"/>
            <w:vAlign w:val="center"/>
            <w:hideMark/>
          </w:tcPr>
          <w:p w14:paraId="38BC5ADE" w14:textId="063A119C" w:rsidR="6674A2DD" w:rsidRDefault="6674A2DD" w:rsidP="6674A2DD">
            <w:pPr>
              <w:jc w:val="center"/>
              <w:rPr>
                <w:rFonts w:eastAsia="Times New Roman"/>
                <w:sz w:val="22"/>
                <w:szCs w:val="22"/>
                <w:lang w:eastAsia="en-GB"/>
              </w:rPr>
            </w:pPr>
          </w:p>
          <w:p w14:paraId="190DE3A8" w14:textId="77777777" w:rsidR="00E82BB9" w:rsidRPr="00020A6C" w:rsidRDefault="00E82BB9" w:rsidP="00020A6C">
            <w:pPr>
              <w:jc w:val="center"/>
              <w:rPr>
                <w:rFonts w:eastAsia="Times New Roman"/>
                <w:sz w:val="22"/>
                <w:szCs w:val="22"/>
                <w:lang w:eastAsia="en-GB"/>
              </w:rPr>
            </w:pPr>
            <w:r w:rsidRPr="00020A6C">
              <w:rPr>
                <w:rFonts w:eastAsia="Times New Roman"/>
                <w:sz w:val="22"/>
                <w:szCs w:val="22"/>
                <w:lang w:eastAsia="en-GB"/>
              </w:rPr>
              <w:t>Number of Service Users referred into the Service</w:t>
            </w:r>
          </w:p>
          <w:p w14:paraId="6AB97189" w14:textId="45FA8BD6" w:rsidR="00E82BB9" w:rsidRPr="00020A6C" w:rsidRDefault="00E82BB9" w:rsidP="00020A6C">
            <w:pPr>
              <w:jc w:val="center"/>
              <w:rPr>
                <w:rFonts w:eastAsia="Times New Roman"/>
                <w:sz w:val="22"/>
                <w:szCs w:val="22"/>
                <w:lang w:eastAsia="en-GB"/>
              </w:rPr>
            </w:pPr>
          </w:p>
        </w:tc>
        <w:tc>
          <w:tcPr>
            <w:tcW w:w="1045" w:type="dxa"/>
            <w:shd w:val="clear" w:color="auto" w:fill="FFFFFF"/>
            <w:vAlign w:val="center"/>
            <w:hideMark/>
          </w:tcPr>
          <w:p w14:paraId="67458B61" w14:textId="77777777" w:rsidR="00E82BB9" w:rsidRPr="00020A6C" w:rsidRDefault="00E82BB9" w:rsidP="00020A6C">
            <w:pPr>
              <w:jc w:val="center"/>
              <w:rPr>
                <w:rFonts w:eastAsia="Times New Roman"/>
                <w:sz w:val="22"/>
                <w:szCs w:val="22"/>
                <w:lang w:eastAsia="en-GB"/>
              </w:rPr>
            </w:pPr>
            <w:r w:rsidRPr="00020A6C">
              <w:rPr>
                <w:rFonts w:eastAsia="Times New Roman"/>
                <w:sz w:val="22"/>
                <w:szCs w:val="22"/>
                <w:lang w:eastAsia="en-GB"/>
              </w:rPr>
              <w:t>1143</w:t>
            </w:r>
          </w:p>
        </w:tc>
        <w:tc>
          <w:tcPr>
            <w:tcW w:w="1126" w:type="dxa"/>
            <w:shd w:val="clear" w:color="auto" w:fill="FFFFFF"/>
            <w:vAlign w:val="center"/>
            <w:hideMark/>
          </w:tcPr>
          <w:p w14:paraId="72010511" w14:textId="77777777" w:rsidR="00E82BB9" w:rsidRPr="00020A6C" w:rsidRDefault="00E82BB9" w:rsidP="00020A6C">
            <w:pPr>
              <w:jc w:val="center"/>
              <w:rPr>
                <w:rFonts w:eastAsia="Times New Roman"/>
                <w:sz w:val="22"/>
                <w:szCs w:val="22"/>
                <w:lang w:eastAsia="en-GB"/>
              </w:rPr>
            </w:pPr>
            <w:r w:rsidRPr="00020A6C">
              <w:rPr>
                <w:rFonts w:eastAsia="Times New Roman"/>
                <w:sz w:val="22"/>
                <w:szCs w:val="22"/>
                <w:lang w:eastAsia="en-GB"/>
              </w:rPr>
              <w:t>1085</w:t>
            </w:r>
          </w:p>
        </w:tc>
        <w:tc>
          <w:tcPr>
            <w:tcW w:w="1126" w:type="dxa"/>
            <w:shd w:val="clear" w:color="auto" w:fill="FFFFFF"/>
            <w:vAlign w:val="center"/>
            <w:hideMark/>
          </w:tcPr>
          <w:p w14:paraId="2C2C4E8B" w14:textId="77777777" w:rsidR="00E82BB9" w:rsidRPr="00020A6C" w:rsidRDefault="00E82BB9" w:rsidP="00020A6C">
            <w:pPr>
              <w:jc w:val="center"/>
              <w:rPr>
                <w:rFonts w:eastAsia="Times New Roman"/>
                <w:sz w:val="22"/>
                <w:szCs w:val="22"/>
                <w:lang w:eastAsia="en-GB"/>
              </w:rPr>
            </w:pPr>
            <w:r w:rsidRPr="00020A6C">
              <w:rPr>
                <w:rFonts w:eastAsia="Times New Roman"/>
                <w:sz w:val="22"/>
                <w:szCs w:val="22"/>
                <w:lang w:eastAsia="en-GB"/>
              </w:rPr>
              <w:t>1186</w:t>
            </w:r>
          </w:p>
        </w:tc>
        <w:tc>
          <w:tcPr>
            <w:tcW w:w="1126" w:type="dxa"/>
            <w:shd w:val="clear" w:color="auto" w:fill="FFFFFF"/>
            <w:vAlign w:val="center"/>
            <w:hideMark/>
          </w:tcPr>
          <w:p w14:paraId="3ACDFD98" w14:textId="77777777" w:rsidR="00E82BB9" w:rsidRPr="00020A6C" w:rsidRDefault="00E82BB9" w:rsidP="00020A6C">
            <w:pPr>
              <w:jc w:val="center"/>
              <w:rPr>
                <w:rFonts w:eastAsia="Times New Roman"/>
                <w:sz w:val="22"/>
                <w:szCs w:val="22"/>
                <w:lang w:eastAsia="en-GB"/>
              </w:rPr>
            </w:pPr>
            <w:r w:rsidRPr="00020A6C">
              <w:rPr>
                <w:rFonts w:eastAsia="Times New Roman"/>
                <w:sz w:val="22"/>
                <w:szCs w:val="22"/>
                <w:lang w:eastAsia="en-GB"/>
              </w:rPr>
              <w:t>1324</w:t>
            </w:r>
          </w:p>
        </w:tc>
        <w:tc>
          <w:tcPr>
            <w:tcW w:w="1126" w:type="dxa"/>
            <w:shd w:val="clear" w:color="auto" w:fill="auto"/>
            <w:noWrap/>
            <w:vAlign w:val="center"/>
            <w:hideMark/>
          </w:tcPr>
          <w:p w14:paraId="0B86748F" w14:textId="77777777" w:rsidR="00E82BB9" w:rsidRPr="00020A6C" w:rsidRDefault="00E82BB9" w:rsidP="00020A6C">
            <w:pPr>
              <w:jc w:val="center"/>
              <w:rPr>
                <w:rFonts w:eastAsia="Times New Roman"/>
                <w:sz w:val="22"/>
                <w:szCs w:val="22"/>
                <w:lang w:eastAsia="en-GB"/>
              </w:rPr>
            </w:pPr>
            <w:r w:rsidRPr="00020A6C">
              <w:rPr>
                <w:rFonts w:eastAsia="Times New Roman"/>
                <w:sz w:val="22"/>
                <w:szCs w:val="22"/>
                <w:lang w:eastAsia="en-GB"/>
              </w:rPr>
              <w:t>4738</w:t>
            </w:r>
          </w:p>
        </w:tc>
      </w:tr>
      <w:tr w:rsidR="00E82BB9" w:rsidRPr="00020A6C" w14:paraId="4BACBE36" w14:textId="77777777" w:rsidTr="008F25C8">
        <w:trPr>
          <w:trHeight w:val="293"/>
        </w:trPr>
        <w:tc>
          <w:tcPr>
            <w:tcW w:w="1017" w:type="dxa"/>
            <w:shd w:val="clear" w:color="auto" w:fill="auto"/>
            <w:noWrap/>
            <w:vAlign w:val="center"/>
            <w:hideMark/>
          </w:tcPr>
          <w:p w14:paraId="11D63699" w14:textId="77777777" w:rsidR="00E82BB9" w:rsidRPr="00020A6C" w:rsidRDefault="00E82BB9" w:rsidP="00020A6C">
            <w:pPr>
              <w:jc w:val="center"/>
              <w:rPr>
                <w:rFonts w:eastAsia="Times New Roman"/>
                <w:b/>
                <w:bCs/>
                <w:sz w:val="22"/>
                <w:szCs w:val="22"/>
                <w:lang w:eastAsia="en-GB"/>
              </w:rPr>
            </w:pPr>
            <w:r w:rsidRPr="00020A6C">
              <w:rPr>
                <w:rFonts w:eastAsia="Times New Roman"/>
                <w:b/>
                <w:bCs/>
                <w:sz w:val="22"/>
                <w:szCs w:val="22"/>
                <w:lang w:eastAsia="en-GB"/>
              </w:rPr>
              <w:t>2018/19</w:t>
            </w:r>
          </w:p>
        </w:tc>
        <w:tc>
          <w:tcPr>
            <w:tcW w:w="3420" w:type="dxa"/>
            <w:vMerge/>
            <w:vAlign w:val="center"/>
            <w:hideMark/>
          </w:tcPr>
          <w:p w14:paraId="61F94D5E" w14:textId="30571D5A" w:rsidR="00E82BB9" w:rsidRPr="00020A6C" w:rsidRDefault="00E82BB9" w:rsidP="00020A6C">
            <w:pPr>
              <w:jc w:val="center"/>
              <w:rPr>
                <w:rFonts w:eastAsia="Times New Roman"/>
                <w:sz w:val="22"/>
                <w:szCs w:val="22"/>
                <w:lang w:eastAsia="en-GB"/>
              </w:rPr>
            </w:pPr>
          </w:p>
        </w:tc>
        <w:tc>
          <w:tcPr>
            <w:tcW w:w="1045" w:type="dxa"/>
            <w:shd w:val="clear" w:color="auto" w:fill="FFFFFF"/>
            <w:vAlign w:val="center"/>
            <w:hideMark/>
          </w:tcPr>
          <w:p w14:paraId="3419FB6C" w14:textId="77777777" w:rsidR="00E82BB9" w:rsidRPr="00020A6C" w:rsidRDefault="00E82BB9" w:rsidP="00020A6C">
            <w:pPr>
              <w:jc w:val="center"/>
              <w:rPr>
                <w:rFonts w:eastAsia="Times New Roman"/>
                <w:sz w:val="22"/>
                <w:szCs w:val="22"/>
                <w:lang w:eastAsia="en-GB"/>
              </w:rPr>
            </w:pPr>
            <w:r w:rsidRPr="00020A6C">
              <w:rPr>
                <w:rFonts w:eastAsia="Times New Roman"/>
                <w:sz w:val="22"/>
                <w:szCs w:val="22"/>
                <w:lang w:eastAsia="en-GB"/>
              </w:rPr>
              <w:t>351</w:t>
            </w:r>
          </w:p>
        </w:tc>
        <w:tc>
          <w:tcPr>
            <w:tcW w:w="1126" w:type="dxa"/>
            <w:shd w:val="clear" w:color="auto" w:fill="FFFFFF"/>
            <w:vAlign w:val="center"/>
            <w:hideMark/>
          </w:tcPr>
          <w:p w14:paraId="63CF23C4" w14:textId="77777777" w:rsidR="00E82BB9" w:rsidRPr="00020A6C" w:rsidRDefault="00E82BB9" w:rsidP="00020A6C">
            <w:pPr>
              <w:jc w:val="center"/>
              <w:rPr>
                <w:rFonts w:eastAsia="Times New Roman"/>
                <w:sz w:val="22"/>
                <w:szCs w:val="22"/>
                <w:lang w:eastAsia="en-GB"/>
              </w:rPr>
            </w:pPr>
            <w:r w:rsidRPr="00020A6C">
              <w:rPr>
                <w:rFonts w:eastAsia="Times New Roman"/>
                <w:sz w:val="22"/>
                <w:szCs w:val="22"/>
                <w:lang w:eastAsia="en-GB"/>
              </w:rPr>
              <w:t>755</w:t>
            </w:r>
          </w:p>
        </w:tc>
        <w:tc>
          <w:tcPr>
            <w:tcW w:w="1126" w:type="dxa"/>
            <w:shd w:val="clear" w:color="auto" w:fill="FFFFFF"/>
            <w:vAlign w:val="center"/>
            <w:hideMark/>
          </w:tcPr>
          <w:p w14:paraId="1C9C05A0" w14:textId="77777777" w:rsidR="00E82BB9" w:rsidRPr="00020A6C" w:rsidRDefault="00E82BB9" w:rsidP="00020A6C">
            <w:pPr>
              <w:jc w:val="center"/>
              <w:rPr>
                <w:rFonts w:eastAsia="Times New Roman"/>
                <w:sz w:val="22"/>
                <w:szCs w:val="22"/>
                <w:lang w:eastAsia="en-GB"/>
              </w:rPr>
            </w:pPr>
            <w:r w:rsidRPr="00020A6C">
              <w:rPr>
                <w:rFonts w:eastAsia="Times New Roman"/>
                <w:sz w:val="22"/>
                <w:szCs w:val="22"/>
                <w:lang w:eastAsia="en-GB"/>
              </w:rPr>
              <w:t>814</w:t>
            </w:r>
          </w:p>
        </w:tc>
        <w:tc>
          <w:tcPr>
            <w:tcW w:w="1126" w:type="dxa"/>
            <w:shd w:val="clear" w:color="auto" w:fill="FFFFFF"/>
            <w:vAlign w:val="center"/>
            <w:hideMark/>
          </w:tcPr>
          <w:p w14:paraId="2890826D" w14:textId="77777777" w:rsidR="00E82BB9" w:rsidRPr="00020A6C" w:rsidRDefault="00E82BB9" w:rsidP="00020A6C">
            <w:pPr>
              <w:jc w:val="center"/>
              <w:rPr>
                <w:rFonts w:eastAsia="Times New Roman"/>
                <w:sz w:val="22"/>
                <w:szCs w:val="22"/>
                <w:lang w:eastAsia="en-GB"/>
              </w:rPr>
            </w:pPr>
            <w:r w:rsidRPr="00020A6C">
              <w:rPr>
                <w:rFonts w:eastAsia="Times New Roman"/>
                <w:sz w:val="22"/>
                <w:szCs w:val="22"/>
                <w:lang w:eastAsia="en-GB"/>
              </w:rPr>
              <w:t>864</w:t>
            </w:r>
          </w:p>
        </w:tc>
        <w:tc>
          <w:tcPr>
            <w:tcW w:w="1126" w:type="dxa"/>
            <w:shd w:val="clear" w:color="auto" w:fill="auto"/>
            <w:noWrap/>
            <w:vAlign w:val="center"/>
            <w:hideMark/>
          </w:tcPr>
          <w:p w14:paraId="4AE84505" w14:textId="77777777" w:rsidR="00E82BB9" w:rsidRPr="00020A6C" w:rsidRDefault="00E82BB9" w:rsidP="00020A6C">
            <w:pPr>
              <w:jc w:val="center"/>
              <w:rPr>
                <w:rFonts w:eastAsia="Times New Roman"/>
                <w:sz w:val="22"/>
                <w:szCs w:val="22"/>
                <w:lang w:eastAsia="en-GB"/>
              </w:rPr>
            </w:pPr>
            <w:r w:rsidRPr="00020A6C">
              <w:rPr>
                <w:rFonts w:eastAsia="Times New Roman"/>
                <w:sz w:val="22"/>
                <w:szCs w:val="22"/>
                <w:lang w:eastAsia="en-GB"/>
              </w:rPr>
              <w:t>2784</w:t>
            </w:r>
          </w:p>
        </w:tc>
      </w:tr>
    </w:tbl>
    <w:p w14:paraId="3C9702CD" w14:textId="77777777" w:rsidR="00020A6C" w:rsidRDefault="00020A6C" w:rsidP="00454AD8">
      <w:pPr>
        <w:jc w:val="both"/>
        <w:rPr>
          <w:b/>
          <w:bCs/>
          <w:sz w:val="22"/>
          <w:szCs w:val="22"/>
        </w:rPr>
      </w:pPr>
    </w:p>
    <w:p w14:paraId="1FE9E5A7" w14:textId="30A7705F" w:rsidR="00454AD8" w:rsidRPr="00454AD8" w:rsidRDefault="00454AD8" w:rsidP="00454AD8">
      <w:pPr>
        <w:jc w:val="both"/>
        <w:rPr>
          <w:b/>
          <w:bCs/>
          <w:sz w:val="22"/>
          <w:szCs w:val="22"/>
        </w:rPr>
      </w:pPr>
      <w:r>
        <w:rPr>
          <w:b/>
          <w:bCs/>
          <w:sz w:val="22"/>
          <w:szCs w:val="22"/>
        </w:rPr>
        <w:t>5</w:t>
      </w:r>
      <w:r w:rsidRPr="00454AD8">
        <w:rPr>
          <w:b/>
          <w:bCs/>
          <w:sz w:val="22"/>
          <w:szCs w:val="22"/>
        </w:rPr>
        <w:t>.</w:t>
      </w:r>
      <w:r w:rsidR="00186B33" w:rsidRPr="00454AD8">
        <w:rPr>
          <w:b/>
          <w:bCs/>
          <w:sz w:val="22"/>
          <w:szCs w:val="22"/>
        </w:rPr>
        <w:t xml:space="preserve"> </w:t>
      </w:r>
      <w:r w:rsidR="006E04EB">
        <w:rPr>
          <w:b/>
          <w:bCs/>
          <w:sz w:val="22"/>
          <w:szCs w:val="22"/>
        </w:rPr>
        <w:t xml:space="preserve">Trend in </w:t>
      </w:r>
      <w:r w:rsidRPr="00454AD8">
        <w:rPr>
          <w:b/>
          <w:bCs/>
          <w:sz w:val="22"/>
          <w:szCs w:val="22"/>
        </w:rPr>
        <w:t>Service Activity</w:t>
      </w:r>
      <w:r w:rsidR="00F26AE8">
        <w:rPr>
          <w:b/>
          <w:bCs/>
          <w:sz w:val="22"/>
          <w:szCs w:val="22"/>
        </w:rPr>
        <w:t xml:space="preserve"> </w:t>
      </w:r>
      <w:r w:rsidR="00ED3D34">
        <w:rPr>
          <w:b/>
          <w:bCs/>
          <w:sz w:val="22"/>
          <w:szCs w:val="22"/>
        </w:rPr>
        <w:t>–</w:t>
      </w:r>
      <w:r w:rsidR="006E04EB">
        <w:rPr>
          <w:b/>
          <w:bCs/>
          <w:sz w:val="22"/>
          <w:szCs w:val="22"/>
        </w:rPr>
        <w:t xml:space="preserve"> </w:t>
      </w:r>
      <w:r w:rsidR="00ED3D34" w:rsidRPr="00ED3D34">
        <w:rPr>
          <w:sz w:val="22"/>
          <w:szCs w:val="22"/>
        </w:rPr>
        <w:t>The graph below</w:t>
      </w:r>
      <w:r w:rsidR="00ED3D34">
        <w:rPr>
          <w:b/>
          <w:bCs/>
          <w:sz w:val="22"/>
          <w:szCs w:val="22"/>
        </w:rPr>
        <w:t xml:space="preserve"> </w:t>
      </w:r>
      <w:r w:rsidR="00ED3D34" w:rsidRPr="00ED3D34">
        <w:rPr>
          <w:sz w:val="22"/>
          <w:szCs w:val="22"/>
        </w:rPr>
        <w:t>summarises the</w:t>
      </w:r>
      <w:r w:rsidR="00ED3D34">
        <w:rPr>
          <w:b/>
          <w:bCs/>
          <w:sz w:val="22"/>
          <w:szCs w:val="22"/>
        </w:rPr>
        <w:t xml:space="preserve"> </w:t>
      </w:r>
      <w:r w:rsidR="00ED3D34" w:rsidRPr="00ED3D34">
        <w:rPr>
          <w:sz w:val="22"/>
          <w:szCs w:val="22"/>
        </w:rPr>
        <w:t xml:space="preserve">number of </w:t>
      </w:r>
      <w:r w:rsidR="00ED3D34">
        <w:rPr>
          <w:sz w:val="22"/>
          <w:szCs w:val="22"/>
        </w:rPr>
        <w:t xml:space="preserve">Service Users </w:t>
      </w:r>
      <w:r w:rsidR="00ED3D34" w:rsidRPr="00ED3D34">
        <w:rPr>
          <w:sz w:val="22"/>
          <w:szCs w:val="22"/>
        </w:rPr>
        <w:t>successful</w:t>
      </w:r>
      <w:r w:rsidR="00ED3D34">
        <w:rPr>
          <w:sz w:val="22"/>
          <w:szCs w:val="22"/>
        </w:rPr>
        <w:t xml:space="preserve">ly quitting at </w:t>
      </w:r>
      <w:r w:rsidR="00ED3D34" w:rsidRPr="00ED3D34">
        <w:rPr>
          <w:sz w:val="22"/>
          <w:szCs w:val="22"/>
        </w:rPr>
        <w:t>four week</w:t>
      </w:r>
      <w:r w:rsidR="00ED3D34">
        <w:rPr>
          <w:sz w:val="22"/>
          <w:szCs w:val="22"/>
        </w:rPr>
        <w:t>s delivered by the Service</w:t>
      </w:r>
      <w:r w:rsidR="00ED3D34" w:rsidRPr="00ED3D34">
        <w:rPr>
          <w:sz w:val="22"/>
          <w:szCs w:val="22"/>
        </w:rPr>
        <w:t xml:space="preserve"> compared to the target set by</w:t>
      </w:r>
      <w:r w:rsidR="00ED3D34">
        <w:rPr>
          <w:sz w:val="22"/>
          <w:szCs w:val="22"/>
        </w:rPr>
        <w:t xml:space="preserve"> the Primary Care Trust (2003/04 to 2013/14) and the Council (2013/14 to 2019/20).</w:t>
      </w:r>
      <w:r w:rsidR="00ED3D34">
        <w:rPr>
          <w:b/>
          <w:bCs/>
          <w:sz w:val="22"/>
          <w:szCs w:val="22"/>
        </w:rPr>
        <w:t xml:space="preserve">  </w:t>
      </w:r>
    </w:p>
    <w:p w14:paraId="625B60B5" w14:textId="5CB2FA25" w:rsidR="0065565D" w:rsidRPr="00214F92" w:rsidRDefault="0065565D" w:rsidP="008400BE">
      <w:pPr>
        <w:jc w:val="both"/>
        <w:rPr>
          <w:sz w:val="22"/>
          <w:szCs w:val="22"/>
        </w:rPr>
      </w:pPr>
    </w:p>
    <w:p w14:paraId="38799FAA" w14:textId="0ACB0132" w:rsidR="0065565D" w:rsidRPr="00214F92" w:rsidRDefault="0065565D" w:rsidP="006E04EB">
      <w:pPr>
        <w:jc w:val="center"/>
        <w:rPr>
          <w:sz w:val="22"/>
          <w:szCs w:val="22"/>
        </w:rPr>
      </w:pPr>
      <w:r w:rsidRPr="00214F92">
        <w:rPr>
          <w:noProof/>
          <w:sz w:val="22"/>
          <w:szCs w:val="22"/>
        </w:rPr>
        <w:drawing>
          <wp:inline distT="0" distB="0" distL="0" distR="0" wp14:anchorId="4BB51021" wp14:editId="52D66677">
            <wp:extent cx="4579315" cy="1901952"/>
            <wp:effectExtent l="0" t="0" r="12065" b="3175"/>
            <wp:docPr id="1" name="Chart 1">
              <a:extLst xmlns:a="http://schemas.openxmlformats.org/drawingml/2006/main">
                <a:ext uri="{FF2B5EF4-FFF2-40B4-BE49-F238E27FC236}">
                  <a16:creationId xmlns:a16="http://schemas.microsoft.com/office/drawing/2014/main" id="{814D2CBC-2892-43CF-AC14-4AE40AFDB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4C9F8C" w14:textId="77777777" w:rsidR="005F6DA9" w:rsidRDefault="005F6DA9" w:rsidP="008400BE">
      <w:pPr>
        <w:jc w:val="both"/>
        <w:rPr>
          <w:b/>
          <w:bCs/>
          <w:sz w:val="22"/>
          <w:szCs w:val="22"/>
        </w:rPr>
      </w:pPr>
    </w:p>
    <w:p w14:paraId="1F5645CB" w14:textId="75795215" w:rsidR="0065565D" w:rsidRPr="00214F92" w:rsidRDefault="006E04EB" w:rsidP="008400BE">
      <w:pPr>
        <w:jc w:val="both"/>
        <w:rPr>
          <w:b/>
          <w:bCs/>
          <w:sz w:val="22"/>
          <w:szCs w:val="22"/>
        </w:rPr>
      </w:pPr>
      <w:r>
        <w:rPr>
          <w:b/>
          <w:bCs/>
          <w:sz w:val="22"/>
          <w:szCs w:val="22"/>
        </w:rPr>
        <w:t xml:space="preserve">6. </w:t>
      </w:r>
      <w:r w:rsidR="00454AD8">
        <w:rPr>
          <w:b/>
          <w:bCs/>
          <w:sz w:val="22"/>
          <w:szCs w:val="22"/>
        </w:rPr>
        <w:t>Service</w:t>
      </w:r>
      <w:r w:rsidR="00872F09" w:rsidRPr="00214F92">
        <w:rPr>
          <w:b/>
          <w:bCs/>
          <w:sz w:val="22"/>
          <w:szCs w:val="22"/>
        </w:rPr>
        <w:t xml:space="preserve"> </w:t>
      </w:r>
      <w:r w:rsidR="00454AD8">
        <w:rPr>
          <w:b/>
          <w:bCs/>
          <w:sz w:val="22"/>
          <w:szCs w:val="22"/>
        </w:rPr>
        <w:t>A</w:t>
      </w:r>
      <w:r w:rsidR="00872F09" w:rsidRPr="00214F92">
        <w:rPr>
          <w:b/>
          <w:bCs/>
          <w:sz w:val="22"/>
          <w:szCs w:val="22"/>
        </w:rPr>
        <w:t xml:space="preserve">ctivity and </w:t>
      </w:r>
      <w:r>
        <w:rPr>
          <w:b/>
          <w:bCs/>
          <w:sz w:val="22"/>
          <w:szCs w:val="22"/>
        </w:rPr>
        <w:t>Service Spend</w:t>
      </w:r>
      <w:r w:rsidR="00454AD8">
        <w:rPr>
          <w:b/>
          <w:bCs/>
          <w:sz w:val="22"/>
          <w:szCs w:val="22"/>
        </w:rPr>
        <w:t xml:space="preserve"> </w:t>
      </w:r>
      <w:r w:rsidR="00ED3D34">
        <w:rPr>
          <w:b/>
          <w:bCs/>
          <w:sz w:val="22"/>
          <w:szCs w:val="22"/>
        </w:rPr>
        <w:t xml:space="preserve">- </w:t>
      </w:r>
      <w:r w:rsidR="00ED3D34" w:rsidRPr="00ED3D34">
        <w:rPr>
          <w:sz w:val="22"/>
          <w:szCs w:val="22"/>
        </w:rPr>
        <w:t xml:space="preserve">The </w:t>
      </w:r>
      <w:r w:rsidR="00ED3D34">
        <w:rPr>
          <w:sz w:val="22"/>
          <w:szCs w:val="22"/>
        </w:rPr>
        <w:t>table</w:t>
      </w:r>
      <w:r w:rsidR="00ED3D34" w:rsidRPr="00ED3D34">
        <w:rPr>
          <w:sz w:val="22"/>
          <w:szCs w:val="22"/>
        </w:rPr>
        <w:t xml:space="preserve"> below</w:t>
      </w:r>
      <w:r w:rsidR="00ED3D34">
        <w:rPr>
          <w:b/>
          <w:bCs/>
          <w:sz w:val="22"/>
          <w:szCs w:val="22"/>
        </w:rPr>
        <w:t xml:space="preserve"> </w:t>
      </w:r>
      <w:r w:rsidR="00ED3D34" w:rsidRPr="00ED3D34">
        <w:rPr>
          <w:sz w:val="22"/>
          <w:szCs w:val="22"/>
        </w:rPr>
        <w:t>summarises the</w:t>
      </w:r>
      <w:r w:rsidR="00ED3D34">
        <w:rPr>
          <w:b/>
          <w:bCs/>
          <w:sz w:val="22"/>
          <w:szCs w:val="22"/>
        </w:rPr>
        <w:t xml:space="preserve"> </w:t>
      </w:r>
      <w:r w:rsidR="00ED3D34" w:rsidRPr="00ED3D34">
        <w:rPr>
          <w:sz w:val="22"/>
          <w:szCs w:val="22"/>
        </w:rPr>
        <w:t>number of</w:t>
      </w:r>
      <w:r w:rsidR="00ED3D34">
        <w:rPr>
          <w:sz w:val="22"/>
          <w:szCs w:val="22"/>
        </w:rPr>
        <w:t xml:space="preserve"> </w:t>
      </w:r>
      <w:r w:rsidR="00ED3D34" w:rsidRPr="00773AD6">
        <w:rPr>
          <w:sz w:val="22"/>
          <w:szCs w:val="22"/>
        </w:rPr>
        <w:t>Service Users setting a quit date</w:t>
      </w:r>
      <w:r w:rsidR="00ED3D34">
        <w:rPr>
          <w:sz w:val="22"/>
          <w:szCs w:val="22"/>
        </w:rPr>
        <w:t>,</w:t>
      </w:r>
      <w:r w:rsidR="00ED3D34" w:rsidRPr="00ED3D34">
        <w:rPr>
          <w:sz w:val="22"/>
          <w:szCs w:val="22"/>
        </w:rPr>
        <w:t xml:space="preserve"> successful</w:t>
      </w:r>
      <w:r w:rsidR="00ED3D34">
        <w:rPr>
          <w:sz w:val="22"/>
          <w:szCs w:val="22"/>
        </w:rPr>
        <w:t>ly quitting at</w:t>
      </w:r>
      <w:r w:rsidR="00ED3D34" w:rsidRPr="00ED3D34">
        <w:rPr>
          <w:sz w:val="22"/>
          <w:szCs w:val="22"/>
        </w:rPr>
        <w:t xml:space="preserve"> four week</w:t>
      </w:r>
      <w:r w:rsidR="00ED3D34">
        <w:rPr>
          <w:sz w:val="22"/>
          <w:szCs w:val="22"/>
        </w:rPr>
        <w:t xml:space="preserve">s, spend of pharmacotherapy and Service delivery </w:t>
      </w:r>
      <w:r w:rsidR="00ED3D34" w:rsidRPr="00ED3D34">
        <w:rPr>
          <w:sz w:val="22"/>
          <w:szCs w:val="22"/>
        </w:rPr>
        <w:t>between 2016/17 and 2019/20</w:t>
      </w:r>
    </w:p>
    <w:p w14:paraId="5E63BA40" w14:textId="32ED05B7" w:rsidR="00872F09" w:rsidRPr="00214F92" w:rsidRDefault="00872F09" w:rsidP="008400BE">
      <w:pPr>
        <w:jc w:val="both"/>
        <w:rPr>
          <w:sz w:val="22"/>
          <w:szCs w:val="22"/>
        </w:rPr>
      </w:pPr>
    </w:p>
    <w:tbl>
      <w:tblPr>
        <w:tblW w:w="107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097"/>
        <w:gridCol w:w="1354"/>
        <w:gridCol w:w="1916"/>
        <w:gridCol w:w="2075"/>
        <w:gridCol w:w="2075"/>
        <w:gridCol w:w="1226"/>
      </w:tblGrid>
      <w:tr w:rsidR="00454AD8" w:rsidRPr="00214F92" w14:paraId="5BD9744C" w14:textId="77777777" w:rsidTr="008F25C8">
        <w:trPr>
          <w:trHeight w:val="931"/>
        </w:trPr>
        <w:tc>
          <w:tcPr>
            <w:tcW w:w="1025" w:type="dxa"/>
            <w:shd w:val="clear" w:color="auto" w:fill="auto"/>
            <w:vAlign w:val="center"/>
            <w:hideMark/>
          </w:tcPr>
          <w:p w14:paraId="2C5595DC" w14:textId="5376302E" w:rsidR="00454AD8" w:rsidRPr="005F6DA9" w:rsidRDefault="00454AD8" w:rsidP="6674A2DD">
            <w:pPr>
              <w:jc w:val="center"/>
              <w:rPr>
                <w:rFonts w:eastAsia="Arial"/>
                <w:b/>
                <w:bCs/>
                <w:sz w:val="22"/>
                <w:szCs w:val="22"/>
                <w:lang w:eastAsia="en-GB"/>
              </w:rPr>
            </w:pPr>
            <w:r w:rsidRPr="6674A2DD">
              <w:rPr>
                <w:rFonts w:eastAsia="Arial"/>
                <w:b/>
                <w:bCs/>
                <w:sz w:val="22"/>
                <w:szCs w:val="22"/>
                <w:lang w:eastAsia="en-GB"/>
              </w:rPr>
              <w:t>Year</w:t>
            </w:r>
          </w:p>
        </w:tc>
        <w:tc>
          <w:tcPr>
            <w:tcW w:w="1097" w:type="dxa"/>
            <w:shd w:val="clear" w:color="auto" w:fill="auto"/>
            <w:vAlign w:val="center"/>
            <w:hideMark/>
          </w:tcPr>
          <w:p w14:paraId="6A62F3A8" w14:textId="65155775" w:rsidR="00454AD8" w:rsidRPr="005F6DA9" w:rsidRDefault="00454AD8" w:rsidP="6674A2DD">
            <w:pPr>
              <w:jc w:val="center"/>
              <w:rPr>
                <w:rFonts w:eastAsia="Arial"/>
                <w:b/>
                <w:bCs/>
                <w:sz w:val="22"/>
                <w:szCs w:val="22"/>
                <w:lang w:eastAsia="en-GB"/>
              </w:rPr>
            </w:pPr>
            <w:r w:rsidRPr="6674A2DD">
              <w:rPr>
                <w:rFonts w:eastAsia="Arial"/>
                <w:b/>
                <w:bCs/>
                <w:sz w:val="22"/>
                <w:szCs w:val="22"/>
              </w:rPr>
              <w:t>Setting a quit date</w:t>
            </w:r>
          </w:p>
        </w:tc>
        <w:tc>
          <w:tcPr>
            <w:tcW w:w="1354" w:type="dxa"/>
            <w:vAlign w:val="center"/>
          </w:tcPr>
          <w:p w14:paraId="5D09F5FA" w14:textId="77777777" w:rsidR="00454AD8" w:rsidRDefault="00454AD8" w:rsidP="6674A2DD">
            <w:pPr>
              <w:jc w:val="center"/>
              <w:rPr>
                <w:rFonts w:eastAsia="Arial"/>
                <w:b/>
                <w:bCs/>
                <w:sz w:val="22"/>
                <w:szCs w:val="22"/>
              </w:rPr>
            </w:pPr>
          </w:p>
          <w:p w14:paraId="615074B5" w14:textId="4C05AE9E" w:rsidR="00454AD8" w:rsidRDefault="00454AD8" w:rsidP="6674A2DD">
            <w:pPr>
              <w:jc w:val="center"/>
              <w:rPr>
                <w:rFonts w:eastAsia="Arial"/>
                <w:b/>
                <w:bCs/>
                <w:sz w:val="22"/>
                <w:szCs w:val="22"/>
              </w:rPr>
            </w:pPr>
            <w:r w:rsidRPr="6674A2DD">
              <w:rPr>
                <w:rFonts w:eastAsia="Arial"/>
                <w:b/>
                <w:bCs/>
                <w:sz w:val="22"/>
                <w:szCs w:val="22"/>
              </w:rPr>
              <w:t>Target set successful quits at four weeks</w:t>
            </w:r>
          </w:p>
        </w:tc>
        <w:tc>
          <w:tcPr>
            <w:tcW w:w="1916" w:type="dxa"/>
            <w:shd w:val="clear" w:color="auto" w:fill="auto"/>
            <w:vAlign w:val="center"/>
            <w:hideMark/>
          </w:tcPr>
          <w:p w14:paraId="712A72F5" w14:textId="6CF71647" w:rsidR="00454AD8" w:rsidRPr="005F6DA9" w:rsidRDefault="00454AD8" w:rsidP="6674A2DD">
            <w:pPr>
              <w:jc w:val="center"/>
              <w:rPr>
                <w:rFonts w:eastAsia="Arial"/>
                <w:b/>
                <w:bCs/>
                <w:sz w:val="22"/>
                <w:szCs w:val="22"/>
                <w:lang w:eastAsia="en-GB"/>
              </w:rPr>
            </w:pPr>
            <w:r w:rsidRPr="6674A2DD">
              <w:rPr>
                <w:rFonts w:eastAsia="Arial"/>
                <w:b/>
                <w:bCs/>
                <w:sz w:val="22"/>
                <w:szCs w:val="22"/>
              </w:rPr>
              <w:t>Actual successful quits at four weeks</w:t>
            </w:r>
          </w:p>
        </w:tc>
        <w:tc>
          <w:tcPr>
            <w:tcW w:w="2075" w:type="dxa"/>
            <w:shd w:val="clear" w:color="auto" w:fill="auto"/>
            <w:vAlign w:val="center"/>
            <w:hideMark/>
          </w:tcPr>
          <w:p w14:paraId="048915AC" w14:textId="6E3E4F26" w:rsidR="00454AD8" w:rsidRPr="005F6DA9" w:rsidRDefault="00454AD8" w:rsidP="6674A2DD">
            <w:pPr>
              <w:jc w:val="center"/>
              <w:rPr>
                <w:rFonts w:eastAsia="Arial"/>
                <w:b/>
                <w:bCs/>
                <w:sz w:val="22"/>
                <w:szCs w:val="22"/>
                <w:lang w:eastAsia="en-GB"/>
              </w:rPr>
            </w:pPr>
            <w:r w:rsidRPr="6674A2DD">
              <w:rPr>
                <w:rFonts w:eastAsia="Arial"/>
                <w:b/>
                <w:bCs/>
                <w:sz w:val="22"/>
                <w:szCs w:val="22"/>
                <w:lang w:eastAsia="en-GB"/>
              </w:rPr>
              <w:t>Pharmacotherapy Spend Only</w:t>
            </w:r>
          </w:p>
        </w:tc>
        <w:tc>
          <w:tcPr>
            <w:tcW w:w="2075" w:type="dxa"/>
            <w:shd w:val="clear" w:color="auto" w:fill="auto"/>
            <w:vAlign w:val="center"/>
            <w:hideMark/>
          </w:tcPr>
          <w:p w14:paraId="1A1113EB" w14:textId="5D0A8340" w:rsidR="00454AD8" w:rsidRPr="005F6DA9" w:rsidRDefault="00454AD8" w:rsidP="6674A2DD">
            <w:pPr>
              <w:jc w:val="center"/>
              <w:rPr>
                <w:rFonts w:eastAsia="Arial"/>
                <w:b/>
                <w:bCs/>
                <w:sz w:val="22"/>
                <w:szCs w:val="22"/>
                <w:lang w:eastAsia="en-GB"/>
              </w:rPr>
            </w:pPr>
            <w:r w:rsidRPr="6674A2DD">
              <w:rPr>
                <w:rFonts w:eastAsia="Arial"/>
                <w:b/>
                <w:bCs/>
                <w:sz w:val="22"/>
                <w:szCs w:val="22"/>
                <w:lang w:eastAsia="en-GB"/>
              </w:rPr>
              <w:t>Service Delivery Spend (Not including Pharmacotherapy Spend)</w:t>
            </w:r>
          </w:p>
        </w:tc>
        <w:tc>
          <w:tcPr>
            <w:tcW w:w="1226" w:type="dxa"/>
            <w:shd w:val="clear" w:color="auto" w:fill="auto"/>
            <w:vAlign w:val="center"/>
            <w:hideMark/>
          </w:tcPr>
          <w:p w14:paraId="1C35ED33" w14:textId="486B25C7" w:rsidR="00454AD8" w:rsidRPr="005F6DA9" w:rsidRDefault="00454AD8" w:rsidP="6674A2DD">
            <w:pPr>
              <w:jc w:val="center"/>
              <w:rPr>
                <w:rFonts w:eastAsia="Arial"/>
                <w:b/>
                <w:bCs/>
                <w:sz w:val="22"/>
                <w:szCs w:val="22"/>
                <w:lang w:eastAsia="en-GB"/>
              </w:rPr>
            </w:pPr>
            <w:r w:rsidRPr="6674A2DD">
              <w:rPr>
                <w:rFonts w:eastAsia="Arial"/>
                <w:b/>
                <w:bCs/>
                <w:sz w:val="22"/>
                <w:szCs w:val="22"/>
                <w:lang w:eastAsia="en-GB"/>
              </w:rPr>
              <w:t>Total Spend</w:t>
            </w:r>
          </w:p>
        </w:tc>
      </w:tr>
      <w:tr w:rsidR="00454AD8" w:rsidRPr="00214F92" w14:paraId="062B8DBE" w14:textId="77777777" w:rsidTr="008F25C8">
        <w:trPr>
          <w:trHeight w:val="310"/>
        </w:trPr>
        <w:tc>
          <w:tcPr>
            <w:tcW w:w="1025" w:type="dxa"/>
            <w:shd w:val="clear" w:color="auto" w:fill="auto"/>
            <w:noWrap/>
            <w:vAlign w:val="bottom"/>
            <w:hideMark/>
          </w:tcPr>
          <w:p w14:paraId="1E010117" w14:textId="77777777" w:rsidR="00454AD8" w:rsidRPr="00214F92" w:rsidRDefault="00454AD8" w:rsidP="6674A2DD">
            <w:pPr>
              <w:jc w:val="center"/>
              <w:rPr>
                <w:rFonts w:eastAsia="Arial"/>
                <w:b/>
                <w:bCs/>
                <w:color w:val="000000"/>
                <w:sz w:val="22"/>
                <w:szCs w:val="22"/>
                <w:lang w:eastAsia="en-GB"/>
              </w:rPr>
            </w:pPr>
            <w:r w:rsidRPr="6674A2DD">
              <w:rPr>
                <w:rFonts w:eastAsia="Arial"/>
                <w:b/>
                <w:bCs/>
                <w:color w:val="000000" w:themeColor="text1"/>
                <w:sz w:val="22"/>
                <w:szCs w:val="22"/>
                <w:lang w:eastAsia="en-GB"/>
              </w:rPr>
              <w:t>2016/17</w:t>
            </w:r>
          </w:p>
        </w:tc>
        <w:tc>
          <w:tcPr>
            <w:tcW w:w="1097" w:type="dxa"/>
            <w:shd w:val="clear" w:color="auto" w:fill="auto"/>
            <w:noWrap/>
            <w:vAlign w:val="center"/>
            <w:hideMark/>
          </w:tcPr>
          <w:p w14:paraId="27939F3B" w14:textId="77777777"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5024</w:t>
            </w:r>
          </w:p>
        </w:tc>
        <w:tc>
          <w:tcPr>
            <w:tcW w:w="1354" w:type="dxa"/>
          </w:tcPr>
          <w:p w14:paraId="367A85E9" w14:textId="2C3889D0" w:rsidR="00454AD8" w:rsidRPr="00214F92" w:rsidRDefault="006E04EB" w:rsidP="6674A2DD">
            <w:pPr>
              <w:jc w:val="center"/>
              <w:rPr>
                <w:rFonts w:eastAsia="Arial"/>
                <w:color w:val="000000"/>
                <w:sz w:val="22"/>
                <w:szCs w:val="22"/>
                <w:lang w:eastAsia="en-GB"/>
              </w:rPr>
            </w:pPr>
            <w:r w:rsidRPr="6674A2DD">
              <w:rPr>
                <w:rFonts w:eastAsia="Arial"/>
                <w:color w:val="000000" w:themeColor="text1"/>
                <w:sz w:val="22"/>
                <w:szCs w:val="22"/>
                <w:lang w:eastAsia="en-GB"/>
              </w:rPr>
              <w:t>3650</w:t>
            </w:r>
          </w:p>
        </w:tc>
        <w:tc>
          <w:tcPr>
            <w:tcW w:w="1916" w:type="dxa"/>
            <w:shd w:val="clear" w:color="auto" w:fill="auto"/>
            <w:noWrap/>
            <w:vAlign w:val="center"/>
            <w:hideMark/>
          </w:tcPr>
          <w:p w14:paraId="65506609" w14:textId="2ACDDBEB"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2037</w:t>
            </w:r>
          </w:p>
        </w:tc>
        <w:tc>
          <w:tcPr>
            <w:tcW w:w="2075" w:type="dxa"/>
            <w:shd w:val="clear" w:color="auto" w:fill="auto"/>
            <w:noWrap/>
            <w:vAlign w:val="center"/>
            <w:hideMark/>
          </w:tcPr>
          <w:p w14:paraId="58674BAC" w14:textId="64147197"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£360,0</w:t>
            </w:r>
            <w:r w:rsidR="006E04EB" w:rsidRPr="6674A2DD">
              <w:rPr>
                <w:rFonts w:eastAsia="Arial"/>
                <w:color w:val="000000" w:themeColor="text1"/>
                <w:sz w:val="22"/>
                <w:szCs w:val="22"/>
                <w:lang w:eastAsia="en-GB"/>
              </w:rPr>
              <w:t>9</w:t>
            </w:r>
            <w:r w:rsidRPr="6674A2DD">
              <w:rPr>
                <w:rFonts w:eastAsia="Arial"/>
                <w:color w:val="000000" w:themeColor="text1"/>
                <w:sz w:val="22"/>
                <w:szCs w:val="22"/>
                <w:lang w:eastAsia="en-GB"/>
              </w:rPr>
              <w:t>0</w:t>
            </w:r>
          </w:p>
        </w:tc>
        <w:tc>
          <w:tcPr>
            <w:tcW w:w="2075" w:type="dxa"/>
            <w:shd w:val="clear" w:color="auto" w:fill="auto"/>
            <w:noWrap/>
            <w:vAlign w:val="center"/>
            <w:hideMark/>
          </w:tcPr>
          <w:p w14:paraId="0DCEEE9D" w14:textId="22CAE9F9"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w:t>
            </w:r>
            <w:r w:rsidR="006E04EB" w:rsidRPr="6674A2DD">
              <w:rPr>
                <w:rFonts w:eastAsia="Arial"/>
                <w:color w:val="000000" w:themeColor="text1"/>
                <w:sz w:val="22"/>
                <w:szCs w:val="22"/>
                <w:lang w:eastAsia="en-GB"/>
              </w:rPr>
              <w:t>423</w:t>
            </w:r>
            <w:r w:rsidRPr="6674A2DD">
              <w:rPr>
                <w:rFonts w:eastAsia="Arial"/>
                <w:color w:val="000000" w:themeColor="text1"/>
                <w:sz w:val="22"/>
                <w:szCs w:val="22"/>
                <w:lang w:eastAsia="en-GB"/>
              </w:rPr>
              <w:t>,</w:t>
            </w:r>
            <w:r w:rsidR="006E04EB" w:rsidRPr="6674A2DD">
              <w:rPr>
                <w:rFonts w:eastAsia="Arial"/>
                <w:color w:val="000000" w:themeColor="text1"/>
                <w:sz w:val="22"/>
                <w:szCs w:val="22"/>
                <w:lang w:eastAsia="en-GB"/>
              </w:rPr>
              <w:t>338</w:t>
            </w:r>
          </w:p>
        </w:tc>
        <w:tc>
          <w:tcPr>
            <w:tcW w:w="1226" w:type="dxa"/>
            <w:shd w:val="clear" w:color="auto" w:fill="auto"/>
            <w:noWrap/>
            <w:vAlign w:val="center"/>
          </w:tcPr>
          <w:p w14:paraId="56A4AA71" w14:textId="60E2DD19" w:rsidR="00454AD8" w:rsidRPr="00214F92" w:rsidRDefault="006E04EB" w:rsidP="6674A2DD">
            <w:pPr>
              <w:jc w:val="center"/>
              <w:rPr>
                <w:rFonts w:eastAsia="Arial"/>
                <w:color w:val="000000"/>
                <w:sz w:val="22"/>
                <w:szCs w:val="22"/>
                <w:lang w:eastAsia="en-GB"/>
              </w:rPr>
            </w:pPr>
            <w:r w:rsidRPr="6674A2DD">
              <w:rPr>
                <w:rFonts w:eastAsia="Arial"/>
                <w:color w:val="000000" w:themeColor="text1"/>
                <w:sz w:val="22"/>
                <w:szCs w:val="22"/>
                <w:lang w:eastAsia="en-GB"/>
              </w:rPr>
              <w:t>£783,428</w:t>
            </w:r>
          </w:p>
        </w:tc>
      </w:tr>
      <w:tr w:rsidR="00454AD8" w:rsidRPr="00214F92" w14:paraId="65B2992F" w14:textId="77777777" w:rsidTr="008F25C8">
        <w:trPr>
          <w:trHeight w:val="310"/>
        </w:trPr>
        <w:tc>
          <w:tcPr>
            <w:tcW w:w="1025" w:type="dxa"/>
            <w:shd w:val="clear" w:color="auto" w:fill="auto"/>
            <w:noWrap/>
            <w:vAlign w:val="bottom"/>
            <w:hideMark/>
          </w:tcPr>
          <w:p w14:paraId="4FE95996" w14:textId="77777777" w:rsidR="00454AD8" w:rsidRPr="00214F92" w:rsidRDefault="00454AD8" w:rsidP="6674A2DD">
            <w:pPr>
              <w:jc w:val="center"/>
              <w:rPr>
                <w:rFonts w:eastAsia="Arial"/>
                <w:b/>
                <w:bCs/>
                <w:color w:val="000000"/>
                <w:sz w:val="22"/>
                <w:szCs w:val="22"/>
                <w:lang w:eastAsia="en-GB"/>
              </w:rPr>
            </w:pPr>
            <w:r w:rsidRPr="6674A2DD">
              <w:rPr>
                <w:rFonts w:eastAsia="Arial"/>
                <w:b/>
                <w:bCs/>
                <w:color w:val="000000" w:themeColor="text1"/>
                <w:sz w:val="22"/>
                <w:szCs w:val="22"/>
                <w:lang w:eastAsia="en-GB"/>
              </w:rPr>
              <w:t>2017/18</w:t>
            </w:r>
          </w:p>
        </w:tc>
        <w:tc>
          <w:tcPr>
            <w:tcW w:w="1097" w:type="dxa"/>
            <w:shd w:val="clear" w:color="auto" w:fill="auto"/>
            <w:noWrap/>
            <w:vAlign w:val="center"/>
            <w:hideMark/>
          </w:tcPr>
          <w:p w14:paraId="461EA5BC" w14:textId="77777777"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4060</w:t>
            </w:r>
          </w:p>
        </w:tc>
        <w:tc>
          <w:tcPr>
            <w:tcW w:w="1354" w:type="dxa"/>
          </w:tcPr>
          <w:p w14:paraId="082305A7" w14:textId="06B9F7D2" w:rsidR="00454AD8" w:rsidRPr="00214F92" w:rsidRDefault="006E04EB" w:rsidP="6674A2DD">
            <w:pPr>
              <w:jc w:val="center"/>
              <w:rPr>
                <w:rFonts w:eastAsia="Arial"/>
                <w:color w:val="000000"/>
                <w:sz w:val="22"/>
                <w:szCs w:val="22"/>
                <w:lang w:eastAsia="en-GB"/>
              </w:rPr>
            </w:pPr>
            <w:r w:rsidRPr="6674A2DD">
              <w:rPr>
                <w:rFonts w:eastAsia="Arial"/>
                <w:color w:val="000000" w:themeColor="text1"/>
                <w:sz w:val="22"/>
                <w:szCs w:val="22"/>
                <w:lang w:eastAsia="en-GB"/>
              </w:rPr>
              <w:t>3650</w:t>
            </w:r>
          </w:p>
        </w:tc>
        <w:tc>
          <w:tcPr>
            <w:tcW w:w="1916" w:type="dxa"/>
            <w:shd w:val="clear" w:color="auto" w:fill="auto"/>
            <w:noWrap/>
            <w:vAlign w:val="center"/>
            <w:hideMark/>
          </w:tcPr>
          <w:p w14:paraId="20C8F9C3" w14:textId="157016AF"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1569</w:t>
            </w:r>
          </w:p>
        </w:tc>
        <w:tc>
          <w:tcPr>
            <w:tcW w:w="2075" w:type="dxa"/>
            <w:shd w:val="clear" w:color="auto" w:fill="auto"/>
            <w:noWrap/>
            <w:vAlign w:val="center"/>
            <w:hideMark/>
          </w:tcPr>
          <w:p w14:paraId="592266DC" w14:textId="16961D72"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£348,</w:t>
            </w:r>
            <w:r w:rsidR="006E04EB" w:rsidRPr="6674A2DD">
              <w:rPr>
                <w:rFonts w:eastAsia="Arial"/>
                <w:color w:val="000000" w:themeColor="text1"/>
                <w:sz w:val="22"/>
                <w:szCs w:val="22"/>
                <w:lang w:eastAsia="en-GB"/>
              </w:rPr>
              <w:t>443</w:t>
            </w:r>
          </w:p>
        </w:tc>
        <w:tc>
          <w:tcPr>
            <w:tcW w:w="2075" w:type="dxa"/>
            <w:shd w:val="clear" w:color="auto" w:fill="auto"/>
            <w:noWrap/>
            <w:vAlign w:val="center"/>
            <w:hideMark/>
          </w:tcPr>
          <w:p w14:paraId="17D0E888" w14:textId="25519636"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w:t>
            </w:r>
            <w:r w:rsidR="006E04EB" w:rsidRPr="6674A2DD">
              <w:rPr>
                <w:rFonts w:eastAsia="Arial"/>
                <w:color w:val="000000" w:themeColor="text1"/>
                <w:sz w:val="22"/>
                <w:szCs w:val="22"/>
                <w:lang w:eastAsia="en-GB"/>
              </w:rPr>
              <w:t>400</w:t>
            </w:r>
            <w:r w:rsidRPr="6674A2DD">
              <w:rPr>
                <w:rFonts w:eastAsia="Arial"/>
                <w:color w:val="000000" w:themeColor="text1"/>
                <w:sz w:val="22"/>
                <w:szCs w:val="22"/>
                <w:lang w:eastAsia="en-GB"/>
              </w:rPr>
              <w:t>,</w:t>
            </w:r>
            <w:r w:rsidR="006E04EB" w:rsidRPr="6674A2DD">
              <w:rPr>
                <w:rFonts w:eastAsia="Arial"/>
                <w:color w:val="000000" w:themeColor="text1"/>
                <w:sz w:val="22"/>
                <w:szCs w:val="22"/>
                <w:lang w:eastAsia="en-GB"/>
              </w:rPr>
              <w:t>272</w:t>
            </w:r>
          </w:p>
        </w:tc>
        <w:tc>
          <w:tcPr>
            <w:tcW w:w="1226" w:type="dxa"/>
            <w:shd w:val="clear" w:color="auto" w:fill="auto"/>
            <w:noWrap/>
            <w:vAlign w:val="center"/>
          </w:tcPr>
          <w:p w14:paraId="44755E61" w14:textId="010A06C4" w:rsidR="00454AD8" w:rsidRPr="00214F92" w:rsidRDefault="006E04EB" w:rsidP="6674A2DD">
            <w:pPr>
              <w:jc w:val="center"/>
              <w:rPr>
                <w:rFonts w:eastAsia="Arial"/>
                <w:color w:val="000000"/>
                <w:sz w:val="22"/>
                <w:szCs w:val="22"/>
                <w:lang w:eastAsia="en-GB"/>
              </w:rPr>
            </w:pPr>
            <w:r w:rsidRPr="6674A2DD">
              <w:rPr>
                <w:rFonts w:eastAsia="Arial"/>
                <w:color w:val="000000" w:themeColor="text1"/>
                <w:sz w:val="22"/>
                <w:szCs w:val="22"/>
                <w:lang w:eastAsia="en-GB"/>
              </w:rPr>
              <w:t>£749,155</w:t>
            </w:r>
          </w:p>
        </w:tc>
      </w:tr>
      <w:tr w:rsidR="00454AD8" w:rsidRPr="00214F92" w14:paraId="6E99A64B" w14:textId="77777777" w:rsidTr="008F25C8">
        <w:trPr>
          <w:trHeight w:val="310"/>
        </w:trPr>
        <w:tc>
          <w:tcPr>
            <w:tcW w:w="1025" w:type="dxa"/>
            <w:shd w:val="clear" w:color="auto" w:fill="auto"/>
            <w:noWrap/>
            <w:vAlign w:val="bottom"/>
            <w:hideMark/>
          </w:tcPr>
          <w:p w14:paraId="0FAB9A23" w14:textId="77777777" w:rsidR="00454AD8" w:rsidRPr="00214F92" w:rsidRDefault="00454AD8" w:rsidP="6674A2DD">
            <w:pPr>
              <w:jc w:val="center"/>
              <w:rPr>
                <w:rFonts w:eastAsia="Arial"/>
                <w:b/>
                <w:bCs/>
                <w:color w:val="000000"/>
                <w:sz w:val="22"/>
                <w:szCs w:val="22"/>
                <w:lang w:eastAsia="en-GB"/>
              </w:rPr>
            </w:pPr>
            <w:r w:rsidRPr="6674A2DD">
              <w:rPr>
                <w:rFonts w:eastAsia="Arial"/>
                <w:b/>
                <w:bCs/>
                <w:color w:val="000000" w:themeColor="text1"/>
                <w:sz w:val="22"/>
                <w:szCs w:val="22"/>
                <w:lang w:eastAsia="en-GB"/>
              </w:rPr>
              <w:t>2018/19</w:t>
            </w:r>
          </w:p>
        </w:tc>
        <w:tc>
          <w:tcPr>
            <w:tcW w:w="1097" w:type="dxa"/>
            <w:shd w:val="clear" w:color="auto" w:fill="auto"/>
            <w:noWrap/>
            <w:vAlign w:val="center"/>
            <w:hideMark/>
          </w:tcPr>
          <w:p w14:paraId="4544E012" w14:textId="77777777"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3018</w:t>
            </w:r>
          </w:p>
        </w:tc>
        <w:tc>
          <w:tcPr>
            <w:tcW w:w="1354" w:type="dxa"/>
          </w:tcPr>
          <w:p w14:paraId="0C1F8A45" w14:textId="4830BF74"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2000</w:t>
            </w:r>
          </w:p>
        </w:tc>
        <w:tc>
          <w:tcPr>
            <w:tcW w:w="1916" w:type="dxa"/>
            <w:shd w:val="clear" w:color="auto" w:fill="auto"/>
            <w:noWrap/>
            <w:vAlign w:val="center"/>
            <w:hideMark/>
          </w:tcPr>
          <w:p w14:paraId="7E54E495" w14:textId="429C957C"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2000</w:t>
            </w:r>
          </w:p>
        </w:tc>
        <w:tc>
          <w:tcPr>
            <w:tcW w:w="2075" w:type="dxa"/>
            <w:shd w:val="clear" w:color="auto" w:fill="auto"/>
            <w:noWrap/>
            <w:vAlign w:val="center"/>
            <w:hideMark/>
          </w:tcPr>
          <w:p w14:paraId="19D2245D" w14:textId="77777777"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£110,000</w:t>
            </w:r>
          </w:p>
        </w:tc>
        <w:tc>
          <w:tcPr>
            <w:tcW w:w="2075" w:type="dxa"/>
            <w:shd w:val="clear" w:color="auto" w:fill="auto"/>
            <w:noWrap/>
            <w:vAlign w:val="center"/>
            <w:hideMark/>
          </w:tcPr>
          <w:p w14:paraId="2DC9BD8E" w14:textId="77777777"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£333,000</w:t>
            </w:r>
          </w:p>
        </w:tc>
        <w:tc>
          <w:tcPr>
            <w:tcW w:w="1226" w:type="dxa"/>
            <w:shd w:val="clear" w:color="auto" w:fill="auto"/>
            <w:noWrap/>
            <w:vAlign w:val="center"/>
          </w:tcPr>
          <w:p w14:paraId="2F79CC26" w14:textId="1F52F830" w:rsidR="00454AD8" w:rsidRPr="00214F92" w:rsidRDefault="006E04EB" w:rsidP="6674A2DD">
            <w:pPr>
              <w:jc w:val="center"/>
              <w:rPr>
                <w:rFonts w:eastAsia="Arial"/>
                <w:color w:val="000000"/>
                <w:sz w:val="22"/>
                <w:szCs w:val="22"/>
                <w:lang w:eastAsia="en-GB"/>
              </w:rPr>
            </w:pPr>
            <w:r w:rsidRPr="6674A2DD">
              <w:rPr>
                <w:rFonts w:eastAsia="Arial"/>
                <w:color w:val="000000" w:themeColor="text1"/>
                <w:sz w:val="22"/>
                <w:szCs w:val="22"/>
                <w:lang w:eastAsia="en-GB"/>
              </w:rPr>
              <w:t>£443,000</w:t>
            </w:r>
          </w:p>
        </w:tc>
      </w:tr>
      <w:tr w:rsidR="00454AD8" w:rsidRPr="00214F92" w14:paraId="4FACB053" w14:textId="77777777" w:rsidTr="008F25C8">
        <w:trPr>
          <w:trHeight w:val="310"/>
        </w:trPr>
        <w:tc>
          <w:tcPr>
            <w:tcW w:w="1025" w:type="dxa"/>
            <w:shd w:val="clear" w:color="auto" w:fill="auto"/>
            <w:noWrap/>
            <w:vAlign w:val="bottom"/>
            <w:hideMark/>
          </w:tcPr>
          <w:p w14:paraId="178D78F2" w14:textId="77777777" w:rsidR="00454AD8" w:rsidRPr="00214F92" w:rsidRDefault="00454AD8" w:rsidP="6674A2DD">
            <w:pPr>
              <w:jc w:val="center"/>
              <w:rPr>
                <w:rFonts w:eastAsia="Arial"/>
                <w:b/>
                <w:bCs/>
                <w:color w:val="000000"/>
                <w:sz w:val="22"/>
                <w:szCs w:val="22"/>
                <w:lang w:eastAsia="en-GB"/>
              </w:rPr>
            </w:pPr>
            <w:r w:rsidRPr="6674A2DD">
              <w:rPr>
                <w:rFonts w:eastAsia="Arial"/>
                <w:b/>
                <w:bCs/>
                <w:color w:val="000000" w:themeColor="text1"/>
                <w:sz w:val="22"/>
                <w:szCs w:val="22"/>
                <w:lang w:eastAsia="en-GB"/>
              </w:rPr>
              <w:t>2019/20</w:t>
            </w:r>
          </w:p>
        </w:tc>
        <w:tc>
          <w:tcPr>
            <w:tcW w:w="1097" w:type="dxa"/>
            <w:shd w:val="clear" w:color="auto" w:fill="auto"/>
            <w:noWrap/>
            <w:vAlign w:val="center"/>
            <w:hideMark/>
          </w:tcPr>
          <w:p w14:paraId="29658C65" w14:textId="77777777"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2815</w:t>
            </w:r>
          </w:p>
        </w:tc>
        <w:tc>
          <w:tcPr>
            <w:tcW w:w="1354" w:type="dxa"/>
          </w:tcPr>
          <w:p w14:paraId="2293174F" w14:textId="5120012D"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2000</w:t>
            </w:r>
          </w:p>
        </w:tc>
        <w:tc>
          <w:tcPr>
            <w:tcW w:w="1916" w:type="dxa"/>
            <w:shd w:val="clear" w:color="auto" w:fill="auto"/>
            <w:noWrap/>
            <w:vAlign w:val="center"/>
            <w:hideMark/>
          </w:tcPr>
          <w:p w14:paraId="37C7C62C" w14:textId="310832D6"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1952</w:t>
            </w:r>
          </w:p>
        </w:tc>
        <w:tc>
          <w:tcPr>
            <w:tcW w:w="2075" w:type="dxa"/>
            <w:shd w:val="clear" w:color="auto" w:fill="auto"/>
            <w:noWrap/>
            <w:vAlign w:val="center"/>
            <w:hideMark/>
          </w:tcPr>
          <w:p w14:paraId="060A6AC4" w14:textId="230C6BC3"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£7</w:t>
            </w:r>
            <w:r w:rsidR="006E04EB" w:rsidRPr="6674A2DD">
              <w:rPr>
                <w:rFonts w:eastAsia="Arial"/>
                <w:color w:val="000000" w:themeColor="text1"/>
                <w:sz w:val="22"/>
                <w:szCs w:val="22"/>
                <w:lang w:eastAsia="en-GB"/>
              </w:rPr>
              <w:t>2</w:t>
            </w:r>
            <w:r w:rsidRPr="6674A2DD">
              <w:rPr>
                <w:rFonts w:eastAsia="Arial"/>
                <w:color w:val="000000" w:themeColor="text1"/>
                <w:sz w:val="22"/>
                <w:szCs w:val="22"/>
                <w:lang w:eastAsia="en-GB"/>
              </w:rPr>
              <w:t>,</w:t>
            </w:r>
            <w:r w:rsidR="006E04EB" w:rsidRPr="6674A2DD">
              <w:rPr>
                <w:rFonts w:eastAsia="Arial"/>
                <w:color w:val="000000" w:themeColor="text1"/>
                <w:sz w:val="22"/>
                <w:szCs w:val="22"/>
                <w:lang w:eastAsia="en-GB"/>
              </w:rPr>
              <w:t>666</w:t>
            </w:r>
          </w:p>
        </w:tc>
        <w:tc>
          <w:tcPr>
            <w:tcW w:w="2075" w:type="dxa"/>
            <w:shd w:val="clear" w:color="auto" w:fill="auto"/>
            <w:noWrap/>
            <w:vAlign w:val="center"/>
            <w:hideMark/>
          </w:tcPr>
          <w:p w14:paraId="58AEA071" w14:textId="304977C9" w:rsidR="00454AD8" w:rsidRPr="00214F92" w:rsidRDefault="00454AD8" w:rsidP="6674A2DD">
            <w:pPr>
              <w:jc w:val="center"/>
              <w:rPr>
                <w:rFonts w:eastAsia="Arial"/>
                <w:color w:val="000000"/>
                <w:sz w:val="22"/>
                <w:szCs w:val="22"/>
                <w:lang w:eastAsia="en-GB"/>
              </w:rPr>
            </w:pPr>
            <w:r w:rsidRPr="6674A2DD">
              <w:rPr>
                <w:rFonts w:eastAsia="Arial"/>
                <w:color w:val="000000" w:themeColor="text1"/>
                <w:sz w:val="22"/>
                <w:szCs w:val="22"/>
                <w:lang w:eastAsia="en-GB"/>
              </w:rPr>
              <w:t>£438,</w:t>
            </w:r>
            <w:r w:rsidR="006E04EB" w:rsidRPr="6674A2DD">
              <w:rPr>
                <w:rFonts w:eastAsia="Arial"/>
                <w:color w:val="000000" w:themeColor="text1"/>
                <w:sz w:val="22"/>
                <w:szCs w:val="22"/>
                <w:lang w:eastAsia="en-GB"/>
              </w:rPr>
              <w:t>443</w:t>
            </w:r>
          </w:p>
        </w:tc>
        <w:tc>
          <w:tcPr>
            <w:tcW w:w="1226" w:type="dxa"/>
            <w:shd w:val="clear" w:color="auto" w:fill="auto"/>
            <w:noWrap/>
            <w:vAlign w:val="center"/>
          </w:tcPr>
          <w:p w14:paraId="3E4DF494" w14:textId="082923DF" w:rsidR="00454AD8" w:rsidRPr="00214F92" w:rsidRDefault="006E04EB" w:rsidP="6674A2DD">
            <w:pPr>
              <w:jc w:val="center"/>
              <w:rPr>
                <w:rFonts w:eastAsia="Arial"/>
                <w:color w:val="000000"/>
                <w:sz w:val="22"/>
                <w:szCs w:val="22"/>
                <w:lang w:eastAsia="en-GB"/>
              </w:rPr>
            </w:pPr>
            <w:r w:rsidRPr="6674A2DD">
              <w:rPr>
                <w:rFonts w:eastAsia="Arial"/>
                <w:color w:val="000000" w:themeColor="text1"/>
                <w:sz w:val="22"/>
                <w:szCs w:val="22"/>
                <w:lang w:eastAsia="en-GB"/>
              </w:rPr>
              <w:t>£511,109</w:t>
            </w:r>
          </w:p>
        </w:tc>
      </w:tr>
    </w:tbl>
    <w:p w14:paraId="26CC2FA1" w14:textId="77777777" w:rsidR="00186B33" w:rsidRDefault="00186B33" w:rsidP="008400BE">
      <w:pPr>
        <w:jc w:val="both"/>
        <w:rPr>
          <w:b/>
          <w:bCs/>
          <w:sz w:val="22"/>
          <w:szCs w:val="22"/>
        </w:rPr>
      </w:pPr>
    </w:p>
    <w:p w14:paraId="62AFD866" w14:textId="2B40DF95" w:rsidR="002C1EFB" w:rsidRPr="005F6DA9" w:rsidRDefault="002C1EFB" w:rsidP="002C1EFB">
      <w:pPr>
        <w:pStyle w:val="NormalWeb"/>
        <w:spacing w:before="0" w:beforeAutospacing="0" w:after="0" w:afterAutospacing="0"/>
        <w:jc w:val="both"/>
        <w:rPr>
          <w:rFonts w:ascii="Arial" w:hAnsi="Arial" w:cs="Arial"/>
          <w:color w:val="212B32"/>
          <w:sz w:val="22"/>
          <w:szCs w:val="22"/>
        </w:rPr>
      </w:pPr>
      <w:r w:rsidRPr="00ED3D34">
        <w:rPr>
          <w:rFonts w:ascii="Arial" w:hAnsi="Arial" w:cs="Arial"/>
          <w:b/>
          <w:bCs/>
          <w:color w:val="212B32"/>
          <w:sz w:val="22"/>
          <w:szCs w:val="22"/>
        </w:rPr>
        <w:t>7.</w:t>
      </w:r>
      <w:r>
        <w:rPr>
          <w:rFonts w:ascii="Arial" w:hAnsi="Arial" w:cs="Arial"/>
          <w:color w:val="212B32"/>
          <w:sz w:val="22"/>
          <w:szCs w:val="22"/>
        </w:rPr>
        <w:t xml:space="preserve"> </w:t>
      </w:r>
      <w:r w:rsidRPr="006E04EB">
        <w:rPr>
          <w:rFonts w:ascii="Arial" w:hAnsi="Arial" w:cs="Arial"/>
          <w:b/>
          <w:bCs/>
          <w:sz w:val="22"/>
          <w:szCs w:val="22"/>
        </w:rPr>
        <w:t>Stop Smoking Services Quarterly Return</w:t>
      </w:r>
      <w:r w:rsidRPr="006E04EB">
        <w:rPr>
          <w:rFonts w:ascii="Arial" w:hAnsi="Arial" w:cs="Arial"/>
          <w:sz w:val="22"/>
          <w:szCs w:val="22"/>
        </w:rPr>
        <w:t xml:space="preserve"> - The </w:t>
      </w:r>
      <w:hyperlink r:id="rId37" w:history="1">
        <w:r w:rsidRPr="00262927">
          <w:rPr>
            <w:rStyle w:val="Hyperlink"/>
            <w:rFonts w:ascii="Arial" w:hAnsi="Arial" w:cs="Arial"/>
            <w:sz w:val="22"/>
            <w:szCs w:val="22"/>
          </w:rPr>
          <w:t>Stop Smoking Services Quarterly Return</w:t>
        </w:r>
      </w:hyperlink>
      <w:r w:rsidRPr="006E04EB">
        <w:rPr>
          <w:rFonts w:ascii="Arial" w:hAnsi="Arial" w:cs="Arial"/>
          <w:sz w:val="22"/>
          <w:szCs w:val="22"/>
        </w:rPr>
        <w:t xml:space="preserve"> is a Public Health England (PHE) central return used to monitor the delivery of Stop Smoking Services (prior to 1 April 2013 this was a Department of Health (DH) return). The return is collected from Local Authorities by NHS Digital (formerly the HSCIC). The following tables include extracts from the return between 2017/18 and 2019/20</w:t>
      </w:r>
      <w:r>
        <w:rPr>
          <w:rFonts w:ascii="Arial" w:hAnsi="Arial" w:cs="Arial"/>
          <w:sz w:val="22"/>
          <w:szCs w:val="22"/>
        </w:rPr>
        <w:t xml:space="preserve">. </w:t>
      </w:r>
    </w:p>
    <w:p w14:paraId="569C6002" w14:textId="77777777" w:rsidR="00186B33" w:rsidRDefault="00186B33" w:rsidP="008400BE">
      <w:pPr>
        <w:jc w:val="both"/>
        <w:rPr>
          <w:b/>
          <w:bCs/>
          <w:sz w:val="22"/>
          <w:szCs w:val="22"/>
        </w:rPr>
      </w:pPr>
    </w:p>
    <w:p w14:paraId="791A58FA" w14:textId="77777777" w:rsidR="00186B33" w:rsidRDefault="00186B33" w:rsidP="008400BE">
      <w:pPr>
        <w:jc w:val="both"/>
        <w:rPr>
          <w:b/>
          <w:bCs/>
          <w:sz w:val="22"/>
          <w:szCs w:val="22"/>
        </w:rPr>
      </w:pPr>
    </w:p>
    <w:p w14:paraId="2C4678D3" w14:textId="77777777" w:rsidR="00186B33" w:rsidRDefault="00186B33" w:rsidP="008400BE">
      <w:pPr>
        <w:jc w:val="both"/>
        <w:rPr>
          <w:b/>
          <w:bCs/>
          <w:sz w:val="22"/>
          <w:szCs w:val="22"/>
        </w:rPr>
      </w:pPr>
    </w:p>
    <w:p w14:paraId="610473FF" w14:textId="024A04BB" w:rsidR="00186B33" w:rsidRDefault="00072D01" w:rsidP="008400BE">
      <w:pPr>
        <w:jc w:val="both"/>
        <w:rPr>
          <w:b/>
          <w:bCs/>
          <w:sz w:val="22"/>
          <w:szCs w:val="22"/>
        </w:rPr>
      </w:pPr>
      <w:r>
        <w:rPr>
          <w:noProof/>
        </w:rPr>
        <w:drawing>
          <wp:anchor distT="0" distB="0" distL="114300" distR="114300" simplePos="0" relativeHeight="251660288" behindDoc="1" locked="0" layoutInCell="1" allowOverlap="1" wp14:anchorId="6CA43041" wp14:editId="0901FE99">
            <wp:simplePos x="0" y="0"/>
            <wp:positionH relativeFrom="column">
              <wp:posOffset>3810</wp:posOffset>
            </wp:positionH>
            <wp:positionV relativeFrom="paragraph">
              <wp:posOffset>-3810</wp:posOffset>
            </wp:positionV>
            <wp:extent cx="6120000" cy="1263600"/>
            <wp:effectExtent l="1799590" t="0" r="17951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8616860">
                      <a:off x="0" y="0"/>
                      <a:ext cx="6120000" cy="1263600"/>
                    </a:xfrm>
                    <a:prstGeom prst="rect">
                      <a:avLst/>
                    </a:prstGeom>
                  </pic:spPr>
                </pic:pic>
              </a:graphicData>
            </a:graphic>
            <wp14:sizeRelH relativeFrom="margin">
              <wp14:pctWidth>0</wp14:pctWidth>
            </wp14:sizeRelH>
            <wp14:sizeRelV relativeFrom="margin">
              <wp14:pctHeight>0</wp14:pctHeight>
            </wp14:sizeRelV>
          </wp:anchor>
        </w:drawing>
      </w:r>
    </w:p>
    <w:p w14:paraId="56A19043" w14:textId="77777777" w:rsidR="00186B33" w:rsidRDefault="00186B33" w:rsidP="008400BE">
      <w:pPr>
        <w:jc w:val="both"/>
        <w:rPr>
          <w:b/>
          <w:bCs/>
          <w:sz w:val="22"/>
          <w:szCs w:val="22"/>
        </w:rPr>
      </w:pPr>
    </w:p>
    <w:p w14:paraId="1729D193" w14:textId="77777777" w:rsidR="00186B33" w:rsidRDefault="00186B33" w:rsidP="008400BE">
      <w:pPr>
        <w:jc w:val="both"/>
        <w:rPr>
          <w:b/>
          <w:bCs/>
          <w:sz w:val="22"/>
          <w:szCs w:val="22"/>
        </w:rPr>
      </w:pPr>
    </w:p>
    <w:p w14:paraId="1E6A3ED1" w14:textId="77777777" w:rsidR="00186B33" w:rsidRDefault="00186B33" w:rsidP="008400BE">
      <w:pPr>
        <w:jc w:val="both"/>
        <w:rPr>
          <w:b/>
          <w:bCs/>
          <w:sz w:val="22"/>
          <w:szCs w:val="22"/>
        </w:rPr>
      </w:pPr>
    </w:p>
    <w:p w14:paraId="16509CDC" w14:textId="77777777" w:rsidR="00186B33" w:rsidRDefault="00186B33" w:rsidP="008400BE">
      <w:pPr>
        <w:jc w:val="both"/>
        <w:rPr>
          <w:b/>
          <w:bCs/>
          <w:sz w:val="22"/>
          <w:szCs w:val="22"/>
        </w:rPr>
      </w:pPr>
    </w:p>
    <w:p w14:paraId="5376CD04" w14:textId="0FA3F536" w:rsidR="00B11BAF" w:rsidRDefault="00B11BAF" w:rsidP="008400BE">
      <w:pPr>
        <w:jc w:val="both"/>
        <w:rPr>
          <w:b/>
          <w:bCs/>
          <w:sz w:val="22"/>
          <w:szCs w:val="22"/>
        </w:rPr>
        <w:sectPr w:rsidR="00B11BAF" w:rsidSect="001E326C">
          <w:headerReference w:type="default" r:id="rId38"/>
          <w:pgSz w:w="11906" w:h="16838"/>
          <w:pgMar w:top="1134" w:right="1134" w:bottom="1134" w:left="1134" w:header="709" w:footer="709" w:gutter="0"/>
          <w:cols w:space="708"/>
          <w:docGrid w:linePitch="360"/>
        </w:sectPr>
      </w:pPr>
    </w:p>
    <w:p w14:paraId="262EA389" w14:textId="77777777" w:rsidR="005F6DA9" w:rsidRDefault="005F6DA9" w:rsidP="005F6DA9">
      <w:pPr>
        <w:jc w:val="both"/>
        <w:rPr>
          <w:b/>
          <w:bCs/>
          <w:sz w:val="22"/>
          <w:szCs w:val="22"/>
        </w:rPr>
      </w:pPr>
    </w:p>
    <w:p w14:paraId="7ED6EDD8" w14:textId="055E9735" w:rsidR="00773AD6" w:rsidRPr="00214F92" w:rsidRDefault="00ED3D34" w:rsidP="005F6DA9">
      <w:pPr>
        <w:jc w:val="both"/>
        <w:rPr>
          <w:b/>
          <w:bCs/>
          <w:sz w:val="22"/>
          <w:szCs w:val="22"/>
        </w:rPr>
      </w:pPr>
      <w:r>
        <w:rPr>
          <w:b/>
          <w:bCs/>
          <w:sz w:val="22"/>
          <w:szCs w:val="22"/>
        </w:rPr>
        <w:t xml:space="preserve">7.1 </w:t>
      </w:r>
      <w:r w:rsidR="00773AD6">
        <w:rPr>
          <w:b/>
          <w:bCs/>
          <w:sz w:val="22"/>
          <w:szCs w:val="22"/>
        </w:rPr>
        <w:t xml:space="preserve">Pregnant Women - </w:t>
      </w:r>
      <w:r w:rsidR="00773AD6" w:rsidRPr="00773AD6">
        <w:rPr>
          <w:sz w:val="22"/>
          <w:szCs w:val="22"/>
        </w:rPr>
        <w:t xml:space="preserve">Breakdown of number of </w:t>
      </w:r>
      <w:r w:rsidR="00773AD6">
        <w:rPr>
          <w:sz w:val="22"/>
          <w:szCs w:val="22"/>
        </w:rPr>
        <w:t xml:space="preserve">pregnant </w:t>
      </w:r>
      <w:r w:rsidR="00773AD6" w:rsidRPr="00773AD6">
        <w:rPr>
          <w:sz w:val="22"/>
          <w:szCs w:val="22"/>
        </w:rPr>
        <w:t>Service Users setting a quit date and successfully quitting at four weeks during 2017/18 to 2019/20 as reported to NHS Digital by the Council:</w:t>
      </w:r>
    </w:p>
    <w:p w14:paraId="166F682A" w14:textId="77777777" w:rsidR="00773AD6" w:rsidRDefault="00773AD6" w:rsidP="00773AD6">
      <w:pPr>
        <w:jc w:val="both"/>
        <w:rPr>
          <w:b/>
          <w:bCs/>
          <w:sz w:val="22"/>
          <w:szCs w:val="22"/>
        </w:rPr>
      </w:pPr>
    </w:p>
    <w:tbl>
      <w:tblPr>
        <w:tblStyle w:val="TableGrid"/>
        <w:tblW w:w="0" w:type="auto"/>
        <w:tblLook w:val="04A0" w:firstRow="1" w:lastRow="0" w:firstColumn="1" w:lastColumn="0" w:noHBand="0" w:noVBand="1"/>
      </w:tblPr>
      <w:tblGrid>
        <w:gridCol w:w="4853"/>
        <w:gridCol w:w="4853"/>
        <w:gridCol w:w="4854"/>
      </w:tblGrid>
      <w:tr w:rsidR="00773AD6" w14:paraId="59ED10BD" w14:textId="77777777" w:rsidTr="66A831A9">
        <w:tc>
          <w:tcPr>
            <w:tcW w:w="4853" w:type="dxa"/>
            <w:shd w:val="clear" w:color="auto" w:fill="C0C5D0" w:themeFill="accent2" w:themeFillTint="66"/>
          </w:tcPr>
          <w:p w14:paraId="4AFBCDED" w14:textId="77777777" w:rsidR="00773AD6" w:rsidRPr="00773AD6" w:rsidRDefault="00773AD6" w:rsidP="00020A6C">
            <w:pPr>
              <w:tabs>
                <w:tab w:val="left" w:pos="1845"/>
              </w:tabs>
              <w:jc w:val="both"/>
              <w:rPr>
                <w:sz w:val="22"/>
                <w:szCs w:val="22"/>
              </w:rPr>
            </w:pPr>
            <w:r w:rsidRPr="00773AD6">
              <w:rPr>
                <w:b/>
                <w:bCs/>
                <w:sz w:val="22"/>
                <w:szCs w:val="22"/>
              </w:rPr>
              <w:t>2017/18</w:t>
            </w:r>
          </w:p>
        </w:tc>
        <w:tc>
          <w:tcPr>
            <w:tcW w:w="4853" w:type="dxa"/>
            <w:shd w:val="clear" w:color="auto" w:fill="C0C5D0" w:themeFill="accent2" w:themeFillTint="66"/>
          </w:tcPr>
          <w:p w14:paraId="3917DF8E" w14:textId="77777777" w:rsidR="00773AD6" w:rsidRPr="00773AD6" w:rsidRDefault="00773AD6" w:rsidP="00020A6C">
            <w:pPr>
              <w:jc w:val="both"/>
              <w:rPr>
                <w:sz w:val="22"/>
                <w:szCs w:val="22"/>
              </w:rPr>
            </w:pPr>
            <w:r w:rsidRPr="00773AD6">
              <w:rPr>
                <w:b/>
                <w:bCs/>
                <w:sz w:val="22"/>
                <w:szCs w:val="22"/>
              </w:rPr>
              <w:t>2018/19</w:t>
            </w:r>
          </w:p>
        </w:tc>
        <w:tc>
          <w:tcPr>
            <w:tcW w:w="4854" w:type="dxa"/>
            <w:shd w:val="clear" w:color="auto" w:fill="C0C5D0" w:themeFill="accent2" w:themeFillTint="66"/>
          </w:tcPr>
          <w:p w14:paraId="63E817FC" w14:textId="77777777" w:rsidR="00773AD6" w:rsidRPr="00773AD6" w:rsidRDefault="00773AD6" w:rsidP="00020A6C">
            <w:pPr>
              <w:jc w:val="both"/>
              <w:rPr>
                <w:sz w:val="22"/>
                <w:szCs w:val="22"/>
              </w:rPr>
            </w:pPr>
            <w:r w:rsidRPr="00773AD6">
              <w:rPr>
                <w:b/>
                <w:bCs/>
                <w:sz w:val="22"/>
                <w:szCs w:val="22"/>
              </w:rPr>
              <w:t>2019/20</w:t>
            </w:r>
          </w:p>
        </w:tc>
      </w:tr>
      <w:tr w:rsidR="00773AD6" w14:paraId="52D21730" w14:textId="77777777" w:rsidTr="66A831A9">
        <w:tc>
          <w:tcPr>
            <w:tcW w:w="4853" w:type="dxa"/>
          </w:tcPr>
          <w:p w14:paraId="76A7F59A" w14:textId="45112C72" w:rsidR="00773AD6" w:rsidRDefault="00773AD6" w:rsidP="00773AD6">
            <w:pPr>
              <w:jc w:val="center"/>
              <w:rPr>
                <w:sz w:val="22"/>
                <w:szCs w:val="22"/>
              </w:rPr>
            </w:pPr>
            <w:r>
              <w:rPr>
                <w:noProof/>
              </w:rPr>
              <w:drawing>
                <wp:inline distT="0" distB="0" distL="0" distR="0" wp14:anchorId="3EE2DBBE" wp14:editId="3C294CAA">
                  <wp:extent cx="2705100" cy="1676400"/>
                  <wp:effectExtent l="0" t="0" r="0" b="0"/>
                  <wp:docPr id="17222987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9">
                            <a:extLst>
                              <a:ext uri="{28A0092B-C50C-407E-A947-70E740481C1C}">
                                <a14:useLocalDpi xmlns:a14="http://schemas.microsoft.com/office/drawing/2010/main" val="0"/>
                              </a:ext>
                            </a:extLst>
                          </a:blip>
                          <a:stretch>
                            <a:fillRect/>
                          </a:stretch>
                        </pic:blipFill>
                        <pic:spPr>
                          <a:xfrm>
                            <a:off x="0" y="0"/>
                            <a:ext cx="2705100" cy="1676400"/>
                          </a:xfrm>
                          <a:prstGeom prst="rect">
                            <a:avLst/>
                          </a:prstGeom>
                        </pic:spPr>
                      </pic:pic>
                    </a:graphicData>
                  </a:graphic>
                </wp:inline>
              </w:drawing>
            </w:r>
          </w:p>
        </w:tc>
        <w:tc>
          <w:tcPr>
            <w:tcW w:w="4853" w:type="dxa"/>
          </w:tcPr>
          <w:p w14:paraId="24861812" w14:textId="13D734C4" w:rsidR="00773AD6" w:rsidRDefault="00773AD6" w:rsidP="00773AD6">
            <w:pPr>
              <w:jc w:val="center"/>
              <w:rPr>
                <w:sz w:val="22"/>
                <w:szCs w:val="22"/>
              </w:rPr>
            </w:pPr>
            <w:r>
              <w:rPr>
                <w:noProof/>
              </w:rPr>
              <w:drawing>
                <wp:inline distT="0" distB="0" distL="0" distR="0" wp14:anchorId="420FF51B" wp14:editId="03B9ED68">
                  <wp:extent cx="2733675" cy="1657350"/>
                  <wp:effectExtent l="0" t="0" r="9525" b="0"/>
                  <wp:docPr id="1915099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0">
                            <a:extLst>
                              <a:ext uri="{28A0092B-C50C-407E-A947-70E740481C1C}">
                                <a14:useLocalDpi xmlns:a14="http://schemas.microsoft.com/office/drawing/2010/main" val="0"/>
                              </a:ext>
                            </a:extLst>
                          </a:blip>
                          <a:stretch>
                            <a:fillRect/>
                          </a:stretch>
                        </pic:blipFill>
                        <pic:spPr>
                          <a:xfrm>
                            <a:off x="0" y="0"/>
                            <a:ext cx="2733675" cy="1657350"/>
                          </a:xfrm>
                          <a:prstGeom prst="rect">
                            <a:avLst/>
                          </a:prstGeom>
                        </pic:spPr>
                      </pic:pic>
                    </a:graphicData>
                  </a:graphic>
                </wp:inline>
              </w:drawing>
            </w:r>
          </w:p>
        </w:tc>
        <w:tc>
          <w:tcPr>
            <w:tcW w:w="4854" w:type="dxa"/>
          </w:tcPr>
          <w:p w14:paraId="47563F95" w14:textId="08578B20" w:rsidR="00773AD6" w:rsidRDefault="00773AD6" w:rsidP="00773AD6">
            <w:pPr>
              <w:jc w:val="center"/>
              <w:rPr>
                <w:sz w:val="22"/>
                <w:szCs w:val="22"/>
              </w:rPr>
            </w:pPr>
            <w:r>
              <w:rPr>
                <w:noProof/>
              </w:rPr>
              <w:drawing>
                <wp:inline distT="0" distB="0" distL="0" distR="0" wp14:anchorId="2181116F" wp14:editId="68EB0F9C">
                  <wp:extent cx="2743200" cy="1638300"/>
                  <wp:effectExtent l="0" t="0" r="0" b="0"/>
                  <wp:docPr id="1191737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1">
                            <a:extLst>
                              <a:ext uri="{28A0092B-C50C-407E-A947-70E740481C1C}">
                                <a14:useLocalDpi xmlns:a14="http://schemas.microsoft.com/office/drawing/2010/main" val="0"/>
                              </a:ext>
                            </a:extLst>
                          </a:blip>
                          <a:stretch>
                            <a:fillRect/>
                          </a:stretch>
                        </pic:blipFill>
                        <pic:spPr>
                          <a:xfrm>
                            <a:off x="0" y="0"/>
                            <a:ext cx="2743200" cy="1638300"/>
                          </a:xfrm>
                          <a:prstGeom prst="rect">
                            <a:avLst/>
                          </a:prstGeom>
                        </pic:spPr>
                      </pic:pic>
                    </a:graphicData>
                  </a:graphic>
                </wp:inline>
              </w:drawing>
            </w:r>
          </w:p>
        </w:tc>
      </w:tr>
    </w:tbl>
    <w:p w14:paraId="60D06108" w14:textId="77777777" w:rsidR="00773AD6" w:rsidRDefault="00773AD6" w:rsidP="00773AD6">
      <w:pPr>
        <w:jc w:val="both"/>
        <w:rPr>
          <w:b/>
          <w:bCs/>
          <w:sz w:val="22"/>
          <w:szCs w:val="22"/>
        </w:rPr>
      </w:pPr>
    </w:p>
    <w:p w14:paraId="716813B6" w14:textId="0D373449" w:rsidR="00773AD6" w:rsidRPr="00214F92" w:rsidRDefault="00ED3D34" w:rsidP="00773AD6">
      <w:pPr>
        <w:jc w:val="both"/>
        <w:rPr>
          <w:b/>
          <w:bCs/>
          <w:sz w:val="22"/>
          <w:szCs w:val="22"/>
        </w:rPr>
      </w:pPr>
      <w:r>
        <w:rPr>
          <w:b/>
          <w:bCs/>
          <w:sz w:val="22"/>
          <w:szCs w:val="22"/>
        </w:rPr>
        <w:t xml:space="preserve">7.2 </w:t>
      </w:r>
      <w:r w:rsidR="00773AD6">
        <w:rPr>
          <w:b/>
          <w:bCs/>
          <w:sz w:val="22"/>
          <w:szCs w:val="22"/>
        </w:rPr>
        <w:t xml:space="preserve">Free Prescriptions - </w:t>
      </w:r>
      <w:r w:rsidR="00773AD6" w:rsidRPr="00773AD6">
        <w:rPr>
          <w:sz w:val="22"/>
          <w:szCs w:val="22"/>
        </w:rPr>
        <w:t xml:space="preserve">Breakdown of number of </w:t>
      </w:r>
      <w:r w:rsidR="00773AD6">
        <w:rPr>
          <w:sz w:val="22"/>
          <w:szCs w:val="22"/>
        </w:rPr>
        <w:t xml:space="preserve">Service Users receiving free prescriptions </w:t>
      </w:r>
      <w:r w:rsidR="00773AD6" w:rsidRPr="00773AD6">
        <w:rPr>
          <w:sz w:val="22"/>
          <w:szCs w:val="22"/>
        </w:rPr>
        <w:t>setting a quit date and successfully quitting at four weeks during 2017/18 to 2019/20 as reported to NHS Digital by the Council:</w:t>
      </w:r>
    </w:p>
    <w:p w14:paraId="395EA46E" w14:textId="32BD3065" w:rsidR="00773AD6" w:rsidRDefault="00773AD6" w:rsidP="00773AD6">
      <w:pPr>
        <w:jc w:val="both"/>
        <w:rPr>
          <w:b/>
          <w:bCs/>
          <w:sz w:val="22"/>
          <w:szCs w:val="22"/>
        </w:rPr>
      </w:pPr>
    </w:p>
    <w:tbl>
      <w:tblPr>
        <w:tblStyle w:val="TableGrid"/>
        <w:tblW w:w="0" w:type="auto"/>
        <w:tblLook w:val="04A0" w:firstRow="1" w:lastRow="0" w:firstColumn="1" w:lastColumn="0" w:noHBand="0" w:noVBand="1"/>
      </w:tblPr>
      <w:tblGrid>
        <w:gridCol w:w="4843"/>
        <w:gridCol w:w="4784"/>
        <w:gridCol w:w="4933"/>
      </w:tblGrid>
      <w:tr w:rsidR="00BF01B1" w14:paraId="25D5310E" w14:textId="77777777" w:rsidTr="66A831A9">
        <w:tc>
          <w:tcPr>
            <w:tcW w:w="4853" w:type="dxa"/>
            <w:shd w:val="clear" w:color="auto" w:fill="C0C5D0" w:themeFill="accent2" w:themeFillTint="66"/>
          </w:tcPr>
          <w:p w14:paraId="0C9DB9DE" w14:textId="77777777" w:rsidR="00773AD6" w:rsidRPr="00773AD6" w:rsidRDefault="00773AD6" w:rsidP="00020A6C">
            <w:pPr>
              <w:tabs>
                <w:tab w:val="left" w:pos="1845"/>
              </w:tabs>
              <w:jc w:val="both"/>
              <w:rPr>
                <w:sz w:val="22"/>
                <w:szCs w:val="22"/>
              </w:rPr>
            </w:pPr>
            <w:r w:rsidRPr="00773AD6">
              <w:rPr>
                <w:b/>
                <w:bCs/>
                <w:sz w:val="22"/>
                <w:szCs w:val="22"/>
              </w:rPr>
              <w:t>2017/18</w:t>
            </w:r>
          </w:p>
        </w:tc>
        <w:tc>
          <w:tcPr>
            <w:tcW w:w="4853" w:type="dxa"/>
            <w:shd w:val="clear" w:color="auto" w:fill="C0C5D0" w:themeFill="accent2" w:themeFillTint="66"/>
          </w:tcPr>
          <w:p w14:paraId="19F03D89" w14:textId="77777777" w:rsidR="00773AD6" w:rsidRPr="00773AD6" w:rsidRDefault="00773AD6" w:rsidP="00020A6C">
            <w:pPr>
              <w:jc w:val="both"/>
              <w:rPr>
                <w:sz w:val="22"/>
                <w:szCs w:val="22"/>
              </w:rPr>
            </w:pPr>
            <w:r w:rsidRPr="00773AD6">
              <w:rPr>
                <w:b/>
                <w:bCs/>
                <w:sz w:val="22"/>
                <w:szCs w:val="22"/>
              </w:rPr>
              <w:t>2018/19</w:t>
            </w:r>
          </w:p>
        </w:tc>
        <w:tc>
          <w:tcPr>
            <w:tcW w:w="4854" w:type="dxa"/>
            <w:shd w:val="clear" w:color="auto" w:fill="C0C5D0" w:themeFill="accent2" w:themeFillTint="66"/>
          </w:tcPr>
          <w:p w14:paraId="307579FA" w14:textId="77777777" w:rsidR="00773AD6" w:rsidRPr="00773AD6" w:rsidRDefault="00773AD6" w:rsidP="00020A6C">
            <w:pPr>
              <w:jc w:val="both"/>
              <w:rPr>
                <w:sz w:val="22"/>
                <w:szCs w:val="22"/>
              </w:rPr>
            </w:pPr>
            <w:r w:rsidRPr="00773AD6">
              <w:rPr>
                <w:b/>
                <w:bCs/>
                <w:sz w:val="22"/>
                <w:szCs w:val="22"/>
              </w:rPr>
              <w:t>2019/20</w:t>
            </w:r>
          </w:p>
        </w:tc>
      </w:tr>
      <w:tr w:rsidR="00BF01B1" w14:paraId="155791F1" w14:textId="77777777" w:rsidTr="66A831A9">
        <w:tc>
          <w:tcPr>
            <w:tcW w:w="4853" w:type="dxa"/>
          </w:tcPr>
          <w:p w14:paraId="7EC7B9A1" w14:textId="761E931E" w:rsidR="00773AD6" w:rsidRDefault="00BF01B1" w:rsidP="00BF01B1">
            <w:pPr>
              <w:jc w:val="center"/>
              <w:rPr>
                <w:sz w:val="22"/>
                <w:szCs w:val="22"/>
              </w:rPr>
            </w:pPr>
            <w:r>
              <w:rPr>
                <w:noProof/>
              </w:rPr>
              <w:drawing>
                <wp:inline distT="0" distB="0" distL="0" distR="0" wp14:anchorId="0DFEEA3A" wp14:editId="6CE6A31A">
                  <wp:extent cx="2943225" cy="847725"/>
                  <wp:effectExtent l="0" t="0" r="9525" b="9525"/>
                  <wp:docPr id="7555263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2">
                            <a:extLst>
                              <a:ext uri="{28A0092B-C50C-407E-A947-70E740481C1C}">
                                <a14:useLocalDpi xmlns:a14="http://schemas.microsoft.com/office/drawing/2010/main" val="0"/>
                              </a:ext>
                            </a:extLst>
                          </a:blip>
                          <a:stretch>
                            <a:fillRect/>
                          </a:stretch>
                        </pic:blipFill>
                        <pic:spPr>
                          <a:xfrm>
                            <a:off x="0" y="0"/>
                            <a:ext cx="2943225" cy="847725"/>
                          </a:xfrm>
                          <a:prstGeom prst="rect">
                            <a:avLst/>
                          </a:prstGeom>
                        </pic:spPr>
                      </pic:pic>
                    </a:graphicData>
                  </a:graphic>
                </wp:inline>
              </w:drawing>
            </w:r>
          </w:p>
        </w:tc>
        <w:tc>
          <w:tcPr>
            <w:tcW w:w="4853" w:type="dxa"/>
          </w:tcPr>
          <w:p w14:paraId="4F2943A2" w14:textId="1E194D93" w:rsidR="00773AD6" w:rsidRDefault="00BF01B1" w:rsidP="00BF01B1">
            <w:pPr>
              <w:jc w:val="center"/>
              <w:rPr>
                <w:sz w:val="22"/>
                <w:szCs w:val="22"/>
              </w:rPr>
            </w:pPr>
            <w:r>
              <w:rPr>
                <w:noProof/>
              </w:rPr>
              <w:drawing>
                <wp:inline distT="0" distB="0" distL="0" distR="0" wp14:anchorId="4BC1CD0E" wp14:editId="375758FF">
                  <wp:extent cx="2905125" cy="838200"/>
                  <wp:effectExtent l="0" t="0" r="9525" b="0"/>
                  <wp:docPr id="4259599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3">
                            <a:extLst>
                              <a:ext uri="{28A0092B-C50C-407E-A947-70E740481C1C}">
                                <a14:useLocalDpi xmlns:a14="http://schemas.microsoft.com/office/drawing/2010/main" val="0"/>
                              </a:ext>
                            </a:extLst>
                          </a:blip>
                          <a:stretch>
                            <a:fillRect/>
                          </a:stretch>
                        </pic:blipFill>
                        <pic:spPr>
                          <a:xfrm>
                            <a:off x="0" y="0"/>
                            <a:ext cx="2905125" cy="838200"/>
                          </a:xfrm>
                          <a:prstGeom prst="rect">
                            <a:avLst/>
                          </a:prstGeom>
                        </pic:spPr>
                      </pic:pic>
                    </a:graphicData>
                  </a:graphic>
                </wp:inline>
              </w:drawing>
            </w:r>
          </w:p>
        </w:tc>
        <w:tc>
          <w:tcPr>
            <w:tcW w:w="4854" w:type="dxa"/>
          </w:tcPr>
          <w:p w14:paraId="7D147849" w14:textId="0A6C6FCC" w:rsidR="00773AD6" w:rsidRDefault="00BF01B1" w:rsidP="00BF01B1">
            <w:pPr>
              <w:jc w:val="center"/>
              <w:rPr>
                <w:sz w:val="22"/>
                <w:szCs w:val="22"/>
              </w:rPr>
            </w:pPr>
            <w:r>
              <w:rPr>
                <w:noProof/>
              </w:rPr>
              <w:drawing>
                <wp:inline distT="0" distB="0" distL="0" distR="0" wp14:anchorId="7D0998E2" wp14:editId="70FD32D1">
                  <wp:extent cx="3000375" cy="838200"/>
                  <wp:effectExtent l="0" t="0" r="9525" b="0"/>
                  <wp:docPr id="14801319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4">
                            <a:extLst>
                              <a:ext uri="{28A0092B-C50C-407E-A947-70E740481C1C}">
                                <a14:useLocalDpi xmlns:a14="http://schemas.microsoft.com/office/drawing/2010/main" val="0"/>
                              </a:ext>
                            </a:extLst>
                          </a:blip>
                          <a:stretch>
                            <a:fillRect/>
                          </a:stretch>
                        </pic:blipFill>
                        <pic:spPr>
                          <a:xfrm>
                            <a:off x="0" y="0"/>
                            <a:ext cx="3000375" cy="838200"/>
                          </a:xfrm>
                          <a:prstGeom prst="rect">
                            <a:avLst/>
                          </a:prstGeom>
                        </pic:spPr>
                      </pic:pic>
                    </a:graphicData>
                  </a:graphic>
                </wp:inline>
              </w:drawing>
            </w:r>
          </w:p>
        </w:tc>
      </w:tr>
    </w:tbl>
    <w:p w14:paraId="1159AF99" w14:textId="0EDBEFEB" w:rsidR="00773AD6" w:rsidRDefault="00773AD6" w:rsidP="00773AD6">
      <w:pPr>
        <w:jc w:val="both"/>
        <w:rPr>
          <w:b/>
          <w:bCs/>
          <w:sz w:val="22"/>
          <w:szCs w:val="22"/>
        </w:rPr>
      </w:pPr>
    </w:p>
    <w:p w14:paraId="26940F3F" w14:textId="28285C3E" w:rsidR="00BF01B1" w:rsidRDefault="00BF01B1" w:rsidP="00773AD6">
      <w:pPr>
        <w:jc w:val="both"/>
        <w:rPr>
          <w:b/>
          <w:bCs/>
          <w:sz w:val="22"/>
          <w:szCs w:val="22"/>
        </w:rPr>
      </w:pPr>
    </w:p>
    <w:p w14:paraId="0AA4A4DA" w14:textId="1EF65BF9" w:rsidR="00BF01B1" w:rsidRDefault="00072D01" w:rsidP="00773AD6">
      <w:pPr>
        <w:jc w:val="both"/>
        <w:rPr>
          <w:b/>
          <w:bCs/>
          <w:sz w:val="22"/>
          <w:szCs w:val="22"/>
        </w:rPr>
      </w:pPr>
      <w:r>
        <w:rPr>
          <w:noProof/>
        </w:rPr>
        <w:drawing>
          <wp:anchor distT="0" distB="0" distL="114300" distR="114300" simplePos="0" relativeHeight="251661312" behindDoc="1" locked="0" layoutInCell="1" allowOverlap="1" wp14:anchorId="6D774020" wp14:editId="122F7AB9">
            <wp:simplePos x="0" y="0"/>
            <wp:positionH relativeFrom="column">
              <wp:posOffset>1931670</wp:posOffset>
            </wp:positionH>
            <wp:positionV relativeFrom="paragraph">
              <wp:posOffset>128905</wp:posOffset>
            </wp:positionV>
            <wp:extent cx="3962400" cy="818580"/>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62400" cy="818580"/>
                    </a:xfrm>
                    <a:prstGeom prst="rect">
                      <a:avLst/>
                    </a:prstGeom>
                  </pic:spPr>
                </pic:pic>
              </a:graphicData>
            </a:graphic>
            <wp14:sizeRelH relativeFrom="page">
              <wp14:pctWidth>0</wp14:pctWidth>
            </wp14:sizeRelH>
            <wp14:sizeRelV relativeFrom="page">
              <wp14:pctHeight>0</wp14:pctHeight>
            </wp14:sizeRelV>
          </wp:anchor>
        </w:drawing>
      </w:r>
    </w:p>
    <w:p w14:paraId="79C38F9A" w14:textId="5E690D4A" w:rsidR="00BF01B1" w:rsidRDefault="00BF01B1" w:rsidP="00773AD6">
      <w:pPr>
        <w:jc w:val="both"/>
        <w:rPr>
          <w:b/>
          <w:bCs/>
          <w:sz w:val="22"/>
          <w:szCs w:val="22"/>
        </w:rPr>
      </w:pPr>
    </w:p>
    <w:p w14:paraId="7F2FC3F1" w14:textId="667D029D" w:rsidR="00BF01B1" w:rsidRDefault="00BF01B1" w:rsidP="00773AD6">
      <w:pPr>
        <w:jc w:val="both"/>
        <w:rPr>
          <w:b/>
          <w:bCs/>
          <w:sz w:val="22"/>
          <w:szCs w:val="22"/>
        </w:rPr>
      </w:pPr>
    </w:p>
    <w:p w14:paraId="64DA29DC" w14:textId="2084BB2F" w:rsidR="00BF01B1" w:rsidRDefault="00BF01B1" w:rsidP="00773AD6">
      <w:pPr>
        <w:jc w:val="both"/>
        <w:rPr>
          <w:b/>
          <w:bCs/>
          <w:sz w:val="22"/>
          <w:szCs w:val="22"/>
        </w:rPr>
      </w:pPr>
    </w:p>
    <w:p w14:paraId="1F0DC0E2" w14:textId="71C6E0E5" w:rsidR="00BF01B1" w:rsidRDefault="00BF01B1" w:rsidP="00773AD6">
      <w:pPr>
        <w:jc w:val="both"/>
        <w:rPr>
          <w:b/>
          <w:bCs/>
          <w:sz w:val="22"/>
          <w:szCs w:val="22"/>
        </w:rPr>
      </w:pPr>
    </w:p>
    <w:p w14:paraId="75AE96A4" w14:textId="45D60FAF" w:rsidR="002C1EFB" w:rsidRDefault="002C1EFB" w:rsidP="00773AD6">
      <w:pPr>
        <w:jc w:val="both"/>
        <w:rPr>
          <w:b/>
          <w:bCs/>
          <w:sz w:val="22"/>
          <w:szCs w:val="22"/>
        </w:rPr>
      </w:pPr>
    </w:p>
    <w:p w14:paraId="40247B06" w14:textId="529075D6" w:rsidR="002C1EFB" w:rsidRDefault="002C1EFB" w:rsidP="00773AD6">
      <w:pPr>
        <w:jc w:val="both"/>
        <w:rPr>
          <w:b/>
          <w:bCs/>
          <w:sz w:val="22"/>
          <w:szCs w:val="22"/>
        </w:rPr>
      </w:pPr>
    </w:p>
    <w:p w14:paraId="0B0578B9" w14:textId="6BF50CD9" w:rsidR="002C1EFB" w:rsidRDefault="002C1EFB" w:rsidP="00773AD6">
      <w:pPr>
        <w:jc w:val="both"/>
        <w:rPr>
          <w:b/>
          <w:bCs/>
          <w:sz w:val="22"/>
          <w:szCs w:val="22"/>
        </w:rPr>
      </w:pPr>
    </w:p>
    <w:p w14:paraId="32FAD127" w14:textId="77777777" w:rsidR="002C1EFB" w:rsidRDefault="002C1EFB" w:rsidP="00773AD6">
      <w:pPr>
        <w:jc w:val="both"/>
        <w:rPr>
          <w:b/>
          <w:bCs/>
          <w:sz w:val="22"/>
          <w:szCs w:val="22"/>
        </w:rPr>
      </w:pPr>
    </w:p>
    <w:p w14:paraId="162739DD" w14:textId="0FAA80A6" w:rsidR="00773AD6" w:rsidRPr="00214F92" w:rsidRDefault="00ED3D34" w:rsidP="00773AD6">
      <w:pPr>
        <w:jc w:val="both"/>
        <w:rPr>
          <w:b/>
          <w:bCs/>
          <w:sz w:val="22"/>
          <w:szCs w:val="22"/>
        </w:rPr>
      </w:pPr>
      <w:r>
        <w:rPr>
          <w:b/>
          <w:bCs/>
          <w:sz w:val="22"/>
          <w:szCs w:val="22"/>
        </w:rPr>
        <w:lastRenderedPageBreak/>
        <w:t xml:space="preserve">7.3 </w:t>
      </w:r>
      <w:r w:rsidR="00773AD6">
        <w:rPr>
          <w:b/>
          <w:bCs/>
          <w:sz w:val="22"/>
          <w:szCs w:val="22"/>
        </w:rPr>
        <w:t xml:space="preserve">Intervention Type - </w:t>
      </w:r>
      <w:r w:rsidR="00773AD6" w:rsidRPr="00773AD6">
        <w:rPr>
          <w:sz w:val="22"/>
          <w:szCs w:val="22"/>
        </w:rPr>
        <w:t xml:space="preserve">Breakdown of number of Service Users setting a quit date and successfully quitting at four weeks by </w:t>
      </w:r>
      <w:r w:rsidR="00773AD6">
        <w:rPr>
          <w:sz w:val="22"/>
          <w:szCs w:val="22"/>
        </w:rPr>
        <w:t>Intervention Type</w:t>
      </w:r>
      <w:r w:rsidR="00773AD6" w:rsidRPr="00773AD6">
        <w:rPr>
          <w:sz w:val="22"/>
          <w:szCs w:val="22"/>
        </w:rPr>
        <w:t xml:space="preserve"> during 2017/18 to 2019/20 as reported to NHS Digital by the Council:</w:t>
      </w:r>
      <w:r w:rsidR="00072D01" w:rsidRPr="00072D01">
        <w:rPr>
          <w:noProof/>
        </w:rPr>
        <w:t xml:space="preserve"> </w:t>
      </w:r>
      <w:r w:rsidR="00072D01">
        <w:rPr>
          <w:noProof/>
        </w:rPr>
        <w:drawing>
          <wp:anchor distT="0" distB="0" distL="114300" distR="114300" simplePos="0" relativeHeight="251662336" behindDoc="1" locked="0" layoutInCell="1" allowOverlap="1" wp14:anchorId="5D2124ED" wp14:editId="436A6B37">
            <wp:simplePos x="0" y="0"/>
            <wp:positionH relativeFrom="column">
              <wp:posOffset>3810</wp:posOffset>
            </wp:positionH>
            <wp:positionV relativeFrom="paragraph">
              <wp:posOffset>322580</wp:posOffset>
            </wp:positionV>
            <wp:extent cx="6362700" cy="13144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62700" cy="1314450"/>
                    </a:xfrm>
                    <a:prstGeom prst="rect">
                      <a:avLst/>
                    </a:prstGeom>
                  </pic:spPr>
                </pic:pic>
              </a:graphicData>
            </a:graphic>
            <wp14:sizeRelH relativeFrom="page">
              <wp14:pctWidth>0</wp14:pctWidth>
            </wp14:sizeRelH>
            <wp14:sizeRelV relativeFrom="page">
              <wp14:pctHeight>0</wp14:pctHeight>
            </wp14:sizeRelV>
          </wp:anchor>
        </w:drawing>
      </w:r>
    </w:p>
    <w:p w14:paraId="55772538" w14:textId="02A3C7D6" w:rsidR="00773AD6" w:rsidRDefault="00773AD6" w:rsidP="008400BE">
      <w:pPr>
        <w:jc w:val="both"/>
        <w:rPr>
          <w:b/>
          <w:bCs/>
          <w:sz w:val="22"/>
          <w:szCs w:val="22"/>
        </w:rPr>
      </w:pPr>
    </w:p>
    <w:tbl>
      <w:tblPr>
        <w:tblStyle w:val="TableGrid"/>
        <w:tblW w:w="15052" w:type="dxa"/>
        <w:tblLook w:val="04A0" w:firstRow="1" w:lastRow="0" w:firstColumn="1" w:lastColumn="0" w:noHBand="0" w:noVBand="1"/>
      </w:tblPr>
      <w:tblGrid>
        <w:gridCol w:w="5176"/>
        <w:gridCol w:w="4867"/>
        <w:gridCol w:w="5009"/>
      </w:tblGrid>
      <w:tr w:rsidR="00BF01B1" w14:paraId="201C1254" w14:textId="77777777" w:rsidTr="66A831A9">
        <w:trPr>
          <w:trHeight w:val="279"/>
        </w:trPr>
        <w:tc>
          <w:tcPr>
            <w:tcW w:w="5176" w:type="dxa"/>
            <w:shd w:val="clear" w:color="auto" w:fill="C0C5D0" w:themeFill="accent2" w:themeFillTint="66"/>
          </w:tcPr>
          <w:p w14:paraId="1EEC6A0A" w14:textId="77777777" w:rsidR="00773AD6" w:rsidRPr="00773AD6" w:rsidRDefault="00773AD6" w:rsidP="00020A6C">
            <w:pPr>
              <w:tabs>
                <w:tab w:val="left" w:pos="1845"/>
              </w:tabs>
              <w:jc w:val="both"/>
              <w:rPr>
                <w:sz w:val="22"/>
                <w:szCs w:val="22"/>
              </w:rPr>
            </w:pPr>
            <w:r w:rsidRPr="00773AD6">
              <w:rPr>
                <w:b/>
                <w:bCs/>
                <w:sz w:val="22"/>
                <w:szCs w:val="22"/>
              </w:rPr>
              <w:t>2017/18</w:t>
            </w:r>
          </w:p>
        </w:tc>
        <w:tc>
          <w:tcPr>
            <w:tcW w:w="4867" w:type="dxa"/>
            <w:shd w:val="clear" w:color="auto" w:fill="C0C5D0" w:themeFill="accent2" w:themeFillTint="66"/>
          </w:tcPr>
          <w:p w14:paraId="6EACB794" w14:textId="77777777" w:rsidR="00773AD6" w:rsidRPr="00773AD6" w:rsidRDefault="00773AD6" w:rsidP="00020A6C">
            <w:pPr>
              <w:jc w:val="both"/>
              <w:rPr>
                <w:sz w:val="22"/>
                <w:szCs w:val="22"/>
              </w:rPr>
            </w:pPr>
            <w:r w:rsidRPr="00773AD6">
              <w:rPr>
                <w:b/>
                <w:bCs/>
                <w:sz w:val="22"/>
                <w:szCs w:val="22"/>
              </w:rPr>
              <w:t>2018/19</w:t>
            </w:r>
          </w:p>
        </w:tc>
        <w:tc>
          <w:tcPr>
            <w:tcW w:w="5009" w:type="dxa"/>
            <w:shd w:val="clear" w:color="auto" w:fill="C0C5D0" w:themeFill="accent2" w:themeFillTint="66"/>
          </w:tcPr>
          <w:p w14:paraId="730BA093" w14:textId="77777777" w:rsidR="00773AD6" w:rsidRPr="00773AD6" w:rsidRDefault="00773AD6" w:rsidP="00020A6C">
            <w:pPr>
              <w:jc w:val="both"/>
              <w:rPr>
                <w:sz w:val="22"/>
                <w:szCs w:val="22"/>
              </w:rPr>
            </w:pPr>
            <w:r w:rsidRPr="00773AD6">
              <w:rPr>
                <w:b/>
                <w:bCs/>
                <w:sz w:val="22"/>
                <w:szCs w:val="22"/>
              </w:rPr>
              <w:t>2019/20</w:t>
            </w:r>
          </w:p>
        </w:tc>
      </w:tr>
      <w:tr w:rsidR="00BF01B1" w14:paraId="1D032465" w14:textId="77777777" w:rsidTr="66A831A9">
        <w:trPr>
          <w:trHeight w:val="8023"/>
        </w:trPr>
        <w:tc>
          <w:tcPr>
            <w:tcW w:w="5176" w:type="dxa"/>
          </w:tcPr>
          <w:p w14:paraId="6FF7DBC8" w14:textId="1223DD62" w:rsidR="00773AD6" w:rsidRDefault="00BF01B1" w:rsidP="00020A6C">
            <w:pPr>
              <w:jc w:val="both"/>
              <w:rPr>
                <w:sz w:val="22"/>
                <w:szCs w:val="22"/>
              </w:rPr>
            </w:pPr>
            <w:r>
              <w:rPr>
                <w:noProof/>
              </w:rPr>
              <w:drawing>
                <wp:inline distT="0" distB="0" distL="0" distR="0" wp14:anchorId="10E6E628" wp14:editId="222E341C">
                  <wp:extent cx="3133725" cy="4905376"/>
                  <wp:effectExtent l="0" t="0" r="9525" b="9525"/>
                  <wp:docPr id="2248307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5">
                            <a:extLst>
                              <a:ext uri="{28A0092B-C50C-407E-A947-70E740481C1C}">
                                <a14:useLocalDpi xmlns:a14="http://schemas.microsoft.com/office/drawing/2010/main" val="0"/>
                              </a:ext>
                            </a:extLst>
                          </a:blip>
                          <a:stretch>
                            <a:fillRect/>
                          </a:stretch>
                        </pic:blipFill>
                        <pic:spPr>
                          <a:xfrm>
                            <a:off x="0" y="0"/>
                            <a:ext cx="3133725" cy="4905376"/>
                          </a:xfrm>
                          <a:prstGeom prst="rect">
                            <a:avLst/>
                          </a:prstGeom>
                        </pic:spPr>
                      </pic:pic>
                    </a:graphicData>
                  </a:graphic>
                </wp:inline>
              </w:drawing>
            </w:r>
          </w:p>
        </w:tc>
        <w:tc>
          <w:tcPr>
            <w:tcW w:w="4867" w:type="dxa"/>
          </w:tcPr>
          <w:p w14:paraId="12B77B80" w14:textId="1B162265" w:rsidR="00773AD6" w:rsidRDefault="00072D01" w:rsidP="00BF01B1">
            <w:pPr>
              <w:jc w:val="center"/>
              <w:rPr>
                <w:sz w:val="22"/>
                <w:szCs w:val="22"/>
              </w:rPr>
            </w:pPr>
            <w:r>
              <w:rPr>
                <w:noProof/>
              </w:rPr>
              <w:drawing>
                <wp:anchor distT="0" distB="0" distL="114300" distR="114300" simplePos="0" relativeHeight="251665408" behindDoc="1" locked="0" layoutInCell="1" allowOverlap="1" wp14:anchorId="3DB23933" wp14:editId="60F029F1">
                  <wp:simplePos x="0" y="0"/>
                  <wp:positionH relativeFrom="margin">
                    <wp:posOffset>-77470</wp:posOffset>
                  </wp:positionH>
                  <wp:positionV relativeFrom="paragraph">
                    <wp:posOffset>5092700</wp:posOffset>
                  </wp:positionV>
                  <wp:extent cx="2674620" cy="55248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74620" cy="552482"/>
                          </a:xfrm>
                          <a:prstGeom prst="rect">
                            <a:avLst/>
                          </a:prstGeom>
                        </pic:spPr>
                      </pic:pic>
                    </a:graphicData>
                  </a:graphic>
                  <wp14:sizeRelH relativeFrom="margin">
                    <wp14:pctWidth>0</wp14:pctWidth>
                  </wp14:sizeRelH>
                  <wp14:sizeRelV relativeFrom="margin">
                    <wp14:pctHeight>0</wp14:pctHeight>
                  </wp14:sizeRelV>
                </wp:anchor>
              </w:drawing>
            </w:r>
            <w:r w:rsidR="00BF01B1">
              <w:rPr>
                <w:noProof/>
              </w:rPr>
              <w:drawing>
                <wp:inline distT="0" distB="0" distL="0" distR="0" wp14:anchorId="6ACE3A32" wp14:editId="79FF5B4C">
                  <wp:extent cx="2927250" cy="4895848"/>
                  <wp:effectExtent l="0" t="0" r="6985" b="0"/>
                  <wp:docPr id="6672973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7">
                            <a:extLst>
                              <a:ext uri="{28A0092B-C50C-407E-A947-70E740481C1C}">
                                <a14:useLocalDpi xmlns:a14="http://schemas.microsoft.com/office/drawing/2010/main" val="0"/>
                              </a:ext>
                            </a:extLst>
                          </a:blip>
                          <a:stretch>
                            <a:fillRect/>
                          </a:stretch>
                        </pic:blipFill>
                        <pic:spPr>
                          <a:xfrm>
                            <a:off x="0" y="0"/>
                            <a:ext cx="2927250" cy="4895848"/>
                          </a:xfrm>
                          <a:prstGeom prst="rect">
                            <a:avLst/>
                          </a:prstGeom>
                        </pic:spPr>
                      </pic:pic>
                    </a:graphicData>
                  </a:graphic>
                </wp:inline>
              </w:drawing>
            </w:r>
          </w:p>
        </w:tc>
        <w:tc>
          <w:tcPr>
            <w:tcW w:w="5009" w:type="dxa"/>
          </w:tcPr>
          <w:p w14:paraId="24098A16" w14:textId="02762CDF" w:rsidR="00773AD6" w:rsidRDefault="00BF01B1" w:rsidP="00BF01B1">
            <w:pPr>
              <w:jc w:val="center"/>
              <w:rPr>
                <w:sz w:val="22"/>
                <w:szCs w:val="22"/>
              </w:rPr>
            </w:pPr>
            <w:r>
              <w:rPr>
                <w:noProof/>
              </w:rPr>
              <w:drawing>
                <wp:inline distT="0" distB="0" distL="0" distR="0" wp14:anchorId="0AA41971" wp14:editId="59B13D53">
                  <wp:extent cx="2920365" cy="4895848"/>
                  <wp:effectExtent l="0" t="0" r="0" b="0"/>
                  <wp:docPr id="6014007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8">
                            <a:extLst>
                              <a:ext uri="{28A0092B-C50C-407E-A947-70E740481C1C}">
                                <a14:useLocalDpi xmlns:a14="http://schemas.microsoft.com/office/drawing/2010/main" val="0"/>
                              </a:ext>
                            </a:extLst>
                          </a:blip>
                          <a:stretch>
                            <a:fillRect/>
                          </a:stretch>
                        </pic:blipFill>
                        <pic:spPr>
                          <a:xfrm>
                            <a:off x="0" y="0"/>
                            <a:ext cx="2920365" cy="4895848"/>
                          </a:xfrm>
                          <a:prstGeom prst="rect">
                            <a:avLst/>
                          </a:prstGeom>
                        </pic:spPr>
                      </pic:pic>
                    </a:graphicData>
                  </a:graphic>
                </wp:inline>
              </w:drawing>
            </w:r>
          </w:p>
        </w:tc>
      </w:tr>
    </w:tbl>
    <w:p w14:paraId="3EEC1C0E" w14:textId="77777777" w:rsidR="002C1EFB" w:rsidRDefault="002C1EFB" w:rsidP="00773AD6">
      <w:pPr>
        <w:jc w:val="both"/>
        <w:rPr>
          <w:b/>
          <w:bCs/>
          <w:sz w:val="22"/>
          <w:szCs w:val="22"/>
        </w:rPr>
      </w:pPr>
    </w:p>
    <w:p w14:paraId="4EFE0A13" w14:textId="0D0CCB9E" w:rsidR="00773AD6" w:rsidRPr="00214F92" w:rsidRDefault="00ED3D34" w:rsidP="00773AD6">
      <w:pPr>
        <w:jc w:val="both"/>
        <w:rPr>
          <w:b/>
          <w:bCs/>
          <w:sz w:val="22"/>
          <w:szCs w:val="22"/>
        </w:rPr>
      </w:pPr>
      <w:r>
        <w:rPr>
          <w:b/>
          <w:bCs/>
          <w:sz w:val="22"/>
          <w:szCs w:val="22"/>
        </w:rPr>
        <w:lastRenderedPageBreak/>
        <w:t xml:space="preserve">7.4 </w:t>
      </w:r>
      <w:r w:rsidR="00773AD6">
        <w:rPr>
          <w:b/>
          <w:bCs/>
          <w:sz w:val="22"/>
          <w:szCs w:val="22"/>
        </w:rPr>
        <w:t xml:space="preserve">Intervention Setting - </w:t>
      </w:r>
      <w:r w:rsidR="00773AD6" w:rsidRPr="00773AD6">
        <w:rPr>
          <w:sz w:val="22"/>
          <w:szCs w:val="22"/>
        </w:rPr>
        <w:t xml:space="preserve">Breakdown of number of Service Users setting a quit date </w:t>
      </w:r>
      <w:r w:rsidR="00773AD6">
        <w:rPr>
          <w:sz w:val="22"/>
          <w:szCs w:val="22"/>
        </w:rPr>
        <w:t xml:space="preserve">with the Service </w:t>
      </w:r>
      <w:r w:rsidR="00773AD6" w:rsidRPr="00773AD6">
        <w:rPr>
          <w:sz w:val="22"/>
          <w:szCs w:val="22"/>
        </w:rPr>
        <w:t xml:space="preserve">and successfully quitting at four weeks by </w:t>
      </w:r>
      <w:r w:rsidR="00773AD6">
        <w:rPr>
          <w:sz w:val="22"/>
          <w:szCs w:val="22"/>
        </w:rPr>
        <w:t>Intervention Setting</w:t>
      </w:r>
      <w:r w:rsidR="00773AD6" w:rsidRPr="00773AD6">
        <w:rPr>
          <w:sz w:val="22"/>
          <w:szCs w:val="22"/>
        </w:rPr>
        <w:t xml:space="preserve"> during 2017/18 to 2019/20 as reported to NHS Digital by the Council:</w:t>
      </w:r>
    </w:p>
    <w:p w14:paraId="7BCBA822" w14:textId="2BBBD76F" w:rsidR="00773AD6" w:rsidRDefault="00773AD6" w:rsidP="008400BE">
      <w:pPr>
        <w:jc w:val="both"/>
        <w:rPr>
          <w:b/>
          <w:bCs/>
          <w:sz w:val="22"/>
          <w:szCs w:val="22"/>
        </w:rPr>
      </w:pPr>
    </w:p>
    <w:tbl>
      <w:tblPr>
        <w:tblStyle w:val="TableGrid"/>
        <w:tblW w:w="0" w:type="auto"/>
        <w:tblLayout w:type="fixed"/>
        <w:tblLook w:val="04A0" w:firstRow="1" w:lastRow="0" w:firstColumn="1" w:lastColumn="0" w:noHBand="0" w:noVBand="1"/>
      </w:tblPr>
      <w:tblGrid>
        <w:gridCol w:w="4853"/>
        <w:gridCol w:w="4853"/>
        <w:gridCol w:w="4854"/>
      </w:tblGrid>
      <w:tr w:rsidR="00BF01B1" w14:paraId="02A9B807" w14:textId="77777777" w:rsidTr="66A831A9">
        <w:tc>
          <w:tcPr>
            <w:tcW w:w="4853" w:type="dxa"/>
            <w:shd w:val="clear" w:color="auto" w:fill="C0C5D0" w:themeFill="accent2" w:themeFillTint="66"/>
          </w:tcPr>
          <w:p w14:paraId="7F276E85" w14:textId="77777777" w:rsidR="00773AD6" w:rsidRPr="00773AD6" w:rsidRDefault="00773AD6" w:rsidP="00020A6C">
            <w:pPr>
              <w:tabs>
                <w:tab w:val="left" w:pos="1845"/>
              </w:tabs>
              <w:jc w:val="both"/>
              <w:rPr>
                <w:sz w:val="22"/>
                <w:szCs w:val="22"/>
              </w:rPr>
            </w:pPr>
            <w:r w:rsidRPr="00773AD6">
              <w:rPr>
                <w:b/>
                <w:bCs/>
                <w:sz w:val="22"/>
                <w:szCs w:val="22"/>
              </w:rPr>
              <w:t>2017/18</w:t>
            </w:r>
          </w:p>
        </w:tc>
        <w:tc>
          <w:tcPr>
            <w:tcW w:w="4853" w:type="dxa"/>
            <w:shd w:val="clear" w:color="auto" w:fill="C0C5D0" w:themeFill="accent2" w:themeFillTint="66"/>
          </w:tcPr>
          <w:p w14:paraId="26C7DF0D" w14:textId="77777777" w:rsidR="00773AD6" w:rsidRPr="00773AD6" w:rsidRDefault="00773AD6" w:rsidP="00020A6C">
            <w:pPr>
              <w:jc w:val="both"/>
              <w:rPr>
                <w:sz w:val="22"/>
                <w:szCs w:val="22"/>
              </w:rPr>
            </w:pPr>
            <w:r w:rsidRPr="00773AD6">
              <w:rPr>
                <w:b/>
                <w:bCs/>
                <w:sz w:val="22"/>
                <w:szCs w:val="22"/>
              </w:rPr>
              <w:t>2018/19</w:t>
            </w:r>
          </w:p>
        </w:tc>
        <w:tc>
          <w:tcPr>
            <w:tcW w:w="4854" w:type="dxa"/>
            <w:shd w:val="clear" w:color="auto" w:fill="C0C5D0" w:themeFill="accent2" w:themeFillTint="66"/>
          </w:tcPr>
          <w:p w14:paraId="5CC4BD94" w14:textId="77777777" w:rsidR="00773AD6" w:rsidRPr="00773AD6" w:rsidRDefault="00773AD6" w:rsidP="00020A6C">
            <w:pPr>
              <w:jc w:val="both"/>
              <w:rPr>
                <w:sz w:val="22"/>
                <w:szCs w:val="22"/>
              </w:rPr>
            </w:pPr>
            <w:r w:rsidRPr="00773AD6">
              <w:rPr>
                <w:b/>
                <w:bCs/>
                <w:sz w:val="22"/>
                <w:szCs w:val="22"/>
              </w:rPr>
              <w:t>2019/20</w:t>
            </w:r>
          </w:p>
        </w:tc>
      </w:tr>
      <w:tr w:rsidR="00BF01B1" w14:paraId="0F719C12" w14:textId="77777777" w:rsidTr="66A831A9">
        <w:tc>
          <w:tcPr>
            <w:tcW w:w="4853" w:type="dxa"/>
          </w:tcPr>
          <w:p w14:paraId="44058F2D" w14:textId="60492373" w:rsidR="00773AD6" w:rsidRDefault="00BF01B1" w:rsidP="00BF01B1">
            <w:pPr>
              <w:jc w:val="center"/>
              <w:rPr>
                <w:sz w:val="22"/>
                <w:szCs w:val="22"/>
              </w:rPr>
            </w:pPr>
            <w:r>
              <w:rPr>
                <w:noProof/>
              </w:rPr>
              <w:drawing>
                <wp:inline distT="0" distB="0" distL="0" distR="0" wp14:anchorId="70E1E843" wp14:editId="289AFE7C">
                  <wp:extent cx="2981325" cy="3019425"/>
                  <wp:effectExtent l="0" t="0" r="9525" b="9525"/>
                  <wp:docPr id="15499546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9">
                            <a:extLst>
                              <a:ext uri="{28A0092B-C50C-407E-A947-70E740481C1C}">
                                <a14:useLocalDpi xmlns:a14="http://schemas.microsoft.com/office/drawing/2010/main" val="0"/>
                              </a:ext>
                            </a:extLst>
                          </a:blip>
                          <a:stretch>
                            <a:fillRect/>
                          </a:stretch>
                        </pic:blipFill>
                        <pic:spPr>
                          <a:xfrm>
                            <a:off x="0" y="0"/>
                            <a:ext cx="2981325" cy="3019425"/>
                          </a:xfrm>
                          <a:prstGeom prst="rect">
                            <a:avLst/>
                          </a:prstGeom>
                        </pic:spPr>
                      </pic:pic>
                    </a:graphicData>
                  </a:graphic>
                </wp:inline>
              </w:drawing>
            </w:r>
          </w:p>
        </w:tc>
        <w:tc>
          <w:tcPr>
            <w:tcW w:w="4853" w:type="dxa"/>
          </w:tcPr>
          <w:p w14:paraId="245298C1" w14:textId="1DA14D20" w:rsidR="00773AD6" w:rsidRDefault="00BF01B1" w:rsidP="00BF01B1">
            <w:pPr>
              <w:jc w:val="center"/>
              <w:rPr>
                <w:sz w:val="22"/>
                <w:szCs w:val="22"/>
              </w:rPr>
            </w:pPr>
            <w:r>
              <w:rPr>
                <w:noProof/>
              </w:rPr>
              <w:drawing>
                <wp:inline distT="0" distB="0" distL="0" distR="0" wp14:anchorId="5018776D" wp14:editId="2C19372A">
                  <wp:extent cx="2828925" cy="3057525"/>
                  <wp:effectExtent l="0" t="0" r="9525" b="9525"/>
                  <wp:docPr id="7015175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0">
                            <a:extLst>
                              <a:ext uri="{28A0092B-C50C-407E-A947-70E740481C1C}">
                                <a14:useLocalDpi xmlns:a14="http://schemas.microsoft.com/office/drawing/2010/main" val="0"/>
                              </a:ext>
                            </a:extLst>
                          </a:blip>
                          <a:stretch>
                            <a:fillRect/>
                          </a:stretch>
                        </pic:blipFill>
                        <pic:spPr>
                          <a:xfrm>
                            <a:off x="0" y="0"/>
                            <a:ext cx="2828925" cy="3057525"/>
                          </a:xfrm>
                          <a:prstGeom prst="rect">
                            <a:avLst/>
                          </a:prstGeom>
                        </pic:spPr>
                      </pic:pic>
                    </a:graphicData>
                  </a:graphic>
                </wp:inline>
              </w:drawing>
            </w:r>
          </w:p>
        </w:tc>
        <w:tc>
          <w:tcPr>
            <w:tcW w:w="4854" w:type="dxa"/>
          </w:tcPr>
          <w:p w14:paraId="0FBAE1B5" w14:textId="53EF168A" w:rsidR="00773AD6" w:rsidRDefault="00BF01B1" w:rsidP="00BF01B1">
            <w:pPr>
              <w:jc w:val="center"/>
              <w:rPr>
                <w:sz w:val="22"/>
                <w:szCs w:val="22"/>
              </w:rPr>
            </w:pPr>
            <w:r>
              <w:rPr>
                <w:noProof/>
              </w:rPr>
              <w:drawing>
                <wp:inline distT="0" distB="0" distL="0" distR="0" wp14:anchorId="16409A48" wp14:editId="1A5390E3">
                  <wp:extent cx="2790825" cy="3048000"/>
                  <wp:effectExtent l="0" t="0" r="9525" b="0"/>
                  <wp:docPr id="10328203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1">
                            <a:extLst>
                              <a:ext uri="{28A0092B-C50C-407E-A947-70E740481C1C}">
                                <a14:useLocalDpi xmlns:a14="http://schemas.microsoft.com/office/drawing/2010/main" val="0"/>
                              </a:ext>
                            </a:extLst>
                          </a:blip>
                          <a:stretch>
                            <a:fillRect/>
                          </a:stretch>
                        </pic:blipFill>
                        <pic:spPr>
                          <a:xfrm>
                            <a:off x="0" y="0"/>
                            <a:ext cx="2790825" cy="3048000"/>
                          </a:xfrm>
                          <a:prstGeom prst="rect">
                            <a:avLst/>
                          </a:prstGeom>
                        </pic:spPr>
                      </pic:pic>
                    </a:graphicData>
                  </a:graphic>
                </wp:inline>
              </w:drawing>
            </w:r>
          </w:p>
        </w:tc>
      </w:tr>
    </w:tbl>
    <w:p w14:paraId="4ED5BB0A" w14:textId="358CBC42" w:rsidR="00773AD6" w:rsidRDefault="00773AD6" w:rsidP="008400BE">
      <w:pPr>
        <w:jc w:val="both"/>
        <w:rPr>
          <w:b/>
          <w:bCs/>
          <w:sz w:val="22"/>
          <w:szCs w:val="22"/>
        </w:rPr>
      </w:pPr>
    </w:p>
    <w:p w14:paraId="44760922" w14:textId="1EBA0FB0" w:rsidR="00773AD6" w:rsidRDefault="00773AD6" w:rsidP="008400BE">
      <w:pPr>
        <w:jc w:val="both"/>
        <w:rPr>
          <w:b/>
          <w:bCs/>
          <w:sz w:val="22"/>
          <w:szCs w:val="22"/>
        </w:rPr>
      </w:pPr>
    </w:p>
    <w:p w14:paraId="4AAB797C" w14:textId="731F00BF" w:rsidR="00BF01B1" w:rsidRDefault="00072D01" w:rsidP="008400BE">
      <w:pPr>
        <w:jc w:val="both"/>
        <w:rPr>
          <w:b/>
          <w:bCs/>
          <w:sz w:val="22"/>
          <w:szCs w:val="22"/>
        </w:rPr>
      </w:pPr>
      <w:r>
        <w:rPr>
          <w:noProof/>
        </w:rPr>
        <w:drawing>
          <wp:anchor distT="0" distB="0" distL="114300" distR="114300" simplePos="0" relativeHeight="251666432" behindDoc="1" locked="0" layoutInCell="1" allowOverlap="1" wp14:anchorId="37A417D3" wp14:editId="076C9840">
            <wp:simplePos x="0" y="0"/>
            <wp:positionH relativeFrom="margin">
              <wp:align>center</wp:align>
            </wp:positionH>
            <wp:positionV relativeFrom="paragraph">
              <wp:posOffset>14605</wp:posOffset>
            </wp:positionV>
            <wp:extent cx="3872948" cy="800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72948" cy="800100"/>
                    </a:xfrm>
                    <a:prstGeom prst="rect">
                      <a:avLst/>
                    </a:prstGeom>
                  </pic:spPr>
                </pic:pic>
              </a:graphicData>
            </a:graphic>
            <wp14:sizeRelH relativeFrom="margin">
              <wp14:pctWidth>0</wp14:pctWidth>
            </wp14:sizeRelH>
            <wp14:sizeRelV relativeFrom="margin">
              <wp14:pctHeight>0</wp14:pctHeight>
            </wp14:sizeRelV>
          </wp:anchor>
        </w:drawing>
      </w:r>
    </w:p>
    <w:p w14:paraId="1F6372F5" w14:textId="453DF406" w:rsidR="00BF01B1" w:rsidRDefault="00BF01B1" w:rsidP="008400BE">
      <w:pPr>
        <w:jc w:val="both"/>
        <w:rPr>
          <w:b/>
          <w:bCs/>
          <w:sz w:val="22"/>
          <w:szCs w:val="22"/>
        </w:rPr>
      </w:pPr>
    </w:p>
    <w:p w14:paraId="74C76DE8" w14:textId="21D0546B" w:rsidR="00BF01B1" w:rsidRDefault="00BF01B1" w:rsidP="008400BE">
      <w:pPr>
        <w:jc w:val="both"/>
        <w:rPr>
          <w:b/>
          <w:bCs/>
          <w:sz w:val="22"/>
          <w:szCs w:val="22"/>
        </w:rPr>
      </w:pPr>
    </w:p>
    <w:p w14:paraId="50435F84" w14:textId="43B43234" w:rsidR="00BF01B1" w:rsidRDefault="00BF01B1" w:rsidP="008400BE">
      <w:pPr>
        <w:jc w:val="both"/>
        <w:rPr>
          <w:b/>
          <w:bCs/>
          <w:sz w:val="22"/>
          <w:szCs w:val="22"/>
        </w:rPr>
      </w:pPr>
    </w:p>
    <w:p w14:paraId="72F6DA44" w14:textId="032059B1" w:rsidR="00BF01B1" w:rsidRDefault="00BF01B1" w:rsidP="008400BE">
      <w:pPr>
        <w:jc w:val="both"/>
        <w:rPr>
          <w:b/>
          <w:bCs/>
          <w:sz w:val="22"/>
          <w:szCs w:val="22"/>
        </w:rPr>
      </w:pPr>
    </w:p>
    <w:p w14:paraId="16C3849E" w14:textId="77777777" w:rsidR="00072D01" w:rsidRDefault="00072D01" w:rsidP="008400BE">
      <w:pPr>
        <w:jc w:val="both"/>
        <w:rPr>
          <w:b/>
          <w:bCs/>
          <w:sz w:val="22"/>
          <w:szCs w:val="22"/>
        </w:rPr>
      </w:pPr>
    </w:p>
    <w:p w14:paraId="1362129E" w14:textId="77777777" w:rsidR="00072D01" w:rsidRDefault="00072D01" w:rsidP="008400BE">
      <w:pPr>
        <w:jc w:val="both"/>
        <w:rPr>
          <w:b/>
          <w:bCs/>
          <w:sz w:val="22"/>
          <w:szCs w:val="22"/>
        </w:rPr>
      </w:pPr>
    </w:p>
    <w:p w14:paraId="6B066403" w14:textId="77777777" w:rsidR="00072D01" w:rsidRDefault="00072D01" w:rsidP="008400BE">
      <w:pPr>
        <w:jc w:val="both"/>
        <w:rPr>
          <w:b/>
          <w:bCs/>
          <w:sz w:val="22"/>
          <w:szCs w:val="22"/>
        </w:rPr>
      </w:pPr>
    </w:p>
    <w:p w14:paraId="44E353AC" w14:textId="77777777" w:rsidR="00072D01" w:rsidRDefault="00072D01" w:rsidP="008400BE">
      <w:pPr>
        <w:jc w:val="both"/>
        <w:rPr>
          <w:b/>
          <w:bCs/>
          <w:sz w:val="22"/>
          <w:szCs w:val="22"/>
        </w:rPr>
      </w:pPr>
    </w:p>
    <w:p w14:paraId="0C1D4765" w14:textId="77777777" w:rsidR="00072D01" w:rsidRDefault="00072D01" w:rsidP="008400BE">
      <w:pPr>
        <w:jc w:val="both"/>
        <w:rPr>
          <w:b/>
          <w:bCs/>
          <w:sz w:val="22"/>
          <w:szCs w:val="22"/>
        </w:rPr>
      </w:pPr>
    </w:p>
    <w:p w14:paraId="321920BD" w14:textId="77777777" w:rsidR="00072D01" w:rsidRDefault="00072D01" w:rsidP="008400BE">
      <w:pPr>
        <w:jc w:val="both"/>
        <w:rPr>
          <w:b/>
          <w:bCs/>
          <w:sz w:val="22"/>
          <w:szCs w:val="22"/>
        </w:rPr>
      </w:pPr>
    </w:p>
    <w:p w14:paraId="3683F61C" w14:textId="5A48B373" w:rsidR="00872F09" w:rsidRPr="00214F92" w:rsidRDefault="00ED3D34" w:rsidP="008400BE">
      <w:pPr>
        <w:jc w:val="both"/>
        <w:rPr>
          <w:b/>
          <w:bCs/>
          <w:sz w:val="22"/>
          <w:szCs w:val="22"/>
        </w:rPr>
      </w:pPr>
      <w:r>
        <w:rPr>
          <w:b/>
          <w:bCs/>
          <w:sz w:val="22"/>
          <w:szCs w:val="22"/>
        </w:rPr>
        <w:lastRenderedPageBreak/>
        <w:t xml:space="preserve">7.5 </w:t>
      </w:r>
      <w:r w:rsidR="00773AD6">
        <w:rPr>
          <w:b/>
          <w:bCs/>
          <w:sz w:val="22"/>
          <w:szCs w:val="22"/>
        </w:rPr>
        <w:t>S</w:t>
      </w:r>
      <w:r w:rsidR="00773AD6" w:rsidRPr="00214F92">
        <w:rPr>
          <w:b/>
          <w:bCs/>
          <w:sz w:val="22"/>
          <w:szCs w:val="22"/>
        </w:rPr>
        <w:t>ocio-</w:t>
      </w:r>
      <w:r w:rsidR="00773AD6">
        <w:rPr>
          <w:b/>
          <w:bCs/>
          <w:sz w:val="22"/>
          <w:szCs w:val="22"/>
        </w:rPr>
        <w:t>E</w:t>
      </w:r>
      <w:r w:rsidR="00773AD6" w:rsidRPr="00214F92">
        <w:rPr>
          <w:b/>
          <w:bCs/>
          <w:sz w:val="22"/>
          <w:szCs w:val="22"/>
        </w:rPr>
        <w:t xml:space="preserve">conomic </w:t>
      </w:r>
      <w:r w:rsidR="00773AD6">
        <w:rPr>
          <w:b/>
          <w:bCs/>
          <w:sz w:val="22"/>
          <w:szCs w:val="22"/>
        </w:rPr>
        <w:t>Cl</w:t>
      </w:r>
      <w:r w:rsidR="00773AD6" w:rsidRPr="00214F92">
        <w:rPr>
          <w:b/>
          <w:bCs/>
          <w:sz w:val="22"/>
          <w:szCs w:val="22"/>
        </w:rPr>
        <w:t>assifications</w:t>
      </w:r>
      <w:r w:rsidR="00773AD6">
        <w:rPr>
          <w:b/>
          <w:bCs/>
          <w:sz w:val="22"/>
          <w:szCs w:val="22"/>
        </w:rPr>
        <w:t xml:space="preserve"> - </w:t>
      </w:r>
      <w:r w:rsidR="00B11BAF" w:rsidRPr="00773AD6">
        <w:rPr>
          <w:sz w:val="22"/>
          <w:szCs w:val="22"/>
        </w:rPr>
        <w:t>B</w:t>
      </w:r>
      <w:r w:rsidR="00872F09" w:rsidRPr="00773AD6">
        <w:rPr>
          <w:sz w:val="22"/>
          <w:szCs w:val="22"/>
        </w:rPr>
        <w:t xml:space="preserve">reakdown of </w:t>
      </w:r>
      <w:r w:rsidR="00B11BAF" w:rsidRPr="00773AD6">
        <w:rPr>
          <w:sz w:val="22"/>
          <w:szCs w:val="22"/>
        </w:rPr>
        <w:t xml:space="preserve">number of Service Users setting a quit date </w:t>
      </w:r>
      <w:r w:rsidR="00773AD6">
        <w:rPr>
          <w:sz w:val="22"/>
          <w:szCs w:val="22"/>
        </w:rPr>
        <w:t xml:space="preserve">with the Service </w:t>
      </w:r>
      <w:r w:rsidR="00C54399" w:rsidRPr="00773AD6">
        <w:rPr>
          <w:sz w:val="22"/>
          <w:szCs w:val="22"/>
        </w:rPr>
        <w:t xml:space="preserve">and successfully quitting at four weeks by </w:t>
      </w:r>
      <w:r w:rsidR="00186B33" w:rsidRPr="00773AD6">
        <w:rPr>
          <w:sz w:val="22"/>
          <w:szCs w:val="22"/>
        </w:rPr>
        <w:t>S</w:t>
      </w:r>
      <w:r w:rsidR="00872F09" w:rsidRPr="00773AD6">
        <w:rPr>
          <w:sz w:val="22"/>
          <w:szCs w:val="22"/>
        </w:rPr>
        <w:t>ocio-</w:t>
      </w:r>
      <w:r w:rsidR="00186B33" w:rsidRPr="00773AD6">
        <w:rPr>
          <w:sz w:val="22"/>
          <w:szCs w:val="22"/>
        </w:rPr>
        <w:t>E</w:t>
      </w:r>
      <w:r w:rsidR="008929C3" w:rsidRPr="00773AD6">
        <w:rPr>
          <w:sz w:val="22"/>
          <w:szCs w:val="22"/>
        </w:rPr>
        <w:t xml:space="preserve">conomic </w:t>
      </w:r>
      <w:r w:rsidR="00186B33" w:rsidRPr="00773AD6">
        <w:rPr>
          <w:sz w:val="22"/>
          <w:szCs w:val="22"/>
        </w:rPr>
        <w:t>Cl</w:t>
      </w:r>
      <w:r w:rsidR="008929C3" w:rsidRPr="00773AD6">
        <w:rPr>
          <w:sz w:val="22"/>
          <w:szCs w:val="22"/>
        </w:rPr>
        <w:t>assifications</w:t>
      </w:r>
      <w:r w:rsidR="00186B33" w:rsidRPr="00773AD6">
        <w:rPr>
          <w:sz w:val="22"/>
          <w:szCs w:val="22"/>
        </w:rPr>
        <w:t xml:space="preserve"> </w:t>
      </w:r>
      <w:r w:rsidR="00B11BAF" w:rsidRPr="00773AD6">
        <w:rPr>
          <w:sz w:val="22"/>
          <w:szCs w:val="22"/>
        </w:rPr>
        <w:t xml:space="preserve">during </w:t>
      </w:r>
      <w:r w:rsidR="00186B33" w:rsidRPr="00773AD6">
        <w:rPr>
          <w:sz w:val="22"/>
          <w:szCs w:val="22"/>
        </w:rPr>
        <w:t>2017/18 to 2019/20 as reported to NHS Digital</w:t>
      </w:r>
      <w:r w:rsidR="00C54399" w:rsidRPr="00773AD6">
        <w:rPr>
          <w:sz w:val="22"/>
          <w:szCs w:val="22"/>
        </w:rPr>
        <w:t xml:space="preserve"> by the Council:</w:t>
      </w:r>
    </w:p>
    <w:p w14:paraId="14633DAF" w14:textId="28ACABC0" w:rsidR="00872F09" w:rsidRDefault="00872F09" w:rsidP="008400BE">
      <w:pPr>
        <w:jc w:val="both"/>
        <w:rPr>
          <w:sz w:val="22"/>
          <w:szCs w:val="22"/>
        </w:rPr>
      </w:pPr>
    </w:p>
    <w:tbl>
      <w:tblPr>
        <w:tblStyle w:val="TableGrid"/>
        <w:tblW w:w="0" w:type="auto"/>
        <w:tblLook w:val="04A0" w:firstRow="1" w:lastRow="0" w:firstColumn="1" w:lastColumn="0" w:noHBand="0" w:noVBand="1"/>
      </w:tblPr>
      <w:tblGrid>
        <w:gridCol w:w="4911"/>
        <w:gridCol w:w="4811"/>
        <w:gridCol w:w="4838"/>
      </w:tblGrid>
      <w:tr w:rsidR="00B11BAF" w14:paraId="30FE929D" w14:textId="77777777" w:rsidTr="66A831A9">
        <w:tc>
          <w:tcPr>
            <w:tcW w:w="4853" w:type="dxa"/>
            <w:shd w:val="clear" w:color="auto" w:fill="C0C5D0" w:themeFill="accent2" w:themeFillTint="66"/>
          </w:tcPr>
          <w:p w14:paraId="4062A764" w14:textId="7BFF6800" w:rsidR="00B11BAF" w:rsidRPr="00773AD6" w:rsidRDefault="00B11BAF" w:rsidP="00B11BAF">
            <w:pPr>
              <w:tabs>
                <w:tab w:val="left" w:pos="1845"/>
              </w:tabs>
              <w:jc w:val="both"/>
              <w:rPr>
                <w:sz w:val="22"/>
                <w:szCs w:val="22"/>
              </w:rPr>
            </w:pPr>
            <w:r w:rsidRPr="00773AD6">
              <w:rPr>
                <w:b/>
                <w:bCs/>
                <w:sz w:val="22"/>
                <w:szCs w:val="22"/>
              </w:rPr>
              <w:t>2017/18</w:t>
            </w:r>
          </w:p>
        </w:tc>
        <w:tc>
          <w:tcPr>
            <w:tcW w:w="4853" w:type="dxa"/>
            <w:shd w:val="clear" w:color="auto" w:fill="C0C5D0" w:themeFill="accent2" w:themeFillTint="66"/>
          </w:tcPr>
          <w:p w14:paraId="23BC721C" w14:textId="1045C5BC" w:rsidR="00B11BAF" w:rsidRPr="00773AD6" w:rsidRDefault="00B11BAF" w:rsidP="00B11BAF">
            <w:pPr>
              <w:jc w:val="both"/>
              <w:rPr>
                <w:sz w:val="22"/>
                <w:szCs w:val="22"/>
              </w:rPr>
            </w:pPr>
            <w:r w:rsidRPr="00773AD6">
              <w:rPr>
                <w:b/>
                <w:bCs/>
                <w:sz w:val="22"/>
                <w:szCs w:val="22"/>
              </w:rPr>
              <w:t>2018/19</w:t>
            </w:r>
          </w:p>
        </w:tc>
        <w:tc>
          <w:tcPr>
            <w:tcW w:w="4854" w:type="dxa"/>
            <w:shd w:val="clear" w:color="auto" w:fill="C0C5D0" w:themeFill="accent2" w:themeFillTint="66"/>
          </w:tcPr>
          <w:p w14:paraId="0F725A4A" w14:textId="5FBF68FA" w:rsidR="00B11BAF" w:rsidRPr="00773AD6" w:rsidRDefault="00B11BAF" w:rsidP="00B11BAF">
            <w:pPr>
              <w:jc w:val="both"/>
              <w:rPr>
                <w:sz w:val="22"/>
                <w:szCs w:val="22"/>
              </w:rPr>
            </w:pPr>
            <w:r w:rsidRPr="00773AD6">
              <w:rPr>
                <w:b/>
                <w:bCs/>
                <w:sz w:val="22"/>
                <w:szCs w:val="22"/>
              </w:rPr>
              <w:t>2019/20</w:t>
            </w:r>
          </w:p>
        </w:tc>
      </w:tr>
      <w:tr w:rsidR="00B11BAF" w14:paraId="0E3AB667" w14:textId="77777777" w:rsidTr="66A831A9">
        <w:tc>
          <w:tcPr>
            <w:tcW w:w="4853" w:type="dxa"/>
          </w:tcPr>
          <w:p w14:paraId="314B60AF" w14:textId="523F4F06" w:rsidR="00B11BAF" w:rsidRDefault="00B11BAF" w:rsidP="00B11BAF">
            <w:pPr>
              <w:jc w:val="both"/>
              <w:rPr>
                <w:sz w:val="22"/>
                <w:szCs w:val="22"/>
              </w:rPr>
            </w:pPr>
            <w:r w:rsidRPr="00214F92">
              <w:rPr>
                <w:noProof/>
                <w:sz w:val="22"/>
                <w:szCs w:val="22"/>
              </w:rPr>
              <w:drawing>
                <wp:inline distT="0" distB="0" distL="0" distR="0" wp14:anchorId="6A115790" wp14:editId="3A9D239C">
                  <wp:extent cx="2981325" cy="34861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718" t="8956" r="37285"/>
                          <a:stretch/>
                        </pic:blipFill>
                        <pic:spPr bwMode="auto">
                          <a:xfrm>
                            <a:off x="0" y="0"/>
                            <a:ext cx="3005291" cy="3514173"/>
                          </a:xfrm>
                          <a:prstGeom prst="rect">
                            <a:avLst/>
                          </a:prstGeom>
                          <a:ln>
                            <a:noFill/>
                          </a:ln>
                          <a:extLst>
                            <a:ext uri="{53640926-AAD7-44D8-BBD7-CCE9431645EC}">
                              <a14:shadowObscured xmlns:a14="http://schemas.microsoft.com/office/drawing/2010/main"/>
                            </a:ext>
                          </a:extLst>
                        </pic:spPr>
                      </pic:pic>
                    </a:graphicData>
                  </a:graphic>
                </wp:inline>
              </w:drawing>
            </w:r>
          </w:p>
        </w:tc>
        <w:tc>
          <w:tcPr>
            <w:tcW w:w="4853" w:type="dxa"/>
          </w:tcPr>
          <w:p w14:paraId="33C8F6A3" w14:textId="08400E36" w:rsidR="00B11BAF" w:rsidRDefault="00B11BAF" w:rsidP="00B11BAF">
            <w:pPr>
              <w:jc w:val="both"/>
              <w:rPr>
                <w:sz w:val="22"/>
                <w:szCs w:val="22"/>
              </w:rPr>
            </w:pPr>
            <w:r w:rsidRPr="00214F92">
              <w:rPr>
                <w:noProof/>
                <w:sz w:val="22"/>
                <w:szCs w:val="22"/>
              </w:rPr>
              <w:drawing>
                <wp:inline distT="0" distB="0" distL="0" distR="0" wp14:anchorId="1B460192" wp14:editId="40E22A8D">
                  <wp:extent cx="2905125" cy="3457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748" t="10585" r="35968"/>
                          <a:stretch/>
                        </pic:blipFill>
                        <pic:spPr bwMode="auto">
                          <a:xfrm>
                            <a:off x="0" y="0"/>
                            <a:ext cx="2914778" cy="3469064"/>
                          </a:xfrm>
                          <a:prstGeom prst="rect">
                            <a:avLst/>
                          </a:prstGeom>
                          <a:ln>
                            <a:noFill/>
                          </a:ln>
                          <a:extLst>
                            <a:ext uri="{53640926-AAD7-44D8-BBD7-CCE9431645EC}">
                              <a14:shadowObscured xmlns:a14="http://schemas.microsoft.com/office/drawing/2010/main"/>
                            </a:ext>
                          </a:extLst>
                        </pic:spPr>
                      </pic:pic>
                    </a:graphicData>
                  </a:graphic>
                </wp:inline>
              </w:drawing>
            </w:r>
          </w:p>
        </w:tc>
        <w:tc>
          <w:tcPr>
            <w:tcW w:w="4854" w:type="dxa"/>
          </w:tcPr>
          <w:p w14:paraId="3FAA959E" w14:textId="605F59BB" w:rsidR="00B11BAF" w:rsidRDefault="00B11BAF" w:rsidP="00B11BAF">
            <w:pPr>
              <w:jc w:val="both"/>
              <w:rPr>
                <w:sz w:val="22"/>
                <w:szCs w:val="22"/>
              </w:rPr>
            </w:pPr>
            <w:r w:rsidRPr="00214F92">
              <w:rPr>
                <w:noProof/>
                <w:sz w:val="22"/>
                <w:szCs w:val="22"/>
              </w:rPr>
              <w:drawing>
                <wp:inline distT="0" distB="0" distL="0" distR="0" wp14:anchorId="45023C44" wp14:editId="0CA4AB98">
                  <wp:extent cx="2924175" cy="3409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491" t="9635" r="37412"/>
                          <a:stretch/>
                        </pic:blipFill>
                        <pic:spPr bwMode="auto">
                          <a:xfrm>
                            <a:off x="0" y="0"/>
                            <a:ext cx="2936931" cy="34248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129F0D" w14:textId="729D5DC7" w:rsidR="00C61AE7" w:rsidRDefault="00072D01" w:rsidP="008400BE">
      <w:pPr>
        <w:jc w:val="both"/>
        <w:rPr>
          <w:sz w:val="22"/>
          <w:szCs w:val="22"/>
        </w:rPr>
      </w:pPr>
      <w:r>
        <w:rPr>
          <w:noProof/>
        </w:rPr>
        <w:drawing>
          <wp:anchor distT="0" distB="0" distL="114300" distR="114300" simplePos="0" relativeHeight="251664384" behindDoc="1" locked="0" layoutInCell="1" allowOverlap="1" wp14:anchorId="0A8C18EA" wp14:editId="1A238060">
            <wp:simplePos x="0" y="0"/>
            <wp:positionH relativeFrom="margin">
              <wp:align>center</wp:align>
            </wp:positionH>
            <wp:positionV relativeFrom="paragraph">
              <wp:posOffset>31115</wp:posOffset>
            </wp:positionV>
            <wp:extent cx="3384217" cy="699135"/>
            <wp:effectExtent l="0" t="0" r="698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84217" cy="699135"/>
                    </a:xfrm>
                    <a:prstGeom prst="rect">
                      <a:avLst/>
                    </a:prstGeom>
                  </pic:spPr>
                </pic:pic>
              </a:graphicData>
            </a:graphic>
            <wp14:sizeRelH relativeFrom="page">
              <wp14:pctWidth>0</wp14:pctWidth>
            </wp14:sizeRelH>
            <wp14:sizeRelV relativeFrom="page">
              <wp14:pctHeight>0</wp14:pctHeight>
            </wp14:sizeRelV>
          </wp:anchor>
        </w:drawing>
      </w:r>
    </w:p>
    <w:p w14:paraId="52C4BA73" w14:textId="68933677" w:rsidR="00C54399" w:rsidRDefault="00C54399" w:rsidP="008400BE">
      <w:pPr>
        <w:jc w:val="both"/>
        <w:rPr>
          <w:sz w:val="22"/>
          <w:szCs w:val="22"/>
        </w:rPr>
      </w:pPr>
    </w:p>
    <w:p w14:paraId="6C76A461" w14:textId="1D8E673E" w:rsidR="00C54399" w:rsidRDefault="00C54399" w:rsidP="008400BE">
      <w:pPr>
        <w:jc w:val="both"/>
        <w:rPr>
          <w:sz w:val="22"/>
          <w:szCs w:val="22"/>
        </w:rPr>
      </w:pPr>
    </w:p>
    <w:p w14:paraId="2270BAAF" w14:textId="37C0DF8D" w:rsidR="00C54399" w:rsidRDefault="00C54399" w:rsidP="008400BE">
      <w:pPr>
        <w:jc w:val="both"/>
        <w:rPr>
          <w:sz w:val="22"/>
          <w:szCs w:val="22"/>
        </w:rPr>
      </w:pPr>
    </w:p>
    <w:p w14:paraId="4DAA140D" w14:textId="10D01DAD" w:rsidR="00C54399" w:rsidRDefault="00C54399" w:rsidP="008400BE">
      <w:pPr>
        <w:jc w:val="both"/>
        <w:rPr>
          <w:sz w:val="22"/>
          <w:szCs w:val="22"/>
        </w:rPr>
      </w:pPr>
    </w:p>
    <w:p w14:paraId="1B0F3F5B" w14:textId="32FE40CE" w:rsidR="00C54399" w:rsidRDefault="00C54399" w:rsidP="008400BE">
      <w:pPr>
        <w:jc w:val="both"/>
        <w:rPr>
          <w:sz w:val="22"/>
          <w:szCs w:val="22"/>
        </w:rPr>
      </w:pPr>
    </w:p>
    <w:p w14:paraId="26490264" w14:textId="1C0358F5" w:rsidR="00C54399" w:rsidRDefault="00C54399" w:rsidP="008400BE">
      <w:pPr>
        <w:jc w:val="both"/>
        <w:rPr>
          <w:sz w:val="22"/>
          <w:szCs w:val="22"/>
        </w:rPr>
      </w:pPr>
    </w:p>
    <w:p w14:paraId="47786720" w14:textId="7FDD549B" w:rsidR="00BF01B1" w:rsidRDefault="00BF01B1" w:rsidP="008400BE">
      <w:pPr>
        <w:jc w:val="both"/>
        <w:rPr>
          <w:sz w:val="22"/>
          <w:szCs w:val="22"/>
        </w:rPr>
      </w:pPr>
    </w:p>
    <w:p w14:paraId="69E153AB" w14:textId="5C2C7B81" w:rsidR="00BF01B1" w:rsidRDefault="00BF01B1" w:rsidP="008400BE">
      <w:pPr>
        <w:jc w:val="both"/>
        <w:rPr>
          <w:sz w:val="22"/>
          <w:szCs w:val="22"/>
        </w:rPr>
      </w:pPr>
    </w:p>
    <w:p w14:paraId="19133ADE" w14:textId="77777777" w:rsidR="00BF01B1" w:rsidRPr="00214F92" w:rsidRDefault="00BF01B1" w:rsidP="008400BE">
      <w:pPr>
        <w:jc w:val="both"/>
        <w:rPr>
          <w:sz w:val="22"/>
          <w:szCs w:val="22"/>
        </w:rPr>
      </w:pPr>
    </w:p>
    <w:p w14:paraId="19E2A3C2" w14:textId="6C198246" w:rsidR="002C1EFB" w:rsidRDefault="002C1EFB" w:rsidP="00C54399">
      <w:pPr>
        <w:jc w:val="both"/>
        <w:rPr>
          <w:b/>
          <w:bCs/>
          <w:sz w:val="22"/>
          <w:szCs w:val="22"/>
        </w:rPr>
      </w:pPr>
    </w:p>
    <w:p w14:paraId="6AB6AD1F" w14:textId="39A86B38" w:rsidR="00C54399" w:rsidRPr="00214F92" w:rsidRDefault="00ED3D34" w:rsidP="00C54399">
      <w:pPr>
        <w:jc w:val="both"/>
        <w:rPr>
          <w:b/>
          <w:bCs/>
          <w:sz w:val="22"/>
          <w:szCs w:val="22"/>
        </w:rPr>
      </w:pPr>
      <w:r>
        <w:rPr>
          <w:b/>
          <w:bCs/>
          <w:sz w:val="22"/>
          <w:szCs w:val="22"/>
        </w:rPr>
        <w:lastRenderedPageBreak/>
        <w:t xml:space="preserve">7.6 </w:t>
      </w:r>
      <w:r w:rsidR="00773AD6">
        <w:rPr>
          <w:b/>
          <w:bCs/>
          <w:sz w:val="22"/>
          <w:szCs w:val="22"/>
        </w:rPr>
        <w:t xml:space="preserve">Pharmacotherapy Type - </w:t>
      </w:r>
      <w:r w:rsidR="00C54399" w:rsidRPr="00773AD6">
        <w:rPr>
          <w:sz w:val="22"/>
          <w:szCs w:val="22"/>
        </w:rPr>
        <w:t xml:space="preserve">Breakdown of number of Service Users setting a quit date </w:t>
      </w:r>
      <w:r w:rsidR="00773AD6">
        <w:rPr>
          <w:sz w:val="22"/>
          <w:szCs w:val="22"/>
        </w:rPr>
        <w:t xml:space="preserve">with the Service </w:t>
      </w:r>
      <w:r w:rsidR="00C54399" w:rsidRPr="00773AD6">
        <w:rPr>
          <w:sz w:val="22"/>
          <w:szCs w:val="22"/>
        </w:rPr>
        <w:t>and successfully quitting at four weeks by pharmacotherapy type 2017/18 to 2019/20 as reported to NHS Digital by the Council:</w:t>
      </w:r>
    </w:p>
    <w:p w14:paraId="5A1E032A" w14:textId="4C6C356E" w:rsidR="00186B33" w:rsidRDefault="00186B33" w:rsidP="008400BE">
      <w:pPr>
        <w:jc w:val="both"/>
        <w:rPr>
          <w:b/>
          <w:bCs/>
          <w:sz w:val="22"/>
          <w:szCs w:val="22"/>
        </w:rPr>
      </w:pPr>
    </w:p>
    <w:tbl>
      <w:tblPr>
        <w:tblStyle w:val="TableGrid"/>
        <w:tblW w:w="14621" w:type="dxa"/>
        <w:tblLook w:val="04A0" w:firstRow="1" w:lastRow="0" w:firstColumn="1" w:lastColumn="0" w:noHBand="0" w:noVBand="1"/>
      </w:tblPr>
      <w:tblGrid>
        <w:gridCol w:w="4920"/>
        <w:gridCol w:w="4580"/>
        <w:gridCol w:w="5121"/>
      </w:tblGrid>
      <w:tr w:rsidR="00BF01B1" w14:paraId="171AB77E" w14:textId="77777777" w:rsidTr="66A831A9">
        <w:trPr>
          <w:trHeight w:val="326"/>
        </w:trPr>
        <w:tc>
          <w:tcPr>
            <w:tcW w:w="4920" w:type="dxa"/>
            <w:shd w:val="clear" w:color="auto" w:fill="C0C5D0" w:themeFill="accent2" w:themeFillTint="66"/>
          </w:tcPr>
          <w:p w14:paraId="00476D3B" w14:textId="55514A7F" w:rsidR="00B11BAF" w:rsidRDefault="00B11BAF" w:rsidP="008400BE">
            <w:pPr>
              <w:jc w:val="both"/>
              <w:rPr>
                <w:b/>
                <w:bCs/>
                <w:sz w:val="22"/>
                <w:szCs w:val="22"/>
              </w:rPr>
            </w:pPr>
            <w:r>
              <w:rPr>
                <w:b/>
                <w:bCs/>
                <w:sz w:val="22"/>
                <w:szCs w:val="22"/>
              </w:rPr>
              <w:t>2017/18</w:t>
            </w:r>
          </w:p>
        </w:tc>
        <w:tc>
          <w:tcPr>
            <w:tcW w:w="4580" w:type="dxa"/>
            <w:shd w:val="clear" w:color="auto" w:fill="C0C5D0" w:themeFill="accent2" w:themeFillTint="66"/>
          </w:tcPr>
          <w:p w14:paraId="4F3613F3" w14:textId="1D542944" w:rsidR="00B11BAF" w:rsidRDefault="00B11BAF" w:rsidP="008400BE">
            <w:pPr>
              <w:jc w:val="both"/>
              <w:rPr>
                <w:b/>
                <w:bCs/>
                <w:sz w:val="22"/>
                <w:szCs w:val="22"/>
              </w:rPr>
            </w:pPr>
            <w:r>
              <w:rPr>
                <w:b/>
                <w:bCs/>
                <w:sz w:val="22"/>
                <w:szCs w:val="22"/>
              </w:rPr>
              <w:t>2018/19</w:t>
            </w:r>
          </w:p>
        </w:tc>
        <w:tc>
          <w:tcPr>
            <w:tcW w:w="5121" w:type="dxa"/>
            <w:shd w:val="clear" w:color="auto" w:fill="C0C5D0" w:themeFill="accent2" w:themeFillTint="66"/>
          </w:tcPr>
          <w:p w14:paraId="68A82EDD" w14:textId="56400796" w:rsidR="00B11BAF" w:rsidRDefault="00B11BAF" w:rsidP="008400BE">
            <w:pPr>
              <w:jc w:val="both"/>
              <w:rPr>
                <w:b/>
                <w:bCs/>
                <w:sz w:val="22"/>
                <w:szCs w:val="22"/>
              </w:rPr>
            </w:pPr>
            <w:r>
              <w:rPr>
                <w:b/>
                <w:bCs/>
                <w:sz w:val="22"/>
                <w:szCs w:val="22"/>
              </w:rPr>
              <w:t>2019/20</w:t>
            </w:r>
          </w:p>
        </w:tc>
      </w:tr>
      <w:tr w:rsidR="00BF01B1" w14:paraId="49BA3FB0" w14:textId="77777777" w:rsidTr="66A831A9">
        <w:trPr>
          <w:trHeight w:val="6276"/>
        </w:trPr>
        <w:tc>
          <w:tcPr>
            <w:tcW w:w="4920" w:type="dxa"/>
          </w:tcPr>
          <w:p w14:paraId="76FE2321" w14:textId="4BF6FB71" w:rsidR="00B11BAF" w:rsidRDefault="00BF01B1" w:rsidP="00BF01B1">
            <w:pPr>
              <w:jc w:val="center"/>
              <w:rPr>
                <w:b/>
                <w:bCs/>
                <w:sz w:val="22"/>
                <w:szCs w:val="22"/>
              </w:rPr>
            </w:pPr>
            <w:r>
              <w:rPr>
                <w:noProof/>
              </w:rPr>
              <w:drawing>
                <wp:inline distT="0" distB="0" distL="0" distR="0" wp14:anchorId="2191CCE6" wp14:editId="206C68B4">
                  <wp:extent cx="2962275" cy="5010148"/>
                  <wp:effectExtent l="0" t="0" r="9525" b="0"/>
                  <wp:docPr id="15502872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5">
                            <a:extLst>
                              <a:ext uri="{28A0092B-C50C-407E-A947-70E740481C1C}">
                                <a14:useLocalDpi xmlns:a14="http://schemas.microsoft.com/office/drawing/2010/main" val="0"/>
                              </a:ext>
                            </a:extLst>
                          </a:blip>
                          <a:stretch>
                            <a:fillRect/>
                          </a:stretch>
                        </pic:blipFill>
                        <pic:spPr>
                          <a:xfrm>
                            <a:off x="0" y="0"/>
                            <a:ext cx="2962275" cy="5010148"/>
                          </a:xfrm>
                          <a:prstGeom prst="rect">
                            <a:avLst/>
                          </a:prstGeom>
                        </pic:spPr>
                      </pic:pic>
                    </a:graphicData>
                  </a:graphic>
                </wp:inline>
              </w:drawing>
            </w:r>
          </w:p>
        </w:tc>
        <w:tc>
          <w:tcPr>
            <w:tcW w:w="4580" w:type="dxa"/>
          </w:tcPr>
          <w:p w14:paraId="0E969856" w14:textId="4F4355F0" w:rsidR="00B11BAF" w:rsidRDefault="00BF01B1" w:rsidP="00BF01B1">
            <w:pPr>
              <w:jc w:val="center"/>
              <w:rPr>
                <w:b/>
                <w:bCs/>
                <w:sz w:val="22"/>
                <w:szCs w:val="22"/>
              </w:rPr>
            </w:pPr>
            <w:r>
              <w:rPr>
                <w:noProof/>
              </w:rPr>
              <w:drawing>
                <wp:inline distT="0" distB="0" distL="0" distR="0" wp14:anchorId="50CC15A3" wp14:editId="04F23369">
                  <wp:extent cx="2752725" cy="5000625"/>
                  <wp:effectExtent l="0" t="0" r="9525" b="9525"/>
                  <wp:docPr id="15833526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6">
                            <a:extLst>
                              <a:ext uri="{28A0092B-C50C-407E-A947-70E740481C1C}">
                                <a14:useLocalDpi xmlns:a14="http://schemas.microsoft.com/office/drawing/2010/main" val="0"/>
                              </a:ext>
                            </a:extLst>
                          </a:blip>
                          <a:stretch>
                            <a:fillRect/>
                          </a:stretch>
                        </pic:blipFill>
                        <pic:spPr>
                          <a:xfrm>
                            <a:off x="0" y="0"/>
                            <a:ext cx="2752725" cy="5000625"/>
                          </a:xfrm>
                          <a:prstGeom prst="rect">
                            <a:avLst/>
                          </a:prstGeom>
                        </pic:spPr>
                      </pic:pic>
                    </a:graphicData>
                  </a:graphic>
                </wp:inline>
              </w:drawing>
            </w:r>
          </w:p>
        </w:tc>
        <w:tc>
          <w:tcPr>
            <w:tcW w:w="5121" w:type="dxa"/>
          </w:tcPr>
          <w:p w14:paraId="425ECBB9" w14:textId="654B9F4A" w:rsidR="00B11BAF" w:rsidRDefault="00BF01B1" w:rsidP="008400BE">
            <w:pPr>
              <w:jc w:val="both"/>
              <w:rPr>
                <w:b/>
                <w:bCs/>
                <w:sz w:val="22"/>
                <w:szCs w:val="22"/>
              </w:rPr>
            </w:pPr>
            <w:r>
              <w:rPr>
                <w:noProof/>
              </w:rPr>
              <w:drawing>
                <wp:inline distT="0" distB="0" distL="0" distR="0" wp14:anchorId="212AC927" wp14:editId="5B5B7E31">
                  <wp:extent cx="3095625" cy="4991102"/>
                  <wp:effectExtent l="0" t="0" r="9525" b="0"/>
                  <wp:docPr id="3952598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7">
                            <a:extLst>
                              <a:ext uri="{28A0092B-C50C-407E-A947-70E740481C1C}">
                                <a14:useLocalDpi xmlns:a14="http://schemas.microsoft.com/office/drawing/2010/main" val="0"/>
                              </a:ext>
                            </a:extLst>
                          </a:blip>
                          <a:stretch>
                            <a:fillRect/>
                          </a:stretch>
                        </pic:blipFill>
                        <pic:spPr>
                          <a:xfrm>
                            <a:off x="0" y="0"/>
                            <a:ext cx="3095625" cy="4991102"/>
                          </a:xfrm>
                          <a:prstGeom prst="rect">
                            <a:avLst/>
                          </a:prstGeom>
                        </pic:spPr>
                      </pic:pic>
                    </a:graphicData>
                  </a:graphic>
                </wp:inline>
              </w:drawing>
            </w:r>
          </w:p>
        </w:tc>
      </w:tr>
    </w:tbl>
    <w:p w14:paraId="26726309" w14:textId="6544A750" w:rsidR="00262927" w:rsidRPr="00214F92" w:rsidRDefault="00072D01" w:rsidP="00524582">
      <w:pPr>
        <w:jc w:val="both"/>
        <w:rPr>
          <w:sz w:val="22"/>
          <w:szCs w:val="22"/>
        </w:rPr>
      </w:pPr>
      <w:r>
        <w:rPr>
          <w:noProof/>
        </w:rPr>
        <w:drawing>
          <wp:anchor distT="0" distB="0" distL="114300" distR="114300" simplePos="0" relativeHeight="251667456" behindDoc="1" locked="0" layoutInCell="1" allowOverlap="1" wp14:anchorId="70DE72AB" wp14:editId="1A1F64F4">
            <wp:simplePos x="0" y="0"/>
            <wp:positionH relativeFrom="column">
              <wp:posOffset>3533085</wp:posOffset>
            </wp:positionH>
            <wp:positionV relativeFrom="paragraph">
              <wp:posOffset>220980</wp:posOffset>
            </wp:positionV>
            <wp:extent cx="2583180" cy="533651"/>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83180" cy="533651"/>
                    </a:xfrm>
                    <a:prstGeom prst="rect">
                      <a:avLst/>
                    </a:prstGeom>
                  </pic:spPr>
                </pic:pic>
              </a:graphicData>
            </a:graphic>
          </wp:anchor>
        </w:drawing>
      </w:r>
    </w:p>
    <w:sectPr w:rsidR="00262927" w:rsidRPr="00214F92" w:rsidSect="00524582">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D73F9" w14:textId="77777777" w:rsidR="00DB4451" w:rsidRDefault="00DB4451" w:rsidP="00214F92">
      <w:r>
        <w:separator/>
      </w:r>
    </w:p>
  </w:endnote>
  <w:endnote w:type="continuationSeparator" w:id="0">
    <w:p w14:paraId="6DF59ABD" w14:textId="77777777" w:rsidR="00DB4451" w:rsidRDefault="00DB4451" w:rsidP="00214F92">
      <w:r>
        <w:continuationSeparator/>
      </w:r>
    </w:p>
  </w:endnote>
  <w:endnote w:type="continuationNotice" w:id="1">
    <w:p w14:paraId="16DC5D3F" w14:textId="77777777" w:rsidR="00D03C17" w:rsidRDefault="00D03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08CC5" w14:textId="77777777" w:rsidR="00DB4451" w:rsidRDefault="00DB4451" w:rsidP="00214F92">
      <w:r>
        <w:separator/>
      </w:r>
    </w:p>
  </w:footnote>
  <w:footnote w:type="continuationSeparator" w:id="0">
    <w:p w14:paraId="1B62F57E" w14:textId="77777777" w:rsidR="00DB4451" w:rsidRDefault="00DB4451" w:rsidP="00214F92">
      <w:r>
        <w:continuationSeparator/>
      </w:r>
    </w:p>
  </w:footnote>
  <w:footnote w:type="continuationNotice" w:id="1">
    <w:p w14:paraId="4B45BEAE" w14:textId="77777777" w:rsidR="00D03C17" w:rsidRDefault="00D03C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A3455" w14:textId="0D3B894A" w:rsidR="00DB4451" w:rsidRDefault="66A831A9">
    <w:pPr>
      <w:pStyle w:val="Header"/>
    </w:pPr>
    <w:r>
      <w:rPr>
        <w:noProof/>
      </w:rPr>
      <w:t xml:space="preserve">                                                                                         </w:t>
    </w:r>
    <w:r w:rsidR="00DB4451">
      <w:rPr>
        <w:noProof/>
      </w:rPr>
      <w:drawing>
        <wp:inline distT="0" distB="0" distL="0" distR="0" wp14:anchorId="42CC500B" wp14:editId="3327868C">
          <wp:extent cx="1924050" cy="396371"/>
          <wp:effectExtent l="0" t="0" r="0" b="3810"/>
          <wp:docPr id="4" name="Picture 4" descr="occw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www1"/>
                  <pic:cNvPicPr>
                    <a:picLocks noChangeAspect="1" noChangeArrowheads="1"/>
                  </pic:cNvPicPr>
                </pic:nvPicPr>
                <pic:blipFill rotWithShape="1">
                  <a:blip r:embed="rId1">
                    <a:extLst>
                      <a:ext uri="{28A0092B-C50C-407E-A947-70E740481C1C}">
                        <a14:useLocalDpi xmlns:a14="http://schemas.microsoft.com/office/drawing/2010/main" val="0"/>
                      </a:ext>
                    </a:extLst>
                  </a:blip>
                  <a:srcRect b="31429"/>
                  <a:stretch/>
                </pic:blipFill>
                <pic:spPr bwMode="auto">
                  <a:xfrm>
                    <a:off x="0" y="0"/>
                    <a:ext cx="1941235" cy="39991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CE8300"/>
    <w:multiLevelType w:val="hybridMultilevel"/>
    <w:tmpl w:val="223A967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46E20ED"/>
    <w:multiLevelType w:val="hybridMultilevel"/>
    <w:tmpl w:val="2E0CC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8A346AD"/>
    <w:multiLevelType w:val="hybridMultilevel"/>
    <w:tmpl w:val="228EF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E3006AD"/>
    <w:multiLevelType w:val="hybridMultilevel"/>
    <w:tmpl w:val="17DA99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4A1"/>
    <w:rsid w:val="00020A6C"/>
    <w:rsid w:val="00072D01"/>
    <w:rsid w:val="0007664D"/>
    <w:rsid w:val="000B4310"/>
    <w:rsid w:val="00186B33"/>
    <w:rsid w:val="001B3D5D"/>
    <w:rsid w:val="001E326C"/>
    <w:rsid w:val="00202B94"/>
    <w:rsid w:val="00214F92"/>
    <w:rsid w:val="00224951"/>
    <w:rsid w:val="00261667"/>
    <w:rsid w:val="00262927"/>
    <w:rsid w:val="002C1EFB"/>
    <w:rsid w:val="003374A1"/>
    <w:rsid w:val="004000D7"/>
    <w:rsid w:val="00454AD8"/>
    <w:rsid w:val="00462AB2"/>
    <w:rsid w:val="004C2920"/>
    <w:rsid w:val="00504E43"/>
    <w:rsid w:val="00524582"/>
    <w:rsid w:val="00546523"/>
    <w:rsid w:val="005B0458"/>
    <w:rsid w:val="005F6DA9"/>
    <w:rsid w:val="00636BC7"/>
    <w:rsid w:val="0065565D"/>
    <w:rsid w:val="0067120C"/>
    <w:rsid w:val="006E04EB"/>
    <w:rsid w:val="00773AD6"/>
    <w:rsid w:val="007908F4"/>
    <w:rsid w:val="00790E35"/>
    <w:rsid w:val="008400BE"/>
    <w:rsid w:val="008670D3"/>
    <w:rsid w:val="00872F09"/>
    <w:rsid w:val="008929C3"/>
    <w:rsid w:val="008F25C8"/>
    <w:rsid w:val="00924B01"/>
    <w:rsid w:val="009417C0"/>
    <w:rsid w:val="00962059"/>
    <w:rsid w:val="00A7435E"/>
    <w:rsid w:val="00B11BAF"/>
    <w:rsid w:val="00B26576"/>
    <w:rsid w:val="00B63E4E"/>
    <w:rsid w:val="00B901E0"/>
    <w:rsid w:val="00BC71FE"/>
    <w:rsid w:val="00BF01B1"/>
    <w:rsid w:val="00C355DF"/>
    <w:rsid w:val="00C37CE4"/>
    <w:rsid w:val="00C54399"/>
    <w:rsid w:val="00C61AE7"/>
    <w:rsid w:val="00CA5B2B"/>
    <w:rsid w:val="00D03C17"/>
    <w:rsid w:val="00DB4451"/>
    <w:rsid w:val="00E13679"/>
    <w:rsid w:val="00E21284"/>
    <w:rsid w:val="00E24843"/>
    <w:rsid w:val="00E77B9B"/>
    <w:rsid w:val="00E82BB9"/>
    <w:rsid w:val="00EB3FC6"/>
    <w:rsid w:val="00EC7103"/>
    <w:rsid w:val="00ED3D34"/>
    <w:rsid w:val="00F26AE8"/>
    <w:rsid w:val="00F875EE"/>
    <w:rsid w:val="00FD3A85"/>
    <w:rsid w:val="00FF3535"/>
    <w:rsid w:val="00FF35D3"/>
    <w:rsid w:val="089952C6"/>
    <w:rsid w:val="22F036F0"/>
    <w:rsid w:val="26CBE954"/>
    <w:rsid w:val="3EE94C4D"/>
    <w:rsid w:val="44E1EBBE"/>
    <w:rsid w:val="46F2F5E4"/>
    <w:rsid w:val="471B3F47"/>
    <w:rsid w:val="6674A2DD"/>
    <w:rsid w:val="66A83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A934C0"/>
  <w15:chartTrackingRefBased/>
  <w15:docId w15:val="{036EF609-D694-4682-8A8A-C2A828AD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56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65D"/>
    <w:rPr>
      <w:rFonts w:ascii="Segoe UI" w:hAnsi="Segoe UI" w:cs="Segoe UI"/>
      <w:sz w:val="18"/>
      <w:szCs w:val="18"/>
    </w:rPr>
  </w:style>
  <w:style w:type="table" w:styleId="TableGrid">
    <w:name w:val="Table Grid"/>
    <w:basedOn w:val="TableNormal"/>
    <w:uiPriority w:val="59"/>
    <w:rsid w:val="00076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14F92"/>
  </w:style>
  <w:style w:type="paragraph" w:styleId="Header">
    <w:name w:val="header"/>
    <w:basedOn w:val="Normal"/>
    <w:link w:val="HeaderChar"/>
    <w:uiPriority w:val="99"/>
    <w:unhideWhenUsed/>
    <w:rsid w:val="00214F92"/>
    <w:pPr>
      <w:tabs>
        <w:tab w:val="center" w:pos="4513"/>
        <w:tab w:val="right" w:pos="9026"/>
      </w:tabs>
    </w:pPr>
  </w:style>
  <w:style w:type="character" w:customStyle="1" w:styleId="HeaderChar">
    <w:name w:val="Header Char"/>
    <w:basedOn w:val="DefaultParagraphFont"/>
    <w:link w:val="Header"/>
    <w:uiPriority w:val="99"/>
    <w:rsid w:val="00214F92"/>
  </w:style>
  <w:style w:type="paragraph" w:styleId="Footer">
    <w:name w:val="footer"/>
    <w:basedOn w:val="Normal"/>
    <w:link w:val="FooterChar"/>
    <w:uiPriority w:val="99"/>
    <w:unhideWhenUsed/>
    <w:rsid w:val="00214F92"/>
    <w:pPr>
      <w:tabs>
        <w:tab w:val="center" w:pos="4513"/>
        <w:tab w:val="right" w:pos="9026"/>
      </w:tabs>
    </w:pPr>
  </w:style>
  <w:style w:type="character" w:customStyle="1" w:styleId="FooterChar">
    <w:name w:val="Footer Char"/>
    <w:basedOn w:val="DefaultParagraphFont"/>
    <w:link w:val="Footer"/>
    <w:uiPriority w:val="99"/>
    <w:rsid w:val="00214F92"/>
  </w:style>
  <w:style w:type="paragraph" w:styleId="ListParagraph">
    <w:name w:val="List Paragraph"/>
    <w:basedOn w:val="Normal"/>
    <w:link w:val="ListParagraphChar"/>
    <w:uiPriority w:val="34"/>
    <w:qFormat/>
    <w:rsid w:val="008400BE"/>
    <w:pPr>
      <w:ind w:left="720"/>
      <w:contextualSpacing/>
    </w:pPr>
  </w:style>
  <w:style w:type="paragraph" w:styleId="FootnoteText">
    <w:name w:val="footnote text"/>
    <w:basedOn w:val="Normal"/>
    <w:link w:val="FootnoteTextChar"/>
    <w:uiPriority w:val="99"/>
    <w:unhideWhenUsed/>
    <w:rsid w:val="00462AB2"/>
    <w:pPr>
      <w:overflowPunct w:val="0"/>
      <w:autoSpaceDE w:val="0"/>
      <w:autoSpaceDN w:val="0"/>
      <w:adjustRightInd w:val="0"/>
      <w:textAlignment w:val="baseline"/>
    </w:pPr>
    <w:rPr>
      <w:rFonts w:eastAsia="Times New Roman" w:cs="Times New Roman"/>
      <w:sz w:val="20"/>
      <w:szCs w:val="20"/>
    </w:rPr>
  </w:style>
  <w:style w:type="character" w:customStyle="1" w:styleId="FootnoteTextChar">
    <w:name w:val="Footnote Text Char"/>
    <w:basedOn w:val="DefaultParagraphFont"/>
    <w:link w:val="FootnoteText"/>
    <w:uiPriority w:val="99"/>
    <w:rsid w:val="00462AB2"/>
    <w:rPr>
      <w:rFonts w:eastAsia="Times New Roman" w:cs="Times New Roman"/>
      <w:sz w:val="20"/>
      <w:szCs w:val="20"/>
    </w:rPr>
  </w:style>
  <w:style w:type="character" w:styleId="Hyperlink">
    <w:name w:val="Hyperlink"/>
    <w:basedOn w:val="DefaultParagraphFont"/>
    <w:uiPriority w:val="99"/>
    <w:rsid w:val="00462AB2"/>
    <w:rPr>
      <w:color w:val="0042C7" w:themeColor="hyperlink"/>
      <w:u w:val="single"/>
    </w:rPr>
  </w:style>
  <w:style w:type="character" w:styleId="FootnoteReference">
    <w:name w:val="footnote reference"/>
    <w:basedOn w:val="DefaultParagraphFont"/>
    <w:uiPriority w:val="99"/>
    <w:unhideWhenUsed/>
    <w:rsid w:val="00462AB2"/>
    <w:rPr>
      <w:vertAlign w:val="superscript"/>
    </w:rPr>
  </w:style>
  <w:style w:type="character" w:styleId="UnresolvedMention">
    <w:name w:val="Unresolved Mention"/>
    <w:basedOn w:val="DefaultParagraphFont"/>
    <w:uiPriority w:val="99"/>
    <w:semiHidden/>
    <w:unhideWhenUsed/>
    <w:rsid w:val="00E21284"/>
    <w:rPr>
      <w:color w:val="605E5C"/>
      <w:shd w:val="clear" w:color="auto" w:fill="E1DFDD"/>
    </w:rPr>
  </w:style>
  <w:style w:type="paragraph" w:customStyle="1" w:styleId="Default">
    <w:name w:val="Default"/>
    <w:rsid w:val="00BC71FE"/>
    <w:pPr>
      <w:autoSpaceDE w:val="0"/>
      <w:autoSpaceDN w:val="0"/>
      <w:adjustRightInd w:val="0"/>
    </w:pPr>
    <w:rPr>
      <w:color w:val="000000"/>
    </w:rPr>
  </w:style>
  <w:style w:type="character" w:styleId="Strong">
    <w:name w:val="Strong"/>
    <w:basedOn w:val="DefaultParagraphFont"/>
    <w:uiPriority w:val="22"/>
    <w:qFormat/>
    <w:rsid w:val="00636BC7"/>
    <w:rPr>
      <w:b/>
      <w:bCs/>
    </w:rPr>
  </w:style>
  <w:style w:type="character" w:styleId="Emphasis">
    <w:name w:val="Emphasis"/>
    <w:basedOn w:val="DefaultParagraphFont"/>
    <w:uiPriority w:val="20"/>
    <w:qFormat/>
    <w:rsid w:val="00636BC7"/>
    <w:rPr>
      <w:i/>
      <w:iCs/>
    </w:rPr>
  </w:style>
  <w:style w:type="paragraph" w:styleId="NormalWeb">
    <w:name w:val="Normal (Web)"/>
    <w:basedOn w:val="Normal"/>
    <w:uiPriority w:val="99"/>
    <w:unhideWhenUsed/>
    <w:rsid w:val="005F6DA9"/>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454AD8"/>
    <w:rPr>
      <w:sz w:val="16"/>
      <w:szCs w:val="16"/>
    </w:rPr>
  </w:style>
  <w:style w:type="paragraph" w:styleId="CommentText">
    <w:name w:val="annotation text"/>
    <w:basedOn w:val="Normal"/>
    <w:link w:val="CommentTextChar"/>
    <w:uiPriority w:val="99"/>
    <w:semiHidden/>
    <w:unhideWhenUsed/>
    <w:rsid w:val="00454AD8"/>
    <w:rPr>
      <w:sz w:val="20"/>
      <w:szCs w:val="20"/>
    </w:rPr>
  </w:style>
  <w:style w:type="character" w:customStyle="1" w:styleId="CommentTextChar">
    <w:name w:val="Comment Text Char"/>
    <w:basedOn w:val="DefaultParagraphFont"/>
    <w:link w:val="CommentText"/>
    <w:uiPriority w:val="99"/>
    <w:semiHidden/>
    <w:rsid w:val="00454AD8"/>
    <w:rPr>
      <w:sz w:val="20"/>
      <w:szCs w:val="20"/>
    </w:rPr>
  </w:style>
  <w:style w:type="paragraph" w:styleId="CommentSubject">
    <w:name w:val="annotation subject"/>
    <w:basedOn w:val="CommentText"/>
    <w:next w:val="CommentText"/>
    <w:link w:val="CommentSubjectChar"/>
    <w:uiPriority w:val="99"/>
    <w:semiHidden/>
    <w:unhideWhenUsed/>
    <w:rsid w:val="00454AD8"/>
    <w:rPr>
      <w:b/>
      <w:bCs/>
    </w:rPr>
  </w:style>
  <w:style w:type="character" w:customStyle="1" w:styleId="CommentSubjectChar">
    <w:name w:val="Comment Subject Char"/>
    <w:basedOn w:val="CommentTextChar"/>
    <w:link w:val="CommentSubject"/>
    <w:uiPriority w:val="99"/>
    <w:semiHidden/>
    <w:rsid w:val="00454AD8"/>
    <w:rPr>
      <w:b/>
      <w:bCs/>
      <w:sz w:val="20"/>
      <w:szCs w:val="20"/>
    </w:rPr>
  </w:style>
  <w:style w:type="character" w:customStyle="1" w:styleId="ListParagraphChar">
    <w:name w:val="List Paragraph Char"/>
    <w:link w:val="ListParagraph"/>
    <w:uiPriority w:val="34"/>
    <w:locked/>
    <w:rsid w:val="00262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38002">
      <w:bodyDiv w:val="1"/>
      <w:marLeft w:val="0"/>
      <w:marRight w:val="0"/>
      <w:marTop w:val="0"/>
      <w:marBottom w:val="0"/>
      <w:divBdr>
        <w:top w:val="none" w:sz="0" w:space="0" w:color="auto"/>
        <w:left w:val="none" w:sz="0" w:space="0" w:color="auto"/>
        <w:bottom w:val="none" w:sz="0" w:space="0" w:color="auto"/>
        <w:right w:val="none" w:sz="0" w:space="0" w:color="auto"/>
      </w:divBdr>
    </w:div>
    <w:div w:id="256403571">
      <w:bodyDiv w:val="1"/>
      <w:marLeft w:val="0"/>
      <w:marRight w:val="0"/>
      <w:marTop w:val="0"/>
      <w:marBottom w:val="0"/>
      <w:divBdr>
        <w:top w:val="none" w:sz="0" w:space="0" w:color="auto"/>
        <w:left w:val="none" w:sz="0" w:space="0" w:color="auto"/>
        <w:bottom w:val="none" w:sz="0" w:space="0" w:color="auto"/>
        <w:right w:val="none" w:sz="0" w:space="0" w:color="auto"/>
      </w:divBdr>
    </w:div>
    <w:div w:id="322440660">
      <w:bodyDiv w:val="1"/>
      <w:marLeft w:val="0"/>
      <w:marRight w:val="0"/>
      <w:marTop w:val="0"/>
      <w:marBottom w:val="0"/>
      <w:divBdr>
        <w:top w:val="none" w:sz="0" w:space="0" w:color="auto"/>
        <w:left w:val="none" w:sz="0" w:space="0" w:color="auto"/>
        <w:bottom w:val="none" w:sz="0" w:space="0" w:color="auto"/>
        <w:right w:val="none" w:sz="0" w:space="0" w:color="auto"/>
      </w:divBdr>
    </w:div>
    <w:div w:id="396978322">
      <w:bodyDiv w:val="1"/>
      <w:marLeft w:val="0"/>
      <w:marRight w:val="0"/>
      <w:marTop w:val="0"/>
      <w:marBottom w:val="0"/>
      <w:divBdr>
        <w:top w:val="none" w:sz="0" w:space="0" w:color="auto"/>
        <w:left w:val="none" w:sz="0" w:space="0" w:color="auto"/>
        <w:bottom w:val="none" w:sz="0" w:space="0" w:color="auto"/>
        <w:right w:val="none" w:sz="0" w:space="0" w:color="auto"/>
      </w:divBdr>
    </w:div>
    <w:div w:id="457526215">
      <w:bodyDiv w:val="1"/>
      <w:marLeft w:val="0"/>
      <w:marRight w:val="0"/>
      <w:marTop w:val="0"/>
      <w:marBottom w:val="0"/>
      <w:divBdr>
        <w:top w:val="none" w:sz="0" w:space="0" w:color="auto"/>
        <w:left w:val="none" w:sz="0" w:space="0" w:color="auto"/>
        <w:bottom w:val="none" w:sz="0" w:space="0" w:color="auto"/>
        <w:right w:val="none" w:sz="0" w:space="0" w:color="auto"/>
      </w:divBdr>
    </w:div>
    <w:div w:id="49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mokefreelifeoxfordshire.co.uk/" TargetMode="External"/><Relationship Id="rId26" Type="http://schemas.openxmlformats.org/officeDocument/2006/relationships/hyperlink" Target="https://www.bbolmc.co.uk/home" TargetMode="External"/><Relationship Id="rId39" Type="http://schemas.openxmlformats.org/officeDocument/2006/relationships/image" Target="media/image4.png"/><Relationship Id="rId21" Type="http://schemas.openxmlformats.org/officeDocument/2006/relationships/hyperlink" Target="https://www.bobstp.org.uk/media/1749/bob-report-2019-final.pdf" TargetMode="External"/><Relationship Id="rId34" Type="http://schemas.openxmlformats.org/officeDocument/2006/relationships/hyperlink" Target="https://www.ouh.nhs.uk/hospitals/horton/"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yperlink" Target="https://www.smokefreelifeoxfordshire.co.uk/" TargetMode="External"/><Relationship Id="rId25" Type="http://schemas.openxmlformats.org/officeDocument/2006/relationships/hyperlink" Target="https://www.oxfordshireccg.nhs.uk/about-us/oxfordshires-primary-care-networks.htm" TargetMode="External"/><Relationship Id="rId33" Type="http://schemas.openxmlformats.org/officeDocument/2006/relationships/hyperlink" Target="https://www.ouh.nhs.uk/hospitals/noc/" TargetMode="External"/><Relationship Id="rId38" Type="http://schemas.openxmlformats.org/officeDocument/2006/relationships/header" Target="header1.xml"/><Relationship Id="rId46" Type="http://schemas.openxmlformats.org/officeDocument/2006/relationships/image" Target="media/image11.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nsultations.oxfordshire.gov.uk/consult.ti/OxonSSS/consultationHome" TargetMode="External"/><Relationship Id="rId20" Type="http://schemas.openxmlformats.org/officeDocument/2006/relationships/hyperlink" Target="https://www.pharmacythamesvalley.org.uk/wp-content/uploads/sites/109/2020/06/PGD-varenicline-Oxfordshire-Feb-2020.pdf" TargetMode="External"/><Relationship Id="rId29" Type="http://schemas.openxmlformats.org/officeDocument/2006/relationships/hyperlink" Target="https://www.oxfordhealth.nhs.uk/" TargetMode="External"/><Relationship Id="rId41" Type="http://schemas.openxmlformats.org/officeDocument/2006/relationships/image" Target="media/image6.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oxfordshireccg.nhs.uk/your-local-area/" TargetMode="External"/><Relationship Id="rId32" Type="http://schemas.openxmlformats.org/officeDocument/2006/relationships/hyperlink" Target="https://www.ouh.nhs.uk/hospitals/churchill/" TargetMode="External"/><Relationship Id="rId37" Type="http://schemas.openxmlformats.org/officeDocument/2006/relationships/hyperlink" Target="https://digital.nhs.uk/data-and-information/data-collections-and-data-sets/data-collections/stop-smoking-services-collection"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https://www.solutions4health.co.uk/" TargetMode="External"/><Relationship Id="rId23" Type="http://schemas.openxmlformats.org/officeDocument/2006/relationships/hyperlink" Target="https://www.oxfordshireccg.nhs.uk/your-local-area/" TargetMode="External"/><Relationship Id="rId28" Type="http://schemas.openxmlformats.org/officeDocument/2006/relationships/hyperlink" Target="https://www.pharmacythamesvalley.org.uk/wp-content/uploads/sites/109/2020/06/PGD-varenicline-Oxfordshire-Feb-2020.pdf" TargetMode="External"/><Relationship Id="rId36" Type="http://schemas.openxmlformats.org/officeDocument/2006/relationships/chart" Target="charts/chart1.xm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yperlink" Target="https://www.oxfordshireccg.nhs.uk/professional-resources/documents/prescribing/APCO-Bullet-points-March-2018.pdf" TargetMode="External"/><Relationship Id="rId31" Type="http://schemas.openxmlformats.org/officeDocument/2006/relationships/hyperlink" Target="https://www.ouh.nhs.uk/hospitals/jr/"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xfordhealth.nhs.uk/" TargetMode="External"/><Relationship Id="rId22" Type="http://schemas.openxmlformats.org/officeDocument/2006/relationships/hyperlink" Target="https://www.bobstp.org.uk/media/1749/bob-report-2019-final.pdf" TargetMode="External"/><Relationship Id="rId27" Type="http://schemas.openxmlformats.org/officeDocument/2006/relationships/hyperlink" Target="https://insight.oxfordshire.gov.uk/cms/system/files/documents/2018_Oxfordshire_PNA_FINAL_3.pdf" TargetMode="External"/><Relationship Id="rId30" Type="http://schemas.openxmlformats.org/officeDocument/2006/relationships/hyperlink" Target="https://www.ouh.nhs.uk/" TargetMode="External"/><Relationship Id="rId35" Type="http://schemas.openxmlformats.org/officeDocument/2006/relationships/hyperlink" Target="https://www.ouh.nhs.uk/patient-guide/here-for-health/default.aspx"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oxfordshire\public%20health\Public%20Health\PH_Functions\Smoking_and_Tobacco\Monitor_KE\NHS%20Digital%20reports_KE\quit%20performance%20year%20on%20yea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effectLst/>
                <a:latin typeface="Arial" panose="020B0604020202020204" pitchFamily="34" charset="0"/>
                <a:cs typeface="Arial" panose="020B0604020202020204" pitchFamily="34" charset="0"/>
              </a:rPr>
              <a:t>Trend in Successful Week Quitters Compared to Target </a:t>
            </a:r>
            <a:endParaRPr lang="en-GB" sz="1100">
              <a:effectLst/>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1"/>
          <c:order val="1"/>
          <c:tx>
            <c:strRef>
              <c:f>Sheet1!$C$2</c:f>
              <c:strCache>
                <c:ptCount val="1"/>
                <c:pt idx="0">
                  <c:v>Actual Quits</c:v>
                </c:pt>
              </c:strCache>
            </c:strRef>
          </c:tx>
          <c:spPr>
            <a:solidFill>
              <a:schemeClr val="accent2"/>
            </a:solidFill>
            <a:ln>
              <a:noFill/>
            </a:ln>
            <a:effectLst/>
          </c:spPr>
          <c:invertIfNegative val="0"/>
          <c:cat>
            <c:strRef>
              <c:f>Sheet1!$A$3:$A$20</c:f>
              <c:strCache>
                <c:ptCount val="18"/>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2021/20</c:v>
                </c:pt>
              </c:strCache>
            </c:strRef>
          </c:cat>
          <c:val>
            <c:numRef>
              <c:f>Sheet1!$C$3:$C$20</c:f>
              <c:numCache>
                <c:formatCode>General</c:formatCode>
                <c:ptCount val="18"/>
                <c:pt idx="0">
                  <c:v>2701</c:v>
                </c:pt>
                <c:pt idx="1">
                  <c:v>3237</c:v>
                </c:pt>
                <c:pt idx="2">
                  <c:v>3370</c:v>
                </c:pt>
                <c:pt idx="3">
                  <c:v>3173</c:v>
                </c:pt>
                <c:pt idx="4">
                  <c:v>4063</c:v>
                </c:pt>
                <c:pt idx="5">
                  <c:v>3478</c:v>
                </c:pt>
                <c:pt idx="6">
                  <c:v>3555</c:v>
                </c:pt>
                <c:pt idx="7">
                  <c:v>3517</c:v>
                </c:pt>
                <c:pt idx="8">
                  <c:v>3652</c:v>
                </c:pt>
                <c:pt idx="9">
                  <c:v>3703</c:v>
                </c:pt>
                <c:pt idx="10">
                  <c:v>3301</c:v>
                </c:pt>
                <c:pt idx="11">
                  <c:v>1955</c:v>
                </c:pt>
                <c:pt idx="12">
                  <c:v>1923</c:v>
                </c:pt>
                <c:pt idx="13">
                  <c:v>2037</c:v>
                </c:pt>
                <c:pt idx="14">
                  <c:v>1569</c:v>
                </c:pt>
                <c:pt idx="15">
                  <c:v>2000</c:v>
                </c:pt>
                <c:pt idx="16">
                  <c:v>1949</c:v>
                </c:pt>
              </c:numCache>
            </c:numRef>
          </c:val>
          <c:extLst>
            <c:ext xmlns:c16="http://schemas.microsoft.com/office/drawing/2014/chart" uri="{C3380CC4-5D6E-409C-BE32-E72D297353CC}">
              <c16:uniqueId val="{00000000-67E5-4264-82B3-E5ADAE4402BE}"/>
            </c:ext>
          </c:extLst>
        </c:ser>
        <c:dLbls>
          <c:showLegendKey val="0"/>
          <c:showVal val="0"/>
          <c:showCatName val="0"/>
          <c:showSerName val="0"/>
          <c:showPercent val="0"/>
          <c:showBubbleSize val="0"/>
        </c:dLbls>
        <c:gapWidth val="219"/>
        <c:axId val="647175376"/>
        <c:axId val="1"/>
      </c:barChart>
      <c:lineChart>
        <c:grouping val="standard"/>
        <c:varyColors val="0"/>
        <c:ser>
          <c:idx val="0"/>
          <c:order val="0"/>
          <c:tx>
            <c:strRef>
              <c:f>Sheet1!$B$2</c:f>
              <c:strCache>
                <c:ptCount val="1"/>
                <c:pt idx="0">
                  <c:v> Target Quits</c:v>
                </c:pt>
              </c:strCache>
            </c:strRef>
          </c:tx>
          <c:spPr>
            <a:ln w="28575" cap="rnd">
              <a:solidFill>
                <a:schemeClr val="accent1"/>
              </a:solidFill>
              <a:round/>
            </a:ln>
            <a:effectLst/>
          </c:spPr>
          <c:marker>
            <c:symbol val="none"/>
          </c:marker>
          <c:cat>
            <c:strRef>
              <c:f>Sheet1!$A$3:$A$20</c:f>
              <c:strCache>
                <c:ptCount val="18"/>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2021/20</c:v>
                </c:pt>
              </c:strCache>
            </c:strRef>
          </c:cat>
          <c:val>
            <c:numRef>
              <c:f>Sheet1!$B$3:$B$20</c:f>
              <c:numCache>
                <c:formatCode>General</c:formatCode>
                <c:ptCount val="18"/>
                <c:pt idx="0">
                  <c:v>1931</c:v>
                </c:pt>
                <c:pt idx="1">
                  <c:v>2660</c:v>
                </c:pt>
                <c:pt idx="2">
                  <c:v>3814</c:v>
                </c:pt>
                <c:pt idx="3">
                  <c:v>4216</c:v>
                </c:pt>
                <c:pt idx="4">
                  <c:v>4358</c:v>
                </c:pt>
                <c:pt idx="5">
                  <c:v>3278</c:v>
                </c:pt>
                <c:pt idx="6">
                  <c:v>3351</c:v>
                </c:pt>
                <c:pt idx="7">
                  <c:v>3385</c:v>
                </c:pt>
                <c:pt idx="8">
                  <c:v>3559</c:v>
                </c:pt>
                <c:pt idx="9">
                  <c:v>3576</c:v>
                </c:pt>
                <c:pt idx="10">
                  <c:v>3800</c:v>
                </c:pt>
                <c:pt idx="11">
                  <c:v>3800</c:v>
                </c:pt>
                <c:pt idx="12">
                  <c:v>3650</c:v>
                </c:pt>
                <c:pt idx="13">
                  <c:v>3650</c:v>
                </c:pt>
                <c:pt idx="14">
                  <c:v>3650</c:v>
                </c:pt>
                <c:pt idx="15">
                  <c:v>2000</c:v>
                </c:pt>
                <c:pt idx="16">
                  <c:v>2000</c:v>
                </c:pt>
                <c:pt idx="17">
                  <c:v>2000</c:v>
                </c:pt>
              </c:numCache>
            </c:numRef>
          </c:val>
          <c:smooth val="0"/>
          <c:extLst>
            <c:ext xmlns:c16="http://schemas.microsoft.com/office/drawing/2014/chart" uri="{C3380CC4-5D6E-409C-BE32-E72D297353CC}">
              <c16:uniqueId val="{00000001-67E5-4264-82B3-E5ADAE4402BE}"/>
            </c:ext>
          </c:extLst>
        </c:ser>
        <c:dLbls>
          <c:showLegendKey val="0"/>
          <c:showVal val="0"/>
          <c:showCatName val="0"/>
          <c:showSerName val="0"/>
          <c:showPercent val="0"/>
          <c:showBubbleSize val="0"/>
        </c:dLbls>
        <c:marker val="1"/>
        <c:smooth val="0"/>
        <c:axId val="647175376"/>
        <c:axId val="1"/>
      </c:lineChart>
      <c:catAx>
        <c:axId val="64717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175376"/>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TCA">
      <a:dk1>
        <a:sysClr val="windowText" lastClr="000000"/>
      </a:dk1>
      <a:lt1>
        <a:srgbClr val="43BEAB"/>
      </a:lt1>
      <a:dk2>
        <a:srgbClr val="3A78BB"/>
      </a:dk2>
      <a:lt2>
        <a:srgbClr val="667088"/>
      </a:lt2>
      <a:accent1>
        <a:srgbClr val="43BEAB"/>
      </a:accent1>
      <a:accent2>
        <a:srgbClr val="667088"/>
      </a:accent2>
      <a:accent3>
        <a:srgbClr val="3A78BB"/>
      </a:accent3>
      <a:accent4>
        <a:srgbClr val="B3E5DD"/>
      </a:accent4>
      <a:accent5>
        <a:srgbClr val="C0C5D0"/>
      </a:accent5>
      <a:accent6>
        <a:srgbClr val="76A3D4"/>
      </a:accent6>
      <a:hlink>
        <a:srgbClr val="0042C7"/>
      </a:hlink>
      <a:folHlink>
        <a:srgbClr val="2F75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944B67503BF14BA4D40CD0C6DE0245" ma:contentTypeVersion="4" ma:contentTypeDescription="Create a new document." ma:contentTypeScope="" ma:versionID="d3ed6b56a22b829ae0573383c24b5627">
  <xsd:schema xmlns:xsd="http://www.w3.org/2001/XMLSchema" xmlns:xs="http://www.w3.org/2001/XMLSchema" xmlns:p="http://schemas.microsoft.com/office/2006/metadata/properties" xmlns:ns2="c844bf54-9789-4205-bb01-07cb0fb564d9" targetNamespace="http://schemas.microsoft.com/office/2006/metadata/properties" ma:root="true" ma:fieldsID="5c2102c68878d891a5381de12ffb0b10" ns2:_="">
    <xsd:import namespace="c844bf54-9789-4205-bb01-07cb0fb564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4bf54-9789-4205-bb01-07cb0fb56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A20AD-0FE3-40AB-86F4-6CAAC7023F3B}">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c844bf54-9789-4205-bb01-07cb0fb564d9"/>
    <ds:schemaRef ds:uri="http://www.w3.org/XML/1998/namespace"/>
  </ds:schemaRefs>
</ds:datastoreItem>
</file>

<file path=customXml/itemProps2.xml><?xml version="1.0" encoding="utf-8"?>
<ds:datastoreItem xmlns:ds="http://schemas.openxmlformats.org/officeDocument/2006/customXml" ds:itemID="{495EA714-69F7-4C01-B745-EF75F20E3C8D}">
  <ds:schemaRefs>
    <ds:schemaRef ds:uri="http://schemas.microsoft.com/sharepoint/v3/contenttype/forms"/>
  </ds:schemaRefs>
</ds:datastoreItem>
</file>

<file path=customXml/itemProps3.xml><?xml version="1.0" encoding="utf-8"?>
<ds:datastoreItem xmlns:ds="http://schemas.openxmlformats.org/officeDocument/2006/customXml" ds:itemID="{D0FC2526-9572-4D37-9DC4-A45C2FEF3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4bf54-9789-4205-bb01-07cb0fb56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4F592C-4F22-444A-8000-87D6D0670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1755</Words>
  <Characters>10008</Characters>
  <Application>Microsoft Office Word</Application>
  <DocSecurity>0</DocSecurity>
  <Lines>83</Lines>
  <Paragraphs>23</Paragraphs>
  <ScaleCrop>false</ScaleCrop>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Eveleigh, Katharine - Public Health</dc:creator>
  <cp:keywords/>
  <dc:description/>
  <cp:lastModifiedBy>Pinel, Stephen - Public Health</cp:lastModifiedBy>
  <cp:revision>19</cp:revision>
  <dcterms:created xsi:type="dcterms:W3CDTF">2020-07-03T08:04:00Z</dcterms:created>
  <dcterms:modified xsi:type="dcterms:W3CDTF">2020-08-07T11:18:00Z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0x0101007B944B67503BF14BA4D40CD0C6DE0245</vt:lpwstr>
  </property>
</Properties>
</file>