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127AC" w14:textId="77777777" w:rsidR="00EA5B51" w:rsidRPr="00C06484" w:rsidRDefault="00EA5B51">
      <w:pPr>
        <w:rPr>
          <w:color w:val="FF0000"/>
        </w:rPr>
      </w:pPr>
      <w:r w:rsidRPr="00C06484">
        <w:rPr>
          <w:noProof/>
          <w:color w:val="FF0000"/>
          <w:sz w:val="52"/>
          <w:szCs w:val="52"/>
          <w:lang w:eastAsia="en-GB"/>
        </w:rPr>
        <w:drawing>
          <wp:anchor distT="0" distB="0" distL="114300" distR="114300" simplePos="0" relativeHeight="251659264" behindDoc="0" locked="0" layoutInCell="1" allowOverlap="1" wp14:anchorId="7567B479" wp14:editId="26838BB5">
            <wp:simplePos x="0" y="0"/>
            <wp:positionH relativeFrom="margin">
              <wp:posOffset>-61595</wp:posOffset>
            </wp:positionH>
            <wp:positionV relativeFrom="margin">
              <wp:align>top</wp:align>
            </wp:positionV>
            <wp:extent cx="2073910" cy="530225"/>
            <wp:effectExtent l="0" t="0" r="2540" b="317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3910" cy="530225"/>
                    </a:xfrm>
                    <a:prstGeom prst="rect">
                      <a:avLst/>
                    </a:prstGeom>
                    <a:noFill/>
                  </pic:spPr>
                </pic:pic>
              </a:graphicData>
            </a:graphic>
            <wp14:sizeRelH relativeFrom="page">
              <wp14:pctWidth>0</wp14:pctWidth>
            </wp14:sizeRelH>
            <wp14:sizeRelV relativeFrom="page">
              <wp14:pctHeight>0</wp14:pctHeight>
            </wp14:sizeRelV>
          </wp:anchor>
        </w:drawing>
      </w:r>
      <w:r w:rsidR="00F954B8">
        <w:rPr>
          <w:color w:val="FF0000"/>
        </w:rPr>
        <w:tab/>
      </w:r>
      <w:r w:rsidR="00F954B8">
        <w:rPr>
          <w:color w:val="FF0000"/>
        </w:rPr>
        <w:tab/>
      </w:r>
      <w:r w:rsidR="00F954B8">
        <w:rPr>
          <w:color w:val="FF0000"/>
        </w:rPr>
        <w:tab/>
      </w:r>
      <w:r w:rsidR="00B71039">
        <w:rPr>
          <w:color w:val="FF0000"/>
        </w:rPr>
        <w:t xml:space="preserve">                       </w:t>
      </w:r>
      <w:r w:rsidR="00F954B8">
        <w:rPr>
          <w:color w:val="FF0000"/>
        </w:rPr>
        <w:tab/>
      </w:r>
      <w:r w:rsidR="00F954B8" w:rsidRPr="00F954B8">
        <w:rPr>
          <w:noProof/>
          <w:szCs w:val="20"/>
          <w:lang w:eastAsia="en-GB"/>
        </w:rPr>
        <w:drawing>
          <wp:inline distT="0" distB="0" distL="0" distR="0" wp14:anchorId="1F935B13" wp14:editId="7319A3D8">
            <wp:extent cx="14541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4150" cy="603250"/>
                    </a:xfrm>
                    <a:prstGeom prst="rect">
                      <a:avLst/>
                    </a:prstGeom>
                    <a:noFill/>
                    <a:ln>
                      <a:noFill/>
                    </a:ln>
                  </pic:spPr>
                </pic:pic>
              </a:graphicData>
            </a:graphic>
          </wp:inline>
        </w:drawing>
      </w:r>
    </w:p>
    <w:p w14:paraId="558B9FF0" w14:textId="77777777" w:rsidR="00EA5B51" w:rsidRPr="00C06484" w:rsidRDefault="00EA5B51">
      <w:pPr>
        <w:rPr>
          <w:color w:val="FF0000"/>
        </w:rPr>
      </w:pPr>
    </w:p>
    <w:p w14:paraId="6883ABB4" w14:textId="77777777" w:rsidR="00EA5B51" w:rsidRPr="00C06484" w:rsidRDefault="00EA5B51">
      <w:pPr>
        <w:rPr>
          <w:color w:val="FF0000"/>
        </w:rPr>
      </w:pPr>
    </w:p>
    <w:p w14:paraId="1E5EF95A" w14:textId="77777777" w:rsidR="00EA5B51" w:rsidRPr="00C06484" w:rsidRDefault="00EA5B51">
      <w:pPr>
        <w:rPr>
          <w:color w:val="FF0000"/>
        </w:rPr>
      </w:pPr>
    </w:p>
    <w:p w14:paraId="3C90A6D2" w14:textId="77777777" w:rsidR="00EA5B51" w:rsidRPr="00C06484" w:rsidRDefault="00EA5B51">
      <w:pPr>
        <w:rPr>
          <w:color w:val="FF0000"/>
        </w:rPr>
      </w:pPr>
    </w:p>
    <w:p w14:paraId="145C97D0" w14:textId="77777777" w:rsidR="00EA5B51" w:rsidRPr="00C06484" w:rsidRDefault="00EA5B51">
      <w:pPr>
        <w:rPr>
          <w:color w:val="FF0000"/>
        </w:rPr>
      </w:pPr>
    </w:p>
    <w:p w14:paraId="3F38D204" w14:textId="77777777" w:rsidR="00EA5B51" w:rsidRPr="00C06484" w:rsidRDefault="00EA5B51">
      <w:pPr>
        <w:rPr>
          <w:color w:val="FF0000"/>
        </w:rPr>
      </w:pPr>
    </w:p>
    <w:p w14:paraId="01DDB9ED" w14:textId="77777777" w:rsidR="00EA5B51" w:rsidRPr="00C06484" w:rsidRDefault="00EA5B51">
      <w:pPr>
        <w:rPr>
          <w:color w:val="FF0000"/>
        </w:rPr>
      </w:pPr>
    </w:p>
    <w:p w14:paraId="32325DBD" w14:textId="77777777" w:rsidR="00EA5B51" w:rsidRPr="00C06484" w:rsidRDefault="00EA5B51">
      <w:pPr>
        <w:rPr>
          <w:color w:val="FF0000"/>
        </w:rPr>
      </w:pPr>
    </w:p>
    <w:p w14:paraId="5142EEAF" w14:textId="77777777" w:rsidR="00AE651E" w:rsidRDefault="003220FF" w:rsidP="00EA5B51">
      <w:pPr>
        <w:rPr>
          <w:rFonts w:eastAsia="Arial" w:cs="Arial"/>
          <w:b/>
          <w:bCs/>
          <w:sz w:val="40"/>
          <w:szCs w:val="40"/>
        </w:rPr>
      </w:pPr>
      <w:r w:rsidRPr="00B71039">
        <w:rPr>
          <w:rFonts w:eastAsia="Arial" w:cs="Arial"/>
          <w:b/>
          <w:bCs/>
          <w:sz w:val="40"/>
          <w:szCs w:val="40"/>
        </w:rPr>
        <w:t>00</w:t>
      </w:r>
      <w:r w:rsidR="00A2011C">
        <w:rPr>
          <w:rFonts w:eastAsia="Arial" w:cs="Arial"/>
          <w:b/>
          <w:bCs/>
          <w:sz w:val="40"/>
          <w:szCs w:val="40"/>
        </w:rPr>
        <w:t>6050</w:t>
      </w:r>
      <w:r w:rsidRPr="00B71039">
        <w:rPr>
          <w:rFonts w:eastAsia="Arial" w:cs="Arial"/>
          <w:b/>
          <w:bCs/>
          <w:sz w:val="40"/>
          <w:szCs w:val="40"/>
        </w:rPr>
        <w:t xml:space="preserve"> </w:t>
      </w:r>
      <w:r w:rsidR="006A7D7D" w:rsidRPr="00B71039">
        <w:rPr>
          <w:rFonts w:eastAsia="Arial" w:cs="Arial"/>
          <w:b/>
          <w:bCs/>
          <w:sz w:val="40"/>
          <w:szCs w:val="40"/>
        </w:rPr>
        <w:t xml:space="preserve">– </w:t>
      </w:r>
      <w:r w:rsidR="00B71039">
        <w:rPr>
          <w:rFonts w:eastAsia="Arial" w:cs="Arial"/>
          <w:b/>
          <w:bCs/>
          <w:sz w:val="40"/>
          <w:szCs w:val="40"/>
        </w:rPr>
        <w:t xml:space="preserve">NEPO </w:t>
      </w:r>
      <w:r w:rsidR="00B71039" w:rsidRPr="00B71039">
        <w:rPr>
          <w:rFonts w:eastAsia="Arial" w:cs="Arial"/>
          <w:b/>
          <w:bCs/>
          <w:sz w:val="40"/>
          <w:szCs w:val="40"/>
        </w:rPr>
        <w:t xml:space="preserve">Provision of </w:t>
      </w:r>
      <w:r w:rsidR="00B71039">
        <w:rPr>
          <w:rFonts w:eastAsia="Arial" w:cs="Arial"/>
          <w:b/>
          <w:bCs/>
          <w:sz w:val="40"/>
          <w:szCs w:val="40"/>
        </w:rPr>
        <w:t>Independent Foster</w:t>
      </w:r>
      <w:r w:rsidR="00570100">
        <w:rPr>
          <w:rFonts w:eastAsia="Arial" w:cs="Arial"/>
          <w:b/>
          <w:bCs/>
          <w:sz w:val="40"/>
          <w:szCs w:val="40"/>
        </w:rPr>
        <w:t xml:space="preserve"> Care</w:t>
      </w:r>
      <w:r w:rsidR="00B71039">
        <w:rPr>
          <w:rFonts w:eastAsia="Arial" w:cs="Arial"/>
          <w:b/>
          <w:bCs/>
          <w:sz w:val="40"/>
          <w:szCs w:val="40"/>
        </w:rPr>
        <w:t xml:space="preserve"> Services </w:t>
      </w:r>
    </w:p>
    <w:p w14:paraId="0FCB83F2" w14:textId="77777777" w:rsidR="00B71039" w:rsidRPr="00B71039" w:rsidRDefault="00B71039" w:rsidP="00EA5B51">
      <w:pPr>
        <w:rPr>
          <w:rFonts w:eastAsia="Arial" w:cs="Arial"/>
          <w:b/>
          <w:bCs/>
          <w:sz w:val="40"/>
          <w:szCs w:val="40"/>
        </w:rPr>
      </w:pPr>
    </w:p>
    <w:p w14:paraId="0D91A2A0" w14:textId="77777777" w:rsidR="008B6DD2" w:rsidRPr="00B71039" w:rsidRDefault="00D83115" w:rsidP="005A3790">
      <w:pPr>
        <w:rPr>
          <w:rFonts w:eastAsia="Arial" w:cs="Arial"/>
          <w:b/>
          <w:bCs/>
          <w:sz w:val="40"/>
          <w:szCs w:val="40"/>
        </w:rPr>
      </w:pPr>
      <w:r>
        <w:rPr>
          <w:rFonts w:eastAsia="Arial" w:cs="Arial"/>
          <w:b/>
          <w:bCs/>
          <w:sz w:val="40"/>
          <w:szCs w:val="40"/>
        </w:rPr>
        <w:t>Draft</w:t>
      </w:r>
      <w:r w:rsidR="00AE651E" w:rsidRPr="00B71039">
        <w:rPr>
          <w:rFonts w:eastAsia="Arial" w:cs="Arial"/>
          <w:b/>
          <w:bCs/>
          <w:sz w:val="40"/>
          <w:szCs w:val="40"/>
        </w:rPr>
        <w:t xml:space="preserve"> </w:t>
      </w:r>
      <w:r w:rsidR="00545C9E" w:rsidRPr="00B71039">
        <w:rPr>
          <w:rFonts w:eastAsia="Arial" w:cs="Arial"/>
          <w:b/>
          <w:bCs/>
          <w:sz w:val="40"/>
          <w:szCs w:val="40"/>
        </w:rPr>
        <w:t>C</w:t>
      </w:r>
      <w:r w:rsidR="00AE651E" w:rsidRPr="00B71039">
        <w:rPr>
          <w:rFonts w:eastAsia="Arial" w:cs="Arial"/>
          <w:b/>
          <w:bCs/>
          <w:sz w:val="40"/>
          <w:szCs w:val="40"/>
        </w:rPr>
        <w:t>ommissioning Model</w:t>
      </w:r>
      <w:r w:rsidR="00B71039">
        <w:rPr>
          <w:rFonts w:eastAsia="Arial" w:cs="Arial"/>
          <w:b/>
          <w:bCs/>
          <w:sz w:val="40"/>
          <w:szCs w:val="40"/>
        </w:rPr>
        <w:t xml:space="preserve"> </w:t>
      </w:r>
      <w:r w:rsidR="00725373">
        <w:rPr>
          <w:rFonts w:eastAsia="Arial" w:cs="Arial"/>
          <w:b/>
          <w:bCs/>
          <w:sz w:val="40"/>
          <w:szCs w:val="40"/>
        </w:rPr>
        <w:t>V1</w:t>
      </w:r>
    </w:p>
    <w:p w14:paraId="27188115" w14:textId="77777777" w:rsidR="008B6DD2" w:rsidRPr="00B71039" w:rsidRDefault="008B6DD2" w:rsidP="005A3790">
      <w:pPr>
        <w:rPr>
          <w:rFonts w:eastAsia="Arial" w:cs="Arial"/>
          <w:b/>
          <w:bCs/>
          <w:sz w:val="40"/>
          <w:szCs w:val="40"/>
        </w:rPr>
      </w:pPr>
    </w:p>
    <w:p w14:paraId="721CDBDE" w14:textId="7B6AC853" w:rsidR="003566D6" w:rsidRPr="00B71039" w:rsidRDefault="00CE5D1B" w:rsidP="005A3790">
      <w:pPr>
        <w:rPr>
          <w:rFonts w:eastAsia="Arial" w:cs="Arial"/>
          <w:b/>
          <w:bCs/>
          <w:sz w:val="40"/>
          <w:szCs w:val="40"/>
        </w:rPr>
      </w:pPr>
      <w:r>
        <w:rPr>
          <w:rFonts w:eastAsia="Arial" w:cs="Arial"/>
          <w:b/>
          <w:bCs/>
          <w:sz w:val="40"/>
          <w:szCs w:val="40"/>
        </w:rPr>
        <w:t>11</w:t>
      </w:r>
      <w:r w:rsidR="00A2011C">
        <w:rPr>
          <w:rFonts w:eastAsia="Arial" w:cs="Arial"/>
          <w:b/>
          <w:bCs/>
          <w:sz w:val="40"/>
          <w:szCs w:val="40"/>
        </w:rPr>
        <w:t>.02.2019</w:t>
      </w:r>
    </w:p>
    <w:p w14:paraId="582BBA4D" w14:textId="77777777" w:rsidR="00EA5B51" w:rsidRPr="00C06484" w:rsidRDefault="00EA5B51"/>
    <w:p w14:paraId="2096F01F" w14:textId="77777777" w:rsidR="00EA5B51" w:rsidRPr="00C06484" w:rsidRDefault="00EA5B51"/>
    <w:p w14:paraId="59868810" w14:textId="77777777" w:rsidR="00EA5B51" w:rsidRPr="00C06484" w:rsidRDefault="00EA5B51"/>
    <w:p w14:paraId="191EAD80" w14:textId="77777777" w:rsidR="00EA5B51" w:rsidRPr="00C06484" w:rsidRDefault="00EA5B51"/>
    <w:p w14:paraId="48F2B941" w14:textId="77777777" w:rsidR="00EA5B51" w:rsidRPr="00C06484" w:rsidRDefault="00EA5B51"/>
    <w:p w14:paraId="22B9BD78" w14:textId="77777777" w:rsidR="00EA5B51" w:rsidRPr="00C06484" w:rsidRDefault="00EA5B51"/>
    <w:p w14:paraId="4AA669AD" w14:textId="77777777" w:rsidR="00EA5B51" w:rsidRPr="00C06484" w:rsidRDefault="00EA5B51"/>
    <w:p w14:paraId="6D30FDD1" w14:textId="77777777" w:rsidR="00EA5B51" w:rsidRPr="00C06484" w:rsidRDefault="00EA5B51"/>
    <w:p w14:paraId="0B863151" w14:textId="77777777" w:rsidR="00EA5B51" w:rsidRPr="00C06484" w:rsidRDefault="00EA5B51"/>
    <w:p w14:paraId="361EA39A" w14:textId="77777777" w:rsidR="00EA5B51" w:rsidRPr="00C06484" w:rsidRDefault="00EA5B51"/>
    <w:p w14:paraId="5077271B" w14:textId="77777777" w:rsidR="00EA5B51" w:rsidRDefault="00EA5B51"/>
    <w:p w14:paraId="062420B0" w14:textId="77777777" w:rsidR="00B71039" w:rsidRDefault="00B71039"/>
    <w:p w14:paraId="3306A64D" w14:textId="77777777" w:rsidR="00B71039" w:rsidRDefault="00B71039"/>
    <w:p w14:paraId="2126B1D0" w14:textId="77777777" w:rsidR="00B71039" w:rsidRDefault="00B71039"/>
    <w:p w14:paraId="64804A3C" w14:textId="77777777" w:rsidR="00B71039" w:rsidRDefault="00B71039"/>
    <w:p w14:paraId="28ACB930" w14:textId="77777777" w:rsidR="00B71039" w:rsidRDefault="00B71039"/>
    <w:p w14:paraId="054934AB" w14:textId="77777777" w:rsidR="00B71039" w:rsidRDefault="00B71039"/>
    <w:p w14:paraId="64762982" w14:textId="77777777" w:rsidR="00B71039" w:rsidRDefault="00B71039"/>
    <w:p w14:paraId="24235292" w14:textId="77777777" w:rsidR="00B71039" w:rsidRDefault="00B71039"/>
    <w:p w14:paraId="7A23658E" w14:textId="77777777" w:rsidR="00B71039" w:rsidRDefault="00B71039"/>
    <w:p w14:paraId="3AFBF378" w14:textId="77777777" w:rsidR="00A06E01" w:rsidRDefault="00A06E01"/>
    <w:p w14:paraId="6EB8183C" w14:textId="77777777" w:rsidR="00A06E01" w:rsidRDefault="00A06E01"/>
    <w:p w14:paraId="2786A73D" w14:textId="77777777" w:rsidR="00A06E01" w:rsidRDefault="00A06E01"/>
    <w:p w14:paraId="73CAA94C" w14:textId="77777777" w:rsidR="00A06E01" w:rsidRDefault="00A06E01"/>
    <w:p w14:paraId="40CDB628" w14:textId="77777777" w:rsidR="00B71039" w:rsidRDefault="00B71039"/>
    <w:p w14:paraId="2ED1E596" w14:textId="77777777" w:rsidR="006F4501" w:rsidRDefault="006F4501"/>
    <w:p w14:paraId="45618927" w14:textId="77777777" w:rsidR="006F4501" w:rsidRPr="00C06484" w:rsidRDefault="006F4501"/>
    <w:p w14:paraId="49D778F4" w14:textId="77777777" w:rsidR="00EA5B51" w:rsidRPr="00C06484" w:rsidRDefault="00EA5B51"/>
    <w:p w14:paraId="6A481609" w14:textId="77777777" w:rsidR="00C119A4" w:rsidRPr="00C06484" w:rsidRDefault="00C119A4"/>
    <w:p w14:paraId="6A823899" w14:textId="77777777" w:rsidR="00C119A4" w:rsidRPr="00C06484" w:rsidRDefault="00C119A4"/>
    <w:p w14:paraId="20C243EA" w14:textId="77777777" w:rsidR="00BB32BA" w:rsidRDefault="00BB32BA">
      <w:pPr>
        <w:rPr>
          <w:b/>
          <w:color w:val="FF0000"/>
          <w:sz w:val="40"/>
          <w:szCs w:val="40"/>
        </w:rPr>
      </w:pPr>
    </w:p>
    <w:p w14:paraId="57B424EC" w14:textId="77777777" w:rsidR="00A73ADF" w:rsidRDefault="00A73ADF">
      <w:pPr>
        <w:rPr>
          <w:b/>
          <w:color w:val="000000" w:themeColor="text1"/>
          <w:sz w:val="40"/>
          <w:szCs w:val="40"/>
        </w:rPr>
      </w:pPr>
      <w:r w:rsidRPr="00BB44AB">
        <w:rPr>
          <w:b/>
          <w:color w:val="000000" w:themeColor="text1"/>
          <w:sz w:val="40"/>
          <w:szCs w:val="40"/>
        </w:rPr>
        <w:lastRenderedPageBreak/>
        <w:t>Contents</w:t>
      </w:r>
    </w:p>
    <w:p w14:paraId="34F9656D" w14:textId="77777777" w:rsidR="00D83115" w:rsidRPr="00B60E02" w:rsidRDefault="00D83115">
      <w:pPr>
        <w:rPr>
          <w:sz w:val="28"/>
          <w:szCs w:val="28"/>
        </w:rPr>
      </w:pPr>
    </w:p>
    <w:p w14:paraId="5EB4CB75" w14:textId="77777777" w:rsidR="00570100" w:rsidRPr="00BB44AB" w:rsidRDefault="00570100" w:rsidP="00570100">
      <w:pPr>
        <w:pStyle w:val="ListParagraph"/>
        <w:numPr>
          <w:ilvl w:val="0"/>
          <w:numId w:val="2"/>
        </w:numPr>
        <w:ind w:hanging="436"/>
        <w:rPr>
          <w:b/>
          <w:color w:val="000000" w:themeColor="text1"/>
        </w:rPr>
      </w:pPr>
      <w:r>
        <w:rPr>
          <w:b/>
          <w:color w:val="000000" w:themeColor="text1"/>
        </w:rPr>
        <w:t>Consultation Instructions</w:t>
      </w:r>
    </w:p>
    <w:p w14:paraId="58EE1E92" w14:textId="77777777" w:rsidR="00570100" w:rsidRPr="00BB44AB" w:rsidRDefault="00570100" w:rsidP="00570100">
      <w:pPr>
        <w:pStyle w:val="ListParagraph"/>
        <w:rPr>
          <w:b/>
          <w:color w:val="000000" w:themeColor="text1"/>
        </w:rPr>
      </w:pPr>
    </w:p>
    <w:p w14:paraId="4217A36D" w14:textId="77777777" w:rsidR="00570100" w:rsidRDefault="00570100" w:rsidP="00570100">
      <w:pPr>
        <w:pStyle w:val="ListParagraph"/>
        <w:numPr>
          <w:ilvl w:val="0"/>
          <w:numId w:val="2"/>
        </w:numPr>
        <w:ind w:hanging="436"/>
        <w:rPr>
          <w:b/>
          <w:color w:val="000000" w:themeColor="text1"/>
        </w:rPr>
      </w:pPr>
      <w:r w:rsidRPr="00BB44AB">
        <w:rPr>
          <w:b/>
          <w:color w:val="000000" w:themeColor="text1"/>
        </w:rPr>
        <w:t xml:space="preserve">Introduction </w:t>
      </w:r>
    </w:p>
    <w:p w14:paraId="1FE56504" w14:textId="77777777" w:rsidR="00570100" w:rsidRPr="00A24DFB" w:rsidRDefault="00570100" w:rsidP="00570100">
      <w:pPr>
        <w:pStyle w:val="ListParagraph"/>
        <w:rPr>
          <w:b/>
          <w:color w:val="000000" w:themeColor="text1"/>
        </w:rPr>
      </w:pPr>
    </w:p>
    <w:p w14:paraId="3E610AD1" w14:textId="77777777" w:rsidR="00570100" w:rsidRPr="00A24DFB" w:rsidRDefault="00570100" w:rsidP="00570100">
      <w:pPr>
        <w:pStyle w:val="ListParagraph"/>
        <w:numPr>
          <w:ilvl w:val="0"/>
          <w:numId w:val="2"/>
        </w:numPr>
        <w:ind w:hanging="436"/>
        <w:rPr>
          <w:b/>
          <w:color w:val="000000" w:themeColor="text1"/>
        </w:rPr>
      </w:pPr>
      <w:r>
        <w:rPr>
          <w:b/>
          <w:color w:val="000000" w:themeColor="text1"/>
        </w:rPr>
        <w:t>The Procurement Solution</w:t>
      </w:r>
    </w:p>
    <w:p w14:paraId="2BE8CEE4" w14:textId="77777777" w:rsidR="00570100" w:rsidRPr="00BB44AB" w:rsidRDefault="00570100" w:rsidP="00570100">
      <w:pPr>
        <w:rPr>
          <w:color w:val="000000" w:themeColor="text1"/>
        </w:rPr>
      </w:pPr>
    </w:p>
    <w:p w14:paraId="1D55C7F0" w14:textId="77777777" w:rsidR="00570100" w:rsidRPr="0043718E" w:rsidRDefault="00570100" w:rsidP="00570100">
      <w:pPr>
        <w:pStyle w:val="ListParagraph"/>
        <w:numPr>
          <w:ilvl w:val="0"/>
          <w:numId w:val="2"/>
        </w:numPr>
        <w:ind w:hanging="436"/>
        <w:rPr>
          <w:b/>
          <w:color w:val="000000" w:themeColor="text1"/>
        </w:rPr>
      </w:pPr>
      <w:r w:rsidRPr="0043718E">
        <w:rPr>
          <w:b/>
          <w:color w:val="000000" w:themeColor="text1"/>
        </w:rPr>
        <w:t>Proposed Lotting Structure</w:t>
      </w:r>
    </w:p>
    <w:p w14:paraId="7EE4041F" w14:textId="77777777" w:rsidR="00570100" w:rsidRPr="0043718E" w:rsidRDefault="00570100" w:rsidP="00570100">
      <w:pPr>
        <w:pStyle w:val="ListParagraph"/>
        <w:rPr>
          <w:b/>
          <w:color w:val="000000" w:themeColor="text1"/>
        </w:rPr>
      </w:pPr>
    </w:p>
    <w:p w14:paraId="0C7F1379" w14:textId="77777777" w:rsidR="00570100" w:rsidRDefault="00570100" w:rsidP="00570100">
      <w:pPr>
        <w:pStyle w:val="ListParagraph"/>
        <w:numPr>
          <w:ilvl w:val="0"/>
          <w:numId w:val="2"/>
        </w:numPr>
        <w:ind w:hanging="436"/>
        <w:rPr>
          <w:b/>
          <w:color w:val="000000" w:themeColor="text1"/>
        </w:rPr>
      </w:pPr>
      <w:r w:rsidRPr="0043718E">
        <w:rPr>
          <w:b/>
          <w:color w:val="000000" w:themeColor="text1"/>
        </w:rPr>
        <w:t>Proposed Financial Model</w:t>
      </w:r>
    </w:p>
    <w:p w14:paraId="021AC654" w14:textId="77777777" w:rsidR="00570100" w:rsidRPr="0043718E" w:rsidRDefault="00570100" w:rsidP="00570100">
      <w:pPr>
        <w:pStyle w:val="ListParagraph"/>
        <w:rPr>
          <w:b/>
          <w:color w:val="000000" w:themeColor="text1"/>
        </w:rPr>
      </w:pPr>
    </w:p>
    <w:p w14:paraId="58372EED" w14:textId="77777777" w:rsidR="00570100" w:rsidRDefault="00570100" w:rsidP="00570100">
      <w:pPr>
        <w:pStyle w:val="ListParagraph"/>
        <w:numPr>
          <w:ilvl w:val="0"/>
          <w:numId w:val="2"/>
        </w:numPr>
        <w:ind w:hanging="436"/>
        <w:rPr>
          <w:b/>
          <w:color w:val="000000" w:themeColor="text1"/>
        </w:rPr>
      </w:pPr>
      <w:r w:rsidRPr="0043718E">
        <w:rPr>
          <w:b/>
          <w:color w:val="000000" w:themeColor="text1"/>
        </w:rPr>
        <w:t>Changes to Draft Commissioning Model</w:t>
      </w:r>
    </w:p>
    <w:p w14:paraId="58100C98" w14:textId="77777777" w:rsidR="00570100" w:rsidRPr="0043718E" w:rsidRDefault="00570100" w:rsidP="00570100">
      <w:pPr>
        <w:pStyle w:val="ListParagraph"/>
        <w:rPr>
          <w:b/>
          <w:color w:val="000000" w:themeColor="text1"/>
        </w:rPr>
      </w:pPr>
    </w:p>
    <w:p w14:paraId="7AC01388" w14:textId="77777777" w:rsidR="00570100" w:rsidRDefault="00570100" w:rsidP="00570100">
      <w:pPr>
        <w:pStyle w:val="ListParagraph"/>
        <w:numPr>
          <w:ilvl w:val="0"/>
          <w:numId w:val="2"/>
        </w:numPr>
        <w:ind w:hanging="436"/>
        <w:rPr>
          <w:b/>
          <w:color w:val="000000" w:themeColor="text1"/>
        </w:rPr>
      </w:pPr>
      <w:r>
        <w:rPr>
          <w:b/>
          <w:color w:val="000000" w:themeColor="text1"/>
        </w:rPr>
        <w:t>Procurement Timeline</w:t>
      </w:r>
    </w:p>
    <w:p w14:paraId="35BA5353" w14:textId="77777777" w:rsidR="00570100" w:rsidRPr="0043718E" w:rsidRDefault="00570100" w:rsidP="00570100">
      <w:pPr>
        <w:pStyle w:val="ListParagraph"/>
        <w:rPr>
          <w:b/>
          <w:color w:val="000000" w:themeColor="text1"/>
        </w:rPr>
      </w:pPr>
    </w:p>
    <w:p w14:paraId="481B6800" w14:textId="77777777" w:rsidR="00570100" w:rsidRPr="0043718E" w:rsidRDefault="00570100" w:rsidP="00570100">
      <w:pPr>
        <w:pStyle w:val="ListParagraph"/>
        <w:numPr>
          <w:ilvl w:val="0"/>
          <w:numId w:val="2"/>
        </w:numPr>
        <w:ind w:hanging="436"/>
        <w:rPr>
          <w:b/>
          <w:color w:val="000000" w:themeColor="text1"/>
        </w:rPr>
      </w:pPr>
      <w:r>
        <w:rPr>
          <w:b/>
          <w:color w:val="000000" w:themeColor="text1"/>
        </w:rPr>
        <w:t>Social Value</w:t>
      </w:r>
    </w:p>
    <w:p w14:paraId="5E71A176" w14:textId="77777777" w:rsidR="00200B58" w:rsidRPr="00BB44AB" w:rsidRDefault="00200B58" w:rsidP="00200B58">
      <w:pPr>
        <w:rPr>
          <w:color w:val="000000" w:themeColor="text1"/>
        </w:rPr>
      </w:pPr>
    </w:p>
    <w:p w14:paraId="484C276C" w14:textId="77777777" w:rsidR="00C00149" w:rsidRPr="00BB44AB" w:rsidRDefault="00C00149" w:rsidP="00F97902">
      <w:pPr>
        <w:pStyle w:val="ListParagraph"/>
        <w:numPr>
          <w:ilvl w:val="0"/>
          <w:numId w:val="2"/>
        </w:numPr>
        <w:rPr>
          <w:b/>
          <w:vanish/>
          <w:color w:val="000000" w:themeColor="text1"/>
          <w:specVanish/>
        </w:rPr>
      </w:pPr>
    </w:p>
    <w:p w14:paraId="2C91483B" w14:textId="77777777" w:rsidR="00C00149" w:rsidRPr="00BB44AB" w:rsidRDefault="00C00149" w:rsidP="00F97902">
      <w:pPr>
        <w:pStyle w:val="ListParagraph"/>
        <w:numPr>
          <w:ilvl w:val="0"/>
          <w:numId w:val="2"/>
        </w:numPr>
        <w:rPr>
          <w:b/>
          <w:vanish/>
          <w:color w:val="000000" w:themeColor="text1"/>
          <w:specVanish/>
        </w:rPr>
      </w:pPr>
    </w:p>
    <w:p w14:paraId="5C8CCBC9" w14:textId="77777777" w:rsidR="00FF785F" w:rsidRDefault="00FF785F" w:rsidP="00DA44D4">
      <w:pPr>
        <w:rPr>
          <w:b/>
          <w:color w:val="000000" w:themeColor="text1"/>
          <w:sz w:val="26"/>
          <w:szCs w:val="26"/>
        </w:rPr>
      </w:pPr>
    </w:p>
    <w:p w14:paraId="2072BB62" w14:textId="77777777" w:rsidR="00FF785F" w:rsidRPr="00BB44AB" w:rsidRDefault="00FF785F" w:rsidP="00DA44D4">
      <w:pPr>
        <w:rPr>
          <w:b/>
          <w:color w:val="000000" w:themeColor="text1"/>
          <w:sz w:val="26"/>
          <w:szCs w:val="26"/>
        </w:rPr>
      </w:pPr>
    </w:p>
    <w:p w14:paraId="6C8B5E83" w14:textId="77777777" w:rsidR="0079603D" w:rsidRDefault="00DA44D4" w:rsidP="0040752A">
      <w:pPr>
        <w:rPr>
          <w:b/>
          <w:color w:val="000000" w:themeColor="text1"/>
          <w:sz w:val="26"/>
          <w:szCs w:val="26"/>
        </w:rPr>
      </w:pPr>
      <w:r w:rsidRPr="00BB44AB">
        <w:rPr>
          <w:b/>
          <w:color w:val="000000" w:themeColor="text1"/>
          <w:sz w:val="26"/>
          <w:szCs w:val="26"/>
        </w:rPr>
        <w:t>Appendices:</w:t>
      </w:r>
    </w:p>
    <w:p w14:paraId="39B5C578" w14:textId="77777777" w:rsidR="006F4501" w:rsidRPr="006F4501" w:rsidRDefault="006F4501" w:rsidP="0040752A">
      <w:pPr>
        <w:rPr>
          <w:b/>
          <w:color w:val="000000" w:themeColor="text1"/>
          <w:sz w:val="26"/>
          <w:szCs w:val="26"/>
        </w:rPr>
      </w:pPr>
    </w:p>
    <w:p w14:paraId="0D656C6E" w14:textId="77777777" w:rsidR="0043718E" w:rsidRDefault="0079603D" w:rsidP="0040752A">
      <w:pPr>
        <w:rPr>
          <w:rFonts w:eastAsia="Calibri" w:cs="Arial"/>
          <w:color w:val="000000" w:themeColor="text1"/>
        </w:rPr>
      </w:pPr>
      <w:r w:rsidRPr="00BB44AB">
        <w:rPr>
          <w:rFonts w:eastAsia="Calibri" w:cs="Arial"/>
          <w:b/>
          <w:color w:val="000000" w:themeColor="text1"/>
        </w:rPr>
        <w:t xml:space="preserve">Appendix </w:t>
      </w:r>
      <w:r w:rsidR="006F4501">
        <w:rPr>
          <w:rFonts w:eastAsia="Calibri" w:cs="Arial"/>
          <w:b/>
          <w:color w:val="000000" w:themeColor="text1"/>
        </w:rPr>
        <w:t>1</w:t>
      </w:r>
      <w:r w:rsidRPr="00BB44AB">
        <w:rPr>
          <w:rFonts w:eastAsia="Calibri" w:cs="Arial"/>
          <w:color w:val="000000" w:themeColor="text1"/>
        </w:rPr>
        <w:t xml:space="preserve"> – </w:t>
      </w:r>
      <w:r w:rsidR="0043718E">
        <w:rPr>
          <w:rFonts w:eastAsia="Calibri" w:cs="Arial"/>
          <w:color w:val="000000" w:themeColor="text1"/>
        </w:rPr>
        <w:t>Consultation Response Form</w:t>
      </w:r>
    </w:p>
    <w:p w14:paraId="06FD77A7" w14:textId="77777777" w:rsidR="008A59F1" w:rsidRDefault="0043718E" w:rsidP="0040752A">
      <w:pPr>
        <w:rPr>
          <w:rFonts w:eastAsia="Calibri" w:cs="Arial"/>
          <w:color w:val="000000" w:themeColor="text1"/>
        </w:rPr>
      </w:pPr>
      <w:r w:rsidRPr="0043718E">
        <w:rPr>
          <w:rFonts w:eastAsia="Calibri" w:cs="Arial"/>
          <w:b/>
          <w:color w:val="000000" w:themeColor="text1"/>
        </w:rPr>
        <w:t>Appendix 2</w:t>
      </w:r>
      <w:r>
        <w:rPr>
          <w:rFonts w:eastAsia="Calibri" w:cs="Arial"/>
          <w:color w:val="000000" w:themeColor="text1"/>
        </w:rPr>
        <w:t xml:space="preserve"> – </w:t>
      </w:r>
      <w:r w:rsidR="008A59F1">
        <w:rPr>
          <w:rFonts w:eastAsia="Calibri" w:cs="Arial"/>
          <w:color w:val="000000" w:themeColor="text1"/>
        </w:rPr>
        <w:t xml:space="preserve">Financial Breakdown </w:t>
      </w:r>
    </w:p>
    <w:p w14:paraId="44E40447" w14:textId="77777777" w:rsidR="008A59F1" w:rsidRDefault="008A59F1" w:rsidP="0040752A">
      <w:pPr>
        <w:rPr>
          <w:rFonts w:eastAsia="Calibri" w:cs="Arial"/>
          <w:color w:val="000000" w:themeColor="text1"/>
        </w:rPr>
      </w:pPr>
      <w:r w:rsidRPr="008A59F1">
        <w:rPr>
          <w:rFonts w:eastAsia="Calibri" w:cs="Arial"/>
          <w:b/>
          <w:color w:val="000000" w:themeColor="text1"/>
        </w:rPr>
        <w:t>Appendix 3</w:t>
      </w:r>
      <w:r>
        <w:rPr>
          <w:rFonts w:eastAsia="Calibri" w:cs="Arial"/>
          <w:color w:val="000000" w:themeColor="text1"/>
        </w:rPr>
        <w:t xml:space="preserve"> – Provision of Respite</w:t>
      </w:r>
    </w:p>
    <w:p w14:paraId="7A8503FC" w14:textId="77777777" w:rsidR="00135E6F" w:rsidRPr="00BB44AB" w:rsidRDefault="008A59F1" w:rsidP="0040752A">
      <w:pPr>
        <w:rPr>
          <w:rFonts w:eastAsia="Calibri" w:cs="Arial"/>
          <w:color w:val="000000" w:themeColor="text1"/>
        </w:rPr>
      </w:pPr>
      <w:r w:rsidRPr="008A59F1">
        <w:rPr>
          <w:rFonts w:eastAsia="Calibri" w:cs="Arial"/>
          <w:b/>
          <w:color w:val="000000" w:themeColor="text1"/>
        </w:rPr>
        <w:t>Appendix 4</w:t>
      </w:r>
      <w:r>
        <w:rPr>
          <w:rFonts w:eastAsia="Calibri" w:cs="Arial"/>
          <w:color w:val="000000" w:themeColor="text1"/>
        </w:rPr>
        <w:t xml:space="preserve"> – Draft Service Specification</w:t>
      </w:r>
    </w:p>
    <w:p w14:paraId="5BF6E5D6" w14:textId="77777777" w:rsidR="0040752A" w:rsidRDefault="00135E6F" w:rsidP="0040752A">
      <w:pPr>
        <w:rPr>
          <w:rFonts w:eastAsia="Calibri" w:cs="Arial"/>
          <w:color w:val="000000" w:themeColor="text1"/>
        </w:rPr>
      </w:pPr>
      <w:r w:rsidRPr="00BB44AB">
        <w:rPr>
          <w:rFonts w:eastAsia="Calibri" w:cs="Arial"/>
          <w:b/>
          <w:color w:val="000000" w:themeColor="text1"/>
        </w:rPr>
        <w:t xml:space="preserve">Appendix </w:t>
      </w:r>
      <w:r w:rsidR="008A59F1">
        <w:rPr>
          <w:rFonts w:eastAsia="Calibri" w:cs="Arial"/>
          <w:b/>
          <w:color w:val="000000" w:themeColor="text1"/>
        </w:rPr>
        <w:t>5</w:t>
      </w:r>
      <w:r w:rsidRPr="00BB44AB">
        <w:rPr>
          <w:rFonts w:eastAsia="Calibri" w:cs="Arial"/>
          <w:color w:val="000000" w:themeColor="text1"/>
        </w:rPr>
        <w:t xml:space="preserve"> – </w:t>
      </w:r>
      <w:r w:rsidR="00857A97">
        <w:rPr>
          <w:rFonts w:eastAsia="Calibri" w:cs="Arial"/>
          <w:color w:val="000000" w:themeColor="text1"/>
        </w:rPr>
        <w:t>Draft Outcomes Specification</w:t>
      </w:r>
      <w:r w:rsidR="001978E8" w:rsidRPr="00BB44AB">
        <w:rPr>
          <w:rFonts w:eastAsia="Calibri" w:cs="Arial"/>
          <w:color w:val="000000" w:themeColor="text1"/>
        </w:rPr>
        <w:t xml:space="preserve"> </w:t>
      </w:r>
    </w:p>
    <w:p w14:paraId="29DC365C" w14:textId="77777777" w:rsidR="008A59F1" w:rsidRPr="00BB44AB" w:rsidRDefault="008A59F1" w:rsidP="0040752A">
      <w:pPr>
        <w:rPr>
          <w:rFonts w:eastAsia="Calibri" w:cs="Arial"/>
          <w:color w:val="000000" w:themeColor="text1"/>
        </w:rPr>
      </w:pPr>
      <w:r w:rsidRPr="008A59F1">
        <w:rPr>
          <w:rFonts w:eastAsia="Calibri" w:cs="Arial"/>
          <w:b/>
          <w:color w:val="000000" w:themeColor="text1"/>
        </w:rPr>
        <w:t>Appendix 6</w:t>
      </w:r>
      <w:r>
        <w:rPr>
          <w:rFonts w:eastAsia="Calibri" w:cs="Arial"/>
          <w:color w:val="000000" w:themeColor="text1"/>
        </w:rPr>
        <w:t xml:space="preserve"> – Mileage Claim Form</w:t>
      </w:r>
    </w:p>
    <w:p w14:paraId="001E2551" w14:textId="77777777" w:rsidR="00135E6F" w:rsidRPr="00BB44AB" w:rsidRDefault="00135E6F" w:rsidP="0040752A">
      <w:pPr>
        <w:rPr>
          <w:color w:val="000000" w:themeColor="text1"/>
        </w:rPr>
      </w:pPr>
    </w:p>
    <w:p w14:paraId="1F8A4941" w14:textId="77777777" w:rsidR="00C808EB" w:rsidRPr="00C06484" w:rsidRDefault="00C808EB">
      <w:pPr>
        <w:rPr>
          <w:color w:val="FF0000"/>
        </w:rPr>
      </w:pPr>
      <w:r w:rsidRPr="00C06484">
        <w:rPr>
          <w:color w:val="FF0000"/>
        </w:rPr>
        <w:br w:type="page"/>
      </w:r>
    </w:p>
    <w:tbl>
      <w:tblPr>
        <w:tblStyle w:val="TableGrid"/>
        <w:tblW w:w="10632" w:type="dxa"/>
        <w:tblInd w:w="-431" w:type="dxa"/>
        <w:tblLayout w:type="fixed"/>
        <w:tblLook w:val="04A0" w:firstRow="1" w:lastRow="0" w:firstColumn="1" w:lastColumn="0" w:noHBand="0" w:noVBand="1"/>
      </w:tblPr>
      <w:tblGrid>
        <w:gridCol w:w="839"/>
        <w:gridCol w:w="9793"/>
      </w:tblGrid>
      <w:tr w:rsidR="005105F3" w:rsidRPr="000728AE" w14:paraId="47A582F0" w14:textId="77777777" w:rsidTr="00E03ABE">
        <w:tc>
          <w:tcPr>
            <w:tcW w:w="839" w:type="dxa"/>
          </w:tcPr>
          <w:p w14:paraId="1728F844" w14:textId="77777777" w:rsidR="005105F3" w:rsidRPr="000728AE" w:rsidRDefault="005105F3" w:rsidP="005105F3">
            <w:pPr>
              <w:rPr>
                <w:b/>
                <w:color w:val="000000" w:themeColor="text1"/>
                <w:sz w:val="32"/>
                <w:szCs w:val="32"/>
              </w:rPr>
            </w:pPr>
            <w:r w:rsidRPr="000728AE">
              <w:rPr>
                <w:b/>
                <w:color w:val="000000" w:themeColor="text1"/>
                <w:sz w:val="32"/>
                <w:szCs w:val="32"/>
              </w:rPr>
              <w:lastRenderedPageBreak/>
              <w:t>1.</w:t>
            </w:r>
          </w:p>
        </w:tc>
        <w:tc>
          <w:tcPr>
            <w:tcW w:w="9793" w:type="dxa"/>
          </w:tcPr>
          <w:p w14:paraId="19C90CAA" w14:textId="77777777" w:rsidR="005105F3" w:rsidRPr="005105F3" w:rsidRDefault="005105F3" w:rsidP="005105F3">
            <w:pPr>
              <w:rPr>
                <w:b/>
                <w:sz w:val="28"/>
                <w:szCs w:val="32"/>
              </w:rPr>
            </w:pPr>
            <w:r w:rsidRPr="005105F3">
              <w:rPr>
                <w:b/>
                <w:sz w:val="28"/>
                <w:szCs w:val="32"/>
              </w:rPr>
              <w:t>Consultation Instructions</w:t>
            </w:r>
          </w:p>
          <w:p w14:paraId="50F7A5EE" w14:textId="77777777" w:rsidR="005105F3" w:rsidRPr="000728AE" w:rsidRDefault="005105F3" w:rsidP="005105F3">
            <w:pPr>
              <w:rPr>
                <w:b/>
                <w:color w:val="000000" w:themeColor="text1"/>
                <w:sz w:val="32"/>
                <w:szCs w:val="32"/>
              </w:rPr>
            </w:pPr>
          </w:p>
        </w:tc>
      </w:tr>
      <w:tr w:rsidR="005105F3" w:rsidRPr="00C06484" w14:paraId="1A64EF99" w14:textId="77777777" w:rsidTr="00E03ABE">
        <w:tc>
          <w:tcPr>
            <w:tcW w:w="839" w:type="dxa"/>
          </w:tcPr>
          <w:p w14:paraId="339D051C" w14:textId="77777777" w:rsidR="005105F3" w:rsidRPr="00C06484" w:rsidRDefault="005105F3" w:rsidP="005105F3">
            <w:pPr>
              <w:rPr>
                <w:b/>
                <w:color w:val="FF0000"/>
              </w:rPr>
            </w:pPr>
          </w:p>
        </w:tc>
        <w:tc>
          <w:tcPr>
            <w:tcW w:w="9793" w:type="dxa"/>
          </w:tcPr>
          <w:p w14:paraId="29D9C76F" w14:textId="2EB805D2" w:rsidR="008D11E1" w:rsidRPr="00A447B6" w:rsidRDefault="00314250" w:rsidP="005105F3">
            <w:pPr>
              <w:rPr>
                <w:b/>
              </w:rPr>
            </w:pPr>
            <w:r w:rsidRPr="00A447B6">
              <w:rPr>
                <w:b/>
              </w:rPr>
              <w:t xml:space="preserve">The Proposed Final </w:t>
            </w:r>
            <w:proofErr w:type="spellStart"/>
            <w:r w:rsidRPr="00A447B6">
              <w:rPr>
                <w:b/>
              </w:rPr>
              <w:t>Lotting</w:t>
            </w:r>
            <w:proofErr w:type="spellEnd"/>
            <w:r w:rsidRPr="00A447B6">
              <w:rPr>
                <w:b/>
              </w:rPr>
              <w:t xml:space="preserve"> Structure and Proposed Financial Model</w:t>
            </w:r>
            <w:r w:rsidR="009405B6" w:rsidRPr="00A447B6">
              <w:rPr>
                <w:b/>
              </w:rPr>
              <w:t xml:space="preserve"> is open for a </w:t>
            </w:r>
            <w:r w:rsidR="001340CB" w:rsidRPr="00A447B6">
              <w:rPr>
                <w:b/>
              </w:rPr>
              <w:t>four</w:t>
            </w:r>
            <w:r w:rsidR="00A2011C" w:rsidRPr="00A447B6">
              <w:rPr>
                <w:b/>
              </w:rPr>
              <w:t>-</w:t>
            </w:r>
            <w:r w:rsidR="009405B6" w:rsidRPr="00A447B6">
              <w:rPr>
                <w:b/>
              </w:rPr>
              <w:t>week period of consultation from</w:t>
            </w:r>
            <w:r w:rsidR="005105F3" w:rsidRPr="00A447B6">
              <w:t xml:space="preserve"> </w:t>
            </w:r>
            <w:r w:rsidR="00F92BBF">
              <w:rPr>
                <w:b/>
              </w:rPr>
              <w:t>11</w:t>
            </w:r>
            <w:r w:rsidR="00A2011C" w:rsidRPr="00A447B6">
              <w:rPr>
                <w:b/>
              </w:rPr>
              <w:t xml:space="preserve"> February 2019 to </w:t>
            </w:r>
            <w:r w:rsidR="00F92BBF">
              <w:rPr>
                <w:b/>
              </w:rPr>
              <w:t>11</w:t>
            </w:r>
            <w:r w:rsidR="001340CB" w:rsidRPr="00A447B6">
              <w:rPr>
                <w:b/>
              </w:rPr>
              <w:t xml:space="preserve"> March 2019</w:t>
            </w:r>
            <w:r w:rsidR="005105F3" w:rsidRPr="00A447B6">
              <w:rPr>
                <w:b/>
              </w:rPr>
              <w:t>.</w:t>
            </w:r>
          </w:p>
          <w:p w14:paraId="22C4B302" w14:textId="67F30E7B" w:rsidR="008D11E1" w:rsidRPr="00A447B6" w:rsidRDefault="008D11E1" w:rsidP="005105F3">
            <w:r w:rsidRPr="00A447B6">
              <w:t xml:space="preserve">Although we have been consulting as a North East region with 12 </w:t>
            </w:r>
            <w:r w:rsidR="0053449D" w:rsidRPr="00A447B6">
              <w:t>M</w:t>
            </w:r>
            <w:r w:rsidRPr="00A447B6">
              <w:t>ember Authorities, a decision has been made to retain separate arrangements in the North and South of the region</w:t>
            </w:r>
            <w:r w:rsidR="0053449D" w:rsidRPr="00A447B6">
              <w:t>,</w:t>
            </w:r>
            <w:r w:rsidRPr="00A447B6">
              <w:t xml:space="preserve"> to allow the Tees Valley pilot solution to continue until it’s expiry</w:t>
            </w:r>
            <w:r w:rsidR="0053449D" w:rsidRPr="00A447B6">
              <w:t>.  This will</w:t>
            </w:r>
            <w:r w:rsidRPr="00A447B6">
              <w:t xml:space="preserve"> allow the Authorities </w:t>
            </w:r>
            <w:r w:rsidR="0053449D" w:rsidRPr="00A447B6">
              <w:t xml:space="preserve">in the South </w:t>
            </w:r>
            <w:r w:rsidRPr="00A447B6">
              <w:t>to understand how th</w:t>
            </w:r>
            <w:r w:rsidR="009E4914" w:rsidRPr="00A447B6">
              <w:t>eir</w:t>
            </w:r>
            <w:r w:rsidRPr="00A447B6">
              <w:t xml:space="preserve"> innovative model is working.  As you will be aware, arrangements in the North will end on 31 March 2019, and </w:t>
            </w:r>
            <w:r w:rsidR="00605540" w:rsidRPr="00A447B6">
              <w:t>letters proposing to vary the length of the current Contract have been</w:t>
            </w:r>
            <w:r w:rsidRPr="00A447B6">
              <w:t xml:space="preserve"> issued to Prov</w:t>
            </w:r>
            <w:r w:rsidR="0053449D" w:rsidRPr="00A447B6">
              <w:t>i</w:t>
            </w:r>
            <w:r w:rsidRPr="00A447B6">
              <w:t>ders</w:t>
            </w:r>
            <w:r w:rsidR="00605540" w:rsidRPr="00A447B6">
              <w:t xml:space="preserve">.  This </w:t>
            </w:r>
            <w:r w:rsidR="002B036A" w:rsidRPr="00A447B6">
              <w:t xml:space="preserve">continuation of current services </w:t>
            </w:r>
            <w:r w:rsidR="00605540" w:rsidRPr="00A447B6">
              <w:t>will</w:t>
            </w:r>
            <w:r w:rsidRPr="00A447B6">
              <w:t xml:space="preserve"> allow the North authorities to finish their co</w:t>
            </w:r>
            <w:r w:rsidR="0053449D" w:rsidRPr="00A447B6">
              <w:t>n</w:t>
            </w:r>
            <w:r w:rsidRPr="00A447B6">
              <w:t xml:space="preserve">sultation and proceed to Tender.  On that basis, the proposed Final </w:t>
            </w:r>
            <w:r w:rsidR="002B036A" w:rsidRPr="00A447B6">
              <w:t xml:space="preserve">Commissioning </w:t>
            </w:r>
            <w:r w:rsidRPr="00A447B6">
              <w:t xml:space="preserve">Model and Lotting Structure is open for a </w:t>
            </w:r>
            <w:r w:rsidR="009E4914" w:rsidRPr="00A447B6">
              <w:t>four</w:t>
            </w:r>
            <w:r w:rsidR="00763A26" w:rsidRPr="00A447B6">
              <w:t>-</w:t>
            </w:r>
            <w:r w:rsidRPr="00A447B6">
              <w:t xml:space="preserve">week </w:t>
            </w:r>
            <w:r w:rsidR="002B036A" w:rsidRPr="00A447B6">
              <w:t xml:space="preserve">formal </w:t>
            </w:r>
            <w:r w:rsidR="009E4914" w:rsidRPr="00A447B6">
              <w:t xml:space="preserve">consultation </w:t>
            </w:r>
            <w:r w:rsidRPr="00A447B6">
              <w:t xml:space="preserve">period until </w:t>
            </w:r>
            <w:r w:rsidR="005E2F85">
              <w:t>11</w:t>
            </w:r>
            <w:r w:rsidRPr="00A447B6">
              <w:t xml:space="preserve"> March 2019</w:t>
            </w:r>
            <w:r w:rsidR="00A27C61" w:rsidRPr="00A447B6">
              <w:t>.</w:t>
            </w:r>
          </w:p>
          <w:p w14:paraId="6F142AB7" w14:textId="77777777" w:rsidR="001340CB" w:rsidRPr="00A447B6" w:rsidRDefault="001340CB" w:rsidP="005105F3"/>
          <w:p w14:paraId="73B7AA42" w14:textId="77777777" w:rsidR="005105F3" w:rsidRPr="00A447B6" w:rsidRDefault="005105F3" w:rsidP="005105F3">
            <w:r w:rsidRPr="00A447B6">
              <w:t xml:space="preserve">Participating Authorities in the North </w:t>
            </w:r>
            <w:r w:rsidR="008D11E1" w:rsidRPr="00A447B6">
              <w:t xml:space="preserve">of the region </w:t>
            </w:r>
            <w:r w:rsidR="00605540" w:rsidRPr="00A447B6">
              <w:t xml:space="preserve">(Newcastle, Durham, Gateshead, North Tyneside, Northumberland, South Tyneside and Together for Children Sunderland) </w:t>
            </w:r>
            <w:r w:rsidRPr="00A447B6">
              <w:t>are consulting wit</w:t>
            </w:r>
            <w:r w:rsidR="00314250" w:rsidRPr="00A447B6">
              <w:t>h Providers and stakeholders</w:t>
            </w:r>
            <w:r w:rsidR="00401B76" w:rsidRPr="00A447B6">
              <w:t>,</w:t>
            </w:r>
            <w:r w:rsidR="00314250" w:rsidRPr="00A447B6">
              <w:t xml:space="preserve"> </w:t>
            </w:r>
            <w:proofErr w:type="gramStart"/>
            <w:r w:rsidRPr="00A447B6">
              <w:t>in order to</w:t>
            </w:r>
            <w:proofErr w:type="gramEnd"/>
            <w:r w:rsidRPr="00A447B6">
              <w:t xml:space="preserve"> make a</w:t>
            </w:r>
            <w:r w:rsidR="009405B6" w:rsidRPr="00A447B6">
              <w:t xml:space="preserve"> </w:t>
            </w:r>
            <w:r w:rsidRPr="00A447B6">
              <w:t>determination as to whether this model is sustainable for the market</w:t>
            </w:r>
            <w:r w:rsidR="002B036A" w:rsidRPr="00A447B6">
              <w:t xml:space="preserve"> and financially viable for the Authorities.</w:t>
            </w:r>
            <w:r w:rsidRPr="00A447B6">
              <w:t xml:space="preserve">  </w:t>
            </w:r>
          </w:p>
          <w:p w14:paraId="680BA8E0" w14:textId="77777777" w:rsidR="00401B76" w:rsidRPr="00A447B6" w:rsidRDefault="00401B76" w:rsidP="005105F3"/>
          <w:p w14:paraId="225A7FCE" w14:textId="77777777" w:rsidR="00401B76" w:rsidRPr="001340CB" w:rsidRDefault="00401B76" w:rsidP="00401B76">
            <w:r w:rsidRPr="00A447B6">
              <w:t xml:space="preserve">The </w:t>
            </w:r>
            <w:r w:rsidR="002B036A" w:rsidRPr="00A447B6">
              <w:t xml:space="preserve">formal </w:t>
            </w:r>
            <w:r w:rsidRPr="00A447B6">
              <w:t xml:space="preserve">consultation period will take place over a total of </w:t>
            </w:r>
            <w:r w:rsidR="009E4914" w:rsidRPr="00A447B6">
              <w:t>twelve</w:t>
            </w:r>
            <w:r w:rsidRPr="00A447B6">
              <w:t xml:space="preserve"> weeks, separated into </w:t>
            </w:r>
            <w:r w:rsidR="009E4914" w:rsidRPr="00A447B6">
              <w:t>three</w:t>
            </w:r>
            <w:r w:rsidRPr="00A447B6">
              <w:t xml:space="preserve"> </w:t>
            </w:r>
            <w:r w:rsidR="009E4914" w:rsidRPr="00A447B6">
              <w:t>four</w:t>
            </w:r>
            <w:r w:rsidRPr="00A447B6">
              <w:t xml:space="preserve">-week blocks. Following the initial </w:t>
            </w:r>
            <w:r w:rsidR="009E4914" w:rsidRPr="00A447B6">
              <w:t>four</w:t>
            </w:r>
            <w:r w:rsidRPr="00A447B6">
              <w:t xml:space="preserve">-week period, the Participating Local Authorities will review Provider </w:t>
            </w:r>
            <w:r w:rsidR="009E4914" w:rsidRPr="00A447B6">
              <w:t xml:space="preserve">and stakeholder </w:t>
            </w:r>
            <w:r w:rsidRPr="00A447B6">
              <w:t xml:space="preserve">feedback and </w:t>
            </w:r>
            <w:r w:rsidR="008D11E1" w:rsidRPr="00A447B6">
              <w:t>refine the</w:t>
            </w:r>
            <w:r w:rsidRPr="00A447B6">
              <w:t xml:space="preserve"> Proposed Model, before going out for the second </w:t>
            </w:r>
            <w:r w:rsidR="009E4914" w:rsidRPr="00A447B6">
              <w:t>four</w:t>
            </w:r>
            <w:r w:rsidRPr="00A447B6">
              <w:t xml:space="preserve">-week </w:t>
            </w:r>
            <w:r w:rsidR="00572EE1" w:rsidRPr="00A447B6">
              <w:t xml:space="preserve">consultation </w:t>
            </w:r>
            <w:r w:rsidRPr="00A447B6">
              <w:t>period.</w:t>
            </w:r>
          </w:p>
          <w:p w14:paraId="04E5C0EE" w14:textId="77777777" w:rsidR="005105F3" w:rsidRDefault="005105F3" w:rsidP="005105F3"/>
          <w:p w14:paraId="7D271BAF" w14:textId="0BDD5F58" w:rsidR="005105F3" w:rsidRDefault="005105F3" w:rsidP="005105F3">
            <w:pPr>
              <w:rPr>
                <w:b/>
                <w:color w:val="FF0000"/>
              </w:rPr>
            </w:pPr>
            <w:r w:rsidRPr="00401B76">
              <w:rPr>
                <w:b/>
              </w:rPr>
              <w:t xml:space="preserve">Providers and stakeholders are requested to respond to this consultation using the Consultation Response Form at Appendix 1.  </w:t>
            </w:r>
            <w:r w:rsidR="009E4914">
              <w:rPr>
                <w:b/>
              </w:rPr>
              <w:t>For</w:t>
            </w:r>
            <w:r w:rsidRPr="00401B76">
              <w:rPr>
                <w:b/>
              </w:rPr>
              <w:t xml:space="preserve"> responses to be considered </w:t>
            </w:r>
            <w:r w:rsidR="002B036A">
              <w:rPr>
                <w:b/>
              </w:rPr>
              <w:t>within this 4</w:t>
            </w:r>
            <w:r w:rsidR="00315398">
              <w:rPr>
                <w:b/>
              </w:rPr>
              <w:t>-</w:t>
            </w:r>
            <w:r w:rsidR="002B036A">
              <w:rPr>
                <w:b/>
              </w:rPr>
              <w:t xml:space="preserve">week period, </w:t>
            </w:r>
            <w:r w:rsidRPr="00401B76">
              <w:rPr>
                <w:b/>
              </w:rPr>
              <w:t xml:space="preserve">they must be received by Newcastle City Council no later than 5pm on </w:t>
            </w:r>
            <w:r w:rsidR="00215CE7">
              <w:rPr>
                <w:b/>
              </w:rPr>
              <w:t>Mond</w:t>
            </w:r>
            <w:r w:rsidRPr="00401B76">
              <w:rPr>
                <w:b/>
              </w:rPr>
              <w:t xml:space="preserve">ay </w:t>
            </w:r>
            <w:r w:rsidR="00215CE7">
              <w:rPr>
                <w:b/>
              </w:rPr>
              <w:t>11</w:t>
            </w:r>
            <w:r w:rsidR="00401B76" w:rsidRPr="00401B76">
              <w:rPr>
                <w:b/>
              </w:rPr>
              <w:t xml:space="preserve"> March</w:t>
            </w:r>
            <w:r w:rsidR="00215CE7">
              <w:rPr>
                <w:b/>
              </w:rPr>
              <w:t xml:space="preserve"> 2019</w:t>
            </w:r>
            <w:r w:rsidRPr="00401B76">
              <w:rPr>
                <w:b/>
              </w:rPr>
              <w:t>.</w:t>
            </w:r>
            <w:r>
              <w:rPr>
                <w:b/>
              </w:rPr>
              <w:t xml:space="preserve"> </w:t>
            </w:r>
            <w:r w:rsidR="004E3C76">
              <w:rPr>
                <w:b/>
              </w:rPr>
              <w:t xml:space="preserve"> </w:t>
            </w:r>
          </w:p>
          <w:p w14:paraId="605E15BD" w14:textId="77777777" w:rsidR="008D11E1" w:rsidRDefault="008D11E1" w:rsidP="005105F3"/>
          <w:p w14:paraId="1474D598" w14:textId="402449C4" w:rsidR="009E4914" w:rsidRDefault="005105F3" w:rsidP="009E4914">
            <w:r w:rsidRPr="00401B76">
              <w:t>In addition to the formal consultation</w:t>
            </w:r>
            <w:r w:rsidR="002B036A">
              <w:t>,</w:t>
            </w:r>
            <w:r w:rsidRPr="00401B76">
              <w:t xml:space="preserve"> Providers are asked to carry out a modelling exercise to determine the sustainability of </w:t>
            </w:r>
            <w:r w:rsidR="009405B6" w:rsidRPr="00401B76">
              <w:t>this</w:t>
            </w:r>
            <w:r w:rsidRPr="00401B76">
              <w:t xml:space="preserve"> option </w:t>
            </w:r>
            <w:r w:rsidR="002B036A">
              <w:t xml:space="preserve">for them </w:t>
            </w:r>
            <w:r w:rsidRPr="00401B76">
              <w:t xml:space="preserve">and to </w:t>
            </w:r>
            <w:r w:rsidR="00401B76" w:rsidRPr="00401B76">
              <w:t xml:space="preserve">provide a full breakdown of </w:t>
            </w:r>
            <w:r w:rsidR="00401B76" w:rsidRPr="00401B76">
              <w:rPr>
                <w:rFonts w:cs="Arial"/>
              </w:rPr>
              <w:t xml:space="preserve">costs </w:t>
            </w:r>
            <w:r w:rsidR="0016589A">
              <w:rPr>
                <w:rFonts w:cs="Arial"/>
              </w:rPr>
              <w:t xml:space="preserve">(Appendix 2) </w:t>
            </w:r>
            <w:r w:rsidRPr="00401B76">
              <w:rPr>
                <w:rFonts w:cs="Arial"/>
              </w:rPr>
              <w:t xml:space="preserve">to Newcastle City Council no later than 5pm on </w:t>
            </w:r>
            <w:r w:rsidR="00215CE7">
              <w:rPr>
                <w:rFonts w:cs="Arial"/>
              </w:rPr>
              <w:t>Monday 11</w:t>
            </w:r>
            <w:r w:rsidR="00401B76" w:rsidRPr="00401B76">
              <w:rPr>
                <w:rFonts w:cs="Arial"/>
              </w:rPr>
              <w:t xml:space="preserve"> March 2019</w:t>
            </w:r>
            <w:r w:rsidRPr="00401B76">
              <w:rPr>
                <w:rFonts w:cs="Arial"/>
              </w:rPr>
              <w:t xml:space="preserve">.  </w:t>
            </w:r>
            <w:r w:rsidR="008D11E1">
              <w:rPr>
                <w:rFonts w:cs="Arial"/>
              </w:rPr>
              <w:t>Providers are</w:t>
            </w:r>
            <w:r w:rsidR="00215CE7">
              <w:rPr>
                <w:rFonts w:cs="Arial"/>
              </w:rPr>
              <w:t xml:space="preserve"> also</w:t>
            </w:r>
            <w:r w:rsidR="008D11E1">
              <w:rPr>
                <w:rFonts w:cs="Arial"/>
              </w:rPr>
              <w:t xml:space="preserve"> asked to </w:t>
            </w:r>
            <w:r w:rsidR="009E4914">
              <w:rPr>
                <w:rFonts w:cs="Arial"/>
              </w:rPr>
              <w:t>confirm how the</w:t>
            </w:r>
            <w:r w:rsidR="009E4914">
              <w:t xml:space="preserve"> rate paid to Foster Carers is determined i.e. is the Foster Carer fee a set rate or calculated as a percentage of the placement fee?</w:t>
            </w:r>
          </w:p>
          <w:p w14:paraId="6132EB34" w14:textId="77777777" w:rsidR="00605540" w:rsidRDefault="00605540" w:rsidP="009E4914">
            <w:pPr>
              <w:rPr>
                <w:rFonts w:cs="Arial"/>
              </w:rPr>
            </w:pPr>
          </w:p>
          <w:p w14:paraId="79761290" w14:textId="77777777" w:rsidR="00A06E01" w:rsidRDefault="00605540" w:rsidP="003170F2">
            <w:pPr>
              <w:rPr>
                <w:rFonts w:cs="Arial"/>
                <w:b/>
              </w:rPr>
            </w:pPr>
            <w:r>
              <w:rPr>
                <w:rFonts w:cs="Arial"/>
                <w:b/>
              </w:rPr>
              <w:t xml:space="preserve">Participating Authorities will only be able to consider the proposed Financial Model if the level of return from IFAs </w:t>
            </w:r>
            <w:proofErr w:type="gramStart"/>
            <w:r w:rsidRPr="00401B76">
              <w:rPr>
                <w:rFonts w:cs="Arial"/>
                <w:b/>
              </w:rPr>
              <w:t xml:space="preserve">is considered </w:t>
            </w:r>
            <w:r>
              <w:rPr>
                <w:rFonts w:cs="Arial"/>
                <w:b/>
              </w:rPr>
              <w:t>to be</w:t>
            </w:r>
            <w:proofErr w:type="gramEnd"/>
            <w:r>
              <w:rPr>
                <w:rFonts w:cs="Arial"/>
                <w:b/>
              </w:rPr>
              <w:t xml:space="preserve"> significant and majority </w:t>
            </w:r>
            <w:r w:rsidRPr="00401B76">
              <w:rPr>
                <w:rFonts w:cs="Arial"/>
                <w:b/>
              </w:rPr>
              <w:t xml:space="preserve">representative of </w:t>
            </w:r>
            <w:r>
              <w:rPr>
                <w:rFonts w:cs="Arial"/>
                <w:b/>
              </w:rPr>
              <w:t xml:space="preserve">the </w:t>
            </w:r>
            <w:r w:rsidRPr="00401B76">
              <w:rPr>
                <w:rFonts w:cs="Arial"/>
                <w:b/>
              </w:rPr>
              <w:t>known market.</w:t>
            </w:r>
            <w:r w:rsidR="00315398">
              <w:rPr>
                <w:rFonts w:cs="Arial"/>
                <w:b/>
              </w:rPr>
              <w:t xml:space="preserve"> </w:t>
            </w:r>
          </w:p>
          <w:p w14:paraId="41B31500" w14:textId="77777777" w:rsidR="00A06E01" w:rsidRDefault="00A06E01" w:rsidP="003170F2">
            <w:pPr>
              <w:rPr>
                <w:rFonts w:cs="Arial"/>
              </w:rPr>
            </w:pPr>
          </w:p>
          <w:p w14:paraId="0E39700D" w14:textId="4DAA91AA" w:rsidR="00A06E01" w:rsidRDefault="007716AC" w:rsidP="003170F2">
            <w:r>
              <w:rPr>
                <w:rFonts w:cs="Arial"/>
              </w:rPr>
              <w:t xml:space="preserve">Providers are also asked </w:t>
            </w:r>
            <w:r w:rsidR="00384D63">
              <w:rPr>
                <w:rFonts w:cs="Arial"/>
              </w:rPr>
              <w:t>to provide details of the numbers of days respite</w:t>
            </w:r>
            <w:r w:rsidR="00B94FA3">
              <w:rPr>
                <w:rFonts w:cs="Arial"/>
              </w:rPr>
              <w:t xml:space="preserve"> used per placement</w:t>
            </w:r>
            <w:r w:rsidR="009E4914">
              <w:rPr>
                <w:rFonts w:cs="Arial"/>
              </w:rPr>
              <w:t xml:space="preserve"> per Participating </w:t>
            </w:r>
            <w:r w:rsidR="00B94FA3">
              <w:rPr>
                <w:rFonts w:cs="Arial"/>
              </w:rPr>
              <w:t xml:space="preserve">Authority from </w:t>
            </w:r>
            <w:r w:rsidR="00F74CF8">
              <w:rPr>
                <w:rFonts w:cs="Arial"/>
              </w:rPr>
              <w:t xml:space="preserve">1 </w:t>
            </w:r>
            <w:r w:rsidR="00B94FA3">
              <w:rPr>
                <w:rFonts w:cs="Arial"/>
              </w:rPr>
              <w:t xml:space="preserve">January 2018 to </w:t>
            </w:r>
            <w:r w:rsidR="00F74CF8">
              <w:rPr>
                <w:rFonts w:cs="Arial"/>
              </w:rPr>
              <w:t xml:space="preserve">31 </w:t>
            </w:r>
            <w:r w:rsidR="00B94FA3">
              <w:rPr>
                <w:rFonts w:cs="Arial"/>
              </w:rPr>
              <w:t>December 2018</w:t>
            </w:r>
            <w:r w:rsidR="0016589A">
              <w:rPr>
                <w:rFonts w:cs="Arial"/>
              </w:rPr>
              <w:t xml:space="preserve"> (Appendix 3)</w:t>
            </w:r>
            <w:r w:rsidR="00B94FA3">
              <w:rPr>
                <w:rFonts w:cs="Arial"/>
              </w:rPr>
              <w:t>.</w:t>
            </w:r>
            <w:r w:rsidR="00315398">
              <w:rPr>
                <w:rFonts w:cs="Arial"/>
              </w:rPr>
              <w:t xml:space="preserve"> </w:t>
            </w:r>
            <w:r w:rsidR="005105F3">
              <w:t xml:space="preserve">During the consultation period the Local Authorities will carry out </w:t>
            </w:r>
            <w:r w:rsidR="002B036A">
              <w:t xml:space="preserve">a </w:t>
            </w:r>
            <w:r w:rsidR="005105F3">
              <w:t>similar modelling exercises</w:t>
            </w:r>
            <w:r w:rsidR="009405B6">
              <w:t xml:space="preserve"> to determine financial viability of </w:t>
            </w:r>
            <w:r w:rsidR="00314250">
              <w:t>the model</w:t>
            </w:r>
            <w:r w:rsidR="005105F3">
              <w:t xml:space="preserve"> for the Participating Organisations.</w:t>
            </w:r>
            <w:r w:rsidR="009405B6">
              <w:t xml:space="preserve"> </w:t>
            </w:r>
          </w:p>
          <w:p w14:paraId="4C8C6E66" w14:textId="77777777" w:rsidR="00A06E01" w:rsidRDefault="00A06E01" w:rsidP="003170F2"/>
          <w:p w14:paraId="42742A6D" w14:textId="77777777" w:rsidR="00A06E01" w:rsidRDefault="00F74CF8" w:rsidP="003170F2">
            <w:r>
              <w:t>Newcastle, as the Lead Authority for the Collaboration, are offering Providers t</w:t>
            </w:r>
            <w:r w:rsidR="002B036A">
              <w:t>he</w:t>
            </w:r>
            <w:r>
              <w:t xml:space="preserve"> opportunity to meet </w:t>
            </w:r>
            <w:r w:rsidR="002B036A">
              <w:t xml:space="preserve">with them </w:t>
            </w:r>
            <w:r>
              <w:t xml:space="preserve">for </w:t>
            </w:r>
            <w:r w:rsidR="006C7510">
              <w:t xml:space="preserve">a </w:t>
            </w:r>
            <w:r>
              <w:t>1 to 1 discussio</w:t>
            </w:r>
            <w:r w:rsidR="00FE4A24">
              <w:t>n</w:t>
            </w:r>
            <w:r>
              <w:t xml:space="preserve"> on the proposals, and the financial viability for </w:t>
            </w:r>
            <w:r w:rsidR="00D10D03">
              <w:t xml:space="preserve">individual Provider </w:t>
            </w:r>
            <w:r>
              <w:t>organisation</w:t>
            </w:r>
            <w:r w:rsidR="00D10D03">
              <w:t>s</w:t>
            </w:r>
            <w:r>
              <w:t xml:space="preserve">.  </w:t>
            </w:r>
            <w:r w:rsidR="00D10D03">
              <w:t xml:space="preserve">If you would like to take up this offer and arrange </w:t>
            </w:r>
            <w:r>
              <w:t>a meeting, please contact Linzi McMeekin</w:t>
            </w:r>
            <w:r w:rsidR="00D10D03">
              <w:t>, Single Point of Contact for the Collaboration.</w:t>
            </w:r>
          </w:p>
          <w:p w14:paraId="7D8C7C99" w14:textId="77777777" w:rsidR="005105F3" w:rsidRPr="00A06E01" w:rsidRDefault="0039620C" w:rsidP="003170F2">
            <w:hyperlink r:id="rId10" w:history="1">
              <w:r w:rsidR="00A06E01" w:rsidRPr="00CF2F34">
                <w:rPr>
                  <w:rStyle w:val="Hyperlink"/>
                </w:rPr>
                <w:t>linzi.mcmeekin@newcastle.gov.uk</w:t>
              </w:r>
            </w:hyperlink>
            <w:r w:rsidR="00315398">
              <w:rPr>
                <w:rStyle w:val="Hyperlink"/>
                <w:color w:val="auto"/>
                <w:u w:val="none"/>
              </w:rPr>
              <w:t xml:space="preserve"> </w:t>
            </w:r>
            <w:r w:rsidR="00A06E01">
              <w:rPr>
                <w:rStyle w:val="Hyperlink"/>
                <w:color w:val="auto"/>
                <w:u w:val="none"/>
              </w:rPr>
              <w:t xml:space="preserve">/ </w:t>
            </w:r>
            <w:r w:rsidR="00F74CF8">
              <w:t>0191 211 587</w:t>
            </w:r>
            <w:r w:rsidR="003170F2">
              <w:t>0</w:t>
            </w:r>
          </w:p>
          <w:p w14:paraId="1194F418" w14:textId="77777777" w:rsidR="009E4914" w:rsidRPr="00C06484" w:rsidRDefault="009E4914" w:rsidP="003170F2">
            <w:pPr>
              <w:rPr>
                <w:color w:val="FF0000"/>
              </w:rPr>
            </w:pPr>
          </w:p>
        </w:tc>
      </w:tr>
      <w:tr w:rsidR="000728AE" w:rsidRPr="000728AE" w14:paraId="6399CA90" w14:textId="77777777" w:rsidTr="00E03ABE">
        <w:tc>
          <w:tcPr>
            <w:tcW w:w="839" w:type="dxa"/>
          </w:tcPr>
          <w:p w14:paraId="2D4880DF" w14:textId="77777777" w:rsidR="00130440" w:rsidRPr="00857A97" w:rsidRDefault="008B572E" w:rsidP="00130440">
            <w:pPr>
              <w:rPr>
                <w:b/>
                <w:color w:val="000000" w:themeColor="text1"/>
                <w:sz w:val="28"/>
                <w:szCs w:val="32"/>
              </w:rPr>
            </w:pPr>
            <w:r w:rsidRPr="00857A97">
              <w:rPr>
                <w:b/>
                <w:color w:val="000000" w:themeColor="text1"/>
                <w:sz w:val="28"/>
                <w:szCs w:val="32"/>
              </w:rPr>
              <w:lastRenderedPageBreak/>
              <w:t>2</w:t>
            </w:r>
            <w:r w:rsidR="00130440" w:rsidRPr="00857A97">
              <w:rPr>
                <w:b/>
                <w:color w:val="000000" w:themeColor="text1"/>
                <w:sz w:val="28"/>
                <w:szCs w:val="32"/>
              </w:rPr>
              <w:t>.</w:t>
            </w:r>
          </w:p>
        </w:tc>
        <w:tc>
          <w:tcPr>
            <w:tcW w:w="9793" w:type="dxa"/>
          </w:tcPr>
          <w:p w14:paraId="5184BF01" w14:textId="77777777" w:rsidR="00130440" w:rsidRPr="00857A97" w:rsidRDefault="00130440" w:rsidP="00130440">
            <w:pPr>
              <w:rPr>
                <w:b/>
                <w:color w:val="000000" w:themeColor="text1"/>
                <w:sz w:val="28"/>
                <w:szCs w:val="32"/>
              </w:rPr>
            </w:pPr>
            <w:r w:rsidRPr="00857A97">
              <w:rPr>
                <w:b/>
                <w:color w:val="000000" w:themeColor="text1"/>
                <w:sz w:val="28"/>
                <w:szCs w:val="32"/>
              </w:rPr>
              <w:t>Introduction</w:t>
            </w:r>
          </w:p>
          <w:p w14:paraId="6CA07AF4" w14:textId="77777777" w:rsidR="00B13F1B" w:rsidRPr="00857A97" w:rsidRDefault="00B13F1B" w:rsidP="00130440">
            <w:pPr>
              <w:rPr>
                <w:b/>
                <w:color w:val="000000" w:themeColor="text1"/>
                <w:sz w:val="28"/>
                <w:szCs w:val="32"/>
              </w:rPr>
            </w:pPr>
          </w:p>
        </w:tc>
      </w:tr>
      <w:tr w:rsidR="000728AE" w:rsidRPr="000728AE" w14:paraId="55AF42E8" w14:textId="77777777" w:rsidTr="00E03ABE">
        <w:tc>
          <w:tcPr>
            <w:tcW w:w="839" w:type="dxa"/>
          </w:tcPr>
          <w:p w14:paraId="1DFCF41F" w14:textId="77777777" w:rsidR="00130440" w:rsidRPr="000728AE" w:rsidRDefault="00130440" w:rsidP="008B572E">
            <w:pPr>
              <w:jc w:val="both"/>
              <w:rPr>
                <w:b/>
                <w:color w:val="000000" w:themeColor="text1"/>
                <w:sz w:val="28"/>
                <w:szCs w:val="28"/>
              </w:rPr>
            </w:pPr>
          </w:p>
        </w:tc>
        <w:tc>
          <w:tcPr>
            <w:tcW w:w="9793" w:type="dxa"/>
          </w:tcPr>
          <w:p w14:paraId="6EA2AA88" w14:textId="77777777" w:rsidR="00215CE7" w:rsidRDefault="00215CE7" w:rsidP="00130440">
            <w:pPr>
              <w:rPr>
                <w:b/>
                <w:color w:val="000000" w:themeColor="text1"/>
              </w:rPr>
            </w:pPr>
          </w:p>
          <w:p w14:paraId="5B205203" w14:textId="66CD5780" w:rsidR="00130440" w:rsidRDefault="00BC7A0D" w:rsidP="00130440">
            <w:pPr>
              <w:rPr>
                <w:b/>
                <w:color w:val="000000" w:themeColor="text1"/>
              </w:rPr>
            </w:pPr>
            <w:r w:rsidRPr="00495687">
              <w:rPr>
                <w:b/>
                <w:color w:val="000000" w:themeColor="text1"/>
              </w:rPr>
              <w:t>Background</w:t>
            </w:r>
          </w:p>
          <w:p w14:paraId="01F725B2" w14:textId="77777777" w:rsidR="00495687" w:rsidRDefault="00495687" w:rsidP="00130440">
            <w:pPr>
              <w:rPr>
                <w:b/>
                <w:color w:val="000000" w:themeColor="text1"/>
              </w:rPr>
            </w:pPr>
          </w:p>
          <w:p w14:paraId="016DC0A9" w14:textId="77777777" w:rsidR="00495687" w:rsidRDefault="00495687" w:rsidP="00130440">
            <w:pPr>
              <w:rPr>
                <w:color w:val="000000" w:themeColor="text1"/>
              </w:rPr>
            </w:pPr>
            <w:r w:rsidRPr="00A447B6">
              <w:rPr>
                <w:color w:val="000000" w:themeColor="text1"/>
              </w:rPr>
              <w:t xml:space="preserve">Following an Options Appraisal exercise in 2017, </w:t>
            </w:r>
            <w:r w:rsidR="00E9575A" w:rsidRPr="00A447B6">
              <w:rPr>
                <w:color w:val="000000" w:themeColor="text1"/>
              </w:rPr>
              <w:t xml:space="preserve">the North East Regional Governance Structure agreed that the 12 North East Local Authorities would come together to </w:t>
            </w:r>
            <w:r w:rsidR="00B6568E" w:rsidRPr="00A447B6">
              <w:rPr>
                <w:color w:val="000000" w:themeColor="text1"/>
              </w:rPr>
              <w:t>embark on a full Commissioning Phase prior to procuring a new Collaborative arrangement for Independent Fost</w:t>
            </w:r>
            <w:r w:rsidR="009E4914" w:rsidRPr="00A447B6">
              <w:rPr>
                <w:color w:val="000000" w:themeColor="text1"/>
              </w:rPr>
              <w:t>er Care</w:t>
            </w:r>
            <w:r w:rsidR="00B6568E" w:rsidRPr="00A447B6">
              <w:rPr>
                <w:color w:val="000000" w:themeColor="text1"/>
              </w:rPr>
              <w:t xml:space="preserve"> Services.</w:t>
            </w:r>
            <w:r w:rsidR="00FE4A24" w:rsidRPr="00A447B6">
              <w:rPr>
                <w:color w:val="000000" w:themeColor="text1"/>
              </w:rPr>
              <w:t xml:space="preserve">  Fee</w:t>
            </w:r>
            <w:r w:rsidR="006C7510" w:rsidRPr="00A447B6">
              <w:rPr>
                <w:color w:val="000000" w:themeColor="text1"/>
              </w:rPr>
              <w:t>db</w:t>
            </w:r>
            <w:r w:rsidR="00FE4A24" w:rsidRPr="00A447B6">
              <w:rPr>
                <w:color w:val="000000" w:themeColor="text1"/>
              </w:rPr>
              <w:t xml:space="preserve">ack from Providers was that there was no reason that the </w:t>
            </w:r>
            <w:r w:rsidR="006C7510" w:rsidRPr="00A447B6">
              <w:rPr>
                <w:color w:val="000000" w:themeColor="text1"/>
              </w:rPr>
              <w:t xml:space="preserve">North East </w:t>
            </w:r>
            <w:r w:rsidR="00FE4A24" w:rsidRPr="00A447B6">
              <w:rPr>
                <w:color w:val="000000" w:themeColor="text1"/>
              </w:rPr>
              <w:t>Local Authorit</w:t>
            </w:r>
            <w:r w:rsidR="006C7510" w:rsidRPr="00A447B6">
              <w:rPr>
                <w:color w:val="000000" w:themeColor="text1"/>
              </w:rPr>
              <w:t>i</w:t>
            </w:r>
            <w:r w:rsidR="00FE4A24" w:rsidRPr="00A447B6">
              <w:rPr>
                <w:color w:val="000000" w:themeColor="text1"/>
              </w:rPr>
              <w:t xml:space="preserve">es </w:t>
            </w:r>
            <w:r w:rsidR="006C7510" w:rsidRPr="00A447B6">
              <w:rPr>
                <w:color w:val="000000" w:themeColor="text1"/>
              </w:rPr>
              <w:t>could not</w:t>
            </w:r>
            <w:r w:rsidR="00FE4A24" w:rsidRPr="00A447B6">
              <w:rPr>
                <w:color w:val="000000" w:themeColor="text1"/>
              </w:rPr>
              <w:t xml:space="preserve"> come together as a </w:t>
            </w:r>
            <w:r w:rsidR="006C7510" w:rsidRPr="00A447B6">
              <w:rPr>
                <w:color w:val="000000" w:themeColor="text1"/>
              </w:rPr>
              <w:t xml:space="preserve">group of </w:t>
            </w:r>
            <w:r w:rsidR="00FE4A24" w:rsidRPr="00A447B6">
              <w:rPr>
                <w:color w:val="000000" w:themeColor="text1"/>
              </w:rPr>
              <w:t>12, therefore proposal</w:t>
            </w:r>
            <w:r w:rsidR="006C7510" w:rsidRPr="00A447B6">
              <w:rPr>
                <w:color w:val="000000" w:themeColor="text1"/>
              </w:rPr>
              <w:t>s</w:t>
            </w:r>
            <w:r w:rsidR="00FE4A24" w:rsidRPr="00A447B6">
              <w:rPr>
                <w:color w:val="000000" w:themeColor="text1"/>
              </w:rPr>
              <w:t xml:space="preserve"> were put to the </w:t>
            </w:r>
            <w:r w:rsidR="006C7510" w:rsidRPr="00A447B6">
              <w:rPr>
                <w:color w:val="000000" w:themeColor="text1"/>
              </w:rPr>
              <w:t xml:space="preserve">NEPO </w:t>
            </w:r>
            <w:r w:rsidR="00FE4A24" w:rsidRPr="00A447B6">
              <w:rPr>
                <w:color w:val="000000" w:themeColor="text1"/>
              </w:rPr>
              <w:t>Re</w:t>
            </w:r>
            <w:r w:rsidR="006C7510" w:rsidRPr="00A447B6">
              <w:rPr>
                <w:color w:val="000000" w:themeColor="text1"/>
              </w:rPr>
              <w:t>g</w:t>
            </w:r>
            <w:r w:rsidR="00FE4A24" w:rsidRPr="00A447B6">
              <w:rPr>
                <w:color w:val="000000" w:themeColor="text1"/>
              </w:rPr>
              <w:t>ional G</w:t>
            </w:r>
            <w:r w:rsidR="006C7510" w:rsidRPr="00A447B6">
              <w:rPr>
                <w:color w:val="000000" w:themeColor="text1"/>
              </w:rPr>
              <w:t>o</w:t>
            </w:r>
            <w:r w:rsidR="00FE4A24" w:rsidRPr="00A447B6">
              <w:rPr>
                <w:color w:val="000000" w:themeColor="text1"/>
              </w:rPr>
              <w:t>vernance Structure, and a joint Commissioning exercise was approved.</w:t>
            </w:r>
          </w:p>
          <w:p w14:paraId="6A84C034" w14:textId="77777777" w:rsidR="00F74CF8" w:rsidRDefault="00F74CF8" w:rsidP="00130440">
            <w:pPr>
              <w:rPr>
                <w:b/>
                <w:color w:val="000000" w:themeColor="text1"/>
              </w:rPr>
            </w:pPr>
          </w:p>
          <w:p w14:paraId="01CE6D32" w14:textId="77777777" w:rsidR="00BC7A0D" w:rsidRDefault="00BC7A0D" w:rsidP="00130440">
            <w:pPr>
              <w:rPr>
                <w:b/>
                <w:color w:val="000000" w:themeColor="text1"/>
              </w:rPr>
            </w:pPr>
            <w:r w:rsidRPr="00E9575A">
              <w:rPr>
                <w:b/>
                <w:color w:val="000000" w:themeColor="text1"/>
              </w:rPr>
              <w:t>Current arrangements</w:t>
            </w:r>
          </w:p>
          <w:p w14:paraId="673FC385" w14:textId="77777777" w:rsidR="00B6568E" w:rsidRDefault="00B6568E" w:rsidP="00130440">
            <w:pPr>
              <w:rPr>
                <w:b/>
                <w:color w:val="000000" w:themeColor="text1"/>
              </w:rPr>
            </w:pPr>
          </w:p>
          <w:p w14:paraId="143CB38B" w14:textId="77777777" w:rsidR="00B6568E" w:rsidRDefault="00B6568E" w:rsidP="00130440">
            <w:pPr>
              <w:rPr>
                <w:color w:val="000000" w:themeColor="text1"/>
              </w:rPr>
            </w:pPr>
            <w:r>
              <w:rPr>
                <w:color w:val="000000" w:themeColor="text1"/>
              </w:rPr>
              <w:t>There are currently two separate arrangements in place for Independent Foster</w:t>
            </w:r>
            <w:r w:rsidR="009E4914">
              <w:rPr>
                <w:color w:val="000000" w:themeColor="text1"/>
              </w:rPr>
              <w:t xml:space="preserve"> Care</w:t>
            </w:r>
            <w:r>
              <w:rPr>
                <w:color w:val="000000" w:themeColor="text1"/>
              </w:rPr>
              <w:t xml:space="preserve"> Services – the NE7 Framework Agreement in the North, and the Tees Valley Framework in the South.</w:t>
            </w:r>
          </w:p>
          <w:p w14:paraId="77C08707" w14:textId="77777777" w:rsidR="00B6568E" w:rsidRDefault="00B6568E" w:rsidP="00130440">
            <w:pPr>
              <w:rPr>
                <w:color w:val="000000" w:themeColor="text1"/>
              </w:rPr>
            </w:pPr>
          </w:p>
          <w:p w14:paraId="300905D7" w14:textId="7D280A94" w:rsidR="00F00F2F" w:rsidRDefault="00B6568E" w:rsidP="00130440">
            <w:pPr>
              <w:rPr>
                <w:color w:val="000000" w:themeColor="text1"/>
              </w:rPr>
            </w:pPr>
            <w:r>
              <w:rPr>
                <w:color w:val="000000" w:themeColor="text1"/>
              </w:rPr>
              <w:t xml:space="preserve">The NE7 Framework Agreement has been in place </w:t>
            </w:r>
            <w:r w:rsidR="00F00F2F">
              <w:rPr>
                <w:color w:val="000000" w:themeColor="text1"/>
              </w:rPr>
              <w:t xml:space="preserve">in the North </w:t>
            </w:r>
            <w:r>
              <w:rPr>
                <w:color w:val="000000" w:themeColor="text1"/>
              </w:rPr>
              <w:t xml:space="preserve">since </w:t>
            </w:r>
            <w:r w:rsidR="00F00F2F">
              <w:rPr>
                <w:color w:val="000000" w:themeColor="text1"/>
              </w:rPr>
              <w:t xml:space="preserve">1 April 2015 and is led by Newcastle on behalf of </w:t>
            </w:r>
            <w:r w:rsidR="009F44A5">
              <w:rPr>
                <w:color w:val="000000" w:themeColor="text1"/>
              </w:rPr>
              <w:t>Du</w:t>
            </w:r>
            <w:r w:rsidR="00F00F2F">
              <w:rPr>
                <w:color w:val="000000" w:themeColor="text1"/>
              </w:rPr>
              <w:t xml:space="preserve">rham, </w:t>
            </w:r>
            <w:r w:rsidR="009F44A5">
              <w:rPr>
                <w:color w:val="000000" w:themeColor="text1"/>
              </w:rPr>
              <w:t xml:space="preserve">Gateshead, Newcastle, North Tyneside, Northumberland, South Tyneside and </w:t>
            </w:r>
            <w:r w:rsidR="00F00F2F">
              <w:rPr>
                <w:color w:val="000000" w:themeColor="text1"/>
              </w:rPr>
              <w:t>Together for Children (Sunderland</w:t>
            </w:r>
            <w:r w:rsidR="009F44A5">
              <w:rPr>
                <w:color w:val="000000" w:themeColor="text1"/>
              </w:rPr>
              <w:t>).</w:t>
            </w:r>
          </w:p>
          <w:p w14:paraId="6531CAF7" w14:textId="77777777" w:rsidR="00F00F2F" w:rsidRDefault="00F00F2F" w:rsidP="00130440">
            <w:pPr>
              <w:rPr>
                <w:color w:val="000000" w:themeColor="text1"/>
              </w:rPr>
            </w:pPr>
          </w:p>
          <w:p w14:paraId="424458F8" w14:textId="023D43A5" w:rsidR="00F00F2F" w:rsidRDefault="00F00F2F" w:rsidP="00130440">
            <w:pPr>
              <w:rPr>
                <w:color w:val="000000" w:themeColor="text1"/>
              </w:rPr>
            </w:pPr>
            <w:r>
              <w:rPr>
                <w:color w:val="000000" w:themeColor="text1"/>
              </w:rPr>
              <w:t xml:space="preserve">The Tees Valley Solution began </w:t>
            </w:r>
            <w:r w:rsidR="006C7510">
              <w:rPr>
                <w:color w:val="000000" w:themeColor="text1"/>
              </w:rPr>
              <w:t>on 11</w:t>
            </w:r>
            <w:r>
              <w:rPr>
                <w:color w:val="000000" w:themeColor="text1"/>
              </w:rPr>
              <w:t xml:space="preserve"> </w:t>
            </w:r>
            <w:r w:rsidR="006C7510" w:rsidRPr="006C7510">
              <w:rPr>
                <w:color w:val="000000" w:themeColor="text1"/>
              </w:rPr>
              <w:t xml:space="preserve">January </w:t>
            </w:r>
            <w:r>
              <w:rPr>
                <w:color w:val="000000" w:themeColor="text1"/>
              </w:rPr>
              <w:t xml:space="preserve">2018 and is led by Redcar and Cleveland on behalf of Darlington, </w:t>
            </w:r>
            <w:r w:rsidR="009F44A5">
              <w:rPr>
                <w:color w:val="000000" w:themeColor="text1"/>
              </w:rPr>
              <w:t xml:space="preserve">Hartlepool, </w:t>
            </w:r>
            <w:r>
              <w:rPr>
                <w:color w:val="000000" w:themeColor="text1"/>
              </w:rPr>
              <w:t>Middlesbrough</w:t>
            </w:r>
            <w:r w:rsidR="009F44A5">
              <w:rPr>
                <w:color w:val="000000" w:themeColor="text1"/>
              </w:rPr>
              <w:t>, Redcar and Cleveland, and Stockton.</w:t>
            </w:r>
          </w:p>
          <w:p w14:paraId="531609DE" w14:textId="77777777" w:rsidR="003170F2" w:rsidRPr="00B6568E" w:rsidRDefault="003170F2" w:rsidP="00130440">
            <w:pPr>
              <w:rPr>
                <w:color w:val="000000" w:themeColor="text1"/>
              </w:rPr>
            </w:pPr>
          </w:p>
          <w:p w14:paraId="0F857972" w14:textId="77777777" w:rsidR="00E9575A" w:rsidRPr="00E9575A" w:rsidRDefault="00E9575A" w:rsidP="00130440">
            <w:pPr>
              <w:rPr>
                <w:b/>
                <w:color w:val="000000" w:themeColor="text1"/>
              </w:rPr>
            </w:pPr>
          </w:p>
          <w:p w14:paraId="0E90BE31" w14:textId="77777777" w:rsidR="00BC7A0D" w:rsidRPr="00E9575A" w:rsidRDefault="00FE4A24" w:rsidP="00130440">
            <w:pPr>
              <w:rPr>
                <w:b/>
                <w:color w:val="000000" w:themeColor="text1"/>
              </w:rPr>
            </w:pPr>
            <w:r>
              <w:rPr>
                <w:b/>
                <w:color w:val="000000" w:themeColor="text1"/>
              </w:rPr>
              <w:t>The Collaborative Commissioning Phase</w:t>
            </w:r>
          </w:p>
          <w:p w14:paraId="61DD24FB" w14:textId="77777777" w:rsidR="005C2BD7" w:rsidRPr="002A1FAD" w:rsidRDefault="005C2BD7" w:rsidP="00130440">
            <w:pPr>
              <w:rPr>
                <w:color w:val="000000" w:themeColor="text1"/>
              </w:rPr>
            </w:pPr>
          </w:p>
          <w:p w14:paraId="7BE0A073" w14:textId="1C5D02B2" w:rsidR="00401B76" w:rsidRPr="00A447B6" w:rsidRDefault="00401B76" w:rsidP="00130440">
            <w:pPr>
              <w:rPr>
                <w:color w:val="000000" w:themeColor="text1"/>
              </w:rPr>
            </w:pPr>
            <w:r w:rsidRPr="00A447B6">
              <w:rPr>
                <w:color w:val="000000" w:themeColor="text1"/>
              </w:rPr>
              <w:t xml:space="preserve">Over the past 12 months, </w:t>
            </w:r>
            <w:r w:rsidR="00605540" w:rsidRPr="00A447B6">
              <w:rPr>
                <w:color w:val="000000" w:themeColor="text1"/>
              </w:rPr>
              <w:t xml:space="preserve">significant engagement and </w:t>
            </w:r>
            <w:r w:rsidR="00B94FA3" w:rsidRPr="00A447B6">
              <w:rPr>
                <w:color w:val="000000" w:themeColor="text1"/>
              </w:rPr>
              <w:t>consultation has taken place between Providers and the 12 North East Local Authorities t</w:t>
            </w:r>
            <w:r w:rsidR="00F74CF8" w:rsidRPr="00A447B6">
              <w:rPr>
                <w:color w:val="000000" w:themeColor="text1"/>
              </w:rPr>
              <w:t xml:space="preserve">o </w:t>
            </w:r>
            <w:r w:rsidR="00605540" w:rsidRPr="00A447B6">
              <w:rPr>
                <w:color w:val="000000" w:themeColor="text1"/>
              </w:rPr>
              <w:t xml:space="preserve">develop </w:t>
            </w:r>
            <w:r w:rsidR="00F74CF8" w:rsidRPr="00A447B6">
              <w:rPr>
                <w:color w:val="000000" w:themeColor="text1"/>
              </w:rPr>
              <w:t xml:space="preserve">a new </w:t>
            </w:r>
            <w:r w:rsidR="00605540" w:rsidRPr="00A447B6">
              <w:rPr>
                <w:color w:val="000000" w:themeColor="text1"/>
              </w:rPr>
              <w:t xml:space="preserve">service and </w:t>
            </w:r>
            <w:r w:rsidR="00A06E01" w:rsidRPr="00A447B6">
              <w:rPr>
                <w:color w:val="000000" w:themeColor="text1"/>
              </w:rPr>
              <w:t>F</w:t>
            </w:r>
            <w:r w:rsidR="00F74CF8" w:rsidRPr="00A447B6">
              <w:rPr>
                <w:color w:val="000000" w:themeColor="text1"/>
              </w:rPr>
              <w:t xml:space="preserve">inancial </w:t>
            </w:r>
            <w:r w:rsidR="00A06E01" w:rsidRPr="00A447B6">
              <w:rPr>
                <w:color w:val="000000" w:themeColor="text1"/>
              </w:rPr>
              <w:t>M</w:t>
            </w:r>
            <w:r w:rsidR="00F74CF8" w:rsidRPr="00A447B6">
              <w:rPr>
                <w:color w:val="000000" w:themeColor="text1"/>
              </w:rPr>
              <w:t xml:space="preserve">odel that would be viable for both </w:t>
            </w:r>
            <w:r w:rsidR="00605540" w:rsidRPr="00A447B6">
              <w:rPr>
                <w:color w:val="000000" w:themeColor="text1"/>
              </w:rPr>
              <w:t xml:space="preserve">the </w:t>
            </w:r>
            <w:r w:rsidR="00F74CF8" w:rsidRPr="00A447B6">
              <w:rPr>
                <w:color w:val="000000" w:themeColor="text1"/>
              </w:rPr>
              <w:t>Provider Market</w:t>
            </w:r>
            <w:r w:rsidR="00605540" w:rsidRPr="00A447B6">
              <w:rPr>
                <w:color w:val="000000" w:themeColor="text1"/>
              </w:rPr>
              <w:t xml:space="preserve"> and the Participating Authorities.</w:t>
            </w:r>
            <w:r w:rsidR="00F74CF8" w:rsidRPr="00A447B6">
              <w:rPr>
                <w:color w:val="000000" w:themeColor="text1"/>
              </w:rPr>
              <w:t xml:space="preserve"> </w:t>
            </w:r>
          </w:p>
          <w:p w14:paraId="737851DD" w14:textId="77777777" w:rsidR="00401B76" w:rsidRPr="00A447B6" w:rsidRDefault="00401B76" w:rsidP="00130440">
            <w:pPr>
              <w:rPr>
                <w:color w:val="000000" w:themeColor="text1"/>
              </w:rPr>
            </w:pPr>
          </w:p>
          <w:p w14:paraId="69E96F50" w14:textId="77777777" w:rsidR="001148E4" w:rsidRPr="00A447B6" w:rsidRDefault="009C2BB1" w:rsidP="00130440">
            <w:pPr>
              <w:rPr>
                <w:color w:val="000000" w:themeColor="text1"/>
              </w:rPr>
            </w:pPr>
            <w:r w:rsidRPr="00A447B6">
              <w:rPr>
                <w:color w:val="000000" w:themeColor="text1"/>
              </w:rPr>
              <w:t xml:space="preserve">The </w:t>
            </w:r>
            <w:r w:rsidR="001148E4" w:rsidRPr="00A447B6">
              <w:rPr>
                <w:color w:val="000000" w:themeColor="text1"/>
              </w:rPr>
              <w:t xml:space="preserve">NEPO </w:t>
            </w:r>
            <w:r w:rsidRPr="00A447B6">
              <w:rPr>
                <w:color w:val="000000" w:themeColor="text1"/>
              </w:rPr>
              <w:t xml:space="preserve">Regional Governance Structure has </w:t>
            </w:r>
            <w:r w:rsidR="00605540" w:rsidRPr="00A447B6">
              <w:rPr>
                <w:color w:val="000000" w:themeColor="text1"/>
              </w:rPr>
              <w:t xml:space="preserve">now </w:t>
            </w:r>
            <w:r w:rsidRPr="00A447B6">
              <w:rPr>
                <w:color w:val="000000" w:themeColor="text1"/>
              </w:rPr>
              <w:t>determined tha</w:t>
            </w:r>
            <w:r w:rsidR="00F74CF8" w:rsidRPr="00A447B6">
              <w:rPr>
                <w:color w:val="000000" w:themeColor="text1"/>
              </w:rPr>
              <w:t xml:space="preserve">t </w:t>
            </w:r>
            <w:r w:rsidR="006F3CAC" w:rsidRPr="00A447B6">
              <w:rPr>
                <w:color w:val="000000" w:themeColor="text1"/>
              </w:rPr>
              <w:t xml:space="preserve">the Tees Valley </w:t>
            </w:r>
            <w:r w:rsidR="001148E4" w:rsidRPr="00A447B6">
              <w:rPr>
                <w:color w:val="000000" w:themeColor="text1"/>
              </w:rPr>
              <w:t xml:space="preserve">Pilot </w:t>
            </w:r>
            <w:r w:rsidR="006F3CAC" w:rsidRPr="00A447B6">
              <w:rPr>
                <w:color w:val="000000" w:themeColor="text1"/>
              </w:rPr>
              <w:t xml:space="preserve">Framework should continue </w:t>
            </w:r>
            <w:r w:rsidR="001148E4" w:rsidRPr="00A447B6">
              <w:rPr>
                <w:color w:val="000000" w:themeColor="text1"/>
              </w:rPr>
              <w:t xml:space="preserve">until it’s expiry in </w:t>
            </w:r>
            <w:r w:rsidR="006C7510" w:rsidRPr="00A447B6">
              <w:rPr>
                <w:color w:val="000000" w:themeColor="text1"/>
              </w:rPr>
              <w:t xml:space="preserve">March </w:t>
            </w:r>
            <w:r w:rsidR="001148E4" w:rsidRPr="00A447B6">
              <w:rPr>
                <w:color w:val="000000" w:themeColor="text1"/>
              </w:rPr>
              <w:t>2022</w:t>
            </w:r>
            <w:r w:rsidR="00605540" w:rsidRPr="00A447B6">
              <w:rPr>
                <w:color w:val="000000" w:themeColor="text1"/>
              </w:rPr>
              <w:t>.  This will</w:t>
            </w:r>
            <w:r w:rsidR="006C7510" w:rsidRPr="00A447B6">
              <w:t xml:space="preserve"> allow </w:t>
            </w:r>
            <w:proofErr w:type="gramStart"/>
            <w:r w:rsidR="00605540" w:rsidRPr="00A447B6">
              <w:t>sufficient</w:t>
            </w:r>
            <w:proofErr w:type="gramEnd"/>
            <w:r w:rsidR="00605540" w:rsidRPr="00A447B6">
              <w:t xml:space="preserve"> time for </w:t>
            </w:r>
            <w:r w:rsidR="006C7510" w:rsidRPr="00A447B6">
              <w:t xml:space="preserve">the </w:t>
            </w:r>
            <w:r w:rsidR="00605540" w:rsidRPr="00A447B6">
              <w:t xml:space="preserve">five Local </w:t>
            </w:r>
            <w:r w:rsidR="006C7510" w:rsidRPr="00A447B6">
              <w:t>Authorities in the South to understand how this innovative model is working</w:t>
            </w:r>
            <w:r w:rsidR="00605540" w:rsidRPr="00A447B6">
              <w:t xml:space="preserve"> and share their findings across the region</w:t>
            </w:r>
            <w:r w:rsidR="00A910DD" w:rsidRPr="00A447B6">
              <w:t>.</w:t>
            </w:r>
          </w:p>
          <w:p w14:paraId="3B603CC9" w14:textId="77777777" w:rsidR="001148E4" w:rsidRPr="00A447B6" w:rsidRDefault="001148E4" w:rsidP="00130440"/>
          <w:p w14:paraId="7608B3FF" w14:textId="28C5A88C" w:rsidR="009C2BB1" w:rsidRPr="00A447B6" w:rsidRDefault="002915FB" w:rsidP="001148E4">
            <w:pPr>
              <w:rPr>
                <w:color w:val="000000" w:themeColor="text1"/>
              </w:rPr>
            </w:pPr>
            <w:r w:rsidRPr="00A447B6">
              <w:t>The</w:t>
            </w:r>
            <w:r w:rsidR="00605540" w:rsidRPr="00A447B6">
              <w:t xml:space="preserve"> 12 North East Local Authorities </w:t>
            </w:r>
            <w:r w:rsidRPr="00A447B6">
              <w:t xml:space="preserve">will continue to </w:t>
            </w:r>
            <w:r w:rsidR="00605540" w:rsidRPr="00A447B6">
              <w:t xml:space="preserve">explore the feasibility of developing </w:t>
            </w:r>
            <w:r w:rsidR="001148E4" w:rsidRPr="00A447B6">
              <w:t xml:space="preserve">a regional </w:t>
            </w:r>
            <w:r w:rsidR="00605540" w:rsidRPr="00A447B6">
              <w:t>s</w:t>
            </w:r>
            <w:r w:rsidR="001148E4" w:rsidRPr="00A447B6">
              <w:t xml:space="preserve">olution to be utilised by the 12 North East Local Authorities from </w:t>
            </w:r>
            <w:r w:rsidR="00A910DD" w:rsidRPr="00A447B6">
              <w:t xml:space="preserve">1 April </w:t>
            </w:r>
            <w:r w:rsidR="001148E4" w:rsidRPr="00A447B6">
              <w:t>2022.</w:t>
            </w:r>
          </w:p>
          <w:p w14:paraId="29695626" w14:textId="77777777" w:rsidR="005D29F4" w:rsidRPr="00A447B6" w:rsidRDefault="005D29F4" w:rsidP="00130440">
            <w:pPr>
              <w:rPr>
                <w:color w:val="000000" w:themeColor="text1"/>
              </w:rPr>
            </w:pPr>
          </w:p>
          <w:p w14:paraId="491AAA2C" w14:textId="77777777" w:rsidR="001148E4" w:rsidRDefault="005D29F4" w:rsidP="00130440">
            <w:pPr>
              <w:rPr>
                <w:color w:val="000000" w:themeColor="text1"/>
              </w:rPr>
            </w:pPr>
            <w:r w:rsidRPr="00A447B6">
              <w:rPr>
                <w:color w:val="000000" w:themeColor="text1"/>
              </w:rPr>
              <w:t>As a result,</w:t>
            </w:r>
            <w:r w:rsidR="001148E4" w:rsidRPr="00A447B6">
              <w:rPr>
                <w:color w:val="000000" w:themeColor="text1"/>
              </w:rPr>
              <w:t xml:space="preserve"> the </w:t>
            </w:r>
            <w:r w:rsidR="0016589A" w:rsidRPr="00A447B6">
              <w:rPr>
                <w:color w:val="000000" w:themeColor="text1"/>
              </w:rPr>
              <w:t>seven</w:t>
            </w:r>
            <w:r w:rsidR="001148E4" w:rsidRPr="00A447B6">
              <w:rPr>
                <w:color w:val="000000" w:themeColor="text1"/>
              </w:rPr>
              <w:t xml:space="preserve"> Local Authorit</w:t>
            </w:r>
            <w:r w:rsidR="00222090" w:rsidRPr="00A447B6">
              <w:rPr>
                <w:color w:val="000000" w:themeColor="text1"/>
              </w:rPr>
              <w:t>i</w:t>
            </w:r>
            <w:r w:rsidR="001148E4" w:rsidRPr="00A447B6">
              <w:rPr>
                <w:color w:val="000000" w:themeColor="text1"/>
              </w:rPr>
              <w:t xml:space="preserve">es in the </w:t>
            </w:r>
            <w:r w:rsidR="00A910DD" w:rsidRPr="00A447B6">
              <w:rPr>
                <w:color w:val="000000" w:themeColor="text1"/>
              </w:rPr>
              <w:t>North</w:t>
            </w:r>
            <w:r w:rsidR="001148E4" w:rsidRPr="00A447B6">
              <w:rPr>
                <w:color w:val="000000" w:themeColor="text1"/>
              </w:rPr>
              <w:t xml:space="preserve"> of the region </w:t>
            </w:r>
            <w:r w:rsidRPr="00A447B6">
              <w:rPr>
                <w:color w:val="000000" w:themeColor="text1"/>
              </w:rPr>
              <w:t>have a requirement to procure a solution</w:t>
            </w:r>
            <w:r w:rsidR="001148E4" w:rsidRPr="00A447B6">
              <w:rPr>
                <w:color w:val="000000" w:themeColor="text1"/>
              </w:rPr>
              <w:t xml:space="preserve"> which will expire in </w:t>
            </w:r>
            <w:r w:rsidR="00A910DD" w:rsidRPr="00A447B6">
              <w:rPr>
                <w:color w:val="000000" w:themeColor="text1"/>
              </w:rPr>
              <w:t xml:space="preserve">March </w:t>
            </w:r>
            <w:r w:rsidR="001148E4" w:rsidRPr="00A447B6">
              <w:rPr>
                <w:color w:val="000000" w:themeColor="text1"/>
              </w:rPr>
              <w:t>2022</w:t>
            </w:r>
            <w:r w:rsidR="009C2BB1" w:rsidRPr="00A447B6">
              <w:rPr>
                <w:color w:val="000000" w:themeColor="text1"/>
              </w:rPr>
              <w:t>.</w:t>
            </w:r>
            <w:r w:rsidR="001148E4">
              <w:rPr>
                <w:color w:val="000000" w:themeColor="text1"/>
              </w:rPr>
              <w:t xml:space="preserve">  </w:t>
            </w:r>
          </w:p>
          <w:p w14:paraId="1EFF46EF" w14:textId="77777777" w:rsidR="001148E4" w:rsidRDefault="001148E4" w:rsidP="00130440">
            <w:pPr>
              <w:rPr>
                <w:color w:val="000000" w:themeColor="text1"/>
              </w:rPr>
            </w:pPr>
          </w:p>
          <w:p w14:paraId="4250F659" w14:textId="77777777" w:rsidR="006F3CAC" w:rsidRDefault="001148E4" w:rsidP="00130440">
            <w:pPr>
              <w:rPr>
                <w:color w:val="000000" w:themeColor="text1"/>
              </w:rPr>
            </w:pPr>
            <w:r>
              <w:rPr>
                <w:color w:val="000000" w:themeColor="text1"/>
              </w:rPr>
              <w:t xml:space="preserve">This consultation now </w:t>
            </w:r>
            <w:r w:rsidR="005D29F4">
              <w:rPr>
                <w:color w:val="000000" w:themeColor="text1"/>
              </w:rPr>
              <w:t xml:space="preserve">therefore </w:t>
            </w:r>
            <w:r>
              <w:rPr>
                <w:color w:val="000000" w:themeColor="text1"/>
              </w:rPr>
              <w:t>only relate</w:t>
            </w:r>
            <w:r w:rsidR="00A910DD">
              <w:rPr>
                <w:color w:val="000000" w:themeColor="text1"/>
              </w:rPr>
              <w:t>s</w:t>
            </w:r>
            <w:r>
              <w:rPr>
                <w:color w:val="000000" w:themeColor="text1"/>
              </w:rPr>
              <w:t xml:space="preserve"> to the </w:t>
            </w:r>
            <w:r w:rsidR="0016589A">
              <w:rPr>
                <w:color w:val="000000" w:themeColor="text1"/>
              </w:rPr>
              <w:t>seven</w:t>
            </w:r>
            <w:r>
              <w:rPr>
                <w:color w:val="000000" w:themeColor="text1"/>
              </w:rPr>
              <w:t xml:space="preserve"> Local Authorities listed below (NE7):</w:t>
            </w:r>
            <w:r w:rsidR="009C2BB1">
              <w:rPr>
                <w:color w:val="000000" w:themeColor="text1"/>
              </w:rPr>
              <w:t xml:space="preserve">  </w:t>
            </w:r>
          </w:p>
          <w:p w14:paraId="37077EA9" w14:textId="77777777" w:rsidR="009C2BB1" w:rsidRDefault="009C2BB1" w:rsidP="00130440">
            <w:pPr>
              <w:rPr>
                <w:color w:val="000000" w:themeColor="text1"/>
              </w:rPr>
            </w:pPr>
          </w:p>
          <w:p w14:paraId="3592FA6D" w14:textId="4636DB01" w:rsidR="009C2BB1" w:rsidRDefault="009C2BB1" w:rsidP="009C2BB1">
            <w:pPr>
              <w:pStyle w:val="ListParagraph"/>
              <w:numPr>
                <w:ilvl w:val="0"/>
                <w:numId w:val="35"/>
              </w:numPr>
              <w:rPr>
                <w:color w:val="000000" w:themeColor="text1"/>
              </w:rPr>
            </w:pPr>
            <w:r>
              <w:rPr>
                <w:color w:val="000000" w:themeColor="text1"/>
              </w:rPr>
              <w:t>Newcastle City Council (Lead Authority)</w:t>
            </w:r>
          </w:p>
          <w:p w14:paraId="641B3DB7" w14:textId="77777777" w:rsidR="00A447B6" w:rsidRDefault="00A447B6" w:rsidP="00A447B6">
            <w:pPr>
              <w:pStyle w:val="ListParagraph"/>
              <w:numPr>
                <w:ilvl w:val="0"/>
                <w:numId w:val="35"/>
              </w:numPr>
              <w:rPr>
                <w:color w:val="000000" w:themeColor="text1"/>
              </w:rPr>
            </w:pPr>
            <w:r>
              <w:rPr>
                <w:color w:val="000000" w:themeColor="text1"/>
              </w:rPr>
              <w:t>Durham County Council</w:t>
            </w:r>
          </w:p>
          <w:p w14:paraId="074EC93D" w14:textId="77777777" w:rsidR="00A447B6" w:rsidRDefault="00A447B6" w:rsidP="00A447B6">
            <w:pPr>
              <w:pStyle w:val="ListParagraph"/>
              <w:numPr>
                <w:ilvl w:val="0"/>
                <w:numId w:val="35"/>
              </w:numPr>
              <w:rPr>
                <w:color w:val="000000" w:themeColor="text1"/>
              </w:rPr>
            </w:pPr>
            <w:r>
              <w:rPr>
                <w:color w:val="000000" w:themeColor="text1"/>
              </w:rPr>
              <w:t>Gateshead Council</w:t>
            </w:r>
          </w:p>
          <w:p w14:paraId="030CDD42" w14:textId="77777777" w:rsidR="00A447B6" w:rsidRDefault="00A447B6" w:rsidP="00A447B6">
            <w:pPr>
              <w:pStyle w:val="ListParagraph"/>
              <w:numPr>
                <w:ilvl w:val="0"/>
                <w:numId w:val="35"/>
              </w:numPr>
              <w:rPr>
                <w:color w:val="000000" w:themeColor="text1"/>
              </w:rPr>
            </w:pPr>
            <w:r>
              <w:rPr>
                <w:color w:val="000000" w:themeColor="text1"/>
              </w:rPr>
              <w:t>North Tyneside Council</w:t>
            </w:r>
          </w:p>
          <w:p w14:paraId="629E0A0D" w14:textId="15F56ABF" w:rsidR="009C2BB1" w:rsidRPr="00A447B6" w:rsidRDefault="009C2BB1" w:rsidP="00A447B6">
            <w:pPr>
              <w:pStyle w:val="ListParagraph"/>
              <w:numPr>
                <w:ilvl w:val="0"/>
                <w:numId w:val="35"/>
              </w:numPr>
              <w:rPr>
                <w:color w:val="000000" w:themeColor="text1"/>
              </w:rPr>
            </w:pPr>
            <w:r w:rsidRPr="00A447B6">
              <w:rPr>
                <w:color w:val="000000" w:themeColor="text1"/>
              </w:rPr>
              <w:t>Northumberland County Council</w:t>
            </w:r>
          </w:p>
          <w:p w14:paraId="16284A93" w14:textId="77777777" w:rsidR="009C2BB1" w:rsidRDefault="009C2BB1" w:rsidP="009C2BB1">
            <w:pPr>
              <w:pStyle w:val="ListParagraph"/>
              <w:numPr>
                <w:ilvl w:val="0"/>
                <w:numId w:val="35"/>
              </w:numPr>
              <w:rPr>
                <w:color w:val="000000" w:themeColor="text1"/>
              </w:rPr>
            </w:pPr>
            <w:r>
              <w:rPr>
                <w:color w:val="000000" w:themeColor="text1"/>
              </w:rPr>
              <w:lastRenderedPageBreak/>
              <w:t>South Tyneside Council</w:t>
            </w:r>
          </w:p>
          <w:p w14:paraId="22C197EF" w14:textId="373D1B57" w:rsidR="009C2BB1" w:rsidRPr="009C2BB1" w:rsidRDefault="009C2BB1" w:rsidP="009C2BB1">
            <w:pPr>
              <w:pStyle w:val="ListParagraph"/>
              <w:numPr>
                <w:ilvl w:val="0"/>
                <w:numId w:val="35"/>
              </w:numPr>
              <w:rPr>
                <w:color w:val="000000" w:themeColor="text1"/>
              </w:rPr>
            </w:pPr>
            <w:r>
              <w:rPr>
                <w:color w:val="000000" w:themeColor="text1"/>
              </w:rPr>
              <w:t>Together for Children (Sunderland</w:t>
            </w:r>
            <w:r w:rsidR="00A447B6">
              <w:rPr>
                <w:color w:val="000000" w:themeColor="text1"/>
              </w:rPr>
              <w:t>)</w:t>
            </w:r>
          </w:p>
          <w:p w14:paraId="77EE7DF1" w14:textId="77777777" w:rsidR="009C2BB1" w:rsidRDefault="009C2BB1" w:rsidP="00130440">
            <w:pPr>
              <w:rPr>
                <w:color w:val="000000" w:themeColor="text1"/>
              </w:rPr>
            </w:pPr>
          </w:p>
          <w:p w14:paraId="136289C1" w14:textId="77777777" w:rsidR="00130440" w:rsidRDefault="005D29F4" w:rsidP="009C2BB1">
            <w:pPr>
              <w:rPr>
                <w:color w:val="000000" w:themeColor="text1"/>
              </w:rPr>
            </w:pPr>
            <w:r>
              <w:rPr>
                <w:color w:val="000000" w:themeColor="text1"/>
              </w:rPr>
              <w:t xml:space="preserve">This </w:t>
            </w:r>
            <w:r w:rsidR="00222090">
              <w:rPr>
                <w:color w:val="000000" w:themeColor="text1"/>
              </w:rPr>
              <w:t xml:space="preserve">current </w:t>
            </w:r>
            <w:r w:rsidR="009E4914">
              <w:rPr>
                <w:color w:val="000000" w:themeColor="text1"/>
              </w:rPr>
              <w:t>four</w:t>
            </w:r>
            <w:r w:rsidR="00222090">
              <w:rPr>
                <w:color w:val="000000" w:themeColor="text1"/>
              </w:rPr>
              <w:t>-week</w:t>
            </w:r>
            <w:r w:rsidR="005C2BD7" w:rsidRPr="002A1FAD">
              <w:rPr>
                <w:color w:val="000000" w:themeColor="text1"/>
              </w:rPr>
              <w:t xml:space="preserve"> consultation </w:t>
            </w:r>
            <w:r>
              <w:rPr>
                <w:color w:val="000000" w:themeColor="text1"/>
              </w:rPr>
              <w:t>relates to</w:t>
            </w:r>
            <w:r w:rsidR="005C2BD7" w:rsidRPr="002A1FAD">
              <w:rPr>
                <w:color w:val="000000" w:themeColor="text1"/>
              </w:rPr>
              <w:t xml:space="preserve"> pricing and Specification only</w:t>
            </w:r>
            <w:r w:rsidR="00B94FA3">
              <w:rPr>
                <w:color w:val="000000" w:themeColor="text1"/>
              </w:rPr>
              <w:t xml:space="preserve">.  This a draft </w:t>
            </w:r>
            <w:r w:rsidR="009C2BB1">
              <w:rPr>
                <w:color w:val="000000" w:themeColor="text1"/>
              </w:rPr>
              <w:t>Proposal and elements of the model, including pricing, may be amended based on Provider and Local Authority feedback</w:t>
            </w:r>
            <w:r w:rsidR="00222090">
              <w:rPr>
                <w:color w:val="000000" w:themeColor="text1"/>
              </w:rPr>
              <w:t xml:space="preserve"> at the end of the </w:t>
            </w:r>
            <w:r w:rsidR="009E4914">
              <w:rPr>
                <w:color w:val="000000" w:themeColor="text1"/>
              </w:rPr>
              <w:t>four</w:t>
            </w:r>
            <w:r w:rsidR="00A910DD">
              <w:rPr>
                <w:color w:val="000000" w:themeColor="text1"/>
              </w:rPr>
              <w:t>-</w:t>
            </w:r>
            <w:r w:rsidR="00222090">
              <w:rPr>
                <w:color w:val="000000" w:themeColor="text1"/>
              </w:rPr>
              <w:t>week period.</w:t>
            </w:r>
            <w:r>
              <w:rPr>
                <w:color w:val="000000" w:themeColor="text1"/>
              </w:rPr>
              <w:t xml:space="preserve">  Any amendments will be published during the second consultation phase.</w:t>
            </w:r>
          </w:p>
          <w:p w14:paraId="464B66B0" w14:textId="77777777" w:rsidR="00315398" w:rsidRPr="002A1FAD" w:rsidRDefault="00315398" w:rsidP="009C2BB1">
            <w:pPr>
              <w:rPr>
                <w:color w:val="000000" w:themeColor="text1"/>
              </w:rPr>
            </w:pPr>
          </w:p>
        </w:tc>
      </w:tr>
      <w:tr w:rsidR="009405B6" w:rsidRPr="000728AE" w14:paraId="6FD84A40" w14:textId="77777777" w:rsidTr="00E03ABE">
        <w:tc>
          <w:tcPr>
            <w:tcW w:w="839" w:type="dxa"/>
          </w:tcPr>
          <w:p w14:paraId="3FA6975F" w14:textId="77777777" w:rsidR="009405B6" w:rsidRPr="00857A97" w:rsidRDefault="009405B6" w:rsidP="00616010">
            <w:pPr>
              <w:rPr>
                <w:b/>
                <w:color w:val="000000" w:themeColor="text1"/>
                <w:sz w:val="28"/>
                <w:szCs w:val="28"/>
              </w:rPr>
            </w:pPr>
            <w:r>
              <w:rPr>
                <w:b/>
                <w:color w:val="000000" w:themeColor="text1"/>
                <w:sz w:val="28"/>
                <w:szCs w:val="28"/>
              </w:rPr>
              <w:lastRenderedPageBreak/>
              <w:t>3.</w:t>
            </w:r>
          </w:p>
        </w:tc>
        <w:tc>
          <w:tcPr>
            <w:tcW w:w="9793" w:type="dxa"/>
          </w:tcPr>
          <w:p w14:paraId="7509F039" w14:textId="77777777" w:rsidR="009405B6" w:rsidRDefault="009405B6" w:rsidP="009405B6">
            <w:pPr>
              <w:rPr>
                <w:b/>
                <w:sz w:val="28"/>
                <w:szCs w:val="28"/>
              </w:rPr>
            </w:pPr>
            <w:r>
              <w:rPr>
                <w:b/>
                <w:sz w:val="28"/>
                <w:szCs w:val="28"/>
              </w:rPr>
              <w:t>The Procurement Solution</w:t>
            </w:r>
          </w:p>
          <w:p w14:paraId="1951BD4F" w14:textId="77777777" w:rsidR="009405B6" w:rsidRPr="00857A97" w:rsidRDefault="009405B6" w:rsidP="00130440">
            <w:pPr>
              <w:rPr>
                <w:b/>
                <w:color w:val="000000" w:themeColor="text1"/>
                <w:sz w:val="28"/>
                <w:szCs w:val="28"/>
              </w:rPr>
            </w:pPr>
          </w:p>
        </w:tc>
      </w:tr>
      <w:tr w:rsidR="009405B6" w:rsidRPr="000728AE" w14:paraId="740FCCB5" w14:textId="77777777" w:rsidTr="00E03ABE">
        <w:tc>
          <w:tcPr>
            <w:tcW w:w="839" w:type="dxa"/>
          </w:tcPr>
          <w:p w14:paraId="57A56F30" w14:textId="77777777" w:rsidR="009405B6" w:rsidRDefault="009405B6" w:rsidP="00616010">
            <w:pPr>
              <w:rPr>
                <w:b/>
                <w:color w:val="000000" w:themeColor="text1"/>
                <w:sz w:val="28"/>
                <w:szCs w:val="28"/>
              </w:rPr>
            </w:pPr>
          </w:p>
        </w:tc>
        <w:tc>
          <w:tcPr>
            <w:tcW w:w="9793" w:type="dxa"/>
          </w:tcPr>
          <w:p w14:paraId="00A75AAF" w14:textId="77777777" w:rsidR="009405B6" w:rsidRDefault="009405B6" w:rsidP="009405B6">
            <w:pPr>
              <w:rPr>
                <w:highlight w:val="yellow"/>
              </w:rPr>
            </w:pPr>
          </w:p>
          <w:p w14:paraId="2F4EA1AC" w14:textId="77777777" w:rsidR="009405B6" w:rsidRPr="001C601F" w:rsidRDefault="001C601F" w:rsidP="009405B6">
            <w:r w:rsidRPr="001C601F">
              <w:t>The NE7 Collaborative</w:t>
            </w:r>
            <w:r w:rsidR="009405B6" w:rsidRPr="001C601F">
              <w:t xml:space="preserve"> are proposing to run a bespoke tender process under the Public Contract Regulations 2015</w:t>
            </w:r>
            <w:r w:rsidR="00222090">
              <w:t xml:space="preserve"> (as amended)</w:t>
            </w:r>
            <w:r w:rsidR="009405B6" w:rsidRPr="001C601F">
              <w:t xml:space="preserve">, within the Social and Other Specific Services Procurement Route. </w:t>
            </w:r>
          </w:p>
          <w:p w14:paraId="769D22DE" w14:textId="77777777" w:rsidR="009405B6" w:rsidRPr="009405B6" w:rsidRDefault="009405B6" w:rsidP="009405B6">
            <w:pPr>
              <w:rPr>
                <w:highlight w:val="yellow"/>
              </w:rPr>
            </w:pPr>
          </w:p>
          <w:p w14:paraId="054F8CC2" w14:textId="2EEAAB6D" w:rsidR="009405B6" w:rsidRDefault="009405B6" w:rsidP="009405B6">
            <w:r w:rsidRPr="00FB77DE">
              <w:t xml:space="preserve">The proposed </w:t>
            </w:r>
            <w:r w:rsidR="00FB77DE" w:rsidRPr="00FB77DE">
              <w:t>Flexible Procurement Agreement</w:t>
            </w:r>
            <w:r w:rsidRPr="00FB77DE">
              <w:t xml:space="preserve"> will provide a flexible solution to bring new Providers and Settings onto the </w:t>
            </w:r>
            <w:r w:rsidR="00FB77DE" w:rsidRPr="00FB77DE">
              <w:t>contract</w:t>
            </w:r>
            <w:r w:rsidRPr="00FB77DE">
              <w:t xml:space="preserve"> during </w:t>
            </w:r>
            <w:r w:rsidR="00D10D03" w:rsidRPr="00FB77DE">
              <w:t>its</w:t>
            </w:r>
            <w:r w:rsidR="00FB77DE" w:rsidRPr="00FB77DE">
              <w:t xml:space="preserve"> lifetime.</w:t>
            </w:r>
            <w:r w:rsidRPr="00FB77DE">
              <w:t xml:space="preserve">  We are proposing to open the </w:t>
            </w:r>
            <w:r w:rsidR="00FB77DE" w:rsidRPr="00FB77DE">
              <w:t xml:space="preserve">Flexible Procurement Agreement </w:t>
            </w:r>
            <w:r w:rsidRPr="00FB77DE">
              <w:t xml:space="preserve">for </w:t>
            </w:r>
            <w:r w:rsidR="005F795D">
              <w:t xml:space="preserve">new </w:t>
            </w:r>
            <w:r w:rsidRPr="00FB77DE">
              <w:t>applications</w:t>
            </w:r>
            <w:r w:rsidR="005F795D">
              <w:t xml:space="preserve"> every month in the first year and at least</w:t>
            </w:r>
            <w:r w:rsidR="00E461E3">
              <w:t xml:space="preserve"> once every six months thereafter.</w:t>
            </w:r>
            <w:r w:rsidR="005F795D">
              <w:t xml:space="preserve"> </w:t>
            </w:r>
          </w:p>
          <w:p w14:paraId="57D7B223" w14:textId="77777777" w:rsidR="00FB77DE" w:rsidRPr="001C601F" w:rsidRDefault="00FB77DE" w:rsidP="009405B6"/>
          <w:p w14:paraId="08D9C362" w14:textId="77777777" w:rsidR="00401B76" w:rsidRPr="009405B6" w:rsidRDefault="00401B76" w:rsidP="009405B6">
            <w:pPr>
              <w:rPr>
                <w:highlight w:val="yellow"/>
              </w:rPr>
            </w:pPr>
          </w:p>
          <w:p w14:paraId="252931D6" w14:textId="77777777" w:rsidR="00401B76" w:rsidRPr="001C601F" w:rsidRDefault="009405B6" w:rsidP="009405B6">
            <w:pPr>
              <w:rPr>
                <w:b/>
                <w:sz w:val="28"/>
                <w:szCs w:val="28"/>
              </w:rPr>
            </w:pPr>
            <w:r w:rsidRPr="001C601F">
              <w:rPr>
                <w:b/>
                <w:sz w:val="28"/>
                <w:szCs w:val="28"/>
              </w:rPr>
              <w:t>Length of Solution</w:t>
            </w:r>
          </w:p>
          <w:p w14:paraId="3869B12A" w14:textId="77777777" w:rsidR="009405B6" w:rsidRPr="009405B6" w:rsidRDefault="009405B6" w:rsidP="009405B6">
            <w:pPr>
              <w:rPr>
                <w:sz w:val="28"/>
                <w:szCs w:val="28"/>
                <w:highlight w:val="yellow"/>
              </w:rPr>
            </w:pPr>
          </w:p>
          <w:p w14:paraId="49BE6A9B" w14:textId="77777777" w:rsidR="009405B6" w:rsidRDefault="001C601F" w:rsidP="009405B6">
            <w:r w:rsidRPr="00A447B6">
              <w:t>Th</w:t>
            </w:r>
            <w:r w:rsidR="00EB4E98" w:rsidRPr="00A447B6">
              <w:t>e</w:t>
            </w:r>
            <w:r w:rsidRPr="00A447B6">
              <w:t xml:space="preserve"> proposed length of this procurement solution will be </w:t>
            </w:r>
            <w:r w:rsidR="00EB4E98" w:rsidRPr="00A447B6">
              <w:t>18 months plus 1 x 12</w:t>
            </w:r>
            <w:r w:rsidR="00315398" w:rsidRPr="00A447B6">
              <w:t>-</w:t>
            </w:r>
            <w:r w:rsidR="00EB4E98" w:rsidRPr="00A447B6">
              <w:t xml:space="preserve">month Option to Extend.  </w:t>
            </w:r>
            <w:r w:rsidR="00A50202" w:rsidRPr="00A447B6">
              <w:t xml:space="preserve">This will </w:t>
            </w:r>
            <w:r w:rsidR="00821B26" w:rsidRPr="00A447B6">
              <w:t xml:space="preserve">align </w:t>
            </w:r>
            <w:r w:rsidR="00A50202" w:rsidRPr="00A447B6">
              <w:t xml:space="preserve">the end date of the solution in the North </w:t>
            </w:r>
            <w:r w:rsidR="00821B26" w:rsidRPr="00A447B6">
              <w:t>to</w:t>
            </w:r>
            <w:r w:rsidR="00A50202" w:rsidRPr="00A447B6">
              <w:t xml:space="preserve"> that of the South.  A joint Commissioning exercise will be undertaken to </w:t>
            </w:r>
            <w:r w:rsidR="00120845" w:rsidRPr="00A447B6">
              <w:t xml:space="preserve">explore the feasibility of putting </w:t>
            </w:r>
            <w:r w:rsidR="00821B26" w:rsidRPr="00A447B6">
              <w:t xml:space="preserve">in place </w:t>
            </w:r>
            <w:r w:rsidR="00A50202" w:rsidRPr="00A447B6">
              <w:t xml:space="preserve">a regional solution to be utilised by the 12 North East Local Authorities from </w:t>
            </w:r>
            <w:r w:rsidR="00EB4E98" w:rsidRPr="00A447B6">
              <w:t>April</w:t>
            </w:r>
            <w:r w:rsidR="00A50202" w:rsidRPr="00A447B6">
              <w:t xml:space="preserve"> 2022.</w:t>
            </w:r>
          </w:p>
          <w:p w14:paraId="290C87B0" w14:textId="77777777" w:rsidR="006D6BE5" w:rsidRPr="001C601F" w:rsidRDefault="006D6BE5" w:rsidP="009405B6"/>
          <w:p w14:paraId="60BE3A6F" w14:textId="77777777" w:rsidR="009405B6" w:rsidRPr="009405B6" w:rsidRDefault="009405B6" w:rsidP="009405B6">
            <w:pPr>
              <w:rPr>
                <w:highlight w:val="yellow"/>
              </w:rPr>
            </w:pPr>
          </w:p>
          <w:p w14:paraId="7CD4A9CF" w14:textId="77777777" w:rsidR="009405B6" w:rsidRDefault="009405B6" w:rsidP="009405B6">
            <w:pPr>
              <w:rPr>
                <w:b/>
                <w:sz w:val="28"/>
                <w:szCs w:val="28"/>
              </w:rPr>
            </w:pPr>
            <w:r w:rsidRPr="001C601F">
              <w:rPr>
                <w:b/>
                <w:sz w:val="28"/>
                <w:szCs w:val="28"/>
              </w:rPr>
              <w:t>Price Reviews</w:t>
            </w:r>
          </w:p>
          <w:p w14:paraId="05836336" w14:textId="77777777" w:rsidR="00777F6D" w:rsidRDefault="00777F6D" w:rsidP="009405B6"/>
          <w:p w14:paraId="556C1E09" w14:textId="2C07D862" w:rsidR="00145449" w:rsidRDefault="00145449" w:rsidP="00145449">
            <w:r>
              <w:t>During the consultation process, the Participating Authorities expected the solution to be put in place for 6 years, and as such through the consultation process we discussed including prescribed uplifts.  As this Flexible Procurement Agreement will now be a short-term interim solution, we are proposing that the fees will be set for the 18</w:t>
            </w:r>
            <w:r w:rsidR="003B6F47">
              <w:t>-</w:t>
            </w:r>
            <w:r>
              <w:t>month contract plus extension.</w:t>
            </w:r>
          </w:p>
          <w:p w14:paraId="2FC92A91" w14:textId="77777777" w:rsidR="00145449" w:rsidRDefault="00145449" w:rsidP="00A50202">
            <w:pPr>
              <w:rPr>
                <w:b/>
                <w:color w:val="000000" w:themeColor="text1"/>
                <w:sz w:val="28"/>
                <w:szCs w:val="28"/>
              </w:rPr>
            </w:pPr>
          </w:p>
          <w:p w14:paraId="6FDA8D3C" w14:textId="2E6938F3" w:rsidR="00A57E67" w:rsidRDefault="00A57E67" w:rsidP="00A50202">
            <w:pPr>
              <w:rPr>
                <w:b/>
                <w:color w:val="000000" w:themeColor="text1"/>
                <w:sz w:val="28"/>
                <w:szCs w:val="28"/>
              </w:rPr>
            </w:pPr>
          </w:p>
          <w:p w14:paraId="783D5061" w14:textId="77777777" w:rsidR="00A50202" w:rsidRPr="000728AE" w:rsidRDefault="00A50202" w:rsidP="00A50202">
            <w:pPr>
              <w:rPr>
                <w:color w:val="000000" w:themeColor="text1"/>
              </w:rPr>
            </w:pPr>
            <w:r w:rsidRPr="000728AE">
              <w:rPr>
                <w:b/>
                <w:color w:val="000000" w:themeColor="text1"/>
                <w:sz w:val="28"/>
                <w:szCs w:val="28"/>
              </w:rPr>
              <w:t xml:space="preserve">Call-off Procedures </w:t>
            </w:r>
          </w:p>
          <w:p w14:paraId="63419864" w14:textId="77777777" w:rsidR="00A50202" w:rsidRPr="000728AE" w:rsidRDefault="00A50202" w:rsidP="00A50202">
            <w:pPr>
              <w:rPr>
                <w:color w:val="000000" w:themeColor="text1"/>
              </w:rPr>
            </w:pPr>
          </w:p>
          <w:p w14:paraId="6680179B" w14:textId="77777777" w:rsidR="00A50202" w:rsidRDefault="00A50202" w:rsidP="00A50202">
            <w:pPr>
              <w:rPr>
                <w:color w:val="000000" w:themeColor="text1"/>
              </w:rPr>
            </w:pPr>
            <w:r w:rsidRPr="000728AE">
              <w:rPr>
                <w:color w:val="000000" w:themeColor="text1"/>
              </w:rPr>
              <w:t>Call-off against the</w:t>
            </w:r>
            <w:r>
              <w:rPr>
                <w:color w:val="000000" w:themeColor="text1"/>
              </w:rPr>
              <w:t xml:space="preserve"> </w:t>
            </w:r>
            <w:r w:rsidR="00FB77DE">
              <w:rPr>
                <w:color w:val="000000" w:themeColor="text1"/>
              </w:rPr>
              <w:t>Flexible Procurement Agreement</w:t>
            </w:r>
            <w:r w:rsidRPr="000728AE">
              <w:rPr>
                <w:color w:val="000000" w:themeColor="text1"/>
              </w:rPr>
              <w:t xml:space="preserve"> </w:t>
            </w:r>
            <w:r>
              <w:rPr>
                <w:color w:val="000000" w:themeColor="text1"/>
              </w:rPr>
              <w:t xml:space="preserve">(the Contract) </w:t>
            </w:r>
            <w:r w:rsidRPr="000728AE">
              <w:rPr>
                <w:color w:val="000000" w:themeColor="text1"/>
              </w:rPr>
              <w:t xml:space="preserve">will be by </w:t>
            </w:r>
            <w:r w:rsidR="00FB77DE">
              <w:rPr>
                <w:color w:val="000000" w:themeColor="text1"/>
              </w:rPr>
              <w:t>F</w:t>
            </w:r>
            <w:r w:rsidRPr="000728AE">
              <w:rPr>
                <w:color w:val="000000" w:themeColor="text1"/>
              </w:rPr>
              <w:t xml:space="preserve">urther </w:t>
            </w:r>
            <w:r w:rsidR="00FB77DE">
              <w:rPr>
                <w:color w:val="000000" w:themeColor="text1"/>
              </w:rPr>
              <w:t>C</w:t>
            </w:r>
            <w:r w:rsidRPr="000728AE">
              <w:rPr>
                <w:color w:val="000000" w:themeColor="text1"/>
              </w:rPr>
              <w:t>ompetition through the North East Procurement Organisation’s (NEPO) Electronic Tendering Portal.</w:t>
            </w:r>
          </w:p>
          <w:p w14:paraId="5B1688FF" w14:textId="0C4B2E2C" w:rsidR="00821B26" w:rsidRDefault="00821B26" w:rsidP="00A50202">
            <w:pPr>
              <w:rPr>
                <w:color w:val="000000" w:themeColor="text1"/>
              </w:rPr>
            </w:pPr>
          </w:p>
          <w:p w14:paraId="3B370090" w14:textId="77777777" w:rsidR="00A57E67" w:rsidRDefault="00A57E67" w:rsidP="00A50202">
            <w:pPr>
              <w:rPr>
                <w:color w:val="000000" w:themeColor="text1"/>
              </w:rPr>
            </w:pPr>
          </w:p>
          <w:p w14:paraId="0A9289DD" w14:textId="77777777" w:rsidR="00314250" w:rsidRPr="00A50202" w:rsidRDefault="00314250" w:rsidP="00314250">
            <w:pPr>
              <w:rPr>
                <w:sz w:val="28"/>
                <w:szCs w:val="28"/>
              </w:rPr>
            </w:pPr>
            <w:r w:rsidRPr="00A50202">
              <w:rPr>
                <w:b/>
                <w:sz w:val="28"/>
                <w:szCs w:val="28"/>
              </w:rPr>
              <w:t>Contract Monitoring</w:t>
            </w:r>
          </w:p>
          <w:p w14:paraId="32BF93FD" w14:textId="77777777" w:rsidR="00314250" w:rsidRPr="00A50202" w:rsidRDefault="00314250" w:rsidP="00314250">
            <w:pPr>
              <w:rPr>
                <w:sz w:val="28"/>
                <w:szCs w:val="28"/>
              </w:rPr>
            </w:pPr>
          </w:p>
          <w:p w14:paraId="7A9D2D4B" w14:textId="0E65C59D" w:rsidR="00314250" w:rsidRPr="00315398" w:rsidRDefault="00821B26" w:rsidP="00314250">
            <w:r>
              <w:t>Contract</w:t>
            </w:r>
            <w:r w:rsidR="00A50202">
              <w:t xml:space="preserve"> monitoring visits will take place</w:t>
            </w:r>
            <w:r>
              <w:t xml:space="preserve"> annually</w:t>
            </w:r>
            <w:r w:rsidR="00A50202">
              <w:t>.</w:t>
            </w:r>
            <w:r>
              <w:t xml:space="preserve">  Each Provider will be allocated a Link Officer from one of the </w:t>
            </w:r>
            <w:r w:rsidR="00D92ED8">
              <w:t>seven</w:t>
            </w:r>
            <w:r>
              <w:t xml:space="preserve"> Participating Authorities.  </w:t>
            </w:r>
            <w:r w:rsidR="00A50202">
              <w:t>A</w:t>
            </w:r>
            <w:r>
              <w:t>n a</w:t>
            </w:r>
            <w:r w:rsidR="00A50202">
              <w:t>nnual 1 to 1 conversation</w:t>
            </w:r>
            <w:r>
              <w:t xml:space="preserve"> will be arranged</w:t>
            </w:r>
            <w:r w:rsidR="00A50202">
              <w:t xml:space="preserve"> </w:t>
            </w:r>
            <w:r>
              <w:t>between the Provider and Lead Authority</w:t>
            </w:r>
            <w:r w:rsidR="00657066" w:rsidRPr="00315398">
              <w:t xml:space="preserve">, involving </w:t>
            </w:r>
            <w:r w:rsidR="003B6F47">
              <w:t>P</w:t>
            </w:r>
            <w:r w:rsidR="00657066" w:rsidRPr="00315398">
              <w:t>articipating Authorities.</w:t>
            </w:r>
          </w:p>
          <w:p w14:paraId="7ADF9506" w14:textId="77777777" w:rsidR="00821B26" w:rsidRPr="00315398" w:rsidRDefault="00821B26" w:rsidP="00314250"/>
          <w:p w14:paraId="6E64EDE7" w14:textId="77777777" w:rsidR="00821B26" w:rsidRPr="00315398" w:rsidRDefault="008E7F18" w:rsidP="00314250">
            <w:r w:rsidRPr="00315398">
              <w:lastRenderedPageBreak/>
              <w:t xml:space="preserve">The Lead Authority may, at </w:t>
            </w:r>
            <w:r w:rsidR="00D10D03" w:rsidRPr="00315398">
              <w:t>its</w:t>
            </w:r>
            <w:r w:rsidRPr="00315398">
              <w:t xml:space="preserve"> discretion, determine that in person visits are not required, where Providers do not have any current placements with the Participating Authorities.</w:t>
            </w:r>
          </w:p>
          <w:p w14:paraId="3107B852" w14:textId="77777777" w:rsidR="005562B8" w:rsidRPr="00315398" w:rsidRDefault="005562B8" w:rsidP="00314250"/>
          <w:p w14:paraId="1036EFF1" w14:textId="715AE043" w:rsidR="005562B8" w:rsidRPr="00315398" w:rsidRDefault="005562B8" w:rsidP="005562B8">
            <w:r w:rsidRPr="00315398">
              <w:t xml:space="preserve">Provider Forums will be held a minimum of two times per year </w:t>
            </w:r>
            <w:proofErr w:type="gramStart"/>
            <w:r w:rsidRPr="00315398">
              <w:t>in order to</w:t>
            </w:r>
            <w:proofErr w:type="gramEnd"/>
            <w:r w:rsidRPr="00315398">
              <w:t xml:space="preserve"> share best practice and address any matters that arise at a Contract level.</w:t>
            </w:r>
            <w:r w:rsidR="00657066" w:rsidRPr="00315398">
              <w:t xml:space="preserve">  Providers in this situation will be asked to provide information about their development and recruitment plans to grow their business and to offer placements to NE7 Local Authorities.</w:t>
            </w:r>
          </w:p>
          <w:p w14:paraId="269FB556" w14:textId="77777777" w:rsidR="00C9701A" w:rsidRPr="00315398" w:rsidRDefault="00C9701A" w:rsidP="005562B8"/>
          <w:p w14:paraId="0B080E1E" w14:textId="5631FA10" w:rsidR="00821B26" w:rsidRDefault="00C9701A" w:rsidP="00314250">
            <w:pPr>
              <w:rPr>
                <w:sz w:val="28"/>
              </w:rPr>
            </w:pPr>
            <w:r w:rsidRPr="00315398">
              <w:rPr>
                <w:rFonts w:cs="Arial"/>
                <w:szCs w:val="22"/>
              </w:rPr>
              <w:t>Providers will be required to report against young person specific outcomes on a quarterly basis, sharing this information with Commissioning</w:t>
            </w:r>
            <w:r w:rsidR="003B6F47">
              <w:rPr>
                <w:rFonts w:cs="Arial"/>
                <w:szCs w:val="22"/>
              </w:rPr>
              <w:t xml:space="preserve"> teams</w:t>
            </w:r>
            <w:r w:rsidRPr="00315398">
              <w:rPr>
                <w:rFonts w:cs="Arial"/>
                <w:szCs w:val="22"/>
              </w:rPr>
              <w:t>.</w:t>
            </w:r>
          </w:p>
          <w:p w14:paraId="0C12B07A" w14:textId="77777777" w:rsidR="00A57E67" w:rsidRPr="00A57E67" w:rsidRDefault="00A57E67" w:rsidP="00314250">
            <w:pPr>
              <w:rPr>
                <w:sz w:val="28"/>
              </w:rPr>
            </w:pPr>
          </w:p>
          <w:p w14:paraId="4F124693" w14:textId="77777777" w:rsidR="00821B26" w:rsidRDefault="00821B26" w:rsidP="009405B6">
            <w:pPr>
              <w:rPr>
                <w:b/>
                <w:color w:val="FF0000"/>
                <w:sz w:val="28"/>
                <w:szCs w:val="28"/>
              </w:rPr>
            </w:pPr>
          </w:p>
          <w:p w14:paraId="0B2A5FA7" w14:textId="77777777" w:rsidR="00821B26" w:rsidRDefault="00821B26" w:rsidP="00821B26">
            <w:pPr>
              <w:rPr>
                <w:b/>
              </w:rPr>
            </w:pPr>
            <w:r>
              <w:rPr>
                <w:b/>
                <w:sz w:val="28"/>
                <w:szCs w:val="28"/>
              </w:rPr>
              <w:t>Transfer of existing placements</w:t>
            </w:r>
          </w:p>
          <w:p w14:paraId="73A452DF" w14:textId="77777777" w:rsidR="00821B26" w:rsidRDefault="00821B26" w:rsidP="00821B26">
            <w:pPr>
              <w:rPr>
                <w:b/>
              </w:rPr>
            </w:pPr>
          </w:p>
          <w:p w14:paraId="020C209D" w14:textId="77777777" w:rsidR="00821B26" w:rsidRPr="000470AF" w:rsidRDefault="008E7F18" w:rsidP="00821B26">
            <w:pPr>
              <w:pStyle w:val="PlainText"/>
              <w:rPr>
                <w:rFonts w:ascii="Arial" w:hAnsi="Arial" w:cs="Arial"/>
                <w:sz w:val="24"/>
                <w:szCs w:val="24"/>
              </w:rPr>
            </w:pPr>
            <w:r>
              <w:rPr>
                <w:rFonts w:ascii="Arial" w:hAnsi="Arial" w:cs="Arial"/>
                <w:sz w:val="24"/>
                <w:szCs w:val="24"/>
              </w:rPr>
              <w:t>It is proposed that there</w:t>
            </w:r>
            <w:r w:rsidR="00821B26">
              <w:rPr>
                <w:rFonts w:ascii="Arial" w:hAnsi="Arial" w:cs="Arial"/>
                <w:sz w:val="24"/>
                <w:szCs w:val="24"/>
              </w:rPr>
              <w:t xml:space="preserve"> will be </w:t>
            </w:r>
            <w:r>
              <w:rPr>
                <w:rFonts w:ascii="Arial" w:hAnsi="Arial" w:cs="Arial"/>
                <w:sz w:val="24"/>
                <w:szCs w:val="24"/>
              </w:rPr>
              <w:t>an</w:t>
            </w:r>
            <w:r w:rsidR="00821B26">
              <w:rPr>
                <w:rFonts w:ascii="Arial" w:hAnsi="Arial" w:cs="Arial"/>
                <w:sz w:val="24"/>
                <w:szCs w:val="24"/>
              </w:rPr>
              <w:t xml:space="preserve"> option</w:t>
            </w:r>
            <w:r>
              <w:rPr>
                <w:rFonts w:ascii="Arial" w:hAnsi="Arial" w:cs="Arial"/>
                <w:sz w:val="24"/>
                <w:szCs w:val="24"/>
              </w:rPr>
              <w:t xml:space="preserve"> to transfer</w:t>
            </w:r>
            <w:r w:rsidR="00821B26" w:rsidRPr="00456D9B">
              <w:rPr>
                <w:rFonts w:ascii="Arial" w:hAnsi="Arial" w:cs="Arial"/>
                <w:sz w:val="24"/>
                <w:szCs w:val="24"/>
              </w:rPr>
              <w:t xml:space="preserve"> pre-existing </w:t>
            </w:r>
            <w:r w:rsidR="00821B26">
              <w:rPr>
                <w:rFonts w:ascii="Arial" w:hAnsi="Arial" w:cs="Arial"/>
                <w:sz w:val="24"/>
                <w:szCs w:val="24"/>
              </w:rPr>
              <w:t>contracts</w:t>
            </w:r>
            <w:r>
              <w:rPr>
                <w:rFonts w:ascii="Arial" w:hAnsi="Arial" w:cs="Arial"/>
                <w:sz w:val="24"/>
                <w:szCs w:val="24"/>
              </w:rPr>
              <w:t xml:space="preserve"> or</w:t>
            </w:r>
            <w:r w:rsidR="00821B26">
              <w:rPr>
                <w:rFonts w:ascii="Arial" w:hAnsi="Arial" w:cs="Arial"/>
                <w:sz w:val="24"/>
                <w:szCs w:val="24"/>
              </w:rPr>
              <w:t xml:space="preserve"> </w:t>
            </w:r>
            <w:r w:rsidR="00821B26" w:rsidRPr="00456D9B">
              <w:rPr>
                <w:rFonts w:ascii="Arial" w:hAnsi="Arial" w:cs="Arial"/>
                <w:sz w:val="24"/>
                <w:szCs w:val="24"/>
              </w:rPr>
              <w:t>I</w:t>
            </w:r>
            <w:r w:rsidR="00821B26">
              <w:rPr>
                <w:rFonts w:ascii="Arial" w:hAnsi="Arial" w:cs="Arial"/>
                <w:sz w:val="24"/>
                <w:szCs w:val="24"/>
              </w:rPr>
              <w:t>ndividual Placement Agreements</w:t>
            </w:r>
            <w:r w:rsidR="005562B8">
              <w:rPr>
                <w:rFonts w:ascii="Arial" w:hAnsi="Arial" w:cs="Arial"/>
                <w:sz w:val="24"/>
                <w:szCs w:val="24"/>
              </w:rPr>
              <w:t xml:space="preserve"> on to the new Flexible Procurement Agreement.  Transfer will be by </w:t>
            </w:r>
            <w:proofErr w:type="gramStart"/>
            <w:r w:rsidR="005562B8">
              <w:rPr>
                <w:rFonts w:ascii="Arial" w:hAnsi="Arial" w:cs="Arial"/>
                <w:sz w:val="24"/>
                <w:szCs w:val="24"/>
              </w:rPr>
              <w:t>mutual agreement</w:t>
            </w:r>
            <w:proofErr w:type="gramEnd"/>
            <w:r w:rsidR="005562B8">
              <w:rPr>
                <w:rFonts w:ascii="Arial" w:hAnsi="Arial" w:cs="Arial"/>
                <w:sz w:val="24"/>
                <w:szCs w:val="24"/>
              </w:rPr>
              <w:t xml:space="preserve"> </w:t>
            </w:r>
            <w:r w:rsidR="00821B26" w:rsidRPr="00456D9B">
              <w:rPr>
                <w:rFonts w:ascii="Arial" w:hAnsi="Arial" w:cs="Arial"/>
                <w:sz w:val="24"/>
                <w:szCs w:val="24"/>
              </w:rPr>
              <w:t>between the Provider and the P</w:t>
            </w:r>
            <w:r w:rsidR="00821B26">
              <w:rPr>
                <w:rFonts w:ascii="Arial" w:hAnsi="Arial" w:cs="Arial"/>
                <w:sz w:val="24"/>
                <w:szCs w:val="24"/>
              </w:rPr>
              <w:t>lacing Authorities</w:t>
            </w:r>
            <w:r w:rsidR="005562B8">
              <w:rPr>
                <w:rFonts w:ascii="Arial" w:hAnsi="Arial" w:cs="Arial"/>
                <w:sz w:val="24"/>
                <w:szCs w:val="24"/>
              </w:rPr>
              <w:t xml:space="preserve">.  Pre-existing placements will be </w:t>
            </w:r>
            <w:r w:rsidR="00821B26" w:rsidRPr="00FA2E82">
              <w:rPr>
                <w:rFonts w:ascii="Arial" w:hAnsi="Arial" w:cs="Arial"/>
                <w:sz w:val="24"/>
                <w:szCs w:val="24"/>
              </w:rPr>
              <w:t xml:space="preserve">converted to the appropriate </w:t>
            </w:r>
            <w:r w:rsidR="005D29F4" w:rsidRPr="00FA2E82">
              <w:rPr>
                <w:rFonts w:ascii="Arial" w:hAnsi="Arial" w:cs="Arial"/>
                <w:sz w:val="24"/>
                <w:szCs w:val="24"/>
              </w:rPr>
              <w:t>L</w:t>
            </w:r>
            <w:r w:rsidR="005D29F4">
              <w:rPr>
                <w:rFonts w:ascii="Arial" w:hAnsi="Arial" w:cs="Arial"/>
                <w:sz w:val="24"/>
                <w:szCs w:val="24"/>
              </w:rPr>
              <w:t>evel</w:t>
            </w:r>
            <w:r w:rsidR="005D29F4" w:rsidRPr="00FA2E82">
              <w:rPr>
                <w:rFonts w:ascii="Arial" w:hAnsi="Arial" w:cs="Arial"/>
                <w:sz w:val="24"/>
                <w:szCs w:val="24"/>
              </w:rPr>
              <w:t xml:space="preserve"> </w:t>
            </w:r>
            <w:r w:rsidR="00821B26" w:rsidRPr="00FA2E82">
              <w:rPr>
                <w:rFonts w:ascii="Arial" w:hAnsi="Arial" w:cs="Arial"/>
                <w:sz w:val="24"/>
                <w:szCs w:val="24"/>
              </w:rPr>
              <w:t xml:space="preserve">and Banding as per the Service Specification on a date to be agreed between the Parties, otherwise no later than six-months after the commencement of the </w:t>
            </w:r>
            <w:r w:rsidRPr="00FA2E82">
              <w:rPr>
                <w:rFonts w:ascii="Arial" w:hAnsi="Arial" w:cs="Arial"/>
                <w:color w:val="000000" w:themeColor="text1"/>
                <w:sz w:val="24"/>
                <w:szCs w:val="24"/>
              </w:rPr>
              <w:t xml:space="preserve">Flexible Procurement Agreement </w:t>
            </w:r>
            <w:r w:rsidR="00821B26" w:rsidRPr="00FA2E82">
              <w:rPr>
                <w:rFonts w:ascii="Arial" w:hAnsi="Arial" w:cs="Arial"/>
                <w:color w:val="000000" w:themeColor="text1"/>
                <w:sz w:val="24"/>
                <w:szCs w:val="24"/>
              </w:rPr>
              <w:t>(the Contract)</w:t>
            </w:r>
            <w:r w:rsidR="00821B26" w:rsidRPr="00FA2E82">
              <w:rPr>
                <w:rFonts w:ascii="Arial" w:hAnsi="Arial" w:cs="Arial"/>
                <w:sz w:val="24"/>
                <w:szCs w:val="24"/>
              </w:rPr>
              <w:t>.</w:t>
            </w:r>
            <w:r w:rsidR="00821B26" w:rsidRPr="000470AF">
              <w:rPr>
                <w:rFonts w:ascii="Arial" w:hAnsi="Arial" w:cs="Arial"/>
                <w:sz w:val="24"/>
                <w:szCs w:val="24"/>
              </w:rPr>
              <w:t xml:space="preserve">    </w:t>
            </w:r>
          </w:p>
          <w:p w14:paraId="264BD438" w14:textId="77777777" w:rsidR="00821B26" w:rsidRDefault="00821B26" w:rsidP="00821B26">
            <w:pPr>
              <w:pStyle w:val="PlainText"/>
              <w:ind w:left="720" w:hanging="720"/>
              <w:rPr>
                <w:rFonts w:ascii="Arial" w:hAnsi="Arial" w:cs="Arial"/>
                <w:sz w:val="24"/>
                <w:szCs w:val="24"/>
              </w:rPr>
            </w:pPr>
          </w:p>
          <w:p w14:paraId="46193021" w14:textId="77777777" w:rsidR="00821B26" w:rsidRPr="00456D9B" w:rsidRDefault="00821B26" w:rsidP="00821B26">
            <w:pPr>
              <w:pStyle w:val="PlainText"/>
              <w:rPr>
                <w:rFonts w:ascii="Arial" w:hAnsi="Arial" w:cs="Arial"/>
                <w:sz w:val="24"/>
                <w:szCs w:val="24"/>
              </w:rPr>
            </w:pPr>
            <w:r>
              <w:rPr>
                <w:rFonts w:ascii="Arial" w:hAnsi="Arial" w:cs="Arial"/>
                <w:sz w:val="24"/>
                <w:szCs w:val="24"/>
              </w:rPr>
              <w:t xml:space="preserve">To support market stability, transferring placements shall not increase the Fees payable by the Placing Authority by more than 10% of the pre-existing fees nor reduce the fees payable to the Provider by more than 10% of the pre-existing fees for the remainder of the Placement Term.         </w:t>
            </w:r>
          </w:p>
          <w:p w14:paraId="4F582CEA" w14:textId="77777777" w:rsidR="00821B26" w:rsidRDefault="00821B26" w:rsidP="00821B26">
            <w:pPr>
              <w:pStyle w:val="PlainText"/>
              <w:ind w:left="720" w:hanging="720"/>
              <w:rPr>
                <w:rFonts w:ascii="Arial" w:hAnsi="Arial" w:cs="Arial"/>
                <w:sz w:val="24"/>
                <w:szCs w:val="24"/>
                <w:highlight w:val="yellow"/>
              </w:rPr>
            </w:pPr>
          </w:p>
          <w:p w14:paraId="04BFFF6D" w14:textId="77777777" w:rsidR="00821B26" w:rsidRPr="00D053B7" w:rsidRDefault="00821B26" w:rsidP="00821B26">
            <w:r w:rsidRPr="00D053B7">
              <w:t xml:space="preserve">This </w:t>
            </w:r>
            <w:r w:rsidR="00FA2E82" w:rsidRPr="00FA2E82">
              <w:rPr>
                <w:rFonts w:cs="Arial"/>
                <w:color w:val="000000" w:themeColor="text1"/>
              </w:rPr>
              <w:t xml:space="preserve">Flexible Procurement Agreement </w:t>
            </w:r>
            <w:r w:rsidRPr="000470AF">
              <w:rPr>
                <w:rFonts w:cs="Arial"/>
                <w:color w:val="000000" w:themeColor="text1"/>
              </w:rPr>
              <w:t>(</w:t>
            </w:r>
            <w:r>
              <w:rPr>
                <w:rFonts w:cs="Arial"/>
                <w:color w:val="000000" w:themeColor="text1"/>
              </w:rPr>
              <w:t xml:space="preserve">the </w:t>
            </w:r>
            <w:r w:rsidRPr="000470AF">
              <w:rPr>
                <w:rFonts w:cs="Arial"/>
                <w:color w:val="000000" w:themeColor="text1"/>
              </w:rPr>
              <w:t>Contract)</w:t>
            </w:r>
            <w:r>
              <w:rPr>
                <w:rFonts w:cs="Arial"/>
                <w:color w:val="000000" w:themeColor="text1"/>
              </w:rPr>
              <w:t xml:space="preserve"> </w:t>
            </w:r>
            <w:r w:rsidRPr="00D053B7">
              <w:t>shall supersede all previous contracts between the P</w:t>
            </w:r>
            <w:r>
              <w:t>lacing Authorities</w:t>
            </w:r>
            <w:r w:rsidRPr="00D053B7">
              <w:t xml:space="preserve"> and the Provider in relation to these Services unless the Parties to those other contracts agree otherwise in writing.</w:t>
            </w:r>
          </w:p>
          <w:p w14:paraId="04E8085A" w14:textId="77777777" w:rsidR="00315398" w:rsidRDefault="00315398" w:rsidP="009405B6">
            <w:pPr>
              <w:rPr>
                <w:b/>
                <w:color w:val="FF0000"/>
                <w:sz w:val="28"/>
                <w:szCs w:val="28"/>
              </w:rPr>
            </w:pPr>
          </w:p>
          <w:p w14:paraId="549505E4" w14:textId="77777777" w:rsidR="009A0B59" w:rsidRPr="00FA3538" w:rsidRDefault="009A0B59" w:rsidP="009405B6">
            <w:pPr>
              <w:rPr>
                <w:b/>
                <w:color w:val="FF0000"/>
                <w:sz w:val="28"/>
                <w:szCs w:val="28"/>
              </w:rPr>
            </w:pPr>
          </w:p>
        </w:tc>
      </w:tr>
      <w:tr w:rsidR="000728AE" w:rsidRPr="000728AE" w14:paraId="01E93935" w14:textId="77777777" w:rsidTr="00E03ABE">
        <w:tc>
          <w:tcPr>
            <w:tcW w:w="839" w:type="dxa"/>
          </w:tcPr>
          <w:p w14:paraId="1D2D2448" w14:textId="77777777" w:rsidR="00130440" w:rsidRPr="00857A97" w:rsidRDefault="001A7C2A" w:rsidP="00616010">
            <w:pPr>
              <w:rPr>
                <w:b/>
                <w:color w:val="000000" w:themeColor="text1"/>
                <w:sz w:val="28"/>
                <w:szCs w:val="28"/>
              </w:rPr>
            </w:pPr>
            <w:r>
              <w:rPr>
                <w:b/>
                <w:color w:val="000000" w:themeColor="text1"/>
                <w:sz w:val="28"/>
                <w:szCs w:val="28"/>
              </w:rPr>
              <w:lastRenderedPageBreak/>
              <w:t>4</w:t>
            </w:r>
            <w:r w:rsidR="005C2BD7" w:rsidRPr="00857A97">
              <w:rPr>
                <w:b/>
                <w:color w:val="000000" w:themeColor="text1"/>
                <w:sz w:val="28"/>
                <w:szCs w:val="28"/>
              </w:rPr>
              <w:t>.</w:t>
            </w:r>
          </w:p>
        </w:tc>
        <w:tc>
          <w:tcPr>
            <w:tcW w:w="9793" w:type="dxa"/>
          </w:tcPr>
          <w:p w14:paraId="67D5A09E" w14:textId="77777777" w:rsidR="00CF001E" w:rsidRPr="00857A97" w:rsidRDefault="005C2BD7" w:rsidP="00130440">
            <w:pPr>
              <w:rPr>
                <w:b/>
                <w:color w:val="000000" w:themeColor="text1"/>
                <w:sz w:val="28"/>
                <w:szCs w:val="28"/>
              </w:rPr>
            </w:pPr>
            <w:r w:rsidRPr="00857A97">
              <w:rPr>
                <w:b/>
                <w:color w:val="000000" w:themeColor="text1"/>
                <w:sz w:val="28"/>
                <w:szCs w:val="28"/>
              </w:rPr>
              <w:t>Proposed Final Lotting Structure</w:t>
            </w:r>
          </w:p>
          <w:p w14:paraId="097FABA9" w14:textId="77777777" w:rsidR="00857A97" w:rsidRPr="00857A97" w:rsidRDefault="00857A97" w:rsidP="00130440">
            <w:pPr>
              <w:rPr>
                <w:b/>
                <w:color w:val="000000" w:themeColor="text1"/>
                <w:sz w:val="28"/>
                <w:szCs w:val="28"/>
              </w:rPr>
            </w:pPr>
          </w:p>
        </w:tc>
      </w:tr>
      <w:tr w:rsidR="009F3005" w:rsidRPr="000728AE" w14:paraId="71B13847" w14:textId="77777777" w:rsidTr="00E03ABE">
        <w:tc>
          <w:tcPr>
            <w:tcW w:w="839" w:type="dxa"/>
          </w:tcPr>
          <w:p w14:paraId="6B444C51" w14:textId="77777777" w:rsidR="009F3005" w:rsidRPr="00857A97" w:rsidRDefault="009F3005" w:rsidP="00616010">
            <w:pPr>
              <w:rPr>
                <w:b/>
                <w:color w:val="000000" w:themeColor="text1"/>
                <w:sz w:val="28"/>
                <w:szCs w:val="28"/>
              </w:rPr>
            </w:pPr>
          </w:p>
        </w:tc>
        <w:tc>
          <w:tcPr>
            <w:tcW w:w="9793" w:type="dxa"/>
          </w:tcPr>
          <w:p w14:paraId="3630A3C2" w14:textId="77777777" w:rsidR="009F3005" w:rsidRDefault="009F3005" w:rsidP="00130440">
            <w:pPr>
              <w:rPr>
                <w:b/>
                <w:color w:val="000000" w:themeColor="text1"/>
                <w:sz w:val="22"/>
              </w:rPr>
            </w:pPr>
          </w:p>
          <w:p w14:paraId="03071C47" w14:textId="77777777" w:rsidR="008C6BE8" w:rsidRPr="008C6BE8" w:rsidRDefault="00A24DFB" w:rsidP="00130440">
            <w:pPr>
              <w:rPr>
                <w:color w:val="000000" w:themeColor="text1"/>
              </w:rPr>
            </w:pPr>
            <w:r>
              <w:rPr>
                <w:color w:val="000000" w:themeColor="text1"/>
              </w:rPr>
              <w:t xml:space="preserve">Table 1 </w:t>
            </w:r>
            <w:r w:rsidR="00865535">
              <w:rPr>
                <w:color w:val="000000" w:themeColor="text1"/>
              </w:rPr>
              <w:t>show</w:t>
            </w:r>
            <w:r w:rsidR="00A34E24">
              <w:rPr>
                <w:color w:val="000000" w:themeColor="text1"/>
              </w:rPr>
              <w:t>s</w:t>
            </w:r>
            <w:r w:rsidR="00865535">
              <w:rPr>
                <w:color w:val="000000" w:themeColor="text1"/>
              </w:rPr>
              <w:t xml:space="preserve"> the Proposed Final Lotting Structure</w:t>
            </w:r>
            <w:r w:rsidR="00131D7A">
              <w:rPr>
                <w:color w:val="000000" w:themeColor="text1"/>
              </w:rPr>
              <w:t>.</w:t>
            </w:r>
          </w:p>
          <w:p w14:paraId="42D47841" w14:textId="77777777" w:rsidR="008C6BE8" w:rsidRDefault="008C6BE8" w:rsidP="00130440">
            <w:pPr>
              <w:rPr>
                <w:b/>
                <w:color w:val="000000" w:themeColor="text1"/>
                <w:sz w:val="22"/>
              </w:rPr>
            </w:pPr>
          </w:p>
          <w:p w14:paraId="6C1632C0" w14:textId="77777777" w:rsidR="003170F2" w:rsidRDefault="003170F2" w:rsidP="00130440">
            <w:pPr>
              <w:rPr>
                <w:b/>
                <w:color w:val="000000" w:themeColor="text1"/>
                <w:sz w:val="22"/>
              </w:rPr>
            </w:pPr>
          </w:p>
          <w:p w14:paraId="2AA5D820" w14:textId="77777777" w:rsidR="008C6BE8" w:rsidRPr="00B82EB3" w:rsidRDefault="008C6BE8" w:rsidP="00130440">
            <w:pPr>
              <w:rPr>
                <w:b/>
                <w:color w:val="000000" w:themeColor="text1"/>
                <w:sz w:val="22"/>
              </w:rPr>
            </w:pPr>
          </w:p>
          <w:tbl>
            <w:tblPr>
              <w:tblStyle w:val="TableGrid"/>
              <w:tblW w:w="0" w:type="auto"/>
              <w:tblInd w:w="165" w:type="dxa"/>
              <w:tblLayout w:type="fixed"/>
              <w:tblLook w:val="04A0" w:firstRow="1" w:lastRow="0" w:firstColumn="1" w:lastColumn="0" w:noHBand="0" w:noVBand="1"/>
            </w:tblPr>
            <w:tblGrid>
              <w:gridCol w:w="6984"/>
              <w:gridCol w:w="2210"/>
            </w:tblGrid>
            <w:tr w:rsidR="00B82EB3" w:rsidRPr="00B82EB3" w14:paraId="5A7854C7" w14:textId="77777777" w:rsidTr="00573B00">
              <w:trPr>
                <w:trHeight w:val="336"/>
              </w:trPr>
              <w:tc>
                <w:tcPr>
                  <w:tcW w:w="6984" w:type="dxa"/>
                  <w:vAlign w:val="center"/>
                </w:tcPr>
                <w:p w14:paraId="37611E84" w14:textId="77777777" w:rsidR="00B82EB3" w:rsidRPr="00573B00" w:rsidRDefault="00B82EB3" w:rsidP="00B82EB3">
                  <w:pPr>
                    <w:rPr>
                      <w:b/>
                      <w:color w:val="000000" w:themeColor="text1"/>
                    </w:rPr>
                  </w:pPr>
                  <w:r w:rsidRPr="00573B00">
                    <w:rPr>
                      <w:rFonts w:cs="Arial"/>
                      <w:b/>
                      <w:bCs/>
                      <w:color w:val="000000"/>
                      <w:lang w:eastAsia="en-GB"/>
                    </w:rPr>
                    <w:t>Proposed Level</w:t>
                  </w:r>
                </w:p>
              </w:tc>
              <w:tc>
                <w:tcPr>
                  <w:tcW w:w="2210" w:type="dxa"/>
                  <w:vAlign w:val="center"/>
                </w:tcPr>
                <w:p w14:paraId="23DC6E18" w14:textId="77777777" w:rsidR="00B82EB3" w:rsidRPr="00573B00" w:rsidRDefault="00B82EB3" w:rsidP="00B82EB3">
                  <w:pPr>
                    <w:rPr>
                      <w:b/>
                      <w:color w:val="000000" w:themeColor="text1"/>
                    </w:rPr>
                  </w:pPr>
                  <w:r w:rsidRPr="00573B00">
                    <w:rPr>
                      <w:rFonts w:cs="Arial"/>
                      <w:b/>
                      <w:bCs/>
                      <w:color w:val="000000"/>
                      <w:lang w:eastAsia="en-GB"/>
                    </w:rPr>
                    <w:t>Age Bands</w:t>
                  </w:r>
                </w:p>
              </w:tc>
            </w:tr>
            <w:tr w:rsidR="008C6BE8" w14:paraId="276148DD" w14:textId="77777777" w:rsidTr="00573B00">
              <w:trPr>
                <w:trHeight w:val="336"/>
              </w:trPr>
              <w:tc>
                <w:tcPr>
                  <w:tcW w:w="6984" w:type="dxa"/>
                  <w:vMerge w:val="restart"/>
                  <w:vAlign w:val="center"/>
                </w:tcPr>
                <w:p w14:paraId="555929C3" w14:textId="77777777" w:rsidR="008C6BE8" w:rsidRPr="005562B8" w:rsidRDefault="008C6BE8" w:rsidP="008C6BE8">
                  <w:pPr>
                    <w:rPr>
                      <w:color w:val="000000" w:themeColor="text1"/>
                    </w:rPr>
                  </w:pPr>
                  <w:r w:rsidRPr="005562B8">
                    <w:rPr>
                      <w:rFonts w:cs="Arial"/>
                      <w:bCs/>
                      <w:color w:val="000000"/>
                      <w:lang w:eastAsia="en-GB"/>
                    </w:rPr>
                    <w:t>Level 1 – Standard</w:t>
                  </w:r>
                </w:p>
              </w:tc>
              <w:tc>
                <w:tcPr>
                  <w:tcW w:w="2210" w:type="dxa"/>
                  <w:vAlign w:val="center"/>
                </w:tcPr>
                <w:p w14:paraId="58A40504"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2F6E456F" w14:textId="77777777" w:rsidTr="00573B00">
              <w:trPr>
                <w:trHeight w:val="336"/>
              </w:trPr>
              <w:tc>
                <w:tcPr>
                  <w:tcW w:w="6984" w:type="dxa"/>
                  <w:vMerge/>
                  <w:vAlign w:val="center"/>
                </w:tcPr>
                <w:p w14:paraId="5A351B07" w14:textId="77777777" w:rsidR="008C6BE8" w:rsidRPr="005562B8" w:rsidRDefault="008C6BE8" w:rsidP="008C6BE8">
                  <w:pPr>
                    <w:rPr>
                      <w:color w:val="000000" w:themeColor="text1"/>
                    </w:rPr>
                  </w:pPr>
                </w:p>
              </w:tc>
              <w:tc>
                <w:tcPr>
                  <w:tcW w:w="2210" w:type="dxa"/>
                  <w:vAlign w:val="center"/>
                </w:tcPr>
                <w:p w14:paraId="425AC617"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1EB86CFE" w14:textId="77777777" w:rsidTr="00573B00">
              <w:trPr>
                <w:trHeight w:val="352"/>
              </w:trPr>
              <w:tc>
                <w:tcPr>
                  <w:tcW w:w="6984" w:type="dxa"/>
                  <w:vMerge/>
                  <w:vAlign w:val="center"/>
                </w:tcPr>
                <w:p w14:paraId="346A8E70" w14:textId="77777777" w:rsidR="008C6BE8" w:rsidRPr="005562B8" w:rsidRDefault="008C6BE8" w:rsidP="008C6BE8">
                  <w:pPr>
                    <w:rPr>
                      <w:color w:val="000000" w:themeColor="text1"/>
                    </w:rPr>
                  </w:pPr>
                </w:p>
              </w:tc>
              <w:tc>
                <w:tcPr>
                  <w:tcW w:w="2210" w:type="dxa"/>
                  <w:vAlign w:val="center"/>
                </w:tcPr>
                <w:p w14:paraId="76E733BA" w14:textId="77777777" w:rsidR="008C6BE8" w:rsidRPr="005562B8" w:rsidRDefault="008C6BE8" w:rsidP="008C6BE8">
                  <w:pPr>
                    <w:rPr>
                      <w:color w:val="000000" w:themeColor="text1"/>
                    </w:rPr>
                  </w:pPr>
                  <w:r w:rsidRPr="005562B8">
                    <w:rPr>
                      <w:rFonts w:cs="Arial"/>
                      <w:bCs/>
                      <w:color w:val="000000"/>
                      <w:lang w:eastAsia="en-GB"/>
                    </w:rPr>
                    <w:t xml:space="preserve">Age 11+ </w:t>
                  </w:r>
                </w:p>
              </w:tc>
            </w:tr>
            <w:tr w:rsidR="008C6BE8" w14:paraId="6B8EC213" w14:textId="77777777" w:rsidTr="00573B00">
              <w:trPr>
                <w:trHeight w:val="336"/>
              </w:trPr>
              <w:tc>
                <w:tcPr>
                  <w:tcW w:w="6984" w:type="dxa"/>
                  <w:vMerge w:val="restart"/>
                  <w:vAlign w:val="center"/>
                </w:tcPr>
                <w:p w14:paraId="243A2105" w14:textId="77777777" w:rsidR="008C6BE8" w:rsidRPr="005562B8" w:rsidRDefault="008C6BE8" w:rsidP="008C6BE8">
                  <w:pPr>
                    <w:rPr>
                      <w:color w:val="000000" w:themeColor="text1"/>
                    </w:rPr>
                  </w:pPr>
                  <w:r w:rsidRPr="005562B8">
                    <w:rPr>
                      <w:rFonts w:cs="Arial"/>
                      <w:bCs/>
                      <w:color w:val="000000"/>
                      <w:lang w:eastAsia="en-GB"/>
                    </w:rPr>
                    <w:t>Level 2 - Standard with Additional Needs, including disability related issues, S</w:t>
                  </w:r>
                  <w:r w:rsidR="005562B8" w:rsidRPr="005562B8">
                    <w:rPr>
                      <w:rFonts w:cs="Arial"/>
                      <w:bCs/>
                      <w:color w:val="000000"/>
                      <w:lang w:eastAsia="en-GB"/>
                    </w:rPr>
                    <w:t xml:space="preserve">ocial, </w:t>
                  </w:r>
                  <w:r w:rsidRPr="005562B8">
                    <w:rPr>
                      <w:rFonts w:cs="Arial"/>
                      <w:bCs/>
                      <w:color w:val="000000"/>
                      <w:lang w:eastAsia="en-GB"/>
                    </w:rPr>
                    <w:t>E</w:t>
                  </w:r>
                  <w:r w:rsidR="005562B8" w:rsidRPr="005562B8">
                    <w:rPr>
                      <w:rFonts w:cs="Arial"/>
                      <w:bCs/>
                      <w:color w:val="000000"/>
                      <w:lang w:eastAsia="en-GB"/>
                    </w:rPr>
                    <w:t xml:space="preserve">motional and </w:t>
                  </w:r>
                  <w:r w:rsidRPr="005562B8">
                    <w:rPr>
                      <w:rFonts w:cs="Arial"/>
                      <w:bCs/>
                      <w:color w:val="000000"/>
                      <w:lang w:eastAsia="en-GB"/>
                    </w:rPr>
                    <w:t>M</w:t>
                  </w:r>
                  <w:r w:rsidR="005562B8" w:rsidRPr="005562B8">
                    <w:rPr>
                      <w:rFonts w:cs="Arial"/>
                      <w:bCs/>
                      <w:color w:val="000000"/>
                      <w:lang w:eastAsia="en-GB"/>
                    </w:rPr>
                    <w:t xml:space="preserve">ental </w:t>
                  </w:r>
                  <w:r w:rsidRPr="005562B8">
                    <w:rPr>
                      <w:rFonts w:cs="Arial"/>
                      <w:bCs/>
                      <w:color w:val="000000"/>
                      <w:lang w:eastAsia="en-GB"/>
                    </w:rPr>
                    <w:t>H</w:t>
                  </w:r>
                  <w:r w:rsidR="005562B8" w:rsidRPr="005562B8">
                    <w:rPr>
                      <w:rFonts w:cs="Arial"/>
                      <w:bCs/>
                      <w:color w:val="000000"/>
                      <w:lang w:eastAsia="en-GB"/>
                    </w:rPr>
                    <w:t>ealth</w:t>
                  </w:r>
                  <w:r w:rsidRPr="005562B8">
                    <w:rPr>
                      <w:rFonts w:cs="Arial"/>
                      <w:bCs/>
                      <w:color w:val="000000"/>
                      <w:lang w:eastAsia="en-GB"/>
                    </w:rPr>
                    <w:t xml:space="preserve"> issues</w:t>
                  </w:r>
                  <w:r w:rsidR="005562B8" w:rsidRPr="005562B8">
                    <w:rPr>
                      <w:rFonts w:cs="Arial"/>
                      <w:bCs/>
                      <w:color w:val="000000"/>
                      <w:lang w:eastAsia="en-GB"/>
                    </w:rPr>
                    <w:t xml:space="preserve"> (SEMH)</w:t>
                  </w:r>
                  <w:r w:rsidRPr="005562B8">
                    <w:rPr>
                      <w:rFonts w:cs="Arial"/>
                      <w:bCs/>
                      <w:color w:val="000000"/>
                      <w:lang w:eastAsia="en-GB"/>
                    </w:rPr>
                    <w:t>, C</w:t>
                  </w:r>
                  <w:r w:rsidR="005562B8" w:rsidRPr="005562B8">
                    <w:rPr>
                      <w:rFonts w:cs="Arial"/>
                      <w:bCs/>
                      <w:color w:val="000000"/>
                      <w:lang w:eastAsia="en-GB"/>
                    </w:rPr>
                    <w:t xml:space="preserve">hild </w:t>
                  </w:r>
                  <w:r w:rsidRPr="005562B8">
                    <w:rPr>
                      <w:rFonts w:cs="Arial"/>
                      <w:bCs/>
                      <w:color w:val="000000"/>
                      <w:lang w:eastAsia="en-GB"/>
                    </w:rPr>
                    <w:t>S</w:t>
                  </w:r>
                  <w:r w:rsidR="005562B8" w:rsidRPr="005562B8">
                    <w:rPr>
                      <w:rFonts w:cs="Arial"/>
                      <w:bCs/>
                      <w:color w:val="000000"/>
                      <w:lang w:eastAsia="en-GB"/>
                    </w:rPr>
                    <w:t xml:space="preserve">exual </w:t>
                  </w:r>
                  <w:r w:rsidRPr="005562B8">
                    <w:rPr>
                      <w:rFonts w:cs="Arial"/>
                      <w:bCs/>
                      <w:color w:val="000000"/>
                      <w:lang w:eastAsia="en-GB"/>
                    </w:rPr>
                    <w:t>E</w:t>
                  </w:r>
                  <w:r w:rsidR="005562B8" w:rsidRPr="005562B8">
                    <w:rPr>
                      <w:rFonts w:cs="Arial"/>
                      <w:bCs/>
                      <w:color w:val="000000"/>
                      <w:lang w:eastAsia="en-GB"/>
                    </w:rPr>
                    <w:t>xploitation (CSE)</w:t>
                  </w:r>
                  <w:r w:rsidRPr="005562B8">
                    <w:rPr>
                      <w:rFonts w:cs="Arial"/>
                      <w:bCs/>
                      <w:color w:val="000000"/>
                      <w:lang w:eastAsia="en-GB"/>
                    </w:rPr>
                    <w:t xml:space="preserve"> issues</w:t>
                  </w:r>
                </w:p>
              </w:tc>
              <w:tc>
                <w:tcPr>
                  <w:tcW w:w="2210" w:type="dxa"/>
                  <w:vAlign w:val="center"/>
                </w:tcPr>
                <w:p w14:paraId="65118100"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24BAC437" w14:textId="77777777" w:rsidTr="00573B00">
              <w:trPr>
                <w:trHeight w:val="336"/>
              </w:trPr>
              <w:tc>
                <w:tcPr>
                  <w:tcW w:w="6984" w:type="dxa"/>
                  <w:vMerge/>
                  <w:vAlign w:val="center"/>
                </w:tcPr>
                <w:p w14:paraId="5EB85460" w14:textId="77777777" w:rsidR="008C6BE8" w:rsidRPr="005562B8" w:rsidRDefault="008C6BE8" w:rsidP="008C6BE8">
                  <w:pPr>
                    <w:rPr>
                      <w:color w:val="000000" w:themeColor="text1"/>
                    </w:rPr>
                  </w:pPr>
                </w:p>
              </w:tc>
              <w:tc>
                <w:tcPr>
                  <w:tcW w:w="2210" w:type="dxa"/>
                  <w:vAlign w:val="center"/>
                </w:tcPr>
                <w:p w14:paraId="6089E248"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112D2A6A" w14:textId="77777777" w:rsidTr="00573B00">
              <w:trPr>
                <w:trHeight w:val="336"/>
              </w:trPr>
              <w:tc>
                <w:tcPr>
                  <w:tcW w:w="6984" w:type="dxa"/>
                  <w:vMerge/>
                  <w:vAlign w:val="center"/>
                </w:tcPr>
                <w:p w14:paraId="2C064693" w14:textId="77777777" w:rsidR="008C6BE8" w:rsidRPr="005562B8" w:rsidRDefault="008C6BE8" w:rsidP="008C6BE8">
                  <w:pPr>
                    <w:rPr>
                      <w:color w:val="000000" w:themeColor="text1"/>
                    </w:rPr>
                  </w:pPr>
                </w:p>
              </w:tc>
              <w:tc>
                <w:tcPr>
                  <w:tcW w:w="2210" w:type="dxa"/>
                  <w:vAlign w:val="center"/>
                </w:tcPr>
                <w:p w14:paraId="07CE5204" w14:textId="77777777" w:rsidR="008C6BE8" w:rsidRPr="005562B8" w:rsidRDefault="008C6BE8" w:rsidP="008C6BE8">
                  <w:pPr>
                    <w:rPr>
                      <w:color w:val="000000" w:themeColor="text1"/>
                    </w:rPr>
                  </w:pPr>
                  <w:r w:rsidRPr="005562B8">
                    <w:rPr>
                      <w:rFonts w:cs="Arial"/>
                      <w:bCs/>
                      <w:color w:val="000000"/>
                      <w:lang w:eastAsia="en-GB"/>
                    </w:rPr>
                    <w:t>Age 11+</w:t>
                  </w:r>
                </w:p>
              </w:tc>
            </w:tr>
            <w:tr w:rsidR="008C6BE8" w14:paraId="4DA412F8" w14:textId="77777777" w:rsidTr="00573B00">
              <w:trPr>
                <w:trHeight w:val="336"/>
              </w:trPr>
              <w:tc>
                <w:tcPr>
                  <w:tcW w:w="6984" w:type="dxa"/>
                  <w:vMerge w:val="restart"/>
                  <w:vAlign w:val="center"/>
                </w:tcPr>
                <w:p w14:paraId="0CC0D883" w14:textId="77777777" w:rsidR="008C6BE8" w:rsidRPr="005562B8" w:rsidRDefault="008C6BE8" w:rsidP="008C6BE8">
                  <w:pPr>
                    <w:rPr>
                      <w:color w:val="000000" w:themeColor="text1"/>
                    </w:rPr>
                  </w:pPr>
                  <w:r w:rsidRPr="005562B8">
                    <w:rPr>
                      <w:rFonts w:cs="Arial"/>
                      <w:bCs/>
                      <w:color w:val="000000"/>
                      <w:lang w:eastAsia="en-GB"/>
                    </w:rPr>
                    <w:t>Level 3 - Intensive Support, including terminal/ life-limiting illness</w:t>
                  </w:r>
                </w:p>
              </w:tc>
              <w:tc>
                <w:tcPr>
                  <w:tcW w:w="2210" w:type="dxa"/>
                  <w:vAlign w:val="center"/>
                </w:tcPr>
                <w:p w14:paraId="5D3ECF50" w14:textId="77777777" w:rsidR="008C6BE8" w:rsidRPr="005562B8" w:rsidRDefault="008C6BE8" w:rsidP="008C6BE8">
                  <w:pPr>
                    <w:rPr>
                      <w:color w:val="000000" w:themeColor="text1"/>
                    </w:rPr>
                  </w:pPr>
                  <w:r w:rsidRPr="005562B8">
                    <w:rPr>
                      <w:rFonts w:cs="Arial"/>
                      <w:bCs/>
                      <w:color w:val="000000"/>
                      <w:lang w:eastAsia="en-GB"/>
                    </w:rPr>
                    <w:t>Age 0 - 4</w:t>
                  </w:r>
                </w:p>
              </w:tc>
            </w:tr>
            <w:tr w:rsidR="008C6BE8" w14:paraId="0E94CDA6" w14:textId="77777777" w:rsidTr="00573B00">
              <w:trPr>
                <w:trHeight w:val="336"/>
              </w:trPr>
              <w:tc>
                <w:tcPr>
                  <w:tcW w:w="6984" w:type="dxa"/>
                  <w:vMerge/>
                  <w:vAlign w:val="center"/>
                </w:tcPr>
                <w:p w14:paraId="2A7884F1" w14:textId="77777777" w:rsidR="008C6BE8" w:rsidRPr="005562B8" w:rsidRDefault="008C6BE8" w:rsidP="008C6BE8">
                  <w:pPr>
                    <w:rPr>
                      <w:rFonts w:cs="Arial"/>
                      <w:bCs/>
                      <w:color w:val="000000"/>
                      <w:lang w:eastAsia="en-GB"/>
                    </w:rPr>
                  </w:pPr>
                </w:p>
              </w:tc>
              <w:tc>
                <w:tcPr>
                  <w:tcW w:w="2210" w:type="dxa"/>
                  <w:vAlign w:val="center"/>
                </w:tcPr>
                <w:p w14:paraId="6C90EB03" w14:textId="77777777" w:rsidR="008C6BE8" w:rsidRPr="005562B8" w:rsidRDefault="008C6BE8" w:rsidP="008C6BE8">
                  <w:pPr>
                    <w:rPr>
                      <w:color w:val="000000" w:themeColor="text1"/>
                    </w:rPr>
                  </w:pPr>
                  <w:r w:rsidRPr="005562B8">
                    <w:rPr>
                      <w:rFonts w:cs="Arial"/>
                      <w:bCs/>
                      <w:color w:val="000000"/>
                      <w:lang w:eastAsia="en-GB"/>
                    </w:rPr>
                    <w:t>Age 5 - 10</w:t>
                  </w:r>
                </w:p>
              </w:tc>
            </w:tr>
            <w:tr w:rsidR="008C6BE8" w14:paraId="5CFBEC62" w14:textId="77777777" w:rsidTr="00573B00">
              <w:trPr>
                <w:trHeight w:val="336"/>
              </w:trPr>
              <w:tc>
                <w:tcPr>
                  <w:tcW w:w="6984" w:type="dxa"/>
                  <w:vMerge/>
                  <w:vAlign w:val="center"/>
                </w:tcPr>
                <w:p w14:paraId="7DA22102" w14:textId="77777777" w:rsidR="008C6BE8" w:rsidRPr="005562B8" w:rsidRDefault="008C6BE8" w:rsidP="008C6BE8">
                  <w:pPr>
                    <w:rPr>
                      <w:rFonts w:cs="Arial"/>
                      <w:bCs/>
                      <w:color w:val="000000"/>
                      <w:lang w:eastAsia="en-GB"/>
                    </w:rPr>
                  </w:pPr>
                </w:p>
              </w:tc>
              <w:tc>
                <w:tcPr>
                  <w:tcW w:w="2210" w:type="dxa"/>
                  <w:vAlign w:val="center"/>
                </w:tcPr>
                <w:p w14:paraId="4FD94369" w14:textId="77777777" w:rsidR="008C6BE8" w:rsidRPr="005562B8" w:rsidRDefault="008C6BE8" w:rsidP="008C6BE8">
                  <w:pPr>
                    <w:rPr>
                      <w:color w:val="000000" w:themeColor="text1"/>
                    </w:rPr>
                  </w:pPr>
                  <w:r w:rsidRPr="005562B8">
                    <w:rPr>
                      <w:rFonts w:cs="Arial"/>
                      <w:bCs/>
                      <w:color w:val="000000"/>
                      <w:lang w:eastAsia="en-GB"/>
                    </w:rPr>
                    <w:t>Age 11+</w:t>
                  </w:r>
                </w:p>
              </w:tc>
            </w:tr>
            <w:tr w:rsidR="008C6BE8" w14:paraId="6ED3717A" w14:textId="77777777" w:rsidTr="00573B00">
              <w:trPr>
                <w:trHeight w:val="683"/>
              </w:trPr>
              <w:tc>
                <w:tcPr>
                  <w:tcW w:w="6984" w:type="dxa"/>
                  <w:vAlign w:val="center"/>
                </w:tcPr>
                <w:p w14:paraId="47A85241" w14:textId="77777777" w:rsidR="008C6BE8" w:rsidRPr="005562B8" w:rsidRDefault="008C6BE8" w:rsidP="008C6BE8">
                  <w:pPr>
                    <w:rPr>
                      <w:rFonts w:cs="Arial"/>
                      <w:bCs/>
                      <w:color w:val="000000"/>
                      <w:lang w:eastAsia="en-GB"/>
                    </w:rPr>
                  </w:pPr>
                  <w:r w:rsidRPr="005562B8">
                    <w:rPr>
                      <w:rFonts w:cs="Arial"/>
                      <w:bCs/>
                      <w:color w:val="000000"/>
                      <w:lang w:eastAsia="en-GB"/>
                    </w:rPr>
                    <w:lastRenderedPageBreak/>
                    <w:t>Level 4 - Parent and Child Fostering</w:t>
                  </w:r>
                </w:p>
              </w:tc>
              <w:tc>
                <w:tcPr>
                  <w:tcW w:w="2210" w:type="dxa"/>
                </w:tcPr>
                <w:p w14:paraId="1F685B9C" w14:textId="77777777" w:rsidR="008C6BE8" w:rsidRPr="005562B8" w:rsidRDefault="008C6BE8" w:rsidP="008C6BE8">
                  <w:pPr>
                    <w:rPr>
                      <w:color w:val="000000" w:themeColor="text1"/>
                    </w:rPr>
                  </w:pPr>
                </w:p>
                <w:p w14:paraId="018F3AE7" w14:textId="77777777" w:rsidR="008C6BE8" w:rsidRPr="005562B8" w:rsidRDefault="008C6BE8" w:rsidP="008C6BE8">
                  <w:pPr>
                    <w:rPr>
                      <w:color w:val="000000" w:themeColor="text1"/>
                    </w:rPr>
                  </w:pPr>
                  <w:r w:rsidRPr="005562B8">
                    <w:rPr>
                      <w:color w:val="000000" w:themeColor="text1"/>
                    </w:rPr>
                    <w:t>N</w:t>
                  </w:r>
                  <w:r w:rsidR="005562B8">
                    <w:rPr>
                      <w:color w:val="000000" w:themeColor="text1"/>
                    </w:rPr>
                    <w:t>ot applicable</w:t>
                  </w:r>
                </w:p>
              </w:tc>
            </w:tr>
            <w:tr w:rsidR="008C6BE8" w14:paraId="737FF3AF" w14:textId="77777777" w:rsidTr="00573B00">
              <w:trPr>
                <w:trHeight w:val="683"/>
              </w:trPr>
              <w:tc>
                <w:tcPr>
                  <w:tcW w:w="6984" w:type="dxa"/>
                  <w:vAlign w:val="center"/>
                </w:tcPr>
                <w:p w14:paraId="40B5530D" w14:textId="77777777" w:rsidR="008C6BE8" w:rsidRPr="005562B8" w:rsidRDefault="008C6BE8" w:rsidP="008C6BE8">
                  <w:pPr>
                    <w:rPr>
                      <w:rFonts w:cs="Arial"/>
                      <w:bCs/>
                      <w:color w:val="000000"/>
                      <w:lang w:eastAsia="en-GB"/>
                    </w:rPr>
                  </w:pPr>
                  <w:r w:rsidRPr="005562B8">
                    <w:rPr>
                      <w:rFonts w:cs="Arial"/>
                      <w:bCs/>
                      <w:color w:val="000000"/>
                      <w:lang w:eastAsia="en-GB"/>
                    </w:rPr>
                    <w:t>Level 5 - Parent and Child Assessment</w:t>
                  </w:r>
                </w:p>
              </w:tc>
              <w:tc>
                <w:tcPr>
                  <w:tcW w:w="2210" w:type="dxa"/>
                </w:tcPr>
                <w:p w14:paraId="073FF729" w14:textId="77777777" w:rsidR="008C6BE8" w:rsidRPr="005562B8" w:rsidRDefault="008C6BE8" w:rsidP="008C6BE8">
                  <w:pPr>
                    <w:rPr>
                      <w:color w:val="000000" w:themeColor="text1"/>
                    </w:rPr>
                  </w:pPr>
                </w:p>
                <w:p w14:paraId="3BF9A6C7" w14:textId="77777777" w:rsidR="008C6BE8" w:rsidRPr="005562B8" w:rsidRDefault="005562B8" w:rsidP="008C6BE8">
                  <w:pPr>
                    <w:rPr>
                      <w:color w:val="000000" w:themeColor="text1"/>
                    </w:rPr>
                  </w:pPr>
                  <w:r w:rsidRPr="005562B8">
                    <w:rPr>
                      <w:color w:val="000000" w:themeColor="text1"/>
                    </w:rPr>
                    <w:t>N</w:t>
                  </w:r>
                  <w:r>
                    <w:rPr>
                      <w:color w:val="000000" w:themeColor="text1"/>
                    </w:rPr>
                    <w:t>ot applicable</w:t>
                  </w:r>
                </w:p>
              </w:tc>
            </w:tr>
            <w:tr w:rsidR="008C6BE8" w14:paraId="34AAD8B9" w14:textId="77777777" w:rsidTr="00573B00">
              <w:trPr>
                <w:trHeight w:val="683"/>
              </w:trPr>
              <w:tc>
                <w:tcPr>
                  <w:tcW w:w="6984" w:type="dxa"/>
                  <w:vAlign w:val="center"/>
                </w:tcPr>
                <w:p w14:paraId="0EB48726" w14:textId="77777777" w:rsidR="008C6BE8" w:rsidRPr="005562B8" w:rsidRDefault="008C6BE8" w:rsidP="008C6BE8">
                  <w:pPr>
                    <w:rPr>
                      <w:rFonts w:cs="Arial"/>
                      <w:bCs/>
                      <w:color w:val="000000"/>
                      <w:lang w:eastAsia="en-GB"/>
                    </w:rPr>
                  </w:pPr>
                  <w:r w:rsidRPr="005562B8">
                    <w:rPr>
                      <w:rFonts w:cs="Arial"/>
                      <w:bCs/>
                      <w:lang w:eastAsia="en-GB"/>
                    </w:rPr>
                    <w:t>Level 6 - Staying Put</w:t>
                  </w:r>
                </w:p>
              </w:tc>
              <w:tc>
                <w:tcPr>
                  <w:tcW w:w="2210" w:type="dxa"/>
                </w:tcPr>
                <w:p w14:paraId="3EB178F9" w14:textId="77777777" w:rsidR="008C6BE8" w:rsidRPr="005562B8" w:rsidRDefault="008C6BE8" w:rsidP="008C6BE8">
                  <w:pPr>
                    <w:rPr>
                      <w:color w:val="000000" w:themeColor="text1"/>
                    </w:rPr>
                  </w:pPr>
                </w:p>
                <w:p w14:paraId="397ABCD4" w14:textId="77777777" w:rsidR="008C6BE8" w:rsidRPr="005562B8" w:rsidRDefault="005562B8" w:rsidP="008C6BE8">
                  <w:pPr>
                    <w:rPr>
                      <w:color w:val="000000" w:themeColor="text1"/>
                    </w:rPr>
                  </w:pPr>
                  <w:r w:rsidRPr="005562B8">
                    <w:rPr>
                      <w:color w:val="000000" w:themeColor="text1"/>
                    </w:rPr>
                    <w:t>N</w:t>
                  </w:r>
                  <w:r>
                    <w:rPr>
                      <w:color w:val="000000" w:themeColor="text1"/>
                    </w:rPr>
                    <w:t>ot applicable</w:t>
                  </w:r>
                </w:p>
              </w:tc>
            </w:tr>
          </w:tbl>
          <w:p w14:paraId="19490488" w14:textId="77777777" w:rsidR="00B82EB3" w:rsidRDefault="00B82EB3" w:rsidP="00130440">
            <w:pPr>
              <w:rPr>
                <w:b/>
                <w:color w:val="000000" w:themeColor="text1"/>
                <w:sz w:val="28"/>
                <w:szCs w:val="28"/>
              </w:rPr>
            </w:pPr>
          </w:p>
          <w:p w14:paraId="213F8849" w14:textId="77777777" w:rsidR="00140812" w:rsidRPr="00140812" w:rsidRDefault="00140812" w:rsidP="00130440">
            <w:pPr>
              <w:rPr>
                <w:b/>
                <w:color w:val="000000" w:themeColor="text1"/>
                <w:sz w:val="28"/>
                <w:szCs w:val="28"/>
                <w:u w:val="single"/>
              </w:rPr>
            </w:pPr>
            <w:r w:rsidRPr="00140812">
              <w:rPr>
                <w:b/>
                <w:color w:val="000000" w:themeColor="text1"/>
                <w:sz w:val="28"/>
                <w:szCs w:val="28"/>
                <w:u w:val="single"/>
              </w:rPr>
              <w:t>Table 1</w:t>
            </w:r>
          </w:p>
          <w:p w14:paraId="1D5C18CF" w14:textId="77777777" w:rsidR="00140812" w:rsidRDefault="00140812" w:rsidP="00130440">
            <w:pPr>
              <w:rPr>
                <w:b/>
                <w:color w:val="000000" w:themeColor="text1"/>
                <w:sz w:val="28"/>
                <w:szCs w:val="28"/>
              </w:rPr>
            </w:pPr>
          </w:p>
          <w:p w14:paraId="71309131" w14:textId="77777777" w:rsidR="00131D7A" w:rsidRDefault="00131D7A" w:rsidP="008C6BE8">
            <w:pPr>
              <w:rPr>
                <w:color w:val="000000" w:themeColor="text1"/>
                <w:szCs w:val="28"/>
              </w:rPr>
            </w:pPr>
            <w:r>
              <w:rPr>
                <w:color w:val="000000" w:themeColor="text1"/>
                <w:szCs w:val="28"/>
              </w:rPr>
              <w:t xml:space="preserve">Placements will be made under one of the six levels above, based on the needs of the </w:t>
            </w:r>
            <w:r w:rsidR="00140812">
              <w:rPr>
                <w:color w:val="000000" w:themeColor="text1"/>
                <w:szCs w:val="28"/>
              </w:rPr>
              <w:t>C</w:t>
            </w:r>
            <w:r>
              <w:rPr>
                <w:color w:val="000000" w:themeColor="text1"/>
                <w:szCs w:val="28"/>
              </w:rPr>
              <w:t>hild/</w:t>
            </w:r>
            <w:r w:rsidR="00140812">
              <w:rPr>
                <w:color w:val="000000" w:themeColor="text1"/>
                <w:szCs w:val="28"/>
              </w:rPr>
              <w:t>Y</w:t>
            </w:r>
            <w:r>
              <w:rPr>
                <w:color w:val="000000" w:themeColor="text1"/>
                <w:szCs w:val="28"/>
              </w:rPr>
              <w:t xml:space="preserve">oung </w:t>
            </w:r>
            <w:r w:rsidR="00140812">
              <w:rPr>
                <w:color w:val="000000" w:themeColor="text1"/>
                <w:szCs w:val="28"/>
              </w:rPr>
              <w:t>P</w:t>
            </w:r>
            <w:r>
              <w:rPr>
                <w:color w:val="000000" w:themeColor="text1"/>
                <w:szCs w:val="28"/>
              </w:rPr>
              <w:t xml:space="preserve">erson as </w:t>
            </w:r>
            <w:r w:rsidR="00140812">
              <w:rPr>
                <w:color w:val="000000" w:themeColor="text1"/>
                <w:szCs w:val="28"/>
              </w:rPr>
              <w:t>assessed in their Plan and within the guidelines of needs p</w:t>
            </w:r>
            <w:r>
              <w:rPr>
                <w:color w:val="000000" w:themeColor="text1"/>
                <w:szCs w:val="28"/>
              </w:rPr>
              <w:t>roposed</w:t>
            </w:r>
            <w:r w:rsidR="00140812">
              <w:rPr>
                <w:color w:val="000000" w:themeColor="text1"/>
                <w:szCs w:val="28"/>
              </w:rPr>
              <w:t xml:space="preserve"> in the</w:t>
            </w:r>
            <w:r>
              <w:rPr>
                <w:color w:val="000000" w:themeColor="text1"/>
                <w:szCs w:val="28"/>
              </w:rPr>
              <w:t xml:space="preserve"> Service Specification.</w:t>
            </w:r>
          </w:p>
          <w:p w14:paraId="6F3EF664" w14:textId="77777777" w:rsidR="00131D7A" w:rsidRDefault="00131D7A" w:rsidP="008C6BE8">
            <w:pPr>
              <w:rPr>
                <w:color w:val="000000" w:themeColor="text1"/>
                <w:szCs w:val="28"/>
              </w:rPr>
            </w:pPr>
          </w:p>
          <w:p w14:paraId="5D7F4241" w14:textId="77777777" w:rsidR="00B82EB3" w:rsidRDefault="00B82EB3" w:rsidP="008C6BE8">
            <w:pPr>
              <w:rPr>
                <w:color w:val="000000" w:themeColor="text1"/>
                <w:szCs w:val="28"/>
              </w:rPr>
            </w:pPr>
            <w:r w:rsidRPr="00B82EB3">
              <w:rPr>
                <w:color w:val="000000" w:themeColor="text1"/>
                <w:szCs w:val="28"/>
              </w:rPr>
              <w:t>The number of Providers appointed to each Level and Band will be unlimited.</w:t>
            </w:r>
            <w:r w:rsidR="00573B00">
              <w:rPr>
                <w:color w:val="000000" w:themeColor="text1"/>
                <w:szCs w:val="28"/>
              </w:rPr>
              <w:t xml:space="preserve">  The Participating Auth</w:t>
            </w:r>
            <w:r w:rsidR="00FA2E82">
              <w:rPr>
                <w:color w:val="000000" w:themeColor="text1"/>
                <w:szCs w:val="28"/>
              </w:rPr>
              <w:t>or</w:t>
            </w:r>
            <w:r w:rsidR="00573B00">
              <w:rPr>
                <w:color w:val="000000" w:themeColor="text1"/>
                <w:szCs w:val="28"/>
              </w:rPr>
              <w:t>ities want to encourage as many Providers as possible to join the solution, to ensure</w:t>
            </w:r>
            <w:r w:rsidR="00FA2E82">
              <w:rPr>
                <w:color w:val="000000" w:themeColor="text1"/>
                <w:szCs w:val="28"/>
              </w:rPr>
              <w:t xml:space="preserve"> wider </w:t>
            </w:r>
            <w:r w:rsidR="00573B00">
              <w:rPr>
                <w:color w:val="000000" w:themeColor="text1"/>
                <w:szCs w:val="28"/>
              </w:rPr>
              <w:t>choice</w:t>
            </w:r>
            <w:r w:rsidR="00FA2E82">
              <w:rPr>
                <w:color w:val="000000" w:themeColor="text1"/>
                <w:szCs w:val="28"/>
              </w:rPr>
              <w:t xml:space="preserve"> when placing children/young people.</w:t>
            </w:r>
          </w:p>
          <w:p w14:paraId="761D8F0D" w14:textId="77777777" w:rsidR="000C46AF" w:rsidRDefault="000C46AF" w:rsidP="008C6BE8">
            <w:pPr>
              <w:rPr>
                <w:color w:val="000000" w:themeColor="text1"/>
                <w:szCs w:val="28"/>
              </w:rPr>
            </w:pPr>
          </w:p>
          <w:p w14:paraId="6705E4F3" w14:textId="77777777" w:rsidR="008E7F18" w:rsidRPr="008E7F18" w:rsidRDefault="008E7F18" w:rsidP="008C6BE8">
            <w:pPr>
              <w:rPr>
                <w:b/>
                <w:color w:val="000000" w:themeColor="text1"/>
                <w:sz w:val="28"/>
                <w:szCs w:val="28"/>
              </w:rPr>
            </w:pPr>
            <w:r w:rsidRPr="008E7F18">
              <w:rPr>
                <w:b/>
                <w:color w:val="000000" w:themeColor="text1"/>
                <w:sz w:val="28"/>
                <w:szCs w:val="28"/>
              </w:rPr>
              <w:t>Respite</w:t>
            </w:r>
          </w:p>
          <w:p w14:paraId="682D2899" w14:textId="77777777" w:rsidR="008E7F18" w:rsidRDefault="008E7F18" w:rsidP="008C6BE8">
            <w:pPr>
              <w:rPr>
                <w:color w:val="000000" w:themeColor="text1"/>
                <w:szCs w:val="28"/>
              </w:rPr>
            </w:pPr>
          </w:p>
          <w:p w14:paraId="277B6C1F" w14:textId="77777777" w:rsidR="000C46AF" w:rsidRDefault="000C46AF" w:rsidP="008C6BE8">
            <w:pPr>
              <w:rPr>
                <w:color w:val="000000" w:themeColor="text1"/>
                <w:szCs w:val="28"/>
              </w:rPr>
            </w:pPr>
            <w:r>
              <w:rPr>
                <w:color w:val="000000" w:themeColor="text1"/>
                <w:szCs w:val="28"/>
              </w:rPr>
              <w:t xml:space="preserve">Annual respite </w:t>
            </w:r>
            <w:r w:rsidR="00B66C5C">
              <w:rPr>
                <w:color w:val="000000" w:themeColor="text1"/>
                <w:szCs w:val="28"/>
              </w:rPr>
              <w:t>is proposed to be included</w:t>
            </w:r>
            <w:r>
              <w:rPr>
                <w:color w:val="000000" w:themeColor="text1"/>
                <w:szCs w:val="28"/>
              </w:rPr>
              <w:t xml:space="preserve"> in the placement price as follows:</w:t>
            </w:r>
          </w:p>
          <w:p w14:paraId="44EFA260" w14:textId="77777777" w:rsidR="000C46AF" w:rsidRDefault="000C46AF" w:rsidP="008C6BE8">
            <w:pPr>
              <w:rPr>
                <w:color w:val="000000" w:themeColor="text1"/>
                <w:szCs w:val="28"/>
              </w:rPr>
            </w:pPr>
          </w:p>
          <w:p w14:paraId="383510CC" w14:textId="77777777" w:rsidR="000C46AF" w:rsidRDefault="000C46AF" w:rsidP="008C6BE8">
            <w:pPr>
              <w:rPr>
                <w:color w:val="000000" w:themeColor="text1"/>
                <w:szCs w:val="28"/>
              </w:rPr>
            </w:pPr>
            <w:r>
              <w:rPr>
                <w:color w:val="000000" w:themeColor="text1"/>
                <w:szCs w:val="28"/>
              </w:rPr>
              <w:t xml:space="preserve">Level 1 – </w:t>
            </w:r>
            <w:r w:rsidR="00A52224">
              <w:rPr>
                <w:color w:val="000000" w:themeColor="text1"/>
                <w:szCs w:val="28"/>
              </w:rPr>
              <w:t>21</w:t>
            </w:r>
            <w:r>
              <w:rPr>
                <w:color w:val="000000" w:themeColor="text1"/>
                <w:szCs w:val="28"/>
              </w:rPr>
              <w:t xml:space="preserve"> days </w:t>
            </w:r>
          </w:p>
          <w:p w14:paraId="66D2265E" w14:textId="77777777" w:rsidR="000C46AF" w:rsidRDefault="000C46AF" w:rsidP="008C6BE8">
            <w:pPr>
              <w:rPr>
                <w:color w:val="000000" w:themeColor="text1"/>
                <w:szCs w:val="28"/>
              </w:rPr>
            </w:pPr>
          </w:p>
          <w:p w14:paraId="2716D032" w14:textId="77777777" w:rsidR="000C46AF" w:rsidRDefault="000C46AF" w:rsidP="008C6BE8">
            <w:pPr>
              <w:rPr>
                <w:color w:val="000000" w:themeColor="text1"/>
                <w:szCs w:val="28"/>
              </w:rPr>
            </w:pPr>
            <w:r>
              <w:rPr>
                <w:color w:val="000000" w:themeColor="text1"/>
                <w:szCs w:val="28"/>
              </w:rPr>
              <w:t xml:space="preserve">Level 2 – </w:t>
            </w:r>
            <w:r w:rsidR="00A52224">
              <w:rPr>
                <w:color w:val="000000" w:themeColor="text1"/>
                <w:szCs w:val="28"/>
              </w:rPr>
              <w:t>21</w:t>
            </w:r>
            <w:r>
              <w:rPr>
                <w:color w:val="000000" w:themeColor="text1"/>
                <w:szCs w:val="28"/>
              </w:rPr>
              <w:t xml:space="preserve"> days</w:t>
            </w:r>
          </w:p>
          <w:p w14:paraId="313DE528" w14:textId="77777777" w:rsidR="000C46AF" w:rsidRDefault="000C46AF" w:rsidP="008C6BE8">
            <w:pPr>
              <w:rPr>
                <w:color w:val="000000" w:themeColor="text1"/>
                <w:szCs w:val="28"/>
              </w:rPr>
            </w:pPr>
          </w:p>
          <w:p w14:paraId="2E8D04F3" w14:textId="77777777" w:rsidR="000C46AF" w:rsidRDefault="000C46AF" w:rsidP="008C6BE8">
            <w:pPr>
              <w:rPr>
                <w:color w:val="000000" w:themeColor="text1"/>
                <w:szCs w:val="28"/>
              </w:rPr>
            </w:pPr>
            <w:r>
              <w:rPr>
                <w:color w:val="000000" w:themeColor="text1"/>
                <w:szCs w:val="28"/>
              </w:rPr>
              <w:t>Level 3 – 2</w:t>
            </w:r>
            <w:r w:rsidR="009A0B59">
              <w:rPr>
                <w:color w:val="000000" w:themeColor="text1"/>
                <w:szCs w:val="28"/>
              </w:rPr>
              <w:t>1</w:t>
            </w:r>
            <w:r>
              <w:rPr>
                <w:color w:val="000000" w:themeColor="text1"/>
                <w:szCs w:val="28"/>
              </w:rPr>
              <w:t xml:space="preserve"> days</w:t>
            </w:r>
          </w:p>
          <w:p w14:paraId="7303BAD0" w14:textId="77777777" w:rsidR="00A52224" w:rsidRDefault="00A52224" w:rsidP="008C6BE8">
            <w:pPr>
              <w:rPr>
                <w:color w:val="000000" w:themeColor="text1"/>
                <w:szCs w:val="28"/>
              </w:rPr>
            </w:pPr>
          </w:p>
          <w:p w14:paraId="7122A3E9" w14:textId="77777777" w:rsidR="00A52224" w:rsidRDefault="00A52224" w:rsidP="008C6BE8">
            <w:pPr>
              <w:rPr>
                <w:color w:val="000000" w:themeColor="text1"/>
                <w:szCs w:val="28"/>
              </w:rPr>
            </w:pPr>
            <w:r>
              <w:rPr>
                <w:color w:val="000000" w:themeColor="text1"/>
                <w:szCs w:val="28"/>
              </w:rPr>
              <w:t>Level 4 – 21 days</w:t>
            </w:r>
          </w:p>
          <w:p w14:paraId="58F726A4" w14:textId="77777777" w:rsidR="00A52224" w:rsidRDefault="00A52224" w:rsidP="008C6BE8">
            <w:pPr>
              <w:rPr>
                <w:color w:val="000000" w:themeColor="text1"/>
                <w:szCs w:val="28"/>
              </w:rPr>
            </w:pPr>
          </w:p>
          <w:p w14:paraId="1C924B4E" w14:textId="77777777" w:rsidR="00B66C5C" w:rsidRDefault="00B66C5C" w:rsidP="001C601F">
            <w:pPr>
              <w:rPr>
                <w:rFonts w:cs="Arial"/>
                <w:szCs w:val="22"/>
              </w:rPr>
            </w:pPr>
            <w:r w:rsidRPr="00315398">
              <w:rPr>
                <w:rFonts w:cs="Arial"/>
                <w:szCs w:val="22"/>
              </w:rPr>
              <w:t>However</w:t>
            </w:r>
            <w:r>
              <w:rPr>
                <w:rFonts w:cs="Arial"/>
                <w:szCs w:val="22"/>
              </w:rPr>
              <w:t>,</w:t>
            </w:r>
            <w:r w:rsidRPr="00315398">
              <w:rPr>
                <w:rFonts w:cs="Arial"/>
                <w:szCs w:val="22"/>
              </w:rPr>
              <w:t xml:space="preserve"> during the consultation process </w:t>
            </w:r>
            <w:r>
              <w:rPr>
                <w:rFonts w:cs="Arial"/>
                <w:szCs w:val="22"/>
              </w:rPr>
              <w:t>Providers</w:t>
            </w:r>
            <w:r w:rsidRPr="00315398">
              <w:rPr>
                <w:rFonts w:cs="Arial"/>
                <w:szCs w:val="22"/>
              </w:rPr>
              <w:t xml:space="preserve"> will be required to identify how much respite they provide for each placement currently made under the NE7 framework</w:t>
            </w:r>
            <w:r>
              <w:rPr>
                <w:rFonts w:cs="Arial"/>
                <w:szCs w:val="22"/>
              </w:rPr>
              <w:t xml:space="preserve"> (Appendix 3)</w:t>
            </w:r>
            <w:r w:rsidRPr="00315398">
              <w:rPr>
                <w:rFonts w:cs="Arial"/>
                <w:szCs w:val="22"/>
              </w:rPr>
              <w:t xml:space="preserve">. </w:t>
            </w:r>
            <w:r>
              <w:rPr>
                <w:rFonts w:cs="Arial"/>
                <w:szCs w:val="22"/>
              </w:rPr>
              <w:t xml:space="preserve"> Providers not on the current Framework are asked to provide details of the maximum annual respite offered per placement.</w:t>
            </w:r>
          </w:p>
          <w:p w14:paraId="335FAE20" w14:textId="77777777" w:rsidR="00B66C5C" w:rsidRDefault="00B66C5C" w:rsidP="001C601F">
            <w:pPr>
              <w:rPr>
                <w:rFonts w:cs="Arial"/>
                <w:szCs w:val="22"/>
              </w:rPr>
            </w:pPr>
          </w:p>
          <w:p w14:paraId="78A7E3B4" w14:textId="77777777" w:rsidR="001C601F" w:rsidRPr="00315398" w:rsidRDefault="00B66C5C" w:rsidP="001C601F">
            <w:pPr>
              <w:rPr>
                <w:rFonts w:cs="Arial"/>
                <w:szCs w:val="22"/>
              </w:rPr>
            </w:pPr>
            <w:r w:rsidRPr="00315398">
              <w:rPr>
                <w:rFonts w:cs="Arial"/>
                <w:szCs w:val="22"/>
              </w:rPr>
              <w:t>This will enable all participating LAs to further understand the need for respite within the current placements and to make an informed final decision re the number of respite days that should be available for each banding level.</w:t>
            </w:r>
          </w:p>
          <w:p w14:paraId="5BD767AD" w14:textId="77777777" w:rsidR="00B66C5C" w:rsidRPr="00857A97" w:rsidRDefault="00B66C5C" w:rsidP="001C601F">
            <w:pPr>
              <w:rPr>
                <w:b/>
                <w:color w:val="000000" w:themeColor="text1"/>
                <w:sz w:val="28"/>
                <w:szCs w:val="28"/>
              </w:rPr>
            </w:pPr>
          </w:p>
        </w:tc>
      </w:tr>
      <w:tr w:rsidR="00802B9B" w:rsidRPr="000728AE" w14:paraId="6ED28BA3" w14:textId="77777777" w:rsidTr="00E03ABE">
        <w:tc>
          <w:tcPr>
            <w:tcW w:w="839" w:type="dxa"/>
          </w:tcPr>
          <w:p w14:paraId="36C8F33B" w14:textId="77777777" w:rsidR="00802B9B" w:rsidRPr="00857A97" w:rsidRDefault="001A7C2A" w:rsidP="00616010">
            <w:pPr>
              <w:rPr>
                <w:b/>
                <w:color w:val="000000" w:themeColor="text1"/>
                <w:sz w:val="28"/>
                <w:szCs w:val="28"/>
              </w:rPr>
            </w:pPr>
            <w:r>
              <w:rPr>
                <w:b/>
                <w:color w:val="000000" w:themeColor="text1"/>
                <w:sz w:val="28"/>
                <w:szCs w:val="28"/>
              </w:rPr>
              <w:lastRenderedPageBreak/>
              <w:t>5</w:t>
            </w:r>
            <w:r w:rsidR="005C2BD7" w:rsidRPr="00857A97">
              <w:rPr>
                <w:b/>
                <w:color w:val="000000" w:themeColor="text1"/>
                <w:sz w:val="28"/>
                <w:szCs w:val="28"/>
              </w:rPr>
              <w:t>.</w:t>
            </w:r>
          </w:p>
        </w:tc>
        <w:tc>
          <w:tcPr>
            <w:tcW w:w="9793" w:type="dxa"/>
          </w:tcPr>
          <w:p w14:paraId="5627E697" w14:textId="77777777" w:rsidR="007349B8" w:rsidRPr="00857A97" w:rsidRDefault="00857A97" w:rsidP="00CF732D">
            <w:pPr>
              <w:rPr>
                <w:b/>
                <w:sz w:val="28"/>
                <w:szCs w:val="28"/>
              </w:rPr>
            </w:pPr>
            <w:r w:rsidRPr="00857A97">
              <w:rPr>
                <w:b/>
                <w:sz w:val="28"/>
                <w:szCs w:val="28"/>
              </w:rPr>
              <w:t>Proposed Financial Model</w:t>
            </w:r>
          </w:p>
          <w:p w14:paraId="53C6059F" w14:textId="77777777" w:rsidR="00857A97" w:rsidRPr="00857A97" w:rsidRDefault="00857A97" w:rsidP="00CF732D">
            <w:pPr>
              <w:rPr>
                <w:b/>
                <w:sz w:val="28"/>
                <w:szCs w:val="28"/>
              </w:rPr>
            </w:pPr>
          </w:p>
        </w:tc>
      </w:tr>
      <w:tr w:rsidR="008C6BE8" w:rsidRPr="000728AE" w14:paraId="790409DD" w14:textId="77777777" w:rsidTr="00E03ABE">
        <w:tc>
          <w:tcPr>
            <w:tcW w:w="839" w:type="dxa"/>
          </w:tcPr>
          <w:p w14:paraId="1E43D51E" w14:textId="77777777" w:rsidR="008C6BE8" w:rsidRPr="00857A97" w:rsidRDefault="008C6BE8" w:rsidP="00616010">
            <w:pPr>
              <w:rPr>
                <w:b/>
                <w:color w:val="000000" w:themeColor="text1"/>
                <w:sz w:val="28"/>
                <w:szCs w:val="28"/>
              </w:rPr>
            </w:pPr>
          </w:p>
        </w:tc>
        <w:tc>
          <w:tcPr>
            <w:tcW w:w="9793" w:type="dxa"/>
          </w:tcPr>
          <w:p w14:paraId="28EFDB2C" w14:textId="77777777" w:rsidR="00F92BBF" w:rsidRDefault="00F92BBF" w:rsidP="00140812">
            <w:pPr>
              <w:rPr>
                <w:szCs w:val="28"/>
              </w:rPr>
            </w:pPr>
          </w:p>
          <w:p w14:paraId="41FE87E4" w14:textId="05B26C42" w:rsidR="00140812" w:rsidRDefault="00140812" w:rsidP="00140812">
            <w:pPr>
              <w:rPr>
                <w:szCs w:val="28"/>
              </w:rPr>
            </w:pPr>
            <w:r w:rsidRPr="00947598">
              <w:rPr>
                <w:szCs w:val="28"/>
              </w:rPr>
              <w:t>Table 2</w:t>
            </w:r>
            <w:r>
              <w:rPr>
                <w:szCs w:val="28"/>
              </w:rPr>
              <w:t xml:space="preserve"> shows the Proposed Financial Model.</w:t>
            </w:r>
          </w:p>
          <w:p w14:paraId="5CB002A1" w14:textId="77777777" w:rsidR="00ED6598" w:rsidRDefault="00ED6598" w:rsidP="00CF732D">
            <w:pPr>
              <w:rPr>
                <w:szCs w:val="28"/>
              </w:rPr>
            </w:pPr>
          </w:p>
          <w:p w14:paraId="6761BB4B" w14:textId="77777777" w:rsidR="000D11A7" w:rsidRDefault="00D62A24" w:rsidP="00CF732D">
            <w:pPr>
              <w:rPr>
                <w:b/>
                <w:szCs w:val="28"/>
                <w:u w:val="single"/>
              </w:rPr>
            </w:pPr>
            <w:r w:rsidRPr="00140812">
              <w:rPr>
                <w:b/>
                <w:szCs w:val="28"/>
                <w:u w:val="single"/>
              </w:rPr>
              <w:t xml:space="preserve">Table </w:t>
            </w:r>
            <w:r w:rsidR="00FA2E82" w:rsidRPr="00140812">
              <w:rPr>
                <w:b/>
                <w:szCs w:val="28"/>
                <w:u w:val="single"/>
              </w:rPr>
              <w:t>2</w:t>
            </w:r>
          </w:p>
          <w:p w14:paraId="2B5B2029" w14:textId="77777777" w:rsidR="001C4CF9" w:rsidRPr="00A06E01" w:rsidRDefault="001C4CF9" w:rsidP="00CF732D">
            <w:pPr>
              <w:rPr>
                <w:b/>
                <w:szCs w:val="28"/>
              </w:rPr>
            </w:pPr>
          </w:p>
          <w:tbl>
            <w:tblPr>
              <w:tblStyle w:val="TableGrid"/>
              <w:tblpPr w:leftFromText="180" w:rightFromText="180" w:vertAnchor="page" w:horzAnchor="margin" w:tblpY="616"/>
              <w:tblOverlap w:val="never"/>
              <w:tblW w:w="9234" w:type="dxa"/>
              <w:tblLayout w:type="fixed"/>
              <w:tblLook w:val="04A0" w:firstRow="1" w:lastRow="0" w:firstColumn="1" w:lastColumn="0" w:noHBand="0" w:noVBand="1"/>
            </w:tblPr>
            <w:tblGrid>
              <w:gridCol w:w="4390"/>
              <w:gridCol w:w="2268"/>
              <w:gridCol w:w="2576"/>
            </w:tblGrid>
            <w:tr w:rsidR="00A06E01" w14:paraId="057BE513" w14:textId="77777777" w:rsidTr="00A06E01">
              <w:trPr>
                <w:trHeight w:val="317"/>
              </w:trPr>
              <w:tc>
                <w:tcPr>
                  <w:tcW w:w="4390" w:type="dxa"/>
                  <w:vAlign w:val="center"/>
                </w:tcPr>
                <w:p w14:paraId="61ED9EA8" w14:textId="77777777" w:rsidR="00A06E01" w:rsidRPr="00140812" w:rsidRDefault="00A06E01" w:rsidP="00A06E01">
                  <w:pPr>
                    <w:rPr>
                      <w:b/>
                    </w:rPr>
                  </w:pPr>
                  <w:r w:rsidRPr="00140812">
                    <w:rPr>
                      <w:rFonts w:cs="Arial"/>
                      <w:b/>
                      <w:bCs/>
                      <w:color w:val="000000"/>
                      <w:lang w:eastAsia="en-GB"/>
                    </w:rPr>
                    <w:lastRenderedPageBreak/>
                    <w:t>Proposed Level</w:t>
                  </w:r>
                </w:p>
              </w:tc>
              <w:tc>
                <w:tcPr>
                  <w:tcW w:w="2268" w:type="dxa"/>
                  <w:vAlign w:val="center"/>
                </w:tcPr>
                <w:p w14:paraId="73EC8418" w14:textId="77777777" w:rsidR="00A06E01" w:rsidRPr="00140812" w:rsidRDefault="00A06E01" w:rsidP="00A06E01">
                  <w:pPr>
                    <w:rPr>
                      <w:b/>
                    </w:rPr>
                  </w:pPr>
                  <w:r w:rsidRPr="00140812">
                    <w:rPr>
                      <w:rFonts w:cs="Arial"/>
                      <w:b/>
                      <w:bCs/>
                      <w:color w:val="000000"/>
                      <w:lang w:eastAsia="en-GB"/>
                    </w:rPr>
                    <w:t>Band</w:t>
                  </w:r>
                </w:p>
              </w:tc>
              <w:tc>
                <w:tcPr>
                  <w:tcW w:w="2576" w:type="dxa"/>
                  <w:vAlign w:val="center"/>
                </w:tcPr>
                <w:p w14:paraId="53949097" w14:textId="77777777" w:rsidR="00A06E01" w:rsidRPr="00140812" w:rsidRDefault="00A06E01" w:rsidP="00A06E01">
                  <w:pPr>
                    <w:rPr>
                      <w:b/>
                    </w:rPr>
                  </w:pPr>
                  <w:r w:rsidRPr="00140812">
                    <w:rPr>
                      <w:rFonts w:cs="Arial"/>
                      <w:b/>
                      <w:bCs/>
                      <w:color w:val="000000"/>
                      <w:lang w:eastAsia="en-GB"/>
                    </w:rPr>
                    <w:t xml:space="preserve">Proposed rate </w:t>
                  </w:r>
                </w:p>
              </w:tc>
            </w:tr>
            <w:tr w:rsidR="00A06E01" w14:paraId="655D69C6" w14:textId="77777777" w:rsidTr="00A06E01">
              <w:trPr>
                <w:trHeight w:val="511"/>
              </w:trPr>
              <w:tc>
                <w:tcPr>
                  <w:tcW w:w="4390" w:type="dxa"/>
                  <w:vMerge w:val="restart"/>
                  <w:vAlign w:val="center"/>
                </w:tcPr>
                <w:p w14:paraId="7D0FB2CF" w14:textId="77777777" w:rsidR="00A06E01" w:rsidRPr="00140812" w:rsidRDefault="00A06E01" w:rsidP="00A06E01">
                  <w:r w:rsidRPr="00140812">
                    <w:rPr>
                      <w:rFonts w:cs="Arial"/>
                      <w:bCs/>
                      <w:color w:val="000000"/>
                      <w:lang w:eastAsia="en-GB"/>
                    </w:rPr>
                    <w:t>Level 1 – Standard</w:t>
                  </w:r>
                </w:p>
              </w:tc>
              <w:tc>
                <w:tcPr>
                  <w:tcW w:w="2268" w:type="dxa"/>
                  <w:vAlign w:val="center"/>
                </w:tcPr>
                <w:p w14:paraId="5E4BB625"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19978887" w14:textId="77777777" w:rsidR="00A06E01" w:rsidRPr="00140812" w:rsidRDefault="00A06E01" w:rsidP="00A06E01">
                  <w:pPr>
                    <w:jc w:val="center"/>
                    <w:rPr>
                      <w:rFonts w:cs="Arial"/>
                      <w:bCs/>
                      <w:lang w:eastAsia="en-GB"/>
                    </w:rPr>
                  </w:pPr>
                  <w:r w:rsidRPr="00140812">
                    <w:rPr>
                      <w:rFonts w:cs="Arial"/>
                      <w:bCs/>
                      <w:lang w:eastAsia="en-GB"/>
                    </w:rPr>
                    <w:t>£696.00</w:t>
                  </w:r>
                </w:p>
              </w:tc>
            </w:tr>
            <w:tr w:rsidR="00A06E01" w14:paraId="21EFAA1D" w14:textId="77777777" w:rsidTr="00A06E01">
              <w:trPr>
                <w:trHeight w:val="547"/>
              </w:trPr>
              <w:tc>
                <w:tcPr>
                  <w:tcW w:w="4390" w:type="dxa"/>
                  <w:vMerge/>
                  <w:vAlign w:val="center"/>
                </w:tcPr>
                <w:p w14:paraId="4BAFBCC0" w14:textId="77777777" w:rsidR="00A06E01" w:rsidRPr="00140812" w:rsidRDefault="00A06E01" w:rsidP="00A06E01"/>
              </w:tc>
              <w:tc>
                <w:tcPr>
                  <w:tcW w:w="2268" w:type="dxa"/>
                  <w:vAlign w:val="center"/>
                </w:tcPr>
                <w:p w14:paraId="2FE8FA34"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17D35850" w14:textId="77777777" w:rsidR="00A06E01" w:rsidRPr="00140812" w:rsidRDefault="00A06E01" w:rsidP="00A06E01">
                  <w:pPr>
                    <w:jc w:val="center"/>
                  </w:pPr>
                  <w:r w:rsidRPr="00140812">
                    <w:rPr>
                      <w:rFonts w:cs="Arial"/>
                      <w:bCs/>
                      <w:lang w:eastAsia="en-GB"/>
                    </w:rPr>
                    <w:t>£717.00</w:t>
                  </w:r>
                </w:p>
              </w:tc>
            </w:tr>
            <w:tr w:rsidR="00A06E01" w14:paraId="133E2F1E" w14:textId="77777777" w:rsidTr="00A06E01">
              <w:trPr>
                <w:trHeight w:val="569"/>
              </w:trPr>
              <w:tc>
                <w:tcPr>
                  <w:tcW w:w="4390" w:type="dxa"/>
                  <w:vMerge/>
                  <w:vAlign w:val="center"/>
                </w:tcPr>
                <w:p w14:paraId="025DE518" w14:textId="77777777" w:rsidR="00A06E01" w:rsidRPr="00140812" w:rsidRDefault="00A06E01" w:rsidP="00A06E01"/>
              </w:tc>
              <w:tc>
                <w:tcPr>
                  <w:tcW w:w="2268" w:type="dxa"/>
                  <w:vAlign w:val="center"/>
                </w:tcPr>
                <w:p w14:paraId="672A72ED"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6287EA8E" w14:textId="77777777" w:rsidR="00A06E01" w:rsidRPr="00140812" w:rsidRDefault="00A06E01" w:rsidP="00A06E01">
                  <w:pPr>
                    <w:jc w:val="center"/>
                  </w:pPr>
                  <w:r w:rsidRPr="00140812">
                    <w:rPr>
                      <w:rFonts w:cs="Arial"/>
                      <w:bCs/>
                      <w:lang w:eastAsia="en-GB"/>
                    </w:rPr>
                    <w:t>£748.00</w:t>
                  </w:r>
                </w:p>
              </w:tc>
            </w:tr>
            <w:tr w:rsidR="00A06E01" w14:paraId="3C735340" w14:textId="77777777" w:rsidTr="00A06E01">
              <w:trPr>
                <w:trHeight w:val="561"/>
              </w:trPr>
              <w:tc>
                <w:tcPr>
                  <w:tcW w:w="4390" w:type="dxa"/>
                  <w:vMerge w:val="restart"/>
                  <w:vAlign w:val="center"/>
                </w:tcPr>
                <w:p w14:paraId="53A24A18" w14:textId="77777777" w:rsidR="00A06E01" w:rsidRPr="00140812" w:rsidRDefault="00A06E01" w:rsidP="00A06E01">
                  <w:r w:rsidRPr="00140812">
                    <w:rPr>
                      <w:rFonts w:cs="Arial"/>
                      <w:bCs/>
                      <w:color w:val="000000"/>
                      <w:lang w:eastAsia="en-GB"/>
                    </w:rPr>
                    <w:t>Level 2 - Standard with Additional Needs, including disability related issues, SEMH issues, CSE issues</w:t>
                  </w:r>
                </w:p>
              </w:tc>
              <w:tc>
                <w:tcPr>
                  <w:tcW w:w="2268" w:type="dxa"/>
                  <w:vAlign w:val="center"/>
                </w:tcPr>
                <w:p w14:paraId="14015D67"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1368F45D" w14:textId="77777777" w:rsidR="00A06E01" w:rsidRPr="00140812" w:rsidRDefault="00A06E01" w:rsidP="00A06E01">
                  <w:pPr>
                    <w:jc w:val="center"/>
                  </w:pPr>
                  <w:r w:rsidRPr="00140812">
                    <w:rPr>
                      <w:rFonts w:cs="Arial"/>
                      <w:bCs/>
                      <w:lang w:eastAsia="en-GB"/>
                    </w:rPr>
                    <w:t>£758.00</w:t>
                  </w:r>
                </w:p>
              </w:tc>
            </w:tr>
            <w:tr w:rsidR="00A06E01" w14:paraId="52840C6F" w14:textId="77777777" w:rsidTr="00A06E01">
              <w:trPr>
                <w:trHeight w:val="555"/>
              </w:trPr>
              <w:tc>
                <w:tcPr>
                  <w:tcW w:w="4390" w:type="dxa"/>
                  <w:vMerge/>
                  <w:vAlign w:val="center"/>
                </w:tcPr>
                <w:p w14:paraId="2F4D9252" w14:textId="77777777" w:rsidR="00A06E01" w:rsidRPr="00140812" w:rsidRDefault="00A06E01" w:rsidP="00A06E01"/>
              </w:tc>
              <w:tc>
                <w:tcPr>
                  <w:tcW w:w="2268" w:type="dxa"/>
                  <w:vAlign w:val="center"/>
                </w:tcPr>
                <w:p w14:paraId="4DF325FC"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0405185B" w14:textId="77777777" w:rsidR="00A06E01" w:rsidRPr="00140812" w:rsidRDefault="00A06E01" w:rsidP="00A06E01">
                  <w:pPr>
                    <w:jc w:val="center"/>
                  </w:pPr>
                  <w:r w:rsidRPr="00140812">
                    <w:rPr>
                      <w:rFonts w:cs="Arial"/>
                      <w:bCs/>
                      <w:lang w:eastAsia="en-GB"/>
                    </w:rPr>
                    <w:t>£778.00</w:t>
                  </w:r>
                </w:p>
              </w:tc>
            </w:tr>
            <w:tr w:rsidR="00A06E01" w14:paraId="5405BD36" w14:textId="77777777" w:rsidTr="00A06E01">
              <w:trPr>
                <w:trHeight w:val="548"/>
              </w:trPr>
              <w:tc>
                <w:tcPr>
                  <w:tcW w:w="4390" w:type="dxa"/>
                  <w:vMerge/>
                  <w:vAlign w:val="center"/>
                </w:tcPr>
                <w:p w14:paraId="2EDDF310" w14:textId="77777777" w:rsidR="00A06E01" w:rsidRPr="00140812" w:rsidRDefault="00A06E01" w:rsidP="00A06E01"/>
              </w:tc>
              <w:tc>
                <w:tcPr>
                  <w:tcW w:w="2268" w:type="dxa"/>
                  <w:vAlign w:val="center"/>
                </w:tcPr>
                <w:p w14:paraId="13C28681"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28AEC69A" w14:textId="77777777" w:rsidR="00A06E01" w:rsidRPr="00140812" w:rsidRDefault="00A06E01" w:rsidP="00A06E01">
                  <w:pPr>
                    <w:jc w:val="center"/>
                  </w:pPr>
                  <w:r w:rsidRPr="00140812">
                    <w:rPr>
                      <w:rFonts w:cs="Arial"/>
                      <w:bCs/>
                      <w:lang w:eastAsia="en-GB"/>
                    </w:rPr>
                    <w:t>£840.00</w:t>
                  </w:r>
                </w:p>
              </w:tc>
            </w:tr>
            <w:tr w:rsidR="00A06E01" w14:paraId="39D63E1E" w14:textId="77777777" w:rsidTr="00A06E01">
              <w:trPr>
                <w:trHeight w:val="556"/>
              </w:trPr>
              <w:tc>
                <w:tcPr>
                  <w:tcW w:w="4390" w:type="dxa"/>
                  <w:vMerge w:val="restart"/>
                  <w:vAlign w:val="center"/>
                </w:tcPr>
                <w:p w14:paraId="7B38B474" w14:textId="77777777" w:rsidR="00A06E01" w:rsidRPr="00140812" w:rsidRDefault="00A06E01" w:rsidP="00A06E01">
                  <w:r w:rsidRPr="00140812">
                    <w:rPr>
                      <w:rFonts w:cs="Arial"/>
                      <w:bCs/>
                      <w:color w:val="000000"/>
                      <w:lang w:eastAsia="en-GB"/>
                    </w:rPr>
                    <w:t>Level 3 - Intensive Support, including terminal/ life-limiting illness</w:t>
                  </w:r>
                </w:p>
              </w:tc>
              <w:tc>
                <w:tcPr>
                  <w:tcW w:w="2268" w:type="dxa"/>
                  <w:vAlign w:val="center"/>
                </w:tcPr>
                <w:p w14:paraId="496FBF4D" w14:textId="77777777" w:rsidR="00A06E01" w:rsidRPr="00140812" w:rsidRDefault="00A06E01" w:rsidP="00A06E01">
                  <w:pPr>
                    <w:jc w:val="center"/>
                  </w:pPr>
                  <w:r w:rsidRPr="00140812">
                    <w:rPr>
                      <w:rFonts w:cs="Arial"/>
                      <w:bCs/>
                      <w:color w:val="000000"/>
                      <w:lang w:eastAsia="en-GB"/>
                    </w:rPr>
                    <w:t>Age 0 - 4</w:t>
                  </w:r>
                </w:p>
              </w:tc>
              <w:tc>
                <w:tcPr>
                  <w:tcW w:w="2576" w:type="dxa"/>
                  <w:vAlign w:val="center"/>
                </w:tcPr>
                <w:p w14:paraId="5F0ABBDF" w14:textId="77777777" w:rsidR="00A06E01" w:rsidRPr="00140812" w:rsidRDefault="00A06E01" w:rsidP="00A06E01">
                  <w:pPr>
                    <w:jc w:val="center"/>
                  </w:pPr>
                  <w:r w:rsidRPr="00140812">
                    <w:rPr>
                      <w:rFonts w:cs="Arial"/>
                      <w:bCs/>
                      <w:lang w:eastAsia="en-GB"/>
                    </w:rPr>
                    <w:t>£922.00</w:t>
                  </w:r>
                </w:p>
              </w:tc>
            </w:tr>
            <w:tr w:rsidR="00A06E01" w14:paraId="6B6A5AF7" w14:textId="77777777" w:rsidTr="00A06E01">
              <w:trPr>
                <w:trHeight w:val="563"/>
              </w:trPr>
              <w:tc>
                <w:tcPr>
                  <w:tcW w:w="4390" w:type="dxa"/>
                  <w:vMerge/>
                  <w:vAlign w:val="center"/>
                </w:tcPr>
                <w:p w14:paraId="6B19D226" w14:textId="77777777" w:rsidR="00A06E01" w:rsidRPr="00140812" w:rsidRDefault="00A06E01" w:rsidP="00A06E01">
                  <w:pPr>
                    <w:rPr>
                      <w:rFonts w:cs="Arial"/>
                      <w:bCs/>
                      <w:color w:val="000000"/>
                      <w:lang w:eastAsia="en-GB"/>
                    </w:rPr>
                  </w:pPr>
                </w:p>
              </w:tc>
              <w:tc>
                <w:tcPr>
                  <w:tcW w:w="2268" w:type="dxa"/>
                  <w:vAlign w:val="center"/>
                </w:tcPr>
                <w:p w14:paraId="589FE00F" w14:textId="77777777" w:rsidR="00A06E01" w:rsidRPr="00140812" w:rsidRDefault="00A06E01" w:rsidP="00A06E01">
                  <w:pPr>
                    <w:jc w:val="center"/>
                  </w:pPr>
                  <w:r w:rsidRPr="00140812">
                    <w:rPr>
                      <w:rFonts w:cs="Arial"/>
                      <w:bCs/>
                      <w:color w:val="000000"/>
                      <w:lang w:eastAsia="en-GB"/>
                    </w:rPr>
                    <w:t>Age 5 - 10</w:t>
                  </w:r>
                </w:p>
              </w:tc>
              <w:tc>
                <w:tcPr>
                  <w:tcW w:w="2576" w:type="dxa"/>
                  <w:vAlign w:val="center"/>
                </w:tcPr>
                <w:p w14:paraId="08637ACA" w14:textId="77777777" w:rsidR="00A06E01" w:rsidRPr="00140812" w:rsidRDefault="00A06E01" w:rsidP="00A06E01">
                  <w:pPr>
                    <w:jc w:val="center"/>
                  </w:pPr>
                  <w:r w:rsidRPr="00140812">
                    <w:rPr>
                      <w:rFonts w:cs="Arial"/>
                      <w:bCs/>
                      <w:lang w:eastAsia="en-GB"/>
                    </w:rPr>
                    <w:t>£1,004.00</w:t>
                  </w:r>
                </w:p>
              </w:tc>
            </w:tr>
            <w:tr w:rsidR="00A06E01" w14:paraId="7F153A87" w14:textId="77777777" w:rsidTr="00A06E01">
              <w:trPr>
                <w:trHeight w:val="558"/>
              </w:trPr>
              <w:tc>
                <w:tcPr>
                  <w:tcW w:w="4390" w:type="dxa"/>
                  <w:vMerge/>
                  <w:vAlign w:val="center"/>
                </w:tcPr>
                <w:p w14:paraId="6A30AFC9" w14:textId="77777777" w:rsidR="00A06E01" w:rsidRPr="00140812" w:rsidRDefault="00A06E01" w:rsidP="00A06E01">
                  <w:pPr>
                    <w:rPr>
                      <w:rFonts w:cs="Arial"/>
                      <w:bCs/>
                      <w:color w:val="000000"/>
                      <w:lang w:eastAsia="en-GB"/>
                    </w:rPr>
                  </w:pPr>
                </w:p>
              </w:tc>
              <w:tc>
                <w:tcPr>
                  <w:tcW w:w="2268" w:type="dxa"/>
                  <w:vAlign w:val="center"/>
                </w:tcPr>
                <w:p w14:paraId="68D4AE2C" w14:textId="77777777" w:rsidR="00A06E01" w:rsidRPr="00140812" w:rsidRDefault="00A06E01" w:rsidP="00A06E01">
                  <w:pPr>
                    <w:jc w:val="center"/>
                  </w:pPr>
                  <w:r w:rsidRPr="00140812">
                    <w:rPr>
                      <w:rFonts w:cs="Arial"/>
                      <w:bCs/>
                      <w:color w:val="000000"/>
                      <w:lang w:eastAsia="en-GB"/>
                    </w:rPr>
                    <w:t>Age 11+</w:t>
                  </w:r>
                </w:p>
              </w:tc>
              <w:tc>
                <w:tcPr>
                  <w:tcW w:w="2576" w:type="dxa"/>
                  <w:vAlign w:val="center"/>
                </w:tcPr>
                <w:p w14:paraId="422ACD5D" w14:textId="77777777" w:rsidR="00A06E01" w:rsidRPr="00140812" w:rsidRDefault="00A06E01" w:rsidP="00A06E01">
                  <w:pPr>
                    <w:jc w:val="center"/>
                  </w:pPr>
                  <w:r w:rsidRPr="00140812">
                    <w:rPr>
                      <w:rFonts w:cs="Arial"/>
                      <w:bCs/>
                      <w:lang w:eastAsia="en-GB"/>
                    </w:rPr>
                    <w:t>£1,004.00</w:t>
                  </w:r>
                </w:p>
              </w:tc>
            </w:tr>
            <w:tr w:rsidR="00A06E01" w14:paraId="2332EB20" w14:textId="77777777" w:rsidTr="00A06E01">
              <w:trPr>
                <w:trHeight w:val="649"/>
              </w:trPr>
              <w:tc>
                <w:tcPr>
                  <w:tcW w:w="4390" w:type="dxa"/>
                  <w:vAlign w:val="center"/>
                </w:tcPr>
                <w:p w14:paraId="6C7353C3" w14:textId="77777777" w:rsidR="00A06E01" w:rsidRPr="00140812" w:rsidRDefault="00A06E01" w:rsidP="00A06E01">
                  <w:pPr>
                    <w:rPr>
                      <w:rFonts w:cs="Arial"/>
                      <w:bCs/>
                      <w:color w:val="000000"/>
                      <w:lang w:eastAsia="en-GB"/>
                    </w:rPr>
                  </w:pPr>
                  <w:r w:rsidRPr="00140812">
                    <w:rPr>
                      <w:rFonts w:cs="Arial"/>
                      <w:bCs/>
                      <w:color w:val="000000"/>
                      <w:lang w:eastAsia="en-GB"/>
                    </w:rPr>
                    <w:t>Level 4 - Parent and Child Fostering</w:t>
                  </w:r>
                </w:p>
              </w:tc>
              <w:tc>
                <w:tcPr>
                  <w:tcW w:w="2268" w:type="dxa"/>
                  <w:vAlign w:val="center"/>
                </w:tcPr>
                <w:p w14:paraId="1F615076" w14:textId="77777777" w:rsidR="00A06E01" w:rsidRPr="00140812" w:rsidRDefault="00A06E01" w:rsidP="00A06E01">
                  <w:pPr>
                    <w:jc w:val="center"/>
                  </w:pPr>
                  <w:r w:rsidRPr="00140812">
                    <w:rPr>
                      <w:rFonts w:cs="Arial"/>
                      <w:bCs/>
                      <w:color w:val="000000"/>
                      <w:lang w:eastAsia="en-GB"/>
                    </w:rPr>
                    <w:t>N/A</w:t>
                  </w:r>
                </w:p>
              </w:tc>
              <w:tc>
                <w:tcPr>
                  <w:tcW w:w="2576" w:type="dxa"/>
                  <w:vAlign w:val="center"/>
                </w:tcPr>
                <w:p w14:paraId="735872A4" w14:textId="77777777" w:rsidR="00A06E01" w:rsidRPr="00140812" w:rsidRDefault="00A06E01" w:rsidP="00A06E01">
                  <w:pPr>
                    <w:jc w:val="center"/>
                  </w:pPr>
                  <w:r w:rsidRPr="00140812">
                    <w:rPr>
                      <w:rFonts w:cs="Arial"/>
                      <w:bCs/>
                      <w:lang w:eastAsia="en-GB"/>
                    </w:rPr>
                    <w:t>£1,229.00</w:t>
                  </w:r>
                </w:p>
              </w:tc>
            </w:tr>
            <w:tr w:rsidR="00A06E01" w14:paraId="523DDC3F" w14:textId="77777777" w:rsidTr="00A06E01">
              <w:trPr>
                <w:trHeight w:val="649"/>
              </w:trPr>
              <w:tc>
                <w:tcPr>
                  <w:tcW w:w="4390" w:type="dxa"/>
                  <w:vAlign w:val="center"/>
                </w:tcPr>
                <w:p w14:paraId="7372F3AD" w14:textId="77777777" w:rsidR="00A06E01" w:rsidRPr="00140812" w:rsidRDefault="00A06E01" w:rsidP="00A06E01">
                  <w:pPr>
                    <w:rPr>
                      <w:rFonts w:cs="Arial"/>
                      <w:bCs/>
                      <w:color w:val="000000"/>
                      <w:lang w:eastAsia="en-GB"/>
                    </w:rPr>
                  </w:pPr>
                  <w:r w:rsidRPr="00140812">
                    <w:rPr>
                      <w:rFonts w:cs="Arial"/>
                      <w:bCs/>
                      <w:color w:val="000000"/>
                      <w:lang w:eastAsia="en-GB"/>
                    </w:rPr>
                    <w:t>Level 5 - Parent and Child Assessment</w:t>
                  </w:r>
                </w:p>
              </w:tc>
              <w:tc>
                <w:tcPr>
                  <w:tcW w:w="2268" w:type="dxa"/>
                  <w:vAlign w:val="center"/>
                </w:tcPr>
                <w:p w14:paraId="1BFB37E0" w14:textId="77777777" w:rsidR="00A06E01" w:rsidRPr="00140812" w:rsidRDefault="00A06E01" w:rsidP="00A06E01">
                  <w:pPr>
                    <w:jc w:val="center"/>
                  </w:pPr>
                  <w:r w:rsidRPr="00140812">
                    <w:rPr>
                      <w:rFonts w:cs="Arial"/>
                      <w:bCs/>
                      <w:color w:val="000000"/>
                      <w:lang w:eastAsia="en-GB"/>
                    </w:rPr>
                    <w:t>N/A</w:t>
                  </w:r>
                </w:p>
              </w:tc>
              <w:tc>
                <w:tcPr>
                  <w:tcW w:w="2576" w:type="dxa"/>
                  <w:vAlign w:val="center"/>
                </w:tcPr>
                <w:p w14:paraId="0F9B41F4" w14:textId="77777777" w:rsidR="00A06E01" w:rsidRPr="00140812" w:rsidRDefault="00A06E01" w:rsidP="00A06E01">
                  <w:pPr>
                    <w:jc w:val="center"/>
                  </w:pPr>
                  <w:r w:rsidRPr="00140812">
                    <w:rPr>
                      <w:rFonts w:cs="Arial"/>
                      <w:bCs/>
                      <w:lang w:eastAsia="en-GB"/>
                    </w:rPr>
                    <w:t>£1,536.00</w:t>
                  </w:r>
                </w:p>
              </w:tc>
            </w:tr>
            <w:tr w:rsidR="00A06E01" w14:paraId="7E557B34" w14:textId="77777777" w:rsidTr="00A06E01">
              <w:trPr>
                <w:trHeight w:val="649"/>
              </w:trPr>
              <w:tc>
                <w:tcPr>
                  <w:tcW w:w="4390" w:type="dxa"/>
                  <w:vAlign w:val="center"/>
                </w:tcPr>
                <w:p w14:paraId="2A3735FA" w14:textId="77777777" w:rsidR="00A06E01" w:rsidRPr="00140812" w:rsidRDefault="00A06E01" w:rsidP="00A06E01">
                  <w:pPr>
                    <w:rPr>
                      <w:rFonts w:cs="Arial"/>
                      <w:bCs/>
                      <w:color w:val="000000"/>
                      <w:lang w:eastAsia="en-GB"/>
                    </w:rPr>
                  </w:pPr>
                  <w:r w:rsidRPr="00140812">
                    <w:rPr>
                      <w:rFonts w:cs="Arial"/>
                      <w:bCs/>
                      <w:lang w:eastAsia="en-GB"/>
                    </w:rPr>
                    <w:t>Level 6 - Staying Put</w:t>
                  </w:r>
                </w:p>
              </w:tc>
              <w:tc>
                <w:tcPr>
                  <w:tcW w:w="2268" w:type="dxa"/>
                  <w:vAlign w:val="center"/>
                </w:tcPr>
                <w:p w14:paraId="231E908A" w14:textId="77777777" w:rsidR="00A06E01" w:rsidRPr="00140812" w:rsidRDefault="00A06E01" w:rsidP="00A06E01">
                  <w:pPr>
                    <w:jc w:val="center"/>
                  </w:pPr>
                  <w:r w:rsidRPr="00140812">
                    <w:rPr>
                      <w:rFonts w:cs="Arial"/>
                      <w:bCs/>
                      <w:lang w:eastAsia="en-GB"/>
                    </w:rPr>
                    <w:t>N/A</w:t>
                  </w:r>
                </w:p>
              </w:tc>
              <w:tc>
                <w:tcPr>
                  <w:tcW w:w="2576" w:type="dxa"/>
                  <w:vAlign w:val="center"/>
                </w:tcPr>
                <w:p w14:paraId="669BB401" w14:textId="77777777" w:rsidR="00A06E01" w:rsidRPr="00140812" w:rsidRDefault="00A06E01" w:rsidP="00A06E01">
                  <w:pPr>
                    <w:jc w:val="center"/>
                  </w:pPr>
                  <w:r w:rsidRPr="00140812">
                    <w:rPr>
                      <w:rFonts w:cs="Arial"/>
                      <w:bCs/>
                      <w:lang w:eastAsia="en-GB"/>
                    </w:rPr>
                    <w:t>£348.00</w:t>
                  </w:r>
                </w:p>
              </w:tc>
            </w:tr>
          </w:tbl>
          <w:p w14:paraId="306468DC" w14:textId="77777777" w:rsidR="00A06E01" w:rsidRDefault="00A06E01" w:rsidP="00CF732D">
            <w:pPr>
              <w:rPr>
                <w:szCs w:val="28"/>
              </w:rPr>
            </w:pPr>
          </w:p>
          <w:p w14:paraId="17179A37" w14:textId="77777777" w:rsidR="00A06E01" w:rsidRDefault="00A06E01" w:rsidP="00CF732D">
            <w:pPr>
              <w:rPr>
                <w:szCs w:val="28"/>
              </w:rPr>
            </w:pPr>
          </w:p>
          <w:p w14:paraId="6F1ED1B0" w14:textId="77777777" w:rsidR="00F92BBF" w:rsidRDefault="00F92BBF" w:rsidP="00CF732D">
            <w:pPr>
              <w:rPr>
                <w:szCs w:val="28"/>
              </w:rPr>
            </w:pPr>
          </w:p>
          <w:p w14:paraId="7F83DEBB" w14:textId="14B7ED7F" w:rsidR="001C4CF9" w:rsidRPr="00A06E01" w:rsidRDefault="001C4CF9" w:rsidP="00CF732D">
            <w:pPr>
              <w:rPr>
                <w:szCs w:val="28"/>
              </w:rPr>
            </w:pPr>
            <w:r w:rsidRPr="00A06E01">
              <w:rPr>
                <w:szCs w:val="28"/>
              </w:rPr>
              <w:t>The proposed rates reflect a 2.4% increase on current NE7 prices.</w:t>
            </w:r>
          </w:p>
          <w:p w14:paraId="0104B954" w14:textId="77777777" w:rsidR="006D6BE5" w:rsidRDefault="006D6BE5" w:rsidP="006D6BE5">
            <w:pPr>
              <w:rPr>
                <w:szCs w:val="28"/>
              </w:rPr>
            </w:pPr>
          </w:p>
          <w:p w14:paraId="2D4675B4" w14:textId="77777777" w:rsidR="006D6BE5" w:rsidRPr="00140812" w:rsidRDefault="005D29F4" w:rsidP="006D6BE5">
            <w:pPr>
              <w:rPr>
                <w:b/>
                <w:szCs w:val="28"/>
              </w:rPr>
            </w:pPr>
            <w:r>
              <w:rPr>
                <w:b/>
                <w:szCs w:val="28"/>
              </w:rPr>
              <w:t>Participating Authorities will only be able to agree to t</w:t>
            </w:r>
            <w:r w:rsidR="00140812" w:rsidRPr="00140812">
              <w:rPr>
                <w:b/>
                <w:szCs w:val="28"/>
              </w:rPr>
              <w:t xml:space="preserve">he Financial Model proposed in Table 2 </w:t>
            </w:r>
            <w:r>
              <w:rPr>
                <w:b/>
                <w:szCs w:val="28"/>
              </w:rPr>
              <w:t>if</w:t>
            </w:r>
            <w:r w:rsidR="00315398">
              <w:rPr>
                <w:b/>
                <w:szCs w:val="28"/>
              </w:rPr>
              <w:t xml:space="preserve"> </w:t>
            </w:r>
            <w:r w:rsidR="00140812" w:rsidRPr="00140812">
              <w:rPr>
                <w:b/>
                <w:szCs w:val="28"/>
              </w:rPr>
              <w:t xml:space="preserve">the level of return from IFAs </w:t>
            </w:r>
            <w:proofErr w:type="gramStart"/>
            <w:r w:rsidR="00140812" w:rsidRPr="00140812">
              <w:rPr>
                <w:b/>
                <w:szCs w:val="28"/>
              </w:rPr>
              <w:t>is considered to be</w:t>
            </w:r>
            <w:proofErr w:type="gramEnd"/>
            <w:r w:rsidR="00140812" w:rsidRPr="00140812">
              <w:rPr>
                <w:b/>
                <w:szCs w:val="28"/>
              </w:rPr>
              <w:t xml:space="preserve"> significant and </w:t>
            </w:r>
            <w:r>
              <w:rPr>
                <w:b/>
                <w:szCs w:val="28"/>
              </w:rPr>
              <w:t>representative</w:t>
            </w:r>
            <w:r w:rsidR="00140812" w:rsidRPr="00140812">
              <w:rPr>
                <w:b/>
                <w:szCs w:val="28"/>
              </w:rPr>
              <w:t xml:space="preserve"> of the market</w:t>
            </w:r>
            <w:r>
              <w:rPr>
                <w:b/>
                <w:szCs w:val="28"/>
              </w:rPr>
              <w:t xml:space="preserve"> as a whole</w:t>
            </w:r>
            <w:r w:rsidR="00140812" w:rsidRPr="00140812">
              <w:rPr>
                <w:b/>
                <w:szCs w:val="28"/>
              </w:rPr>
              <w:t>.</w:t>
            </w:r>
          </w:p>
          <w:p w14:paraId="031E37FD" w14:textId="77777777" w:rsidR="003170F2" w:rsidRDefault="003170F2" w:rsidP="00CF732D">
            <w:pPr>
              <w:rPr>
                <w:b/>
                <w:sz w:val="28"/>
                <w:szCs w:val="28"/>
              </w:rPr>
            </w:pPr>
          </w:p>
          <w:p w14:paraId="3956895D" w14:textId="77777777" w:rsidR="00A06E01" w:rsidRDefault="00A06E01" w:rsidP="00CF732D">
            <w:pPr>
              <w:rPr>
                <w:b/>
                <w:sz w:val="28"/>
                <w:szCs w:val="28"/>
              </w:rPr>
            </w:pPr>
          </w:p>
          <w:p w14:paraId="47E08992" w14:textId="77777777" w:rsidR="00A52224" w:rsidRDefault="00ED6598" w:rsidP="00CF732D">
            <w:pPr>
              <w:rPr>
                <w:b/>
                <w:sz w:val="28"/>
                <w:szCs w:val="28"/>
              </w:rPr>
            </w:pPr>
            <w:r>
              <w:rPr>
                <w:b/>
                <w:sz w:val="28"/>
                <w:szCs w:val="28"/>
              </w:rPr>
              <w:t>Solo Placements</w:t>
            </w:r>
          </w:p>
          <w:p w14:paraId="0C0A717F" w14:textId="77777777" w:rsidR="00ED6598" w:rsidRDefault="00ED6598" w:rsidP="00CF732D">
            <w:pPr>
              <w:rPr>
                <w:b/>
                <w:sz w:val="28"/>
                <w:szCs w:val="28"/>
              </w:rPr>
            </w:pPr>
          </w:p>
          <w:p w14:paraId="07B0C53F" w14:textId="77777777" w:rsidR="00ED6598" w:rsidRDefault="00ED6598" w:rsidP="00140812">
            <w:pPr>
              <w:autoSpaceDE w:val="0"/>
              <w:autoSpaceDN w:val="0"/>
              <w:adjustRightInd w:val="0"/>
              <w:rPr>
                <w:rFonts w:cs="Arial"/>
              </w:rPr>
            </w:pPr>
            <w:r w:rsidRPr="00E152DB">
              <w:rPr>
                <w:rFonts w:cs="Arial"/>
              </w:rPr>
              <w:t xml:space="preserve">Where a Solo Placement is made with a </w:t>
            </w:r>
            <w:r w:rsidR="00140812">
              <w:rPr>
                <w:rFonts w:cs="Arial"/>
              </w:rPr>
              <w:t>C</w:t>
            </w:r>
            <w:r w:rsidRPr="00E152DB">
              <w:rPr>
                <w:rFonts w:cs="Arial"/>
              </w:rPr>
              <w:t xml:space="preserve">arer who is approved for more than one placement the cost of the placement will be based on the following formula in consideration that a ‘bed blocking’ situation may </w:t>
            </w:r>
            <w:r>
              <w:rPr>
                <w:rFonts w:cs="Arial"/>
              </w:rPr>
              <w:t>occur</w:t>
            </w:r>
            <w:r w:rsidRPr="00E152DB">
              <w:rPr>
                <w:rFonts w:cs="Arial"/>
              </w:rPr>
              <w:t>:</w:t>
            </w:r>
          </w:p>
          <w:p w14:paraId="238BA687" w14:textId="77777777" w:rsidR="00ED6598" w:rsidRPr="00E152DB" w:rsidRDefault="00ED6598" w:rsidP="00ED6598">
            <w:pPr>
              <w:autoSpaceDE w:val="0"/>
              <w:autoSpaceDN w:val="0"/>
              <w:adjustRightInd w:val="0"/>
              <w:ind w:left="426" w:hanging="426"/>
              <w:rPr>
                <w:rFonts w:cs="Arial"/>
              </w:rPr>
            </w:pPr>
          </w:p>
          <w:p w14:paraId="3F805C10" w14:textId="77777777" w:rsidR="00ED6598" w:rsidRPr="00140812" w:rsidRDefault="00ED6598" w:rsidP="00140812">
            <w:pPr>
              <w:pStyle w:val="ListParagraph"/>
              <w:numPr>
                <w:ilvl w:val="0"/>
                <w:numId w:val="45"/>
              </w:numPr>
              <w:autoSpaceDE w:val="0"/>
              <w:autoSpaceDN w:val="0"/>
              <w:adjustRightInd w:val="0"/>
              <w:rPr>
                <w:rFonts w:cs="Arial"/>
              </w:rPr>
            </w:pPr>
            <w:r w:rsidRPr="00140812">
              <w:rPr>
                <w:rFonts w:cs="Arial"/>
              </w:rPr>
              <w:t>1 x pricing level that reflects the assessed needs of the child / young person</w:t>
            </w:r>
          </w:p>
          <w:p w14:paraId="3A58B58B" w14:textId="77777777" w:rsidR="00ED6598" w:rsidRPr="00E152DB" w:rsidRDefault="00ED6598" w:rsidP="00ED6598">
            <w:pPr>
              <w:autoSpaceDE w:val="0"/>
              <w:autoSpaceDN w:val="0"/>
              <w:adjustRightInd w:val="0"/>
              <w:ind w:left="993" w:hanging="567"/>
              <w:rPr>
                <w:rFonts w:cs="Arial"/>
              </w:rPr>
            </w:pPr>
          </w:p>
          <w:p w14:paraId="78396644" w14:textId="77777777" w:rsidR="004C14B2" w:rsidRDefault="00315398" w:rsidP="00140812">
            <w:pPr>
              <w:pStyle w:val="ListParagraph"/>
              <w:numPr>
                <w:ilvl w:val="0"/>
                <w:numId w:val="45"/>
              </w:numPr>
              <w:autoSpaceDE w:val="0"/>
              <w:autoSpaceDN w:val="0"/>
              <w:adjustRightInd w:val="0"/>
              <w:rPr>
                <w:rFonts w:cs="Arial"/>
              </w:rPr>
            </w:pPr>
            <w:r w:rsidRPr="00140812">
              <w:rPr>
                <w:rFonts w:cs="Arial"/>
              </w:rPr>
              <w:t>Plus,</w:t>
            </w:r>
            <w:r w:rsidR="00ED6598" w:rsidRPr="00140812">
              <w:rPr>
                <w:rFonts w:cs="Arial"/>
              </w:rPr>
              <w:t xml:space="preserve"> the equivalent of the Foster Carers fee at band Level one for each Void Placement (up to the maximum of two) at the time the Solo Placement is to start. </w:t>
            </w:r>
          </w:p>
          <w:p w14:paraId="4D153790" w14:textId="77777777" w:rsidR="004C14B2" w:rsidRDefault="004C14B2" w:rsidP="004C14B2">
            <w:pPr>
              <w:pStyle w:val="ListParagraph"/>
              <w:autoSpaceDE w:val="0"/>
              <w:autoSpaceDN w:val="0"/>
              <w:adjustRightInd w:val="0"/>
              <w:ind w:left="786"/>
              <w:rPr>
                <w:rFonts w:cs="Arial"/>
              </w:rPr>
            </w:pPr>
          </w:p>
          <w:p w14:paraId="420168B4" w14:textId="77777777" w:rsidR="004C14B2" w:rsidRDefault="00ED6598" w:rsidP="004C14B2">
            <w:pPr>
              <w:pStyle w:val="ListParagraph"/>
              <w:autoSpaceDE w:val="0"/>
              <w:autoSpaceDN w:val="0"/>
              <w:adjustRightInd w:val="0"/>
              <w:ind w:left="0"/>
              <w:rPr>
                <w:rFonts w:cs="Arial"/>
              </w:rPr>
            </w:pPr>
            <w:r w:rsidRPr="00140812">
              <w:rPr>
                <w:rFonts w:cs="Arial"/>
              </w:rPr>
              <w:t>For the avoidance of doubt</w:t>
            </w:r>
            <w:r w:rsidR="004C14B2">
              <w:rPr>
                <w:rFonts w:cs="Arial"/>
              </w:rPr>
              <w:t>:</w:t>
            </w:r>
          </w:p>
          <w:p w14:paraId="4B1A8F9E" w14:textId="77777777" w:rsidR="000B52C7" w:rsidRPr="000B52C7" w:rsidRDefault="00ED6598" w:rsidP="000B52C7">
            <w:pPr>
              <w:pStyle w:val="ListParagraph"/>
              <w:numPr>
                <w:ilvl w:val="0"/>
                <w:numId w:val="35"/>
              </w:numPr>
              <w:autoSpaceDE w:val="0"/>
              <w:autoSpaceDN w:val="0"/>
              <w:adjustRightInd w:val="0"/>
              <w:rPr>
                <w:rFonts w:cs="Arial"/>
              </w:rPr>
            </w:pPr>
            <w:r w:rsidRPr="00140812">
              <w:rPr>
                <w:rFonts w:cs="Arial"/>
              </w:rPr>
              <w:t xml:space="preserve">a Void Placement assumes that each </w:t>
            </w:r>
            <w:r w:rsidR="004C14B2">
              <w:rPr>
                <w:rFonts w:cs="Arial"/>
              </w:rPr>
              <w:t>C</w:t>
            </w:r>
            <w:r w:rsidRPr="00140812">
              <w:rPr>
                <w:rFonts w:cs="Arial"/>
              </w:rPr>
              <w:t>hild /</w:t>
            </w:r>
            <w:r w:rsidR="004C14B2">
              <w:rPr>
                <w:rFonts w:cs="Arial"/>
              </w:rPr>
              <w:t>Y</w:t>
            </w:r>
            <w:r w:rsidRPr="00140812">
              <w:rPr>
                <w:rFonts w:cs="Arial"/>
              </w:rPr>
              <w:t xml:space="preserve">oung </w:t>
            </w:r>
            <w:r w:rsidR="004C14B2">
              <w:rPr>
                <w:rFonts w:cs="Arial"/>
              </w:rPr>
              <w:t>P</w:t>
            </w:r>
            <w:r w:rsidRPr="00140812">
              <w:rPr>
                <w:rFonts w:cs="Arial"/>
              </w:rPr>
              <w:t>erson in placement has their own individual room.  A shared room does not constitute two Void Placements.</w:t>
            </w:r>
            <w:r w:rsidR="004C14B2">
              <w:rPr>
                <w:rFonts w:cs="Arial"/>
              </w:rPr>
              <w:t xml:space="preserve">  The need for a solo placement will be made and requested by the Purchasing </w:t>
            </w:r>
            <w:r w:rsidR="004C14B2">
              <w:rPr>
                <w:rFonts w:cs="Arial"/>
              </w:rPr>
              <w:lastRenderedPageBreak/>
              <w:t xml:space="preserve">Authority and passed on the assessed need of the Child/Young Person as detailed in their </w:t>
            </w:r>
            <w:r w:rsidR="00B07516">
              <w:rPr>
                <w:rFonts w:cs="Arial"/>
              </w:rPr>
              <w:t xml:space="preserve">Care </w:t>
            </w:r>
            <w:r w:rsidR="004C14B2">
              <w:rPr>
                <w:rFonts w:cs="Arial"/>
              </w:rPr>
              <w:t>Plan.</w:t>
            </w:r>
          </w:p>
          <w:p w14:paraId="55046C26" w14:textId="77777777" w:rsidR="00DD7D66" w:rsidRDefault="00DD7D66" w:rsidP="009A0B59">
            <w:pPr>
              <w:autoSpaceDE w:val="0"/>
              <w:autoSpaceDN w:val="0"/>
              <w:adjustRightInd w:val="0"/>
              <w:ind w:left="993" w:hanging="567"/>
              <w:rPr>
                <w:rFonts w:cs="Arial"/>
              </w:rPr>
            </w:pPr>
          </w:p>
          <w:p w14:paraId="25B5E026" w14:textId="77777777" w:rsidR="003170F2" w:rsidRPr="00315398" w:rsidRDefault="000B52C7" w:rsidP="00A06E01">
            <w:pPr>
              <w:autoSpaceDE w:val="0"/>
              <w:autoSpaceDN w:val="0"/>
              <w:adjustRightInd w:val="0"/>
              <w:rPr>
                <w:rFonts w:cs="Arial"/>
                <w:szCs w:val="22"/>
              </w:rPr>
            </w:pPr>
            <w:proofErr w:type="gramStart"/>
            <w:r w:rsidRPr="00315398">
              <w:rPr>
                <w:rFonts w:cs="Arial"/>
                <w:szCs w:val="22"/>
              </w:rPr>
              <w:t>In order to</w:t>
            </w:r>
            <w:proofErr w:type="gramEnd"/>
            <w:r w:rsidRPr="00315398">
              <w:rPr>
                <w:rFonts w:cs="Arial"/>
                <w:szCs w:val="22"/>
              </w:rPr>
              <w:t xml:space="preserve"> calculate the solo placement fee</w:t>
            </w:r>
            <w:r>
              <w:rPr>
                <w:rFonts w:cs="Arial"/>
                <w:szCs w:val="22"/>
              </w:rPr>
              <w:t xml:space="preserve">, Providers </w:t>
            </w:r>
            <w:r w:rsidRPr="00315398">
              <w:rPr>
                <w:rFonts w:cs="Arial"/>
                <w:szCs w:val="22"/>
              </w:rPr>
              <w:t xml:space="preserve">will have to identify how much of the fee is paid directly to the </w:t>
            </w:r>
            <w:r>
              <w:rPr>
                <w:rFonts w:cs="Arial"/>
                <w:szCs w:val="22"/>
              </w:rPr>
              <w:t>F</w:t>
            </w:r>
            <w:r w:rsidRPr="00315398">
              <w:rPr>
                <w:rFonts w:cs="Arial"/>
                <w:szCs w:val="22"/>
              </w:rPr>
              <w:t xml:space="preserve">oster </w:t>
            </w:r>
            <w:r>
              <w:rPr>
                <w:rFonts w:cs="Arial"/>
                <w:szCs w:val="22"/>
              </w:rPr>
              <w:t>C</w:t>
            </w:r>
            <w:r w:rsidRPr="00315398">
              <w:rPr>
                <w:rFonts w:cs="Arial"/>
                <w:szCs w:val="22"/>
              </w:rPr>
              <w:t xml:space="preserve">arer. To ensure that this is accurate, </w:t>
            </w:r>
            <w:r>
              <w:rPr>
                <w:rFonts w:cs="Arial"/>
                <w:szCs w:val="22"/>
              </w:rPr>
              <w:t>P</w:t>
            </w:r>
            <w:r w:rsidRPr="00315398">
              <w:rPr>
                <w:rFonts w:cs="Arial"/>
                <w:szCs w:val="22"/>
              </w:rPr>
              <w:t>roviders</w:t>
            </w:r>
            <w:r>
              <w:rPr>
                <w:rFonts w:cs="Arial"/>
                <w:szCs w:val="22"/>
              </w:rPr>
              <w:t xml:space="preserve"> will be asked to </w:t>
            </w:r>
            <w:r w:rsidR="00A06E01">
              <w:rPr>
                <w:rFonts w:cs="Arial"/>
                <w:szCs w:val="22"/>
              </w:rPr>
              <w:t>submit</w:t>
            </w:r>
            <w:r w:rsidRPr="00315398">
              <w:rPr>
                <w:rFonts w:cs="Arial"/>
                <w:szCs w:val="22"/>
              </w:rPr>
              <w:t xml:space="preserve"> updated information at the start of each financial year</w:t>
            </w:r>
            <w:r>
              <w:rPr>
                <w:rFonts w:cs="Arial"/>
                <w:szCs w:val="22"/>
              </w:rPr>
              <w:t>,</w:t>
            </w:r>
            <w:r w:rsidRPr="00315398">
              <w:rPr>
                <w:rFonts w:cs="Arial"/>
                <w:szCs w:val="22"/>
              </w:rPr>
              <w:t xml:space="preserve"> or as and when the rates paid to </w:t>
            </w:r>
            <w:r>
              <w:rPr>
                <w:rFonts w:cs="Arial"/>
                <w:szCs w:val="22"/>
              </w:rPr>
              <w:t>their F</w:t>
            </w:r>
            <w:r w:rsidRPr="00315398">
              <w:rPr>
                <w:rFonts w:cs="Arial"/>
                <w:szCs w:val="22"/>
              </w:rPr>
              <w:t xml:space="preserve">oster </w:t>
            </w:r>
            <w:r>
              <w:rPr>
                <w:rFonts w:cs="Arial"/>
                <w:szCs w:val="22"/>
              </w:rPr>
              <w:t>C</w:t>
            </w:r>
            <w:r w:rsidRPr="00315398">
              <w:rPr>
                <w:rFonts w:cs="Arial"/>
                <w:szCs w:val="22"/>
              </w:rPr>
              <w:t>arers</w:t>
            </w:r>
            <w:r>
              <w:rPr>
                <w:rFonts w:cs="Arial"/>
                <w:szCs w:val="22"/>
              </w:rPr>
              <w:t xml:space="preserve"> are reviewed.</w:t>
            </w:r>
          </w:p>
          <w:p w14:paraId="4D64CC53" w14:textId="77777777" w:rsidR="000B52C7" w:rsidRDefault="000B52C7" w:rsidP="00315398">
            <w:pPr>
              <w:autoSpaceDE w:val="0"/>
              <w:autoSpaceDN w:val="0"/>
              <w:adjustRightInd w:val="0"/>
              <w:ind w:left="567" w:hanging="567"/>
              <w:rPr>
                <w:rFonts w:cs="Arial"/>
              </w:rPr>
            </w:pPr>
          </w:p>
          <w:p w14:paraId="2EFF60AC" w14:textId="77777777" w:rsidR="009A0B59" w:rsidRDefault="009A0B59" w:rsidP="009A0B59">
            <w:pPr>
              <w:autoSpaceDE w:val="0"/>
              <w:autoSpaceDN w:val="0"/>
              <w:adjustRightInd w:val="0"/>
              <w:ind w:left="567" w:hanging="567"/>
              <w:rPr>
                <w:b/>
                <w:sz w:val="28"/>
                <w:szCs w:val="28"/>
              </w:rPr>
            </w:pPr>
            <w:r>
              <w:rPr>
                <w:b/>
                <w:sz w:val="28"/>
                <w:szCs w:val="28"/>
              </w:rPr>
              <w:t>Discounts</w:t>
            </w:r>
          </w:p>
          <w:p w14:paraId="162C7C21" w14:textId="77777777" w:rsidR="006D6BE5" w:rsidRDefault="006D6BE5" w:rsidP="009A0B59">
            <w:pPr>
              <w:autoSpaceDE w:val="0"/>
              <w:autoSpaceDN w:val="0"/>
              <w:adjustRightInd w:val="0"/>
              <w:ind w:left="567" w:hanging="567"/>
              <w:rPr>
                <w:b/>
                <w:sz w:val="28"/>
                <w:szCs w:val="28"/>
              </w:rPr>
            </w:pPr>
          </w:p>
          <w:p w14:paraId="43A2C911" w14:textId="1AAF3FA0" w:rsidR="009A0B59" w:rsidRPr="00055A98" w:rsidRDefault="003C43C3" w:rsidP="00055A98">
            <w:pPr>
              <w:rPr>
                <w:szCs w:val="28"/>
              </w:rPr>
            </w:pPr>
            <w:r w:rsidRPr="00055A98">
              <w:rPr>
                <w:szCs w:val="28"/>
              </w:rPr>
              <w:t>Providers will be given the opportunity to offer discounts at the Point of Tender</w:t>
            </w:r>
            <w:r w:rsidR="004C14B2">
              <w:rPr>
                <w:szCs w:val="28"/>
              </w:rPr>
              <w:t xml:space="preserve">; for example, discounts for sibling groups or Children/Young People where a </w:t>
            </w:r>
            <w:r w:rsidR="00D208EB">
              <w:rPr>
                <w:szCs w:val="28"/>
              </w:rPr>
              <w:t>permanence plan is agreed</w:t>
            </w:r>
            <w:r w:rsidRPr="00055A98">
              <w:rPr>
                <w:szCs w:val="28"/>
              </w:rPr>
              <w:t>.  Any discounts will be managed at</w:t>
            </w:r>
            <w:r w:rsidR="004C14B2">
              <w:rPr>
                <w:szCs w:val="28"/>
              </w:rPr>
              <w:t xml:space="preserve"> individual Purchasing Authority level.</w:t>
            </w:r>
            <w:r w:rsidRPr="00055A98">
              <w:rPr>
                <w:szCs w:val="28"/>
              </w:rPr>
              <w:t xml:space="preserve">  This will allow those Providers who wish to offer discounts the chance to do so, without disadvantaging those Providers who are unable to or consider it to be an administrative burden.</w:t>
            </w:r>
          </w:p>
          <w:p w14:paraId="57086B2A" w14:textId="77777777" w:rsidR="006D6BE5" w:rsidRPr="00857A97" w:rsidRDefault="006D6BE5" w:rsidP="009A0B59">
            <w:pPr>
              <w:autoSpaceDE w:val="0"/>
              <w:autoSpaceDN w:val="0"/>
              <w:adjustRightInd w:val="0"/>
              <w:ind w:left="993" w:hanging="567"/>
              <w:rPr>
                <w:b/>
                <w:sz w:val="28"/>
                <w:szCs w:val="28"/>
              </w:rPr>
            </w:pPr>
          </w:p>
        </w:tc>
      </w:tr>
      <w:tr w:rsidR="005D2247" w:rsidRPr="00C06484" w14:paraId="5E88E769" w14:textId="77777777" w:rsidTr="00E03ABE">
        <w:tc>
          <w:tcPr>
            <w:tcW w:w="839" w:type="dxa"/>
          </w:tcPr>
          <w:p w14:paraId="2AFB5ACC" w14:textId="77777777" w:rsidR="005D2247" w:rsidRPr="00857A97" w:rsidRDefault="001A7C2A" w:rsidP="005D2247">
            <w:pPr>
              <w:rPr>
                <w:b/>
                <w:sz w:val="28"/>
                <w:szCs w:val="28"/>
              </w:rPr>
            </w:pPr>
            <w:r>
              <w:rPr>
                <w:b/>
                <w:sz w:val="28"/>
                <w:szCs w:val="28"/>
              </w:rPr>
              <w:lastRenderedPageBreak/>
              <w:t>6</w:t>
            </w:r>
            <w:r w:rsidR="00681254" w:rsidRPr="00857A97">
              <w:rPr>
                <w:b/>
                <w:sz w:val="28"/>
                <w:szCs w:val="28"/>
              </w:rPr>
              <w:t>.</w:t>
            </w:r>
          </w:p>
        </w:tc>
        <w:tc>
          <w:tcPr>
            <w:tcW w:w="9793" w:type="dxa"/>
          </w:tcPr>
          <w:p w14:paraId="07D7132A" w14:textId="77777777" w:rsidR="005D2247" w:rsidRPr="00857A97" w:rsidRDefault="005D2247" w:rsidP="005D2247">
            <w:pPr>
              <w:rPr>
                <w:b/>
                <w:sz w:val="28"/>
                <w:szCs w:val="28"/>
              </w:rPr>
            </w:pPr>
            <w:r w:rsidRPr="00857A97">
              <w:rPr>
                <w:b/>
                <w:sz w:val="28"/>
                <w:szCs w:val="28"/>
              </w:rPr>
              <w:t>Changes to previous draft commissioning model</w:t>
            </w:r>
            <w:r w:rsidR="00B46A4F" w:rsidRPr="00857A97">
              <w:rPr>
                <w:b/>
                <w:sz w:val="28"/>
                <w:szCs w:val="28"/>
              </w:rPr>
              <w:t>s</w:t>
            </w:r>
            <w:r w:rsidRPr="00857A97">
              <w:rPr>
                <w:b/>
                <w:sz w:val="28"/>
                <w:szCs w:val="28"/>
              </w:rPr>
              <w:t xml:space="preserve"> </w:t>
            </w:r>
          </w:p>
          <w:p w14:paraId="6106D792" w14:textId="77777777" w:rsidR="00857A97" w:rsidRPr="00857A97" w:rsidRDefault="00857A97" w:rsidP="005D2247">
            <w:pPr>
              <w:rPr>
                <w:b/>
                <w:sz w:val="28"/>
                <w:szCs w:val="28"/>
              </w:rPr>
            </w:pPr>
          </w:p>
        </w:tc>
      </w:tr>
      <w:tr w:rsidR="00131D7A" w:rsidRPr="00C06484" w14:paraId="354CDC68" w14:textId="77777777" w:rsidTr="00E03ABE">
        <w:tc>
          <w:tcPr>
            <w:tcW w:w="839" w:type="dxa"/>
          </w:tcPr>
          <w:p w14:paraId="45228C26" w14:textId="77777777" w:rsidR="00131D7A" w:rsidRPr="00857A97" w:rsidRDefault="00131D7A" w:rsidP="005D2247">
            <w:pPr>
              <w:rPr>
                <w:b/>
                <w:sz w:val="28"/>
                <w:szCs w:val="28"/>
              </w:rPr>
            </w:pPr>
          </w:p>
        </w:tc>
        <w:tc>
          <w:tcPr>
            <w:tcW w:w="9793" w:type="dxa"/>
          </w:tcPr>
          <w:p w14:paraId="596761F3" w14:textId="77777777" w:rsidR="00131D7A" w:rsidRDefault="00131D7A" w:rsidP="005D2247">
            <w:pPr>
              <w:rPr>
                <w:b/>
                <w:sz w:val="28"/>
                <w:szCs w:val="28"/>
              </w:rPr>
            </w:pPr>
          </w:p>
          <w:p w14:paraId="6E258071" w14:textId="77777777" w:rsidR="00131D7A" w:rsidRDefault="00131D7A" w:rsidP="005D2247">
            <w:pPr>
              <w:rPr>
                <w:szCs w:val="28"/>
              </w:rPr>
            </w:pPr>
            <w:r w:rsidRPr="005B2B54">
              <w:rPr>
                <w:szCs w:val="28"/>
              </w:rPr>
              <w:t>Consultation has taken place with Providers on the</w:t>
            </w:r>
            <w:r w:rsidR="005F37CF">
              <w:rPr>
                <w:szCs w:val="28"/>
              </w:rPr>
              <w:t xml:space="preserve"> initial</w:t>
            </w:r>
            <w:r w:rsidRPr="005B2B54">
              <w:rPr>
                <w:szCs w:val="28"/>
              </w:rPr>
              <w:t xml:space="preserve"> proposed Lotting Structure and Financial Model</w:t>
            </w:r>
            <w:r w:rsidR="005F37CF">
              <w:rPr>
                <w:szCs w:val="28"/>
              </w:rPr>
              <w:t xml:space="preserve"> over the last 12 months.</w:t>
            </w:r>
          </w:p>
          <w:p w14:paraId="2FBD4EBC" w14:textId="77777777" w:rsidR="00573B00" w:rsidRDefault="00573B00" w:rsidP="005D2247">
            <w:pPr>
              <w:rPr>
                <w:szCs w:val="28"/>
              </w:rPr>
            </w:pPr>
          </w:p>
          <w:p w14:paraId="0C825A7E" w14:textId="77777777" w:rsidR="00573B00" w:rsidRPr="00573B00" w:rsidRDefault="00573B00" w:rsidP="005D2247">
            <w:pPr>
              <w:rPr>
                <w:b/>
                <w:szCs w:val="28"/>
              </w:rPr>
            </w:pPr>
            <w:r w:rsidRPr="00573B00">
              <w:rPr>
                <w:b/>
                <w:szCs w:val="28"/>
              </w:rPr>
              <w:t>Lotting Structure and Service Requirements</w:t>
            </w:r>
          </w:p>
          <w:p w14:paraId="7FD63F3A" w14:textId="77777777" w:rsidR="00131D7A" w:rsidRDefault="00131D7A" w:rsidP="005D2247">
            <w:pPr>
              <w:rPr>
                <w:b/>
                <w:sz w:val="28"/>
                <w:szCs w:val="28"/>
              </w:rPr>
            </w:pPr>
          </w:p>
          <w:p w14:paraId="5944A1C2" w14:textId="77777777" w:rsidR="005B2B54" w:rsidRDefault="005B2B54" w:rsidP="00573B00">
            <w:pPr>
              <w:pStyle w:val="ListParagraph"/>
              <w:numPr>
                <w:ilvl w:val="0"/>
                <w:numId w:val="33"/>
              </w:numPr>
              <w:rPr>
                <w:szCs w:val="28"/>
              </w:rPr>
            </w:pPr>
            <w:r>
              <w:rPr>
                <w:szCs w:val="28"/>
              </w:rPr>
              <w:t xml:space="preserve">Providers have identified that the current NE7 structure is clear and understood by all parties, and the flexibility of moving between levels of need is positive.  Based on this feedback, </w:t>
            </w:r>
            <w:r w:rsidR="00947598">
              <w:rPr>
                <w:szCs w:val="28"/>
              </w:rPr>
              <w:t>the proposed Lotting Structure and Specification has been bas</w:t>
            </w:r>
            <w:r w:rsidR="00D62A24">
              <w:rPr>
                <w:szCs w:val="28"/>
              </w:rPr>
              <w:t>ed on the current NE7 model.</w:t>
            </w:r>
          </w:p>
          <w:p w14:paraId="38FE7BE6" w14:textId="77777777" w:rsidR="00687A62" w:rsidRDefault="00687A62" w:rsidP="00687A62">
            <w:pPr>
              <w:rPr>
                <w:szCs w:val="28"/>
              </w:rPr>
            </w:pPr>
          </w:p>
          <w:p w14:paraId="15E3FA07" w14:textId="77777777" w:rsidR="00687A62" w:rsidRDefault="005F37CF" w:rsidP="00573B00">
            <w:pPr>
              <w:widowControl w:val="0"/>
              <w:numPr>
                <w:ilvl w:val="0"/>
                <w:numId w:val="33"/>
              </w:numPr>
              <w:pBdr>
                <w:top w:val="nil"/>
                <w:left w:val="nil"/>
                <w:bottom w:val="nil"/>
                <w:right w:val="nil"/>
                <w:between w:val="nil"/>
              </w:pBdr>
              <w:rPr>
                <w:rFonts w:cs="Arial"/>
                <w:lang w:val="en-ZA"/>
              </w:rPr>
            </w:pPr>
            <w:r>
              <w:rPr>
                <w:rFonts w:cs="Arial"/>
                <w:lang w:val="en-ZA"/>
              </w:rPr>
              <w:t xml:space="preserve">It was proposed during Provider Events </w:t>
            </w:r>
            <w:r w:rsidR="00573B00">
              <w:rPr>
                <w:rFonts w:cs="Arial"/>
                <w:lang w:val="en-ZA"/>
              </w:rPr>
              <w:t xml:space="preserve">held on </w:t>
            </w:r>
            <w:r w:rsidR="00B342FD">
              <w:rPr>
                <w:rFonts w:cs="Arial"/>
                <w:lang w:val="en-ZA"/>
              </w:rPr>
              <w:t>17 May 2018 and 14</w:t>
            </w:r>
            <w:r w:rsidR="00573B00">
              <w:rPr>
                <w:rFonts w:cs="Arial"/>
                <w:lang w:val="en-ZA"/>
              </w:rPr>
              <w:t xml:space="preserve"> June </w:t>
            </w:r>
            <w:r w:rsidR="00B342FD">
              <w:rPr>
                <w:rFonts w:cs="Arial"/>
                <w:lang w:val="en-ZA"/>
              </w:rPr>
              <w:t xml:space="preserve">2018 </w:t>
            </w:r>
            <w:r>
              <w:rPr>
                <w:rFonts w:cs="Arial"/>
                <w:lang w:val="en-ZA"/>
              </w:rPr>
              <w:t>that a Step Up/Step Down level be included within the structure.</w:t>
            </w:r>
          </w:p>
          <w:p w14:paraId="65FB9F5B" w14:textId="77777777" w:rsidR="005F37CF" w:rsidRDefault="005F37CF" w:rsidP="005F37CF">
            <w:pPr>
              <w:widowControl w:val="0"/>
              <w:pBdr>
                <w:top w:val="nil"/>
                <w:left w:val="nil"/>
                <w:bottom w:val="nil"/>
                <w:right w:val="nil"/>
                <w:between w:val="nil"/>
              </w:pBdr>
              <w:ind w:left="720"/>
              <w:rPr>
                <w:rFonts w:cs="Arial"/>
                <w:lang w:val="en-ZA"/>
              </w:rPr>
            </w:pPr>
          </w:p>
          <w:p w14:paraId="011D4479" w14:textId="77777777" w:rsidR="003C43C3" w:rsidRDefault="003C43C3" w:rsidP="005F37CF">
            <w:pPr>
              <w:widowControl w:val="0"/>
              <w:pBdr>
                <w:top w:val="nil"/>
                <w:left w:val="nil"/>
                <w:bottom w:val="nil"/>
                <w:right w:val="nil"/>
                <w:between w:val="nil"/>
              </w:pBdr>
              <w:ind w:left="720"/>
              <w:rPr>
                <w:rFonts w:cs="Arial"/>
                <w:lang w:val="en-ZA"/>
              </w:rPr>
            </w:pPr>
            <w:r w:rsidRPr="005F37CF">
              <w:rPr>
                <w:rFonts w:cs="Arial"/>
                <w:lang w:val="en-ZA"/>
              </w:rPr>
              <w:t>Feedback on the proposed Step Up/Down level suggested that:</w:t>
            </w:r>
          </w:p>
          <w:p w14:paraId="5AD88456" w14:textId="77777777" w:rsidR="005F37CF" w:rsidRPr="005F37CF" w:rsidRDefault="005F37CF" w:rsidP="005F37CF">
            <w:pPr>
              <w:widowControl w:val="0"/>
              <w:pBdr>
                <w:top w:val="nil"/>
                <w:left w:val="nil"/>
                <w:bottom w:val="nil"/>
                <w:right w:val="nil"/>
                <w:between w:val="nil"/>
              </w:pBdr>
              <w:ind w:left="720"/>
              <w:rPr>
                <w:rFonts w:cs="Arial"/>
                <w:lang w:val="en-ZA"/>
              </w:rPr>
            </w:pPr>
          </w:p>
          <w:p w14:paraId="3F59C1CB" w14:textId="77777777" w:rsidR="00A2221A" w:rsidRPr="003C43C3" w:rsidRDefault="003C43C3" w:rsidP="00573B00">
            <w:pPr>
              <w:pStyle w:val="ListParagraph"/>
              <w:widowControl w:val="0"/>
              <w:numPr>
                <w:ilvl w:val="1"/>
                <w:numId w:val="33"/>
              </w:numPr>
              <w:pBdr>
                <w:top w:val="nil"/>
                <w:left w:val="nil"/>
                <w:bottom w:val="nil"/>
                <w:right w:val="nil"/>
                <w:between w:val="nil"/>
              </w:pBdr>
              <w:rPr>
                <w:rFonts w:cs="Arial"/>
              </w:rPr>
            </w:pPr>
            <w:r>
              <w:rPr>
                <w:rFonts w:cs="Arial"/>
                <w:lang w:val="en-ZA"/>
              </w:rPr>
              <w:t xml:space="preserve">Step Up was difficult to define and the </w:t>
            </w:r>
            <w:r w:rsidRPr="003C43C3">
              <w:rPr>
                <w:rFonts w:cs="Arial"/>
              </w:rPr>
              <w:t xml:space="preserve">expected additionality between Level 3 placements and ‘Step Up’ placements </w:t>
            </w:r>
            <w:r>
              <w:rPr>
                <w:rFonts w:cs="Arial"/>
              </w:rPr>
              <w:t>wa</w:t>
            </w:r>
            <w:r w:rsidRPr="003C43C3">
              <w:rPr>
                <w:rFonts w:cs="Arial"/>
              </w:rPr>
              <w:t>s unclear</w:t>
            </w:r>
            <w:r>
              <w:rPr>
                <w:rFonts w:cs="Arial"/>
              </w:rPr>
              <w:t>;</w:t>
            </w:r>
          </w:p>
          <w:p w14:paraId="716C52EC" w14:textId="77777777" w:rsidR="003C43C3" w:rsidRPr="003C43C3" w:rsidRDefault="003C43C3" w:rsidP="00573B00">
            <w:pPr>
              <w:pStyle w:val="ListParagraph"/>
              <w:widowControl w:val="0"/>
              <w:numPr>
                <w:ilvl w:val="1"/>
                <w:numId w:val="33"/>
              </w:numPr>
              <w:pBdr>
                <w:top w:val="nil"/>
                <w:left w:val="nil"/>
                <w:bottom w:val="nil"/>
                <w:right w:val="nil"/>
                <w:between w:val="nil"/>
              </w:pBdr>
              <w:rPr>
                <w:rFonts w:cs="Arial"/>
                <w:lang w:val="en-ZA"/>
              </w:rPr>
            </w:pPr>
            <w:r w:rsidRPr="003C43C3">
              <w:rPr>
                <w:rFonts w:cs="Arial"/>
              </w:rPr>
              <w:t>Step Down placements would require very careful planning, and experienced carers to manage the transition</w:t>
            </w:r>
            <w:r>
              <w:rPr>
                <w:rFonts w:cs="Arial"/>
              </w:rPr>
              <w:t>;</w:t>
            </w:r>
          </w:p>
          <w:p w14:paraId="63B62131" w14:textId="77777777" w:rsidR="00A2221A" w:rsidRDefault="003C43C3" w:rsidP="00573B00">
            <w:pPr>
              <w:pStyle w:val="ListParagraph"/>
              <w:widowControl w:val="0"/>
              <w:numPr>
                <w:ilvl w:val="1"/>
                <w:numId w:val="33"/>
              </w:numPr>
              <w:pBdr>
                <w:top w:val="nil"/>
                <w:left w:val="nil"/>
                <w:bottom w:val="nil"/>
                <w:right w:val="nil"/>
                <w:between w:val="nil"/>
              </w:pBdr>
              <w:rPr>
                <w:rFonts w:cs="Arial"/>
              </w:rPr>
            </w:pPr>
            <w:r>
              <w:rPr>
                <w:rFonts w:cs="Arial"/>
              </w:rPr>
              <w:t xml:space="preserve">there was </w:t>
            </w:r>
            <w:r w:rsidRPr="003C43C3">
              <w:rPr>
                <w:rFonts w:cs="Arial"/>
              </w:rPr>
              <w:t>concern about</w:t>
            </w:r>
            <w:r>
              <w:rPr>
                <w:rFonts w:cs="Arial"/>
              </w:rPr>
              <w:t xml:space="preserve"> a</w:t>
            </w:r>
            <w:r w:rsidRPr="003C43C3">
              <w:rPr>
                <w:rFonts w:cs="Arial"/>
              </w:rPr>
              <w:t xml:space="preserve"> lack of capacity to provide both Step Up/Step Down placements, as Providers are already stretched, and the feedback was that packages should be bespoke, rather than labelled as Step Up/Down.</w:t>
            </w:r>
          </w:p>
          <w:p w14:paraId="5D243F92" w14:textId="77777777" w:rsidR="003C43C3" w:rsidRDefault="003C43C3" w:rsidP="003C43C3">
            <w:pPr>
              <w:widowControl w:val="0"/>
              <w:pBdr>
                <w:top w:val="nil"/>
                <w:left w:val="nil"/>
                <w:bottom w:val="nil"/>
                <w:right w:val="nil"/>
                <w:between w:val="nil"/>
              </w:pBdr>
              <w:rPr>
                <w:rFonts w:cs="Arial"/>
              </w:rPr>
            </w:pPr>
          </w:p>
          <w:p w14:paraId="52A7BE06" w14:textId="77777777" w:rsidR="00A2221A" w:rsidRDefault="003C43C3" w:rsidP="003C43C3">
            <w:pPr>
              <w:widowControl w:val="0"/>
              <w:pBdr>
                <w:top w:val="nil"/>
                <w:left w:val="nil"/>
                <w:bottom w:val="nil"/>
                <w:right w:val="nil"/>
                <w:between w:val="nil"/>
              </w:pBdr>
              <w:ind w:left="720"/>
              <w:rPr>
                <w:rFonts w:cs="Arial"/>
              </w:rPr>
            </w:pPr>
            <w:r>
              <w:rPr>
                <w:rFonts w:cs="Arial"/>
              </w:rPr>
              <w:t xml:space="preserve">On this basis, </w:t>
            </w:r>
            <w:r w:rsidRPr="003C43C3">
              <w:rPr>
                <w:rFonts w:cs="Arial"/>
              </w:rPr>
              <w:t xml:space="preserve">the </w:t>
            </w:r>
            <w:r>
              <w:rPr>
                <w:rFonts w:cs="Arial"/>
              </w:rPr>
              <w:t xml:space="preserve">Participating Authorities </w:t>
            </w:r>
            <w:r w:rsidR="005F37CF">
              <w:rPr>
                <w:rFonts w:cs="Arial"/>
              </w:rPr>
              <w:t>determined that the</w:t>
            </w:r>
            <w:r w:rsidRPr="003C43C3">
              <w:rPr>
                <w:rFonts w:cs="Arial"/>
              </w:rPr>
              <w:t xml:space="preserve"> proposed Step Up/Step Down level</w:t>
            </w:r>
            <w:r w:rsidR="005F37CF">
              <w:rPr>
                <w:rFonts w:cs="Arial"/>
              </w:rPr>
              <w:t xml:space="preserve"> be removed</w:t>
            </w:r>
            <w:r w:rsidR="008A59F1">
              <w:rPr>
                <w:rFonts w:cs="Arial"/>
              </w:rPr>
              <w:t xml:space="preserve"> from the proposed Lotting Structure</w:t>
            </w:r>
            <w:r w:rsidRPr="003C43C3">
              <w:rPr>
                <w:rFonts w:cs="Arial"/>
              </w:rPr>
              <w:t>.</w:t>
            </w:r>
          </w:p>
          <w:p w14:paraId="0831BAEF" w14:textId="4408E19B" w:rsidR="00573B00" w:rsidRDefault="00573B00" w:rsidP="003C43C3">
            <w:pPr>
              <w:widowControl w:val="0"/>
              <w:pBdr>
                <w:top w:val="nil"/>
                <w:left w:val="nil"/>
                <w:bottom w:val="nil"/>
                <w:right w:val="nil"/>
                <w:between w:val="nil"/>
              </w:pBdr>
              <w:ind w:left="720"/>
              <w:rPr>
                <w:rFonts w:cs="Arial"/>
              </w:rPr>
            </w:pPr>
          </w:p>
          <w:p w14:paraId="76DD12A0" w14:textId="3EA25D9F" w:rsidR="004C14B2" w:rsidRDefault="004C14B2" w:rsidP="004C14B2">
            <w:pPr>
              <w:pStyle w:val="ListParagraph"/>
              <w:numPr>
                <w:ilvl w:val="0"/>
                <w:numId w:val="33"/>
              </w:numPr>
              <w:rPr>
                <w:szCs w:val="28"/>
              </w:rPr>
            </w:pPr>
            <w:r w:rsidRPr="009A0B59">
              <w:rPr>
                <w:szCs w:val="28"/>
              </w:rPr>
              <w:t>Respite on the NE7 Framework Agreement is currently 28 days per year for Level 1 and 2 placements and 35 days per year for Level 3.  Under the new Contract,</w:t>
            </w:r>
            <w:r>
              <w:rPr>
                <w:szCs w:val="28"/>
              </w:rPr>
              <w:t xml:space="preserve"> </w:t>
            </w:r>
            <w:r w:rsidR="008A59F1">
              <w:rPr>
                <w:szCs w:val="28"/>
              </w:rPr>
              <w:t xml:space="preserve">taking account of </w:t>
            </w:r>
            <w:r>
              <w:rPr>
                <w:szCs w:val="28"/>
              </w:rPr>
              <w:t>feedback from Providers,</w:t>
            </w:r>
            <w:r w:rsidRPr="009A0B59">
              <w:rPr>
                <w:szCs w:val="28"/>
              </w:rPr>
              <w:t xml:space="preserve"> it is proposed that the number of days respite be reduced to 21 days </w:t>
            </w:r>
            <w:r>
              <w:rPr>
                <w:szCs w:val="28"/>
              </w:rPr>
              <w:t>across</w:t>
            </w:r>
            <w:bookmarkStart w:id="0" w:name="_GoBack"/>
            <w:bookmarkEnd w:id="0"/>
            <w:r>
              <w:rPr>
                <w:szCs w:val="28"/>
              </w:rPr>
              <w:t xml:space="preserve"> Levels</w:t>
            </w:r>
            <w:r w:rsidR="002D6138">
              <w:rPr>
                <w:szCs w:val="28"/>
              </w:rPr>
              <w:t xml:space="preserve"> 1 to 4</w:t>
            </w:r>
            <w:r w:rsidRPr="009A0B59">
              <w:rPr>
                <w:szCs w:val="28"/>
              </w:rPr>
              <w:t xml:space="preserve">.  </w:t>
            </w:r>
          </w:p>
          <w:p w14:paraId="1A207FFC" w14:textId="77777777" w:rsidR="00B342FD" w:rsidRDefault="00B342FD" w:rsidP="00B342FD">
            <w:pPr>
              <w:pStyle w:val="ListParagraph"/>
              <w:rPr>
                <w:szCs w:val="28"/>
              </w:rPr>
            </w:pPr>
          </w:p>
          <w:p w14:paraId="6BDAA3C3" w14:textId="4B2A9B02" w:rsidR="0081458F" w:rsidRPr="0081458F" w:rsidRDefault="0081458F" w:rsidP="0081458F">
            <w:pPr>
              <w:pStyle w:val="ListParagraph"/>
              <w:numPr>
                <w:ilvl w:val="0"/>
                <w:numId w:val="33"/>
              </w:numPr>
              <w:rPr>
                <w:szCs w:val="28"/>
              </w:rPr>
            </w:pPr>
            <w:r w:rsidRPr="0081458F">
              <w:rPr>
                <w:szCs w:val="28"/>
              </w:rPr>
              <w:lastRenderedPageBreak/>
              <w:t>There was discussion dur</w:t>
            </w:r>
            <w:r>
              <w:rPr>
                <w:szCs w:val="28"/>
              </w:rPr>
              <w:t>i</w:t>
            </w:r>
            <w:r w:rsidRPr="0081458F">
              <w:rPr>
                <w:szCs w:val="28"/>
              </w:rPr>
              <w:t>ng consul</w:t>
            </w:r>
            <w:r>
              <w:rPr>
                <w:szCs w:val="28"/>
              </w:rPr>
              <w:t>t</w:t>
            </w:r>
            <w:r w:rsidRPr="0081458F">
              <w:rPr>
                <w:szCs w:val="28"/>
              </w:rPr>
              <w:t>atio</w:t>
            </w:r>
            <w:r>
              <w:rPr>
                <w:szCs w:val="28"/>
              </w:rPr>
              <w:t>n</w:t>
            </w:r>
            <w:r w:rsidRPr="0081458F">
              <w:rPr>
                <w:szCs w:val="28"/>
              </w:rPr>
              <w:t xml:space="preserve"> about transport as t</w:t>
            </w:r>
            <w:r>
              <w:rPr>
                <w:szCs w:val="28"/>
              </w:rPr>
              <w:t>h</w:t>
            </w:r>
            <w:r w:rsidRPr="0081458F">
              <w:rPr>
                <w:szCs w:val="28"/>
              </w:rPr>
              <w:t>ere wer</w:t>
            </w:r>
            <w:r>
              <w:rPr>
                <w:szCs w:val="28"/>
              </w:rPr>
              <w:t>e</w:t>
            </w:r>
            <w:r w:rsidRPr="0081458F">
              <w:rPr>
                <w:szCs w:val="28"/>
              </w:rPr>
              <w:t xml:space="preserve"> two</w:t>
            </w:r>
            <w:r>
              <w:rPr>
                <w:szCs w:val="28"/>
              </w:rPr>
              <w:t xml:space="preserve"> </w:t>
            </w:r>
            <w:r w:rsidR="00B342FD">
              <w:rPr>
                <w:szCs w:val="28"/>
              </w:rPr>
              <w:t>different methodologies on the North and South</w:t>
            </w:r>
            <w:r w:rsidRPr="0081458F">
              <w:rPr>
                <w:szCs w:val="28"/>
              </w:rPr>
              <w:t xml:space="preserve"> solution</w:t>
            </w:r>
            <w:r w:rsidR="00B342FD">
              <w:rPr>
                <w:szCs w:val="28"/>
              </w:rPr>
              <w:t>s</w:t>
            </w:r>
            <w:r w:rsidRPr="0081458F">
              <w:rPr>
                <w:szCs w:val="28"/>
              </w:rPr>
              <w:t>.  However, as we are now consu</w:t>
            </w:r>
            <w:r w:rsidR="00B342FD">
              <w:rPr>
                <w:szCs w:val="28"/>
              </w:rPr>
              <w:t>l</w:t>
            </w:r>
            <w:r w:rsidRPr="0081458F">
              <w:rPr>
                <w:szCs w:val="28"/>
              </w:rPr>
              <w:t xml:space="preserve">ting for the </w:t>
            </w:r>
            <w:r w:rsidR="00B342FD">
              <w:rPr>
                <w:szCs w:val="28"/>
              </w:rPr>
              <w:t>N</w:t>
            </w:r>
            <w:r w:rsidRPr="0081458F">
              <w:rPr>
                <w:szCs w:val="28"/>
              </w:rPr>
              <w:t xml:space="preserve">orth </w:t>
            </w:r>
            <w:r w:rsidR="00B342FD">
              <w:rPr>
                <w:szCs w:val="28"/>
              </w:rPr>
              <w:t>o</w:t>
            </w:r>
            <w:r w:rsidRPr="0081458F">
              <w:rPr>
                <w:szCs w:val="28"/>
              </w:rPr>
              <w:t>nly, there wil</w:t>
            </w:r>
            <w:r w:rsidR="00B342FD">
              <w:rPr>
                <w:szCs w:val="28"/>
              </w:rPr>
              <w:t>l</w:t>
            </w:r>
            <w:r w:rsidRPr="0081458F">
              <w:rPr>
                <w:szCs w:val="28"/>
              </w:rPr>
              <w:t xml:space="preserve"> be no change to </w:t>
            </w:r>
            <w:r w:rsidR="00B342FD">
              <w:rPr>
                <w:szCs w:val="28"/>
              </w:rPr>
              <w:t>the 15</w:t>
            </w:r>
            <w:r w:rsidR="00315398">
              <w:rPr>
                <w:szCs w:val="28"/>
              </w:rPr>
              <w:t>-</w:t>
            </w:r>
            <w:r w:rsidR="00B342FD">
              <w:rPr>
                <w:szCs w:val="28"/>
              </w:rPr>
              <w:t>mile radius within the current Contract</w:t>
            </w:r>
            <w:r w:rsidR="00E461E3">
              <w:rPr>
                <w:szCs w:val="28"/>
              </w:rPr>
              <w:t>, and mileage outside the 15</w:t>
            </w:r>
            <w:r w:rsidR="00A57E67">
              <w:rPr>
                <w:szCs w:val="28"/>
              </w:rPr>
              <w:t>-</w:t>
            </w:r>
            <w:r w:rsidR="00E461E3">
              <w:rPr>
                <w:szCs w:val="28"/>
              </w:rPr>
              <w:t>mile radius will continue to be paid at the Placing Authority’s local rates</w:t>
            </w:r>
            <w:r w:rsidR="00B342FD">
              <w:rPr>
                <w:szCs w:val="28"/>
              </w:rPr>
              <w:t xml:space="preserve">.  </w:t>
            </w:r>
          </w:p>
          <w:p w14:paraId="3DC9590A" w14:textId="77777777" w:rsidR="00573B00" w:rsidRPr="00573B00" w:rsidRDefault="00573B00" w:rsidP="00573B00">
            <w:pPr>
              <w:pStyle w:val="ListParagraph"/>
              <w:widowControl w:val="0"/>
              <w:pBdr>
                <w:top w:val="nil"/>
                <w:left w:val="nil"/>
                <w:bottom w:val="nil"/>
                <w:right w:val="nil"/>
                <w:between w:val="nil"/>
              </w:pBdr>
              <w:rPr>
                <w:rFonts w:cs="Arial"/>
              </w:rPr>
            </w:pPr>
          </w:p>
          <w:p w14:paraId="7069AF5E" w14:textId="77777777" w:rsidR="00315398" w:rsidRDefault="00315398" w:rsidP="00573B00">
            <w:pPr>
              <w:widowControl w:val="0"/>
              <w:pBdr>
                <w:top w:val="nil"/>
                <w:left w:val="nil"/>
                <w:bottom w:val="nil"/>
                <w:right w:val="nil"/>
                <w:between w:val="nil"/>
              </w:pBdr>
              <w:rPr>
                <w:rFonts w:cs="Arial"/>
                <w:b/>
              </w:rPr>
            </w:pPr>
          </w:p>
          <w:p w14:paraId="2179A814" w14:textId="77777777" w:rsidR="00573B00" w:rsidRPr="00573B00" w:rsidRDefault="00573B00" w:rsidP="00573B00">
            <w:pPr>
              <w:widowControl w:val="0"/>
              <w:pBdr>
                <w:top w:val="nil"/>
                <w:left w:val="nil"/>
                <w:bottom w:val="nil"/>
                <w:right w:val="nil"/>
                <w:between w:val="nil"/>
              </w:pBdr>
              <w:rPr>
                <w:rFonts w:cs="Arial"/>
                <w:b/>
              </w:rPr>
            </w:pPr>
            <w:r w:rsidRPr="00573B00">
              <w:rPr>
                <w:rFonts w:cs="Arial"/>
                <w:b/>
              </w:rPr>
              <w:t>Financial Modelling</w:t>
            </w:r>
          </w:p>
          <w:p w14:paraId="5331D5B7" w14:textId="77777777" w:rsidR="003C43C3" w:rsidRPr="003C43C3" w:rsidRDefault="003C43C3" w:rsidP="003C43C3">
            <w:pPr>
              <w:widowControl w:val="0"/>
              <w:pBdr>
                <w:top w:val="nil"/>
                <w:left w:val="nil"/>
                <w:bottom w:val="nil"/>
                <w:right w:val="nil"/>
                <w:between w:val="nil"/>
              </w:pBdr>
              <w:rPr>
                <w:rFonts w:cs="Arial"/>
              </w:rPr>
            </w:pPr>
          </w:p>
          <w:p w14:paraId="39E0AE23" w14:textId="77777777" w:rsidR="00D62A24" w:rsidRPr="00687A62" w:rsidRDefault="00D62A24" w:rsidP="00573B00">
            <w:pPr>
              <w:pStyle w:val="ListParagraph"/>
              <w:numPr>
                <w:ilvl w:val="0"/>
                <w:numId w:val="33"/>
              </w:numPr>
              <w:rPr>
                <w:szCs w:val="28"/>
              </w:rPr>
            </w:pPr>
            <w:r>
              <w:rPr>
                <w:szCs w:val="28"/>
              </w:rPr>
              <w:t xml:space="preserve">An initial proposed financial model was presented to the market on 5 July 2018.  </w:t>
            </w:r>
            <w:r w:rsidR="00573B00">
              <w:rPr>
                <w:rFonts w:cs="Arial"/>
              </w:rPr>
              <w:t>Feedback</w:t>
            </w:r>
            <w:r w:rsidR="00687A62">
              <w:rPr>
                <w:rFonts w:cs="Arial"/>
              </w:rPr>
              <w:t xml:space="preserve"> from Providers at the </w:t>
            </w:r>
            <w:r w:rsidR="00687A62" w:rsidRPr="00761A4D">
              <w:rPr>
                <w:rFonts w:cs="Arial"/>
              </w:rPr>
              <w:t xml:space="preserve">event was that the proposed 1% </w:t>
            </w:r>
            <w:r w:rsidR="00687A62">
              <w:rPr>
                <w:rFonts w:cs="Arial"/>
              </w:rPr>
              <w:t>increase on current NE7 prices wa</w:t>
            </w:r>
            <w:r w:rsidR="00687A62" w:rsidRPr="00761A4D">
              <w:rPr>
                <w:rFonts w:cs="Arial"/>
              </w:rPr>
              <w:t>s not enough</w:t>
            </w:r>
            <w:r w:rsidR="00687A62">
              <w:rPr>
                <w:rFonts w:cs="Arial"/>
              </w:rPr>
              <w:t xml:space="preserve">, given rates on the NE7 solution have been static for over 8 years.  </w:t>
            </w:r>
          </w:p>
          <w:p w14:paraId="7B855AB0" w14:textId="77777777" w:rsidR="00687A62" w:rsidRDefault="00687A62" w:rsidP="00687A62">
            <w:pPr>
              <w:rPr>
                <w:szCs w:val="28"/>
              </w:rPr>
            </w:pPr>
          </w:p>
          <w:p w14:paraId="45F51A4F" w14:textId="77777777" w:rsidR="0081458F" w:rsidRPr="00315398" w:rsidRDefault="00284BF0" w:rsidP="00315398">
            <w:pPr>
              <w:pStyle w:val="ListParagraph"/>
              <w:numPr>
                <w:ilvl w:val="0"/>
                <w:numId w:val="33"/>
              </w:numPr>
              <w:rPr>
                <w:szCs w:val="28"/>
              </w:rPr>
            </w:pPr>
            <w:r>
              <w:rPr>
                <w:szCs w:val="28"/>
              </w:rPr>
              <w:t xml:space="preserve">At the suggestion of Providers, the Participating Authorities carried out a financial modelling exercise </w:t>
            </w:r>
            <w:r w:rsidR="00573B00">
              <w:rPr>
                <w:szCs w:val="28"/>
              </w:rPr>
              <w:t xml:space="preserve">to benchmark against another solution which was </w:t>
            </w:r>
            <w:proofErr w:type="gramStart"/>
            <w:r w:rsidR="00573B00">
              <w:rPr>
                <w:szCs w:val="28"/>
              </w:rPr>
              <w:t>similar to</w:t>
            </w:r>
            <w:proofErr w:type="gramEnd"/>
            <w:r w:rsidR="00573B00">
              <w:rPr>
                <w:szCs w:val="28"/>
              </w:rPr>
              <w:t xml:space="preserve"> the model proposed.  </w:t>
            </w:r>
            <w:r w:rsidR="00DE367E" w:rsidRPr="00785682">
              <w:rPr>
                <w:rFonts w:cs="Arial"/>
              </w:rPr>
              <w:t>The consensus from the Particip</w:t>
            </w:r>
            <w:r w:rsidR="00573B00">
              <w:rPr>
                <w:rFonts w:cs="Arial"/>
              </w:rPr>
              <w:t>a</w:t>
            </w:r>
            <w:r w:rsidR="00DE367E" w:rsidRPr="00785682">
              <w:rPr>
                <w:rFonts w:cs="Arial"/>
              </w:rPr>
              <w:t>ting A</w:t>
            </w:r>
            <w:r w:rsidR="00DE367E">
              <w:rPr>
                <w:rFonts w:cs="Arial"/>
              </w:rPr>
              <w:t>uthorities wa</w:t>
            </w:r>
            <w:r w:rsidR="00DE367E" w:rsidRPr="00785682">
              <w:rPr>
                <w:rFonts w:cs="Arial"/>
              </w:rPr>
              <w:t xml:space="preserve">s that the financial model </w:t>
            </w:r>
            <w:r w:rsidR="00DE367E">
              <w:rPr>
                <w:rFonts w:cs="Arial"/>
              </w:rPr>
              <w:t>would be</w:t>
            </w:r>
            <w:r w:rsidR="00DE367E" w:rsidRPr="00785682">
              <w:rPr>
                <w:rFonts w:cs="Arial"/>
              </w:rPr>
              <w:t xml:space="preserve"> </w:t>
            </w:r>
            <w:r w:rsidR="00DE367E" w:rsidRPr="00947A7D">
              <w:rPr>
                <w:rFonts w:cs="Arial"/>
              </w:rPr>
              <w:t>unsustainable</w:t>
            </w:r>
            <w:r w:rsidR="00DE367E">
              <w:rPr>
                <w:rFonts w:cs="Arial"/>
              </w:rPr>
              <w:t>,</w:t>
            </w:r>
            <w:r w:rsidR="00DE367E" w:rsidRPr="00947A7D">
              <w:rPr>
                <w:rFonts w:cs="Arial"/>
              </w:rPr>
              <w:t xml:space="preserve"> as </w:t>
            </w:r>
            <w:r w:rsidR="00DE367E">
              <w:rPr>
                <w:rFonts w:cs="Arial"/>
              </w:rPr>
              <w:t xml:space="preserve">the </w:t>
            </w:r>
            <w:r w:rsidR="00DE367E" w:rsidRPr="00947A7D">
              <w:rPr>
                <w:rFonts w:cs="Arial"/>
              </w:rPr>
              <w:t xml:space="preserve">costs </w:t>
            </w:r>
            <w:r w:rsidR="00DE367E">
              <w:rPr>
                <w:rFonts w:cs="Arial"/>
              </w:rPr>
              <w:t>wer</w:t>
            </w:r>
            <w:r w:rsidR="00DE367E" w:rsidRPr="00947A7D">
              <w:rPr>
                <w:rFonts w:cs="Arial"/>
              </w:rPr>
              <w:t>e significantly higher in comparison to NE7 rates.</w:t>
            </w:r>
            <w:r w:rsidR="00DE367E" w:rsidRPr="00947A7D">
              <w:rPr>
                <w:rFonts w:cs="Arial"/>
                <w:lang w:val="en-ZA"/>
              </w:rPr>
              <w:t xml:space="preserve">  </w:t>
            </w:r>
            <w:r>
              <w:rPr>
                <w:szCs w:val="28"/>
              </w:rPr>
              <w:t xml:space="preserve"> </w:t>
            </w:r>
          </w:p>
          <w:p w14:paraId="627B7538" w14:textId="77777777" w:rsidR="00315398" w:rsidRPr="00857A97" w:rsidRDefault="00315398" w:rsidP="005D2247">
            <w:pPr>
              <w:rPr>
                <w:b/>
                <w:sz w:val="28"/>
                <w:szCs w:val="28"/>
              </w:rPr>
            </w:pPr>
          </w:p>
        </w:tc>
      </w:tr>
      <w:tr w:rsidR="005D2247" w:rsidRPr="009E1470" w14:paraId="035066FB" w14:textId="77777777" w:rsidTr="00E03ABE">
        <w:tc>
          <w:tcPr>
            <w:tcW w:w="839" w:type="dxa"/>
          </w:tcPr>
          <w:p w14:paraId="60B04D4F" w14:textId="77777777" w:rsidR="005D2247" w:rsidRPr="00857A97" w:rsidRDefault="001A7C2A" w:rsidP="005D2247">
            <w:pPr>
              <w:rPr>
                <w:b/>
                <w:sz w:val="28"/>
                <w:szCs w:val="28"/>
              </w:rPr>
            </w:pPr>
            <w:r>
              <w:rPr>
                <w:b/>
                <w:sz w:val="28"/>
                <w:szCs w:val="28"/>
              </w:rPr>
              <w:lastRenderedPageBreak/>
              <w:t>7</w:t>
            </w:r>
            <w:r w:rsidR="00681254" w:rsidRPr="00857A97">
              <w:rPr>
                <w:b/>
                <w:sz w:val="28"/>
                <w:szCs w:val="28"/>
              </w:rPr>
              <w:t>.</w:t>
            </w:r>
          </w:p>
        </w:tc>
        <w:tc>
          <w:tcPr>
            <w:tcW w:w="9793" w:type="dxa"/>
          </w:tcPr>
          <w:p w14:paraId="6692AD22" w14:textId="77777777" w:rsidR="005D2247" w:rsidRPr="00857A97" w:rsidRDefault="005D2247" w:rsidP="005D2247">
            <w:pPr>
              <w:rPr>
                <w:b/>
                <w:sz w:val="28"/>
                <w:szCs w:val="28"/>
              </w:rPr>
            </w:pPr>
            <w:r w:rsidRPr="00857A97">
              <w:rPr>
                <w:b/>
                <w:sz w:val="28"/>
                <w:szCs w:val="28"/>
              </w:rPr>
              <w:t xml:space="preserve">Timescale for </w:t>
            </w:r>
            <w:r w:rsidR="00857A97" w:rsidRPr="00857A97">
              <w:rPr>
                <w:b/>
                <w:sz w:val="28"/>
                <w:szCs w:val="28"/>
              </w:rPr>
              <w:t>Procurement</w:t>
            </w:r>
          </w:p>
          <w:p w14:paraId="2408DE99" w14:textId="77777777" w:rsidR="00857A97" w:rsidRPr="00857A97" w:rsidRDefault="00857A97" w:rsidP="005D2247">
            <w:pPr>
              <w:rPr>
                <w:b/>
                <w:sz w:val="28"/>
                <w:szCs w:val="28"/>
              </w:rPr>
            </w:pPr>
          </w:p>
        </w:tc>
      </w:tr>
      <w:tr w:rsidR="005D2247" w:rsidRPr="00C06484" w14:paraId="3038FB5D" w14:textId="77777777" w:rsidTr="00E03ABE">
        <w:tc>
          <w:tcPr>
            <w:tcW w:w="839" w:type="dxa"/>
          </w:tcPr>
          <w:p w14:paraId="3E8B6507" w14:textId="77777777" w:rsidR="005D2247" w:rsidRPr="000271AF" w:rsidRDefault="005D2247" w:rsidP="005D2247">
            <w:pPr>
              <w:rPr>
                <w:b/>
                <w:sz w:val="28"/>
                <w:szCs w:val="28"/>
              </w:rPr>
            </w:pPr>
          </w:p>
        </w:tc>
        <w:tc>
          <w:tcPr>
            <w:tcW w:w="9793" w:type="dxa"/>
          </w:tcPr>
          <w:p w14:paraId="04AFA014" w14:textId="77777777" w:rsidR="00857A97" w:rsidRDefault="00857A97" w:rsidP="005D2247"/>
          <w:p w14:paraId="609CE446" w14:textId="77777777" w:rsidR="005D2247" w:rsidRPr="000271AF" w:rsidRDefault="005D2247" w:rsidP="005D2247">
            <w:r w:rsidRPr="000271AF">
              <w:t xml:space="preserve">Please see below </w:t>
            </w:r>
            <w:r w:rsidRPr="000271AF">
              <w:rPr>
                <w:b/>
              </w:rPr>
              <w:t>indicative</w:t>
            </w:r>
            <w:r w:rsidRPr="000271AF">
              <w:t xml:space="preserve"> procurement timescale.  All dates are indicative and subject to change.  </w:t>
            </w:r>
          </w:p>
          <w:p w14:paraId="7DEE366E" w14:textId="77777777" w:rsidR="005D2247" w:rsidRDefault="005D2247" w:rsidP="005D2247">
            <w:pPr>
              <w:rPr>
                <w:color w:val="FF0000"/>
              </w:rPr>
            </w:pPr>
          </w:p>
          <w:p w14:paraId="36AB1478" w14:textId="77777777" w:rsidR="00315398" w:rsidRDefault="00315398" w:rsidP="005D2247">
            <w:pPr>
              <w:rPr>
                <w:color w:val="FF0000"/>
              </w:rPr>
            </w:pPr>
          </w:p>
          <w:tbl>
            <w:tblPr>
              <w:tblStyle w:val="TableGrid"/>
              <w:tblW w:w="9199" w:type="dxa"/>
              <w:tblLayout w:type="fixed"/>
              <w:tblLook w:val="04A0" w:firstRow="1" w:lastRow="0" w:firstColumn="1" w:lastColumn="0" w:noHBand="0" w:noVBand="1"/>
            </w:tblPr>
            <w:tblGrid>
              <w:gridCol w:w="604"/>
              <w:gridCol w:w="5387"/>
              <w:gridCol w:w="3208"/>
            </w:tblGrid>
            <w:tr w:rsidR="00314250" w:rsidRPr="005F37CF" w14:paraId="6F57F125" w14:textId="77777777" w:rsidTr="001E718F">
              <w:trPr>
                <w:trHeight w:val="565"/>
              </w:trPr>
              <w:tc>
                <w:tcPr>
                  <w:tcW w:w="604" w:type="dxa"/>
                  <w:shd w:val="clear" w:color="auto" w:fill="auto"/>
                </w:tcPr>
                <w:p w14:paraId="5C3D18D5" w14:textId="77777777" w:rsidR="00314250" w:rsidRPr="002859E5" w:rsidRDefault="002859E5" w:rsidP="00314250">
                  <w:r w:rsidRPr="002859E5">
                    <w:t>1</w:t>
                  </w:r>
                  <w:r w:rsidR="00314250" w:rsidRPr="002859E5">
                    <w:t>.</w:t>
                  </w:r>
                </w:p>
              </w:tc>
              <w:tc>
                <w:tcPr>
                  <w:tcW w:w="5387" w:type="dxa"/>
                  <w:shd w:val="clear" w:color="auto" w:fill="auto"/>
                </w:tcPr>
                <w:p w14:paraId="2EEE8A08" w14:textId="77777777" w:rsidR="00314250" w:rsidRPr="002859E5" w:rsidRDefault="002859E5" w:rsidP="00314250">
                  <w:r w:rsidRPr="002859E5">
                    <w:t>Proposed Commissioning Model published for 4-week consultation</w:t>
                  </w:r>
                </w:p>
              </w:tc>
              <w:tc>
                <w:tcPr>
                  <w:tcW w:w="3208" w:type="dxa"/>
                  <w:shd w:val="clear" w:color="auto" w:fill="auto"/>
                </w:tcPr>
                <w:p w14:paraId="103228E7" w14:textId="30ABB2A1" w:rsidR="00314250" w:rsidRPr="002859E5" w:rsidRDefault="00F92BBF" w:rsidP="00314250">
                  <w:r>
                    <w:t>11</w:t>
                  </w:r>
                  <w:r w:rsidR="007B7047" w:rsidRPr="002859E5">
                    <w:t xml:space="preserve"> February 2019</w:t>
                  </w:r>
                </w:p>
              </w:tc>
            </w:tr>
            <w:tr w:rsidR="00314250" w:rsidRPr="005F37CF" w14:paraId="5A158704" w14:textId="77777777" w:rsidTr="001E718F">
              <w:trPr>
                <w:trHeight w:val="580"/>
              </w:trPr>
              <w:tc>
                <w:tcPr>
                  <w:tcW w:w="604" w:type="dxa"/>
                  <w:shd w:val="clear" w:color="auto" w:fill="auto"/>
                </w:tcPr>
                <w:p w14:paraId="1BCB005F" w14:textId="77777777" w:rsidR="00314250" w:rsidRPr="002859E5" w:rsidRDefault="00314250" w:rsidP="00314250">
                  <w:r w:rsidRPr="002859E5">
                    <w:t>3.</w:t>
                  </w:r>
                </w:p>
              </w:tc>
              <w:tc>
                <w:tcPr>
                  <w:tcW w:w="5387" w:type="dxa"/>
                  <w:shd w:val="clear" w:color="auto" w:fill="auto"/>
                </w:tcPr>
                <w:p w14:paraId="55D9ED97" w14:textId="77777777" w:rsidR="00314250" w:rsidRPr="002859E5" w:rsidRDefault="00314250" w:rsidP="00314250">
                  <w:r w:rsidRPr="002859E5">
                    <w:t>Consultation period proposed Commissioning Model closes</w:t>
                  </w:r>
                </w:p>
              </w:tc>
              <w:tc>
                <w:tcPr>
                  <w:tcW w:w="3208" w:type="dxa"/>
                  <w:shd w:val="clear" w:color="auto" w:fill="auto"/>
                </w:tcPr>
                <w:p w14:paraId="247C92B9" w14:textId="6A9DECEC" w:rsidR="00314250" w:rsidRPr="002859E5" w:rsidRDefault="00F92BBF" w:rsidP="00314250">
                  <w:r>
                    <w:t>11</w:t>
                  </w:r>
                  <w:r w:rsidR="002859E5" w:rsidRPr="002859E5">
                    <w:t xml:space="preserve"> March</w:t>
                  </w:r>
                  <w:r w:rsidR="007B7047" w:rsidRPr="002859E5">
                    <w:t xml:space="preserve"> 2019</w:t>
                  </w:r>
                </w:p>
              </w:tc>
            </w:tr>
            <w:tr w:rsidR="00314250" w:rsidRPr="005F37CF" w14:paraId="08F20303" w14:textId="77777777" w:rsidTr="001E718F">
              <w:trPr>
                <w:trHeight w:val="565"/>
              </w:trPr>
              <w:tc>
                <w:tcPr>
                  <w:tcW w:w="604" w:type="dxa"/>
                  <w:shd w:val="clear" w:color="auto" w:fill="auto"/>
                </w:tcPr>
                <w:p w14:paraId="06E98D0F" w14:textId="77777777" w:rsidR="00314250" w:rsidRPr="002859E5" w:rsidRDefault="00314250" w:rsidP="00314250">
                  <w:r w:rsidRPr="002859E5">
                    <w:t>4.</w:t>
                  </w:r>
                </w:p>
              </w:tc>
              <w:tc>
                <w:tcPr>
                  <w:tcW w:w="5387" w:type="dxa"/>
                  <w:shd w:val="clear" w:color="auto" w:fill="auto"/>
                </w:tcPr>
                <w:p w14:paraId="48D51B71" w14:textId="77777777" w:rsidR="00314250" w:rsidRPr="002859E5" w:rsidRDefault="00314250" w:rsidP="00314250">
                  <w:r w:rsidRPr="002859E5">
                    <w:t>Review of consultation feedback</w:t>
                  </w:r>
                </w:p>
              </w:tc>
              <w:tc>
                <w:tcPr>
                  <w:tcW w:w="3208" w:type="dxa"/>
                  <w:shd w:val="clear" w:color="auto" w:fill="auto"/>
                </w:tcPr>
                <w:p w14:paraId="328A9139" w14:textId="0655B135" w:rsidR="00D62A24" w:rsidRPr="002859E5" w:rsidRDefault="00CB4D02" w:rsidP="002859E5">
                  <w:r>
                    <w:t>1</w:t>
                  </w:r>
                  <w:r w:rsidR="00F92BBF">
                    <w:t>2</w:t>
                  </w:r>
                  <w:r w:rsidR="00A06E01">
                    <w:t xml:space="preserve"> </w:t>
                  </w:r>
                  <w:r w:rsidR="00E336BD">
                    <w:t xml:space="preserve">March to </w:t>
                  </w:r>
                  <w:r>
                    <w:t>14</w:t>
                  </w:r>
                  <w:r w:rsidR="00E336BD">
                    <w:t xml:space="preserve"> March 2019</w:t>
                  </w:r>
                </w:p>
              </w:tc>
            </w:tr>
            <w:tr w:rsidR="002859E5" w:rsidRPr="005F37CF" w14:paraId="64A0C068" w14:textId="77777777" w:rsidTr="001E718F">
              <w:trPr>
                <w:trHeight w:val="565"/>
              </w:trPr>
              <w:tc>
                <w:tcPr>
                  <w:tcW w:w="604" w:type="dxa"/>
                  <w:shd w:val="clear" w:color="auto" w:fill="auto"/>
                </w:tcPr>
                <w:p w14:paraId="476A529F" w14:textId="77777777" w:rsidR="002859E5" w:rsidRPr="002859E5" w:rsidRDefault="002859E5" w:rsidP="002859E5">
                  <w:r w:rsidRPr="002859E5">
                    <w:t>5.</w:t>
                  </w:r>
                </w:p>
              </w:tc>
              <w:tc>
                <w:tcPr>
                  <w:tcW w:w="5387" w:type="dxa"/>
                  <w:shd w:val="clear" w:color="auto" w:fill="auto"/>
                </w:tcPr>
                <w:p w14:paraId="54F07102" w14:textId="77777777" w:rsidR="002859E5" w:rsidRPr="002859E5" w:rsidRDefault="002859E5" w:rsidP="002859E5">
                  <w:r>
                    <w:t>Revised</w:t>
                  </w:r>
                  <w:r w:rsidRPr="002859E5">
                    <w:t xml:space="preserve"> Commissioning Model published for </w:t>
                  </w:r>
                  <w:r>
                    <w:t xml:space="preserve">further </w:t>
                  </w:r>
                  <w:r w:rsidRPr="002859E5">
                    <w:t>4-week consultation</w:t>
                  </w:r>
                </w:p>
              </w:tc>
              <w:tc>
                <w:tcPr>
                  <w:tcW w:w="3208" w:type="dxa"/>
                  <w:shd w:val="clear" w:color="auto" w:fill="auto"/>
                </w:tcPr>
                <w:p w14:paraId="272C2C00" w14:textId="77777777" w:rsidR="002859E5" w:rsidRPr="002859E5" w:rsidRDefault="00CB4D02" w:rsidP="002859E5">
                  <w:r>
                    <w:t>15</w:t>
                  </w:r>
                  <w:r w:rsidR="00E336BD">
                    <w:t xml:space="preserve"> March 2019</w:t>
                  </w:r>
                </w:p>
              </w:tc>
            </w:tr>
            <w:tr w:rsidR="002859E5" w:rsidRPr="005F37CF" w14:paraId="645BC8B1" w14:textId="77777777" w:rsidTr="001E718F">
              <w:trPr>
                <w:trHeight w:val="565"/>
              </w:trPr>
              <w:tc>
                <w:tcPr>
                  <w:tcW w:w="604" w:type="dxa"/>
                  <w:shd w:val="clear" w:color="auto" w:fill="auto"/>
                </w:tcPr>
                <w:p w14:paraId="06024FC5" w14:textId="77777777" w:rsidR="002859E5" w:rsidRPr="002859E5" w:rsidRDefault="002859E5" w:rsidP="002859E5">
                  <w:r w:rsidRPr="002859E5">
                    <w:t>6.</w:t>
                  </w:r>
                </w:p>
              </w:tc>
              <w:tc>
                <w:tcPr>
                  <w:tcW w:w="5387" w:type="dxa"/>
                  <w:shd w:val="clear" w:color="auto" w:fill="auto"/>
                </w:tcPr>
                <w:p w14:paraId="21BAE0F4" w14:textId="77777777" w:rsidR="002859E5" w:rsidRPr="002859E5" w:rsidRDefault="002859E5" w:rsidP="002859E5">
                  <w:r w:rsidRPr="002859E5">
                    <w:t>Consultation period proposed Commissioning Model closes</w:t>
                  </w:r>
                </w:p>
              </w:tc>
              <w:tc>
                <w:tcPr>
                  <w:tcW w:w="3208" w:type="dxa"/>
                  <w:shd w:val="clear" w:color="auto" w:fill="auto"/>
                </w:tcPr>
                <w:p w14:paraId="1954C6D0" w14:textId="77777777" w:rsidR="002859E5" w:rsidRPr="002859E5" w:rsidRDefault="00CB4D02" w:rsidP="002859E5">
                  <w:r>
                    <w:t>12</w:t>
                  </w:r>
                  <w:r w:rsidR="00E336BD">
                    <w:t xml:space="preserve"> April 2019</w:t>
                  </w:r>
                </w:p>
              </w:tc>
            </w:tr>
            <w:tr w:rsidR="002859E5" w:rsidRPr="005F37CF" w14:paraId="308CF6B1" w14:textId="77777777" w:rsidTr="001E718F">
              <w:trPr>
                <w:trHeight w:val="565"/>
              </w:trPr>
              <w:tc>
                <w:tcPr>
                  <w:tcW w:w="604" w:type="dxa"/>
                  <w:shd w:val="clear" w:color="auto" w:fill="auto"/>
                </w:tcPr>
                <w:p w14:paraId="302F11CF" w14:textId="77777777" w:rsidR="002859E5" w:rsidRPr="002859E5" w:rsidRDefault="002859E5" w:rsidP="002859E5">
                  <w:r w:rsidRPr="002859E5">
                    <w:t>7.</w:t>
                  </w:r>
                </w:p>
              </w:tc>
              <w:tc>
                <w:tcPr>
                  <w:tcW w:w="5387" w:type="dxa"/>
                  <w:shd w:val="clear" w:color="auto" w:fill="auto"/>
                </w:tcPr>
                <w:p w14:paraId="18CAEE12" w14:textId="77777777" w:rsidR="002859E5" w:rsidRPr="002859E5" w:rsidRDefault="002859E5" w:rsidP="002859E5">
                  <w:r w:rsidRPr="002859E5">
                    <w:t>Review of consultation feedback</w:t>
                  </w:r>
                </w:p>
              </w:tc>
              <w:tc>
                <w:tcPr>
                  <w:tcW w:w="3208" w:type="dxa"/>
                  <w:shd w:val="clear" w:color="auto" w:fill="auto"/>
                </w:tcPr>
                <w:p w14:paraId="3C1BE109" w14:textId="77777777" w:rsidR="002859E5" w:rsidRPr="002859E5" w:rsidRDefault="00CB4D02" w:rsidP="002859E5">
                  <w:r>
                    <w:t xml:space="preserve">15 </w:t>
                  </w:r>
                  <w:r w:rsidR="00E336BD">
                    <w:t xml:space="preserve">April to </w:t>
                  </w:r>
                  <w:r>
                    <w:t>18</w:t>
                  </w:r>
                  <w:r w:rsidR="00A06E01">
                    <w:t xml:space="preserve"> </w:t>
                  </w:r>
                  <w:r w:rsidR="00E336BD">
                    <w:t>April</w:t>
                  </w:r>
                  <w:r w:rsidR="002859E5" w:rsidRPr="002859E5">
                    <w:t xml:space="preserve"> 201</w:t>
                  </w:r>
                  <w:r w:rsidR="00E336BD">
                    <w:t>9</w:t>
                  </w:r>
                </w:p>
                <w:p w14:paraId="1494EE77" w14:textId="77777777" w:rsidR="002859E5" w:rsidRPr="002859E5" w:rsidRDefault="002859E5" w:rsidP="002859E5"/>
              </w:tc>
            </w:tr>
            <w:tr w:rsidR="002859E5" w:rsidRPr="005F37CF" w14:paraId="61D10EFC" w14:textId="77777777" w:rsidTr="001E718F">
              <w:trPr>
                <w:trHeight w:val="580"/>
              </w:trPr>
              <w:tc>
                <w:tcPr>
                  <w:tcW w:w="604" w:type="dxa"/>
                </w:tcPr>
                <w:p w14:paraId="2AE0A544" w14:textId="77777777" w:rsidR="002859E5" w:rsidRPr="005F37CF" w:rsidRDefault="00DE367E" w:rsidP="002859E5">
                  <w:pPr>
                    <w:rPr>
                      <w:highlight w:val="yellow"/>
                    </w:rPr>
                  </w:pPr>
                  <w:r w:rsidRPr="00DE367E">
                    <w:t>8.</w:t>
                  </w:r>
                </w:p>
              </w:tc>
              <w:tc>
                <w:tcPr>
                  <w:tcW w:w="5387" w:type="dxa"/>
                </w:tcPr>
                <w:p w14:paraId="0730E7B1" w14:textId="77777777" w:rsidR="002859E5" w:rsidRPr="005F37CF" w:rsidRDefault="002859E5" w:rsidP="002859E5">
                  <w:pPr>
                    <w:rPr>
                      <w:highlight w:val="yellow"/>
                    </w:rPr>
                  </w:pPr>
                  <w:r>
                    <w:t>Revised</w:t>
                  </w:r>
                  <w:r w:rsidRPr="002859E5">
                    <w:t xml:space="preserve"> Commissioning Model published for </w:t>
                  </w:r>
                  <w:r>
                    <w:t xml:space="preserve">further </w:t>
                  </w:r>
                  <w:r w:rsidRPr="002859E5">
                    <w:t>4-week consultation</w:t>
                  </w:r>
                  <w:r w:rsidR="0081458F">
                    <w:t xml:space="preserve"> (plus additional week for Easter</w:t>
                  </w:r>
                </w:p>
              </w:tc>
              <w:tc>
                <w:tcPr>
                  <w:tcW w:w="3208" w:type="dxa"/>
                </w:tcPr>
                <w:p w14:paraId="7A351770" w14:textId="77777777" w:rsidR="002859E5" w:rsidRPr="005F37CF" w:rsidRDefault="00CB4D02" w:rsidP="002859E5">
                  <w:pPr>
                    <w:rPr>
                      <w:highlight w:val="yellow"/>
                    </w:rPr>
                  </w:pPr>
                  <w:r>
                    <w:t>19</w:t>
                  </w:r>
                  <w:r w:rsidRPr="00E336BD">
                    <w:t xml:space="preserve"> </w:t>
                  </w:r>
                  <w:r w:rsidR="00E336BD" w:rsidRPr="00E336BD">
                    <w:t>April 2019</w:t>
                  </w:r>
                </w:p>
              </w:tc>
            </w:tr>
            <w:tr w:rsidR="002859E5" w:rsidRPr="005F37CF" w14:paraId="36B89FE4" w14:textId="77777777" w:rsidTr="001E718F">
              <w:trPr>
                <w:trHeight w:val="580"/>
              </w:trPr>
              <w:tc>
                <w:tcPr>
                  <w:tcW w:w="604" w:type="dxa"/>
                </w:tcPr>
                <w:p w14:paraId="2C38B795" w14:textId="77777777" w:rsidR="002859E5" w:rsidRPr="001E718F" w:rsidRDefault="001E718F" w:rsidP="002859E5">
                  <w:r w:rsidRPr="001E718F">
                    <w:t>9.</w:t>
                  </w:r>
                </w:p>
              </w:tc>
              <w:tc>
                <w:tcPr>
                  <w:tcW w:w="5387" w:type="dxa"/>
                </w:tcPr>
                <w:p w14:paraId="16E7A766" w14:textId="77777777" w:rsidR="002859E5" w:rsidRPr="005F37CF" w:rsidRDefault="002859E5" w:rsidP="002859E5">
                  <w:pPr>
                    <w:rPr>
                      <w:highlight w:val="yellow"/>
                    </w:rPr>
                  </w:pPr>
                  <w:r w:rsidRPr="002859E5">
                    <w:t>Consultation period proposed Commissioning Model closes</w:t>
                  </w:r>
                </w:p>
              </w:tc>
              <w:tc>
                <w:tcPr>
                  <w:tcW w:w="3208" w:type="dxa"/>
                </w:tcPr>
                <w:p w14:paraId="500DA67B" w14:textId="77777777" w:rsidR="002859E5" w:rsidRPr="005F37CF" w:rsidRDefault="00CB4D02" w:rsidP="002859E5">
                  <w:pPr>
                    <w:rPr>
                      <w:highlight w:val="yellow"/>
                    </w:rPr>
                  </w:pPr>
                  <w:r>
                    <w:t>24</w:t>
                  </w:r>
                  <w:r w:rsidRPr="00E336BD">
                    <w:t xml:space="preserve"> </w:t>
                  </w:r>
                  <w:r w:rsidR="00E336BD" w:rsidRPr="00E336BD">
                    <w:t>May 2019</w:t>
                  </w:r>
                </w:p>
              </w:tc>
            </w:tr>
            <w:tr w:rsidR="002859E5" w:rsidRPr="005F37CF" w14:paraId="71E04538" w14:textId="77777777" w:rsidTr="001E718F">
              <w:trPr>
                <w:trHeight w:val="580"/>
              </w:trPr>
              <w:tc>
                <w:tcPr>
                  <w:tcW w:w="604" w:type="dxa"/>
                </w:tcPr>
                <w:p w14:paraId="63DAB42F" w14:textId="77777777" w:rsidR="002859E5" w:rsidRPr="001E718F" w:rsidRDefault="001E718F" w:rsidP="002859E5">
                  <w:r w:rsidRPr="001E718F">
                    <w:t>10.</w:t>
                  </w:r>
                </w:p>
              </w:tc>
              <w:tc>
                <w:tcPr>
                  <w:tcW w:w="5387" w:type="dxa"/>
                </w:tcPr>
                <w:p w14:paraId="583F5E6B" w14:textId="77777777" w:rsidR="002859E5" w:rsidRPr="005F37CF" w:rsidRDefault="002859E5" w:rsidP="002859E5">
                  <w:pPr>
                    <w:rPr>
                      <w:highlight w:val="yellow"/>
                    </w:rPr>
                  </w:pPr>
                  <w:r w:rsidRPr="002859E5">
                    <w:t>Review of consultation feedback</w:t>
                  </w:r>
                </w:p>
              </w:tc>
              <w:tc>
                <w:tcPr>
                  <w:tcW w:w="3208" w:type="dxa"/>
                </w:tcPr>
                <w:p w14:paraId="12160591" w14:textId="77777777" w:rsidR="002859E5" w:rsidRPr="00E336BD" w:rsidRDefault="00CB4D02" w:rsidP="002859E5">
                  <w:r>
                    <w:t>27</w:t>
                  </w:r>
                  <w:r w:rsidRPr="00E336BD">
                    <w:t xml:space="preserve"> </w:t>
                  </w:r>
                  <w:r w:rsidR="00E336BD" w:rsidRPr="00E336BD">
                    <w:t xml:space="preserve">May to </w:t>
                  </w:r>
                  <w:r>
                    <w:t>5 June</w:t>
                  </w:r>
                  <w:r w:rsidR="00E336BD" w:rsidRPr="00E336BD">
                    <w:t xml:space="preserve"> 2019</w:t>
                  </w:r>
                </w:p>
              </w:tc>
            </w:tr>
            <w:tr w:rsidR="002859E5" w:rsidRPr="005F37CF" w14:paraId="795B1D50" w14:textId="77777777" w:rsidTr="001E718F">
              <w:trPr>
                <w:trHeight w:val="580"/>
              </w:trPr>
              <w:tc>
                <w:tcPr>
                  <w:tcW w:w="604" w:type="dxa"/>
                </w:tcPr>
                <w:p w14:paraId="43CC625D" w14:textId="77777777" w:rsidR="002859E5" w:rsidRPr="001E718F" w:rsidRDefault="001E718F" w:rsidP="002859E5">
                  <w:r w:rsidRPr="001E718F">
                    <w:t>11.</w:t>
                  </w:r>
                </w:p>
              </w:tc>
              <w:tc>
                <w:tcPr>
                  <w:tcW w:w="5387" w:type="dxa"/>
                  <w:shd w:val="clear" w:color="auto" w:fill="auto"/>
                </w:tcPr>
                <w:p w14:paraId="12E66EB7" w14:textId="77777777" w:rsidR="002859E5" w:rsidRPr="005F37CF" w:rsidRDefault="0081458F" w:rsidP="002859E5">
                  <w:pPr>
                    <w:rPr>
                      <w:highlight w:val="yellow"/>
                    </w:rPr>
                  </w:pPr>
                  <w:r>
                    <w:t>Lead Authority to prepare Final Commissioning Model for sign off</w:t>
                  </w:r>
                </w:p>
              </w:tc>
              <w:tc>
                <w:tcPr>
                  <w:tcW w:w="3208" w:type="dxa"/>
                </w:tcPr>
                <w:p w14:paraId="2D322FA8" w14:textId="77777777" w:rsidR="002859E5" w:rsidRPr="00E336BD" w:rsidRDefault="00CB4D02" w:rsidP="002859E5">
                  <w:r>
                    <w:t>5 June to 7 June 2019</w:t>
                  </w:r>
                </w:p>
              </w:tc>
            </w:tr>
            <w:tr w:rsidR="0081458F" w:rsidRPr="005F37CF" w14:paraId="1F63D9BC" w14:textId="77777777" w:rsidTr="001E718F">
              <w:trPr>
                <w:trHeight w:val="580"/>
              </w:trPr>
              <w:tc>
                <w:tcPr>
                  <w:tcW w:w="604" w:type="dxa"/>
                </w:tcPr>
                <w:p w14:paraId="37808BBC" w14:textId="77777777" w:rsidR="0081458F" w:rsidRPr="001E718F" w:rsidRDefault="00C47E09" w:rsidP="002859E5">
                  <w:r>
                    <w:t>12.</w:t>
                  </w:r>
                </w:p>
              </w:tc>
              <w:tc>
                <w:tcPr>
                  <w:tcW w:w="5387" w:type="dxa"/>
                  <w:shd w:val="clear" w:color="auto" w:fill="auto"/>
                </w:tcPr>
                <w:p w14:paraId="597D86EF" w14:textId="77777777" w:rsidR="0081458F" w:rsidRDefault="0081458F" w:rsidP="002859E5">
                  <w:r>
                    <w:t xml:space="preserve">Local Authorities consult </w:t>
                  </w:r>
                  <w:r w:rsidR="00C47E09">
                    <w:t xml:space="preserve">internally </w:t>
                  </w:r>
                  <w:r>
                    <w:t>on Final Commissioning Model</w:t>
                  </w:r>
                </w:p>
              </w:tc>
              <w:tc>
                <w:tcPr>
                  <w:tcW w:w="3208" w:type="dxa"/>
                </w:tcPr>
                <w:p w14:paraId="3FAE5E49" w14:textId="77777777" w:rsidR="0081458F" w:rsidRDefault="00CB4D02" w:rsidP="002859E5">
                  <w:r>
                    <w:t>10</w:t>
                  </w:r>
                  <w:r w:rsidR="004A334B">
                    <w:t xml:space="preserve"> June to </w:t>
                  </w:r>
                  <w:r>
                    <w:t xml:space="preserve">14 </w:t>
                  </w:r>
                  <w:r w:rsidR="004A334B">
                    <w:t>June 2019</w:t>
                  </w:r>
                </w:p>
              </w:tc>
            </w:tr>
            <w:tr w:rsidR="004A334B" w:rsidRPr="005F37CF" w14:paraId="7E627C5E" w14:textId="77777777" w:rsidTr="001E718F">
              <w:trPr>
                <w:trHeight w:val="580"/>
              </w:trPr>
              <w:tc>
                <w:tcPr>
                  <w:tcW w:w="604" w:type="dxa"/>
                </w:tcPr>
                <w:p w14:paraId="54A4B226" w14:textId="77777777" w:rsidR="004A334B" w:rsidRPr="001E718F" w:rsidRDefault="00C47E09" w:rsidP="002859E5">
                  <w:r>
                    <w:lastRenderedPageBreak/>
                    <w:t>13.</w:t>
                  </w:r>
                </w:p>
              </w:tc>
              <w:tc>
                <w:tcPr>
                  <w:tcW w:w="5387" w:type="dxa"/>
                  <w:shd w:val="clear" w:color="auto" w:fill="auto"/>
                </w:tcPr>
                <w:p w14:paraId="4D534621" w14:textId="77777777" w:rsidR="004A334B" w:rsidRDefault="00C47E09" w:rsidP="002859E5">
                  <w:r>
                    <w:t>Participating Authorities sign off Final Commissioning Model</w:t>
                  </w:r>
                  <w:r w:rsidRPr="002859E5">
                    <w:t xml:space="preserve"> </w:t>
                  </w:r>
                  <w:r>
                    <w:t>and obtain approval to begin</w:t>
                  </w:r>
                  <w:r w:rsidRPr="002859E5">
                    <w:t xml:space="preserve"> the procurement process </w:t>
                  </w:r>
                </w:p>
              </w:tc>
              <w:tc>
                <w:tcPr>
                  <w:tcW w:w="3208" w:type="dxa"/>
                </w:tcPr>
                <w:p w14:paraId="0EB6302A" w14:textId="77777777" w:rsidR="004A334B" w:rsidRDefault="00C47E09" w:rsidP="002859E5">
                  <w:r>
                    <w:t>June</w:t>
                  </w:r>
                  <w:r w:rsidR="004A334B">
                    <w:t xml:space="preserve"> 2019</w:t>
                  </w:r>
                </w:p>
              </w:tc>
            </w:tr>
            <w:tr w:rsidR="00C47E09" w:rsidRPr="005F37CF" w14:paraId="7517777D" w14:textId="77777777" w:rsidTr="001E718F">
              <w:trPr>
                <w:trHeight w:val="580"/>
              </w:trPr>
              <w:tc>
                <w:tcPr>
                  <w:tcW w:w="604" w:type="dxa"/>
                </w:tcPr>
                <w:p w14:paraId="234A1C6F" w14:textId="77777777" w:rsidR="00C47E09" w:rsidRPr="001E718F" w:rsidRDefault="00C47E09" w:rsidP="00C47E09">
                  <w:r w:rsidRPr="001E718F">
                    <w:t>14.</w:t>
                  </w:r>
                </w:p>
              </w:tc>
              <w:tc>
                <w:tcPr>
                  <w:tcW w:w="5387" w:type="dxa"/>
                </w:tcPr>
                <w:p w14:paraId="6D319295" w14:textId="77777777" w:rsidR="00C47E09" w:rsidRPr="00E336BD" w:rsidRDefault="00C47E09" w:rsidP="00C47E09">
                  <w:r w:rsidRPr="00E336BD">
                    <w:t>Tender process commences</w:t>
                  </w:r>
                </w:p>
              </w:tc>
              <w:tc>
                <w:tcPr>
                  <w:tcW w:w="3208" w:type="dxa"/>
                </w:tcPr>
                <w:p w14:paraId="21D14A2D" w14:textId="77777777" w:rsidR="00C47E09" w:rsidRPr="00E336BD" w:rsidRDefault="00C47E09" w:rsidP="00C47E09">
                  <w:r>
                    <w:t>July 2019</w:t>
                  </w:r>
                </w:p>
              </w:tc>
            </w:tr>
            <w:tr w:rsidR="00C47E09" w:rsidRPr="005F37CF" w14:paraId="7696EA61" w14:textId="77777777" w:rsidTr="001E718F">
              <w:trPr>
                <w:trHeight w:val="580"/>
              </w:trPr>
              <w:tc>
                <w:tcPr>
                  <w:tcW w:w="604" w:type="dxa"/>
                </w:tcPr>
                <w:p w14:paraId="204FD9C4" w14:textId="77777777" w:rsidR="00C47E09" w:rsidRPr="001E718F" w:rsidRDefault="00C47E09" w:rsidP="00C47E09">
                  <w:r w:rsidRPr="001E718F">
                    <w:t>15.</w:t>
                  </w:r>
                </w:p>
              </w:tc>
              <w:tc>
                <w:tcPr>
                  <w:tcW w:w="5387" w:type="dxa"/>
                </w:tcPr>
                <w:p w14:paraId="326208A6" w14:textId="77777777" w:rsidR="00C47E09" w:rsidRPr="00E336BD" w:rsidRDefault="00C47E09" w:rsidP="00C47E09">
                  <w:r w:rsidRPr="00E336BD">
                    <w:t>Evaluation of tender responses</w:t>
                  </w:r>
                </w:p>
              </w:tc>
              <w:tc>
                <w:tcPr>
                  <w:tcW w:w="3208" w:type="dxa"/>
                </w:tcPr>
                <w:p w14:paraId="75F296FA" w14:textId="77777777" w:rsidR="00C47E09" w:rsidRPr="005F37CF" w:rsidRDefault="00C47E09" w:rsidP="00C47E09">
                  <w:pPr>
                    <w:rPr>
                      <w:highlight w:val="yellow"/>
                    </w:rPr>
                  </w:pPr>
                  <w:r>
                    <w:t>August</w:t>
                  </w:r>
                  <w:r w:rsidRPr="0087193F">
                    <w:t xml:space="preserve"> 2019</w:t>
                  </w:r>
                </w:p>
              </w:tc>
            </w:tr>
            <w:tr w:rsidR="00C47E09" w:rsidRPr="005F37CF" w14:paraId="2643064B" w14:textId="77777777" w:rsidTr="001E718F">
              <w:trPr>
                <w:trHeight w:val="580"/>
              </w:trPr>
              <w:tc>
                <w:tcPr>
                  <w:tcW w:w="604" w:type="dxa"/>
                </w:tcPr>
                <w:p w14:paraId="16AA8B4B" w14:textId="77777777" w:rsidR="00C47E09" w:rsidRPr="001E718F" w:rsidRDefault="00C47E09" w:rsidP="00C47E09">
                  <w:r w:rsidRPr="001E718F">
                    <w:t>16.</w:t>
                  </w:r>
                </w:p>
              </w:tc>
              <w:tc>
                <w:tcPr>
                  <w:tcW w:w="5387" w:type="dxa"/>
                </w:tcPr>
                <w:p w14:paraId="27AE800F" w14:textId="77777777" w:rsidR="00C47E09" w:rsidRPr="0087193F" w:rsidRDefault="00C47E09" w:rsidP="00C47E09">
                  <w:r w:rsidRPr="0087193F">
                    <w:t>Intention to Award notices sent to successful Providers</w:t>
                  </w:r>
                </w:p>
              </w:tc>
              <w:tc>
                <w:tcPr>
                  <w:tcW w:w="3208" w:type="dxa"/>
                </w:tcPr>
                <w:p w14:paraId="6C7381AF" w14:textId="77777777" w:rsidR="00C47E09" w:rsidRPr="0087193F" w:rsidRDefault="00C47E09" w:rsidP="00C47E09">
                  <w:r>
                    <w:t>August 2019</w:t>
                  </w:r>
                </w:p>
              </w:tc>
            </w:tr>
            <w:tr w:rsidR="00C47E09" w:rsidRPr="005F37CF" w14:paraId="10BCF2EE" w14:textId="77777777" w:rsidTr="001E718F">
              <w:trPr>
                <w:trHeight w:val="580"/>
              </w:trPr>
              <w:tc>
                <w:tcPr>
                  <w:tcW w:w="604" w:type="dxa"/>
                </w:tcPr>
                <w:p w14:paraId="74553E7D" w14:textId="77777777" w:rsidR="00C47E09" w:rsidRPr="001E718F" w:rsidRDefault="00C47E09" w:rsidP="00C47E09">
                  <w:r w:rsidRPr="001E718F">
                    <w:t>17.</w:t>
                  </w:r>
                </w:p>
              </w:tc>
              <w:tc>
                <w:tcPr>
                  <w:tcW w:w="5387" w:type="dxa"/>
                </w:tcPr>
                <w:p w14:paraId="054B3A0C" w14:textId="77777777" w:rsidR="00C47E09" w:rsidRPr="0087193F" w:rsidRDefault="00C47E09" w:rsidP="00C47E09">
                  <w:r w:rsidRPr="0087193F">
                    <w:t>Award notices sent to successful Providers</w:t>
                  </w:r>
                </w:p>
              </w:tc>
              <w:tc>
                <w:tcPr>
                  <w:tcW w:w="3208" w:type="dxa"/>
                </w:tcPr>
                <w:p w14:paraId="31FEA2EC" w14:textId="77777777" w:rsidR="00C47E09" w:rsidRPr="0087193F" w:rsidRDefault="00C47E09" w:rsidP="00C47E09">
                  <w:r>
                    <w:t>September 2019</w:t>
                  </w:r>
                </w:p>
              </w:tc>
            </w:tr>
            <w:tr w:rsidR="00C47E09" w:rsidRPr="005F37CF" w14:paraId="09A9B6CB" w14:textId="77777777" w:rsidTr="001E718F">
              <w:trPr>
                <w:trHeight w:val="580"/>
              </w:trPr>
              <w:tc>
                <w:tcPr>
                  <w:tcW w:w="604" w:type="dxa"/>
                </w:tcPr>
                <w:p w14:paraId="3BC05AF8" w14:textId="77777777" w:rsidR="00C47E09" w:rsidRPr="001E718F" w:rsidRDefault="00C47E09" w:rsidP="00C47E09">
                  <w:r w:rsidRPr="001E718F">
                    <w:t>1</w:t>
                  </w:r>
                  <w:r>
                    <w:t>8</w:t>
                  </w:r>
                  <w:r w:rsidRPr="001E718F">
                    <w:t>.</w:t>
                  </w:r>
                </w:p>
              </w:tc>
              <w:tc>
                <w:tcPr>
                  <w:tcW w:w="5387" w:type="dxa"/>
                </w:tcPr>
                <w:p w14:paraId="5D6EB302" w14:textId="77777777" w:rsidR="00C47E09" w:rsidRPr="0087193F" w:rsidRDefault="00C47E09" w:rsidP="00C47E09">
                  <w:r w:rsidRPr="0087193F">
                    <w:t>Pre-start activity</w:t>
                  </w:r>
                </w:p>
              </w:tc>
              <w:tc>
                <w:tcPr>
                  <w:tcW w:w="3208" w:type="dxa"/>
                </w:tcPr>
                <w:p w14:paraId="7AD64889" w14:textId="77777777" w:rsidR="00C47E09" w:rsidRPr="0087193F" w:rsidRDefault="00C47E09" w:rsidP="00C47E09">
                  <w:r>
                    <w:t>September 2019</w:t>
                  </w:r>
                </w:p>
              </w:tc>
            </w:tr>
            <w:tr w:rsidR="00C47E09" w:rsidRPr="005F37CF" w14:paraId="7F0F56F7" w14:textId="77777777" w:rsidTr="001E718F">
              <w:trPr>
                <w:trHeight w:val="580"/>
              </w:trPr>
              <w:tc>
                <w:tcPr>
                  <w:tcW w:w="604" w:type="dxa"/>
                </w:tcPr>
                <w:p w14:paraId="4ED64982" w14:textId="77777777" w:rsidR="00C47E09" w:rsidRPr="001E718F" w:rsidRDefault="00C47E09" w:rsidP="00C47E09">
                  <w:r w:rsidRPr="001E718F">
                    <w:t>1</w:t>
                  </w:r>
                  <w:r>
                    <w:t>9</w:t>
                  </w:r>
                  <w:r w:rsidRPr="001E718F">
                    <w:t>.</w:t>
                  </w:r>
                </w:p>
              </w:tc>
              <w:tc>
                <w:tcPr>
                  <w:tcW w:w="5387" w:type="dxa"/>
                </w:tcPr>
                <w:p w14:paraId="0DCEF02C" w14:textId="77777777" w:rsidR="00C47E09" w:rsidRPr="0087193F" w:rsidRDefault="00C47E09" w:rsidP="00C47E09">
                  <w:r w:rsidRPr="0087193F">
                    <w:t>Contract commences</w:t>
                  </w:r>
                </w:p>
              </w:tc>
              <w:tc>
                <w:tcPr>
                  <w:tcW w:w="3208" w:type="dxa"/>
                </w:tcPr>
                <w:p w14:paraId="56E089B2" w14:textId="77777777" w:rsidR="00C47E09" w:rsidRPr="0087193F" w:rsidRDefault="00C47E09" w:rsidP="00C47E09">
                  <w:r>
                    <w:t>1 October 2019</w:t>
                  </w:r>
                </w:p>
              </w:tc>
            </w:tr>
          </w:tbl>
          <w:p w14:paraId="0A8831C0" w14:textId="77777777" w:rsidR="009740A1" w:rsidRPr="00C06484" w:rsidRDefault="009740A1" w:rsidP="005D2247">
            <w:pPr>
              <w:rPr>
                <w:color w:val="FF0000"/>
              </w:rPr>
            </w:pPr>
          </w:p>
          <w:p w14:paraId="04684C04" w14:textId="77777777" w:rsidR="00D93505" w:rsidRPr="00C06484" w:rsidRDefault="00D93505" w:rsidP="009A0B59">
            <w:pPr>
              <w:rPr>
                <w:b/>
                <w:color w:val="FF0000"/>
              </w:rPr>
            </w:pPr>
          </w:p>
        </w:tc>
      </w:tr>
      <w:tr w:rsidR="005D2247" w:rsidRPr="00C06484" w14:paraId="27D12FC7" w14:textId="77777777" w:rsidTr="00E03ABE">
        <w:tc>
          <w:tcPr>
            <w:tcW w:w="839" w:type="dxa"/>
          </w:tcPr>
          <w:p w14:paraId="150FE452" w14:textId="77777777" w:rsidR="005D2247" w:rsidRPr="002859E5" w:rsidRDefault="001A7C2A" w:rsidP="005D2247">
            <w:pPr>
              <w:rPr>
                <w:b/>
                <w:color w:val="000000" w:themeColor="text1"/>
                <w:sz w:val="28"/>
                <w:szCs w:val="32"/>
              </w:rPr>
            </w:pPr>
            <w:r>
              <w:rPr>
                <w:b/>
                <w:color w:val="000000" w:themeColor="text1"/>
                <w:sz w:val="28"/>
                <w:szCs w:val="32"/>
              </w:rPr>
              <w:lastRenderedPageBreak/>
              <w:t>8</w:t>
            </w:r>
            <w:r w:rsidR="005D2247" w:rsidRPr="002859E5">
              <w:rPr>
                <w:b/>
                <w:color w:val="000000" w:themeColor="text1"/>
                <w:sz w:val="28"/>
                <w:szCs w:val="32"/>
              </w:rPr>
              <w:t>.</w:t>
            </w:r>
          </w:p>
        </w:tc>
        <w:tc>
          <w:tcPr>
            <w:tcW w:w="9793" w:type="dxa"/>
          </w:tcPr>
          <w:p w14:paraId="1DB6E6D9" w14:textId="77777777" w:rsidR="005D2247" w:rsidRPr="002859E5" w:rsidRDefault="005D2247" w:rsidP="005D2247">
            <w:pPr>
              <w:rPr>
                <w:b/>
                <w:color w:val="000000" w:themeColor="text1"/>
                <w:sz w:val="28"/>
                <w:szCs w:val="32"/>
              </w:rPr>
            </w:pPr>
            <w:r w:rsidRPr="00C47E09">
              <w:rPr>
                <w:b/>
                <w:color w:val="000000" w:themeColor="text1"/>
                <w:sz w:val="28"/>
                <w:szCs w:val="32"/>
              </w:rPr>
              <w:t>Social Value</w:t>
            </w:r>
          </w:p>
          <w:p w14:paraId="0CC2CA22" w14:textId="77777777" w:rsidR="00857A97" w:rsidRPr="002859E5" w:rsidRDefault="00857A97" w:rsidP="005D2247">
            <w:pPr>
              <w:rPr>
                <w:color w:val="000000" w:themeColor="text1"/>
                <w:sz w:val="28"/>
                <w:szCs w:val="32"/>
              </w:rPr>
            </w:pPr>
          </w:p>
        </w:tc>
      </w:tr>
      <w:tr w:rsidR="005D2247" w:rsidRPr="00C06484" w14:paraId="21C13A8E" w14:textId="77777777" w:rsidTr="00E03ABE">
        <w:tc>
          <w:tcPr>
            <w:tcW w:w="839" w:type="dxa"/>
          </w:tcPr>
          <w:p w14:paraId="1F22AC54" w14:textId="77777777" w:rsidR="005D2247" w:rsidRPr="00AC7A80" w:rsidRDefault="005D2247" w:rsidP="005D2247">
            <w:pPr>
              <w:rPr>
                <w:b/>
                <w:color w:val="000000" w:themeColor="text1"/>
                <w:sz w:val="32"/>
                <w:szCs w:val="32"/>
              </w:rPr>
            </w:pPr>
          </w:p>
        </w:tc>
        <w:tc>
          <w:tcPr>
            <w:tcW w:w="9793" w:type="dxa"/>
          </w:tcPr>
          <w:p w14:paraId="1039CD7D" w14:textId="77777777" w:rsidR="00D83115" w:rsidRDefault="00D83115" w:rsidP="005D2247">
            <w:pPr>
              <w:rPr>
                <w:rFonts w:cs="Arial"/>
                <w:color w:val="000000" w:themeColor="text1"/>
              </w:rPr>
            </w:pPr>
          </w:p>
          <w:p w14:paraId="148CE604" w14:textId="77777777" w:rsidR="005D2247" w:rsidRPr="00AC7A80" w:rsidRDefault="005D2247" w:rsidP="005D2247">
            <w:pPr>
              <w:rPr>
                <w:rFonts w:cs="Arial"/>
                <w:color w:val="000000" w:themeColor="text1"/>
              </w:rPr>
            </w:pPr>
            <w:r w:rsidRPr="00AC7A80">
              <w:rPr>
                <w:rFonts w:cs="Arial"/>
                <w:color w:val="000000" w:themeColor="text1"/>
              </w:rPr>
              <w:t xml:space="preserve">The North East region has made a commitment to consider Social Value within the </w:t>
            </w:r>
            <w:r w:rsidR="004A4DF0">
              <w:rPr>
                <w:rFonts w:cs="Arial"/>
                <w:color w:val="000000" w:themeColor="text1"/>
              </w:rPr>
              <w:t>commissioning</w:t>
            </w:r>
            <w:r w:rsidRPr="00AC7A80">
              <w:rPr>
                <w:rFonts w:cs="Arial"/>
                <w:color w:val="000000" w:themeColor="text1"/>
              </w:rPr>
              <w:t xml:space="preserve"> </w:t>
            </w:r>
            <w:r w:rsidR="004A4DF0">
              <w:rPr>
                <w:rFonts w:cs="Arial"/>
                <w:color w:val="000000" w:themeColor="text1"/>
              </w:rPr>
              <w:t>and procurement process</w:t>
            </w:r>
            <w:r w:rsidRPr="00AC7A80">
              <w:rPr>
                <w:rFonts w:cs="Arial"/>
                <w:color w:val="000000" w:themeColor="text1"/>
              </w:rPr>
              <w:t>.  N</w:t>
            </w:r>
            <w:r w:rsidR="00D83115">
              <w:rPr>
                <w:rFonts w:cs="Arial"/>
                <w:color w:val="000000" w:themeColor="text1"/>
              </w:rPr>
              <w:t>ewcastle City Council</w:t>
            </w:r>
            <w:r w:rsidRPr="00AC7A80">
              <w:rPr>
                <w:rFonts w:cs="Arial"/>
                <w:color w:val="000000" w:themeColor="text1"/>
              </w:rPr>
              <w:t xml:space="preserve"> has developed an approach to identify Social Value within the commissioning</w:t>
            </w:r>
            <w:r w:rsidR="004A4DF0">
              <w:rPr>
                <w:rFonts w:cs="Arial"/>
                <w:color w:val="000000" w:themeColor="text1"/>
              </w:rPr>
              <w:t xml:space="preserve"> phase</w:t>
            </w:r>
            <w:r w:rsidRPr="00AC7A80">
              <w:rPr>
                <w:rFonts w:cs="Arial"/>
                <w:color w:val="000000" w:themeColor="text1"/>
              </w:rPr>
              <w:t xml:space="preserve"> therefore the N</w:t>
            </w:r>
            <w:r w:rsidR="00D23FED">
              <w:rPr>
                <w:rFonts w:cs="Arial"/>
                <w:color w:val="000000" w:themeColor="text1"/>
              </w:rPr>
              <w:t>E7</w:t>
            </w:r>
            <w:r w:rsidRPr="00AC7A80">
              <w:rPr>
                <w:rFonts w:cs="Arial"/>
                <w:color w:val="000000" w:themeColor="text1"/>
              </w:rPr>
              <w:t xml:space="preserve"> Collaborative are utilising the Lead Authority’s approach to Social Value.  Newcastle City Council</w:t>
            </w:r>
            <w:r w:rsidR="00D83115">
              <w:rPr>
                <w:rFonts w:cs="Arial"/>
                <w:color w:val="000000" w:themeColor="text1"/>
              </w:rPr>
              <w:t>’</w:t>
            </w:r>
            <w:r w:rsidRPr="00AC7A80">
              <w:rPr>
                <w:rFonts w:cs="Arial"/>
                <w:color w:val="000000" w:themeColor="text1"/>
              </w:rPr>
              <w:t>s Social Value Commitment sets out five principles of Social Value, which must form the basis of our Social Value focused activities throughout our commissioning and procurement cycle.  These are:</w:t>
            </w:r>
          </w:p>
          <w:p w14:paraId="7C60E45E" w14:textId="77777777" w:rsidR="005D2247" w:rsidRPr="00AC7A80" w:rsidRDefault="005D2247" w:rsidP="005D2247">
            <w:pPr>
              <w:rPr>
                <w:rFonts w:cs="Arial"/>
                <w:color w:val="000000" w:themeColor="text1"/>
              </w:rPr>
            </w:pPr>
          </w:p>
          <w:p w14:paraId="2C25DDD7"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 thinking about local benefit first</w:t>
            </w:r>
          </w:p>
          <w:p w14:paraId="43BC45F7" w14:textId="77777777" w:rsidR="00315398" w:rsidRPr="00315398" w:rsidRDefault="00315398" w:rsidP="00315398">
            <w:pPr>
              <w:rPr>
                <w:rFonts w:cs="Arial"/>
                <w:color w:val="000000" w:themeColor="text1"/>
              </w:rPr>
            </w:pPr>
          </w:p>
          <w:p w14:paraId="28D4EBCD"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 thinking about the value that could accrue to whole communities (as distinct from customer or service user groups)</w:t>
            </w:r>
          </w:p>
          <w:p w14:paraId="0B66CD80" w14:textId="77777777" w:rsidR="00315398" w:rsidRPr="00AC7A80" w:rsidRDefault="00315398" w:rsidP="00315398">
            <w:pPr>
              <w:pStyle w:val="ListParagraph"/>
              <w:ind w:left="330"/>
              <w:rPr>
                <w:rFonts w:cs="Arial"/>
                <w:color w:val="000000" w:themeColor="text1"/>
              </w:rPr>
            </w:pPr>
          </w:p>
          <w:p w14:paraId="01E6598E"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 thinking about how we make sure our suppliers and their supply chains operate in line with Local Authority principles</w:t>
            </w:r>
          </w:p>
          <w:p w14:paraId="7D065CF2" w14:textId="77777777" w:rsidR="00315398" w:rsidRPr="00315398" w:rsidRDefault="00315398" w:rsidP="00315398">
            <w:pPr>
              <w:rPr>
                <w:rFonts w:cs="Arial"/>
                <w:color w:val="000000" w:themeColor="text1"/>
              </w:rPr>
            </w:pPr>
          </w:p>
          <w:p w14:paraId="7828B13D" w14:textId="77777777" w:rsidR="005D2247"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 thinking broadly about the environmental and sustainability aspects of our commissioning</w:t>
            </w:r>
          </w:p>
          <w:p w14:paraId="4C2475B5" w14:textId="77777777" w:rsidR="00315398" w:rsidRPr="00315398" w:rsidRDefault="00315398" w:rsidP="00315398">
            <w:pPr>
              <w:rPr>
                <w:rFonts w:cs="Arial"/>
                <w:color w:val="000000" w:themeColor="text1"/>
              </w:rPr>
            </w:pPr>
          </w:p>
          <w:p w14:paraId="2DC48708"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b/>
                <w:color w:val="000000" w:themeColor="text1"/>
              </w:rPr>
              <w:t>Enabling Change</w:t>
            </w:r>
            <w:r w:rsidRPr="00AC7A80">
              <w:rPr>
                <w:rFonts w:cs="Arial"/>
                <w:color w:val="000000" w:themeColor="text1"/>
              </w:rPr>
              <w:t xml:space="preserve"> – making sure stakeholders have knowledge, information and skills to be able to make Social Value real</w:t>
            </w:r>
          </w:p>
          <w:p w14:paraId="677D156C" w14:textId="77777777" w:rsidR="005D2247" w:rsidRPr="00AC7A80" w:rsidRDefault="005D2247" w:rsidP="005D2247">
            <w:pPr>
              <w:rPr>
                <w:rFonts w:cs="Arial"/>
                <w:color w:val="000000" w:themeColor="text1"/>
              </w:rPr>
            </w:pPr>
          </w:p>
          <w:p w14:paraId="44ABB011" w14:textId="77777777" w:rsidR="001041D0" w:rsidRPr="00AC7A80" w:rsidRDefault="005D2247" w:rsidP="005D2247">
            <w:pPr>
              <w:rPr>
                <w:rFonts w:cs="Arial"/>
                <w:color w:val="000000" w:themeColor="text1"/>
              </w:rPr>
            </w:pPr>
            <w:r w:rsidRPr="00AC7A80">
              <w:rPr>
                <w:rFonts w:cs="Arial"/>
                <w:color w:val="000000" w:themeColor="text1"/>
              </w:rPr>
              <w:t>Social Value can be built in throughout a commissioning process.  Indeed, the best opportunities to drive Social Value appear right at the beginning of the process, before any decisions are made.  We can potentially build in Social Value by incorporating it into:</w:t>
            </w:r>
          </w:p>
          <w:p w14:paraId="098E623B"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overall commissioning model design</w:t>
            </w:r>
          </w:p>
          <w:p w14:paraId="365B340C"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contract requirements;</w:t>
            </w:r>
          </w:p>
          <w:p w14:paraId="63E87631"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specification(s);</w:t>
            </w:r>
          </w:p>
          <w:p w14:paraId="680B1ABA"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the evaluation questions,</w:t>
            </w:r>
          </w:p>
          <w:p w14:paraId="0D0D451D"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contract monitoring arrangements, and</w:t>
            </w:r>
          </w:p>
          <w:p w14:paraId="51212075"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how we apply monitoring findings to inform new commissions.</w:t>
            </w:r>
          </w:p>
          <w:p w14:paraId="7EE707CF" w14:textId="77777777" w:rsidR="005D2247" w:rsidRPr="00AC7A80" w:rsidRDefault="005D2247" w:rsidP="005D2247">
            <w:pPr>
              <w:rPr>
                <w:color w:val="000000" w:themeColor="text1"/>
              </w:rPr>
            </w:pPr>
          </w:p>
          <w:p w14:paraId="00239234" w14:textId="77777777" w:rsidR="005D2247" w:rsidRPr="00AC7A80" w:rsidRDefault="005D2247" w:rsidP="005D2247">
            <w:pPr>
              <w:rPr>
                <w:color w:val="000000" w:themeColor="text1"/>
              </w:rPr>
            </w:pPr>
            <w:proofErr w:type="gramStart"/>
            <w:r w:rsidRPr="00AC7A80">
              <w:rPr>
                <w:color w:val="000000" w:themeColor="text1"/>
              </w:rPr>
              <w:t>In order to</w:t>
            </w:r>
            <w:proofErr w:type="gramEnd"/>
            <w:r w:rsidRPr="00AC7A80">
              <w:rPr>
                <w:color w:val="000000" w:themeColor="text1"/>
              </w:rPr>
              <w:t xml:space="preserve"> implement its Commitment, the </w:t>
            </w:r>
            <w:r w:rsidR="00B65444">
              <w:rPr>
                <w:color w:val="000000" w:themeColor="text1"/>
              </w:rPr>
              <w:t>NE7</w:t>
            </w:r>
            <w:r w:rsidRPr="00AC7A80">
              <w:rPr>
                <w:color w:val="000000" w:themeColor="text1"/>
              </w:rPr>
              <w:t xml:space="preserve"> Collaborative has been considering all feedback received during the commissioning phase to determine the best way to incorporate Social Value into the design of </w:t>
            </w:r>
            <w:r w:rsidR="00B65444">
              <w:rPr>
                <w:color w:val="000000" w:themeColor="text1"/>
              </w:rPr>
              <w:t>the NE7</w:t>
            </w:r>
            <w:r w:rsidRPr="00AC7A80">
              <w:rPr>
                <w:color w:val="000000" w:themeColor="text1"/>
              </w:rPr>
              <w:t xml:space="preserve"> solution from </w:t>
            </w:r>
            <w:r w:rsidR="00B65444">
              <w:rPr>
                <w:color w:val="000000" w:themeColor="text1"/>
              </w:rPr>
              <w:t>October 2019</w:t>
            </w:r>
            <w:r w:rsidRPr="00AC7A80">
              <w:rPr>
                <w:color w:val="000000" w:themeColor="text1"/>
              </w:rPr>
              <w:t xml:space="preserve"> onwards.</w:t>
            </w:r>
          </w:p>
          <w:p w14:paraId="6FAC8E0F" w14:textId="77777777" w:rsidR="00D93505" w:rsidRDefault="00D93505" w:rsidP="005D2247">
            <w:pPr>
              <w:rPr>
                <w:color w:val="000000" w:themeColor="text1"/>
              </w:rPr>
            </w:pPr>
          </w:p>
          <w:p w14:paraId="49D2C5FE" w14:textId="77777777" w:rsidR="005D2247" w:rsidRPr="00AC7A80" w:rsidRDefault="005D2247" w:rsidP="005D2247">
            <w:pPr>
              <w:rPr>
                <w:color w:val="000000" w:themeColor="text1"/>
              </w:rPr>
            </w:pPr>
            <w:r w:rsidRPr="00AC7A80">
              <w:rPr>
                <w:color w:val="000000" w:themeColor="text1"/>
              </w:rPr>
              <w:t>The key themes identified to date have included:</w:t>
            </w:r>
          </w:p>
          <w:p w14:paraId="360282C2" w14:textId="77777777" w:rsidR="005D2247" w:rsidRPr="00AC7A80" w:rsidRDefault="005D2247" w:rsidP="005D2247">
            <w:pPr>
              <w:rPr>
                <w:color w:val="000000" w:themeColor="text1"/>
              </w:rPr>
            </w:pPr>
          </w:p>
          <w:p w14:paraId="195F0C05" w14:textId="77777777" w:rsidR="003170F2" w:rsidRPr="00AC7A80" w:rsidRDefault="005D2247" w:rsidP="005D2247">
            <w:pPr>
              <w:rPr>
                <w:rFonts w:cs="Arial"/>
                <w:color w:val="000000" w:themeColor="text1"/>
              </w:rPr>
            </w:pPr>
            <w:r w:rsidRPr="00AC7A80">
              <w:rPr>
                <w:rFonts w:cs="Arial"/>
                <w:b/>
                <w:color w:val="000000" w:themeColor="text1"/>
              </w:rPr>
              <w:t>Think, Act, Support North East</w:t>
            </w:r>
            <w:r w:rsidRPr="00AC7A80">
              <w:rPr>
                <w:rFonts w:cs="Arial"/>
                <w:color w:val="000000" w:themeColor="text1"/>
              </w:rPr>
              <w:t xml:space="preserve"> </w:t>
            </w:r>
          </w:p>
          <w:p w14:paraId="6E5CD07D"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 xml:space="preserve">The development of Lotting Structure provides opportunities </w:t>
            </w:r>
            <w:r w:rsidR="004A4DF0">
              <w:rPr>
                <w:rFonts w:cs="Arial"/>
                <w:color w:val="000000" w:themeColor="text1"/>
              </w:rPr>
              <w:t>for our local North East carers market</w:t>
            </w:r>
          </w:p>
          <w:p w14:paraId="79B73FD8" w14:textId="77777777" w:rsidR="005D2247" w:rsidRPr="00AC7A80" w:rsidRDefault="005D2247" w:rsidP="005D2247">
            <w:pPr>
              <w:pStyle w:val="ListParagraph"/>
              <w:numPr>
                <w:ilvl w:val="0"/>
                <w:numId w:val="3"/>
              </w:numPr>
              <w:ind w:left="330" w:hanging="330"/>
              <w:rPr>
                <w:rFonts w:cs="Arial"/>
                <w:color w:val="000000" w:themeColor="text1"/>
              </w:rPr>
            </w:pPr>
            <w:r w:rsidRPr="00AC7A80">
              <w:rPr>
                <w:rFonts w:cs="Arial"/>
                <w:color w:val="000000" w:themeColor="text1"/>
              </w:rPr>
              <w:t>Develop markets to increase the local offer and choice to the Participating</w:t>
            </w:r>
            <w:r w:rsidR="00667535">
              <w:rPr>
                <w:rFonts w:cs="Arial"/>
                <w:color w:val="000000" w:themeColor="text1"/>
              </w:rPr>
              <w:t xml:space="preserve"> Authorities</w:t>
            </w:r>
            <w:r w:rsidR="00A26447">
              <w:rPr>
                <w:rFonts w:cs="Arial"/>
                <w:color w:val="000000" w:themeColor="text1"/>
              </w:rPr>
              <w:t>,</w:t>
            </w:r>
            <w:r w:rsidRPr="00AC7A80">
              <w:rPr>
                <w:rFonts w:cs="Arial"/>
                <w:color w:val="000000" w:themeColor="text1"/>
              </w:rPr>
              <w:t xml:space="preserve"> filling current gaps in provision</w:t>
            </w:r>
            <w:r w:rsidR="00667535">
              <w:rPr>
                <w:rFonts w:cs="Arial"/>
                <w:color w:val="000000" w:themeColor="text1"/>
              </w:rPr>
              <w:t>.</w:t>
            </w:r>
          </w:p>
          <w:p w14:paraId="06194C2A" w14:textId="77777777" w:rsidR="005D2247" w:rsidRPr="00AC7A80" w:rsidRDefault="005D2247" w:rsidP="005D2247">
            <w:pPr>
              <w:ind w:left="360"/>
              <w:rPr>
                <w:rFonts w:cs="Arial"/>
                <w:color w:val="000000" w:themeColor="text1"/>
              </w:rPr>
            </w:pPr>
          </w:p>
          <w:p w14:paraId="138BA321" w14:textId="77777777" w:rsidR="005D2247" w:rsidRPr="00AC7A80" w:rsidRDefault="005D2247" w:rsidP="005D2247">
            <w:pPr>
              <w:rPr>
                <w:rFonts w:cs="Arial"/>
                <w:color w:val="000000" w:themeColor="text1"/>
              </w:rPr>
            </w:pPr>
            <w:r w:rsidRPr="00AC7A80">
              <w:rPr>
                <w:rFonts w:cs="Arial"/>
                <w:b/>
                <w:color w:val="000000" w:themeColor="text1"/>
              </w:rPr>
              <w:t>Community Focused</w:t>
            </w:r>
            <w:r w:rsidRPr="00AC7A80">
              <w:rPr>
                <w:rFonts w:cs="Arial"/>
                <w:color w:val="000000" w:themeColor="text1"/>
              </w:rPr>
              <w:t xml:space="preserve"> </w:t>
            </w:r>
          </w:p>
          <w:p w14:paraId="6EFDE17B" w14:textId="77777777" w:rsidR="005D2247" w:rsidRPr="00A26447" w:rsidRDefault="004A4DF0" w:rsidP="005D2247">
            <w:pPr>
              <w:pStyle w:val="ListParagraph"/>
              <w:numPr>
                <w:ilvl w:val="0"/>
                <w:numId w:val="3"/>
              </w:numPr>
              <w:ind w:left="330" w:hanging="330"/>
              <w:rPr>
                <w:rFonts w:cs="Arial"/>
                <w:color w:val="000000" w:themeColor="text1"/>
              </w:rPr>
            </w:pPr>
            <w:r w:rsidRPr="00A26447">
              <w:rPr>
                <w:rFonts w:cs="Arial"/>
                <w:color w:val="000000" w:themeColor="text1"/>
              </w:rPr>
              <w:t>Core</w:t>
            </w:r>
            <w:r w:rsidR="005D2247" w:rsidRPr="00A26447">
              <w:rPr>
                <w:rFonts w:cs="Arial"/>
                <w:color w:val="000000" w:themeColor="text1"/>
              </w:rPr>
              <w:t xml:space="preserve"> Service Requirements (Service Specification) has been developed to include requirements for Providers to:</w:t>
            </w:r>
          </w:p>
          <w:p w14:paraId="1CC02A3D" w14:textId="77777777" w:rsidR="004A4DF0" w:rsidRDefault="005D2247" w:rsidP="004A4DF0">
            <w:pPr>
              <w:pStyle w:val="ListParagraph"/>
              <w:numPr>
                <w:ilvl w:val="0"/>
                <w:numId w:val="44"/>
              </w:numPr>
              <w:contextualSpacing w:val="0"/>
              <w:rPr>
                <w:color w:val="000000" w:themeColor="text1"/>
              </w:rPr>
            </w:pPr>
            <w:r w:rsidRPr="00AC7A80">
              <w:rPr>
                <w:color w:val="000000" w:themeColor="text1"/>
              </w:rPr>
              <w:t>provide allowances to enable after school activities and promote ‘joining in’</w:t>
            </w:r>
          </w:p>
          <w:p w14:paraId="1321380F" w14:textId="77777777" w:rsidR="004A4DF0" w:rsidRPr="004A4DF0" w:rsidRDefault="004A4DF0" w:rsidP="004A4DF0">
            <w:pPr>
              <w:pStyle w:val="ListParagraph"/>
              <w:numPr>
                <w:ilvl w:val="0"/>
                <w:numId w:val="44"/>
              </w:numPr>
              <w:contextualSpacing w:val="0"/>
              <w:rPr>
                <w:color w:val="000000" w:themeColor="text1"/>
              </w:rPr>
            </w:pPr>
            <w:r>
              <w:rPr>
                <w:color w:val="000000" w:themeColor="text1"/>
              </w:rPr>
              <w:t>maintain links with local communities, including schools</w:t>
            </w:r>
            <w:r w:rsidR="00A26447">
              <w:rPr>
                <w:color w:val="000000" w:themeColor="text1"/>
              </w:rPr>
              <w:t>,</w:t>
            </w:r>
            <w:r>
              <w:rPr>
                <w:color w:val="000000" w:themeColor="text1"/>
              </w:rPr>
              <w:t xml:space="preserve"> family an</w:t>
            </w:r>
            <w:r w:rsidR="00A26447">
              <w:rPr>
                <w:color w:val="000000" w:themeColor="text1"/>
              </w:rPr>
              <w:t>d</w:t>
            </w:r>
            <w:r>
              <w:rPr>
                <w:color w:val="000000" w:themeColor="text1"/>
              </w:rPr>
              <w:t xml:space="preserve"> friends</w:t>
            </w:r>
          </w:p>
          <w:p w14:paraId="7E07F476" w14:textId="0E31C2D9" w:rsidR="005D2247" w:rsidRPr="00A57E67" w:rsidRDefault="005D2247" w:rsidP="005D2247">
            <w:pPr>
              <w:pStyle w:val="ListParagraph"/>
              <w:numPr>
                <w:ilvl w:val="0"/>
                <w:numId w:val="3"/>
              </w:numPr>
              <w:ind w:left="330" w:hanging="330"/>
              <w:contextualSpacing w:val="0"/>
              <w:rPr>
                <w:color w:val="000000" w:themeColor="text1"/>
              </w:rPr>
            </w:pPr>
            <w:r w:rsidRPr="00AC7A80">
              <w:rPr>
                <w:color w:val="000000" w:themeColor="text1"/>
              </w:rPr>
              <w:t>Parent/Carer and Child/Young Person User Survey feedback will be used to inform evaluation criteria.</w:t>
            </w:r>
          </w:p>
          <w:p w14:paraId="123A462F" w14:textId="77777777" w:rsidR="00315398" w:rsidRDefault="00315398" w:rsidP="005D2247">
            <w:pPr>
              <w:rPr>
                <w:rFonts w:cs="Arial"/>
                <w:b/>
                <w:color w:val="000000" w:themeColor="text1"/>
              </w:rPr>
            </w:pPr>
          </w:p>
          <w:p w14:paraId="60A34187" w14:textId="77777777" w:rsidR="005D2247" w:rsidRPr="00AC7A80" w:rsidRDefault="005D2247" w:rsidP="005D2247">
            <w:pPr>
              <w:rPr>
                <w:rFonts w:cs="Arial"/>
                <w:color w:val="000000" w:themeColor="text1"/>
              </w:rPr>
            </w:pPr>
            <w:r w:rsidRPr="00AC7A80">
              <w:rPr>
                <w:rFonts w:cs="Arial"/>
                <w:b/>
                <w:color w:val="000000" w:themeColor="text1"/>
              </w:rPr>
              <w:t>Ethical Leadership</w:t>
            </w:r>
            <w:r w:rsidRPr="00AC7A80">
              <w:rPr>
                <w:rFonts w:cs="Arial"/>
                <w:color w:val="000000" w:themeColor="text1"/>
              </w:rPr>
              <w:t xml:space="preserve"> </w:t>
            </w:r>
          </w:p>
          <w:p w14:paraId="490D71F7" w14:textId="401C653B" w:rsidR="008A59F1" w:rsidRPr="00A57E67" w:rsidRDefault="00EE0C4B" w:rsidP="00A57E67">
            <w:pPr>
              <w:pStyle w:val="ListParagraph"/>
              <w:numPr>
                <w:ilvl w:val="0"/>
                <w:numId w:val="3"/>
              </w:numPr>
              <w:ind w:left="330" w:hanging="330"/>
              <w:rPr>
                <w:rFonts w:cs="Arial"/>
                <w:color w:val="000000" w:themeColor="text1"/>
              </w:rPr>
            </w:pPr>
            <w:r w:rsidRPr="00A26447">
              <w:rPr>
                <w:rFonts w:cs="Arial"/>
                <w:color w:val="000000" w:themeColor="text1"/>
              </w:rPr>
              <w:t>A programme of training and support will be</w:t>
            </w:r>
            <w:r w:rsidR="005D2247" w:rsidRPr="00A26447">
              <w:rPr>
                <w:rFonts w:cs="Arial"/>
                <w:color w:val="000000" w:themeColor="text1"/>
              </w:rPr>
              <w:t xml:space="preserve"> developed for </w:t>
            </w:r>
            <w:r w:rsidR="00B65444" w:rsidRPr="00A26447">
              <w:rPr>
                <w:rFonts w:cs="Arial"/>
                <w:color w:val="000000" w:themeColor="text1"/>
              </w:rPr>
              <w:t>Carers</w:t>
            </w:r>
            <w:r w:rsidR="005D2247" w:rsidRPr="00A26447">
              <w:rPr>
                <w:rFonts w:cs="Arial"/>
                <w:color w:val="000000" w:themeColor="text1"/>
              </w:rPr>
              <w:t xml:space="preserve"> to ensure appropriate learning and development opportunities for all</w:t>
            </w:r>
            <w:r w:rsidR="00443ED1">
              <w:rPr>
                <w:rFonts w:cs="Arial"/>
                <w:color w:val="000000" w:themeColor="text1"/>
              </w:rPr>
              <w:t>,</w:t>
            </w:r>
            <w:r w:rsidR="00A26447">
              <w:rPr>
                <w:rFonts w:cs="Arial"/>
                <w:color w:val="000000" w:themeColor="text1"/>
              </w:rPr>
              <w:t xml:space="preserve"> and</w:t>
            </w:r>
            <w:r w:rsidR="00667535" w:rsidRPr="00A26447">
              <w:rPr>
                <w:rFonts w:cs="Arial"/>
                <w:color w:val="000000" w:themeColor="text1"/>
              </w:rPr>
              <w:t xml:space="preserve"> </w:t>
            </w:r>
            <w:r w:rsidRPr="00A26447">
              <w:rPr>
                <w:rFonts w:cs="Arial"/>
                <w:color w:val="000000" w:themeColor="text1"/>
              </w:rPr>
              <w:t xml:space="preserve">to </w:t>
            </w:r>
            <w:r w:rsidR="00667535" w:rsidRPr="00A26447">
              <w:rPr>
                <w:rFonts w:cs="Arial"/>
                <w:color w:val="000000" w:themeColor="text1"/>
              </w:rPr>
              <w:t>upskill to deal with more complex children</w:t>
            </w:r>
            <w:r w:rsidRPr="00A26447">
              <w:rPr>
                <w:rFonts w:cs="Arial"/>
                <w:color w:val="000000" w:themeColor="text1"/>
              </w:rPr>
              <w:t>.</w:t>
            </w:r>
          </w:p>
          <w:p w14:paraId="23D9FB35" w14:textId="77777777" w:rsidR="005D2247" w:rsidRPr="00AC7A80" w:rsidRDefault="005D2247" w:rsidP="005D2247">
            <w:pPr>
              <w:pStyle w:val="ListParagraph"/>
              <w:rPr>
                <w:rFonts w:cs="Arial"/>
                <w:color w:val="000000" w:themeColor="text1"/>
              </w:rPr>
            </w:pPr>
          </w:p>
          <w:p w14:paraId="7C86D7FF" w14:textId="77777777" w:rsidR="005D2247" w:rsidRPr="00AC7A80" w:rsidRDefault="005D2247" w:rsidP="005D2247">
            <w:pPr>
              <w:rPr>
                <w:rFonts w:cs="Arial"/>
                <w:color w:val="000000" w:themeColor="text1"/>
              </w:rPr>
            </w:pPr>
            <w:r w:rsidRPr="00AC7A80">
              <w:rPr>
                <w:rFonts w:cs="Arial"/>
                <w:b/>
                <w:color w:val="000000" w:themeColor="text1"/>
              </w:rPr>
              <w:t>Green and Sustainable</w:t>
            </w:r>
            <w:r w:rsidRPr="00AC7A80">
              <w:rPr>
                <w:rFonts w:cs="Arial"/>
                <w:color w:val="000000" w:themeColor="text1"/>
              </w:rPr>
              <w:t xml:space="preserve"> </w:t>
            </w:r>
          </w:p>
          <w:p w14:paraId="5C19573C" w14:textId="77777777" w:rsidR="005D2247" w:rsidRPr="00AC7A80" w:rsidRDefault="00B65444" w:rsidP="005D2247">
            <w:pPr>
              <w:pStyle w:val="ListParagraph"/>
              <w:numPr>
                <w:ilvl w:val="0"/>
                <w:numId w:val="3"/>
              </w:numPr>
              <w:ind w:left="330" w:hanging="330"/>
              <w:contextualSpacing w:val="0"/>
              <w:rPr>
                <w:color w:val="000000" w:themeColor="text1"/>
              </w:rPr>
            </w:pPr>
            <w:r>
              <w:rPr>
                <w:color w:val="000000" w:themeColor="text1"/>
              </w:rPr>
              <w:t>Link Officer system for c</w:t>
            </w:r>
            <w:r w:rsidR="00955422">
              <w:rPr>
                <w:color w:val="000000" w:themeColor="text1"/>
              </w:rPr>
              <w:t>ontract m</w:t>
            </w:r>
            <w:r w:rsidR="005D2247" w:rsidRPr="00AC7A80">
              <w:rPr>
                <w:color w:val="000000" w:themeColor="text1"/>
              </w:rPr>
              <w:t>onitoring will reduce travel associated with monitoring activity</w:t>
            </w:r>
            <w:r w:rsidR="00667535">
              <w:rPr>
                <w:color w:val="000000" w:themeColor="text1"/>
              </w:rPr>
              <w:t>, as Providers will receive a single visit, representing al</w:t>
            </w:r>
            <w:r w:rsidR="00443ED1">
              <w:rPr>
                <w:color w:val="000000" w:themeColor="text1"/>
              </w:rPr>
              <w:t>l seven</w:t>
            </w:r>
            <w:r w:rsidR="00667535">
              <w:rPr>
                <w:color w:val="000000" w:themeColor="text1"/>
              </w:rPr>
              <w:t xml:space="preserve"> Local Authorities</w:t>
            </w:r>
            <w:r>
              <w:rPr>
                <w:color w:val="000000" w:themeColor="text1"/>
              </w:rPr>
              <w:t xml:space="preserve">.  Desktop </w:t>
            </w:r>
            <w:r w:rsidR="005D2247" w:rsidRPr="00AC7A80">
              <w:rPr>
                <w:color w:val="000000" w:themeColor="text1"/>
              </w:rPr>
              <w:t xml:space="preserve">reviews </w:t>
            </w:r>
            <w:r>
              <w:rPr>
                <w:color w:val="000000" w:themeColor="text1"/>
              </w:rPr>
              <w:t>will be considered for Providers with no current placements.</w:t>
            </w:r>
          </w:p>
          <w:p w14:paraId="1D5B31AF" w14:textId="3528547F" w:rsidR="005D2247" w:rsidRPr="00A57E67" w:rsidRDefault="005D2247" w:rsidP="005D2247">
            <w:pPr>
              <w:pStyle w:val="ListParagraph"/>
              <w:numPr>
                <w:ilvl w:val="0"/>
                <w:numId w:val="3"/>
              </w:numPr>
              <w:ind w:left="330" w:hanging="330"/>
              <w:contextualSpacing w:val="0"/>
              <w:rPr>
                <w:color w:val="000000" w:themeColor="text1"/>
              </w:rPr>
            </w:pPr>
            <w:r w:rsidRPr="00AC7A80">
              <w:rPr>
                <w:color w:val="000000" w:themeColor="text1"/>
              </w:rPr>
              <w:t>Call-Off Alerts will take into consideration travel time and distance for Children/Young People</w:t>
            </w:r>
            <w:r w:rsidR="00D93A15">
              <w:rPr>
                <w:color w:val="000000" w:themeColor="text1"/>
              </w:rPr>
              <w:t xml:space="preserve"> to school and home.</w:t>
            </w:r>
          </w:p>
          <w:p w14:paraId="4E8DC54A" w14:textId="77777777" w:rsidR="002A1FAD" w:rsidRPr="00AC7A80" w:rsidRDefault="002A1FAD" w:rsidP="005D2247">
            <w:pPr>
              <w:rPr>
                <w:color w:val="000000" w:themeColor="text1"/>
              </w:rPr>
            </w:pPr>
          </w:p>
          <w:p w14:paraId="2FD682FF" w14:textId="77777777" w:rsidR="005D2247" w:rsidRPr="00AC7A80" w:rsidRDefault="005D2247" w:rsidP="005D2247">
            <w:pPr>
              <w:rPr>
                <w:b/>
                <w:color w:val="000000" w:themeColor="text1"/>
              </w:rPr>
            </w:pPr>
            <w:r w:rsidRPr="00AC7A80">
              <w:rPr>
                <w:b/>
                <w:color w:val="000000" w:themeColor="text1"/>
              </w:rPr>
              <w:t>Enabling Change</w:t>
            </w:r>
          </w:p>
          <w:p w14:paraId="536C45AE" w14:textId="77777777" w:rsidR="005D2247" w:rsidRPr="000470AF"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Addition of Social Value requirement within the Award Criteria for the </w:t>
            </w:r>
            <w:r w:rsidR="00443ED1">
              <w:rPr>
                <w:rFonts w:cs="Arial"/>
                <w:color w:val="000000" w:themeColor="text1"/>
              </w:rPr>
              <w:t>Flexible Procurement</w:t>
            </w:r>
            <w:r w:rsidRPr="000470AF">
              <w:rPr>
                <w:rFonts w:cs="Arial"/>
                <w:color w:val="000000" w:themeColor="text1"/>
              </w:rPr>
              <w:t xml:space="preserve"> Agreement (</w:t>
            </w:r>
            <w:r w:rsidR="006D3FDE">
              <w:rPr>
                <w:rFonts w:cs="Arial"/>
                <w:color w:val="000000" w:themeColor="text1"/>
              </w:rPr>
              <w:t xml:space="preserve">the </w:t>
            </w:r>
            <w:r w:rsidRPr="000470AF">
              <w:rPr>
                <w:rFonts w:cs="Arial"/>
                <w:color w:val="000000" w:themeColor="text1"/>
              </w:rPr>
              <w:t>Contract)</w:t>
            </w:r>
            <w:r>
              <w:rPr>
                <w:rFonts w:cs="Arial"/>
                <w:color w:val="000000" w:themeColor="text1"/>
              </w:rPr>
              <w:t>.</w:t>
            </w:r>
          </w:p>
          <w:p w14:paraId="7BBA0444" w14:textId="77777777"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Tender Ready sessions will incorporate a specific Social Value element to help Providers how they can respond to our Social Value requirements within the tender.</w:t>
            </w:r>
          </w:p>
          <w:p w14:paraId="2A429FA9" w14:textId="77777777" w:rsidR="005D2247" w:rsidRPr="00AC7A80" w:rsidRDefault="005D2247" w:rsidP="005D2247">
            <w:pPr>
              <w:pStyle w:val="ListParagraph"/>
              <w:numPr>
                <w:ilvl w:val="0"/>
                <w:numId w:val="3"/>
              </w:numPr>
              <w:ind w:left="330" w:hanging="330"/>
              <w:contextualSpacing w:val="0"/>
              <w:rPr>
                <w:color w:val="000000" w:themeColor="text1"/>
              </w:rPr>
            </w:pPr>
            <w:r w:rsidRPr="00AC7A80">
              <w:rPr>
                <w:color w:val="000000" w:themeColor="text1"/>
              </w:rPr>
              <w:t xml:space="preserve">As part of Contract </w:t>
            </w:r>
            <w:r w:rsidR="006D3FDE">
              <w:rPr>
                <w:color w:val="000000" w:themeColor="text1"/>
              </w:rPr>
              <w:t>m</w:t>
            </w:r>
            <w:r w:rsidRPr="00AC7A80">
              <w:rPr>
                <w:color w:val="000000" w:themeColor="text1"/>
              </w:rPr>
              <w:t>anagement, specific Social Value workshops will be undertaken with Providers to share best practice and enable Providers to develop their own Social Value commitment.</w:t>
            </w:r>
          </w:p>
          <w:p w14:paraId="58F3F314" w14:textId="77777777" w:rsidR="005D2247" w:rsidRPr="001E22A7" w:rsidRDefault="005D2247" w:rsidP="005D2247">
            <w:pPr>
              <w:rPr>
                <w:b/>
                <w:color w:val="000000" w:themeColor="text1"/>
              </w:rPr>
            </w:pPr>
          </w:p>
        </w:tc>
      </w:tr>
    </w:tbl>
    <w:p w14:paraId="0CF02FD5" w14:textId="77777777" w:rsidR="002E48FC" w:rsidRPr="00CA2ED4" w:rsidRDefault="002E48FC" w:rsidP="00382752">
      <w:pPr>
        <w:rPr>
          <w:color w:val="000000" w:themeColor="text1"/>
        </w:rPr>
      </w:pPr>
    </w:p>
    <w:sectPr w:rsidR="002E48FC" w:rsidRPr="00CA2ED4" w:rsidSect="00105A37">
      <w:footerReference w:type="default" r:id="rId11"/>
      <w:pgSz w:w="11907" w:h="16840" w:code="9"/>
      <w:pgMar w:top="709" w:right="1077" w:bottom="992"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D5CFF" w14:textId="77777777" w:rsidR="009D1E11" w:rsidRDefault="009D1E11" w:rsidP="00EA5B51">
      <w:r>
        <w:separator/>
      </w:r>
    </w:p>
  </w:endnote>
  <w:endnote w:type="continuationSeparator" w:id="0">
    <w:p w14:paraId="7FE33039" w14:textId="77777777" w:rsidR="009D1E11" w:rsidRDefault="009D1E11" w:rsidP="00EA5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601546"/>
      <w:docPartObj>
        <w:docPartGallery w:val="Page Numbers (Bottom of Page)"/>
        <w:docPartUnique/>
      </w:docPartObj>
    </w:sdtPr>
    <w:sdtEndPr>
      <w:rPr>
        <w:noProof/>
      </w:rPr>
    </w:sdtEndPr>
    <w:sdtContent>
      <w:p w14:paraId="164A25AC" w14:textId="77777777" w:rsidR="0016589A" w:rsidRDefault="0016589A">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3593FE5E" w14:textId="77777777" w:rsidR="0016589A" w:rsidRDefault="00165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A870" w14:textId="77777777" w:rsidR="009D1E11" w:rsidRDefault="009D1E11" w:rsidP="00EA5B51">
      <w:r>
        <w:separator/>
      </w:r>
    </w:p>
  </w:footnote>
  <w:footnote w:type="continuationSeparator" w:id="0">
    <w:p w14:paraId="49CC6A22" w14:textId="77777777" w:rsidR="009D1E11" w:rsidRDefault="009D1E11" w:rsidP="00EA5B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CD6"/>
    <w:multiLevelType w:val="multilevel"/>
    <w:tmpl w:val="E20226C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 w15:restartNumberingAfterBreak="0">
    <w:nsid w:val="084B61AC"/>
    <w:multiLevelType w:val="hybridMultilevel"/>
    <w:tmpl w:val="79868A7E"/>
    <w:lvl w:ilvl="0" w:tplc="8140DF34">
      <w:start w:val="1"/>
      <w:numFmt w:val="bullet"/>
      <w:lvlText w:val="•"/>
      <w:lvlJc w:val="left"/>
      <w:pPr>
        <w:tabs>
          <w:tab w:val="num" w:pos="720"/>
        </w:tabs>
        <w:ind w:left="720" w:hanging="360"/>
      </w:pPr>
      <w:rPr>
        <w:rFonts w:ascii="Arial" w:hAnsi="Arial" w:hint="default"/>
      </w:rPr>
    </w:lvl>
    <w:lvl w:ilvl="1" w:tplc="6266797E" w:tentative="1">
      <w:start w:val="1"/>
      <w:numFmt w:val="bullet"/>
      <w:lvlText w:val="•"/>
      <w:lvlJc w:val="left"/>
      <w:pPr>
        <w:tabs>
          <w:tab w:val="num" w:pos="1440"/>
        </w:tabs>
        <w:ind w:left="1440" w:hanging="360"/>
      </w:pPr>
      <w:rPr>
        <w:rFonts w:ascii="Arial" w:hAnsi="Arial" w:hint="default"/>
      </w:rPr>
    </w:lvl>
    <w:lvl w:ilvl="2" w:tplc="47D64F50" w:tentative="1">
      <w:start w:val="1"/>
      <w:numFmt w:val="bullet"/>
      <w:lvlText w:val="•"/>
      <w:lvlJc w:val="left"/>
      <w:pPr>
        <w:tabs>
          <w:tab w:val="num" w:pos="2160"/>
        </w:tabs>
        <w:ind w:left="2160" w:hanging="360"/>
      </w:pPr>
      <w:rPr>
        <w:rFonts w:ascii="Arial" w:hAnsi="Arial" w:hint="default"/>
      </w:rPr>
    </w:lvl>
    <w:lvl w:ilvl="3" w:tplc="0FA820FC" w:tentative="1">
      <w:start w:val="1"/>
      <w:numFmt w:val="bullet"/>
      <w:lvlText w:val="•"/>
      <w:lvlJc w:val="left"/>
      <w:pPr>
        <w:tabs>
          <w:tab w:val="num" w:pos="2880"/>
        </w:tabs>
        <w:ind w:left="2880" w:hanging="360"/>
      </w:pPr>
      <w:rPr>
        <w:rFonts w:ascii="Arial" w:hAnsi="Arial" w:hint="default"/>
      </w:rPr>
    </w:lvl>
    <w:lvl w:ilvl="4" w:tplc="B01CD2BC" w:tentative="1">
      <w:start w:val="1"/>
      <w:numFmt w:val="bullet"/>
      <w:lvlText w:val="•"/>
      <w:lvlJc w:val="left"/>
      <w:pPr>
        <w:tabs>
          <w:tab w:val="num" w:pos="3600"/>
        </w:tabs>
        <w:ind w:left="3600" w:hanging="360"/>
      </w:pPr>
      <w:rPr>
        <w:rFonts w:ascii="Arial" w:hAnsi="Arial" w:hint="default"/>
      </w:rPr>
    </w:lvl>
    <w:lvl w:ilvl="5" w:tplc="1F32481C" w:tentative="1">
      <w:start w:val="1"/>
      <w:numFmt w:val="bullet"/>
      <w:lvlText w:val="•"/>
      <w:lvlJc w:val="left"/>
      <w:pPr>
        <w:tabs>
          <w:tab w:val="num" w:pos="4320"/>
        </w:tabs>
        <w:ind w:left="4320" w:hanging="360"/>
      </w:pPr>
      <w:rPr>
        <w:rFonts w:ascii="Arial" w:hAnsi="Arial" w:hint="default"/>
      </w:rPr>
    </w:lvl>
    <w:lvl w:ilvl="6" w:tplc="C1AC9852" w:tentative="1">
      <w:start w:val="1"/>
      <w:numFmt w:val="bullet"/>
      <w:lvlText w:val="•"/>
      <w:lvlJc w:val="left"/>
      <w:pPr>
        <w:tabs>
          <w:tab w:val="num" w:pos="5040"/>
        </w:tabs>
        <w:ind w:left="5040" w:hanging="360"/>
      </w:pPr>
      <w:rPr>
        <w:rFonts w:ascii="Arial" w:hAnsi="Arial" w:hint="default"/>
      </w:rPr>
    </w:lvl>
    <w:lvl w:ilvl="7" w:tplc="EB2A6F4E" w:tentative="1">
      <w:start w:val="1"/>
      <w:numFmt w:val="bullet"/>
      <w:lvlText w:val="•"/>
      <w:lvlJc w:val="left"/>
      <w:pPr>
        <w:tabs>
          <w:tab w:val="num" w:pos="5760"/>
        </w:tabs>
        <w:ind w:left="5760" w:hanging="360"/>
      </w:pPr>
      <w:rPr>
        <w:rFonts w:ascii="Arial" w:hAnsi="Arial" w:hint="default"/>
      </w:rPr>
    </w:lvl>
    <w:lvl w:ilvl="8" w:tplc="77F448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0877A1"/>
    <w:multiLevelType w:val="hybridMultilevel"/>
    <w:tmpl w:val="6EE609B0"/>
    <w:lvl w:ilvl="0" w:tplc="1A987D74">
      <w:start w:val="1"/>
      <w:numFmt w:val="bullet"/>
      <w:lvlText w:val="•"/>
      <w:lvlJc w:val="left"/>
      <w:pPr>
        <w:tabs>
          <w:tab w:val="num" w:pos="720"/>
        </w:tabs>
        <w:ind w:left="720" w:hanging="360"/>
      </w:pPr>
      <w:rPr>
        <w:rFonts w:ascii="Arial" w:hAnsi="Arial" w:hint="default"/>
      </w:rPr>
    </w:lvl>
    <w:lvl w:ilvl="1" w:tplc="70527F8E" w:tentative="1">
      <w:start w:val="1"/>
      <w:numFmt w:val="bullet"/>
      <w:lvlText w:val="•"/>
      <w:lvlJc w:val="left"/>
      <w:pPr>
        <w:tabs>
          <w:tab w:val="num" w:pos="1440"/>
        </w:tabs>
        <w:ind w:left="1440" w:hanging="360"/>
      </w:pPr>
      <w:rPr>
        <w:rFonts w:ascii="Arial" w:hAnsi="Arial" w:hint="default"/>
      </w:rPr>
    </w:lvl>
    <w:lvl w:ilvl="2" w:tplc="1352B832" w:tentative="1">
      <w:start w:val="1"/>
      <w:numFmt w:val="bullet"/>
      <w:lvlText w:val="•"/>
      <w:lvlJc w:val="left"/>
      <w:pPr>
        <w:tabs>
          <w:tab w:val="num" w:pos="2160"/>
        </w:tabs>
        <w:ind w:left="2160" w:hanging="360"/>
      </w:pPr>
      <w:rPr>
        <w:rFonts w:ascii="Arial" w:hAnsi="Arial" w:hint="default"/>
      </w:rPr>
    </w:lvl>
    <w:lvl w:ilvl="3" w:tplc="CFBC01B4" w:tentative="1">
      <w:start w:val="1"/>
      <w:numFmt w:val="bullet"/>
      <w:lvlText w:val="•"/>
      <w:lvlJc w:val="left"/>
      <w:pPr>
        <w:tabs>
          <w:tab w:val="num" w:pos="2880"/>
        </w:tabs>
        <w:ind w:left="2880" w:hanging="360"/>
      </w:pPr>
      <w:rPr>
        <w:rFonts w:ascii="Arial" w:hAnsi="Arial" w:hint="default"/>
      </w:rPr>
    </w:lvl>
    <w:lvl w:ilvl="4" w:tplc="CE26171C" w:tentative="1">
      <w:start w:val="1"/>
      <w:numFmt w:val="bullet"/>
      <w:lvlText w:val="•"/>
      <w:lvlJc w:val="left"/>
      <w:pPr>
        <w:tabs>
          <w:tab w:val="num" w:pos="3600"/>
        </w:tabs>
        <w:ind w:left="3600" w:hanging="360"/>
      </w:pPr>
      <w:rPr>
        <w:rFonts w:ascii="Arial" w:hAnsi="Arial" w:hint="default"/>
      </w:rPr>
    </w:lvl>
    <w:lvl w:ilvl="5" w:tplc="E70EBBB0" w:tentative="1">
      <w:start w:val="1"/>
      <w:numFmt w:val="bullet"/>
      <w:lvlText w:val="•"/>
      <w:lvlJc w:val="left"/>
      <w:pPr>
        <w:tabs>
          <w:tab w:val="num" w:pos="4320"/>
        </w:tabs>
        <w:ind w:left="4320" w:hanging="360"/>
      </w:pPr>
      <w:rPr>
        <w:rFonts w:ascii="Arial" w:hAnsi="Arial" w:hint="default"/>
      </w:rPr>
    </w:lvl>
    <w:lvl w:ilvl="6" w:tplc="EFC04112" w:tentative="1">
      <w:start w:val="1"/>
      <w:numFmt w:val="bullet"/>
      <w:lvlText w:val="•"/>
      <w:lvlJc w:val="left"/>
      <w:pPr>
        <w:tabs>
          <w:tab w:val="num" w:pos="5040"/>
        </w:tabs>
        <w:ind w:left="5040" w:hanging="360"/>
      </w:pPr>
      <w:rPr>
        <w:rFonts w:ascii="Arial" w:hAnsi="Arial" w:hint="default"/>
      </w:rPr>
    </w:lvl>
    <w:lvl w:ilvl="7" w:tplc="DFA698E8" w:tentative="1">
      <w:start w:val="1"/>
      <w:numFmt w:val="bullet"/>
      <w:lvlText w:val="•"/>
      <w:lvlJc w:val="left"/>
      <w:pPr>
        <w:tabs>
          <w:tab w:val="num" w:pos="5760"/>
        </w:tabs>
        <w:ind w:left="5760" w:hanging="360"/>
      </w:pPr>
      <w:rPr>
        <w:rFonts w:ascii="Arial" w:hAnsi="Arial" w:hint="default"/>
      </w:rPr>
    </w:lvl>
    <w:lvl w:ilvl="8" w:tplc="A97C95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8E079A"/>
    <w:multiLevelType w:val="hybridMultilevel"/>
    <w:tmpl w:val="FD16D2C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44444"/>
    <w:multiLevelType w:val="hybridMultilevel"/>
    <w:tmpl w:val="376E017C"/>
    <w:lvl w:ilvl="0" w:tplc="35462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A35C48"/>
    <w:multiLevelType w:val="hybridMultilevel"/>
    <w:tmpl w:val="0CAE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626E1C"/>
    <w:multiLevelType w:val="hybridMultilevel"/>
    <w:tmpl w:val="1264EDF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B2AB7"/>
    <w:multiLevelType w:val="hybridMultilevel"/>
    <w:tmpl w:val="8D267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C47D3"/>
    <w:multiLevelType w:val="hybridMultilevel"/>
    <w:tmpl w:val="3A620D4E"/>
    <w:lvl w:ilvl="0" w:tplc="9046487C">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C22681"/>
    <w:multiLevelType w:val="hybridMultilevel"/>
    <w:tmpl w:val="1A28BABE"/>
    <w:lvl w:ilvl="0" w:tplc="5CDCBAC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DE6A0A"/>
    <w:multiLevelType w:val="hybridMultilevel"/>
    <w:tmpl w:val="40963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0D0948"/>
    <w:multiLevelType w:val="hybridMultilevel"/>
    <w:tmpl w:val="9B5EEC1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B0043"/>
    <w:multiLevelType w:val="multilevel"/>
    <w:tmpl w:val="5AD073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267D4B6F"/>
    <w:multiLevelType w:val="hybridMultilevel"/>
    <w:tmpl w:val="483E0888"/>
    <w:lvl w:ilvl="0" w:tplc="A5B229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977EB0"/>
    <w:multiLevelType w:val="hybridMultilevel"/>
    <w:tmpl w:val="FD16D2C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2C63BA"/>
    <w:multiLevelType w:val="hybridMultilevel"/>
    <w:tmpl w:val="53A44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BC6ABD"/>
    <w:multiLevelType w:val="hybridMultilevel"/>
    <w:tmpl w:val="45F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53065C"/>
    <w:multiLevelType w:val="multilevel"/>
    <w:tmpl w:val="5D3C5BB6"/>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800"/>
      </w:pPr>
      <w:rPr>
        <w:rFonts w:ascii="Arial" w:eastAsia="Arial" w:hAnsi="Arial" w:cs="Arial"/>
      </w:rPr>
    </w:lvl>
    <w:lvl w:ilvl="2">
      <w:start w:val="1"/>
      <w:numFmt w:val="bullet"/>
      <w:lvlText w:val="▪"/>
      <w:lvlJc w:val="left"/>
      <w:pPr>
        <w:ind w:left="1440" w:firstLine="3240"/>
      </w:pPr>
      <w:rPr>
        <w:rFonts w:ascii="Arial" w:eastAsia="Arial" w:hAnsi="Arial" w:cs="Arial"/>
      </w:rPr>
    </w:lvl>
    <w:lvl w:ilvl="3">
      <w:start w:val="1"/>
      <w:numFmt w:val="bullet"/>
      <w:lvlText w:val="●"/>
      <w:lvlJc w:val="left"/>
      <w:pPr>
        <w:ind w:left="2160" w:firstLine="4680"/>
      </w:pPr>
      <w:rPr>
        <w:rFonts w:ascii="Arial" w:eastAsia="Arial" w:hAnsi="Arial" w:cs="Arial"/>
      </w:rPr>
    </w:lvl>
    <w:lvl w:ilvl="4">
      <w:start w:val="1"/>
      <w:numFmt w:val="bullet"/>
      <w:lvlText w:val="o"/>
      <w:lvlJc w:val="left"/>
      <w:pPr>
        <w:ind w:left="2880" w:firstLine="6120"/>
      </w:pPr>
      <w:rPr>
        <w:rFonts w:ascii="Arial" w:eastAsia="Arial" w:hAnsi="Arial" w:cs="Arial"/>
      </w:rPr>
    </w:lvl>
    <w:lvl w:ilvl="5">
      <w:start w:val="1"/>
      <w:numFmt w:val="bullet"/>
      <w:lvlText w:val="▪"/>
      <w:lvlJc w:val="left"/>
      <w:pPr>
        <w:ind w:left="3600" w:firstLine="7560"/>
      </w:pPr>
      <w:rPr>
        <w:rFonts w:ascii="Arial" w:eastAsia="Arial" w:hAnsi="Arial" w:cs="Arial"/>
      </w:rPr>
    </w:lvl>
    <w:lvl w:ilvl="6">
      <w:start w:val="1"/>
      <w:numFmt w:val="bullet"/>
      <w:lvlText w:val="●"/>
      <w:lvlJc w:val="left"/>
      <w:pPr>
        <w:ind w:left="4320" w:firstLine="9000"/>
      </w:pPr>
      <w:rPr>
        <w:rFonts w:ascii="Arial" w:eastAsia="Arial" w:hAnsi="Arial" w:cs="Arial"/>
      </w:rPr>
    </w:lvl>
    <w:lvl w:ilvl="7">
      <w:start w:val="1"/>
      <w:numFmt w:val="bullet"/>
      <w:lvlText w:val="o"/>
      <w:lvlJc w:val="left"/>
      <w:pPr>
        <w:ind w:left="5040" w:firstLine="10440"/>
      </w:pPr>
      <w:rPr>
        <w:rFonts w:ascii="Arial" w:eastAsia="Arial" w:hAnsi="Arial" w:cs="Arial"/>
      </w:rPr>
    </w:lvl>
    <w:lvl w:ilvl="8">
      <w:start w:val="1"/>
      <w:numFmt w:val="bullet"/>
      <w:lvlText w:val="▪"/>
      <w:lvlJc w:val="left"/>
      <w:pPr>
        <w:ind w:left="5760" w:firstLine="11880"/>
      </w:pPr>
      <w:rPr>
        <w:rFonts w:ascii="Arial" w:eastAsia="Arial" w:hAnsi="Arial" w:cs="Arial"/>
      </w:rPr>
    </w:lvl>
  </w:abstractNum>
  <w:abstractNum w:abstractNumId="19" w15:restartNumberingAfterBreak="0">
    <w:nsid w:val="31787669"/>
    <w:multiLevelType w:val="hybridMultilevel"/>
    <w:tmpl w:val="00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134D8D"/>
    <w:multiLevelType w:val="hybridMultilevel"/>
    <w:tmpl w:val="A99072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39747C"/>
    <w:multiLevelType w:val="hybridMultilevel"/>
    <w:tmpl w:val="10945440"/>
    <w:lvl w:ilvl="0" w:tplc="B02AA950">
      <w:start w:val="1"/>
      <w:numFmt w:val="bullet"/>
      <w:lvlText w:val="•"/>
      <w:lvlJc w:val="left"/>
      <w:pPr>
        <w:tabs>
          <w:tab w:val="num" w:pos="720"/>
        </w:tabs>
        <w:ind w:left="720" w:hanging="360"/>
      </w:pPr>
      <w:rPr>
        <w:rFonts w:ascii="Arial" w:hAnsi="Arial" w:hint="default"/>
      </w:rPr>
    </w:lvl>
    <w:lvl w:ilvl="1" w:tplc="D5883DD8" w:tentative="1">
      <w:start w:val="1"/>
      <w:numFmt w:val="bullet"/>
      <w:lvlText w:val="•"/>
      <w:lvlJc w:val="left"/>
      <w:pPr>
        <w:tabs>
          <w:tab w:val="num" w:pos="1440"/>
        </w:tabs>
        <w:ind w:left="1440" w:hanging="360"/>
      </w:pPr>
      <w:rPr>
        <w:rFonts w:ascii="Arial" w:hAnsi="Arial" w:hint="default"/>
      </w:rPr>
    </w:lvl>
    <w:lvl w:ilvl="2" w:tplc="1C4E276E" w:tentative="1">
      <w:start w:val="1"/>
      <w:numFmt w:val="bullet"/>
      <w:lvlText w:val="•"/>
      <w:lvlJc w:val="left"/>
      <w:pPr>
        <w:tabs>
          <w:tab w:val="num" w:pos="2160"/>
        </w:tabs>
        <w:ind w:left="2160" w:hanging="360"/>
      </w:pPr>
      <w:rPr>
        <w:rFonts w:ascii="Arial" w:hAnsi="Arial" w:hint="default"/>
      </w:rPr>
    </w:lvl>
    <w:lvl w:ilvl="3" w:tplc="EE0AA6F8" w:tentative="1">
      <w:start w:val="1"/>
      <w:numFmt w:val="bullet"/>
      <w:lvlText w:val="•"/>
      <w:lvlJc w:val="left"/>
      <w:pPr>
        <w:tabs>
          <w:tab w:val="num" w:pos="2880"/>
        </w:tabs>
        <w:ind w:left="2880" w:hanging="360"/>
      </w:pPr>
      <w:rPr>
        <w:rFonts w:ascii="Arial" w:hAnsi="Arial" w:hint="default"/>
      </w:rPr>
    </w:lvl>
    <w:lvl w:ilvl="4" w:tplc="217ACB8A" w:tentative="1">
      <w:start w:val="1"/>
      <w:numFmt w:val="bullet"/>
      <w:lvlText w:val="•"/>
      <w:lvlJc w:val="left"/>
      <w:pPr>
        <w:tabs>
          <w:tab w:val="num" w:pos="3600"/>
        </w:tabs>
        <w:ind w:left="3600" w:hanging="360"/>
      </w:pPr>
      <w:rPr>
        <w:rFonts w:ascii="Arial" w:hAnsi="Arial" w:hint="default"/>
      </w:rPr>
    </w:lvl>
    <w:lvl w:ilvl="5" w:tplc="F1C2402A" w:tentative="1">
      <w:start w:val="1"/>
      <w:numFmt w:val="bullet"/>
      <w:lvlText w:val="•"/>
      <w:lvlJc w:val="left"/>
      <w:pPr>
        <w:tabs>
          <w:tab w:val="num" w:pos="4320"/>
        </w:tabs>
        <w:ind w:left="4320" w:hanging="360"/>
      </w:pPr>
      <w:rPr>
        <w:rFonts w:ascii="Arial" w:hAnsi="Arial" w:hint="default"/>
      </w:rPr>
    </w:lvl>
    <w:lvl w:ilvl="6" w:tplc="0D04B158" w:tentative="1">
      <w:start w:val="1"/>
      <w:numFmt w:val="bullet"/>
      <w:lvlText w:val="•"/>
      <w:lvlJc w:val="left"/>
      <w:pPr>
        <w:tabs>
          <w:tab w:val="num" w:pos="5040"/>
        </w:tabs>
        <w:ind w:left="5040" w:hanging="360"/>
      </w:pPr>
      <w:rPr>
        <w:rFonts w:ascii="Arial" w:hAnsi="Arial" w:hint="default"/>
      </w:rPr>
    </w:lvl>
    <w:lvl w:ilvl="7" w:tplc="322881B8" w:tentative="1">
      <w:start w:val="1"/>
      <w:numFmt w:val="bullet"/>
      <w:lvlText w:val="•"/>
      <w:lvlJc w:val="left"/>
      <w:pPr>
        <w:tabs>
          <w:tab w:val="num" w:pos="5760"/>
        </w:tabs>
        <w:ind w:left="5760" w:hanging="360"/>
      </w:pPr>
      <w:rPr>
        <w:rFonts w:ascii="Arial" w:hAnsi="Arial" w:hint="default"/>
      </w:rPr>
    </w:lvl>
    <w:lvl w:ilvl="8" w:tplc="0A44451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9ED7BA1"/>
    <w:multiLevelType w:val="hybridMultilevel"/>
    <w:tmpl w:val="56463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DB7D4E"/>
    <w:multiLevelType w:val="hybridMultilevel"/>
    <w:tmpl w:val="D416F094"/>
    <w:lvl w:ilvl="0" w:tplc="15FA7D78">
      <w:start w:val="1"/>
      <w:numFmt w:val="bullet"/>
      <w:lvlText w:val="•"/>
      <w:lvlJc w:val="left"/>
      <w:pPr>
        <w:tabs>
          <w:tab w:val="num" w:pos="720"/>
        </w:tabs>
        <w:ind w:left="720" w:hanging="360"/>
      </w:pPr>
      <w:rPr>
        <w:rFonts w:ascii="Arial" w:hAnsi="Arial" w:hint="default"/>
      </w:rPr>
    </w:lvl>
    <w:lvl w:ilvl="1" w:tplc="CFCC48C0" w:tentative="1">
      <w:start w:val="1"/>
      <w:numFmt w:val="bullet"/>
      <w:lvlText w:val="•"/>
      <w:lvlJc w:val="left"/>
      <w:pPr>
        <w:tabs>
          <w:tab w:val="num" w:pos="1440"/>
        </w:tabs>
        <w:ind w:left="1440" w:hanging="360"/>
      </w:pPr>
      <w:rPr>
        <w:rFonts w:ascii="Arial" w:hAnsi="Arial" w:hint="default"/>
      </w:rPr>
    </w:lvl>
    <w:lvl w:ilvl="2" w:tplc="692670AA" w:tentative="1">
      <w:start w:val="1"/>
      <w:numFmt w:val="bullet"/>
      <w:lvlText w:val="•"/>
      <w:lvlJc w:val="left"/>
      <w:pPr>
        <w:tabs>
          <w:tab w:val="num" w:pos="2160"/>
        </w:tabs>
        <w:ind w:left="2160" w:hanging="360"/>
      </w:pPr>
      <w:rPr>
        <w:rFonts w:ascii="Arial" w:hAnsi="Arial" w:hint="default"/>
      </w:rPr>
    </w:lvl>
    <w:lvl w:ilvl="3" w:tplc="B94044EC" w:tentative="1">
      <w:start w:val="1"/>
      <w:numFmt w:val="bullet"/>
      <w:lvlText w:val="•"/>
      <w:lvlJc w:val="left"/>
      <w:pPr>
        <w:tabs>
          <w:tab w:val="num" w:pos="2880"/>
        </w:tabs>
        <w:ind w:left="2880" w:hanging="360"/>
      </w:pPr>
      <w:rPr>
        <w:rFonts w:ascii="Arial" w:hAnsi="Arial" w:hint="default"/>
      </w:rPr>
    </w:lvl>
    <w:lvl w:ilvl="4" w:tplc="66AA07C2" w:tentative="1">
      <w:start w:val="1"/>
      <w:numFmt w:val="bullet"/>
      <w:lvlText w:val="•"/>
      <w:lvlJc w:val="left"/>
      <w:pPr>
        <w:tabs>
          <w:tab w:val="num" w:pos="3600"/>
        </w:tabs>
        <w:ind w:left="3600" w:hanging="360"/>
      </w:pPr>
      <w:rPr>
        <w:rFonts w:ascii="Arial" w:hAnsi="Arial" w:hint="default"/>
      </w:rPr>
    </w:lvl>
    <w:lvl w:ilvl="5" w:tplc="D7404F30" w:tentative="1">
      <w:start w:val="1"/>
      <w:numFmt w:val="bullet"/>
      <w:lvlText w:val="•"/>
      <w:lvlJc w:val="left"/>
      <w:pPr>
        <w:tabs>
          <w:tab w:val="num" w:pos="4320"/>
        </w:tabs>
        <w:ind w:left="4320" w:hanging="360"/>
      </w:pPr>
      <w:rPr>
        <w:rFonts w:ascii="Arial" w:hAnsi="Arial" w:hint="default"/>
      </w:rPr>
    </w:lvl>
    <w:lvl w:ilvl="6" w:tplc="50C04E62" w:tentative="1">
      <w:start w:val="1"/>
      <w:numFmt w:val="bullet"/>
      <w:lvlText w:val="•"/>
      <w:lvlJc w:val="left"/>
      <w:pPr>
        <w:tabs>
          <w:tab w:val="num" w:pos="5040"/>
        </w:tabs>
        <w:ind w:left="5040" w:hanging="360"/>
      </w:pPr>
      <w:rPr>
        <w:rFonts w:ascii="Arial" w:hAnsi="Arial" w:hint="default"/>
      </w:rPr>
    </w:lvl>
    <w:lvl w:ilvl="7" w:tplc="703ACF2E" w:tentative="1">
      <w:start w:val="1"/>
      <w:numFmt w:val="bullet"/>
      <w:lvlText w:val="•"/>
      <w:lvlJc w:val="left"/>
      <w:pPr>
        <w:tabs>
          <w:tab w:val="num" w:pos="5760"/>
        </w:tabs>
        <w:ind w:left="5760" w:hanging="360"/>
      </w:pPr>
      <w:rPr>
        <w:rFonts w:ascii="Arial" w:hAnsi="Arial" w:hint="default"/>
      </w:rPr>
    </w:lvl>
    <w:lvl w:ilvl="8" w:tplc="BFD6F88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5A70CC"/>
    <w:multiLevelType w:val="hybridMultilevel"/>
    <w:tmpl w:val="D984372C"/>
    <w:lvl w:ilvl="0" w:tplc="61126A4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F37B86"/>
    <w:multiLevelType w:val="hybridMultilevel"/>
    <w:tmpl w:val="2E12D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26644"/>
    <w:multiLevelType w:val="hybridMultilevel"/>
    <w:tmpl w:val="F9A4C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18500A"/>
    <w:multiLevelType w:val="hybridMultilevel"/>
    <w:tmpl w:val="B8B47FB4"/>
    <w:lvl w:ilvl="0" w:tplc="39E80B46">
      <w:start w:val="2"/>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6AE34A3"/>
    <w:multiLevelType w:val="hybridMultilevel"/>
    <w:tmpl w:val="23F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A4527F"/>
    <w:multiLevelType w:val="hybridMultilevel"/>
    <w:tmpl w:val="0D8ABB18"/>
    <w:lvl w:ilvl="0" w:tplc="08090011">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EE31278"/>
    <w:multiLevelType w:val="hybridMultilevel"/>
    <w:tmpl w:val="540252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BF7D2B"/>
    <w:multiLevelType w:val="hybridMultilevel"/>
    <w:tmpl w:val="F126C41A"/>
    <w:lvl w:ilvl="0" w:tplc="11CAF5B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55990684"/>
    <w:multiLevelType w:val="hybridMultilevel"/>
    <w:tmpl w:val="ACE0A4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FE3974"/>
    <w:multiLevelType w:val="hybridMultilevel"/>
    <w:tmpl w:val="B8E6DED8"/>
    <w:lvl w:ilvl="0" w:tplc="C3D2E082">
      <w:start w:val="1"/>
      <w:numFmt w:val="bullet"/>
      <w:lvlText w:val="•"/>
      <w:lvlJc w:val="left"/>
      <w:pPr>
        <w:tabs>
          <w:tab w:val="num" w:pos="720"/>
        </w:tabs>
        <w:ind w:left="720" w:hanging="360"/>
      </w:pPr>
      <w:rPr>
        <w:rFonts w:ascii="Arial" w:hAnsi="Arial" w:hint="default"/>
      </w:rPr>
    </w:lvl>
    <w:lvl w:ilvl="1" w:tplc="602A9F30" w:tentative="1">
      <w:start w:val="1"/>
      <w:numFmt w:val="bullet"/>
      <w:lvlText w:val="•"/>
      <w:lvlJc w:val="left"/>
      <w:pPr>
        <w:tabs>
          <w:tab w:val="num" w:pos="1440"/>
        </w:tabs>
        <w:ind w:left="1440" w:hanging="360"/>
      </w:pPr>
      <w:rPr>
        <w:rFonts w:ascii="Arial" w:hAnsi="Arial" w:hint="default"/>
      </w:rPr>
    </w:lvl>
    <w:lvl w:ilvl="2" w:tplc="7D409458" w:tentative="1">
      <w:start w:val="1"/>
      <w:numFmt w:val="bullet"/>
      <w:lvlText w:val="•"/>
      <w:lvlJc w:val="left"/>
      <w:pPr>
        <w:tabs>
          <w:tab w:val="num" w:pos="2160"/>
        </w:tabs>
        <w:ind w:left="2160" w:hanging="360"/>
      </w:pPr>
      <w:rPr>
        <w:rFonts w:ascii="Arial" w:hAnsi="Arial" w:hint="default"/>
      </w:rPr>
    </w:lvl>
    <w:lvl w:ilvl="3" w:tplc="77A0C4DE" w:tentative="1">
      <w:start w:val="1"/>
      <w:numFmt w:val="bullet"/>
      <w:lvlText w:val="•"/>
      <w:lvlJc w:val="left"/>
      <w:pPr>
        <w:tabs>
          <w:tab w:val="num" w:pos="2880"/>
        </w:tabs>
        <w:ind w:left="2880" w:hanging="360"/>
      </w:pPr>
      <w:rPr>
        <w:rFonts w:ascii="Arial" w:hAnsi="Arial" w:hint="default"/>
      </w:rPr>
    </w:lvl>
    <w:lvl w:ilvl="4" w:tplc="FCACEB84" w:tentative="1">
      <w:start w:val="1"/>
      <w:numFmt w:val="bullet"/>
      <w:lvlText w:val="•"/>
      <w:lvlJc w:val="left"/>
      <w:pPr>
        <w:tabs>
          <w:tab w:val="num" w:pos="3600"/>
        </w:tabs>
        <w:ind w:left="3600" w:hanging="360"/>
      </w:pPr>
      <w:rPr>
        <w:rFonts w:ascii="Arial" w:hAnsi="Arial" w:hint="default"/>
      </w:rPr>
    </w:lvl>
    <w:lvl w:ilvl="5" w:tplc="CB24AF2C" w:tentative="1">
      <w:start w:val="1"/>
      <w:numFmt w:val="bullet"/>
      <w:lvlText w:val="•"/>
      <w:lvlJc w:val="left"/>
      <w:pPr>
        <w:tabs>
          <w:tab w:val="num" w:pos="4320"/>
        </w:tabs>
        <w:ind w:left="4320" w:hanging="360"/>
      </w:pPr>
      <w:rPr>
        <w:rFonts w:ascii="Arial" w:hAnsi="Arial" w:hint="default"/>
      </w:rPr>
    </w:lvl>
    <w:lvl w:ilvl="6" w:tplc="D068BC32" w:tentative="1">
      <w:start w:val="1"/>
      <w:numFmt w:val="bullet"/>
      <w:lvlText w:val="•"/>
      <w:lvlJc w:val="left"/>
      <w:pPr>
        <w:tabs>
          <w:tab w:val="num" w:pos="5040"/>
        </w:tabs>
        <w:ind w:left="5040" w:hanging="360"/>
      </w:pPr>
      <w:rPr>
        <w:rFonts w:ascii="Arial" w:hAnsi="Arial" w:hint="default"/>
      </w:rPr>
    </w:lvl>
    <w:lvl w:ilvl="7" w:tplc="7C147B76" w:tentative="1">
      <w:start w:val="1"/>
      <w:numFmt w:val="bullet"/>
      <w:lvlText w:val="•"/>
      <w:lvlJc w:val="left"/>
      <w:pPr>
        <w:tabs>
          <w:tab w:val="num" w:pos="5760"/>
        </w:tabs>
        <w:ind w:left="5760" w:hanging="360"/>
      </w:pPr>
      <w:rPr>
        <w:rFonts w:ascii="Arial" w:hAnsi="Arial" w:hint="default"/>
      </w:rPr>
    </w:lvl>
    <w:lvl w:ilvl="8" w:tplc="FC1435F2"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A8202C"/>
    <w:multiLevelType w:val="multilevel"/>
    <w:tmpl w:val="BCDE032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35" w15:restartNumberingAfterBreak="0">
    <w:nsid w:val="62674CC0"/>
    <w:multiLevelType w:val="hybridMultilevel"/>
    <w:tmpl w:val="6928B10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39699F"/>
    <w:multiLevelType w:val="multilevel"/>
    <w:tmpl w:val="A67A25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DBB7520"/>
    <w:multiLevelType w:val="hybridMultilevel"/>
    <w:tmpl w:val="B0E259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50896"/>
    <w:multiLevelType w:val="hybridMultilevel"/>
    <w:tmpl w:val="0BE84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5E585D"/>
    <w:multiLevelType w:val="hybridMultilevel"/>
    <w:tmpl w:val="6AA4951A"/>
    <w:lvl w:ilvl="0" w:tplc="08090001">
      <w:start w:val="1"/>
      <w:numFmt w:val="bullet"/>
      <w:lvlText w:val=""/>
      <w:lvlJc w:val="left"/>
      <w:pPr>
        <w:ind w:left="1319" w:hanging="360"/>
      </w:pPr>
      <w:rPr>
        <w:rFonts w:ascii="Symbol" w:hAnsi="Symbol" w:hint="default"/>
      </w:rPr>
    </w:lvl>
    <w:lvl w:ilvl="1" w:tplc="08090003" w:tentative="1">
      <w:start w:val="1"/>
      <w:numFmt w:val="bullet"/>
      <w:lvlText w:val="o"/>
      <w:lvlJc w:val="left"/>
      <w:pPr>
        <w:ind w:left="2039" w:hanging="360"/>
      </w:pPr>
      <w:rPr>
        <w:rFonts w:ascii="Courier New" w:hAnsi="Courier New" w:cs="Courier New" w:hint="default"/>
      </w:rPr>
    </w:lvl>
    <w:lvl w:ilvl="2" w:tplc="08090005" w:tentative="1">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40" w15:restartNumberingAfterBreak="0">
    <w:nsid w:val="72D9318D"/>
    <w:multiLevelType w:val="hybridMultilevel"/>
    <w:tmpl w:val="AE186DE6"/>
    <w:lvl w:ilvl="0" w:tplc="35462E8C">
      <w:start w:val="1"/>
      <w:numFmt w:val="bullet"/>
      <w:lvlText w:val="-"/>
      <w:lvlJc w:val="left"/>
      <w:pPr>
        <w:ind w:left="720" w:hanging="360"/>
      </w:pPr>
      <w:rPr>
        <w:rFonts w:ascii="Arial" w:eastAsia="Times New Roman" w:hAnsi="Arial" w:cs="Arial" w:hint="default"/>
      </w:rPr>
    </w:lvl>
    <w:lvl w:ilvl="1" w:tplc="35462E8C">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097A0A"/>
    <w:multiLevelType w:val="multilevel"/>
    <w:tmpl w:val="5CD00CFC"/>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42" w15:restartNumberingAfterBreak="0">
    <w:nsid w:val="768F2ECE"/>
    <w:multiLevelType w:val="hybridMultilevel"/>
    <w:tmpl w:val="AAA4C9B0"/>
    <w:lvl w:ilvl="0" w:tplc="35462E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024BDF"/>
    <w:multiLevelType w:val="hybridMultilevel"/>
    <w:tmpl w:val="E2E61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802292"/>
    <w:multiLevelType w:val="multilevel"/>
    <w:tmpl w:val="D1AADE7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1"/>
  </w:num>
  <w:num w:numId="2">
    <w:abstractNumId w:val="13"/>
  </w:num>
  <w:num w:numId="3">
    <w:abstractNumId w:val="25"/>
  </w:num>
  <w:num w:numId="4">
    <w:abstractNumId w:val="15"/>
  </w:num>
  <w:num w:numId="5">
    <w:abstractNumId w:val="27"/>
  </w:num>
  <w:num w:numId="6">
    <w:abstractNumId w:val="37"/>
  </w:num>
  <w:num w:numId="7">
    <w:abstractNumId w:val="6"/>
  </w:num>
  <w:num w:numId="8">
    <w:abstractNumId w:val="4"/>
  </w:num>
  <w:num w:numId="9">
    <w:abstractNumId w:val="29"/>
  </w:num>
  <w:num w:numId="10">
    <w:abstractNumId w:val="3"/>
  </w:num>
  <w:num w:numId="11">
    <w:abstractNumId w:val="9"/>
  </w:num>
  <w:num w:numId="12">
    <w:abstractNumId w:val="43"/>
  </w:num>
  <w:num w:numId="13">
    <w:abstractNumId w:val="36"/>
  </w:num>
  <w:num w:numId="14">
    <w:abstractNumId w:val="32"/>
  </w:num>
  <w:num w:numId="15">
    <w:abstractNumId w:val="12"/>
  </w:num>
  <w:num w:numId="16">
    <w:abstractNumId w:val="14"/>
  </w:num>
  <w:num w:numId="17">
    <w:abstractNumId w:val="24"/>
  </w:num>
  <w:num w:numId="18">
    <w:abstractNumId w:val="34"/>
  </w:num>
  <w:num w:numId="19">
    <w:abstractNumId w:val="0"/>
  </w:num>
  <w:num w:numId="20">
    <w:abstractNumId w:val="18"/>
  </w:num>
  <w:num w:numId="21">
    <w:abstractNumId w:val="44"/>
  </w:num>
  <w:num w:numId="22">
    <w:abstractNumId w:val="41"/>
  </w:num>
  <w:num w:numId="23">
    <w:abstractNumId w:val="30"/>
  </w:num>
  <w:num w:numId="24">
    <w:abstractNumId w:val="28"/>
  </w:num>
  <w:num w:numId="25">
    <w:abstractNumId w:val="26"/>
  </w:num>
  <w:num w:numId="26">
    <w:abstractNumId w:val="11"/>
  </w:num>
  <w:num w:numId="27">
    <w:abstractNumId w:val="35"/>
  </w:num>
  <w:num w:numId="28">
    <w:abstractNumId w:val="38"/>
  </w:num>
  <w:num w:numId="29">
    <w:abstractNumId w:val="17"/>
  </w:num>
  <w:num w:numId="30">
    <w:abstractNumId w:val="7"/>
  </w:num>
  <w:num w:numId="31">
    <w:abstractNumId w:val="8"/>
  </w:num>
  <w:num w:numId="32">
    <w:abstractNumId w:val="39"/>
  </w:num>
  <w:num w:numId="33">
    <w:abstractNumId w:val="20"/>
  </w:num>
  <w:num w:numId="34">
    <w:abstractNumId w:val="16"/>
  </w:num>
  <w:num w:numId="35">
    <w:abstractNumId w:val="40"/>
  </w:num>
  <w:num w:numId="36">
    <w:abstractNumId w:val="2"/>
  </w:num>
  <w:num w:numId="37">
    <w:abstractNumId w:val="42"/>
  </w:num>
  <w:num w:numId="38">
    <w:abstractNumId w:val="22"/>
  </w:num>
  <w:num w:numId="39">
    <w:abstractNumId w:val="21"/>
  </w:num>
  <w:num w:numId="40">
    <w:abstractNumId w:val="33"/>
  </w:num>
  <w:num w:numId="41">
    <w:abstractNumId w:val="23"/>
  </w:num>
  <w:num w:numId="42">
    <w:abstractNumId w:val="10"/>
  </w:num>
  <w:num w:numId="43">
    <w:abstractNumId w:val="19"/>
  </w:num>
  <w:num w:numId="44">
    <w:abstractNumId w:val="5"/>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DCD"/>
    <w:rsid w:val="000009C0"/>
    <w:rsid w:val="000014CA"/>
    <w:rsid w:val="00001EAA"/>
    <w:rsid w:val="00003096"/>
    <w:rsid w:val="000034EB"/>
    <w:rsid w:val="00003604"/>
    <w:rsid w:val="00004358"/>
    <w:rsid w:val="000044F2"/>
    <w:rsid w:val="000058C6"/>
    <w:rsid w:val="000072CA"/>
    <w:rsid w:val="000115D4"/>
    <w:rsid w:val="0001460E"/>
    <w:rsid w:val="00014EF7"/>
    <w:rsid w:val="000164C7"/>
    <w:rsid w:val="00016A90"/>
    <w:rsid w:val="00021327"/>
    <w:rsid w:val="00021347"/>
    <w:rsid w:val="0002153A"/>
    <w:rsid w:val="00021F8A"/>
    <w:rsid w:val="000224AE"/>
    <w:rsid w:val="0002259D"/>
    <w:rsid w:val="0002431F"/>
    <w:rsid w:val="00024F92"/>
    <w:rsid w:val="00025033"/>
    <w:rsid w:val="0002592A"/>
    <w:rsid w:val="0002595B"/>
    <w:rsid w:val="000271AF"/>
    <w:rsid w:val="00027D95"/>
    <w:rsid w:val="00031401"/>
    <w:rsid w:val="00031BF6"/>
    <w:rsid w:val="00033638"/>
    <w:rsid w:val="00035A4F"/>
    <w:rsid w:val="00036887"/>
    <w:rsid w:val="0003739D"/>
    <w:rsid w:val="00040759"/>
    <w:rsid w:val="00040B82"/>
    <w:rsid w:val="00040F9A"/>
    <w:rsid w:val="00042BB5"/>
    <w:rsid w:val="000431DD"/>
    <w:rsid w:val="000434F8"/>
    <w:rsid w:val="000435B5"/>
    <w:rsid w:val="00043B47"/>
    <w:rsid w:val="000440DB"/>
    <w:rsid w:val="0004617C"/>
    <w:rsid w:val="00046332"/>
    <w:rsid w:val="00047001"/>
    <w:rsid w:val="000470AF"/>
    <w:rsid w:val="000479C9"/>
    <w:rsid w:val="00047A54"/>
    <w:rsid w:val="000518CE"/>
    <w:rsid w:val="00051FCE"/>
    <w:rsid w:val="000531A3"/>
    <w:rsid w:val="00053694"/>
    <w:rsid w:val="00055868"/>
    <w:rsid w:val="00055A98"/>
    <w:rsid w:val="00056DF2"/>
    <w:rsid w:val="000577CB"/>
    <w:rsid w:val="00060061"/>
    <w:rsid w:val="000615F7"/>
    <w:rsid w:val="00062665"/>
    <w:rsid w:val="00062A6F"/>
    <w:rsid w:val="0006491F"/>
    <w:rsid w:val="00064F9F"/>
    <w:rsid w:val="000651C6"/>
    <w:rsid w:val="0006638A"/>
    <w:rsid w:val="00070A8A"/>
    <w:rsid w:val="00070FC0"/>
    <w:rsid w:val="000728AE"/>
    <w:rsid w:val="00072E62"/>
    <w:rsid w:val="00074E55"/>
    <w:rsid w:val="00076028"/>
    <w:rsid w:val="00080623"/>
    <w:rsid w:val="000822BF"/>
    <w:rsid w:val="00085526"/>
    <w:rsid w:val="00085796"/>
    <w:rsid w:val="00085844"/>
    <w:rsid w:val="000920B7"/>
    <w:rsid w:val="00094C60"/>
    <w:rsid w:val="00097FAB"/>
    <w:rsid w:val="000A18FA"/>
    <w:rsid w:val="000A19B3"/>
    <w:rsid w:val="000A28E3"/>
    <w:rsid w:val="000A2AC9"/>
    <w:rsid w:val="000A30C2"/>
    <w:rsid w:val="000A496E"/>
    <w:rsid w:val="000A7A93"/>
    <w:rsid w:val="000B000D"/>
    <w:rsid w:val="000B36AE"/>
    <w:rsid w:val="000B42F6"/>
    <w:rsid w:val="000B4511"/>
    <w:rsid w:val="000B52C7"/>
    <w:rsid w:val="000B610E"/>
    <w:rsid w:val="000B6D89"/>
    <w:rsid w:val="000B78AA"/>
    <w:rsid w:val="000C09C4"/>
    <w:rsid w:val="000C0CC1"/>
    <w:rsid w:val="000C117A"/>
    <w:rsid w:val="000C267F"/>
    <w:rsid w:val="000C2C0F"/>
    <w:rsid w:val="000C3567"/>
    <w:rsid w:val="000C4232"/>
    <w:rsid w:val="000C46AF"/>
    <w:rsid w:val="000C47CB"/>
    <w:rsid w:val="000C48EE"/>
    <w:rsid w:val="000C5BD8"/>
    <w:rsid w:val="000C6608"/>
    <w:rsid w:val="000C7888"/>
    <w:rsid w:val="000C7968"/>
    <w:rsid w:val="000D11A7"/>
    <w:rsid w:val="000D23D5"/>
    <w:rsid w:val="000D246F"/>
    <w:rsid w:val="000D3201"/>
    <w:rsid w:val="000D430A"/>
    <w:rsid w:val="000D6206"/>
    <w:rsid w:val="000D6FA0"/>
    <w:rsid w:val="000E21BF"/>
    <w:rsid w:val="000E46FC"/>
    <w:rsid w:val="000E4B35"/>
    <w:rsid w:val="000E5724"/>
    <w:rsid w:val="000E5B10"/>
    <w:rsid w:val="000E7D9D"/>
    <w:rsid w:val="000F32E7"/>
    <w:rsid w:val="000F4B3A"/>
    <w:rsid w:val="000F60C1"/>
    <w:rsid w:val="000F7473"/>
    <w:rsid w:val="00100A60"/>
    <w:rsid w:val="00103081"/>
    <w:rsid w:val="00103571"/>
    <w:rsid w:val="00103879"/>
    <w:rsid w:val="001041D0"/>
    <w:rsid w:val="00105A37"/>
    <w:rsid w:val="001067D8"/>
    <w:rsid w:val="00110B7E"/>
    <w:rsid w:val="00111BBB"/>
    <w:rsid w:val="00113C59"/>
    <w:rsid w:val="001148E4"/>
    <w:rsid w:val="00115E7C"/>
    <w:rsid w:val="00117110"/>
    <w:rsid w:val="0011761F"/>
    <w:rsid w:val="00117702"/>
    <w:rsid w:val="00120845"/>
    <w:rsid w:val="00120FD4"/>
    <w:rsid w:val="00123ADB"/>
    <w:rsid w:val="0012584A"/>
    <w:rsid w:val="00127196"/>
    <w:rsid w:val="00130440"/>
    <w:rsid w:val="00130C49"/>
    <w:rsid w:val="00130D45"/>
    <w:rsid w:val="00131362"/>
    <w:rsid w:val="00131D7A"/>
    <w:rsid w:val="0013234D"/>
    <w:rsid w:val="001337BC"/>
    <w:rsid w:val="001340CB"/>
    <w:rsid w:val="00135433"/>
    <w:rsid w:val="00135E6F"/>
    <w:rsid w:val="00137265"/>
    <w:rsid w:val="001402CD"/>
    <w:rsid w:val="00140812"/>
    <w:rsid w:val="00140F42"/>
    <w:rsid w:val="00140FD0"/>
    <w:rsid w:val="001412CD"/>
    <w:rsid w:val="00141339"/>
    <w:rsid w:val="0014412D"/>
    <w:rsid w:val="00145449"/>
    <w:rsid w:val="001458C7"/>
    <w:rsid w:val="00146797"/>
    <w:rsid w:val="001516A7"/>
    <w:rsid w:val="00152C11"/>
    <w:rsid w:val="00152C70"/>
    <w:rsid w:val="00154245"/>
    <w:rsid w:val="00154280"/>
    <w:rsid w:val="00154D44"/>
    <w:rsid w:val="00154FD1"/>
    <w:rsid w:val="0015563C"/>
    <w:rsid w:val="00155B3D"/>
    <w:rsid w:val="00155C0A"/>
    <w:rsid w:val="001561DE"/>
    <w:rsid w:val="0015666B"/>
    <w:rsid w:val="001613D9"/>
    <w:rsid w:val="00163F88"/>
    <w:rsid w:val="001640F4"/>
    <w:rsid w:val="0016589A"/>
    <w:rsid w:val="00165A39"/>
    <w:rsid w:val="00165F40"/>
    <w:rsid w:val="001660FA"/>
    <w:rsid w:val="00166482"/>
    <w:rsid w:val="00167BD2"/>
    <w:rsid w:val="001706B1"/>
    <w:rsid w:val="00171BA6"/>
    <w:rsid w:val="00172469"/>
    <w:rsid w:val="00173191"/>
    <w:rsid w:val="00175832"/>
    <w:rsid w:val="0017610E"/>
    <w:rsid w:val="00176113"/>
    <w:rsid w:val="00176C15"/>
    <w:rsid w:val="001773B7"/>
    <w:rsid w:val="001805DC"/>
    <w:rsid w:val="001820E4"/>
    <w:rsid w:val="00182AC6"/>
    <w:rsid w:val="00182E0F"/>
    <w:rsid w:val="00183021"/>
    <w:rsid w:val="00183E51"/>
    <w:rsid w:val="00184A8E"/>
    <w:rsid w:val="001850DC"/>
    <w:rsid w:val="001856ED"/>
    <w:rsid w:val="001865DA"/>
    <w:rsid w:val="00186F21"/>
    <w:rsid w:val="001877ED"/>
    <w:rsid w:val="001909A8"/>
    <w:rsid w:val="00191121"/>
    <w:rsid w:val="00192566"/>
    <w:rsid w:val="00192E5C"/>
    <w:rsid w:val="00194366"/>
    <w:rsid w:val="00195965"/>
    <w:rsid w:val="00196007"/>
    <w:rsid w:val="001978E8"/>
    <w:rsid w:val="00197F3D"/>
    <w:rsid w:val="00197FD2"/>
    <w:rsid w:val="001A0218"/>
    <w:rsid w:val="001A051B"/>
    <w:rsid w:val="001A07DB"/>
    <w:rsid w:val="001A0AA3"/>
    <w:rsid w:val="001A12C0"/>
    <w:rsid w:val="001A2280"/>
    <w:rsid w:val="001A23C1"/>
    <w:rsid w:val="001A408D"/>
    <w:rsid w:val="001A42E4"/>
    <w:rsid w:val="001A7C2A"/>
    <w:rsid w:val="001A7C78"/>
    <w:rsid w:val="001B0724"/>
    <w:rsid w:val="001B0D95"/>
    <w:rsid w:val="001B3066"/>
    <w:rsid w:val="001B308A"/>
    <w:rsid w:val="001B402A"/>
    <w:rsid w:val="001B4C57"/>
    <w:rsid w:val="001B5217"/>
    <w:rsid w:val="001B68C6"/>
    <w:rsid w:val="001C1003"/>
    <w:rsid w:val="001C1F24"/>
    <w:rsid w:val="001C2A43"/>
    <w:rsid w:val="001C3D29"/>
    <w:rsid w:val="001C46E9"/>
    <w:rsid w:val="001C4CF9"/>
    <w:rsid w:val="001C5A1F"/>
    <w:rsid w:val="001C601F"/>
    <w:rsid w:val="001C7C4E"/>
    <w:rsid w:val="001C7F02"/>
    <w:rsid w:val="001D0E37"/>
    <w:rsid w:val="001D3DB9"/>
    <w:rsid w:val="001D5473"/>
    <w:rsid w:val="001D7520"/>
    <w:rsid w:val="001E04FE"/>
    <w:rsid w:val="001E0AFE"/>
    <w:rsid w:val="001E1569"/>
    <w:rsid w:val="001E18C1"/>
    <w:rsid w:val="001E22A7"/>
    <w:rsid w:val="001E3E86"/>
    <w:rsid w:val="001E48F4"/>
    <w:rsid w:val="001E68D3"/>
    <w:rsid w:val="001E718F"/>
    <w:rsid w:val="001F1B60"/>
    <w:rsid w:val="001F618C"/>
    <w:rsid w:val="001F786B"/>
    <w:rsid w:val="001F7C8D"/>
    <w:rsid w:val="00200B58"/>
    <w:rsid w:val="0020246F"/>
    <w:rsid w:val="00203179"/>
    <w:rsid w:val="0020339B"/>
    <w:rsid w:val="002033AE"/>
    <w:rsid w:val="00205113"/>
    <w:rsid w:val="00206D95"/>
    <w:rsid w:val="00206EDC"/>
    <w:rsid w:val="0021088D"/>
    <w:rsid w:val="0021200A"/>
    <w:rsid w:val="00212B7A"/>
    <w:rsid w:val="00213A36"/>
    <w:rsid w:val="002145F2"/>
    <w:rsid w:val="002148A8"/>
    <w:rsid w:val="002148FF"/>
    <w:rsid w:val="00214A4C"/>
    <w:rsid w:val="00215CE7"/>
    <w:rsid w:val="00217611"/>
    <w:rsid w:val="00217F17"/>
    <w:rsid w:val="002212B2"/>
    <w:rsid w:val="00222090"/>
    <w:rsid w:val="00222E9B"/>
    <w:rsid w:val="002245CE"/>
    <w:rsid w:val="0022486E"/>
    <w:rsid w:val="002258FB"/>
    <w:rsid w:val="00225B88"/>
    <w:rsid w:val="00226317"/>
    <w:rsid w:val="002263EB"/>
    <w:rsid w:val="002275F2"/>
    <w:rsid w:val="002276D6"/>
    <w:rsid w:val="0023038D"/>
    <w:rsid w:val="00230682"/>
    <w:rsid w:val="00232D40"/>
    <w:rsid w:val="002335C6"/>
    <w:rsid w:val="002363AA"/>
    <w:rsid w:val="002366A9"/>
    <w:rsid w:val="00241397"/>
    <w:rsid w:val="00242588"/>
    <w:rsid w:val="00242965"/>
    <w:rsid w:val="00243313"/>
    <w:rsid w:val="0024399E"/>
    <w:rsid w:val="002465BF"/>
    <w:rsid w:val="00246D5F"/>
    <w:rsid w:val="00247CD3"/>
    <w:rsid w:val="0025315F"/>
    <w:rsid w:val="002532E6"/>
    <w:rsid w:val="002534C8"/>
    <w:rsid w:val="00253D79"/>
    <w:rsid w:val="002551C4"/>
    <w:rsid w:val="00255E93"/>
    <w:rsid w:val="00256314"/>
    <w:rsid w:val="0025640D"/>
    <w:rsid w:val="0026091F"/>
    <w:rsid w:val="00261F4D"/>
    <w:rsid w:val="0026261A"/>
    <w:rsid w:val="002627A7"/>
    <w:rsid w:val="002641D9"/>
    <w:rsid w:val="00267498"/>
    <w:rsid w:val="0026756E"/>
    <w:rsid w:val="00267743"/>
    <w:rsid w:val="00270011"/>
    <w:rsid w:val="0027237C"/>
    <w:rsid w:val="002727A1"/>
    <w:rsid w:val="0027307B"/>
    <w:rsid w:val="00273AE9"/>
    <w:rsid w:val="00273C08"/>
    <w:rsid w:val="002767D2"/>
    <w:rsid w:val="00280E03"/>
    <w:rsid w:val="00280E36"/>
    <w:rsid w:val="00281D76"/>
    <w:rsid w:val="00284B8A"/>
    <w:rsid w:val="00284BF0"/>
    <w:rsid w:val="00284E5E"/>
    <w:rsid w:val="00285783"/>
    <w:rsid w:val="002859E5"/>
    <w:rsid w:val="002876CE"/>
    <w:rsid w:val="00287AB9"/>
    <w:rsid w:val="0029027F"/>
    <w:rsid w:val="00290343"/>
    <w:rsid w:val="002915FB"/>
    <w:rsid w:val="00291731"/>
    <w:rsid w:val="00291D9C"/>
    <w:rsid w:val="00294E7D"/>
    <w:rsid w:val="0029524A"/>
    <w:rsid w:val="002A0719"/>
    <w:rsid w:val="002A0DCD"/>
    <w:rsid w:val="002A1587"/>
    <w:rsid w:val="002A18B5"/>
    <w:rsid w:val="002A1FAD"/>
    <w:rsid w:val="002A34C9"/>
    <w:rsid w:val="002A679C"/>
    <w:rsid w:val="002A7782"/>
    <w:rsid w:val="002B036A"/>
    <w:rsid w:val="002B1963"/>
    <w:rsid w:val="002B260A"/>
    <w:rsid w:val="002B2BBA"/>
    <w:rsid w:val="002B2D63"/>
    <w:rsid w:val="002B4026"/>
    <w:rsid w:val="002B43C0"/>
    <w:rsid w:val="002B5299"/>
    <w:rsid w:val="002C0663"/>
    <w:rsid w:val="002C24C9"/>
    <w:rsid w:val="002C3F0E"/>
    <w:rsid w:val="002C3F1A"/>
    <w:rsid w:val="002D12E3"/>
    <w:rsid w:val="002D259A"/>
    <w:rsid w:val="002D392E"/>
    <w:rsid w:val="002D3F1D"/>
    <w:rsid w:val="002D3F93"/>
    <w:rsid w:val="002D48F5"/>
    <w:rsid w:val="002D6138"/>
    <w:rsid w:val="002D7243"/>
    <w:rsid w:val="002E3C4C"/>
    <w:rsid w:val="002E48CC"/>
    <w:rsid w:val="002E48FC"/>
    <w:rsid w:val="002E567A"/>
    <w:rsid w:val="002E71C9"/>
    <w:rsid w:val="002F0029"/>
    <w:rsid w:val="002F0169"/>
    <w:rsid w:val="002F1E86"/>
    <w:rsid w:val="002F35A2"/>
    <w:rsid w:val="002F42B5"/>
    <w:rsid w:val="0030003E"/>
    <w:rsid w:val="0030147C"/>
    <w:rsid w:val="00302D62"/>
    <w:rsid w:val="003041C4"/>
    <w:rsid w:val="00304D34"/>
    <w:rsid w:val="00305324"/>
    <w:rsid w:val="00306727"/>
    <w:rsid w:val="003124A5"/>
    <w:rsid w:val="00312795"/>
    <w:rsid w:val="00312C1A"/>
    <w:rsid w:val="00314250"/>
    <w:rsid w:val="00315398"/>
    <w:rsid w:val="00316AC9"/>
    <w:rsid w:val="003170F2"/>
    <w:rsid w:val="00320349"/>
    <w:rsid w:val="003220FF"/>
    <w:rsid w:val="0032352B"/>
    <w:rsid w:val="00324B4F"/>
    <w:rsid w:val="00325654"/>
    <w:rsid w:val="00325E6B"/>
    <w:rsid w:val="00333ECE"/>
    <w:rsid w:val="0033557B"/>
    <w:rsid w:val="00340473"/>
    <w:rsid w:val="003404CD"/>
    <w:rsid w:val="00343B49"/>
    <w:rsid w:val="003444C5"/>
    <w:rsid w:val="003444FE"/>
    <w:rsid w:val="0034492A"/>
    <w:rsid w:val="00345CFB"/>
    <w:rsid w:val="00347B2D"/>
    <w:rsid w:val="0035011D"/>
    <w:rsid w:val="0035081D"/>
    <w:rsid w:val="00350FDB"/>
    <w:rsid w:val="00351196"/>
    <w:rsid w:val="00351794"/>
    <w:rsid w:val="00352403"/>
    <w:rsid w:val="00353058"/>
    <w:rsid w:val="00354AA6"/>
    <w:rsid w:val="00355226"/>
    <w:rsid w:val="003566D6"/>
    <w:rsid w:val="00361B22"/>
    <w:rsid w:val="00361B53"/>
    <w:rsid w:val="003649CA"/>
    <w:rsid w:val="003652DA"/>
    <w:rsid w:val="0036547C"/>
    <w:rsid w:val="0036594B"/>
    <w:rsid w:val="00370EDE"/>
    <w:rsid w:val="003710BA"/>
    <w:rsid w:val="003714FE"/>
    <w:rsid w:val="00371E87"/>
    <w:rsid w:val="00371EAD"/>
    <w:rsid w:val="00372439"/>
    <w:rsid w:val="00372FF3"/>
    <w:rsid w:val="00373DC6"/>
    <w:rsid w:val="00380B80"/>
    <w:rsid w:val="00380BB1"/>
    <w:rsid w:val="00380EBB"/>
    <w:rsid w:val="00382752"/>
    <w:rsid w:val="00382859"/>
    <w:rsid w:val="00384D63"/>
    <w:rsid w:val="0038663B"/>
    <w:rsid w:val="00386CB0"/>
    <w:rsid w:val="003872B5"/>
    <w:rsid w:val="00390055"/>
    <w:rsid w:val="003917F2"/>
    <w:rsid w:val="00391A60"/>
    <w:rsid w:val="0039385D"/>
    <w:rsid w:val="003939D8"/>
    <w:rsid w:val="00393F9E"/>
    <w:rsid w:val="003949DC"/>
    <w:rsid w:val="00395D52"/>
    <w:rsid w:val="0039620C"/>
    <w:rsid w:val="00397762"/>
    <w:rsid w:val="003A0D8D"/>
    <w:rsid w:val="003A0FD2"/>
    <w:rsid w:val="003A2C9B"/>
    <w:rsid w:val="003A42AB"/>
    <w:rsid w:val="003A4913"/>
    <w:rsid w:val="003A606F"/>
    <w:rsid w:val="003A638E"/>
    <w:rsid w:val="003A72FA"/>
    <w:rsid w:val="003A7E42"/>
    <w:rsid w:val="003B0527"/>
    <w:rsid w:val="003B0575"/>
    <w:rsid w:val="003B0FAB"/>
    <w:rsid w:val="003B100E"/>
    <w:rsid w:val="003B2B0B"/>
    <w:rsid w:val="003B36EA"/>
    <w:rsid w:val="003B3C3E"/>
    <w:rsid w:val="003B56D9"/>
    <w:rsid w:val="003B6F47"/>
    <w:rsid w:val="003B7902"/>
    <w:rsid w:val="003C01BC"/>
    <w:rsid w:val="003C1548"/>
    <w:rsid w:val="003C1BD3"/>
    <w:rsid w:val="003C43C3"/>
    <w:rsid w:val="003C479C"/>
    <w:rsid w:val="003D3B1D"/>
    <w:rsid w:val="003D4467"/>
    <w:rsid w:val="003D46C6"/>
    <w:rsid w:val="003D5283"/>
    <w:rsid w:val="003D5883"/>
    <w:rsid w:val="003D6A6F"/>
    <w:rsid w:val="003D6BB4"/>
    <w:rsid w:val="003D7F44"/>
    <w:rsid w:val="003E11B0"/>
    <w:rsid w:val="003E14C7"/>
    <w:rsid w:val="003E424C"/>
    <w:rsid w:val="003E42AC"/>
    <w:rsid w:val="003E49EC"/>
    <w:rsid w:val="003E4FBB"/>
    <w:rsid w:val="003E686D"/>
    <w:rsid w:val="003E72FD"/>
    <w:rsid w:val="003E7942"/>
    <w:rsid w:val="003E7EBC"/>
    <w:rsid w:val="003F03A0"/>
    <w:rsid w:val="003F244A"/>
    <w:rsid w:val="003F3016"/>
    <w:rsid w:val="003F38EF"/>
    <w:rsid w:val="003F6AA4"/>
    <w:rsid w:val="003F750B"/>
    <w:rsid w:val="003F7D4C"/>
    <w:rsid w:val="00401B76"/>
    <w:rsid w:val="00407022"/>
    <w:rsid w:val="0040752A"/>
    <w:rsid w:val="00417782"/>
    <w:rsid w:val="00421867"/>
    <w:rsid w:val="0042290D"/>
    <w:rsid w:val="00422F1F"/>
    <w:rsid w:val="00422FF0"/>
    <w:rsid w:val="0042528D"/>
    <w:rsid w:val="00427BCE"/>
    <w:rsid w:val="00430DF2"/>
    <w:rsid w:val="00432087"/>
    <w:rsid w:val="004364E0"/>
    <w:rsid w:val="004369B1"/>
    <w:rsid w:val="0043718E"/>
    <w:rsid w:val="00440EE1"/>
    <w:rsid w:val="004434DB"/>
    <w:rsid w:val="00443588"/>
    <w:rsid w:val="004437C0"/>
    <w:rsid w:val="00443ED1"/>
    <w:rsid w:val="00444AD1"/>
    <w:rsid w:val="00446945"/>
    <w:rsid w:val="004476FB"/>
    <w:rsid w:val="00451D74"/>
    <w:rsid w:val="00452334"/>
    <w:rsid w:val="004536A1"/>
    <w:rsid w:val="00455FC2"/>
    <w:rsid w:val="00456DE7"/>
    <w:rsid w:val="00456EB0"/>
    <w:rsid w:val="0046027C"/>
    <w:rsid w:val="0046173A"/>
    <w:rsid w:val="00461966"/>
    <w:rsid w:val="00462CBA"/>
    <w:rsid w:val="00463F67"/>
    <w:rsid w:val="0046424F"/>
    <w:rsid w:val="00466985"/>
    <w:rsid w:val="00467500"/>
    <w:rsid w:val="00470146"/>
    <w:rsid w:val="00470E11"/>
    <w:rsid w:val="00474F43"/>
    <w:rsid w:val="0047609E"/>
    <w:rsid w:val="0048001A"/>
    <w:rsid w:val="004802CC"/>
    <w:rsid w:val="00481454"/>
    <w:rsid w:val="004823C6"/>
    <w:rsid w:val="00482F05"/>
    <w:rsid w:val="00486106"/>
    <w:rsid w:val="0048677C"/>
    <w:rsid w:val="00490F23"/>
    <w:rsid w:val="004929C5"/>
    <w:rsid w:val="00493278"/>
    <w:rsid w:val="0049407F"/>
    <w:rsid w:val="0049497C"/>
    <w:rsid w:val="00495687"/>
    <w:rsid w:val="00496357"/>
    <w:rsid w:val="00496367"/>
    <w:rsid w:val="00496564"/>
    <w:rsid w:val="00497E95"/>
    <w:rsid w:val="004A1D65"/>
    <w:rsid w:val="004A334B"/>
    <w:rsid w:val="004A4DF0"/>
    <w:rsid w:val="004A53AA"/>
    <w:rsid w:val="004A5E5B"/>
    <w:rsid w:val="004A6594"/>
    <w:rsid w:val="004A7380"/>
    <w:rsid w:val="004A7D76"/>
    <w:rsid w:val="004A7E26"/>
    <w:rsid w:val="004A7E7C"/>
    <w:rsid w:val="004B0289"/>
    <w:rsid w:val="004B0F01"/>
    <w:rsid w:val="004B18A9"/>
    <w:rsid w:val="004B3EEB"/>
    <w:rsid w:val="004B4055"/>
    <w:rsid w:val="004B4A26"/>
    <w:rsid w:val="004B5BFC"/>
    <w:rsid w:val="004B6DAF"/>
    <w:rsid w:val="004B781E"/>
    <w:rsid w:val="004B78F9"/>
    <w:rsid w:val="004B7DDE"/>
    <w:rsid w:val="004C0DDB"/>
    <w:rsid w:val="004C14B2"/>
    <w:rsid w:val="004C2BB3"/>
    <w:rsid w:val="004C426B"/>
    <w:rsid w:val="004C4937"/>
    <w:rsid w:val="004C4C94"/>
    <w:rsid w:val="004C52FE"/>
    <w:rsid w:val="004C5D20"/>
    <w:rsid w:val="004C6AB4"/>
    <w:rsid w:val="004C6FD7"/>
    <w:rsid w:val="004C700F"/>
    <w:rsid w:val="004D04E5"/>
    <w:rsid w:val="004D1160"/>
    <w:rsid w:val="004D15F2"/>
    <w:rsid w:val="004D18B9"/>
    <w:rsid w:val="004D264B"/>
    <w:rsid w:val="004D38D6"/>
    <w:rsid w:val="004D68A8"/>
    <w:rsid w:val="004D6B83"/>
    <w:rsid w:val="004E161D"/>
    <w:rsid w:val="004E397B"/>
    <w:rsid w:val="004E3C76"/>
    <w:rsid w:val="004E55FA"/>
    <w:rsid w:val="004E60A2"/>
    <w:rsid w:val="004E6B61"/>
    <w:rsid w:val="004F0A37"/>
    <w:rsid w:val="004F1148"/>
    <w:rsid w:val="004F2659"/>
    <w:rsid w:val="004F340A"/>
    <w:rsid w:val="004F4FAE"/>
    <w:rsid w:val="004F664E"/>
    <w:rsid w:val="004F6658"/>
    <w:rsid w:val="004F7765"/>
    <w:rsid w:val="005003EC"/>
    <w:rsid w:val="00500E77"/>
    <w:rsid w:val="00503E68"/>
    <w:rsid w:val="00504179"/>
    <w:rsid w:val="00506972"/>
    <w:rsid w:val="00507CBF"/>
    <w:rsid w:val="005105F3"/>
    <w:rsid w:val="00513AEF"/>
    <w:rsid w:val="005143A7"/>
    <w:rsid w:val="005146E6"/>
    <w:rsid w:val="00517FDD"/>
    <w:rsid w:val="00521AB0"/>
    <w:rsid w:val="00521DD6"/>
    <w:rsid w:val="00521EFA"/>
    <w:rsid w:val="00521F55"/>
    <w:rsid w:val="005226CC"/>
    <w:rsid w:val="005228AA"/>
    <w:rsid w:val="00524C80"/>
    <w:rsid w:val="00524E1E"/>
    <w:rsid w:val="00525D5F"/>
    <w:rsid w:val="00526431"/>
    <w:rsid w:val="005267C7"/>
    <w:rsid w:val="005308EA"/>
    <w:rsid w:val="0053121F"/>
    <w:rsid w:val="00532F0C"/>
    <w:rsid w:val="00533859"/>
    <w:rsid w:val="00533FBD"/>
    <w:rsid w:val="00534037"/>
    <w:rsid w:val="0053434F"/>
    <w:rsid w:val="0053449D"/>
    <w:rsid w:val="00534BE2"/>
    <w:rsid w:val="00536F53"/>
    <w:rsid w:val="00537DC5"/>
    <w:rsid w:val="005412F8"/>
    <w:rsid w:val="0054195F"/>
    <w:rsid w:val="005420A9"/>
    <w:rsid w:val="00542229"/>
    <w:rsid w:val="00544CB5"/>
    <w:rsid w:val="00545C9E"/>
    <w:rsid w:val="0054610C"/>
    <w:rsid w:val="00547014"/>
    <w:rsid w:val="005506D2"/>
    <w:rsid w:val="0055175C"/>
    <w:rsid w:val="005524BB"/>
    <w:rsid w:val="005531A5"/>
    <w:rsid w:val="00554539"/>
    <w:rsid w:val="00554912"/>
    <w:rsid w:val="005562B8"/>
    <w:rsid w:val="0055701F"/>
    <w:rsid w:val="00557C0F"/>
    <w:rsid w:val="00560DF0"/>
    <w:rsid w:val="005632DE"/>
    <w:rsid w:val="00563A42"/>
    <w:rsid w:val="00565566"/>
    <w:rsid w:val="00565A79"/>
    <w:rsid w:val="00565C18"/>
    <w:rsid w:val="00570100"/>
    <w:rsid w:val="00570AE8"/>
    <w:rsid w:val="00570D82"/>
    <w:rsid w:val="005710C5"/>
    <w:rsid w:val="005714E1"/>
    <w:rsid w:val="00571A33"/>
    <w:rsid w:val="00572EE1"/>
    <w:rsid w:val="00573B00"/>
    <w:rsid w:val="0057418B"/>
    <w:rsid w:val="005764C6"/>
    <w:rsid w:val="005770D2"/>
    <w:rsid w:val="005772FE"/>
    <w:rsid w:val="00580621"/>
    <w:rsid w:val="00581A44"/>
    <w:rsid w:val="005821C0"/>
    <w:rsid w:val="00583E3D"/>
    <w:rsid w:val="005846F9"/>
    <w:rsid w:val="00584B44"/>
    <w:rsid w:val="00584BF3"/>
    <w:rsid w:val="00584FFD"/>
    <w:rsid w:val="00586393"/>
    <w:rsid w:val="00586E1E"/>
    <w:rsid w:val="00587829"/>
    <w:rsid w:val="00590166"/>
    <w:rsid w:val="00592489"/>
    <w:rsid w:val="005951C5"/>
    <w:rsid w:val="0059557A"/>
    <w:rsid w:val="005959D7"/>
    <w:rsid w:val="00595C92"/>
    <w:rsid w:val="00597740"/>
    <w:rsid w:val="00597BF5"/>
    <w:rsid w:val="005A0691"/>
    <w:rsid w:val="005A0757"/>
    <w:rsid w:val="005A12BC"/>
    <w:rsid w:val="005A20E4"/>
    <w:rsid w:val="005A2466"/>
    <w:rsid w:val="005A32CF"/>
    <w:rsid w:val="005A359E"/>
    <w:rsid w:val="005A3790"/>
    <w:rsid w:val="005A3F06"/>
    <w:rsid w:val="005A4E2F"/>
    <w:rsid w:val="005A61C4"/>
    <w:rsid w:val="005B018D"/>
    <w:rsid w:val="005B2033"/>
    <w:rsid w:val="005B2B54"/>
    <w:rsid w:val="005B4E9D"/>
    <w:rsid w:val="005B5F09"/>
    <w:rsid w:val="005C0693"/>
    <w:rsid w:val="005C1606"/>
    <w:rsid w:val="005C20BA"/>
    <w:rsid w:val="005C2BD7"/>
    <w:rsid w:val="005C32AF"/>
    <w:rsid w:val="005C33D9"/>
    <w:rsid w:val="005C3A82"/>
    <w:rsid w:val="005C422D"/>
    <w:rsid w:val="005C53D6"/>
    <w:rsid w:val="005C6F18"/>
    <w:rsid w:val="005C7605"/>
    <w:rsid w:val="005D144D"/>
    <w:rsid w:val="005D1B89"/>
    <w:rsid w:val="005D2247"/>
    <w:rsid w:val="005D28D8"/>
    <w:rsid w:val="005D29F4"/>
    <w:rsid w:val="005D3B6C"/>
    <w:rsid w:val="005D4CED"/>
    <w:rsid w:val="005D62C4"/>
    <w:rsid w:val="005D6C7C"/>
    <w:rsid w:val="005D7BDC"/>
    <w:rsid w:val="005E2F85"/>
    <w:rsid w:val="005E3832"/>
    <w:rsid w:val="005E4174"/>
    <w:rsid w:val="005E4B22"/>
    <w:rsid w:val="005E5172"/>
    <w:rsid w:val="005E7E41"/>
    <w:rsid w:val="005F013E"/>
    <w:rsid w:val="005F275D"/>
    <w:rsid w:val="005F37CF"/>
    <w:rsid w:val="005F3B10"/>
    <w:rsid w:val="005F4405"/>
    <w:rsid w:val="005F59C5"/>
    <w:rsid w:val="005F5D94"/>
    <w:rsid w:val="005F5DF5"/>
    <w:rsid w:val="005F795D"/>
    <w:rsid w:val="006009F4"/>
    <w:rsid w:val="00602632"/>
    <w:rsid w:val="006029CE"/>
    <w:rsid w:val="006030C5"/>
    <w:rsid w:val="00605540"/>
    <w:rsid w:val="00605991"/>
    <w:rsid w:val="00606B51"/>
    <w:rsid w:val="00606FCE"/>
    <w:rsid w:val="0061037A"/>
    <w:rsid w:val="006125AC"/>
    <w:rsid w:val="006139D0"/>
    <w:rsid w:val="006144FD"/>
    <w:rsid w:val="00615697"/>
    <w:rsid w:val="006159DB"/>
    <w:rsid w:val="00616010"/>
    <w:rsid w:val="006161A3"/>
    <w:rsid w:val="00616928"/>
    <w:rsid w:val="0062118A"/>
    <w:rsid w:val="00621647"/>
    <w:rsid w:val="00621DB7"/>
    <w:rsid w:val="006231AC"/>
    <w:rsid w:val="0062355A"/>
    <w:rsid w:val="00623A94"/>
    <w:rsid w:val="00623B1D"/>
    <w:rsid w:val="00625EBA"/>
    <w:rsid w:val="00625EF6"/>
    <w:rsid w:val="00626385"/>
    <w:rsid w:val="006306E2"/>
    <w:rsid w:val="00630A1C"/>
    <w:rsid w:val="00630C45"/>
    <w:rsid w:val="00631385"/>
    <w:rsid w:val="006329CF"/>
    <w:rsid w:val="00632A80"/>
    <w:rsid w:val="006331C7"/>
    <w:rsid w:val="0063392A"/>
    <w:rsid w:val="00634BFE"/>
    <w:rsid w:val="00635AE0"/>
    <w:rsid w:val="0063675F"/>
    <w:rsid w:val="00636E5B"/>
    <w:rsid w:val="00637008"/>
    <w:rsid w:val="006374B1"/>
    <w:rsid w:val="00637C43"/>
    <w:rsid w:val="00637DEE"/>
    <w:rsid w:val="00641EED"/>
    <w:rsid w:val="00641FA2"/>
    <w:rsid w:val="006423E7"/>
    <w:rsid w:val="0064411D"/>
    <w:rsid w:val="0064447C"/>
    <w:rsid w:val="006449C0"/>
    <w:rsid w:val="00644BFF"/>
    <w:rsid w:val="00645731"/>
    <w:rsid w:val="006459C8"/>
    <w:rsid w:val="00651651"/>
    <w:rsid w:val="006535A0"/>
    <w:rsid w:val="00653C7B"/>
    <w:rsid w:val="006553F3"/>
    <w:rsid w:val="00656682"/>
    <w:rsid w:val="00657066"/>
    <w:rsid w:val="00657F40"/>
    <w:rsid w:val="006610D8"/>
    <w:rsid w:val="00661892"/>
    <w:rsid w:val="00662348"/>
    <w:rsid w:val="006636D0"/>
    <w:rsid w:val="0066539C"/>
    <w:rsid w:val="00665931"/>
    <w:rsid w:val="00665C8A"/>
    <w:rsid w:val="00666ED1"/>
    <w:rsid w:val="00667535"/>
    <w:rsid w:val="0067259C"/>
    <w:rsid w:val="00673209"/>
    <w:rsid w:val="006742F1"/>
    <w:rsid w:val="006778F1"/>
    <w:rsid w:val="006804EA"/>
    <w:rsid w:val="006810B9"/>
    <w:rsid w:val="00681254"/>
    <w:rsid w:val="00682C92"/>
    <w:rsid w:val="00682FE8"/>
    <w:rsid w:val="0068487A"/>
    <w:rsid w:val="006875B4"/>
    <w:rsid w:val="0068769E"/>
    <w:rsid w:val="00687A62"/>
    <w:rsid w:val="00690603"/>
    <w:rsid w:val="006907DF"/>
    <w:rsid w:val="0069086C"/>
    <w:rsid w:val="00690E9D"/>
    <w:rsid w:val="00691297"/>
    <w:rsid w:val="006921AD"/>
    <w:rsid w:val="0069302A"/>
    <w:rsid w:val="0069373A"/>
    <w:rsid w:val="00693DAD"/>
    <w:rsid w:val="006943B7"/>
    <w:rsid w:val="006959E9"/>
    <w:rsid w:val="006963E8"/>
    <w:rsid w:val="006A020B"/>
    <w:rsid w:val="006A0C5E"/>
    <w:rsid w:val="006A2A3A"/>
    <w:rsid w:val="006A5228"/>
    <w:rsid w:val="006A55E1"/>
    <w:rsid w:val="006A7D7D"/>
    <w:rsid w:val="006B00FC"/>
    <w:rsid w:val="006B0336"/>
    <w:rsid w:val="006B2624"/>
    <w:rsid w:val="006B5439"/>
    <w:rsid w:val="006B563D"/>
    <w:rsid w:val="006B58C9"/>
    <w:rsid w:val="006B5A56"/>
    <w:rsid w:val="006B6838"/>
    <w:rsid w:val="006B7236"/>
    <w:rsid w:val="006B76AC"/>
    <w:rsid w:val="006C1487"/>
    <w:rsid w:val="006C2394"/>
    <w:rsid w:val="006C64D8"/>
    <w:rsid w:val="006C7510"/>
    <w:rsid w:val="006C7E85"/>
    <w:rsid w:val="006D060D"/>
    <w:rsid w:val="006D0C1E"/>
    <w:rsid w:val="006D0C94"/>
    <w:rsid w:val="006D1D94"/>
    <w:rsid w:val="006D3FA2"/>
    <w:rsid w:val="006D3FDE"/>
    <w:rsid w:val="006D6BE5"/>
    <w:rsid w:val="006D6F28"/>
    <w:rsid w:val="006E1F72"/>
    <w:rsid w:val="006E2B5B"/>
    <w:rsid w:val="006E32AB"/>
    <w:rsid w:val="006E36EB"/>
    <w:rsid w:val="006E536F"/>
    <w:rsid w:val="006E5BBA"/>
    <w:rsid w:val="006E7D6F"/>
    <w:rsid w:val="006E7F10"/>
    <w:rsid w:val="006F031E"/>
    <w:rsid w:val="006F113B"/>
    <w:rsid w:val="006F2699"/>
    <w:rsid w:val="006F2DF9"/>
    <w:rsid w:val="006F2FD7"/>
    <w:rsid w:val="006F3CAC"/>
    <w:rsid w:val="006F4215"/>
    <w:rsid w:val="006F4501"/>
    <w:rsid w:val="006F458A"/>
    <w:rsid w:val="006F4F9A"/>
    <w:rsid w:val="006F6583"/>
    <w:rsid w:val="006F773C"/>
    <w:rsid w:val="00702781"/>
    <w:rsid w:val="00703152"/>
    <w:rsid w:val="00703B13"/>
    <w:rsid w:val="007044EB"/>
    <w:rsid w:val="00705806"/>
    <w:rsid w:val="00706582"/>
    <w:rsid w:val="00707A85"/>
    <w:rsid w:val="00707E5C"/>
    <w:rsid w:val="00713F53"/>
    <w:rsid w:val="0071574A"/>
    <w:rsid w:val="007166CD"/>
    <w:rsid w:val="007177AF"/>
    <w:rsid w:val="00721666"/>
    <w:rsid w:val="007246E7"/>
    <w:rsid w:val="00725373"/>
    <w:rsid w:val="0072719E"/>
    <w:rsid w:val="007275C6"/>
    <w:rsid w:val="00727B54"/>
    <w:rsid w:val="0073074C"/>
    <w:rsid w:val="00730A1F"/>
    <w:rsid w:val="00731C6C"/>
    <w:rsid w:val="00732897"/>
    <w:rsid w:val="00733A40"/>
    <w:rsid w:val="007349B8"/>
    <w:rsid w:val="00734FAB"/>
    <w:rsid w:val="00735E30"/>
    <w:rsid w:val="00736172"/>
    <w:rsid w:val="00736314"/>
    <w:rsid w:val="00736DDC"/>
    <w:rsid w:val="00740E87"/>
    <w:rsid w:val="00740F37"/>
    <w:rsid w:val="0074184E"/>
    <w:rsid w:val="00741A47"/>
    <w:rsid w:val="00743EDF"/>
    <w:rsid w:val="00745B2E"/>
    <w:rsid w:val="00745E79"/>
    <w:rsid w:val="00746BC2"/>
    <w:rsid w:val="00746D10"/>
    <w:rsid w:val="00751CD1"/>
    <w:rsid w:val="007544B9"/>
    <w:rsid w:val="00754FA5"/>
    <w:rsid w:val="00756AB0"/>
    <w:rsid w:val="007578CA"/>
    <w:rsid w:val="00761AD1"/>
    <w:rsid w:val="00761F26"/>
    <w:rsid w:val="00762D23"/>
    <w:rsid w:val="00763A26"/>
    <w:rsid w:val="00763DB5"/>
    <w:rsid w:val="007647AD"/>
    <w:rsid w:val="00765E83"/>
    <w:rsid w:val="0076625A"/>
    <w:rsid w:val="007706A7"/>
    <w:rsid w:val="00770E58"/>
    <w:rsid w:val="007716AC"/>
    <w:rsid w:val="007724D1"/>
    <w:rsid w:val="00773472"/>
    <w:rsid w:val="00774735"/>
    <w:rsid w:val="00775AD9"/>
    <w:rsid w:val="00775F57"/>
    <w:rsid w:val="007763C5"/>
    <w:rsid w:val="0077676D"/>
    <w:rsid w:val="00777A21"/>
    <w:rsid w:val="00777F6D"/>
    <w:rsid w:val="0078030D"/>
    <w:rsid w:val="0078075D"/>
    <w:rsid w:val="00781C7A"/>
    <w:rsid w:val="0078204A"/>
    <w:rsid w:val="00782904"/>
    <w:rsid w:val="00785245"/>
    <w:rsid w:val="007865E6"/>
    <w:rsid w:val="00790AD1"/>
    <w:rsid w:val="00791115"/>
    <w:rsid w:val="00791A42"/>
    <w:rsid w:val="00792CC7"/>
    <w:rsid w:val="00793DAE"/>
    <w:rsid w:val="007953F4"/>
    <w:rsid w:val="00795BDF"/>
    <w:rsid w:val="0079603D"/>
    <w:rsid w:val="00796D2C"/>
    <w:rsid w:val="0079779B"/>
    <w:rsid w:val="007A0924"/>
    <w:rsid w:val="007A162B"/>
    <w:rsid w:val="007A393B"/>
    <w:rsid w:val="007A402A"/>
    <w:rsid w:val="007A5385"/>
    <w:rsid w:val="007A5772"/>
    <w:rsid w:val="007A699B"/>
    <w:rsid w:val="007A730C"/>
    <w:rsid w:val="007A7B13"/>
    <w:rsid w:val="007A7B8B"/>
    <w:rsid w:val="007B24F4"/>
    <w:rsid w:val="007B4904"/>
    <w:rsid w:val="007B5A49"/>
    <w:rsid w:val="007B7047"/>
    <w:rsid w:val="007B7B95"/>
    <w:rsid w:val="007B7B96"/>
    <w:rsid w:val="007C0F57"/>
    <w:rsid w:val="007C1821"/>
    <w:rsid w:val="007C1DC1"/>
    <w:rsid w:val="007C2E04"/>
    <w:rsid w:val="007C3AC3"/>
    <w:rsid w:val="007C3F71"/>
    <w:rsid w:val="007C55CD"/>
    <w:rsid w:val="007C5ACE"/>
    <w:rsid w:val="007C62F1"/>
    <w:rsid w:val="007C635B"/>
    <w:rsid w:val="007C78B4"/>
    <w:rsid w:val="007D0012"/>
    <w:rsid w:val="007D0A63"/>
    <w:rsid w:val="007D1639"/>
    <w:rsid w:val="007D18AA"/>
    <w:rsid w:val="007D1CA4"/>
    <w:rsid w:val="007D2101"/>
    <w:rsid w:val="007D4394"/>
    <w:rsid w:val="007D4438"/>
    <w:rsid w:val="007D7B32"/>
    <w:rsid w:val="007E0C02"/>
    <w:rsid w:val="007E4963"/>
    <w:rsid w:val="007E4A6F"/>
    <w:rsid w:val="007E76BA"/>
    <w:rsid w:val="007F08CE"/>
    <w:rsid w:val="007F0FCD"/>
    <w:rsid w:val="007F1435"/>
    <w:rsid w:val="00800CC8"/>
    <w:rsid w:val="00800FDF"/>
    <w:rsid w:val="00802B9B"/>
    <w:rsid w:val="00802FDA"/>
    <w:rsid w:val="00803148"/>
    <w:rsid w:val="008031BB"/>
    <w:rsid w:val="008033D4"/>
    <w:rsid w:val="0080783F"/>
    <w:rsid w:val="00807915"/>
    <w:rsid w:val="00810749"/>
    <w:rsid w:val="008107BE"/>
    <w:rsid w:val="00810D66"/>
    <w:rsid w:val="0081224B"/>
    <w:rsid w:val="008137AF"/>
    <w:rsid w:val="0081458F"/>
    <w:rsid w:val="008160F5"/>
    <w:rsid w:val="00817644"/>
    <w:rsid w:val="008206B6"/>
    <w:rsid w:val="00820A54"/>
    <w:rsid w:val="00820FC3"/>
    <w:rsid w:val="00821415"/>
    <w:rsid w:val="00821B26"/>
    <w:rsid w:val="00823CDA"/>
    <w:rsid w:val="00824477"/>
    <w:rsid w:val="00825147"/>
    <w:rsid w:val="00826427"/>
    <w:rsid w:val="00827AAB"/>
    <w:rsid w:val="00827AF6"/>
    <w:rsid w:val="00832C46"/>
    <w:rsid w:val="00833891"/>
    <w:rsid w:val="00834FCC"/>
    <w:rsid w:val="008355C7"/>
    <w:rsid w:val="0083672A"/>
    <w:rsid w:val="0084065D"/>
    <w:rsid w:val="0084105B"/>
    <w:rsid w:val="008424C1"/>
    <w:rsid w:val="00844093"/>
    <w:rsid w:val="00847886"/>
    <w:rsid w:val="00850602"/>
    <w:rsid w:val="0085145B"/>
    <w:rsid w:val="0085186B"/>
    <w:rsid w:val="008531CB"/>
    <w:rsid w:val="00853334"/>
    <w:rsid w:val="00855DD5"/>
    <w:rsid w:val="00857A97"/>
    <w:rsid w:val="00860EEB"/>
    <w:rsid w:val="0086361B"/>
    <w:rsid w:val="008648C7"/>
    <w:rsid w:val="00864C0A"/>
    <w:rsid w:val="00865535"/>
    <w:rsid w:val="00865B1A"/>
    <w:rsid w:val="008666D9"/>
    <w:rsid w:val="00867051"/>
    <w:rsid w:val="00867F4B"/>
    <w:rsid w:val="0087193F"/>
    <w:rsid w:val="00871C08"/>
    <w:rsid w:val="00872541"/>
    <w:rsid w:val="0087297B"/>
    <w:rsid w:val="00872DBD"/>
    <w:rsid w:val="00873705"/>
    <w:rsid w:val="008752F0"/>
    <w:rsid w:val="008757A7"/>
    <w:rsid w:val="008759F2"/>
    <w:rsid w:val="008763F8"/>
    <w:rsid w:val="00876662"/>
    <w:rsid w:val="00876706"/>
    <w:rsid w:val="00880274"/>
    <w:rsid w:val="008806F1"/>
    <w:rsid w:val="00881C53"/>
    <w:rsid w:val="00883257"/>
    <w:rsid w:val="008866C7"/>
    <w:rsid w:val="00886F16"/>
    <w:rsid w:val="0088770D"/>
    <w:rsid w:val="0089094A"/>
    <w:rsid w:val="008914A0"/>
    <w:rsid w:val="00891DE5"/>
    <w:rsid w:val="008A035D"/>
    <w:rsid w:val="008A2700"/>
    <w:rsid w:val="008A45FB"/>
    <w:rsid w:val="008A5951"/>
    <w:rsid w:val="008A59F1"/>
    <w:rsid w:val="008A6D6B"/>
    <w:rsid w:val="008A6EF5"/>
    <w:rsid w:val="008B1BEC"/>
    <w:rsid w:val="008B1F30"/>
    <w:rsid w:val="008B24AB"/>
    <w:rsid w:val="008B4FCA"/>
    <w:rsid w:val="008B56A3"/>
    <w:rsid w:val="008B572E"/>
    <w:rsid w:val="008B6DD2"/>
    <w:rsid w:val="008B7C62"/>
    <w:rsid w:val="008C075A"/>
    <w:rsid w:val="008C15B9"/>
    <w:rsid w:val="008C30AA"/>
    <w:rsid w:val="008C3868"/>
    <w:rsid w:val="008C4B1A"/>
    <w:rsid w:val="008C6BE8"/>
    <w:rsid w:val="008C7398"/>
    <w:rsid w:val="008D11E1"/>
    <w:rsid w:val="008D16CB"/>
    <w:rsid w:val="008D2714"/>
    <w:rsid w:val="008D29FC"/>
    <w:rsid w:val="008D2AED"/>
    <w:rsid w:val="008D58D2"/>
    <w:rsid w:val="008D655D"/>
    <w:rsid w:val="008D6F72"/>
    <w:rsid w:val="008D74CF"/>
    <w:rsid w:val="008E367F"/>
    <w:rsid w:val="008E7F18"/>
    <w:rsid w:val="008F0B64"/>
    <w:rsid w:val="008F0FE8"/>
    <w:rsid w:val="008F3D2B"/>
    <w:rsid w:val="008F3E84"/>
    <w:rsid w:val="008F5CA1"/>
    <w:rsid w:val="008F7C76"/>
    <w:rsid w:val="00900529"/>
    <w:rsid w:val="0090603A"/>
    <w:rsid w:val="00906057"/>
    <w:rsid w:val="0090610A"/>
    <w:rsid w:val="00906118"/>
    <w:rsid w:val="00912D9C"/>
    <w:rsid w:val="0091318F"/>
    <w:rsid w:val="00913358"/>
    <w:rsid w:val="00913BE5"/>
    <w:rsid w:val="00914A40"/>
    <w:rsid w:val="00915793"/>
    <w:rsid w:val="00916EAC"/>
    <w:rsid w:val="009173F4"/>
    <w:rsid w:val="00920DF3"/>
    <w:rsid w:val="00922360"/>
    <w:rsid w:val="009247F1"/>
    <w:rsid w:val="0092691C"/>
    <w:rsid w:val="00927C38"/>
    <w:rsid w:val="0093193A"/>
    <w:rsid w:val="00932205"/>
    <w:rsid w:val="00932A71"/>
    <w:rsid w:val="00933BEC"/>
    <w:rsid w:val="009351ED"/>
    <w:rsid w:val="009358BC"/>
    <w:rsid w:val="0093613E"/>
    <w:rsid w:val="00936332"/>
    <w:rsid w:val="00936696"/>
    <w:rsid w:val="0093678E"/>
    <w:rsid w:val="00936FE7"/>
    <w:rsid w:val="00937358"/>
    <w:rsid w:val="00937568"/>
    <w:rsid w:val="009400EA"/>
    <w:rsid w:val="00940163"/>
    <w:rsid w:val="00940434"/>
    <w:rsid w:val="009405B6"/>
    <w:rsid w:val="00941906"/>
    <w:rsid w:val="00943BB4"/>
    <w:rsid w:val="00945283"/>
    <w:rsid w:val="00946AC8"/>
    <w:rsid w:val="00947447"/>
    <w:rsid w:val="009474C9"/>
    <w:rsid w:val="00947598"/>
    <w:rsid w:val="00950511"/>
    <w:rsid w:val="00950A28"/>
    <w:rsid w:val="00950BF6"/>
    <w:rsid w:val="00950DBE"/>
    <w:rsid w:val="009515AD"/>
    <w:rsid w:val="00951A45"/>
    <w:rsid w:val="00952057"/>
    <w:rsid w:val="00955422"/>
    <w:rsid w:val="009562E1"/>
    <w:rsid w:val="009566F7"/>
    <w:rsid w:val="00960A66"/>
    <w:rsid w:val="00961000"/>
    <w:rsid w:val="00961992"/>
    <w:rsid w:val="009626A4"/>
    <w:rsid w:val="00962810"/>
    <w:rsid w:val="00962E42"/>
    <w:rsid w:val="009638DA"/>
    <w:rsid w:val="00964D5C"/>
    <w:rsid w:val="0096512E"/>
    <w:rsid w:val="00965E7E"/>
    <w:rsid w:val="00966D68"/>
    <w:rsid w:val="00966FF5"/>
    <w:rsid w:val="00967701"/>
    <w:rsid w:val="00967723"/>
    <w:rsid w:val="00971800"/>
    <w:rsid w:val="009740A1"/>
    <w:rsid w:val="00974B6F"/>
    <w:rsid w:val="009760C1"/>
    <w:rsid w:val="00976D34"/>
    <w:rsid w:val="009803BA"/>
    <w:rsid w:val="009813CE"/>
    <w:rsid w:val="009817BF"/>
    <w:rsid w:val="009819B3"/>
    <w:rsid w:val="0098318E"/>
    <w:rsid w:val="0098323E"/>
    <w:rsid w:val="00983E18"/>
    <w:rsid w:val="00985F66"/>
    <w:rsid w:val="0098627D"/>
    <w:rsid w:val="00986350"/>
    <w:rsid w:val="009863CB"/>
    <w:rsid w:val="00986F4E"/>
    <w:rsid w:val="00991065"/>
    <w:rsid w:val="00991955"/>
    <w:rsid w:val="00991FBF"/>
    <w:rsid w:val="0099222E"/>
    <w:rsid w:val="00992364"/>
    <w:rsid w:val="00993739"/>
    <w:rsid w:val="00993F50"/>
    <w:rsid w:val="00994BE6"/>
    <w:rsid w:val="00995191"/>
    <w:rsid w:val="00996CF4"/>
    <w:rsid w:val="009978AC"/>
    <w:rsid w:val="009A0B59"/>
    <w:rsid w:val="009A0E55"/>
    <w:rsid w:val="009A11C8"/>
    <w:rsid w:val="009A16F9"/>
    <w:rsid w:val="009A31BE"/>
    <w:rsid w:val="009A3589"/>
    <w:rsid w:val="009B23A5"/>
    <w:rsid w:val="009B3234"/>
    <w:rsid w:val="009B4C96"/>
    <w:rsid w:val="009B670A"/>
    <w:rsid w:val="009B6D21"/>
    <w:rsid w:val="009B7216"/>
    <w:rsid w:val="009C0F3D"/>
    <w:rsid w:val="009C29E8"/>
    <w:rsid w:val="009C2BB1"/>
    <w:rsid w:val="009C42B9"/>
    <w:rsid w:val="009C5C35"/>
    <w:rsid w:val="009C7C3E"/>
    <w:rsid w:val="009D0631"/>
    <w:rsid w:val="009D13C4"/>
    <w:rsid w:val="009D1E11"/>
    <w:rsid w:val="009D28A2"/>
    <w:rsid w:val="009D3083"/>
    <w:rsid w:val="009D30F5"/>
    <w:rsid w:val="009D34F7"/>
    <w:rsid w:val="009D392B"/>
    <w:rsid w:val="009D3F3A"/>
    <w:rsid w:val="009D6288"/>
    <w:rsid w:val="009D6859"/>
    <w:rsid w:val="009D7C74"/>
    <w:rsid w:val="009E078E"/>
    <w:rsid w:val="009E0A3C"/>
    <w:rsid w:val="009E0FC3"/>
    <w:rsid w:val="009E1470"/>
    <w:rsid w:val="009E280E"/>
    <w:rsid w:val="009E4914"/>
    <w:rsid w:val="009E62BA"/>
    <w:rsid w:val="009E64B9"/>
    <w:rsid w:val="009E76E1"/>
    <w:rsid w:val="009F228C"/>
    <w:rsid w:val="009F3005"/>
    <w:rsid w:val="009F44A5"/>
    <w:rsid w:val="009F5EC5"/>
    <w:rsid w:val="009F6800"/>
    <w:rsid w:val="009F70BC"/>
    <w:rsid w:val="009F716B"/>
    <w:rsid w:val="00A00B6D"/>
    <w:rsid w:val="00A00BAD"/>
    <w:rsid w:val="00A01D7B"/>
    <w:rsid w:val="00A02475"/>
    <w:rsid w:val="00A028FD"/>
    <w:rsid w:val="00A02DE7"/>
    <w:rsid w:val="00A02DF5"/>
    <w:rsid w:val="00A031A7"/>
    <w:rsid w:val="00A036CD"/>
    <w:rsid w:val="00A04A45"/>
    <w:rsid w:val="00A0528E"/>
    <w:rsid w:val="00A06E01"/>
    <w:rsid w:val="00A074D0"/>
    <w:rsid w:val="00A11FE8"/>
    <w:rsid w:val="00A12696"/>
    <w:rsid w:val="00A12BBF"/>
    <w:rsid w:val="00A130AC"/>
    <w:rsid w:val="00A13125"/>
    <w:rsid w:val="00A13D95"/>
    <w:rsid w:val="00A17255"/>
    <w:rsid w:val="00A2011C"/>
    <w:rsid w:val="00A203F1"/>
    <w:rsid w:val="00A20EC3"/>
    <w:rsid w:val="00A2107B"/>
    <w:rsid w:val="00A21AC9"/>
    <w:rsid w:val="00A21CC1"/>
    <w:rsid w:val="00A2221A"/>
    <w:rsid w:val="00A22F63"/>
    <w:rsid w:val="00A233C6"/>
    <w:rsid w:val="00A24DFB"/>
    <w:rsid w:val="00A2520B"/>
    <w:rsid w:val="00A26447"/>
    <w:rsid w:val="00A27A54"/>
    <w:rsid w:val="00A27C61"/>
    <w:rsid w:val="00A30BD7"/>
    <w:rsid w:val="00A321FA"/>
    <w:rsid w:val="00A324FB"/>
    <w:rsid w:val="00A34027"/>
    <w:rsid w:val="00A34E24"/>
    <w:rsid w:val="00A356B8"/>
    <w:rsid w:val="00A407AA"/>
    <w:rsid w:val="00A40F03"/>
    <w:rsid w:val="00A41926"/>
    <w:rsid w:val="00A43C7C"/>
    <w:rsid w:val="00A43F5E"/>
    <w:rsid w:val="00A44565"/>
    <w:rsid w:val="00A447B6"/>
    <w:rsid w:val="00A45276"/>
    <w:rsid w:val="00A50202"/>
    <w:rsid w:val="00A50726"/>
    <w:rsid w:val="00A517A2"/>
    <w:rsid w:val="00A52224"/>
    <w:rsid w:val="00A52BEA"/>
    <w:rsid w:val="00A5327A"/>
    <w:rsid w:val="00A53CDB"/>
    <w:rsid w:val="00A545A9"/>
    <w:rsid w:val="00A55877"/>
    <w:rsid w:val="00A5702F"/>
    <w:rsid w:val="00A5721D"/>
    <w:rsid w:val="00A57C26"/>
    <w:rsid w:val="00A57D09"/>
    <w:rsid w:val="00A57E67"/>
    <w:rsid w:val="00A61567"/>
    <w:rsid w:val="00A61A6E"/>
    <w:rsid w:val="00A646C8"/>
    <w:rsid w:val="00A65BA4"/>
    <w:rsid w:val="00A65ED0"/>
    <w:rsid w:val="00A66525"/>
    <w:rsid w:val="00A665BD"/>
    <w:rsid w:val="00A70288"/>
    <w:rsid w:val="00A70891"/>
    <w:rsid w:val="00A71122"/>
    <w:rsid w:val="00A718A5"/>
    <w:rsid w:val="00A719DB"/>
    <w:rsid w:val="00A7233C"/>
    <w:rsid w:val="00A7271F"/>
    <w:rsid w:val="00A72833"/>
    <w:rsid w:val="00A732C4"/>
    <w:rsid w:val="00A733DB"/>
    <w:rsid w:val="00A735C9"/>
    <w:rsid w:val="00A73ADF"/>
    <w:rsid w:val="00A802DC"/>
    <w:rsid w:val="00A80659"/>
    <w:rsid w:val="00A81A62"/>
    <w:rsid w:val="00A83253"/>
    <w:rsid w:val="00A87581"/>
    <w:rsid w:val="00A87F73"/>
    <w:rsid w:val="00A90059"/>
    <w:rsid w:val="00A90C8D"/>
    <w:rsid w:val="00A90E09"/>
    <w:rsid w:val="00A910DD"/>
    <w:rsid w:val="00A9231E"/>
    <w:rsid w:val="00A9285F"/>
    <w:rsid w:val="00A933C8"/>
    <w:rsid w:val="00A933EE"/>
    <w:rsid w:val="00A93C37"/>
    <w:rsid w:val="00A94263"/>
    <w:rsid w:val="00A97A0D"/>
    <w:rsid w:val="00AA18EA"/>
    <w:rsid w:val="00AA2649"/>
    <w:rsid w:val="00AA315D"/>
    <w:rsid w:val="00AA4EC7"/>
    <w:rsid w:val="00AA5067"/>
    <w:rsid w:val="00AA68B2"/>
    <w:rsid w:val="00AA7F49"/>
    <w:rsid w:val="00AB0131"/>
    <w:rsid w:val="00AB0DBE"/>
    <w:rsid w:val="00AB0EA3"/>
    <w:rsid w:val="00AB168D"/>
    <w:rsid w:val="00AB2097"/>
    <w:rsid w:val="00AB4D85"/>
    <w:rsid w:val="00AB57A6"/>
    <w:rsid w:val="00AB5CC1"/>
    <w:rsid w:val="00AC23C5"/>
    <w:rsid w:val="00AC366A"/>
    <w:rsid w:val="00AC5178"/>
    <w:rsid w:val="00AC5B42"/>
    <w:rsid w:val="00AC6603"/>
    <w:rsid w:val="00AC737B"/>
    <w:rsid w:val="00AC7A80"/>
    <w:rsid w:val="00AD09E0"/>
    <w:rsid w:val="00AD2A5F"/>
    <w:rsid w:val="00AD2E1D"/>
    <w:rsid w:val="00AD3043"/>
    <w:rsid w:val="00AD39D4"/>
    <w:rsid w:val="00AD47EC"/>
    <w:rsid w:val="00AD6A55"/>
    <w:rsid w:val="00AE1127"/>
    <w:rsid w:val="00AE276F"/>
    <w:rsid w:val="00AE41FC"/>
    <w:rsid w:val="00AE4BC2"/>
    <w:rsid w:val="00AE5603"/>
    <w:rsid w:val="00AE5A58"/>
    <w:rsid w:val="00AE651E"/>
    <w:rsid w:val="00AF0523"/>
    <w:rsid w:val="00AF2EAF"/>
    <w:rsid w:val="00AF5692"/>
    <w:rsid w:val="00AF5C93"/>
    <w:rsid w:val="00AF5D25"/>
    <w:rsid w:val="00AF7126"/>
    <w:rsid w:val="00AF75CF"/>
    <w:rsid w:val="00AF767A"/>
    <w:rsid w:val="00B00085"/>
    <w:rsid w:val="00B001D9"/>
    <w:rsid w:val="00B002E4"/>
    <w:rsid w:val="00B01F50"/>
    <w:rsid w:val="00B0385F"/>
    <w:rsid w:val="00B0401D"/>
    <w:rsid w:val="00B045FC"/>
    <w:rsid w:val="00B050F9"/>
    <w:rsid w:val="00B05E0D"/>
    <w:rsid w:val="00B06BAD"/>
    <w:rsid w:val="00B0734E"/>
    <w:rsid w:val="00B07516"/>
    <w:rsid w:val="00B10E35"/>
    <w:rsid w:val="00B139CA"/>
    <w:rsid w:val="00B13F1B"/>
    <w:rsid w:val="00B153ED"/>
    <w:rsid w:val="00B15D24"/>
    <w:rsid w:val="00B15E45"/>
    <w:rsid w:val="00B16CD3"/>
    <w:rsid w:val="00B171DD"/>
    <w:rsid w:val="00B17B3D"/>
    <w:rsid w:val="00B202E3"/>
    <w:rsid w:val="00B20382"/>
    <w:rsid w:val="00B20692"/>
    <w:rsid w:val="00B21332"/>
    <w:rsid w:val="00B2151A"/>
    <w:rsid w:val="00B2508C"/>
    <w:rsid w:val="00B255DD"/>
    <w:rsid w:val="00B260AB"/>
    <w:rsid w:val="00B26B1F"/>
    <w:rsid w:val="00B30674"/>
    <w:rsid w:val="00B32460"/>
    <w:rsid w:val="00B32494"/>
    <w:rsid w:val="00B32A1D"/>
    <w:rsid w:val="00B342FD"/>
    <w:rsid w:val="00B35C73"/>
    <w:rsid w:val="00B35CE1"/>
    <w:rsid w:val="00B361D3"/>
    <w:rsid w:val="00B36775"/>
    <w:rsid w:val="00B36B09"/>
    <w:rsid w:val="00B37AD5"/>
    <w:rsid w:val="00B4241A"/>
    <w:rsid w:val="00B43037"/>
    <w:rsid w:val="00B46083"/>
    <w:rsid w:val="00B46A4F"/>
    <w:rsid w:val="00B471AF"/>
    <w:rsid w:val="00B502A2"/>
    <w:rsid w:val="00B50655"/>
    <w:rsid w:val="00B52225"/>
    <w:rsid w:val="00B529E3"/>
    <w:rsid w:val="00B52B31"/>
    <w:rsid w:val="00B53C82"/>
    <w:rsid w:val="00B54C48"/>
    <w:rsid w:val="00B54EE5"/>
    <w:rsid w:val="00B56285"/>
    <w:rsid w:val="00B57010"/>
    <w:rsid w:val="00B57E16"/>
    <w:rsid w:val="00B60E02"/>
    <w:rsid w:val="00B6188B"/>
    <w:rsid w:val="00B6351A"/>
    <w:rsid w:val="00B65444"/>
    <w:rsid w:val="00B6568E"/>
    <w:rsid w:val="00B66C5C"/>
    <w:rsid w:val="00B677AE"/>
    <w:rsid w:val="00B71039"/>
    <w:rsid w:val="00B71D22"/>
    <w:rsid w:val="00B71F08"/>
    <w:rsid w:val="00B71F44"/>
    <w:rsid w:val="00B72B08"/>
    <w:rsid w:val="00B73B8E"/>
    <w:rsid w:val="00B757B8"/>
    <w:rsid w:val="00B76613"/>
    <w:rsid w:val="00B767D9"/>
    <w:rsid w:val="00B767EE"/>
    <w:rsid w:val="00B77608"/>
    <w:rsid w:val="00B801C1"/>
    <w:rsid w:val="00B80426"/>
    <w:rsid w:val="00B8087C"/>
    <w:rsid w:val="00B81D03"/>
    <w:rsid w:val="00B81F3C"/>
    <w:rsid w:val="00B82652"/>
    <w:rsid w:val="00B82EB3"/>
    <w:rsid w:val="00B839F5"/>
    <w:rsid w:val="00B83F41"/>
    <w:rsid w:val="00B8560D"/>
    <w:rsid w:val="00B85EEC"/>
    <w:rsid w:val="00B86BAD"/>
    <w:rsid w:val="00B86BB1"/>
    <w:rsid w:val="00B87B41"/>
    <w:rsid w:val="00B92155"/>
    <w:rsid w:val="00B92372"/>
    <w:rsid w:val="00B92E23"/>
    <w:rsid w:val="00B93784"/>
    <w:rsid w:val="00B94FA3"/>
    <w:rsid w:val="00B967A4"/>
    <w:rsid w:val="00B96B26"/>
    <w:rsid w:val="00B96D25"/>
    <w:rsid w:val="00BA019F"/>
    <w:rsid w:val="00BA1243"/>
    <w:rsid w:val="00BA1375"/>
    <w:rsid w:val="00BA1B69"/>
    <w:rsid w:val="00BA2D3F"/>
    <w:rsid w:val="00BA2E42"/>
    <w:rsid w:val="00BA378A"/>
    <w:rsid w:val="00BA42A1"/>
    <w:rsid w:val="00BA489B"/>
    <w:rsid w:val="00BA50F3"/>
    <w:rsid w:val="00BA61F6"/>
    <w:rsid w:val="00BA69F7"/>
    <w:rsid w:val="00BA78DD"/>
    <w:rsid w:val="00BA7EEE"/>
    <w:rsid w:val="00BB0CD6"/>
    <w:rsid w:val="00BB2049"/>
    <w:rsid w:val="00BB32BA"/>
    <w:rsid w:val="00BB3E4C"/>
    <w:rsid w:val="00BB44AB"/>
    <w:rsid w:val="00BB4584"/>
    <w:rsid w:val="00BB694D"/>
    <w:rsid w:val="00BB744B"/>
    <w:rsid w:val="00BC09A8"/>
    <w:rsid w:val="00BC1FD3"/>
    <w:rsid w:val="00BC3910"/>
    <w:rsid w:val="00BC3F47"/>
    <w:rsid w:val="00BC429A"/>
    <w:rsid w:val="00BC53B4"/>
    <w:rsid w:val="00BC5E00"/>
    <w:rsid w:val="00BC6689"/>
    <w:rsid w:val="00BC6831"/>
    <w:rsid w:val="00BC68DA"/>
    <w:rsid w:val="00BC7A0D"/>
    <w:rsid w:val="00BD06A0"/>
    <w:rsid w:val="00BD1C7A"/>
    <w:rsid w:val="00BD2CD6"/>
    <w:rsid w:val="00BD3230"/>
    <w:rsid w:val="00BD5902"/>
    <w:rsid w:val="00BD5F59"/>
    <w:rsid w:val="00BE0D59"/>
    <w:rsid w:val="00BE138D"/>
    <w:rsid w:val="00BE15D5"/>
    <w:rsid w:val="00BE21A9"/>
    <w:rsid w:val="00BE3A6C"/>
    <w:rsid w:val="00BE51C3"/>
    <w:rsid w:val="00BE5CD2"/>
    <w:rsid w:val="00BE7FF3"/>
    <w:rsid w:val="00BF22F4"/>
    <w:rsid w:val="00BF5319"/>
    <w:rsid w:val="00BF53FE"/>
    <w:rsid w:val="00BF543B"/>
    <w:rsid w:val="00BF66B6"/>
    <w:rsid w:val="00BF67DE"/>
    <w:rsid w:val="00BF6BAF"/>
    <w:rsid w:val="00BF7107"/>
    <w:rsid w:val="00BF75A1"/>
    <w:rsid w:val="00BF7DD7"/>
    <w:rsid w:val="00C00149"/>
    <w:rsid w:val="00C004F6"/>
    <w:rsid w:val="00C01BFC"/>
    <w:rsid w:val="00C01F33"/>
    <w:rsid w:val="00C032A9"/>
    <w:rsid w:val="00C04B99"/>
    <w:rsid w:val="00C05091"/>
    <w:rsid w:val="00C061CB"/>
    <w:rsid w:val="00C06484"/>
    <w:rsid w:val="00C06D9C"/>
    <w:rsid w:val="00C07101"/>
    <w:rsid w:val="00C10A96"/>
    <w:rsid w:val="00C10F27"/>
    <w:rsid w:val="00C119A4"/>
    <w:rsid w:val="00C15249"/>
    <w:rsid w:val="00C15B3C"/>
    <w:rsid w:val="00C15B96"/>
    <w:rsid w:val="00C22AFA"/>
    <w:rsid w:val="00C2328F"/>
    <w:rsid w:val="00C23FC1"/>
    <w:rsid w:val="00C24EC1"/>
    <w:rsid w:val="00C254B7"/>
    <w:rsid w:val="00C25C9E"/>
    <w:rsid w:val="00C26AEF"/>
    <w:rsid w:val="00C2767E"/>
    <w:rsid w:val="00C30DE0"/>
    <w:rsid w:val="00C30E8A"/>
    <w:rsid w:val="00C31769"/>
    <w:rsid w:val="00C31914"/>
    <w:rsid w:val="00C33A3B"/>
    <w:rsid w:val="00C35125"/>
    <w:rsid w:val="00C351D6"/>
    <w:rsid w:val="00C3552A"/>
    <w:rsid w:val="00C35881"/>
    <w:rsid w:val="00C35EA4"/>
    <w:rsid w:val="00C3602B"/>
    <w:rsid w:val="00C36713"/>
    <w:rsid w:val="00C36A6C"/>
    <w:rsid w:val="00C36D40"/>
    <w:rsid w:val="00C37E2E"/>
    <w:rsid w:val="00C41029"/>
    <w:rsid w:val="00C41893"/>
    <w:rsid w:val="00C42AC2"/>
    <w:rsid w:val="00C44971"/>
    <w:rsid w:val="00C47E09"/>
    <w:rsid w:val="00C47FA9"/>
    <w:rsid w:val="00C52C20"/>
    <w:rsid w:val="00C532DE"/>
    <w:rsid w:val="00C54183"/>
    <w:rsid w:val="00C574E0"/>
    <w:rsid w:val="00C57BBC"/>
    <w:rsid w:val="00C57F9B"/>
    <w:rsid w:val="00C6044A"/>
    <w:rsid w:val="00C622E1"/>
    <w:rsid w:val="00C6694F"/>
    <w:rsid w:val="00C66F9B"/>
    <w:rsid w:val="00C7015F"/>
    <w:rsid w:val="00C7061B"/>
    <w:rsid w:val="00C7144B"/>
    <w:rsid w:val="00C723C7"/>
    <w:rsid w:val="00C7260F"/>
    <w:rsid w:val="00C73082"/>
    <w:rsid w:val="00C747E5"/>
    <w:rsid w:val="00C751A7"/>
    <w:rsid w:val="00C75541"/>
    <w:rsid w:val="00C759F4"/>
    <w:rsid w:val="00C75C2D"/>
    <w:rsid w:val="00C7650F"/>
    <w:rsid w:val="00C76CE3"/>
    <w:rsid w:val="00C77761"/>
    <w:rsid w:val="00C779CD"/>
    <w:rsid w:val="00C77ACB"/>
    <w:rsid w:val="00C77EE0"/>
    <w:rsid w:val="00C806C5"/>
    <w:rsid w:val="00C808EB"/>
    <w:rsid w:val="00C80A93"/>
    <w:rsid w:val="00C815A5"/>
    <w:rsid w:val="00C81DCD"/>
    <w:rsid w:val="00C823CB"/>
    <w:rsid w:val="00C82CA6"/>
    <w:rsid w:val="00C82CDD"/>
    <w:rsid w:val="00C82E89"/>
    <w:rsid w:val="00C83125"/>
    <w:rsid w:val="00C83269"/>
    <w:rsid w:val="00C83932"/>
    <w:rsid w:val="00C860AC"/>
    <w:rsid w:val="00C94A2B"/>
    <w:rsid w:val="00C951AD"/>
    <w:rsid w:val="00C96FF0"/>
    <w:rsid w:val="00C9701A"/>
    <w:rsid w:val="00CA1B3D"/>
    <w:rsid w:val="00CA2ED4"/>
    <w:rsid w:val="00CA35FD"/>
    <w:rsid w:val="00CA425B"/>
    <w:rsid w:val="00CA5228"/>
    <w:rsid w:val="00CA7453"/>
    <w:rsid w:val="00CB422C"/>
    <w:rsid w:val="00CB43C9"/>
    <w:rsid w:val="00CB4D02"/>
    <w:rsid w:val="00CB5AD7"/>
    <w:rsid w:val="00CB5AF5"/>
    <w:rsid w:val="00CB6899"/>
    <w:rsid w:val="00CC3A84"/>
    <w:rsid w:val="00CC5D67"/>
    <w:rsid w:val="00CC7BD0"/>
    <w:rsid w:val="00CD0F10"/>
    <w:rsid w:val="00CD1B35"/>
    <w:rsid w:val="00CD1DF6"/>
    <w:rsid w:val="00CD2697"/>
    <w:rsid w:val="00CD36ED"/>
    <w:rsid w:val="00CD3971"/>
    <w:rsid w:val="00CD4255"/>
    <w:rsid w:val="00CD4FD4"/>
    <w:rsid w:val="00CD5BCD"/>
    <w:rsid w:val="00CE13FA"/>
    <w:rsid w:val="00CE3F68"/>
    <w:rsid w:val="00CE565D"/>
    <w:rsid w:val="00CE58A1"/>
    <w:rsid w:val="00CE5D1B"/>
    <w:rsid w:val="00CF001E"/>
    <w:rsid w:val="00CF00A1"/>
    <w:rsid w:val="00CF1571"/>
    <w:rsid w:val="00CF2B85"/>
    <w:rsid w:val="00CF374A"/>
    <w:rsid w:val="00CF3A83"/>
    <w:rsid w:val="00CF4368"/>
    <w:rsid w:val="00CF732D"/>
    <w:rsid w:val="00CF7D85"/>
    <w:rsid w:val="00D019EC"/>
    <w:rsid w:val="00D01C88"/>
    <w:rsid w:val="00D02382"/>
    <w:rsid w:val="00D03A9D"/>
    <w:rsid w:val="00D045AE"/>
    <w:rsid w:val="00D04C81"/>
    <w:rsid w:val="00D04D2A"/>
    <w:rsid w:val="00D06992"/>
    <w:rsid w:val="00D06CCF"/>
    <w:rsid w:val="00D06EDA"/>
    <w:rsid w:val="00D073BE"/>
    <w:rsid w:val="00D10D03"/>
    <w:rsid w:val="00D140B6"/>
    <w:rsid w:val="00D1511E"/>
    <w:rsid w:val="00D1627E"/>
    <w:rsid w:val="00D174C6"/>
    <w:rsid w:val="00D17853"/>
    <w:rsid w:val="00D17F66"/>
    <w:rsid w:val="00D208EB"/>
    <w:rsid w:val="00D23360"/>
    <w:rsid w:val="00D2382F"/>
    <w:rsid w:val="00D23FED"/>
    <w:rsid w:val="00D2429E"/>
    <w:rsid w:val="00D24A76"/>
    <w:rsid w:val="00D24D8A"/>
    <w:rsid w:val="00D269CD"/>
    <w:rsid w:val="00D269D2"/>
    <w:rsid w:val="00D26F01"/>
    <w:rsid w:val="00D272E6"/>
    <w:rsid w:val="00D276B6"/>
    <w:rsid w:val="00D301EC"/>
    <w:rsid w:val="00D332A0"/>
    <w:rsid w:val="00D33950"/>
    <w:rsid w:val="00D34529"/>
    <w:rsid w:val="00D376B2"/>
    <w:rsid w:val="00D3781C"/>
    <w:rsid w:val="00D40573"/>
    <w:rsid w:val="00D4129A"/>
    <w:rsid w:val="00D42537"/>
    <w:rsid w:val="00D42947"/>
    <w:rsid w:val="00D432CF"/>
    <w:rsid w:val="00D43BC5"/>
    <w:rsid w:val="00D44622"/>
    <w:rsid w:val="00D461CD"/>
    <w:rsid w:val="00D47B24"/>
    <w:rsid w:val="00D50BB1"/>
    <w:rsid w:val="00D5360F"/>
    <w:rsid w:val="00D54252"/>
    <w:rsid w:val="00D55F26"/>
    <w:rsid w:val="00D56659"/>
    <w:rsid w:val="00D57006"/>
    <w:rsid w:val="00D5778D"/>
    <w:rsid w:val="00D60A0F"/>
    <w:rsid w:val="00D6140D"/>
    <w:rsid w:val="00D62A24"/>
    <w:rsid w:val="00D62CCF"/>
    <w:rsid w:val="00D63761"/>
    <w:rsid w:val="00D65233"/>
    <w:rsid w:val="00D6528F"/>
    <w:rsid w:val="00D66E8B"/>
    <w:rsid w:val="00D7292D"/>
    <w:rsid w:val="00D72F97"/>
    <w:rsid w:val="00D741E5"/>
    <w:rsid w:val="00D7571F"/>
    <w:rsid w:val="00D7588D"/>
    <w:rsid w:val="00D75AAE"/>
    <w:rsid w:val="00D76677"/>
    <w:rsid w:val="00D775A0"/>
    <w:rsid w:val="00D77941"/>
    <w:rsid w:val="00D820A6"/>
    <w:rsid w:val="00D829D5"/>
    <w:rsid w:val="00D83115"/>
    <w:rsid w:val="00D84960"/>
    <w:rsid w:val="00D8514B"/>
    <w:rsid w:val="00D908F0"/>
    <w:rsid w:val="00D91902"/>
    <w:rsid w:val="00D91E32"/>
    <w:rsid w:val="00D92D27"/>
    <w:rsid w:val="00D92ED8"/>
    <w:rsid w:val="00D93505"/>
    <w:rsid w:val="00D93A15"/>
    <w:rsid w:val="00D93C63"/>
    <w:rsid w:val="00D94916"/>
    <w:rsid w:val="00D94C70"/>
    <w:rsid w:val="00D9619F"/>
    <w:rsid w:val="00DA1D66"/>
    <w:rsid w:val="00DA251E"/>
    <w:rsid w:val="00DA34CB"/>
    <w:rsid w:val="00DA41E7"/>
    <w:rsid w:val="00DA44D4"/>
    <w:rsid w:val="00DA6ADF"/>
    <w:rsid w:val="00DB104B"/>
    <w:rsid w:val="00DB2718"/>
    <w:rsid w:val="00DB4C82"/>
    <w:rsid w:val="00DB505A"/>
    <w:rsid w:val="00DB7E53"/>
    <w:rsid w:val="00DC082E"/>
    <w:rsid w:val="00DC29B6"/>
    <w:rsid w:val="00DC29F9"/>
    <w:rsid w:val="00DC2F79"/>
    <w:rsid w:val="00DC3383"/>
    <w:rsid w:val="00DD00B4"/>
    <w:rsid w:val="00DD04F2"/>
    <w:rsid w:val="00DD1F90"/>
    <w:rsid w:val="00DD322B"/>
    <w:rsid w:val="00DD7100"/>
    <w:rsid w:val="00DD77FD"/>
    <w:rsid w:val="00DD7D66"/>
    <w:rsid w:val="00DE0575"/>
    <w:rsid w:val="00DE367E"/>
    <w:rsid w:val="00DE3710"/>
    <w:rsid w:val="00DE3D68"/>
    <w:rsid w:val="00DE5D2E"/>
    <w:rsid w:val="00DE79EB"/>
    <w:rsid w:val="00DF2FB0"/>
    <w:rsid w:val="00DF5115"/>
    <w:rsid w:val="00DF522D"/>
    <w:rsid w:val="00DF79EC"/>
    <w:rsid w:val="00E00974"/>
    <w:rsid w:val="00E0124A"/>
    <w:rsid w:val="00E02EFA"/>
    <w:rsid w:val="00E03ABE"/>
    <w:rsid w:val="00E03BB0"/>
    <w:rsid w:val="00E04325"/>
    <w:rsid w:val="00E069C6"/>
    <w:rsid w:val="00E07682"/>
    <w:rsid w:val="00E10133"/>
    <w:rsid w:val="00E11406"/>
    <w:rsid w:val="00E11D69"/>
    <w:rsid w:val="00E11E91"/>
    <w:rsid w:val="00E11EC8"/>
    <w:rsid w:val="00E12B78"/>
    <w:rsid w:val="00E13A31"/>
    <w:rsid w:val="00E14029"/>
    <w:rsid w:val="00E14F21"/>
    <w:rsid w:val="00E174FC"/>
    <w:rsid w:val="00E17D61"/>
    <w:rsid w:val="00E17DAF"/>
    <w:rsid w:val="00E24EB5"/>
    <w:rsid w:val="00E27EF1"/>
    <w:rsid w:val="00E32F9A"/>
    <w:rsid w:val="00E33086"/>
    <w:rsid w:val="00E336BD"/>
    <w:rsid w:val="00E34771"/>
    <w:rsid w:val="00E34928"/>
    <w:rsid w:val="00E355B1"/>
    <w:rsid w:val="00E37257"/>
    <w:rsid w:val="00E43CEF"/>
    <w:rsid w:val="00E43EA8"/>
    <w:rsid w:val="00E44A38"/>
    <w:rsid w:val="00E452AC"/>
    <w:rsid w:val="00E461E3"/>
    <w:rsid w:val="00E46CCD"/>
    <w:rsid w:val="00E46D4F"/>
    <w:rsid w:val="00E4742C"/>
    <w:rsid w:val="00E474B1"/>
    <w:rsid w:val="00E47C34"/>
    <w:rsid w:val="00E515BE"/>
    <w:rsid w:val="00E5225D"/>
    <w:rsid w:val="00E52E42"/>
    <w:rsid w:val="00E537F8"/>
    <w:rsid w:val="00E54B2F"/>
    <w:rsid w:val="00E5506C"/>
    <w:rsid w:val="00E62161"/>
    <w:rsid w:val="00E62499"/>
    <w:rsid w:val="00E637C1"/>
    <w:rsid w:val="00E667B6"/>
    <w:rsid w:val="00E66D8A"/>
    <w:rsid w:val="00E71A98"/>
    <w:rsid w:val="00E73BD6"/>
    <w:rsid w:val="00E75521"/>
    <w:rsid w:val="00E77408"/>
    <w:rsid w:val="00E80840"/>
    <w:rsid w:val="00E82300"/>
    <w:rsid w:val="00E82EF2"/>
    <w:rsid w:val="00E856CB"/>
    <w:rsid w:val="00E85885"/>
    <w:rsid w:val="00E85D69"/>
    <w:rsid w:val="00E85DE4"/>
    <w:rsid w:val="00E85FF8"/>
    <w:rsid w:val="00E8655F"/>
    <w:rsid w:val="00E86C26"/>
    <w:rsid w:val="00E87909"/>
    <w:rsid w:val="00E87981"/>
    <w:rsid w:val="00E87B20"/>
    <w:rsid w:val="00E9061D"/>
    <w:rsid w:val="00E90BB4"/>
    <w:rsid w:val="00E90E9D"/>
    <w:rsid w:val="00E91ADA"/>
    <w:rsid w:val="00E9210A"/>
    <w:rsid w:val="00E92F23"/>
    <w:rsid w:val="00E94AEA"/>
    <w:rsid w:val="00E9575A"/>
    <w:rsid w:val="00EA4D8E"/>
    <w:rsid w:val="00EA5B51"/>
    <w:rsid w:val="00EA6344"/>
    <w:rsid w:val="00EA6C39"/>
    <w:rsid w:val="00EA7D75"/>
    <w:rsid w:val="00EB0BE5"/>
    <w:rsid w:val="00EB1372"/>
    <w:rsid w:val="00EB1475"/>
    <w:rsid w:val="00EB1669"/>
    <w:rsid w:val="00EB16D1"/>
    <w:rsid w:val="00EB195F"/>
    <w:rsid w:val="00EB24EC"/>
    <w:rsid w:val="00EB4E98"/>
    <w:rsid w:val="00EB5000"/>
    <w:rsid w:val="00EB533A"/>
    <w:rsid w:val="00EC091F"/>
    <w:rsid w:val="00EC141A"/>
    <w:rsid w:val="00EC22BC"/>
    <w:rsid w:val="00EC2FDE"/>
    <w:rsid w:val="00EC46AB"/>
    <w:rsid w:val="00EC4C3C"/>
    <w:rsid w:val="00EC505E"/>
    <w:rsid w:val="00EC576E"/>
    <w:rsid w:val="00EC6699"/>
    <w:rsid w:val="00EC6F74"/>
    <w:rsid w:val="00EC7070"/>
    <w:rsid w:val="00EC7792"/>
    <w:rsid w:val="00EC789C"/>
    <w:rsid w:val="00ED02FA"/>
    <w:rsid w:val="00ED0B0D"/>
    <w:rsid w:val="00ED1737"/>
    <w:rsid w:val="00ED19AF"/>
    <w:rsid w:val="00ED21FE"/>
    <w:rsid w:val="00ED28F6"/>
    <w:rsid w:val="00ED5519"/>
    <w:rsid w:val="00ED629A"/>
    <w:rsid w:val="00ED6598"/>
    <w:rsid w:val="00EE0A89"/>
    <w:rsid w:val="00EE0C4B"/>
    <w:rsid w:val="00EE0FAF"/>
    <w:rsid w:val="00EE5C0A"/>
    <w:rsid w:val="00EE77A4"/>
    <w:rsid w:val="00EF22E7"/>
    <w:rsid w:val="00EF2740"/>
    <w:rsid w:val="00EF2868"/>
    <w:rsid w:val="00EF4163"/>
    <w:rsid w:val="00EF4F5D"/>
    <w:rsid w:val="00EF6596"/>
    <w:rsid w:val="00EF6A09"/>
    <w:rsid w:val="00EF6AA4"/>
    <w:rsid w:val="00EF6D11"/>
    <w:rsid w:val="00EF7233"/>
    <w:rsid w:val="00EF7CB8"/>
    <w:rsid w:val="00F007CB"/>
    <w:rsid w:val="00F00F2F"/>
    <w:rsid w:val="00F025BC"/>
    <w:rsid w:val="00F0314C"/>
    <w:rsid w:val="00F043CA"/>
    <w:rsid w:val="00F04B72"/>
    <w:rsid w:val="00F050C4"/>
    <w:rsid w:val="00F0588B"/>
    <w:rsid w:val="00F05898"/>
    <w:rsid w:val="00F061BE"/>
    <w:rsid w:val="00F066E6"/>
    <w:rsid w:val="00F107E2"/>
    <w:rsid w:val="00F10946"/>
    <w:rsid w:val="00F113DC"/>
    <w:rsid w:val="00F1194A"/>
    <w:rsid w:val="00F127D8"/>
    <w:rsid w:val="00F14004"/>
    <w:rsid w:val="00F141DF"/>
    <w:rsid w:val="00F14501"/>
    <w:rsid w:val="00F14FDF"/>
    <w:rsid w:val="00F2056E"/>
    <w:rsid w:val="00F23299"/>
    <w:rsid w:val="00F245A7"/>
    <w:rsid w:val="00F26C46"/>
    <w:rsid w:val="00F27F47"/>
    <w:rsid w:val="00F30485"/>
    <w:rsid w:val="00F31791"/>
    <w:rsid w:val="00F32903"/>
    <w:rsid w:val="00F32E81"/>
    <w:rsid w:val="00F331F5"/>
    <w:rsid w:val="00F3346A"/>
    <w:rsid w:val="00F341B5"/>
    <w:rsid w:val="00F35537"/>
    <w:rsid w:val="00F35CA8"/>
    <w:rsid w:val="00F367DE"/>
    <w:rsid w:val="00F36F24"/>
    <w:rsid w:val="00F375C3"/>
    <w:rsid w:val="00F37A27"/>
    <w:rsid w:val="00F401F9"/>
    <w:rsid w:val="00F40DB1"/>
    <w:rsid w:val="00F41061"/>
    <w:rsid w:val="00F41E0D"/>
    <w:rsid w:val="00F42651"/>
    <w:rsid w:val="00F42C36"/>
    <w:rsid w:val="00F43F0B"/>
    <w:rsid w:val="00F43F28"/>
    <w:rsid w:val="00F44BF5"/>
    <w:rsid w:val="00F452D9"/>
    <w:rsid w:val="00F4690D"/>
    <w:rsid w:val="00F50274"/>
    <w:rsid w:val="00F5098C"/>
    <w:rsid w:val="00F50C3C"/>
    <w:rsid w:val="00F52D79"/>
    <w:rsid w:val="00F53644"/>
    <w:rsid w:val="00F54DE4"/>
    <w:rsid w:val="00F556CA"/>
    <w:rsid w:val="00F60CF0"/>
    <w:rsid w:val="00F6436C"/>
    <w:rsid w:val="00F65EE6"/>
    <w:rsid w:val="00F670CF"/>
    <w:rsid w:val="00F725CC"/>
    <w:rsid w:val="00F72FEA"/>
    <w:rsid w:val="00F74CF8"/>
    <w:rsid w:val="00F807F5"/>
    <w:rsid w:val="00F808FB"/>
    <w:rsid w:val="00F82690"/>
    <w:rsid w:val="00F833E4"/>
    <w:rsid w:val="00F84983"/>
    <w:rsid w:val="00F85E13"/>
    <w:rsid w:val="00F86502"/>
    <w:rsid w:val="00F87CEB"/>
    <w:rsid w:val="00F91490"/>
    <w:rsid w:val="00F92074"/>
    <w:rsid w:val="00F92BBF"/>
    <w:rsid w:val="00F93753"/>
    <w:rsid w:val="00F93EBB"/>
    <w:rsid w:val="00F94E7B"/>
    <w:rsid w:val="00F9500E"/>
    <w:rsid w:val="00F954B8"/>
    <w:rsid w:val="00F955CA"/>
    <w:rsid w:val="00F97902"/>
    <w:rsid w:val="00FA030A"/>
    <w:rsid w:val="00FA030E"/>
    <w:rsid w:val="00FA2901"/>
    <w:rsid w:val="00FA2E82"/>
    <w:rsid w:val="00FA3033"/>
    <w:rsid w:val="00FA3538"/>
    <w:rsid w:val="00FA3B8A"/>
    <w:rsid w:val="00FA3E9C"/>
    <w:rsid w:val="00FA464B"/>
    <w:rsid w:val="00FA645E"/>
    <w:rsid w:val="00FA6A89"/>
    <w:rsid w:val="00FA7ACC"/>
    <w:rsid w:val="00FB17C2"/>
    <w:rsid w:val="00FB2178"/>
    <w:rsid w:val="00FB2532"/>
    <w:rsid w:val="00FB394F"/>
    <w:rsid w:val="00FB642F"/>
    <w:rsid w:val="00FB77DE"/>
    <w:rsid w:val="00FB7C7A"/>
    <w:rsid w:val="00FC0A48"/>
    <w:rsid w:val="00FC387B"/>
    <w:rsid w:val="00FC39F6"/>
    <w:rsid w:val="00FC534F"/>
    <w:rsid w:val="00FC5CC6"/>
    <w:rsid w:val="00FC7361"/>
    <w:rsid w:val="00FD0E7B"/>
    <w:rsid w:val="00FD1B29"/>
    <w:rsid w:val="00FD3F8F"/>
    <w:rsid w:val="00FD5609"/>
    <w:rsid w:val="00FD614E"/>
    <w:rsid w:val="00FE05A5"/>
    <w:rsid w:val="00FE3906"/>
    <w:rsid w:val="00FE3B44"/>
    <w:rsid w:val="00FE4583"/>
    <w:rsid w:val="00FE4A24"/>
    <w:rsid w:val="00FE5DC1"/>
    <w:rsid w:val="00FE5F33"/>
    <w:rsid w:val="00FE6B17"/>
    <w:rsid w:val="00FF0298"/>
    <w:rsid w:val="00FF0729"/>
    <w:rsid w:val="00FF0ED9"/>
    <w:rsid w:val="00FF262F"/>
    <w:rsid w:val="00FF2726"/>
    <w:rsid w:val="00FF2A28"/>
    <w:rsid w:val="00FF4060"/>
    <w:rsid w:val="00FF4603"/>
    <w:rsid w:val="00FF4A4A"/>
    <w:rsid w:val="00FF5491"/>
    <w:rsid w:val="00FF5690"/>
    <w:rsid w:val="00FF7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868F1F9"/>
  <w15:chartTrackingRefBased/>
  <w15:docId w15:val="{A0A43385-0694-42B2-82D4-A6C5FE5C1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5B51"/>
    <w:rPr>
      <w:rFonts w:ascii="Arial" w:hAnsi="Arial"/>
      <w:sz w:val="24"/>
      <w:szCs w:val="24"/>
      <w:lang w:eastAsia="en-US"/>
    </w:rPr>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B3EEB"/>
    <w:rPr>
      <w:rFonts w:ascii="Arial" w:hAnsi="Arial" w:cs="Arial"/>
      <w:b/>
      <w:bCs/>
      <w:iCs/>
      <w:sz w:val="28"/>
      <w:szCs w:val="28"/>
      <w:lang w:eastAsia="en-US"/>
    </w:rPr>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character" w:customStyle="1" w:styleId="FooterChar">
    <w:name w:val="Footer Char"/>
    <w:basedOn w:val="DefaultParagraphFont"/>
    <w:link w:val="Footer"/>
    <w:uiPriority w:val="99"/>
    <w:rsid w:val="00EA5B51"/>
    <w:rPr>
      <w:rFonts w:ascii="Arial" w:hAnsi="Arial"/>
      <w:sz w:val="24"/>
      <w:szCs w:val="24"/>
      <w:lang w:eastAsia="en-US"/>
    </w:r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DE5D2E"/>
    <w:pPr>
      <w:ind w:left="720"/>
      <w:contextualSpacing/>
    </w:pPr>
  </w:style>
  <w:style w:type="character" w:styleId="Hyperlink">
    <w:name w:val="Hyperlink"/>
    <w:basedOn w:val="DefaultParagraphFont"/>
    <w:uiPriority w:val="99"/>
    <w:unhideWhenUsed/>
    <w:rsid w:val="00D5778D"/>
    <w:rPr>
      <w:color w:val="0563C1" w:themeColor="hyperlink"/>
      <w:u w:val="single"/>
    </w:rPr>
  </w:style>
  <w:style w:type="character" w:styleId="CommentReference">
    <w:name w:val="annotation reference"/>
    <w:basedOn w:val="DefaultParagraphFont"/>
    <w:uiPriority w:val="99"/>
    <w:semiHidden/>
    <w:unhideWhenUsed/>
    <w:rsid w:val="003A638E"/>
    <w:rPr>
      <w:sz w:val="16"/>
      <w:szCs w:val="16"/>
    </w:rPr>
  </w:style>
  <w:style w:type="paragraph" w:styleId="CommentText">
    <w:name w:val="annotation text"/>
    <w:basedOn w:val="Normal"/>
    <w:link w:val="CommentTextChar"/>
    <w:uiPriority w:val="99"/>
    <w:unhideWhenUsed/>
    <w:rsid w:val="003A638E"/>
    <w:rPr>
      <w:sz w:val="20"/>
      <w:szCs w:val="20"/>
    </w:rPr>
  </w:style>
  <w:style w:type="character" w:customStyle="1" w:styleId="CommentTextChar">
    <w:name w:val="Comment Text Char"/>
    <w:basedOn w:val="DefaultParagraphFont"/>
    <w:link w:val="CommentText"/>
    <w:uiPriority w:val="99"/>
    <w:rsid w:val="003A638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A638E"/>
    <w:rPr>
      <w:b/>
      <w:bCs/>
    </w:rPr>
  </w:style>
  <w:style w:type="character" w:customStyle="1" w:styleId="CommentSubjectChar">
    <w:name w:val="Comment Subject Char"/>
    <w:basedOn w:val="CommentTextChar"/>
    <w:link w:val="CommentSubject"/>
    <w:uiPriority w:val="99"/>
    <w:semiHidden/>
    <w:rsid w:val="003A638E"/>
    <w:rPr>
      <w:rFonts w:ascii="Arial" w:hAnsi="Arial"/>
      <w:b/>
      <w:bCs/>
      <w:lang w:eastAsia="en-US"/>
    </w:rPr>
  </w:style>
  <w:style w:type="paragraph" w:styleId="BalloonText">
    <w:name w:val="Balloon Text"/>
    <w:basedOn w:val="Normal"/>
    <w:link w:val="BalloonTextChar"/>
    <w:uiPriority w:val="99"/>
    <w:semiHidden/>
    <w:unhideWhenUsed/>
    <w:rsid w:val="003A63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38E"/>
    <w:rPr>
      <w:rFonts w:ascii="Segoe UI" w:hAnsi="Segoe UI" w:cs="Segoe UI"/>
      <w:sz w:val="18"/>
      <w:szCs w:val="18"/>
      <w:lang w:eastAsia="en-US"/>
    </w:rPr>
  </w:style>
  <w:style w:type="paragraph" w:styleId="NormalWeb">
    <w:name w:val="Normal (Web)"/>
    <w:basedOn w:val="Normal"/>
    <w:uiPriority w:val="99"/>
    <w:semiHidden/>
    <w:unhideWhenUsed/>
    <w:rsid w:val="001D5473"/>
    <w:pPr>
      <w:spacing w:before="100" w:beforeAutospacing="1" w:after="100" w:afterAutospacing="1"/>
    </w:pPr>
    <w:rPr>
      <w:rFonts w:ascii="Times New Roman" w:eastAsiaTheme="minorEastAsia" w:hAnsi="Times New Roman"/>
      <w:lang w:eastAsia="en-GB"/>
    </w:rPr>
  </w:style>
  <w:style w:type="paragraph" w:styleId="FootnoteText">
    <w:name w:val="footnote text"/>
    <w:basedOn w:val="Normal"/>
    <w:link w:val="FootnoteTextChar"/>
    <w:uiPriority w:val="99"/>
    <w:unhideWhenUsed/>
    <w:rsid w:val="00605991"/>
    <w:rPr>
      <w:sz w:val="20"/>
      <w:szCs w:val="20"/>
    </w:rPr>
  </w:style>
  <w:style w:type="character" w:customStyle="1" w:styleId="FootnoteTextChar">
    <w:name w:val="Footnote Text Char"/>
    <w:basedOn w:val="DefaultParagraphFont"/>
    <w:link w:val="FootnoteText"/>
    <w:uiPriority w:val="99"/>
    <w:rsid w:val="00605991"/>
    <w:rPr>
      <w:rFonts w:ascii="Arial" w:hAnsi="Arial"/>
      <w:lang w:eastAsia="en-US"/>
    </w:rPr>
  </w:style>
  <w:style w:type="character" w:styleId="FootnoteReference">
    <w:name w:val="footnote reference"/>
    <w:basedOn w:val="DefaultParagraphFont"/>
    <w:uiPriority w:val="99"/>
    <w:unhideWhenUsed/>
    <w:rsid w:val="00605991"/>
    <w:rPr>
      <w:vertAlign w:val="superscript"/>
    </w:rPr>
  </w:style>
  <w:style w:type="table" w:styleId="TableGrid">
    <w:name w:val="Table Grid"/>
    <w:basedOn w:val="TableNormal"/>
    <w:uiPriority w:val="39"/>
    <w:rsid w:val="001B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64F9F"/>
    <w:rPr>
      <w:rFonts w:ascii="Calibri" w:eastAsiaTheme="minorHAnsi" w:hAnsi="Calibri"/>
      <w:sz w:val="22"/>
      <w:szCs w:val="22"/>
    </w:rPr>
  </w:style>
  <w:style w:type="paragraph" w:customStyle="1" w:styleId="Unnumberedparagraph">
    <w:name w:val="Unnumbered paragraph"/>
    <w:basedOn w:val="Normal"/>
    <w:link w:val="UnnumberedparagraphChar"/>
    <w:rsid w:val="00EC576E"/>
    <w:pPr>
      <w:spacing w:after="240"/>
    </w:pPr>
    <w:rPr>
      <w:rFonts w:ascii="Tahoma" w:hAnsi="Tahoma"/>
      <w:color w:val="000000"/>
    </w:rPr>
  </w:style>
  <w:style w:type="character" w:customStyle="1" w:styleId="UnnumberedparagraphChar">
    <w:name w:val="Unnumbered paragraph Char"/>
    <w:link w:val="Unnumberedparagraph"/>
    <w:rsid w:val="00EC576E"/>
    <w:rPr>
      <w:rFonts w:ascii="Tahoma" w:hAnsi="Tahoma"/>
      <w:color w:val="000000"/>
      <w:sz w:val="24"/>
      <w:szCs w:val="24"/>
      <w:lang w:eastAsia="en-US"/>
    </w:rPr>
  </w:style>
  <w:style w:type="paragraph" w:customStyle="1" w:styleId="TableContents">
    <w:name w:val="Table Contents"/>
    <w:basedOn w:val="Normal"/>
    <w:rsid w:val="003D7F44"/>
    <w:pPr>
      <w:widowControl w:val="0"/>
      <w:suppressLineNumbers/>
      <w:suppressAutoHyphens/>
    </w:pPr>
    <w:rPr>
      <w:rFonts w:ascii="Times New Roman" w:eastAsia="Arial Unicode MS" w:hAnsi="Times New Roman"/>
      <w:kern w:val="2"/>
      <w:lang w:eastAsia="en-GB"/>
    </w:rPr>
  </w:style>
  <w:style w:type="character" w:customStyle="1" w:styleId="p-extended-address">
    <w:name w:val="p-extended-address"/>
    <w:basedOn w:val="DefaultParagraphFont"/>
    <w:rsid w:val="00B92155"/>
  </w:style>
  <w:style w:type="character" w:customStyle="1" w:styleId="p-locality">
    <w:name w:val="p-locality"/>
    <w:basedOn w:val="DefaultParagraphFont"/>
    <w:rsid w:val="00B92155"/>
  </w:style>
  <w:style w:type="character" w:customStyle="1" w:styleId="p-county">
    <w:name w:val="p-county"/>
    <w:basedOn w:val="DefaultParagraphFont"/>
    <w:rsid w:val="00B92155"/>
  </w:style>
  <w:style w:type="character" w:customStyle="1" w:styleId="p-postal-code">
    <w:name w:val="p-postal-code"/>
    <w:basedOn w:val="DefaultParagraphFont"/>
    <w:rsid w:val="00B92155"/>
  </w:style>
  <w:style w:type="character" w:customStyle="1" w:styleId="st1">
    <w:name w:val="st1"/>
    <w:basedOn w:val="DefaultParagraphFont"/>
    <w:rsid w:val="00182E0F"/>
  </w:style>
  <w:style w:type="table" w:customStyle="1" w:styleId="TableGrid1">
    <w:name w:val="Table Grid1"/>
    <w:basedOn w:val="TableNormal"/>
    <w:next w:val="TableGrid"/>
    <w:uiPriority w:val="59"/>
    <w:rsid w:val="00A57C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D75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A18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62CCF"/>
    <w:rPr>
      <w:rFonts w:ascii="Courier New" w:hAnsi="Courier New" w:cs="Courier New"/>
      <w:sz w:val="20"/>
      <w:szCs w:val="20"/>
      <w:lang w:val="en-US"/>
    </w:rPr>
  </w:style>
  <w:style w:type="character" w:customStyle="1" w:styleId="PlainTextChar">
    <w:name w:val="Plain Text Char"/>
    <w:basedOn w:val="DefaultParagraphFont"/>
    <w:link w:val="PlainText"/>
    <w:rsid w:val="00D62CCF"/>
    <w:rPr>
      <w:rFonts w:ascii="Courier New" w:hAnsi="Courier New" w:cs="Courier New"/>
      <w:lang w:val="en-US" w:eastAsia="en-US"/>
    </w:rPr>
  </w:style>
  <w:style w:type="character" w:styleId="UnresolvedMention">
    <w:name w:val="Unresolved Mention"/>
    <w:basedOn w:val="DefaultParagraphFont"/>
    <w:uiPriority w:val="99"/>
    <w:semiHidden/>
    <w:unhideWhenUsed/>
    <w:rsid w:val="00F7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0847">
      <w:bodyDiv w:val="1"/>
      <w:marLeft w:val="0"/>
      <w:marRight w:val="0"/>
      <w:marTop w:val="0"/>
      <w:marBottom w:val="0"/>
      <w:divBdr>
        <w:top w:val="none" w:sz="0" w:space="0" w:color="auto"/>
        <w:left w:val="none" w:sz="0" w:space="0" w:color="auto"/>
        <w:bottom w:val="none" w:sz="0" w:space="0" w:color="auto"/>
        <w:right w:val="none" w:sz="0" w:space="0" w:color="auto"/>
      </w:divBdr>
    </w:div>
    <w:div w:id="51782634">
      <w:bodyDiv w:val="1"/>
      <w:marLeft w:val="0"/>
      <w:marRight w:val="0"/>
      <w:marTop w:val="0"/>
      <w:marBottom w:val="0"/>
      <w:divBdr>
        <w:top w:val="none" w:sz="0" w:space="0" w:color="auto"/>
        <w:left w:val="none" w:sz="0" w:space="0" w:color="auto"/>
        <w:bottom w:val="none" w:sz="0" w:space="0" w:color="auto"/>
        <w:right w:val="none" w:sz="0" w:space="0" w:color="auto"/>
      </w:divBdr>
    </w:div>
    <w:div w:id="78724287">
      <w:bodyDiv w:val="1"/>
      <w:marLeft w:val="0"/>
      <w:marRight w:val="0"/>
      <w:marTop w:val="0"/>
      <w:marBottom w:val="0"/>
      <w:divBdr>
        <w:top w:val="none" w:sz="0" w:space="0" w:color="auto"/>
        <w:left w:val="none" w:sz="0" w:space="0" w:color="auto"/>
        <w:bottom w:val="none" w:sz="0" w:space="0" w:color="auto"/>
        <w:right w:val="none" w:sz="0" w:space="0" w:color="auto"/>
      </w:divBdr>
    </w:div>
    <w:div w:id="99372894">
      <w:bodyDiv w:val="1"/>
      <w:marLeft w:val="0"/>
      <w:marRight w:val="0"/>
      <w:marTop w:val="0"/>
      <w:marBottom w:val="0"/>
      <w:divBdr>
        <w:top w:val="none" w:sz="0" w:space="0" w:color="auto"/>
        <w:left w:val="none" w:sz="0" w:space="0" w:color="auto"/>
        <w:bottom w:val="none" w:sz="0" w:space="0" w:color="auto"/>
        <w:right w:val="none" w:sz="0" w:space="0" w:color="auto"/>
      </w:divBdr>
    </w:div>
    <w:div w:id="113595142">
      <w:bodyDiv w:val="1"/>
      <w:marLeft w:val="0"/>
      <w:marRight w:val="0"/>
      <w:marTop w:val="0"/>
      <w:marBottom w:val="0"/>
      <w:divBdr>
        <w:top w:val="none" w:sz="0" w:space="0" w:color="auto"/>
        <w:left w:val="none" w:sz="0" w:space="0" w:color="auto"/>
        <w:bottom w:val="none" w:sz="0" w:space="0" w:color="auto"/>
        <w:right w:val="none" w:sz="0" w:space="0" w:color="auto"/>
      </w:divBdr>
    </w:div>
    <w:div w:id="114176020">
      <w:bodyDiv w:val="1"/>
      <w:marLeft w:val="0"/>
      <w:marRight w:val="0"/>
      <w:marTop w:val="0"/>
      <w:marBottom w:val="0"/>
      <w:divBdr>
        <w:top w:val="none" w:sz="0" w:space="0" w:color="auto"/>
        <w:left w:val="none" w:sz="0" w:space="0" w:color="auto"/>
        <w:bottom w:val="none" w:sz="0" w:space="0" w:color="auto"/>
        <w:right w:val="none" w:sz="0" w:space="0" w:color="auto"/>
      </w:divBdr>
    </w:div>
    <w:div w:id="120997400">
      <w:bodyDiv w:val="1"/>
      <w:marLeft w:val="0"/>
      <w:marRight w:val="0"/>
      <w:marTop w:val="0"/>
      <w:marBottom w:val="0"/>
      <w:divBdr>
        <w:top w:val="none" w:sz="0" w:space="0" w:color="auto"/>
        <w:left w:val="none" w:sz="0" w:space="0" w:color="auto"/>
        <w:bottom w:val="none" w:sz="0" w:space="0" w:color="auto"/>
        <w:right w:val="none" w:sz="0" w:space="0" w:color="auto"/>
      </w:divBdr>
    </w:div>
    <w:div w:id="128212359">
      <w:bodyDiv w:val="1"/>
      <w:marLeft w:val="0"/>
      <w:marRight w:val="0"/>
      <w:marTop w:val="0"/>
      <w:marBottom w:val="0"/>
      <w:divBdr>
        <w:top w:val="none" w:sz="0" w:space="0" w:color="auto"/>
        <w:left w:val="none" w:sz="0" w:space="0" w:color="auto"/>
        <w:bottom w:val="none" w:sz="0" w:space="0" w:color="auto"/>
        <w:right w:val="none" w:sz="0" w:space="0" w:color="auto"/>
      </w:divBdr>
    </w:div>
    <w:div w:id="146169408">
      <w:bodyDiv w:val="1"/>
      <w:marLeft w:val="0"/>
      <w:marRight w:val="0"/>
      <w:marTop w:val="0"/>
      <w:marBottom w:val="0"/>
      <w:divBdr>
        <w:top w:val="none" w:sz="0" w:space="0" w:color="auto"/>
        <w:left w:val="none" w:sz="0" w:space="0" w:color="auto"/>
        <w:bottom w:val="none" w:sz="0" w:space="0" w:color="auto"/>
        <w:right w:val="none" w:sz="0" w:space="0" w:color="auto"/>
      </w:divBdr>
    </w:div>
    <w:div w:id="160508420">
      <w:bodyDiv w:val="1"/>
      <w:marLeft w:val="0"/>
      <w:marRight w:val="0"/>
      <w:marTop w:val="0"/>
      <w:marBottom w:val="0"/>
      <w:divBdr>
        <w:top w:val="none" w:sz="0" w:space="0" w:color="auto"/>
        <w:left w:val="none" w:sz="0" w:space="0" w:color="auto"/>
        <w:bottom w:val="none" w:sz="0" w:space="0" w:color="auto"/>
        <w:right w:val="none" w:sz="0" w:space="0" w:color="auto"/>
      </w:divBdr>
    </w:div>
    <w:div w:id="231619627">
      <w:bodyDiv w:val="1"/>
      <w:marLeft w:val="0"/>
      <w:marRight w:val="0"/>
      <w:marTop w:val="0"/>
      <w:marBottom w:val="0"/>
      <w:divBdr>
        <w:top w:val="none" w:sz="0" w:space="0" w:color="auto"/>
        <w:left w:val="none" w:sz="0" w:space="0" w:color="auto"/>
        <w:bottom w:val="none" w:sz="0" w:space="0" w:color="auto"/>
        <w:right w:val="none" w:sz="0" w:space="0" w:color="auto"/>
      </w:divBdr>
      <w:divsChild>
        <w:div w:id="20396317">
          <w:marLeft w:val="547"/>
          <w:marRight w:val="0"/>
          <w:marTop w:val="0"/>
          <w:marBottom w:val="160"/>
          <w:divBdr>
            <w:top w:val="none" w:sz="0" w:space="0" w:color="auto"/>
            <w:left w:val="none" w:sz="0" w:space="0" w:color="auto"/>
            <w:bottom w:val="none" w:sz="0" w:space="0" w:color="auto"/>
            <w:right w:val="none" w:sz="0" w:space="0" w:color="auto"/>
          </w:divBdr>
        </w:div>
        <w:div w:id="111635297">
          <w:marLeft w:val="547"/>
          <w:marRight w:val="0"/>
          <w:marTop w:val="0"/>
          <w:marBottom w:val="160"/>
          <w:divBdr>
            <w:top w:val="none" w:sz="0" w:space="0" w:color="auto"/>
            <w:left w:val="none" w:sz="0" w:space="0" w:color="auto"/>
            <w:bottom w:val="none" w:sz="0" w:space="0" w:color="auto"/>
            <w:right w:val="none" w:sz="0" w:space="0" w:color="auto"/>
          </w:divBdr>
        </w:div>
      </w:divsChild>
    </w:div>
    <w:div w:id="249627889">
      <w:bodyDiv w:val="1"/>
      <w:marLeft w:val="0"/>
      <w:marRight w:val="0"/>
      <w:marTop w:val="0"/>
      <w:marBottom w:val="0"/>
      <w:divBdr>
        <w:top w:val="none" w:sz="0" w:space="0" w:color="auto"/>
        <w:left w:val="none" w:sz="0" w:space="0" w:color="auto"/>
        <w:bottom w:val="none" w:sz="0" w:space="0" w:color="auto"/>
        <w:right w:val="none" w:sz="0" w:space="0" w:color="auto"/>
      </w:divBdr>
    </w:div>
    <w:div w:id="278074663">
      <w:bodyDiv w:val="1"/>
      <w:marLeft w:val="0"/>
      <w:marRight w:val="0"/>
      <w:marTop w:val="0"/>
      <w:marBottom w:val="0"/>
      <w:divBdr>
        <w:top w:val="none" w:sz="0" w:space="0" w:color="auto"/>
        <w:left w:val="none" w:sz="0" w:space="0" w:color="auto"/>
        <w:bottom w:val="none" w:sz="0" w:space="0" w:color="auto"/>
        <w:right w:val="none" w:sz="0" w:space="0" w:color="auto"/>
      </w:divBdr>
    </w:div>
    <w:div w:id="285619131">
      <w:bodyDiv w:val="1"/>
      <w:marLeft w:val="0"/>
      <w:marRight w:val="0"/>
      <w:marTop w:val="0"/>
      <w:marBottom w:val="0"/>
      <w:divBdr>
        <w:top w:val="none" w:sz="0" w:space="0" w:color="auto"/>
        <w:left w:val="none" w:sz="0" w:space="0" w:color="auto"/>
        <w:bottom w:val="none" w:sz="0" w:space="0" w:color="auto"/>
        <w:right w:val="none" w:sz="0" w:space="0" w:color="auto"/>
      </w:divBdr>
    </w:div>
    <w:div w:id="287513668">
      <w:bodyDiv w:val="1"/>
      <w:marLeft w:val="0"/>
      <w:marRight w:val="0"/>
      <w:marTop w:val="0"/>
      <w:marBottom w:val="0"/>
      <w:divBdr>
        <w:top w:val="none" w:sz="0" w:space="0" w:color="auto"/>
        <w:left w:val="none" w:sz="0" w:space="0" w:color="auto"/>
        <w:bottom w:val="none" w:sz="0" w:space="0" w:color="auto"/>
        <w:right w:val="none" w:sz="0" w:space="0" w:color="auto"/>
      </w:divBdr>
    </w:div>
    <w:div w:id="288246111">
      <w:bodyDiv w:val="1"/>
      <w:marLeft w:val="0"/>
      <w:marRight w:val="0"/>
      <w:marTop w:val="0"/>
      <w:marBottom w:val="0"/>
      <w:divBdr>
        <w:top w:val="none" w:sz="0" w:space="0" w:color="auto"/>
        <w:left w:val="none" w:sz="0" w:space="0" w:color="auto"/>
        <w:bottom w:val="none" w:sz="0" w:space="0" w:color="auto"/>
        <w:right w:val="none" w:sz="0" w:space="0" w:color="auto"/>
      </w:divBdr>
    </w:div>
    <w:div w:id="303701252">
      <w:bodyDiv w:val="1"/>
      <w:marLeft w:val="0"/>
      <w:marRight w:val="0"/>
      <w:marTop w:val="0"/>
      <w:marBottom w:val="0"/>
      <w:divBdr>
        <w:top w:val="none" w:sz="0" w:space="0" w:color="auto"/>
        <w:left w:val="none" w:sz="0" w:space="0" w:color="auto"/>
        <w:bottom w:val="none" w:sz="0" w:space="0" w:color="auto"/>
        <w:right w:val="none" w:sz="0" w:space="0" w:color="auto"/>
      </w:divBdr>
    </w:div>
    <w:div w:id="407654647">
      <w:bodyDiv w:val="1"/>
      <w:marLeft w:val="0"/>
      <w:marRight w:val="0"/>
      <w:marTop w:val="0"/>
      <w:marBottom w:val="0"/>
      <w:divBdr>
        <w:top w:val="none" w:sz="0" w:space="0" w:color="auto"/>
        <w:left w:val="none" w:sz="0" w:space="0" w:color="auto"/>
        <w:bottom w:val="none" w:sz="0" w:space="0" w:color="auto"/>
        <w:right w:val="none" w:sz="0" w:space="0" w:color="auto"/>
      </w:divBdr>
    </w:div>
    <w:div w:id="436414736">
      <w:bodyDiv w:val="1"/>
      <w:marLeft w:val="0"/>
      <w:marRight w:val="0"/>
      <w:marTop w:val="0"/>
      <w:marBottom w:val="0"/>
      <w:divBdr>
        <w:top w:val="none" w:sz="0" w:space="0" w:color="auto"/>
        <w:left w:val="none" w:sz="0" w:space="0" w:color="auto"/>
        <w:bottom w:val="none" w:sz="0" w:space="0" w:color="auto"/>
        <w:right w:val="none" w:sz="0" w:space="0" w:color="auto"/>
      </w:divBdr>
    </w:div>
    <w:div w:id="468135620">
      <w:bodyDiv w:val="1"/>
      <w:marLeft w:val="0"/>
      <w:marRight w:val="0"/>
      <w:marTop w:val="0"/>
      <w:marBottom w:val="0"/>
      <w:divBdr>
        <w:top w:val="none" w:sz="0" w:space="0" w:color="auto"/>
        <w:left w:val="none" w:sz="0" w:space="0" w:color="auto"/>
        <w:bottom w:val="none" w:sz="0" w:space="0" w:color="auto"/>
        <w:right w:val="none" w:sz="0" w:space="0" w:color="auto"/>
      </w:divBdr>
    </w:div>
    <w:div w:id="476261796">
      <w:bodyDiv w:val="1"/>
      <w:marLeft w:val="0"/>
      <w:marRight w:val="0"/>
      <w:marTop w:val="0"/>
      <w:marBottom w:val="0"/>
      <w:divBdr>
        <w:top w:val="none" w:sz="0" w:space="0" w:color="auto"/>
        <w:left w:val="none" w:sz="0" w:space="0" w:color="auto"/>
        <w:bottom w:val="none" w:sz="0" w:space="0" w:color="auto"/>
        <w:right w:val="none" w:sz="0" w:space="0" w:color="auto"/>
      </w:divBdr>
    </w:div>
    <w:div w:id="489836752">
      <w:bodyDiv w:val="1"/>
      <w:marLeft w:val="0"/>
      <w:marRight w:val="0"/>
      <w:marTop w:val="0"/>
      <w:marBottom w:val="0"/>
      <w:divBdr>
        <w:top w:val="none" w:sz="0" w:space="0" w:color="auto"/>
        <w:left w:val="none" w:sz="0" w:space="0" w:color="auto"/>
        <w:bottom w:val="none" w:sz="0" w:space="0" w:color="auto"/>
        <w:right w:val="none" w:sz="0" w:space="0" w:color="auto"/>
      </w:divBdr>
    </w:div>
    <w:div w:id="519053859">
      <w:bodyDiv w:val="1"/>
      <w:marLeft w:val="0"/>
      <w:marRight w:val="0"/>
      <w:marTop w:val="0"/>
      <w:marBottom w:val="0"/>
      <w:divBdr>
        <w:top w:val="none" w:sz="0" w:space="0" w:color="auto"/>
        <w:left w:val="none" w:sz="0" w:space="0" w:color="auto"/>
        <w:bottom w:val="none" w:sz="0" w:space="0" w:color="auto"/>
        <w:right w:val="none" w:sz="0" w:space="0" w:color="auto"/>
      </w:divBdr>
    </w:div>
    <w:div w:id="536353437">
      <w:bodyDiv w:val="1"/>
      <w:marLeft w:val="0"/>
      <w:marRight w:val="0"/>
      <w:marTop w:val="0"/>
      <w:marBottom w:val="0"/>
      <w:divBdr>
        <w:top w:val="none" w:sz="0" w:space="0" w:color="auto"/>
        <w:left w:val="none" w:sz="0" w:space="0" w:color="auto"/>
        <w:bottom w:val="none" w:sz="0" w:space="0" w:color="auto"/>
        <w:right w:val="none" w:sz="0" w:space="0" w:color="auto"/>
      </w:divBdr>
    </w:div>
    <w:div w:id="602038209">
      <w:bodyDiv w:val="1"/>
      <w:marLeft w:val="0"/>
      <w:marRight w:val="0"/>
      <w:marTop w:val="0"/>
      <w:marBottom w:val="0"/>
      <w:divBdr>
        <w:top w:val="none" w:sz="0" w:space="0" w:color="auto"/>
        <w:left w:val="none" w:sz="0" w:space="0" w:color="auto"/>
        <w:bottom w:val="none" w:sz="0" w:space="0" w:color="auto"/>
        <w:right w:val="none" w:sz="0" w:space="0" w:color="auto"/>
      </w:divBdr>
    </w:div>
    <w:div w:id="620500762">
      <w:bodyDiv w:val="1"/>
      <w:marLeft w:val="0"/>
      <w:marRight w:val="0"/>
      <w:marTop w:val="0"/>
      <w:marBottom w:val="0"/>
      <w:divBdr>
        <w:top w:val="none" w:sz="0" w:space="0" w:color="auto"/>
        <w:left w:val="none" w:sz="0" w:space="0" w:color="auto"/>
        <w:bottom w:val="none" w:sz="0" w:space="0" w:color="auto"/>
        <w:right w:val="none" w:sz="0" w:space="0" w:color="auto"/>
      </w:divBdr>
    </w:div>
    <w:div w:id="685836373">
      <w:bodyDiv w:val="1"/>
      <w:marLeft w:val="0"/>
      <w:marRight w:val="0"/>
      <w:marTop w:val="0"/>
      <w:marBottom w:val="0"/>
      <w:divBdr>
        <w:top w:val="none" w:sz="0" w:space="0" w:color="auto"/>
        <w:left w:val="none" w:sz="0" w:space="0" w:color="auto"/>
        <w:bottom w:val="none" w:sz="0" w:space="0" w:color="auto"/>
        <w:right w:val="none" w:sz="0" w:space="0" w:color="auto"/>
      </w:divBdr>
    </w:div>
    <w:div w:id="724374282">
      <w:bodyDiv w:val="1"/>
      <w:marLeft w:val="0"/>
      <w:marRight w:val="0"/>
      <w:marTop w:val="0"/>
      <w:marBottom w:val="0"/>
      <w:divBdr>
        <w:top w:val="none" w:sz="0" w:space="0" w:color="auto"/>
        <w:left w:val="none" w:sz="0" w:space="0" w:color="auto"/>
        <w:bottom w:val="none" w:sz="0" w:space="0" w:color="auto"/>
        <w:right w:val="none" w:sz="0" w:space="0" w:color="auto"/>
      </w:divBdr>
    </w:div>
    <w:div w:id="757755088">
      <w:bodyDiv w:val="1"/>
      <w:marLeft w:val="0"/>
      <w:marRight w:val="0"/>
      <w:marTop w:val="0"/>
      <w:marBottom w:val="0"/>
      <w:divBdr>
        <w:top w:val="none" w:sz="0" w:space="0" w:color="auto"/>
        <w:left w:val="none" w:sz="0" w:space="0" w:color="auto"/>
        <w:bottom w:val="none" w:sz="0" w:space="0" w:color="auto"/>
        <w:right w:val="none" w:sz="0" w:space="0" w:color="auto"/>
      </w:divBdr>
      <w:divsChild>
        <w:div w:id="46150714">
          <w:marLeft w:val="547"/>
          <w:marRight w:val="0"/>
          <w:marTop w:val="0"/>
          <w:marBottom w:val="0"/>
          <w:divBdr>
            <w:top w:val="none" w:sz="0" w:space="0" w:color="auto"/>
            <w:left w:val="none" w:sz="0" w:space="0" w:color="auto"/>
            <w:bottom w:val="none" w:sz="0" w:space="0" w:color="auto"/>
            <w:right w:val="none" w:sz="0" w:space="0" w:color="auto"/>
          </w:divBdr>
        </w:div>
        <w:div w:id="445924442">
          <w:marLeft w:val="547"/>
          <w:marRight w:val="0"/>
          <w:marTop w:val="0"/>
          <w:marBottom w:val="0"/>
          <w:divBdr>
            <w:top w:val="none" w:sz="0" w:space="0" w:color="auto"/>
            <w:left w:val="none" w:sz="0" w:space="0" w:color="auto"/>
            <w:bottom w:val="none" w:sz="0" w:space="0" w:color="auto"/>
            <w:right w:val="none" w:sz="0" w:space="0" w:color="auto"/>
          </w:divBdr>
        </w:div>
        <w:div w:id="675351100">
          <w:marLeft w:val="547"/>
          <w:marRight w:val="0"/>
          <w:marTop w:val="0"/>
          <w:marBottom w:val="0"/>
          <w:divBdr>
            <w:top w:val="none" w:sz="0" w:space="0" w:color="auto"/>
            <w:left w:val="none" w:sz="0" w:space="0" w:color="auto"/>
            <w:bottom w:val="none" w:sz="0" w:space="0" w:color="auto"/>
            <w:right w:val="none" w:sz="0" w:space="0" w:color="auto"/>
          </w:divBdr>
        </w:div>
        <w:div w:id="1126660543">
          <w:marLeft w:val="547"/>
          <w:marRight w:val="0"/>
          <w:marTop w:val="0"/>
          <w:marBottom w:val="0"/>
          <w:divBdr>
            <w:top w:val="none" w:sz="0" w:space="0" w:color="auto"/>
            <w:left w:val="none" w:sz="0" w:space="0" w:color="auto"/>
            <w:bottom w:val="none" w:sz="0" w:space="0" w:color="auto"/>
            <w:right w:val="none" w:sz="0" w:space="0" w:color="auto"/>
          </w:divBdr>
        </w:div>
      </w:divsChild>
    </w:div>
    <w:div w:id="779179260">
      <w:bodyDiv w:val="1"/>
      <w:marLeft w:val="0"/>
      <w:marRight w:val="0"/>
      <w:marTop w:val="0"/>
      <w:marBottom w:val="0"/>
      <w:divBdr>
        <w:top w:val="none" w:sz="0" w:space="0" w:color="auto"/>
        <w:left w:val="none" w:sz="0" w:space="0" w:color="auto"/>
        <w:bottom w:val="none" w:sz="0" w:space="0" w:color="auto"/>
        <w:right w:val="none" w:sz="0" w:space="0" w:color="auto"/>
      </w:divBdr>
    </w:div>
    <w:div w:id="792405534">
      <w:bodyDiv w:val="1"/>
      <w:marLeft w:val="0"/>
      <w:marRight w:val="0"/>
      <w:marTop w:val="0"/>
      <w:marBottom w:val="0"/>
      <w:divBdr>
        <w:top w:val="none" w:sz="0" w:space="0" w:color="auto"/>
        <w:left w:val="none" w:sz="0" w:space="0" w:color="auto"/>
        <w:bottom w:val="none" w:sz="0" w:space="0" w:color="auto"/>
        <w:right w:val="none" w:sz="0" w:space="0" w:color="auto"/>
      </w:divBdr>
    </w:div>
    <w:div w:id="820659560">
      <w:bodyDiv w:val="1"/>
      <w:marLeft w:val="0"/>
      <w:marRight w:val="0"/>
      <w:marTop w:val="0"/>
      <w:marBottom w:val="0"/>
      <w:divBdr>
        <w:top w:val="none" w:sz="0" w:space="0" w:color="auto"/>
        <w:left w:val="none" w:sz="0" w:space="0" w:color="auto"/>
        <w:bottom w:val="none" w:sz="0" w:space="0" w:color="auto"/>
        <w:right w:val="none" w:sz="0" w:space="0" w:color="auto"/>
      </w:divBdr>
    </w:div>
    <w:div w:id="826362609">
      <w:bodyDiv w:val="1"/>
      <w:marLeft w:val="0"/>
      <w:marRight w:val="0"/>
      <w:marTop w:val="0"/>
      <w:marBottom w:val="0"/>
      <w:divBdr>
        <w:top w:val="none" w:sz="0" w:space="0" w:color="auto"/>
        <w:left w:val="none" w:sz="0" w:space="0" w:color="auto"/>
        <w:bottom w:val="none" w:sz="0" w:space="0" w:color="auto"/>
        <w:right w:val="none" w:sz="0" w:space="0" w:color="auto"/>
      </w:divBdr>
    </w:div>
    <w:div w:id="839469104">
      <w:bodyDiv w:val="1"/>
      <w:marLeft w:val="0"/>
      <w:marRight w:val="0"/>
      <w:marTop w:val="0"/>
      <w:marBottom w:val="0"/>
      <w:divBdr>
        <w:top w:val="none" w:sz="0" w:space="0" w:color="auto"/>
        <w:left w:val="none" w:sz="0" w:space="0" w:color="auto"/>
        <w:bottom w:val="none" w:sz="0" w:space="0" w:color="auto"/>
        <w:right w:val="none" w:sz="0" w:space="0" w:color="auto"/>
      </w:divBdr>
    </w:div>
    <w:div w:id="845361505">
      <w:bodyDiv w:val="1"/>
      <w:marLeft w:val="0"/>
      <w:marRight w:val="0"/>
      <w:marTop w:val="0"/>
      <w:marBottom w:val="0"/>
      <w:divBdr>
        <w:top w:val="none" w:sz="0" w:space="0" w:color="auto"/>
        <w:left w:val="none" w:sz="0" w:space="0" w:color="auto"/>
        <w:bottom w:val="none" w:sz="0" w:space="0" w:color="auto"/>
        <w:right w:val="none" w:sz="0" w:space="0" w:color="auto"/>
      </w:divBdr>
    </w:div>
    <w:div w:id="859004976">
      <w:bodyDiv w:val="1"/>
      <w:marLeft w:val="0"/>
      <w:marRight w:val="0"/>
      <w:marTop w:val="0"/>
      <w:marBottom w:val="0"/>
      <w:divBdr>
        <w:top w:val="none" w:sz="0" w:space="0" w:color="auto"/>
        <w:left w:val="none" w:sz="0" w:space="0" w:color="auto"/>
        <w:bottom w:val="none" w:sz="0" w:space="0" w:color="auto"/>
        <w:right w:val="none" w:sz="0" w:space="0" w:color="auto"/>
      </w:divBdr>
    </w:div>
    <w:div w:id="881483796">
      <w:bodyDiv w:val="1"/>
      <w:marLeft w:val="0"/>
      <w:marRight w:val="0"/>
      <w:marTop w:val="0"/>
      <w:marBottom w:val="0"/>
      <w:divBdr>
        <w:top w:val="none" w:sz="0" w:space="0" w:color="auto"/>
        <w:left w:val="none" w:sz="0" w:space="0" w:color="auto"/>
        <w:bottom w:val="none" w:sz="0" w:space="0" w:color="auto"/>
        <w:right w:val="none" w:sz="0" w:space="0" w:color="auto"/>
      </w:divBdr>
    </w:div>
    <w:div w:id="907496952">
      <w:bodyDiv w:val="1"/>
      <w:marLeft w:val="0"/>
      <w:marRight w:val="0"/>
      <w:marTop w:val="0"/>
      <w:marBottom w:val="0"/>
      <w:divBdr>
        <w:top w:val="none" w:sz="0" w:space="0" w:color="auto"/>
        <w:left w:val="none" w:sz="0" w:space="0" w:color="auto"/>
        <w:bottom w:val="none" w:sz="0" w:space="0" w:color="auto"/>
        <w:right w:val="none" w:sz="0" w:space="0" w:color="auto"/>
      </w:divBdr>
      <w:divsChild>
        <w:div w:id="475727855">
          <w:marLeft w:val="547"/>
          <w:marRight w:val="0"/>
          <w:marTop w:val="0"/>
          <w:marBottom w:val="0"/>
          <w:divBdr>
            <w:top w:val="none" w:sz="0" w:space="0" w:color="auto"/>
            <w:left w:val="none" w:sz="0" w:space="0" w:color="auto"/>
            <w:bottom w:val="none" w:sz="0" w:space="0" w:color="auto"/>
            <w:right w:val="none" w:sz="0" w:space="0" w:color="auto"/>
          </w:divBdr>
        </w:div>
        <w:div w:id="1040863462">
          <w:marLeft w:val="547"/>
          <w:marRight w:val="0"/>
          <w:marTop w:val="0"/>
          <w:marBottom w:val="0"/>
          <w:divBdr>
            <w:top w:val="none" w:sz="0" w:space="0" w:color="auto"/>
            <w:left w:val="none" w:sz="0" w:space="0" w:color="auto"/>
            <w:bottom w:val="none" w:sz="0" w:space="0" w:color="auto"/>
            <w:right w:val="none" w:sz="0" w:space="0" w:color="auto"/>
          </w:divBdr>
        </w:div>
        <w:div w:id="1411653779">
          <w:marLeft w:val="547"/>
          <w:marRight w:val="0"/>
          <w:marTop w:val="0"/>
          <w:marBottom w:val="0"/>
          <w:divBdr>
            <w:top w:val="none" w:sz="0" w:space="0" w:color="auto"/>
            <w:left w:val="none" w:sz="0" w:space="0" w:color="auto"/>
            <w:bottom w:val="none" w:sz="0" w:space="0" w:color="auto"/>
            <w:right w:val="none" w:sz="0" w:space="0" w:color="auto"/>
          </w:divBdr>
        </w:div>
        <w:div w:id="1691175785">
          <w:marLeft w:val="547"/>
          <w:marRight w:val="0"/>
          <w:marTop w:val="0"/>
          <w:marBottom w:val="0"/>
          <w:divBdr>
            <w:top w:val="none" w:sz="0" w:space="0" w:color="auto"/>
            <w:left w:val="none" w:sz="0" w:space="0" w:color="auto"/>
            <w:bottom w:val="none" w:sz="0" w:space="0" w:color="auto"/>
            <w:right w:val="none" w:sz="0" w:space="0" w:color="auto"/>
          </w:divBdr>
        </w:div>
      </w:divsChild>
    </w:div>
    <w:div w:id="930890574">
      <w:bodyDiv w:val="1"/>
      <w:marLeft w:val="0"/>
      <w:marRight w:val="0"/>
      <w:marTop w:val="0"/>
      <w:marBottom w:val="0"/>
      <w:divBdr>
        <w:top w:val="none" w:sz="0" w:space="0" w:color="auto"/>
        <w:left w:val="none" w:sz="0" w:space="0" w:color="auto"/>
        <w:bottom w:val="none" w:sz="0" w:space="0" w:color="auto"/>
        <w:right w:val="none" w:sz="0" w:space="0" w:color="auto"/>
      </w:divBdr>
    </w:div>
    <w:div w:id="1046569662">
      <w:bodyDiv w:val="1"/>
      <w:marLeft w:val="0"/>
      <w:marRight w:val="0"/>
      <w:marTop w:val="0"/>
      <w:marBottom w:val="0"/>
      <w:divBdr>
        <w:top w:val="none" w:sz="0" w:space="0" w:color="auto"/>
        <w:left w:val="none" w:sz="0" w:space="0" w:color="auto"/>
        <w:bottom w:val="none" w:sz="0" w:space="0" w:color="auto"/>
        <w:right w:val="none" w:sz="0" w:space="0" w:color="auto"/>
      </w:divBdr>
      <w:divsChild>
        <w:div w:id="200368010">
          <w:marLeft w:val="547"/>
          <w:marRight w:val="0"/>
          <w:marTop w:val="0"/>
          <w:marBottom w:val="0"/>
          <w:divBdr>
            <w:top w:val="none" w:sz="0" w:space="0" w:color="auto"/>
            <w:left w:val="none" w:sz="0" w:space="0" w:color="auto"/>
            <w:bottom w:val="none" w:sz="0" w:space="0" w:color="auto"/>
            <w:right w:val="none" w:sz="0" w:space="0" w:color="auto"/>
          </w:divBdr>
        </w:div>
        <w:div w:id="824903807">
          <w:marLeft w:val="547"/>
          <w:marRight w:val="0"/>
          <w:marTop w:val="0"/>
          <w:marBottom w:val="0"/>
          <w:divBdr>
            <w:top w:val="none" w:sz="0" w:space="0" w:color="auto"/>
            <w:left w:val="none" w:sz="0" w:space="0" w:color="auto"/>
            <w:bottom w:val="none" w:sz="0" w:space="0" w:color="auto"/>
            <w:right w:val="none" w:sz="0" w:space="0" w:color="auto"/>
          </w:divBdr>
        </w:div>
        <w:div w:id="1573931238">
          <w:marLeft w:val="547"/>
          <w:marRight w:val="0"/>
          <w:marTop w:val="0"/>
          <w:marBottom w:val="0"/>
          <w:divBdr>
            <w:top w:val="none" w:sz="0" w:space="0" w:color="auto"/>
            <w:left w:val="none" w:sz="0" w:space="0" w:color="auto"/>
            <w:bottom w:val="none" w:sz="0" w:space="0" w:color="auto"/>
            <w:right w:val="none" w:sz="0" w:space="0" w:color="auto"/>
          </w:divBdr>
        </w:div>
      </w:divsChild>
    </w:div>
    <w:div w:id="1055619885">
      <w:bodyDiv w:val="1"/>
      <w:marLeft w:val="0"/>
      <w:marRight w:val="0"/>
      <w:marTop w:val="0"/>
      <w:marBottom w:val="0"/>
      <w:divBdr>
        <w:top w:val="none" w:sz="0" w:space="0" w:color="auto"/>
        <w:left w:val="none" w:sz="0" w:space="0" w:color="auto"/>
        <w:bottom w:val="none" w:sz="0" w:space="0" w:color="auto"/>
        <w:right w:val="none" w:sz="0" w:space="0" w:color="auto"/>
      </w:divBdr>
    </w:div>
    <w:div w:id="1079713949">
      <w:bodyDiv w:val="1"/>
      <w:marLeft w:val="0"/>
      <w:marRight w:val="0"/>
      <w:marTop w:val="0"/>
      <w:marBottom w:val="0"/>
      <w:divBdr>
        <w:top w:val="none" w:sz="0" w:space="0" w:color="auto"/>
        <w:left w:val="none" w:sz="0" w:space="0" w:color="auto"/>
        <w:bottom w:val="none" w:sz="0" w:space="0" w:color="auto"/>
        <w:right w:val="none" w:sz="0" w:space="0" w:color="auto"/>
      </w:divBdr>
    </w:div>
    <w:div w:id="1139767433">
      <w:bodyDiv w:val="1"/>
      <w:marLeft w:val="0"/>
      <w:marRight w:val="0"/>
      <w:marTop w:val="0"/>
      <w:marBottom w:val="0"/>
      <w:divBdr>
        <w:top w:val="none" w:sz="0" w:space="0" w:color="auto"/>
        <w:left w:val="none" w:sz="0" w:space="0" w:color="auto"/>
        <w:bottom w:val="none" w:sz="0" w:space="0" w:color="auto"/>
        <w:right w:val="none" w:sz="0" w:space="0" w:color="auto"/>
      </w:divBdr>
    </w:div>
    <w:div w:id="1148866991">
      <w:bodyDiv w:val="1"/>
      <w:marLeft w:val="0"/>
      <w:marRight w:val="0"/>
      <w:marTop w:val="0"/>
      <w:marBottom w:val="0"/>
      <w:divBdr>
        <w:top w:val="none" w:sz="0" w:space="0" w:color="auto"/>
        <w:left w:val="none" w:sz="0" w:space="0" w:color="auto"/>
        <w:bottom w:val="none" w:sz="0" w:space="0" w:color="auto"/>
        <w:right w:val="none" w:sz="0" w:space="0" w:color="auto"/>
      </w:divBdr>
    </w:div>
    <w:div w:id="1172599533">
      <w:bodyDiv w:val="1"/>
      <w:marLeft w:val="0"/>
      <w:marRight w:val="0"/>
      <w:marTop w:val="0"/>
      <w:marBottom w:val="0"/>
      <w:divBdr>
        <w:top w:val="none" w:sz="0" w:space="0" w:color="auto"/>
        <w:left w:val="none" w:sz="0" w:space="0" w:color="auto"/>
        <w:bottom w:val="none" w:sz="0" w:space="0" w:color="auto"/>
        <w:right w:val="none" w:sz="0" w:space="0" w:color="auto"/>
      </w:divBdr>
    </w:div>
    <w:div w:id="1188643692">
      <w:bodyDiv w:val="1"/>
      <w:marLeft w:val="0"/>
      <w:marRight w:val="0"/>
      <w:marTop w:val="0"/>
      <w:marBottom w:val="0"/>
      <w:divBdr>
        <w:top w:val="none" w:sz="0" w:space="0" w:color="auto"/>
        <w:left w:val="none" w:sz="0" w:space="0" w:color="auto"/>
        <w:bottom w:val="none" w:sz="0" w:space="0" w:color="auto"/>
        <w:right w:val="none" w:sz="0" w:space="0" w:color="auto"/>
      </w:divBdr>
    </w:div>
    <w:div w:id="1200508523">
      <w:bodyDiv w:val="1"/>
      <w:marLeft w:val="0"/>
      <w:marRight w:val="0"/>
      <w:marTop w:val="0"/>
      <w:marBottom w:val="0"/>
      <w:divBdr>
        <w:top w:val="none" w:sz="0" w:space="0" w:color="auto"/>
        <w:left w:val="none" w:sz="0" w:space="0" w:color="auto"/>
        <w:bottom w:val="none" w:sz="0" w:space="0" w:color="auto"/>
        <w:right w:val="none" w:sz="0" w:space="0" w:color="auto"/>
      </w:divBdr>
      <w:divsChild>
        <w:div w:id="2044356542">
          <w:marLeft w:val="547"/>
          <w:marRight w:val="0"/>
          <w:marTop w:val="96"/>
          <w:marBottom w:val="0"/>
          <w:divBdr>
            <w:top w:val="none" w:sz="0" w:space="0" w:color="auto"/>
            <w:left w:val="none" w:sz="0" w:space="0" w:color="auto"/>
            <w:bottom w:val="none" w:sz="0" w:space="0" w:color="auto"/>
            <w:right w:val="none" w:sz="0" w:space="0" w:color="auto"/>
          </w:divBdr>
        </w:div>
        <w:div w:id="427578858">
          <w:marLeft w:val="547"/>
          <w:marRight w:val="0"/>
          <w:marTop w:val="96"/>
          <w:marBottom w:val="0"/>
          <w:divBdr>
            <w:top w:val="none" w:sz="0" w:space="0" w:color="auto"/>
            <w:left w:val="none" w:sz="0" w:space="0" w:color="auto"/>
            <w:bottom w:val="none" w:sz="0" w:space="0" w:color="auto"/>
            <w:right w:val="none" w:sz="0" w:space="0" w:color="auto"/>
          </w:divBdr>
        </w:div>
        <w:div w:id="1611010738">
          <w:marLeft w:val="547"/>
          <w:marRight w:val="0"/>
          <w:marTop w:val="96"/>
          <w:marBottom w:val="0"/>
          <w:divBdr>
            <w:top w:val="none" w:sz="0" w:space="0" w:color="auto"/>
            <w:left w:val="none" w:sz="0" w:space="0" w:color="auto"/>
            <w:bottom w:val="none" w:sz="0" w:space="0" w:color="auto"/>
            <w:right w:val="none" w:sz="0" w:space="0" w:color="auto"/>
          </w:divBdr>
        </w:div>
        <w:div w:id="729771855">
          <w:marLeft w:val="547"/>
          <w:marRight w:val="0"/>
          <w:marTop w:val="96"/>
          <w:marBottom w:val="0"/>
          <w:divBdr>
            <w:top w:val="none" w:sz="0" w:space="0" w:color="auto"/>
            <w:left w:val="none" w:sz="0" w:space="0" w:color="auto"/>
            <w:bottom w:val="none" w:sz="0" w:space="0" w:color="auto"/>
            <w:right w:val="none" w:sz="0" w:space="0" w:color="auto"/>
          </w:divBdr>
        </w:div>
      </w:divsChild>
    </w:div>
    <w:div w:id="1259366788">
      <w:bodyDiv w:val="1"/>
      <w:marLeft w:val="0"/>
      <w:marRight w:val="0"/>
      <w:marTop w:val="0"/>
      <w:marBottom w:val="0"/>
      <w:divBdr>
        <w:top w:val="none" w:sz="0" w:space="0" w:color="auto"/>
        <w:left w:val="none" w:sz="0" w:space="0" w:color="auto"/>
        <w:bottom w:val="none" w:sz="0" w:space="0" w:color="auto"/>
        <w:right w:val="none" w:sz="0" w:space="0" w:color="auto"/>
      </w:divBdr>
    </w:div>
    <w:div w:id="1262107672">
      <w:bodyDiv w:val="1"/>
      <w:marLeft w:val="0"/>
      <w:marRight w:val="0"/>
      <w:marTop w:val="0"/>
      <w:marBottom w:val="0"/>
      <w:divBdr>
        <w:top w:val="none" w:sz="0" w:space="0" w:color="auto"/>
        <w:left w:val="none" w:sz="0" w:space="0" w:color="auto"/>
        <w:bottom w:val="none" w:sz="0" w:space="0" w:color="auto"/>
        <w:right w:val="none" w:sz="0" w:space="0" w:color="auto"/>
      </w:divBdr>
    </w:div>
    <w:div w:id="1267928604">
      <w:bodyDiv w:val="1"/>
      <w:marLeft w:val="0"/>
      <w:marRight w:val="0"/>
      <w:marTop w:val="0"/>
      <w:marBottom w:val="0"/>
      <w:divBdr>
        <w:top w:val="none" w:sz="0" w:space="0" w:color="auto"/>
        <w:left w:val="none" w:sz="0" w:space="0" w:color="auto"/>
        <w:bottom w:val="none" w:sz="0" w:space="0" w:color="auto"/>
        <w:right w:val="none" w:sz="0" w:space="0" w:color="auto"/>
      </w:divBdr>
      <w:divsChild>
        <w:div w:id="259997352">
          <w:marLeft w:val="446"/>
          <w:marRight w:val="0"/>
          <w:marTop w:val="0"/>
          <w:marBottom w:val="0"/>
          <w:divBdr>
            <w:top w:val="none" w:sz="0" w:space="0" w:color="auto"/>
            <w:left w:val="none" w:sz="0" w:space="0" w:color="auto"/>
            <w:bottom w:val="none" w:sz="0" w:space="0" w:color="auto"/>
            <w:right w:val="none" w:sz="0" w:space="0" w:color="auto"/>
          </w:divBdr>
        </w:div>
      </w:divsChild>
    </w:div>
    <w:div w:id="1309944644">
      <w:bodyDiv w:val="1"/>
      <w:marLeft w:val="0"/>
      <w:marRight w:val="0"/>
      <w:marTop w:val="0"/>
      <w:marBottom w:val="0"/>
      <w:divBdr>
        <w:top w:val="none" w:sz="0" w:space="0" w:color="auto"/>
        <w:left w:val="none" w:sz="0" w:space="0" w:color="auto"/>
        <w:bottom w:val="none" w:sz="0" w:space="0" w:color="auto"/>
        <w:right w:val="none" w:sz="0" w:space="0" w:color="auto"/>
      </w:divBdr>
    </w:div>
    <w:div w:id="1318338068">
      <w:bodyDiv w:val="1"/>
      <w:marLeft w:val="0"/>
      <w:marRight w:val="0"/>
      <w:marTop w:val="0"/>
      <w:marBottom w:val="0"/>
      <w:divBdr>
        <w:top w:val="none" w:sz="0" w:space="0" w:color="auto"/>
        <w:left w:val="none" w:sz="0" w:space="0" w:color="auto"/>
        <w:bottom w:val="none" w:sz="0" w:space="0" w:color="auto"/>
        <w:right w:val="none" w:sz="0" w:space="0" w:color="auto"/>
      </w:divBdr>
    </w:div>
    <w:div w:id="1339313390">
      <w:bodyDiv w:val="1"/>
      <w:marLeft w:val="0"/>
      <w:marRight w:val="0"/>
      <w:marTop w:val="0"/>
      <w:marBottom w:val="0"/>
      <w:divBdr>
        <w:top w:val="none" w:sz="0" w:space="0" w:color="auto"/>
        <w:left w:val="none" w:sz="0" w:space="0" w:color="auto"/>
        <w:bottom w:val="none" w:sz="0" w:space="0" w:color="auto"/>
        <w:right w:val="none" w:sz="0" w:space="0" w:color="auto"/>
      </w:divBdr>
    </w:div>
    <w:div w:id="1363483390">
      <w:bodyDiv w:val="1"/>
      <w:marLeft w:val="0"/>
      <w:marRight w:val="0"/>
      <w:marTop w:val="0"/>
      <w:marBottom w:val="0"/>
      <w:divBdr>
        <w:top w:val="none" w:sz="0" w:space="0" w:color="auto"/>
        <w:left w:val="none" w:sz="0" w:space="0" w:color="auto"/>
        <w:bottom w:val="none" w:sz="0" w:space="0" w:color="auto"/>
        <w:right w:val="none" w:sz="0" w:space="0" w:color="auto"/>
      </w:divBdr>
    </w:div>
    <w:div w:id="1367289013">
      <w:bodyDiv w:val="1"/>
      <w:marLeft w:val="0"/>
      <w:marRight w:val="0"/>
      <w:marTop w:val="0"/>
      <w:marBottom w:val="0"/>
      <w:divBdr>
        <w:top w:val="none" w:sz="0" w:space="0" w:color="auto"/>
        <w:left w:val="none" w:sz="0" w:space="0" w:color="auto"/>
        <w:bottom w:val="none" w:sz="0" w:space="0" w:color="auto"/>
        <w:right w:val="none" w:sz="0" w:space="0" w:color="auto"/>
      </w:divBdr>
      <w:divsChild>
        <w:div w:id="243608168">
          <w:marLeft w:val="547"/>
          <w:marRight w:val="0"/>
          <w:marTop w:val="0"/>
          <w:marBottom w:val="160"/>
          <w:divBdr>
            <w:top w:val="none" w:sz="0" w:space="0" w:color="auto"/>
            <w:left w:val="none" w:sz="0" w:space="0" w:color="auto"/>
            <w:bottom w:val="none" w:sz="0" w:space="0" w:color="auto"/>
            <w:right w:val="none" w:sz="0" w:space="0" w:color="auto"/>
          </w:divBdr>
        </w:div>
        <w:div w:id="679238808">
          <w:marLeft w:val="547"/>
          <w:marRight w:val="0"/>
          <w:marTop w:val="0"/>
          <w:marBottom w:val="160"/>
          <w:divBdr>
            <w:top w:val="none" w:sz="0" w:space="0" w:color="auto"/>
            <w:left w:val="none" w:sz="0" w:space="0" w:color="auto"/>
            <w:bottom w:val="none" w:sz="0" w:space="0" w:color="auto"/>
            <w:right w:val="none" w:sz="0" w:space="0" w:color="auto"/>
          </w:divBdr>
        </w:div>
        <w:div w:id="1318076273">
          <w:marLeft w:val="547"/>
          <w:marRight w:val="0"/>
          <w:marTop w:val="0"/>
          <w:marBottom w:val="160"/>
          <w:divBdr>
            <w:top w:val="none" w:sz="0" w:space="0" w:color="auto"/>
            <w:left w:val="none" w:sz="0" w:space="0" w:color="auto"/>
            <w:bottom w:val="none" w:sz="0" w:space="0" w:color="auto"/>
            <w:right w:val="none" w:sz="0" w:space="0" w:color="auto"/>
          </w:divBdr>
        </w:div>
      </w:divsChild>
    </w:div>
    <w:div w:id="1426413159">
      <w:bodyDiv w:val="1"/>
      <w:marLeft w:val="0"/>
      <w:marRight w:val="0"/>
      <w:marTop w:val="0"/>
      <w:marBottom w:val="0"/>
      <w:divBdr>
        <w:top w:val="none" w:sz="0" w:space="0" w:color="auto"/>
        <w:left w:val="none" w:sz="0" w:space="0" w:color="auto"/>
        <w:bottom w:val="none" w:sz="0" w:space="0" w:color="auto"/>
        <w:right w:val="none" w:sz="0" w:space="0" w:color="auto"/>
      </w:divBdr>
    </w:div>
    <w:div w:id="1517891270">
      <w:bodyDiv w:val="1"/>
      <w:marLeft w:val="0"/>
      <w:marRight w:val="0"/>
      <w:marTop w:val="0"/>
      <w:marBottom w:val="0"/>
      <w:divBdr>
        <w:top w:val="none" w:sz="0" w:space="0" w:color="auto"/>
        <w:left w:val="none" w:sz="0" w:space="0" w:color="auto"/>
        <w:bottom w:val="none" w:sz="0" w:space="0" w:color="auto"/>
        <w:right w:val="none" w:sz="0" w:space="0" w:color="auto"/>
      </w:divBdr>
    </w:div>
    <w:div w:id="1533378250">
      <w:bodyDiv w:val="1"/>
      <w:marLeft w:val="0"/>
      <w:marRight w:val="0"/>
      <w:marTop w:val="0"/>
      <w:marBottom w:val="0"/>
      <w:divBdr>
        <w:top w:val="none" w:sz="0" w:space="0" w:color="auto"/>
        <w:left w:val="none" w:sz="0" w:space="0" w:color="auto"/>
        <w:bottom w:val="none" w:sz="0" w:space="0" w:color="auto"/>
        <w:right w:val="none" w:sz="0" w:space="0" w:color="auto"/>
      </w:divBdr>
    </w:div>
    <w:div w:id="1588880286">
      <w:bodyDiv w:val="1"/>
      <w:marLeft w:val="0"/>
      <w:marRight w:val="0"/>
      <w:marTop w:val="0"/>
      <w:marBottom w:val="0"/>
      <w:divBdr>
        <w:top w:val="none" w:sz="0" w:space="0" w:color="auto"/>
        <w:left w:val="none" w:sz="0" w:space="0" w:color="auto"/>
        <w:bottom w:val="none" w:sz="0" w:space="0" w:color="auto"/>
        <w:right w:val="none" w:sz="0" w:space="0" w:color="auto"/>
      </w:divBdr>
    </w:div>
    <w:div w:id="1603800106">
      <w:bodyDiv w:val="1"/>
      <w:marLeft w:val="0"/>
      <w:marRight w:val="0"/>
      <w:marTop w:val="0"/>
      <w:marBottom w:val="0"/>
      <w:divBdr>
        <w:top w:val="none" w:sz="0" w:space="0" w:color="auto"/>
        <w:left w:val="none" w:sz="0" w:space="0" w:color="auto"/>
        <w:bottom w:val="none" w:sz="0" w:space="0" w:color="auto"/>
        <w:right w:val="none" w:sz="0" w:space="0" w:color="auto"/>
      </w:divBdr>
      <w:divsChild>
        <w:div w:id="2126652291">
          <w:marLeft w:val="446"/>
          <w:marRight w:val="0"/>
          <w:marTop w:val="0"/>
          <w:marBottom w:val="0"/>
          <w:divBdr>
            <w:top w:val="none" w:sz="0" w:space="0" w:color="auto"/>
            <w:left w:val="none" w:sz="0" w:space="0" w:color="auto"/>
            <w:bottom w:val="none" w:sz="0" w:space="0" w:color="auto"/>
            <w:right w:val="none" w:sz="0" w:space="0" w:color="auto"/>
          </w:divBdr>
        </w:div>
      </w:divsChild>
    </w:div>
    <w:div w:id="1617100859">
      <w:bodyDiv w:val="1"/>
      <w:marLeft w:val="0"/>
      <w:marRight w:val="0"/>
      <w:marTop w:val="0"/>
      <w:marBottom w:val="0"/>
      <w:divBdr>
        <w:top w:val="none" w:sz="0" w:space="0" w:color="auto"/>
        <w:left w:val="none" w:sz="0" w:space="0" w:color="auto"/>
        <w:bottom w:val="none" w:sz="0" w:space="0" w:color="auto"/>
        <w:right w:val="none" w:sz="0" w:space="0" w:color="auto"/>
      </w:divBdr>
    </w:div>
    <w:div w:id="1644502262">
      <w:bodyDiv w:val="1"/>
      <w:marLeft w:val="0"/>
      <w:marRight w:val="0"/>
      <w:marTop w:val="0"/>
      <w:marBottom w:val="0"/>
      <w:divBdr>
        <w:top w:val="none" w:sz="0" w:space="0" w:color="auto"/>
        <w:left w:val="none" w:sz="0" w:space="0" w:color="auto"/>
        <w:bottom w:val="none" w:sz="0" w:space="0" w:color="auto"/>
        <w:right w:val="none" w:sz="0" w:space="0" w:color="auto"/>
      </w:divBdr>
    </w:div>
    <w:div w:id="1646548861">
      <w:bodyDiv w:val="1"/>
      <w:marLeft w:val="0"/>
      <w:marRight w:val="0"/>
      <w:marTop w:val="0"/>
      <w:marBottom w:val="0"/>
      <w:divBdr>
        <w:top w:val="none" w:sz="0" w:space="0" w:color="auto"/>
        <w:left w:val="none" w:sz="0" w:space="0" w:color="auto"/>
        <w:bottom w:val="none" w:sz="0" w:space="0" w:color="auto"/>
        <w:right w:val="none" w:sz="0" w:space="0" w:color="auto"/>
      </w:divBdr>
      <w:divsChild>
        <w:div w:id="449977315">
          <w:marLeft w:val="720"/>
          <w:marRight w:val="0"/>
          <w:marTop w:val="0"/>
          <w:marBottom w:val="0"/>
          <w:divBdr>
            <w:top w:val="none" w:sz="0" w:space="0" w:color="auto"/>
            <w:left w:val="none" w:sz="0" w:space="0" w:color="auto"/>
            <w:bottom w:val="none" w:sz="0" w:space="0" w:color="auto"/>
            <w:right w:val="none" w:sz="0" w:space="0" w:color="auto"/>
          </w:divBdr>
        </w:div>
        <w:div w:id="523985654">
          <w:marLeft w:val="720"/>
          <w:marRight w:val="0"/>
          <w:marTop w:val="0"/>
          <w:marBottom w:val="0"/>
          <w:divBdr>
            <w:top w:val="none" w:sz="0" w:space="0" w:color="auto"/>
            <w:left w:val="none" w:sz="0" w:space="0" w:color="auto"/>
            <w:bottom w:val="none" w:sz="0" w:space="0" w:color="auto"/>
            <w:right w:val="none" w:sz="0" w:space="0" w:color="auto"/>
          </w:divBdr>
        </w:div>
        <w:div w:id="536085737">
          <w:marLeft w:val="720"/>
          <w:marRight w:val="0"/>
          <w:marTop w:val="0"/>
          <w:marBottom w:val="0"/>
          <w:divBdr>
            <w:top w:val="none" w:sz="0" w:space="0" w:color="auto"/>
            <w:left w:val="none" w:sz="0" w:space="0" w:color="auto"/>
            <w:bottom w:val="none" w:sz="0" w:space="0" w:color="auto"/>
            <w:right w:val="none" w:sz="0" w:space="0" w:color="auto"/>
          </w:divBdr>
        </w:div>
        <w:div w:id="634525275">
          <w:marLeft w:val="720"/>
          <w:marRight w:val="0"/>
          <w:marTop w:val="0"/>
          <w:marBottom w:val="0"/>
          <w:divBdr>
            <w:top w:val="none" w:sz="0" w:space="0" w:color="auto"/>
            <w:left w:val="none" w:sz="0" w:space="0" w:color="auto"/>
            <w:bottom w:val="none" w:sz="0" w:space="0" w:color="auto"/>
            <w:right w:val="none" w:sz="0" w:space="0" w:color="auto"/>
          </w:divBdr>
        </w:div>
        <w:div w:id="917132742">
          <w:marLeft w:val="720"/>
          <w:marRight w:val="0"/>
          <w:marTop w:val="0"/>
          <w:marBottom w:val="0"/>
          <w:divBdr>
            <w:top w:val="none" w:sz="0" w:space="0" w:color="auto"/>
            <w:left w:val="none" w:sz="0" w:space="0" w:color="auto"/>
            <w:bottom w:val="none" w:sz="0" w:space="0" w:color="auto"/>
            <w:right w:val="none" w:sz="0" w:space="0" w:color="auto"/>
          </w:divBdr>
        </w:div>
        <w:div w:id="1680690266">
          <w:marLeft w:val="720"/>
          <w:marRight w:val="0"/>
          <w:marTop w:val="0"/>
          <w:marBottom w:val="0"/>
          <w:divBdr>
            <w:top w:val="none" w:sz="0" w:space="0" w:color="auto"/>
            <w:left w:val="none" w:sz="0" w:space="0" w:color="auto"/>
            <w:bottom w:val="none" w:sz="0" w:space="0" w:color="auto"/>
            <w:right w:val="none" w:sz="0" w:space="0" w:color="auto"/>
          </w:divBdr>
        </w:div>
        <w:div w:id="1953784254">
          <w:marLeft w:val="720"/>
          <w:marRight w:val="0"/>
          <w:marTop w:val="0"/>
          <w:marBottom w:val="0"/>
          <w:divBdr>
            <w:top w:val="none" w:sz="0" w:space="0" w:color="auto"/>
            <w:left w:val="none" w:sz="0" w:space="0" w:color="auto"/>
            <w:bottom w:val="none" w:sz="0" w:space="0" w:color="auto"/>
            <w:right w:val="none" w:sz="0" w:space="0" w:color="auto"/>
          </w:divBdr>
        </w:div>
        <w:div w:id="2001499248">
          <w:marLeft w:val="720"/>
          <w:marRight w:val="0"/>
          <w:marTop w:val="0"/>
          <w:marBottom w:val="0"/>
          <w:divBdr>
            <w:top w:val="none" w:sz="0" w:space="0" w:color="auto"/>
            <w:left w:val="none" w:sz="0" w:space="0" w:color="auto"/>
            <w:bottom w:val="none" w:sz="0" w:space="0" w:color="auto"/>
            <w:right w:val="none" w:sz="0" w:space="0" w:color="auto"/>
          </w:divBdr>
        </w:div>
      </w:divsChild>
    </w:div>
    <w:div w:id="1675566185">
      <w:bodyDiv w:val="1"/>
      <w:marLeft w:val="0"/>
      <w:marRight w:val="0"/>
      <w:marTop w:val="0"/>
      <w:marBottom w:val="0"/>
      <w:divBdr>
        <w:top w:val="none" w:sz="0" w:space="0" w:color="auto"/>
        <w:left w:val="none" w:sz="0" w:space="0" w:color="auto"/>
        <w:bottom w:val="none" w:sz="0" w:space="0" w:color="auto"/>
        <w:right w:val="none" w:sz="0" w:space="0" w:color="auto"/>
      </w:divBdr>
    </w:div>
    <w:div w:id="1694458310">
      <w:bodyDiv w:val="1"/>
      <w:marLeft w:val="0"/>
      <w:marRight w:val="0"/>
      <w:marTop w:val="0"/>
      <w:marBottom w:val="0"/>
      <w:divBdr>
        <w:top w:val="none" w:sz="0" w:space="0" w:color="auto"/>
        <w:left w:val="none" w:sz="0" w:space="0" w:color="auto"/>
        <w:bottom w:val="none" w:sz="0" w:space="0" w:color="auto"/>
        <w:right w:val="none" w:sz="0" w:space="0" w:color="auto"/>
      </w:divBdr>
    </w:div>
    <w:div w:id="1734767427">
      <w:bodyDiv w:val="1"/>
      <w:marLeft w:val="0"/>
      <w:marRight w:val="0"/>
      <w:marTop w:val="0"/>
      <w:marBottom w:val="0"/>
      <w:divBdr>
        <w:top w:val="none" w:sz="0" w:space="0" w:color="auto"/>
        <w:left w:val="none" w:sz="0" w:space="0" w:color="auto"/>
        <w:bottom w:val="none" w:sz="0" w:space="0" w:color="auto"/>
        <w:right w:val="none" w:sz="0" w:space="0" w:color="auto"/>
      </w:divBdr>
    </w:div>
    <w:div w:id="1740784714">
      <w:bodyDiv w:val="1"/>
      <w:marLeft w:val="0"/>
      <w:marRight w:val="0"/>
      <w:marTop w:val="0"/>
      <w:marBottom w:val="0"/>
      <w:divBdr>
        <w:top w:val="none" w:sz="0" w:space="0" w:color="auto"/>
        <w:left w:val="none" w:sz="0" w:space="0" w:color="auto"/>
        <w:bottom w:val="none" w:sz="0" w:space="0" w:color="auto"/>
        <w:right w:val="none" w:sz="0" w:space="0" w:color="auto"/>
      </w:divBdr>
    </w:div>
    <w:div w:id="1749109181">
      <w:bodyDiv w:val="1"/>
      <w:marLeft w:val="0"/>
      <w:marRight w:val="0"/>
      <w:marTop w:val="0"/>
      <w:marBottom w:val="0"/>
      <w:divBdr>
        <w:top w:val="none" w:sz="0" w:space="0" w:color="auto"/>
        <w:left w:val="none" w:sz="0" w:space="0" w:color="auto"/>
        <w:bottom w:val="none" w:sz="0" w:space="0" w:color="auto"/>
        <w:right w:val="none" w:sz="0" w:space="0" w:color="auto"/>
      </w:divBdr>
    </w:div>
    <w:div w:id="1755010611">
      <w:bodyDiv w:val="1"/>
      <w:marLeft w:val="0"/>
      <w:marRight w:val="0"/>
      <w:marTop w:val="0"/>
      <w:marBottom w:val="0"/>
      <w:divBdr>
        <w:top w:val="none" w:sz="0" w:space="0" w:color="auto"/>
        <w:left w:val="none" w:sz="0" w:space="0" w:color="auto"/>
        <w:bottom w:val="none" w:sz="0" w:space="0" w:color="auto"/>
        <w:right w:val="none" w:sz="0" w:space="0" w:color="auto"/>
      </w:divBdr>
    </w:div>
    <w:div w:id="1780493874">
      <w:bodyDiv w:val="1"/>
      <w:marLeft w:val="0"/>
      <w:marRight w:val="0"/>
      <w:marTop w:val="0"/>
      <w:marBottom w:val="0"/>
      <w:divBdr>
        <w:top w:val="none" w:sz="0" w:space="0" w:color="auto"/>
        <w:left w:val="none" w:sz="0" w:space="0" w:color="auto"/>
        <w:bottom w:val="none" w:sz="0" w:space="0" w:color="auto"/>
        <w:right w:val="none" w:sz="0" w:space="0" w:color="auto"/>
      </w:divBdr>
    </w:div>
    <w:div w:id="1816601419">
      <w:bodyDiv w:val="1"/>
      <w:marLeft w:val="0"/>
      <w:marRight w:val="0"/>
      <w:marTop w:val="0"/>
      <w:marBottom w:val="0"/>
      <w:divBdr>
        <w:top w:val="none" w:sz="0" w:space="0" w:color="auto"/>
        <w:left w:val="none" w:sz="0" w:space="0" w:color="auto"/>
        <w:bottom w:val="none" w:sz="0" w:space="0" w:color="auto"/>
        <w:right w:val="none" w:sz="0" w:space="0" w:color="auto"/>
      </w:divBdr>
    </w:div>
    <w:div w:id="1870989087">
      <w:bodyDiv w:val="1"/>
      <w:marLeft w:val="0"/>
      <w:marRight w:val="0"/>
      <w:marTop w:val="0"/>
      <w:marBottom w:val="0"/>
      <w:divBdr>
        <w:top w:val="none" w:sz="0" w:space="0" w:color="auto"/>
        <w:left w:val="none" w:sz="0" w:space="0" w:color="auto"/>
        <w:bottom w:val="none" w:sz="0" w:space="0" w:color="auto"/>
        <w:right w:val="none" w:sz="0" w:space="0" w:color="auto"/>
      </w:divBdr>
    </w:div>
    <w:div w:id="1878883635">
      <w:bodyDiv w:val="1"/>
      <w:marLeft w:val="0"/>
      <w:marRight w:val="0"/>
      <w:marTop w:val="0"/>
      <w:marBottom w:val="0"/>
      <w:divBdr>
        <w:top w:val="none" w:sz="0" w:space="0" w:color="auto"/>
        <w:left w:val="none" w:sz="0" w:space="0" w:color="auto"/>
        <w:bottom w:val="none" w:sz="0" w:space="0" w:color="auto"/>
        <w:right w:val="none" w:sz="0" w:space="0" w:color="auto"/>
      </w:divBdr>
    </w:div>
    <w:div w:id="1881361904">
      <w:bodyDiv w:val="1"/>
      <w:marLeft w:val="0"/>
      <w:marRight w:val="0"/>
      <w:marTop w:val="0"/>
      <w:marBottom w:val="0"/>
      <w:divBdr>
        <w:top w:val="none" w:sz="0" w:space="0" w:color="auto"/>
        <w:left w:val="none" w:sz="0" w:space="0" w:color="auto"/>
        <w:bottom w:val="none" w:sz="0" w:space="0" w:color="auto"/>
        <w:right w:val="none" w:sz="0" w:space="0" w:color="auto"/>
      </w:divBdr>
    </w:div>
    <w:div w:id="1885437115">
      <w:bodyDiv w:val="1"/>
      <w:marLeft w:val="0"/>
      <w:marRight w:val="0"/>
      <w:marTop w:val="0"/>
      <w:marBottom w:val="0"/>
      <w:divBdr>
        <w:top w:val="none" w:sz="0" w:space="0" w:color="auto"/>
        <w:left w:val="none" w:sz="0" w:space="0" w:color="auto"/>
        <w:bottom w:val="none" w:sz="0" w:space="0" w:color="auto"/>
        <w:right w:val="none" w:sz="0" w:space="0" w:color="auto"/>
      </w:divBdr>
    </w:div>
    <w:div w:id="1946420412">
      <w:bodyDiv w:val="1"/>
      <w:marLeft w:val="0"/>
      <w:marRight w:val="0"/>
      <w:marTop w:val="0"/>
      <w:marBottom w:val="0"/>
      <w:divBdr>
        <w:top w:val="none" w:sz="0" w:space="0" w:color="auto"/>
        <w:left w:val="none" w:sz="0" w:space="0" w:color="auto"/>
        <w:bottom w:val="none" w:sz="0" w:space="0" w:color="auto"/>
        <w:right w:val="none" w:sz="0" w:space="0" w:color="auto"/>
      </w:divBdr>
    </w:div>
    <w:div w:id="1954556883">
      <w:bodyDiv w:val="1"/>
      <w:marLeft w:val="0"/>
      <w:marRight w:val="0"/>
      <w:marTop w:val="0"/>
      <w:marBottom w:val="0"/>
      <w:divBdr>
        <w:top w:val="none" w:sz="0" w:space="0" w:color="auto"/>
        <w:left w:val="none" w:sz="0" w:space="0" w:color="auto"/>
        <w:bottom w:val="none" w:sz="0" w:space="0" w:color="auto"/>
        <w:right w:val="none" w:sz="0" w:space="0" w:color="auto"/>
      </w:divBdr>
      <w:divsChild>
        <w:div w:id="66266424">
          <w:marLeft w:val="547"/>
          <w:marRight w:val="0"/>
          <w:marTop w:val="0"/>
          <w:marBottom w:val="160"/>
          <w:divBdr>
            <w:top w:val="none" w:sz="0" w:space="0" w:color="auto"/>
            <w:left w:val="none" w:sz="0" w:space="0" w:color="auto"/>
            <w:bottom w:val="none" w:sz="0" w:space="0" w:color="auto"/>
            <w:right w:val="none" w:sz="0" w:space="0" w:color="auto"/>
          </w:divBdr>
        </w:div>
        <w:div w:id="821502411">
          <w:marLeft w:val="547"/>
          <w:marRight w:val="0"/>
          <w:marTop w:val="0"/>
          <w:marBottom w:val="160"/>
          <w:divBdr>
            <w:top w:val="none" w:sz="0" w:space="0" w:color="auto"/>
            <w:left w:val="none" w:sz="0" w:space="0" w:color="auto"/>
            <w:bottom w:val="none" w:sz="0" w:space="0" w:color="auto"/>
            <w:right w:val="none" w:sz="0" w:space="0" w:color="auto"/>
          </w:divBdr>
        </w:div>
        <w:div w:id="1035890906">
          <w:marLeft w:val="547"/>
          <w:marRight w:val="0"/>
          <w:marTop w:val="0"/>
          <w:marBottom w:val="160"/>
          <w:divBdr>
            <w:top w:val="none" w:sz="0" w:space="0" w:color="auto"/>
            <w:left w:val="none" w:sz="0" w:space="0" w:color="auto"/>
            <w:bottom w:val="none" w:sz="0" w:space="0" w:color="auto"/>
            <w:right w:val="none" w:sz="0" w:space="0" w:color="auto"/>
          </w:divBdr>
        </w:div>
        <w:div w:id="1080445482">
          <w:marLeft w:val="547"/>
          <w:marRight w:val="0"/>
          <w:marTop w:val="0"/>
          <w:marBottom w:val="160"/>
          <w:divBdr>
            <w:top w:val="none" w:sz="0" w:space="0" w:color="auto"/>
            <w:left w:val="none" w:sz="0" w:space="0" w:color="auto"/>
            <w:bottom w:val="none" w:sz="0" w:space="0" w:color="auto"/>
            <w:right w:val="none" w:sz="0" w:space="0" w:color="auto"/>
          </w:divBdr>
        </w:div>
        <w:div w:id="1343627903">
          <w:marLeft w:val="547"/>
          <w:marRight w:val="0"/>
          <w:marTop w:val="0"/>
          <w:marBottom w:val="160"/>
          <w:divBdr>
            <w:top w:val="none" w:sz="0" w:space="0" w:color="auto"/>
            <w:left w:val="none" w:sz="0" w:space="0" w:color="auto"/>
            <w:bottom w:val="none" w:sz="0" w:space="0" w:color="auto"/>
            <w:right w:val="none" w:sz="0" w:space="0" w:color="auto"/>
          </w:divBdr>
        </w:div>
        <w:div w:id="1656910238">
          <w:marLeft w:val="547"/>
          <w:marRight w:val="0"/>
          <w:marTop w:val="0"/>
          <w:marBottom w:val="160"/>
          <w:divBdr>
            <w:top w:val="none" w:sz="0" w:space="0" w:color="auto"/>
            <w:left w:val="none" w:sz="0" w:space="0" w:color="auto"/>
            <w:bottom w:val="none" w:sz="0" w:space="0" w:color="auto"/>
            <w:right w:val="none" w:sz="0" w:space="0" w:color="auto"/>
          </w:divBdr>
        </w:div>
        <w:div w:id="1802109593">
          <w:marLeft w:val="547"/>
          <w:marRight w:val="0"/>
          <w:marTop w:val="0"/>
          <w:marBottom w:val="160"/>
          <w:divBdr>
            <w:top w:val="none" w:sz="0" w:space="0" w:color="auto"/>
            <w:left w:val="none" w:sz="0" w:space="0" w:color="auto"/>
            <w:bottom w:val="none" w:sz="0" w:space="0" w:color="auto"/>
            <w:right w:val="none" w:sz="0" w:space="0" w:color="auto"/>
          </w:divBdr>
        </w:div>
      </w:divsChild>
    </w:div>
    <w:div w:id="1977056234">
      <w:bodyDiv w:val="1"/>
      <w:marLeft w:val="0"/>
      <w:marRight w:val="0"/>
      <w:marTop w:val="0"/>
      <w:marBottom w:val="0"/>
      <w:divBdr>
        <w:top w:val="none" w:sz="0" w:space="0" w:color="auto"/>
        <w:left w:val="none" w:sz="0" w:space="0" w:color="auto"/>
        <w:bottom w:val="none" w:sz="0" w:space="0" w:color="auto"/>
        <w:right w:val="none" w:sz="0" w:space="0" w:color="auto"/>
      </w:divBdr>
      <w:divsChild>
        <w:div w:id="574316350">
          <w:marLeft w:val="446"/>
          <w:marRight w:val="0"/>
          <w:marTop w:val="0"/>
          <w:marBottom w:val="0"/>
          <w:divBdr>
            <w:top w:val="none" w:sz="0" w:space="0" w:color="auto"/>
            <w:left w:val="none" w:sz="0" w:space="0" w:color="auto"/>
            <w:bottom w:val="none" w:sz="0" w:space="0" w:color="auto"/>
            <w:right w:val="none" w:sz="0" w:space="0" w:color="auto"/>
          </w:divBdr>
        </w:div>
      </w:divsChild>
    </w:div>
    <w:div w:id="2000499073">
      <w:bodyDiv w:val="1"/>
      <w:marLeft w:val="0"/>
      <w:marRight w:val="0"/>
      <w:marTop w:val="0"/>
      <w:marBottom w:val="0"/>
      <w:divBdr>
        <w:top w:val="none" w:sz="0" w:space="0" w:color="auto"/>
        <w:left w:val="none" w:sz="0" w:space="0" w:color="auto"/>
        <w:bottom w:val="none" w:sz="0" w:space="0" w:color="auto"/>
        <w:right w:val="none" w:sz="0" w:space="0" w:color="auto"/>
      </w:divBdr>
    </w:div>
    <w:div w:id="207758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inzi.mcmeekin@newcastle.gov.uk"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45550-AEDE-40C9-923F-53E7ECA23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12</Pages>
  <Words>3456</Words>
  <Characters>18979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Polito, Becky</dc:creator>
  <cp:keywords/>
  <dc:description/>
  <cp:lastModifiedBy>McMeekin, Linzi</cp:lastModifiedBy>
  <cp:revision>7</cp:revision>
  <cp:lastPrinted>2019-01-24T15:19:00Z</cp:lastPrinted>
  <dcterms:created xsi:type="dcterms:W3CDTF">2019-02-11T12:49:00Z</dcterms:created>
  <dcterms:modified xsi:type="dcterms:W3CDTF">2019-02-11T14:33:00Z</dcterms:modified>
</cp:coreProperties>
</file>