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4E2E" w14:textId="607788DD" w:rsidR="004A5A80" w:rsidRDefault="00E64FA6" w:rsidP="004A5A80">
      <w:pPr>
        <w:pStyle w:val="Heading1"/>
        <w:numPr>
          <w:ilvl w:val="0"/>
          <w:numId w:val="0"/>
        </w:numPr>
      </w:pPr>
      <w:r>
        <w:t xml:space="preserve"> NEC4</w:t>
      </w:r>
      <w:r w:rsidR="00083CD9">
        <w:t xml:space="preserve"> Professional Services Contract</w:t>
      </w:r>
    </w:p>
    <w:p w14:paraId="150F1441" w14:textId="77777777" w:rsidR="004A5A80" w:rsidRDefault="004A5A80" w:rsidP="004A5A80">
      <w:pPr>
        <w:autoSpaceDE w:val="0"/>
        <w:autoSpaceDN w:val="0"/>
        <w:adjustRightInd w:val="0"/>
        <w:rPr>
          <w:rFonts w:cs="Arial"/>
          <w:b/>
          <w:color w:val="000000"/>
          <w:sz w:val="28"/>
          <w:szCs w:val="28"/>
        </w:rPr>
      </w:pPr>
    </w:p>
    <w:p w14:paraId="7E88B769" w14:textId="77777777" w:rsidR="004A5A80" w:rsidRPr="002207ED" w:rsidRDefault="00E64FA6" w:rsidP="004A5A80">
      <w:pPr>
        <w:pStyle w:val="Body"/>
        <w:numPr>
          <w:ilvl w:val="1"/>
          <w:numId w:val="2"/>
        </w:numPr>
        <w:ind w:left="567" w:hanging="567"/>
        <w:rPr>
          <w:rFonts w:cs="Arial"/>
        </w:rPr>
      </w:pPr>
      <w:r>
        <w:rPr>
          <w:rFonts w:cs="Arial"/>
        </w:rPr>
        <w:t>The Contract will be the NEC4</w:t>
      </w:r>
      <w:r w:rsidR="004A5A80" w:rsidRPr="002207ED">
        <w:rPr>
          <w:rFonts w:cs="Arial"/>
        </w:rPr>
        <w:t xml:space="preserve"> Professional Services Contract</w:t>
      </w:r>
      <w:r>
        <w:rPr>
          <w:rFonts w:cs="Arial"/>
        </w:rPr>
        <w:t xml:space="preserve"> April.</w:t>
      </w:r>
      <w:r w:rsidR="004A5A80" w:rsidRPr="002207ED">
        <w:rPr>
          <w:rFonts w:cs="Arial"/>
        </w:rPr>
        <w:t xml:space="preserve"> The Conditions of Contract will incorporate all Revisions current at the time of signing, amended as may be required by the Council.</w:t>
      </w:r>
    </w:p>
    <w:p w14:paraId="5DF12104" w14:textId="77777777" w:rsidR="004A5A80" w:rsidRPr="002207ED" w:rsidRDefault="004A5A80" w:rsidP="004A5A80">
      <w:pPr>
        <w:pStyle w:val="Body"/>
        <w:numPr>
          <w:ilvl w:val="0"/>
          <w:numId w:val="0"/>
        </w:numPr>
        <w:ind w:left="567"/>
        <w:rPr>
          <w:rFonts w:cs="Arial"/>
        </w:rPr>
      </w:pPr>
    </w:p>
    <w:p w14:paraId="068C899F" w14:textId="77777777" w:rsidR="004A5A80" w:rsidRPr="002207ED" w:rsidRDefault="004A5A80" w:rsidP="004A5A80">
      <w:pPr>
        <w:pStyle w:val="Body"/>
        <w:numPr>
          <w:ilvl w:val="1"/>
          <w:numId w:val="2"/>
        </w:numPr>
        <w:ind w:left="567" w:hanging="567"/>
        <w:rPr>
          <w:rFonts w:cs="Arial"/>
        </w:rPr>
      </w:pPr>
      <w:r w:rsidRPr="002207ED">
        <w:rPr>
          <w:rFonts w:cs="Arial"/>
        </w:rPr>
        <w:t>Contract data will be as follows:</w:t>
      </w:r>
      <w:r w:rsidR="00F211CE">
        <w:rPr>
          <w:rFonts w:cs="Arial"/>
        </w:rPr>
        <w:t xml:space="preserve"> </w:t>
      </w:r>
    </w:p>
    <w:p w14:paraId="58885334" w14:textId="77777777" w:rsidR="004A5A80" w:rsidRPr="002207ED" w:rsidRDefault="004A5A80" w:rsidP="004A5A80">
      <w:pPr>
        <w:pStyle w:val="ListParagraph"/>
        <w:rPr>
          <w:rFonts w:cs="Arial"/>
          <w:sz w:val="22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2788"/>
        <w:gridCol w:w="2806"/>
      </w:tblGrid>
      <w:tr w:rsidR="004A5A80" w:rsidRPr="002207ED" w14:paraId="04D56052" w14:textId="77777777" w:rsidTr="004D21AC">
        <w:tc>
          <w:tcPr>
            <w:tcW w:w="2855" w:type="dxa"/>
            <w:shd w:val="clear" w:color="auto" w:fill="auto"/>
          </w:tcPr>
          <w:p w14:paraId="00ECE5CF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Clause</w:t>
            </w:r>
          </w:p>
        </w:tc>
        <w:tc>
          <w:tcPr>
            <w:tcW w:w="2788" w:type="dxa"/>
            <w:shd w:val="clear" w:color="auto" w:fill="auto"/>
          </w:tcPr>
          <w:p w14:paraId="1B38E99A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716683A6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4A5A80" w:rsidRPr="002207ED" w14:paraId="1521F53B" w14:textId="77777777" w:rsidTr="004D21AC">
        <w:tc>
          <w:tcPr>
            <w:tcW w:w="2855" w:type="dxa"/>
            <w:shd w:val="clear" w:color="auto" w:fill="auto"/>
          </w:tcPr>
          <w:p w14:paraId="08DCDFF7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1 General</w:t>
            </w:r>
          </w:p>
        </w:tc>
        <w:tc>
          <w:tcPr>
            <w:tcW w:w="2788" w:type="dxa"/>
            <w:shd w:val="clear" w:color="auto" w:fill="auto"/>
          </w:tcPr>
          <w:p w14:paraId="1C88C6B9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 xml:space="preserve">Conditions are </w:t>
            </w:r>
          </w:p>
        </w:tc>
        <w:tc>
          <w:tcPr>
            <w:tcW w:w="2806" w:type="dxa"/>
            <w:shd w:val="clear" w:color="auto" w:fill="auto"/>
          </w:tcPr>
          <w:p w14:paraId="463C5F54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the core clauses using Main Option A and Secondary Options as contained in table below.</w:t>
            </w:r>
          </w:p>
        </w:tc>
      </w:tr>
      <w:tr w:rsidR="004A5A80" w:rsidRPr="002207ED" w14:paraId="508AA137" w14:textId="77777777" w:rsidTr="004D21AC">
        <w:tc>
          <w:tcPr>
            <w:tcW w:w="2855" w:type="dxa"/>
            <w:shd w:val="clear" w:color="auto" w:fill="auto"/>
          </w:tcPr>
          <w:p w14:paraId="52C9987F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1AEC2598" w14:textId="77777777" w:rsidR="004A5A80" w:rsidRPr="0047715D" w:rsidRDefault="00A878B1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The Client is</w:t>
            </w:r>
          </w:p>
        </w:tc>
        <w:tc>
          <w:tcPr>
            <w:tcW w:w="2806" w:type="dxa"/>
            <w:shd w:val="clear" w:color="auto" w:fill="auto"/>
          </w:tcPr>
          <w:p w14:paraId="706AE972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North Somerset Council</w:t>
            </w:r>
          </w:p>
        </w:tc>
      </w:tr>
      <w:tr w:rsidR="004A5A80" w:rsidRPr="002207ED" w14:paraId="5E74C957" w14:textId="77777777" w:rsidTr="004D21AC">
        <w:tc>
          <w:tcPr>
            <w:tcW w:w="2855" w:type="dxa"/>
            <w:shd w:val="clear" w:color="auto" w:fill="auto"/>
          </w:tcPr>
          <w:p w14:paraId="71579CE9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492B7FFE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The Adjudicator</w:t>
            </w:r>
          </w:p>
        </w:tc>
        <w:tc>
          <w:tcPr>
            <w:tcW w:w="2806" w:type="dxa"/>
            <w:shd w:val="clear" w:color="auto" w:fill="auto"/>
          </w:tcPr>
          <w:p w14:paraId="24DA1C1A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Royal Institute for Chartered Surveyors, London</w:t>
            </w:r>
          </w:p>
        </w:tc>
      </w:tr>
      <w:tr w:rsidR="004A5A80" w:rsidRPr="002207ED" w14:paraId="7375AA23" w14:textId="77777777" w:rsidTr="004D21AC">
        <w:tc>
          <w:tcPr>
            <w:tcW w:w="2855" w:type="dxa"/>
            <w:shd w:val="clear" w:color="auto" w:fill="auto"/>
          </w:tcPr>
          <w:p w14:paraId="415CFBC7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2733CDB9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Services</w:t>
            </w:r>
          </w:p>
        </w:tc>
        <w:tc>
          <w:tcPr>
            <w:tcW w:w="2806" w:type="dxa"/>
            <w:shd w:val="clear" w:color="auto" w:fill="auto"/>
          </w:tcPr>
          <w:p w14:paraId="0967F02D" w14:textId="77777777" w:rsidR="004A5A80" w:rsidRPr="004042FC" w:rsidRDefault="004A5A80" w:rsidP="007E0BE3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 xml:space="preserve">The supply of Energy Management </w:t>
            </w:r>
            <w:r w:rsidR="004B4DE4" w:rsidRPr="004042FC">
              <w:rPr>
                <w:rFonts w:cs="Arial"/>
                <w:b/>
              </w:rPr>
              <w:t xml:space="preserve">consultancy </w:t>
            </w:r>
            <w:r w:rsidRPr="004042FC">
              <w:rPr>
                <w:rFonts w:cs="Arial"/>
                <w:b/>
              </w:rPr>
              <w:t>services to the North Somerset estate</w:t>
            </w:r>
            <w:r w:rsidR="007E0BE3" w:rsidRPr="004042FC">
              <w:rPr>
                <w:rFonts w:cs="Arial"/>
                <w:b/>
              </w:rPr>
              <w:t>.</w:t>
            </w:r>
          </w:p>
        </w:tc>
      </w:tr>
      <w:tr w:rsidR="004A5A80" w:rsidRPr="002207ED" w14:paraId="715D1CCF" w14:textId="77777777" w:rsidTr="004D21AC">
        <w:tc>
          <w:tcPr>
            <w:tcW w:w="2855" w:type="dxa"/>
            <w:shd w:val="clear" w:color="auto" w:fill="auto"/>
          </w:tcPr>
          <w:p w14:paraId="040CFEF9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019E4C7C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Scope</w:t>
            </w:r>
          </w:p>
        </w:tc>
        <w:tc>
          <w:tcPr>
            <w:tcW w:w="2806" w:type="dxa"/>
            <w:shd w:val="clear" w:color="auto" w:fill="auto"/>
          </w:tcPr>
          <w:p w14:paraId="30E8E31A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As set out in the Invitation to Tender document and the tenderer’s submission</w:t>
            </w:r>
          </w:p>
        </w:tc>
      </w:tr>
      <w:tr w:rsidR="004A5A80" w:rsidRPr="002207ED" w14:paraId="17AC41E9" w14:textId="77777777" w:rsidTr="004D21AC">
        <w:tc>
          <w:tcPr>
            <w:tcW w:w="2855" w:type="dxa"/>
            <w:shd w:val="clear" w:color="auto" w:fill="auto"/>
          </w:tcPr>
          <w:p w14:paraId="1C2717AB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22C3AA8E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Language</w:t>
            </w:r>
          </w:p>
        </w:tc>
        <w:tc>
          <w:tcPr>
            <w:tcW w:w="2806" w:type="dxa"/>
            <w:shd w:val="clear" w:color="auto" w:fill="auto"/>
          </w:tcPr>
          <w:p w14:paraId="4772BC3D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English</w:t>
            </w:r>
          </w:p>
        </w:tc>
      </w:tr>
      <w:tr w:rsidR="004A5A80" w:rsidRPr="002207ED" w14:paraId="39E7DCD9" w14:textId="77777777" w:rsidTr="004D21AC">
        <w:tc>
          <w:tcPr>
            <w:tcW w:w="2855" w:type="dxa"/>
            <w:shd w:val="clear" w:color="auto" w:fill="auto"/>
          </w:tcPr>
          <w:p w14:paraId="466941A4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4F07FAAE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Law</w:t>
            </w:r>
          </w:p>
        </w:tc>
        <w:tc>
          <w:tcPr>
            <w:tcW w:w="2806" w:type="dxa"/>
            <w:shd w:val="clear" w:color="auto" w:fill="auto"/>
          </w:tcPr>
          <w:p w14:paraId="0028D7B5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English</w:t>
            </w:r>
          </w:p>
        </w:tc>
      </w:tr>
      <w:tr w:rsidR="004A5A80" w:rsidRPr="002207ED" w14:paraId="5773C744" w14:textId="77777777" w:rsidTr="004D21AC">
        <w:tc>
          <w:tcPr>
            <w:tcW w:w="2855" w:type="dxa"/>
            <w:shd w:val="clear" w:color="auto" w:fill="auto"/>
          </w:tcPr>
          <w:p w14:paraId="0F103D1D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7D053FF2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Period for reply</w:t>
            </w:r>
          </w:p>
        </w:tc>
        <w:tc>
          <w:tcPr>
            <w:tcW w:w="2806" w:type="dxa"/>
            <w:shd w:val="clear" w:color="auto" w:fill="auto"/>
          </w:tcPr>
          <w:p w14:paraId="4D7332E1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Two weeks</w:t>
            </w:r>
          </w:p>
        </w:tc>
      </w:tr>
      <w:tr w:rsidR="004A5A80" w:rsidRPr="002207ED" w14:paraId="3CCC3C17" w14:textId="77777777" w:rsidTr="004D21AC">
        <w:tc>
          <w:tcPr>
            <w:tcW w:w="2855" w:type="dxa"/>
            <w:shd w:val="clear" w:color="auto" w:fill="auto"/>
          </w:tcPr>
          <w:p w14:paraId="0FB05A44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7B839F04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Period for retention</w:t>
            </w:r>
          </w:p>
        </w:tc>
        <w:tc>
          <w:tcPr>
            <w:tcW w:w="2806" w:type="dxa"/>
            <w:shd w:val="clear" w:color="auto" w:fill="auto"/>
          </w:tcPr>
          <w:p w14:paraId="03786520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One year</w:t>
            </w:r>
          </w:p>
        </w:tc>
      </w:tr>
      <w:tr w:rsidR="00A878B1" w:rsidRPr="002207ED" w14:paraId="0F28BBF8" w14:textId="77777777" w:rsidTr="004D21AC">
        <w:tc>
          <w:tcPr>
            <w:tcW w:w="2855" w:type="dxa"/>
            <w:shd w:val="clear" w:color="auto" w:fill="auto"/>
          </w:tcPr>
          <w:p w14:paraId="022A126E" w14:textId="77777777" w:rsidR="00A878B1" w:rsidRPr="0047715D" w:rsidRDefault="00A878B1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2311B1CC" w14:textId="77777777" w:rsidR="00A878B1" w:rsidRPr="0047715D" w:rsidRDefault="00A878B1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Matters in Early Warning Register</w:t>
            </w:r>
          </w:p>
        </w:tc>
        <w:tc>
          <w:tcPr>
            <w:tcW w:w="2806" w:type="dxa"/>
            <w:shd w:val="clear" w:color="auto" w:fill="auto"/>
          </w:tcPr>
          <w:p w14:paraId="78DE9C8D" w14:textId="77777777" w:rsidR="00A878B1" w:rsidRPr="004042FC" w:rsidRDefault="00C354C6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Procurement of the Energy Supply Contract</w:t>
            </w:r>
          </w:p>
        </w:tc>
      </w:tr>
      <w:tr w:rsidR="00A878B1" w:rsidRPr="002207ED" w14:paraId="059F7B1F" w14:textId="77777777" w:rsidTr="004D21AC">
        <w:tc>
          <w:tcPr>
            <w:tcW w:w="2855" w:type="dxa"/>
            <w:shd w:val="clear" w:color="auto" w:fill="auto"/>
          </w:tcPr>
          <w:p w14:paraId="28BFDE8E" w14:textId="77777777" w:rsidR="00A878B1" w:rsidRPr="0047715D" w:rsidRDefault="00A878B1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63C9AFAC" w14:textId="77777777" w:rsidR="00A878B1" w:rsidRDefault="00A878B1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Intervals for Early Warning Meetings</w:t>
            </w:r>
          </w:p>
        </w:tc>
        <w:tc>
          <w:tcPr>
            <w:tcW w:w="2806" w:type="dxa"/>
            <w:shd w:val="clear" w:color="auto" w:fill="auto"/>
          </w:tcPr>
          <w:p w14:paraId="4B653B44" w14:textId="77777777" w:rsidR="00A878B1" w:rsidRPr="004042FC" w:rsidRDefault="005C1E2A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 xml:space="preserve">Initial meeting 6 months prior to tender exercise, then monthly until tender exercise completed. </w:t>
            </w:r>
          </w:p>
        </w:tc>
      </w:tr>
      <w:tr w:rsidR="004A5A80" w:rsidRPr="002207ED" w14:paraId="6B7F2100" w14:textId="77777777" w:rsidTr="004D21AC">
        <w:tc>
          <w:tcPr>
            <w:tcW w:w="2855" w:type="dxa"/>
            <w:shd w:val="clear" w:color="auto" w:fill="auto"/>
          </w:tcPr>
          <w:p w14:paraId="5242F874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6E4249B6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Adjudicator nominating body</w:t>
            </w:r>
          </w:p>
        </w:tc>
        <w:tc>
          <w:tcPr>
            <w:tcW w:w="2806" w:type="dxa"/>
            <w:shd w:val="clear" w:color="auto" w:fill="auto"/>
          </w:tcPr>
          <w:p w14:paraId="0012C794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RICS</w:t>
            </w:r>
          </w:p>
        </w:tc>
      </w:tr>
      <w:tr w:rsidR="004A5A80" w:rsidRPr="002207ED" w14:paraId="651249D9" w14:textId="77777777" w:rsidTr="004D21AC">
        <w:tc>
          <w:tcPr>
            <w:tcW w:w="2855" w:type="dxa"/>
            <w:shd w:val="clear" w:color="auto" w:fill="auto"/>
          </w:tcPr>
          <w:p w14:paraId="0721EB99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3B5811BE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Risk Register</w:t>
            </w:r>
          </w:p>
        </w:tc>
        <w:tc>
          <w:tcPr>
            <w:tcW w:w="2806" w:type="dxa"/>
            <w:shd w:val="clear" w:color="auto" w:fill="auto"/>
          </w:tcPr>
          <w:p w14:paraId="3CAD729A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  <w:i/>
              </w:rPr>
            </w:pPr>
            <w:r w:rsidRPr="004042FC">
              <w:rPr>
                <w:rFonts w:cs="Arial"/>
                <w:b/>
                <w:i/>
              </w:rPr>
              <w:t>None anticipated</w:t>
            </w:r>
          </w:p>
        </w:tc>
      </w:tr>
      <w:tr w:rsidR="004A5A80" w:rsidRPr="002207ED" w14:paraId="0120397E" w14:textId="77777777" w:rsidTr="004D21AC">
        <w:tc>
          <w:tcPr>
            <w:tcW w:w="2855" w:type="dxa"/>
            <w:shd w:val="clear" w:color="auto" w:fill="auto"/>
          </w:tcPr>
          <w:p w14:paraId="09A7E3C0" w14:textId="77777777" w:rsidR="004A5A80" w:rsidRPr="0047715D" w:rsidRDefault="00236D2F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2 Consultants</w:t>
            </w:r>
            <w:r w:rsidR="004A5A80" w:rsidRPr="0047715D">
              <w:rPr>
                <w:rFonts w:cs="Arial"/>
              </w:rPr>
              <w:t xml:space="preserve"> Main Responsibilities</w:t>
            </w:r>
          </w:p>
        </w:tc>
        <w:tc>
          <w:tcPr>
            <w:tcW w:w="2788" w:type="dxa"/>
            <w:shd w:val="clear" w:color="auto" w:fill="auto"/>
          </w:tcPr>
          <w:p w14:paraId="08D8EF08" w14:textId="77777777" w:rsidR="004A5A80" w:rsidRPr="0047715D" w:rsidRDefault="004D21AC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Key Date and Condition to be met </w:t>
            </w:r>
          </w:p>
        </w:tc>
        <w:tc>
          <w:tcPr>
            <w:tcW w:w="2806" w:type="dxa"/>
            <w:shd w:val="clear" w:color="auto" w:fill="auto"/>
          </w:tcPr>
          <w:p w14:paraId="0556B4D1" w14:textId="77777777" w:rsidR="004A5A80" w:rsidRPr="004042FC" w:rsidRDefault="004D21AC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Date:</w:t>
            </w:r>
          </w:p>
          <w:p w14:paraId="6A635E29" w14:textId="77777777" w:rsidR="004D21AC" w:rsidRPr="004042FC" w:rsidRDefault="004D21AC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 xml:space="preserve">Condition: </w:t>
            </w:r>
          </w:p>
        </w:tc>
      </w:tr>
      <w:tr w:rsidR="004D21AC" w:rsidRPr="002207ED" w14:paraId="3D9AC59C" w14:textId="77777777" w:rsidTr="004D21AC">
        <w:tc>
          <w:tcPr>
            <w:tcW w:w="2855" w:type="dxa"/>
            <w:shd w:val="clear" w:color="auto" w:fill="auto"/>
          </w:tcPr>
          <w:p w14:paraId="4C4A4E25" w14:textId="77777777" w:rsidR="004D21AC" w:rsidRDefault="004D21AC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59A4C432" w14:textId="77777777" w:rsidR="004D21AC" w:rsidRDefault="004D21AC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Consultant prepares forecasts of Total Expenses at intervals no longer than </w:t>
            </w:r>
          </w:p>
        </w:tc>
        <w:tc>
          <w:tcPr>
            <w:tcW w:w="2806" w:type="dxa"/>
            <w:shd w:val="clear" w:color="auto" w:fill="auto"/>
          </w:tcPr>
          <w:p w14:paraId="2107A6E8" w14:textId="77777777" w:rsidR="004D21AC" w:rsidRPr="004042FC" w:rsidRDefault="003730EE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</w:tr>
      <w:tr w:rsidR="004A5A80" w:rsidRPr="002207ED" w14:paraId="6D420149" w14:textId="77777777" w:rsidTr="004D21AC">
        <w:tc>
          <w:tcPr>
            <w:tcW w:w="2855" w:type="dxa"/>
            <w:shd w:val="clear" w:color="auto" w:fill="auto"/>
          </w:tcPr>
          <w:p w14:paraId="759BB567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3 Time</w:t>
            </w:r>
          </w:p>
        </w:tc>
        <w:tc>
          <w:tcPr>
            <w:tcW w:w="2788" w:type="dxa"/>
            <w:shd w:val="clear" w:color="auto" w:fill="auto"/>
          </w:tcPr>
          <w:p w14:paraId="718B3869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Start date</w:t>
            </w:r>
          </w:p>
        </w:tc>
        <w:tc>
          <w:tcPr>
            <w:tcW w:w="2806" w:type="dxa"/>
            <w:shd w:val="clear" w:color="auto" w:fill="auto"/>
          </w:tcPr>
          <w:p w14:paraId="05000810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1</w:t>
            </w:r>
            <w:r w:rsidRPr="004042FC">
              <w:rPr>
                <w:rFonts w:cs="Arial"/>
                <w:b/>
                <w:vertAlign w:val="superscript"/>
              </w:rPr>
              <w:t>st</w:t>
            </w:r>
            <w:r w:rsidR="004B4DE4" w:rsidRPr="004042FC">
              <w:rPr>
                <w:rFonts w:cs="Arial"/>
                <w:b/>
              </w:rPr>
              <w:t xml:space="preserve"> October 201</w:t>
            </w:r>
            <w:r w:rsidR="007105DD">
              <w:rPr>
                <w:rFonts w:cs="Arial"/>
                <w:b/>
              </w:rPr>
              <w:t>9</w:t>
            </w:r>
          </w:p>
        </w:tc>
      </w:tr>
      <w:tr w:rsidR="004D21AC" w:rsidRPr="002207ED" w14:paraId="7C88F5E4" w14:textId="77777777" w:rsidTr="004D21AC">
        <w:tc>
          <w:tcPr>
            <w:tcW w:w="2855" w:type="dxa"/>
            <w:shd w:val="clear" w:color="auto" w:fill="auto"/>
          </w:tcPr>
          <w:p w14:paraId="1838458F" w14:textId="77777777" w:rsidR="004D21AC" w:rsidRPr="0047715D" w:rsidRDefault="004D21AC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41D13220" w14:textId="77777777" w:rsidR="004D21AC" w:rsidRPr="0047715D" w:rsidRDefault="006258F8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Client provides access to the following persons and places</w:t>
            </w:r>
          </w:p>
        </w:tc>
        <w:tc>
          <w:tcPr>
            <w:tcW w:w="2806" w:type="dxa"/>
            <w:shd w:val="clear" w:color="auto" w:fill="auto"/>
          </w:tcPr>
          <w:p w14:paraId="117CD1CA" w14:textId="77777777" w:rsidR="004D21AC" w:rsidRPr="004042FC" w:rsidRDefault="006258F8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 xml:space="preserve">Mechanical, Electrical and Energy Manager </w:t>
            </w:r>
          </w:p>
        </w:tc>
      </w:tr>
      <w:tr w:rsidR="004D21AC" w:rsidRPr="002207ED" w14:paraId="34878446" w14:textId="77777777" w:rsidTr="004D21AC">
        <w:tc>
          <w:tcPr>
            <w:tcW w:w="2855" w:type="dxa"/>
            <w:shd w:val="clear" w:color="auto" w:fill="auto"/>
          </w:tcPr>
          <w:p w14:paraId="2D4E1EEB" w14:textId="77777777" w:rsidR="004D21AC" w:rsidRPr="0047715D" w:rsidRDefault="004D21AC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2904F736" w14:textId="77777777" w:rsidR="004D21AC" w:rsidRPr="0047715D" w:rsidRDefault="006258F8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Consultant submits revised programmes at intervals no longer than </w:t>
            </w:r>
          </w:p>
        </w:tc>
        <w:tc>
          <w:tcPr>
            <w:tcW w:w="2806" w:type="dxa"/>
            <w:shd w:val="clear" w:color="auto" w:fill="auto"/>
          </w:tcPr>
          <w:p w14:paraId="3E8CA44A" w14:textId="77777777" w:rsidR="004D21AC" w:rsidRPr="004042FC" w:rsidRDefault="00BC5E42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Bi-Monthly</w:t>
            </w:r>
          </w:p>
        </w:tc>
      </w:tr>
      <w:tr w:rsidR="004D21AC" w:rsidRPr="002207ED" w14:paraId="2D390C85" w14:textId="77777777" w:rsidTr="004D21AC">
        <w:tc>
          <w:tcPr>
            <w:tcW w:w="2855" w:type="dxa"/>
            <w:shd w:val="clear" w:color="auto" w:fill="auto"/>
          </w:tcPr>
          <w:p w14:paraId="4DEA3FA8" w14:textId="77777777" w:rsidR="004D21AC" w:rsidRPr="0047715D" w:rsidRDefault="004D21AC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2E98DBC9" w14:textId="77777777" w:rsidR="004D21AC" w:rsidRPr="0047715D" w:rsidRDefault="006258F8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Completion date for the whole of the service </w:t>
            </w:r>
          </w:p>
        </w:tc>
        <w:tc>
          <w:tcPr>
            <w:tcW w:w="2806" w:type="dxa"/>
            <w:shd w:val="clear" w:color="auto" w:fill="auto"/>
          </w:tcPr>
          <w:p w14:paraId="393479FF" w14:textId="77777777" w:rsidR="004D21AC" w:rsidRPr="004042FC" w:rsidRDefault="00820B52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30</w:t>
            </w:r>
            <w:r w:rsidRPr="004042FC">
              <w:rPr>
                <w:rFonts w:cs="Arial"/>
                <w:b/>
                <w:vertAlign w:val="superscript"/>
              </w:rPr>
              <w:t>th</w:t>
            </w:r>
            <w:r w:rsidRPr="004042FC">
              <w:rPr>
                <w:rFonts w:cs="Arial"/>
                <w:b/>
              </w:rPr>
              <w:t xml:space="preserve"> October 2021 (with option to extend by 1 year)</w:t>
            </w:r>
          </w:p>
        </w:tc>
      </w:tr>
      <w:tr w:rsidR="004D21AC" w:rsidRPr="002207ED" w14:paraId="4864FD73" w14:textId="77777777" w:rsidTr="004D21AC">
        <w:tc>
          <w:tcPr>
            <w:tcW w:w="2855" w:type="dxa"/>
            <w:shd w:val="clear" w:color="auto" w:fill="auto"/>
          </w:tcPr>
          <w:p w14:paraId="00A21ED7" w14:textId="77777777" w:rsidR="004D21AC" w:rsidRPr="0047715D" w:rsidRDefault="004D21AC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6685CD62" w14:textId="77777777" w:rsidR="004D21AC" w:rsidRPr="0047715D" w:rsidRDefault="00820B52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Period after Contract Date within which the Consultant </w:t>
            </w:r>
            <w:r w:rsidR="00F52206">
              <w:rPr>
                <w:rFonts w:cs="Arial"/>
              </w:rPr>
              <w:t>is to submit first programme for acceptance is</w:t>
            </w:r>
          </w:p>
        </w:tc>
        <w:tc>
          <w:tcPr>
            <w:tcW w:w="2806" w:type="dxa"/>
            <w:shd w:val="clear" w:color="auto" w:fill="auto"/>
          </w:tcPr>
          <w:p w14:paraId="36251A0C" w14:textId="77777777" w:rsidR="004D21AC" w:rsidRPr="004042FC" w:rsidRDefault="009E6869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4 weeks</w:t>
            </w:r>
          </w:p>
        </w:tc>
      </w:tr>
      <w:tr w:rsidR="004A5A80" w:rsidRPr="002207ED" w14:paraId="112D3E9B" w14:textId="77777777" w:rsidTr="004D21AC">
        <w:tc>
          <w:tcPr>
            <w:tcW w:w="2855" w:type="dxa"/>
            <w:shd w:val="clear" w:color="auto" w:fill="auto"/>
          </w:tcPr>
          <w:p w14:paraId="655BFC5E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4 Quality</w:t>
            </w:r>
          </w:p>
        </w:tc>
        <w:tc>
          <w:tcPr>
            <w:tcW w:w="2788" w:type="dxa"/>
            <w:shd w:val="clear" w:color="auto" w:fill="auto"/>
          </w:tcPr>
          <w:p w14:paraId="14ED88F4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Statement and plan</w:t>
            </w:r>
          </w:p>
        </w:tc>
        <w:tc>
          <w:tcPr>
            <w:tcW w:w="2806" w:type="dxa"/>
            <w:shd w:val="clear" w:color="auto" w:fill="auto"/>
          </w:tcPr>
          <w:p w14:paraId="77ABB435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Four weeks</w:t>
            </w:r>
          </w:p>
        </w:tc>
      </w:tr>
      <w:tr w:rsidR="004A5A80" w:rsidRPr="002207ED" w14:paraId="65D12F27" w14:textId="77777777" w:rsidTr="004D21AC">
        <w:tc>
          <w:tcPr>
            <w:tcW w:w="2855" w:type="dxa"/>
            <w:shd w:val="clear" w:color="auto" w:fill="auto"/>
          </w:tcPr>
          <w:p w14:paraId="0FC782C6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73F09DD3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Defects date</w:t>
            </w:r>
          </w:p>
        </w:tc>
        <w:tc>
          <w:tcPr>
            <w:tcW w:w="2806" w:type="dxa"/>
            <w:shd w:val="clear" w:color="auto" w:fill="auto"/>
          </w:tcPr>
          <w:p w14:paraId="70E394D2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Six weeks</w:t>
            </w:r>
          </w:p>
        </w:tc>
      </w:tr>
      <w:tr w:rsidR="004A5A80" w:rsidRPr="002207ED" w14:paraId="75B3F415" w14:textId="77777777" w:rsidTr="004D21AC">
        <w:tc>
          <w:tcPr>
            <w:tcW w:w="2855" w:type="dxa"/>
            <w:shd w:val="clear" w:color="auto" w:fill="auto"/>
          </w:tcPr>
          <w:p w14:paraId="250AD68B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5 Payment</w:t>
            </w:r>
          </w:p>
        </w:tc>
        <w:tc>
          <w:tcPr>
            <w:tcW w:w="2788" w:type="dxa"/>
            <w:shd w:val="clear" w:color="auto" w:fill="auto"/>
          </w:tcPr>
          <w:p w14:paraId="2BD55123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Assessment interval is</w:t>
            </w:r>
          </w:p>
        </w:tc>
        <w:tc>
          <w:tcPr>
            <w:tcW w:w="2806" w:type="dxa"/>
            <w:shd w:val="clear" w:color="auto" w:fill="auto"/>
          </w:tcPr>
          <w:p w14:paraId="31967FDC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Twelve weeks</w:t>
            </w:r>
          </w:p>
        </w:tc>
      </w:tr>
      <w:tr w:rsidR="004A5A80" w:rsidRPr="002207ED" w14:paraId="14386E78" w14:textId="77777777" w:rsidTr="004D21AC">
        <w:tc>
          <w:tcPr>
            <w:tcW w:w="2855" w:type="dxa"/>
            <w:shd w:val="clear" w:color="auto" w:fill="auto"/>
          </w:tcPr>
          <w:p w14:paraId="13A7CFAE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27D6F80A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Currency</w:t>
            </w:r>
          </w:p>
        </w:tc>
        <w:tc>
          <w:tcPr>
            <w:tcW w:w="2806" w:type="dxa"/>
            <w:shd w:val="clear" w:color="auto" w:fill="auto"/>
          </w:tcPr>
          <w:p w14:paraId="7CF66973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Pounds Sterling</w:t>
            </w:r>
          </w:p>
        </w:tc>
      </w:tr>
      <w:tr w:rsidR="004A5A80" w:rsidRPr="002207ED" w14:paraId="22A4373D" w14:textId="77777777" w:rsidTr="004D21AC">
        <w:tc>
          <w:tcPr>
            <w:tcW w:w="2855" w:type="dxa"/>
            <w:shd w:val="clear" w:color="auto" w:fill="auto"/>
          </w:tcPr>
          <w:p w14:paraId="53F2B7A7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217C5524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Interest Rate</w:t>
            </w:r>
          </w:p>
        </w:tc>
        <w:tc>
          <w:tcPr>
            <w:tcW w:w="2806" w:type="dxa"/>
            <w:shd w:val="clear" w:color="auto" w:fill="auto"/>
          </w:tcPr>
          <w:p w14:paraId="39DB06E4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2%; Bank of England Base Rate</w:t>
            </w:r>
          </w:p>
        </w:tc>
      </w:tr>
      <w:tr w:rsidR="00F52206" w:rsidRPr="002207ED" w14:paraId="3FF7CAD0" w14:textId="77777777" w:rsidTr="004D21AC">
        <w:tc>
          <w:tcPr>
            <w:tcW w:w="2855" w:type="dxa"/>
            <w:shd w:val="clear" w:color="auto" w:fill="auto"/>
          </w:tcPr>
          <w:p w14:paraId="10E7F3E8" w14:textId="77777777" w:rsidR="00F52206" w:rsidRPr="0047715D" w:rsidRDefault="00F52206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2D84CF78" w14:textId="77777777" w:rsidR="00F52206" w:rsidRPr="0047715D" w:rsidRDefault="00F52206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Period within which payments are made is </w:t>
            </w:r>
          </w:p>
        </w:tc>
        <w:tc>
          <w:tcPr>
            <w:tcW w:w="2806" w:type="dxa"/>
            <w:shd w:val="clear" w:color="auto" w:fill="auto"/>
          </w:tcPr>
          <w:p w14:paraId="5B17ED4F" w14:textId="77777777" w:rsidR="00F52206" w:rsidRPr="004042FC" w:rsidRDefault="00F52206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30 days</w:t>
            </w:r>
          </w:p>
        </w:tc>
      </w:tr>
      <w:tr w:rsidR="005B5FBB" w:rsidRPr="002207ED" w14:paraId="62A4ABA2" w14:textId="77777777" w:rsidTr="004D21AC">
        <w:tc>
          <w:tcPr>
            <w:tcW w:w="2855" w:type="dxa"/>
            <w:shd w:val="clear" w:color="auto" w:fill="auto"/>
          </w:tcPr>
          <w:p w14:paraId="202C629C" w14:textId="77777777" w:rsidR="005B5FBB" w:rsidRPr="0047715D" w:rsidRDefault="005B5FBB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6 Compensation Events </w:t>
            </w:r>
          </w:p>
        </w:tc>
        <w:tc>
          <w:tcPr>
            <w:tcW w:w="2788" w:type="dxa"/>
            <w:shd w:val="clear" w:color="auto" w:fill="auto"/>
          </w:tcPr>
          <w:p w14:paraId="61CFB45D" w14:textId="77777777" w:rsidR="005B5FBB" w:rsidRDefault="005B5FBB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78474EBD" w14:textId="77777777" w:rsidR="005B5FBB" w:rsidRPr="004042FC" w:rsidRDefault="005B5FBB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4A5A80" w:rsidRPr="002207ED" w14:paraId="201236C7" w14:textId="77777777" w:rsidTr="004D21AC">
        <w:tc>
          <w:tcPr>
            <w:tcW w:w="2855" w:type="dxa"/>
            <w:shd w:val="clear" w:color="auto" w:fill="auto"/>
          </w:tcPr>
          <w:p w14:paraId="6259532C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8 Indemnity, insurance and liability</w:t>
            </w:r>
          </w:p>
        </w:tc>
        <w:tc>
          <w:tcPr>
            <w:tcW w:w="2788" w:type="dxa"/>
            <w:shd w:val="clear" w:color="auto" w:fill="auto"/>
          </w:tcPr>
          <w:p w14:paraId="17D8995A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Skill and care</w:t>
            </w:r>
          </w:p>
        </w:tc>
        <w:tc>
          <w:tcPr>
            <w:tcW w:w="2806" w:type="dxa"/>
            <w:shd w:val="clear" w:color="auto" w:fill="auto"/>
          </w:tcPr>
          <w:p w14:paraId="6B7FC76B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  <w:highlight w:val="yellow"/>
              </w:rPr>
            </w:pPr>
            <w:r w:rsidRPr="004042FC">
              <w:rPr>
                <w:rFonts w:cs="Arial"/>
                <w:b/>
              </w:rPr>
              <w:t>£1m</w:t>
            </w:r>
          </w:p>
        </w:tc>
      </w:tr>
      <w:tr w:rsidR="004A5A80" w:rsidRPr="002207ED" w14:paraId="635B65AC" w14:textId="77777777" w:rsidTr="004D21AC">
        <w:tc>
          <w:tcPr>
            <w:tcW w:w="2855" w:type="dxa"/>
            <w:shd w:val="clear" w:color="auto" w:fill="auto"/>
          </w:tcPr>
          <w:p w14:paraId="75CC4123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37EBDB8B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Death or injury of non-employee or loss of damage to property</w:t>
            </w:r>
          </w:p>
        </w:tc>
        <w:tc>
          <w:tcPr>
            <w:tcW w:w="2806" w:type="dxa"/>
            <w:shd w:val="clear" w:color="auto" w:fill="auto"/>
          </w:tcPr>
          <w:p w14:paraId="6E5238D6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£5m</w:t>
            </w:r>
          </w:p>
        </w:tc>
      </w:tr>
      <w:tr w:rsidR="004A5A80" w:rsidRPr="002207ED" w14:paraId="799ED7A3" w14:textId="77777777" w:rsidTr="004D21AC">
        <w:tc>
          <w:tcPr>
            <w:tcW w:w="2855" w:type="dxa"/>
            <w:shd w:val="clear" w:color="auto" w:fill="auto"/>
          </w:tcPr>
          <w:p w14:paraId="4458621B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0DB891DC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Death or injury of employee</w:t>
            </w:r>
          </w:p>
        </w:tc>
        <w:tc>
          <w:tcPr>
            <w:tcW w:w="2806" w:type="dxa"/>
            <w:shd w:val="clear" w:color="auto" w:fill="auto"/>
          </w:tcPr>
          <w:p w14:paraId="7CC0558C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£5m</w:t>
            </w:r>
          </w:p>
        </w:tc>
      </w:tr>
      <w:tr w:rsidR="004A5A80" w:rsidRPr="002207ED" w14:paraId="46C52EE1" w14:textId="77777777" w:rsidTr="004D21AC">
        <w:tc>
          <w:tcPr>
            <w:tcW w:w="2855" w:type="dxa"/>
            <w:shd w:val="clear" w:color="auto" w:fill="auto"/>
          </w:tcPr>
          <w:p w14:paraId="5DC38B1D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31BCBDF7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Following insurances</w:t>
            </w:r>
          </w:p>
        </w:tc>
        <w:tc>
          <w:tcPr>
            <w:tcW w:w="2806" w:type="dxa"/>
            <w:shd w:val="clear" w:color="auto" w:fill="auto"/>
          </w:tcPr>
          <w:p w14:paraId="30D06BD2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As set out in the Invitation to Tender and the contractor’s submission</w:t>
            </w:r>
          </w:p>
        </w:tc>
      </w:tr>
      <w:tr w:rsidR="004A5A80" w:rsidRPr="002207ED" w14:paraId="43DC7492" w14:textId="77777777" w:rsidTr="004D21AC">
        <w:tc>
          <w:tcPr>
            <w:tcW w:w="2855" w:type="dxa"/>
            <w:shd w:val="clear" w:color="auto" w:fill="auto"/>
          </w:tcPr>
          <w:p w14:paraId="15A4548B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5C4C1410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Total liability limit</w:t>
            </w:r>
          </w:p>
        </w:tc>
        <w:tc>
          <w:tcPr>
            <w:tcW w:w="2806" w:type="dxa"/>
            <w:shd w:val="clear" w:color="auto" w:fill="auto"/>
          </w:tcPr>
          <w:p w14:paraId="6DAA9329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Not Used</w:t>
            </w:r>
          </w:p>
        </w:tc>
      </w:tr>
      <w:tr w:rsidR="005B5FBB" w:rsidRPr="002207ED" w14:paraId="0D64E473" w14:textId="77777777" w:rsidTr="004D21AC">
        <w:tc>
          <w:tcPr>
            <w:tcW w:w="2855" w:type="dxa"/>
            <w:shd w:val="clear" w:color="auto" w:fill="auto"/>
          </w:tcPr>
          <w:p w14:paraId="7B70D56F" w14:textId="77777777" w:rsidR="005B5FBB" w:rsidRPr="0047715D" w:rsidRDefault="005B5FBB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Resolving and Avoiding Disputes</w:t>
            </w:r>
          </w:p>
        </w:tc>
        <w:tc>
          <w:tcPr>
            <w:tcW w:w="2788" w:type="dxa"/>
            <w:shd w:val="clear" w:color="auto" w:fill="auto"/>
          </w:tcPr>
          <w:p w14:paraId="32B8FFB5" w14:textId="77777777" w:rsidR="005B5FBB" w:rsidRPr="0047715D" w:rsidRDefault="005B5FBB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Tribunal</w:t>
            </w:r>
          </w:p>
        </w:tc>
        <w:tc>
          <w:tcPr>
            <w:tcW w:w="2806" w:type="dxa"/>
            <w:shd w:val="clear" w:color="auto" w:fill="auto"/>
          </w:tcPr>
          <w:p w14:paraId="7E368A4F" w14:textId="77777777" w:rsidR="005B5FBB" w:rsidRPr="004042FC" w:rsidRDefault="005B5FBB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>Arbitration</w:t>
            </w:r>
          </w:p>
        </w:tc>
      </w:tr>
      <w:tr w:rsidR="00143E75" w:rsidRPr="002207ED" w14:paraId="73632FEB" w14:textId="77777777" w:rsidTr="004D21AC">
        <w:tc>
          <w:tcPr>
            <w:tcW w:w="2855" w:type="dxa"/>
            <w:shd w:val="clear" w:color="auto" w:fill="auto"/>
          </w:tcPr>
          <w:p w14:paraId="729CCB0B" w14:textId="77777777" w:rsidR="00143E75" w:rsidRDefault="00143E75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042658D7" w14:textId="77777777" w:rsidR="00143E75" w:rsidRPr="0047715D" w:rsidRDefault="00DA3B3B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Arbitration procedure is</w:t>
            </w:r>
          </w:p>
        </w:tc>
        <w:tc>
          <w:tcPr>
            <w:tcW w:w="2806" w:type="dxa"/>
            <w:shd w:val="clear" w:color="auto" w:fill="auto"/>
          </w:tcPr>
          <w:p w14:paraId="4E2ADCB0" w14:textId="77777777" w:rsidR="005137ED" w:rsidRPr="004042FC" w:rsidRDefault="005137ED" w:rsidP="005137ED">
            <w:pPr>
              <w:spacing w:after="160" w:line="259" w:lineRule="auto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4042FC">
              <w:rPr>
                <w:rFonts w:eastAsiaTheme="minorHAnsi" w:cs="Arial"/>
                <w:b/>
                <w:sz w:val="22"/>
                <w:szCs w:val="22"/>
                <w:lang w:eastAsia="en-US"/>
              </w:rPr>
              <w:t>the latest version of the Institution of Civil Engineers arbitration Procedure or any amendment or modification to it in force when the arbitrator is appointed</w:t>
            </w:r>
          </w:p>
          <w:p w14:paraId="5D6128B2" w14:textId="77777777" w:rsidR="00143E75" w:rsidRPr="004042FC" w:rsidRDefault="00143E75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DA3B3B" w:rsidRPr="002207ED" w14:paraId="63E04396" w14:textId="77777777" w:rsidTr="004D21AC">
        <w:tc>
          <w:tcPr>
            <w:tcW w:w="2855" w:type="dxa"/>
            <w:shd w:val="clear" w:color="auto" w:fill="auto"/>
          </w:tcPr>
          <w:p w14:paraId="3F3242DB" w14:textId="77777777" w:rsidR="00DA3B3B" w:rsidRDefault="00DA3B3B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063BA866" w14:textId="77777777" w:rsidR="00DA3B3B" w:rsidRDefault="00DA3B3B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Place where Arbitration is to be held</w:t>
            </w:r>
          </w:p>
        </w:tc>
        <w:tc>
          <w:tcPr>
            <w:tcW w:w="2806" w:type="dxa"/>
            <w:shd w:val="clear" w:color="auto" w:fill="auto"/>
          </w:tcPr>
          <w:p w14:paraId="39B8068E" w14:textId="77777777" w:rsidR="00DA3B3B" w:rsidRPr="004042FC" w:rsidRDefault="005137ED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4042FC">
              <w:rPr>
                <w:rFonts w:cs="Arial"/>
                <w:b/>
              </w:rPr>
              <w:t xml:space="preserve">To be decided by the Arbitrator </w:t>
            </w:r>
          </w:p>
        </w:tc>
      </w:tr>
      <w:tr w:rsidR="00DA3B3B" w:rsidRPr="002207ED" w14:paraId="08523DB3" w14:textId="77777777" w:rsidTr="004D21AC">
        <w:tc>
          <w:tcPr>
            <w:tcW w:w="2855" w:type="dxa"/>
            <w:shd w:val="clear" w:color="auto" w:fill="auto"/>
          </w:tcPr>
          <w:p w14:paraId="2D8DAEB4" w14:textId="77777777" w:rsidR="00DA3B3B" w:rsidRDefault="00DA3B3B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2F7407BB" w14:textId="77777777" w:rsidR="00DA3B3B" w:rsidRDefault="00DA3B3B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Person or Organisation who will choose an Arbitrator if the Parties cannot agree </w:t>
            </w:r>
          </w:p>
        </w:tc>
        <w:tc>
          <w:tcPr>
            <w:tcW w:w="2806" w:type="dxa"/>
            <w:shd w:val="clear" w:color="auto" w:fill="auto"/>
          </w:tcPr>
          <w:p w14:paraId="115970B2" w14:textId="77777777" w:rsidR="00827C9F" w:rsidRPr="004042FC" w:rsidRDefault="005137ED" w:rsidP="005137ED">
            <w:pPr>
              <w:spacing w:after="160" w:line="259" w:lineRule="auto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4042FC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Nominated by the President of the Royal </w:t>
            </w:r>
            <w:r w:rsidR="00827C9F">
              <w:rPr>
                <w:rFonts w:eastAsiaTheme="minorHAnsi" w:cs="Arial"/>
                <w:b/>
                <w:sz w:val="22"/>
                <w:szCs w:val="22"/>
                <w:lang w:eastAsia="en-US"/>
              </w:rPr>
              <w:t>Institute of Chartered Surveyor</w:t>
            </w:r>
          </w:p>
          <w:p w14:paraId="2F451563" w14:textId="77777777" w:rsidR="00DA3B3B" w:rsidRPr="004042FC" w:rsidRDefault="00DA3B3B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DA3B3B" w:rsidRPr="002207ED" w14:paraId="4094A1C9" w14:textId="77777777" w:rsidTr="004D21AC">
        <w:tc>
          <w:tcPr>
            <w:tcW w:w="2855" w:type="dxa"/>
            <w:shd w:val="clear" w:color="auto" w:fill="auto"/>
          </w:tcPr>
          <w:p w14:paraId="5615C17C" w14:textId="77777777" w:rsidR="00DA3B3B" w:rsidRDefault="00DA3B3B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1BAC9A80" w14:textId="77777777" w:rsidR="00DA3B3B" w:rsidRDefault="00DA3B3B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Senior Representative of the Client is</w:t>
            </w:r>
          </w:p>
        </w:tc>
        <w:tc>
          <w:tcPr>
            <w:tcW w:w="2806" w:type="dxa"/>
            <w:shd w:val="clear" w:color="auto" w:fill="auto"/>
          </w:tcPr>
          <w:p w14:paraId="47AFDBEB" w14:textId="77777777" w:rsidR="00DA3B3B" w:rsidRPr="004042FC" w:rsidRDefault="00DA3B3B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DA3B3B" w:rsidRPr="002207ED" w14:paraId="57B36C08" w14:textId="77777777" w:rsidTr="004D21AC">
        <w:tc>
          <w:tcPr>
            <w:tcW w:w="2855" w:type="dxa"/>
            <w:shd w:val="clear" w:color="auto" w:fill="auto"/>
          </w:tcPr>
          <w:p w14:paraId="210F6693" w14:textId="77777777" w:rsidR="00DA3B3B" w:rsidRDefault="00DA3B3B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788" w:type="dxa"/>
            <w:shd w:val="clear" w:color="auto" w:fill="auto"/>
          </w:tcPr>
          <w:p w14:paraId="66DEE4F9" w14:textId="77777777" w:rsidR="00DA3B3B" w:rsidRDefault="00DA3B3B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Adjudicator is</w:t>
            </w:r>
          </w:p>
        </w:tc>
        <w:tc>
          <w:tcPr>
            <w:tcW w:w="2806" w:type="dxa"/>
            <w:shd w:val="clear" w:color="auto" w:fill="auto"/>
          </w:tcPr>
          <w:p w14:paraId="100320EB" w14:textId="77777777" w:rsidR="005137ED" w:rsidRPr="004042FC" w:rsidRDefault="005137ED" w:rsidP="005137ED">
            <w:pPr>
              <w:spacing w:after="160" w:line="259" w:lineRule="auto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4042FC">
              <w:rPr>
                <w:rFonts w:eastAsiaTheme="minorHAnsi" w:cs="Arial"/>
                <w:b/>
                <w:sz w:val="22"/>
                <w:szCs w:val="22"/>
                <w:lang w:eastAsia="en-US"/>
              </w:rPr>
              <w:t>the Royal Institute of Chartered Surveyors</w:t>
            </w:r>
          </w:p>
          <w:p w14:paraId="63127F88" w14:textId="77777777" w:rsidR="00DA3B3B" w:rsidRPr="004042FC" w:rsidRDefault="00DA3B3B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AA44C2" w:rsidRPr="002207ED" w14:paraId="4353FC34" w14:textId="77777777" w:rsidTr="004D21AC">
        <w:tc>
          <w:tcPr>
            <w:tcW w:w="2855" w:type="dxa"/>
            <w:shd w:val="clear" w:color="auto" w:fill="auto"/>
          </w:tcPr>
          <w:p w14:paraId="76F32525" w14:textId="5A985836" w:rsidR="00AA44C2" w:rsidRDefault="00AA44C2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If option X </w:t>
            </w:r>
            <w:proofErr w:type="gramStart"/>
            <w:r>
              <w:rPr>
                <w:rFonts w:cs="Arial"/>
              </w:rPr>
              <w:t>2  is</w:t>
            </w:r>
            <w:proofErr w:type="gramEnd"/>
            <w:r>
              <w:rPr>
                <w:rFonts w:cs="Arial"/>
              </w:rPr>
              <w:t xml:space="preserve"> used</w:t>
            </w:r>
          </w:p>
        </w:tc>
        <w:tc>
          <w:tcPr>
            <w:tcW w:w="2788" w:type="dxa"/>
            <w:shd w:val="clear" w:color="auto" w:fill="auto"/>
          </w:tcPr>
          <w:p w14:paraId="68E4FA2C" w14:textId="0B23EF1A" w:rsidR="00AA44C2" w:rsidRDefault="00AA44C2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The law of the project is</w:t>
            </w:r>
          </w:p>
        </w:tc>
        <w:tc>
          <w:tcPr>
            <w:tcW w:w="2806" w:type="dxa"/>
            <w:shd w:val="clear" w:color="auto" w:fill="auto"/>
          </w:tcPr>
          <w:p w14:paraId="335E4A45" w14:textId="61773A04" w:rsidR="00AA44C2" w:rsidRPr="004042FC" w:rsidRDefault="00AA44C2" w:rsidP="005137ED">
            <w:pPr>
              <w:spacing w:after="160" w:line="259" w:lineRule="auto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The law of England</w:t>
            </w:r>
          </w:p>
        </w:tc>
      </w:tr>
      <w:tr w:rsidR="004A5A80" w:rsidRPr="002207ED" w14:paraId="77AA6506" w14:textId="77777777" w:rsidTr="004D21AC">
        <w:tc>
          <w:tcPr>
            <w:tcW w:w="2855" w:type="dxa"/>
            <w:shd w:val="clear" w:color="auto" w:fill="auto"/>
          </w:tcPr>
          <w:p w14:paraId="194450C4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Part 2 Data provided by the consultant</w:t>
            </w:r>
          </w:p>
        </w:tc>
        <w:tc>
          <w:tcPr>
            <w:tcW w:w="2788" w:type="dxa"/>
            <w:shd w:val="clear" w:color="auto" w:fill="auto"/>
          </w:tcPr>
          <w:p w14:paraId="6CDB2B38" w14:textId="77777777" w:rsidR="004A5A80" w:rsidRPr="0047715D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2F15F024" w14:textId="77777777" w:rsidR="004A5A80" w:rsidRPr="004042FC" w:rsidRDefault="004A5A80" w:rsidP="00DD78AB">
            <w:pPr>
              <w:pStyle w:val="Body"/>
              <w:numPr>
                <w:ilvl w:val="0"/>
                <w:numId w:val="0"/>
              </w:numPr>
              <w:rPr>
                <w:rFonts w:cs="Arial"/>
                <w:b/>
                <w:i/>
              </w:rPr>
            </w:pPr>
            <w:r w:rsidRPr="004042FC">
              <w:rPr>
                <w:rFonts w:cs="Arial"/>
                <w:b/>
                <w:i/>
              </w:rPr>
              <w:t>Anticipated September</w:t>
            </w:r>
            <w:r w:rsidR="004B4DE4" w:rsidRPr="004042FC">
              <w:rPr>
                <w:rFonts w:cs="Arial"/>
                <w:b/>
                <w:i/>
              </w:rPr>
              <w:t>/ October 2018</w:t>
            </w:r>
          </w:p>
        </w:tc>
      </w:tr>
    </w:tbl>
    <w:p w14:paraId="5EF2901D" w14:textId="77777777" w:rsidR="005137ED" w:rsidRDefault="005137ED" w:rsidP="00827C9F">
      <w:pPr>
        <w:pStyle w:val="Body"/>
        <w:numPr>
          <w:ilvl w:val="0"/>
          <w:numId w:val="0"/>
        </w:numPr>
        <w:rPr>
          <w:rFonts w:cs="Arial"/>
        </w:rPr>
      </w:pPr>
    </w:p>
    <w:p w14:paraId="1A8F88F8" w14:textId="77777777" w:rsidR="004A5A80" w:rsidRDefault="004A5A80" w:rsidP="004A5A80">
      <w:pPr>
        <w:pStyle w:val="Body"/>
        <w:numPr>
          <w:ilvl w:val="1"/>
          <w:numId w:val="2"/>
        </w:numPr>
        <w:ind w:left="567" w:hanging="567"/>
        <w:rPr>
          <w:rFonts w:cs="Arial"/>
        </w:rPr>
      </w:pPr>
    </w:p>
    <w:p w14:paraId="0F86632B" w14:textId="77777777" w:rsidR="004A5A80" w:rsidRDefault="004A5A80" w:rsidP="004A5A80">
      <w:pPr>
        <w:pStyle w:val="Body"/>
        <w:numPr>
          <w:ilvl w:val="1"/>
          <w:numId w:val="2"/>
        </w:numPr>
        <w:ind w:left="567" w:hanging="567"/>
        <w:rPr>
          <w:rFonts w:cs="Arial"/>
        </w:rPr>
      </w:pPr>
    </w:p>
    <w:p w14:paraId="319730A1" w14:textId="77777777" w:rsidR="004A5A80" w:rsidRPr="002207ED" w:rsidRDefault="004A5A80" w:rsidP="004A5A80">
      <w:pPr>
        <w:pStyle w:val="Body"/>
        <w:numPr>
          <w:ilvl w:val="1"/>
          <w:numId w:val="2"/>
        </w:numPr>
        <w:ind w:left="567" w:hanging="567"/>
        <w:rPr>
          <w:rFonts w:cs="Arial"/>
        </w:rPr>
      </w:pPr>
      <w:r w:rsidRPr="002207ED">
        <w:rPr>
          <w:rFonts w:cs="Arial"/>
        </w:rPr>
        <w:t xml:space="preserve">The Main Option Clause will be </w:t>
      </w:r>
      <w:r w:rsidRPr="007D6548">
        <w:rPr>
          <w:rFonts w:cs="Arial"/>
          <w:b/>
        </w:rPr>
        <w:t>OPTION A</w:t>
      </w:r>
      <w:r w:rsidRPr="002207ED">
        <w:rPr>
          <w:rFonts w:cs="Arial"/>
        </w:rPr>
        <w:t>: Priced contract with activity schedule.</w:t>
      </w:r>
    </w:p>
    <w:p w14:paraId="10315952" w14:textId="77777777" w:rsidR="004A5A80" w:rsidRPr="002207ED" w:rsidRDefault="004A5A80" w:rsidP="004A5A80">
      <w:pPr>
        <w:pStyle w:val="ListParagraph"/>
        <w:rPr>
          <w:rFonts w:cs="Arial"/>
          <w:sz w:val="22"/>
          <w:szCs w:val="22"/>
        </w:rPr>
      </w:pPr>
    </w:p>
    <w:p w14:paraId="503C678B" w14:textId="77777777" w:rsidR="004A5A80" w:rsidRDefault="004A5A80" w:rsidP="004A5A80">
      <w:pPr>
        <w:pStyle w:val="Body"/>
        <w:numPr>
          <w:ilvl w:val="1"/>
          <w:numId w:val="2"/>
        </w:numPr>
        <w:ind w:left="567" w:hanging="567"/>
        <w:rPr>
          <w:rFonts w:cs="Arial"/>
        </w:rPr>
      </w:pPr>
      <w:r w:rsidRPr="002207ED">
        <w:rPr>
          <w:rFonts w:cs="Arial"/>
        </w:rPr>
        <w:t>Secondary clauses will or will not apply as follows:</w:t>
      </w:r>
    </w:p>
    <w:p w14:paraId="385D27A6" w14:textId="77777777" w:rsidR="004A5A80" w:rsidRPr="002207ED" w:rsidRDefault="004A5A80" w:rsidP="004A5A80">
      <w:pPr>
        <w:pStyle w:val="Body"/>
        <w:numPr>
          <w:ilvl w:val="1"/>
          <w:numId w:val="2"/>
        </w:numPr>
        <w:ind w:left="567" w:hanging="567"/>
        <w:rPr>
          <w:rFonts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088"/>
      </w:tblGrid>
      <w:tr w:rsidR="004A5A80" w:rsidRPr="002207ED" w14:paraId="0B9BC103" w14:textId="77777777" w:rsidTr="00930C07">
        <w:tc>
          <w:tcPr>
            <w:tcW w:w="4208" w:type="dxa"/>
            <w:shd w:val="clear" w:color="auto" w:fill="auto"/>
          </w:tcPr>
          <w:p w14:paraId="68C6D136" w14:textId="77777777" w:rsidR="004A5A80" w:rsidRPr="002207ED" w:rsidRDefault="004A5A80" w:rsidP="00DD78A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Option</w:t>
            </w:r>
          </w:p>
        </w:tc>
        <w:tc>
          <w:tcPr>
            <w:tcW w:w="4088" w:type="dxa"/>
            <w:shd w:val="clear" w:color="auto" w:fill="auto"/>
          </w:tcPr>
          <w:p w14:paraId="2E54F084" w14:textId="77777777" w:rsidR="004A5A80" w:rsidRPr="002207ED" w:rsidRDefault="004A5A80" w:rsidP="00DD78A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4A5A80" w:rsidRPr="002207ED" w14:paraId="57A9BF38" w14:textId="77777777" w:rsidTr="00930C07">
        <w:tc>
          <w:tcPr>
            <w:tcW w:w="4208" w:type="dxa"/>
            <w:shd w:val="clear" w:color="auto" w:fill="auto"/>
          </w:tcPr>
          <w:p w14:paraId="71484762" w14:textId="77777777" w:rsidR="004A5A80" w:rsidRPr="007D6548" w:rsidRDefault="004A5A80" w:rsidP="00DD78AB">
            <w:pPr>
              <w:pStyle w:val="ListParagraph"/>
              <w:ind w:left="0"/>
              <w:rPr>
                <w:rFonts w:cs="Arial"/>
                <w:b/>
                <w:sz w:val="22"/>
                <w:szCs w:val="22"/>
              </w:rPr>
            </w:pPr>
            <w:r w:rsidRPr="007D6548">
              <w:rPr>
                <w:rFonts w:cs="Arial"/>
                <w:b/>
                <w:sz w:val="22"/>
                <w:szCs w:val="22"/>
              </w:rPr>
              <w:t>W1 Dispute Resolution</w:t>
            </w:r>
          </w:p>
        </w:tc>
        <w:tc>
          <w:tcPr>
            <w:tcW w:w="4088" w:type="dxa"/>
            <w:shd w:val="clear" w:color="auto" w:fill="auto"/>
          </w:tcPr>
          <w:p w14:paraId="7CE77CC0" w14:textId="77777777" w:rsidR="004A5A80" w:rsidRPr="0047715D" w:rsidRDefault="004A5A80" w:rsidP="00DD78AB">
            <w:pPr>
              <w:pStyle w:val="Bodylevel3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Used</w:t>
            </w:r>
          </w:p>
        </w:tc>
      </w:tr>
      <w:tr w:rsidR="004A5A80" w:rsidRPr="002207ED" w14:paraId="6A610C90" w14:textId="77777777" w:rsidTr="00930C07">
        <w:tc>
          <w:tcPr>
            <w:tcW w:w="4208" w:type="dxa"/>
            <w:shd w:val="clear" w:color="auto" w:fill="auto"/>
          </w:tcPr>
          <w:p w14:paraId="2619AFB9" w14:textId="77777777" w:rsidR="004A5A80" w:rsidRPr="002207ED" w:rsidRDefault="004A5A80" w:rsidP="00DD78A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X1 Inflationary clauses</w:t>
            </w:r>
          </w:p>
        </w:tc>
        <w:tc>
          <w:tcPr>
            <w:tcW w:w="4088" w:type="dxa"/>
            <w:shd w:val="clear" w:color="auto" w:fill="auto"/>
          </w:tcPr>
          <w:p w14:paraId="427700A8" w14:textId="77777777" w:rsidR="004A5A80" w:rsidRPr="0047715D" w:rsidRDefault="004A5A80" w:rsidP="00DD78AB">
            <w:pPr>
              <w:pStyle w:val="Bodylevel3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>Not Used</w:t>
            </w:r>
          </w:p>
        </w:tc>
      </w:tr>
      <w:tr w:rsidR="004A5A80" w:rsidRPr="002207ED" w14:paraId="4FE5655D" w14:textId="77777777" w:rsidTr="00930C07">
        <w:tc>
          <w:tcPr>
            <w:tcW w:w="4208" w:type="dxa"/>
            <w:shd w:val="clear" w:color="auto" w:fill="auto"/>
          </w:tcPr>
          <w:p w14:paraId="282BE0DB" w14:textId="77777777" w:rsidR="004A5A80" w:rsidRPr="007D6548" w:rsidRDefault="004A5A80" w:rsidP="00DD78AB">
            <w:pPr>
              <w:pStyle w:val="ListParagraph"/>
              <w:ind w:left="0"/>
              <w:rPr>
                <w:rFonts w:cs="Arial"/>
                <w:b/>
                <w:sz w:val="22"/>
                <w:szCs w:val="22"/>
              </w:rPr>
            </w:pPr>
            <w:r w:rsidRPr="007D6548">
              <w:rPr>
                <w:rFonts w:cs="Arial"/>
                <w:b/>
                <w:sz w:val="22"/>
                <w:szCs w:val="22"/>
              </w:rPr>
              <w:t>X2 Changes in the law</w:t>
            </w:r>
          </w:p>
        </w:tc>
        <w:tc>
          <w:tcPr>
            <w:tcW w:w="4088" w:type="dxa"/>
            <w:shd w:val="clear" w:color="auto" w:fill="auto"/>
          </w:tcPr>
          <w:p w14:paraId="365E04A8" w14:textId="77777777" w:rsidR="004A5A80" w:rsidRPr="002207ED" w:rsidRDefault="004A5A80" w:rsidP="00DD78A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 xml:space="preserve">Used </w:t>
            </w:r>
          </w:p>
        </w:tc>
      </w:tr>
      <w:tr w:rsidR="004A5A80" w:rsidRPr="002207ED" w14:paraId="34E5EFC3" w14:textId="77777777" w:rsidTr="00930C07">
        <w:tc>
          <w:tcPr>
            <w:tcW w:w="4208" w:type="dxa"/>
            <w:shd w:val="clear" w:color="auto" w:fill="auto"/>
          </w:tcPr>
          <w:p w14:paraId="2E6E93CD" w14:textId="77777777" w:rsidR="004A5A80" w:rsidRPr="002207ED" w:rsidRDefault="004A5A80" w:rsidP="00DD78A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X3 Multiple currencies</w:t>
            </w:r>
          </w:p>
        </w:tc>
        <w:tc>
          <w:tcPr>
            <w:tcW w:w="4088" w:type="dxa"/>
            <w:shd w:val="clear" w:color="auto" w:fill="auto"/>
          </w:tcPr>
          <w:p w14:paraId="6328F257" w14:textId="77777777" w:rsidR="004A5A80" w:rsidRPr="0047715D" w:rsidRDefault="004A5A80" w:rsidP="00DD78AB">
            <w:pPr>
              <w:pStyle w:val="Bodylevel3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 xml:space="preserve">Not Used </w:t>
            </w:r>
          </w:p>
        </w:tc>
      </w:tr>
      <w:tr w:rsidR="004A5A80" w:rsidRPr="002207ED" w14:paraId="7AA8CBC4" w14:textId="77777777" w:rsidTr="00930C07">
        <w:tc>
          <w:tcPr>
            <w:tcW w:w="4208" w:type="dxa"/>
            <w:shd w:val="clear" w:color="auto" w:fill="auto"/>
          </w:tcPr>
          <w:p w14:paraId="742BE4DA" w14:textId="77777777" w:rsidR="004A5A80" w:rsidRPr="00A4456E" w:rsidRDefault="00CE688C" w:rsidP="00DD78A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X4 Ultimate Holding Guarantee</w:t>
            </w:r>
          </w:p>
        </w:tc>
        <w:tc>
          <w:tcPr>
            <w:tcW w:w="4088" w:type="dxa"/>
            <w:shd w:val="clear" w:color="auto" w:fill="auto"/>
          </w:tcPr>
          <w:p w14:paraId="52F7774E" w14:textId="77777777" w:rsidR="004A5A80" w:rsidRPr="002207ED" w:rsidRDefault="00A4456E" w:rsidP="00DD78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Not Used</w:t>
            </w:r>
          </w:p>
        </w:tc>
      </w:tr>
      <w:tr w:rsidR="004A5A80" w:rsidRPr="002207ED" w14:paraId="57DC8F10" w14:textId="77777777" w:rsidTr="00930C07">
        <w:tc>
          <w:tcPr>
            <w:tcW w:w="4208" w:type="dxa"/>
            <w:shd w:val="clear" w:color="auto" w:fill="auto"/>
          </w:tcPr>
          <w:p w14:paraId="389E15A4" w14:textId="77777777" w:rsidR="004A5A80" w:rsidRPr="002207ED" w:rsidRDefault="004A5A80" w:rsidP="00DD78A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X5 Sectional Completion</w:t>
            </w:r>
          </w:p>
        </w:tc>
        <w:tc>
          <w:tcPr>
            <w:tcW w:w="4088" w:type="dxa"/>
            <w:shd w:val="clear" w:color="auto" w:fill="auto"/>
          </w:tcPr>
          <w:p w14:paraId="23B0FCBC" w14:textId="77777777" w:rsidR="004A5A80" w:rsidRPr="0047715D" w:rsidRDefault="004A5A80" w:rsidP="00DD78AB">
            <w:pPr>
              <w:pStyle w:val="Bodylevel3"/>
              <w:numPr>
                <w:ilvl w:val="0"/>
                <w:numId w:val="0"/>
              </w:numPr>
              <w:rPr>
                <w:rFonts w:cs="Arial"/>
              </w:rPr>
            </w:pPr>
            <w:r w:rsidRPr="0047715D">
              <w:rPr>
                <w:rFonts w:cs="Arial"/>
              </w:rPr>
              <w:t xml:space="preserve">Not Used </w:t>
            </w:r>
          </w:p>
        </w:tc>
      </w:tr>
      <w:tr w:rsidR="004A5A80" w:rsidRPr="002207ED" w14:paraId="6F4795F8" w14:textId="77777777" w:rsidTr="00930C07">
        <w:tc>
          <w:tcPr>
            <w:tcW w:w="4208" w:type="dxa"/>
            <w:shd w:val="clear" w:color="auto" w:fill="auto"/>
          </w:tcPr>
          <w:p w14:paraId="43693FB0" w14:textId="77777777" w:rsidR="004A5A80" w:rsidRPr="002207ED" w:rsidRDefault="004A5A80" w:rsidP="00DD78A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X6 Bonus for Completion</w:t>
            </w:r>
          </w:p>
        </w:tc>
        <w:tc>
          <w:tcPr>
            <w:tcW w:w="4088" w:type="dxa"/>
            <w:shd w:val="clear" w:color="auto" w:fill="auto"/>
          </w:tcPr>
          <w:p w14:paraId="37BD2BD7" w14:textId="77777777" w:rsidR="004A5A80" w:rsidRPr="002207ED" w:rsidRDefault="004A5A80" w:rsidP="00DD78AB">
            <w:pPr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Not Used</w:t>
            </w:r>
          </w:p>
        </w:tc>
      </w:tr>
      <w:tr w:rsidR="004A5A80" w:rsidRPr="002207ED" w14:paraId="10FBB713" w14:textId="77777777" w:rsidTr="00930C07">
        <w:tc>
          <w:tcPr>
            <w:tcW w:w="4208" w:type="dxa"/>
            <w:shd w:val="clear" w:color="auto" w:fill="auto"/>
          </w:tcPr>
          <w:p w14:paraId="28513425" w14:textId="77777777" w:rsidR="004A5A80" w:rsidRPr="002207ED" w:rsidRDefault="004A5A80" w:rsidP="00DD78A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X7 Delay damages</w:t>
            </w:r>
          </w:p>
        </w:tc>
        <w:tc>
          <w:tcPr>
            <w:tcW w:w="4088" w:type="dxa"/>
            <w:shd w:val="clear" w:color="auto" w:fill="auto"/>
          </w:tcPr>
          <w:p w14:paraId="4E4A3C64" w14:textId="77777777" w:rsidR="004A5A80" w:rsidRPr="002207ED" w:rsidRDefault="004A5A80" w:rsidP="00DD78AB">
            <w:pPr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Not Used</w:t>
            </w:r>
          </w:p>
        </w:tc>
      </w:tr>
      <w:tr w:rsidR="004A5A80" w:rsidRPr="002207ED" w14:paraId="07656704" w14:textId="77777777" w:rsidTr="00930C07">
        <w:tc>
          <w:tcPr>
            <w:tcW w:w="4208" w:type="dxa"/>
            <w:shd w:val="clear" w:color="auto" w:fill="auto"/>
          </w:tcPr>
          <w:p w14:paraId="23AB1937" w14:textId="77777777" w:rsidR="004A5A80" w:rsidRPr="002207ED" w:rsidRDefault="004A5A80" w:rsidP="00DD78A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X8 Collateral warranty agreements</w:t>
            </w:r>
          </w:p>
        </w:tc>
        <w:tc>
          <w:tcPr>
            <w:tcW w:w="4088" w:type="dxa"/>
            <w:shd w:val="clear" w:color="auto" w:fill="auto"/>
          </w:tcPr>
          <w:p w14:paraId="75F30721" w14:textId="77777777" w:rsidR="004A5A80" w:rsidRPr="002207ED" w:rsidRDefault="004A5A80" w:rsidP="00DD78AB">
            <w:pPr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Not Used</w:t>
            </w:r>
          </w:p>
        </w:tc>
      </w:tr>
      <w:tr w:rsidR="004A5A80" w:rsidRPr="002207ED" w14:paraId="5E63A36D" w14:textId="77777777" w:rsidTr="00930C07">
        <w:tc>
          <w:tcPr>
            <w:tcW w:w="4208" w:type="dxa"/>
            <w:shd w:val="clear" w:color="auto" w:fill="auto"/>
          </w:tcPr>
          <w:p w14:paraId="582DB8D4" w14:textId="77777777" w:rsidR="004A5A80" w:rsidRPr="007D6548" w:rsidRDefault="004A5A80" w:rsidP="00DD78AB">
            <w:pPr>
              <w:pStyle w:val="ListParagraph"/>
              <w:ind w:left="0"/>
              <w:rPr>
                <w:rFonts w:cs="Arial"/>
                <w:b/>
                <w:sz w:val="22"/>
                <w:szCs w:val="22"/>
              </w:rPr>
            </w:pPr>
            <w:r w:rsidRPr="007D6548">
              <w:rPr>
                <w:rFonts w:cs="Arial"/>
                <w:b/>
                <w:sz w:val="22"/>
                <w:szCs w:val="22"/>
              </w:rPr>
              <w:t>X9 Transfer of rights</w:t>
            </w:r>
          </w:p>
        </w:tc>
        <w:tc>
          <w:tcPr>
            <w:tcW w:w="4088" w:type="dxa"/>
            <w:shd w:val="clear" w:color="auto" w:fill="auto"/>
          </w:tcPr>
          <w:p w14:paraId="6D187594" w14:textId="77777777" w:rsidR="004A5A80" w:rsidRPr="002207ED" w:rsidRDefault="004A5A80" w:rsidP="00DD78AB">
            <w:pPr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 xml:space="preserve">Used </w:t>
            </w:r>
          </w:p>
        </w:tc>
      </w:tr>
      <w:tr w:rsidR="004A5A80" w:rsidRPr="002207ED" w14:paraId="5797911B" w14:textId="77777777" w:rsidTr="00930C07">
        <w:tc>
          <w:tcPr>
            <w:tcW w:w="4208" w:type="dxa"/>
            <w:shd w:val="clear" w:color="auto" w:fill="auto"/>
          </w:tcPr>
          <w:p w14:paraId="2F8185C2" w14:textId="77777777" w:rsidR="004A5A80" w:rsidRPr="002207ED" w:rsidRDefault="00CE688C" w:rsidP="00DD78A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X10 Information Modelling</w:t>
            </w:r>
          </w:p>
        </w:tc>
        <w:tc>
          <w:tcPr>
            <w:tcW w:w="4088" w:type="dxa"/>
            <w:shd w:val="clear" w:color="auto" w:fill="auto"/>
          </w:tcPr>
          <w:p w14:paraId="16F5324E" w14:textId="77777777" w:rsidR="004A5A80" w:rsidRPr="002207ED" w:rsidRDefault="004A5A80" w:rsidP="00DD78AB">
            <w:pPr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Not Used</w:t>
            </w:r>
          </w:p>
        </w:tc>
      </w:tr>
      <w:tr w:rsidR="004A5A80" w:rsidRPr="002207ED" w14:paraId="267B49A9" w14:textId="77777777" w:rsidTr="00930C07">
        <w:tc>
          <w:tcPr>
            <w:tcW w:w="4208" w:type="dxa"/>
            <w:shd w:val="clear" w:color="auto" w:fill="auto"/>
          </w:tcPr>
          <w:p w14:paraId="6CA6B08B" w14:textId="77777777" w:rsidR="004A5A80" w:rsidRPr="007D6548" w:rsidRDefault="00CE688C" w:rsidP="00DD78AB">
            <w:pPr>
              <w:pStyle w:val="ListParagraph"/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X11 Termination by the Client</w:t>
            </w:r>
          </w:p>
        </w:tc>
        <w:tc>
          <w:tcPr>
            <w:tcW w:w="4088" w:type="dxa"/>
            <w:shd w:val="clear" w:color="auto" w:fill="auto"/>
          </w:tcPr>
          <w:p w14:paraId="51CFA860" w14:textId="77777777" w:rsidR="004A5A80" w:rsidRPr="002207ED" w:rsidRDefault="004A5A80" w:rsidP="00DD78AB">
            <w:pPr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Used</w:t>
            </w:r>
          </w:p>
        </w:tc>
      </w:tr>
      <w:tr w:rsidR="004A5A80" w:rsidRPr="002207ED" w14:paraId="73748F73" w14:textId="77777777" w:rsidTr="00930C07">
        <w:tc>
          <w:tcPr>
            <w:tcW w:w="4208" w:type="dxa"/>
            <w:shd w:val="clear" w:color="auto" w:fill="auto"/>
          </w:tcPr>
          <w:p w14:paraId="62C5A99D" w14:textId="77777777" w:rsidR="004A5A80" w:rsidRPr="008D5589" w:rsidRDefault="00CE688C" w:rsidP="00DD78A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8D5589">
              <w:rPr>
                <w:rFonts w:cs="Arial"/>
                <w:sz w:val="22"/>
                <w:szCs w:val="22"/>
              </w:rPr>
              <w:t>X12 Multi-party collaboration</w:t>
            </w:r>
          </w:p>
        </w:tc>
        <w:tc>
          <w:tcPr>
            <w:tcW w:w="4088" w:type="dxa"/>
            <w:shd w:val="clear" w:color="auto" w:fill="auto"/>
          </w:tcPr>
          <w:p w14:paraId="74C6388E" w14:textId="6EA40635" w:rsidR="004A5A80" w:rsidRPr="002207ED" w:rsidRDefault="008D5589" w:rsidP="00DD78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Not Used</w:t>
            </w:r>
          </w:p>
        </w:tc>
      </w:tr>
      <w:tr w:rsidR="004A5A80" w:rsidRPr="002207ED" w14:paraId="7F15281A" w14:textId="77777777" w:rsidTr="00930C07">
        <w:tc>
          <w:tcPr>
            <w:tcW w:w="4208" w:type="dxa"/>
            <w:shd w:val="clear" w:color="auto" w:fill="auto"/>
          </w:tcPr>
          <w:p w14:paraId="59B03652" w14:textId="77777777" w:rsidR="004A5A80" w:rsidRPr="002207ED" w:rsidRDefault="004A5A80" w:rsidP="00DD78A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X13 Performance Bond</w:t>
            </w:r>
          </w:p>
        </w:tc>
        <w:tc>
          <w:tcPr>
            <w:tcW w:w="4088" w:type="dxa"/>
            <w:shd w:val="clear" w:color="auto" w:fill="auto"/>
          </w:tcPr>
          <w:p w14:paraId="5820D841" w14:textId="77777777" w:rsidR="004A5A80" w:rsidRPr="002207ED" w:rsidRDefault="004A5A80" w:rsidP="00DD78AB">
            <w:pPr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Not Used</w:t>
            </w:r>
          </w:p>
        </w:tc>
      </w:tr>
      <w:tr w:rsidR="004A5A80" w:rsidRPr="002207ED" w14:paraId="2F5B1B73" w14:textId="77777777" w:rsidTr="00930C07">
        <w:tc>
          <w:tcPr>
            <w:tcW w:w="4208" w:type="dxa"/>
            <w:shd w:val="clear" w:color="auto" w:fill="auto"/>
          </w:tcPr>
          <w:p w14:paraId="69B05C43" w14:textId="77777777" w:rsidR="004A5A80" w:rsidRPr="002207ED" w:rsidRDefault="004A5A80" w:rsidP="00DD78A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X18 Limitation of Liability</w:t>
            </w:r>
          </w:p>
        </w:tc>
        <w:tc>
          <w:tcPr>
            <w:tcW w:w="4088" w:type="dxa"/>
            <w:shd w:val="clear" w:color="auto" w:fill="auto"/>
          </w:tcPr>
          <w:p w14:paraId="2DD0690E" w14:textId="77777777" w:rsidR="004A5A80" w:rsidRPr="002207ED" w:rsidRDefault="004A5A80" w:rsidP="00DD78AB">
            <w:pPr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Not Used</w:t>
            </w:r>
          </w:p>
        </w:tc>
      </w:tr>
      <w:tr w:rsidR="004A5A80" w:rsidRPr="002207ED" w14:paraId="5CFF94C2" w14:textId="77777777" w:rsidTr="00930C07">
        <w:tc>
          <w:tcPr>
            <w:tcW w:w="4208" w:type="dxa"/>
            <w:shd w:val="clear" w:color="auto" w:fill="auto"/>
          </w:tcPr>
          <w:p w14:paraId="5538CAB1" w14:textId="77777777" w:rsidR="004A5A80" w:rsidRPr="002207ED" w:rsidRDefault="004A5A80" w:rsidP="00DD78A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X20 Key Performance Indicators</w:t>
            </w:r>
          </w:p>
        </w:tc>
        <w:tc>
          <w:tcPr>
            <w:tcW w:w="4088" w:type="dxa"/>
            <w:shd w:val="clear" w:color="auto" w:fill="auto"/>
          </w:tcPr>
          <w:p w14:paraId="7EC4BFD0" w14:textId="77777777" w:rsidR="004A5A80" w:rsidRPr="002207ED" w:rsidRDefault="004A5A80" w:rsidP="00DD78AB">
            <w:pPr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Not Used</w:t>
            </w:r>
          </w:p>
        </w:tc>
      </w:tr>
      <w:tr w:rsidR="004A5A80" w:rsidRPr="002207ED" w14:paraId="205F9F8B" w14:textId="77777777" w:rsidTr="00930C07">
        <w:tc>
          <w:tcPr>
            <w:tcW w:w="4208" w:type="dxa"/>
            <w:shd w:val="clear" w:color="auto" w:fill="auto"/>
          </w:tcPr>
          <w:p w14:paraId="53FABC9A" w14:textId="77777777" w:rsidR="004A5A80" w:rsidRPr="002207ED" w:rsidRDefault="00A878B1" w:rsidP="00DD78A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National Legislation</w:t>
            </w:r>
          </w:p>
        </w:tc>
        <w:tc>
          <w:tcPr>
            <w:tcW w:w="4088" w:type="dxa"/>
            <w:shd w:val="clear" w:color="auto" w:fill="auto"/>
          </w:tcPr>
          <w:p w14:paraId="55224FE3" w14:textId="77777777" w:rsidR="004A5A80" w:rsidRPr="002207ED" w:rsidRDefault="004A5A80" w:rsidP="00DD78AB">
            <w:pPr>
              <w:rPr>
                <w:rFonts w:cs="Arial"/>
                <w:sz w:val="22"/>
                <w:szCs w:val="22"/>
              </w:rPr>
            </w:pPr>
            <w:r w:rsidRPr="002207ED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>t</w:t>
            </w:r>
            <w:r w:rsidRPr="002207ED">
              <w:rPr>
                <w:rFonts w:cs="Arial"/>
                <w:sz w:val="22"/>
                <w:szCs w:val="22"/>
              </w:rPr>
              <w:t xml:space="preserve"> Used</w:t>
            </w:r>
          </w:p>
        </w:tc>
      </w:tr>
      <w:tr w:rsidR="007E7608" w:rsidRPr="002207ED" w14:paraId="7F7D88A5" w14:textId="77777777" w:rsidTr="00930C07">
        <w:trPr>
          <w:trHeight w:val="70"/>
        </w:trPr>
        <w:tc>
          <w:tcPr>
            <w:tcW w:w="4208" w:type="dxa"/>
            <w:shd w:val="clear" w:color="auto" w:fill="auto"/>
          </w:tcPr>
          <w:p w14:paraId="0F785670" w14:textId="77777777" w:rsidR="007E7608" w:rsidRPr="00930C07" w:rsidRDefault="007E7608" w:rsidP="00DD78AB">
            <w:pPr>
              <w:pStyle w:val="ListParagraph"/>
              <w:ind w:left="0"/>
              <w:rPr>
                <w:rFonts w:cs="Arial"/>
                <w:b/>
                <w:sz w:val="22"/>
                <w:szCs w:val="22"/>
              </w:rPr>
            </w:pPr>
            <w:r w:rsidRPr="00930C07">
              <w:rPr>
                <w:rFonts w:cs="Arial"/>
                <w:b/>
                <w:sz w:val="22"/>
                <w:szCs w:val="22"/>
              </w:rPr>
              <w:t xml:space="preserve">Z Clauses </w:t>
            </w:r>
          </w:p>
        </w:tc>
        <w:tc>
          <w:tcPr>
            <w:tcW w:w="4088" w:type="dxa"/>
            <w:shd w:val="clear" w:color="auto" w:fill="auto"/>
          </w:tcPr>
          <w:p w14:paraId="1698D058" w14:textId="258F15DE" w:rsidR="00B67804" w:rsidRPr="00930C07" w:rsidRDefault="007E7608" w:rsidP="00DD78AB">
            <w:pPr>
              <w:rPr>
                <w:rFonts w:cs="Arial"/>
                <w:sz w:val="22"/>
                <w:szCs w:val="22"/>
              </w:rPr>
            </w:pPr>
            <w:r w:rsidRPr="00930C07">
              <w:rPr>
                <w:rFonts w:cs="Arial"/>
                <w:sz w:val="22"/>
                <w:szCs w:val="22"/>
              </w:rPr>
              <w:t>Used</w:t>
            </w:r>
          </w:p>
        </w:tc>
      </w:tr>
    </w:tbl>
    <w:p w14:paraId="29867FD1" w14:textId="77777777" w:rsidR="00930C07" w:rsidRDefault="00930C07" w:rsidP="00930C07">
      <w:pPr>
        <w:jc w:val="center"/>
        <w:rPr>
          <w:b/>
        </w:rPr>
      </w:pPr>
    </w:p>
    <w:p w14:paraId="30142574" w14:textId="77777777" w:rsidR="00930C07" w:rsidRDefault="00930C07" w:rsidP="00930C07">
      <w:pPr>
        <w:jc w:val="center"/>
        <w:rPr>
          <w:b/>
        </w:rPr>
      </w:pPr>
    </w:p>
    <w:p w14:paraId="2AF557A9" w14:textId="77777777" w:rsidR="00930C07" w:rsidRDefault="00930C07" w:rsidP="00930C07">
      <w:pPr>
        <w:jc w:val="center"/>
        <w:rPr>
          <w:b/>
        </w:rPr>
      </w:pPr>
    </w:p>
    <w:p w14:paraId="6553B06D" w14:textId="77777777" w:rsidR="00930C07" w:rsidRDefault="00930C07" w:rsidP="00930C07">
      <w:pPr>
        <w:jc w:val="center"/>
        <w:rPr>
          <w:b/>
        </w:rPr>
      </w:pPr>
    </w:p>
    <w:p w14:paraId="757B8DA3" w14:textId="77777777" w:rsidR="00930C07" w:rsidRDefault="00930C07" w:rsidP="00930C07">
      <w:pPr>
        <w:jc w:val="center"/>
        <w:rPr>
          <w:b/>
        </w:rPr>
      </w:pPr>
    </w:p>
    <w:p w14:paraId="2A40F3C3" w14:textId="77777777" w:rsidR="00930C07" w:rsidRDefault="00930C07" w:rsidP="00930C07">
      <w:pPr>
        <w:jc w:val="center"/>
        <w:rPr>
          <w:b/>
        </w:rPr>
      </w:pPr>
    </w:p>
    <w:p w14:paraId="207693F4" w14:textId="77777777" w:rsidR="00930C07" w:rsidRDefault="00930C07" w:rsidP="00930C07">
      <w:pPr>
        <w:jc w:val="center"/>
        <w:rPr>
          <w:b/>
        </w:rPr>
      </w:pPr>
    </w:p>
    <w:p w14:paraId="01F440F6" w14:textId="77777777" w:rsidR="00930C07" w:rsidRDefault="00930C07" w:rsidP="00930C07">
      <w:pPr>
        <w:jc w:val="center"/>
        <w:rPr>
          <w:b/>
        </w:rPr>
      </w:pPr>
    </w:p>
    <w:p w14:paraId="72B777C0" w14:textId="77777777" w:rsidR="00930C07" w:rsidRDefault="00930C07" w:rsidP="00930C07">
      <w:pPr>
        <w:jc w:val="center"/>
        <w:rPr>
          <w:b/>
        </w:rPr>
      </w:pPr>
    </w:p>
    <w:p w14:paraId="7B2AD2E8" w14:textId="77777777" w:rsidR="00930C07" w:rsidRDefault="00930C07" w:rsidP="00930C07">
      <w:pPr>
        <w:jc w:val="center"/>
        <w:rPr>
          <w:b/>
        </w:rPr>
      </w:pPr>
    </w:p>
    <w:p w14:paraId="1282597D" w14:textId="77777777" w:rsidR="00930C07" w:rsidRDefault="00930C07" w:rsidP="00930C07">
      <w:pPr>
        <w:jc w:val="center"/>
        <w:rPr>
          <w:b/>
        </w:rPr>
      </w:pPr>
    </w:p>
    <w:p w14:paraId="4CB83917" w14:textId="77777777" w:rsidR="00930C07" w:rsidRDefault="00930C07" w:rsidP="00930C07">
      <w:pPr>
        <w:jc w:val="center"/>
        <w:rPr>
          <w:b/>
        </w:rPr>
      </w:pPr>
    </w:p>
    <w:p w14:paraId="22F2F677" w14:textId="77777777" w:rsidR="00930C07" w:rsidRDefault="00930C07" w:rsidP="00930C07">
      <w:pPr>
        <w:jc w:val="center"/>
        <w:rPr>
          <w:b/>
        </w:rPr>
      </w:pPr>
    </w:p>
    <w:p w14:paraId="5A2384A7" w14:textId="77777777" w:rsidR="00930C07" w:rsidRDefault="00930C07" w:rsidP="00930C07">
      <w:pPr>
        <w:jc w:val="center"/>
        <w:rPr>
          <w:b/>
        </w:rPr>
      </w:pPr>
    </w:p>
    <w:p w14:paraId="15CBFF1C" w14:textId="77777777" w:rsidR="00930C07" w:rsidRDefault="00930C07" w:rsidP="00930C07">
      <w:pPr>
        <w:jc w:val="center"/>
        <w:rPr>
          <w:b/>
        </w:rPr>
      </w:pPr>
    </w:p>
    <w:p w14:paraId="6F559034" w14:textId="77777777" w:rsidR="00930C07" w:rsidRDefault="00930C07" w:rsidP="00930C07">
      <w:pPr>
        <w:jc w:val="center"/>
        <w:rPr>
          <w:b/>
        </w:rPr>
      </w:pPr>
    </w:p>
    <w:p w14:paraId="092AC857" w14:textId="77777777" w:rsidR="00930C07" w:rsidRDefault="00930C07" w:rsidP="00930C07">
      <w:pPr>
        <w:jc w:val="center"/>
        <w:rPr>
          <w:b/>
        </w:rPr>
      </w:pPr>
    </w:p>
    <w:p w14:paraId="459CC977" w14:textId="77777777" w:rsidR="00930C07" w:rsidRDefault="00930C07" w:rsidP="00930C07">
      <w:pPr>
        <w:jc w:val="center"/>
        <w:rPr>
          <w:b/>
        </w:rPr>
      </w:pPr>
    </w:p>
    <w:p w14:paraId="38669B4A" w14:textId="77777777" w:rsidR="00930C07" w:rsidRDefault="00930C07" w:rsidP="00973B9A">
      <w:pPr>
        <w:rPr>
          <w:b/>
        </w:rPr>
      </w:pPr>
      <w:bookmarkStart w:id="0" w:name="_GoBack"/>
      <w:bookmarkEnd w:id="0"/>
    </w:p>
    <w:sectPr w:rsidR="00930C0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5CB4A" w14:textId="77777777" w:rsidR="00DD78AB" w:rsidRDefault="00DD78AB" w:rsidP="00CF7AF9">
      <w:r>
        <w:separator/>
      </w:r>
    </w:p>
  </w:endnote>
  <w:endnote w:type="continuationSeparator" w:id="0">
    <w:p w14:paraId="557BE602" w14:textId="77777777" w:rsidR="00DD78AB" w:rsidRDefault="00DD78AB" w:rsidP="00CF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8A945" w14:textId="77777777" w:rsidR="00DD78AB" w:rsidRDefault="00DD78AB" w:rsidP="00CF7AF9">
      <w:r>
        <w:separator/>
      </w:r>
    </w:p>
  </w:footnote>
  <w:footnote w:type="continuationSeparator" w:id="0">
    <w:p w14:paraId="4278E92B" w14:textId="77777777" w:rsidR="00DD78AB" w:rsidRDefault="00DD78AB" w:rsidP="00CF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AFB94" w14:textId="0AD9CC19" w:rsidR="00DD78AB" w:rsidRDefault="00DD78AB">
    <w:pPr>
      <w:pStyle w:val="Header"/>
    </w:pPr>
    <w:r>
      <w:t>Appendix B- Draft Terms and Conditions</w:t>
    </w:r>
  </w:p>
  <w:p w14:paraId="5D236D58" w14:textId="77777777" w:rsidR="00DD78AB" w:rsidRDefault="00DD7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EAC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466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085683"/>
    <w:multiLevelType w:val="multilevel"/>
    <w:tmpl w:val="DA44172C"/>
    <w:lvl w:ilvl="0">
      <w:start w:val="10"/>
      <w:numFmt w:val="decimal"/>
      <w:pStyle w:val="02-Level1-BB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pStyle w:val="02-Level2-BB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02-Level3-BB"/>
      <w:lvlText w:val="%1.%2.%3"/>
      <w:lvlJc w:val="left"/>
      <w:pPr>
        <w:tabs>
          <w:tab w:val="num" w:pos="2495"/>
        </w:tabs>
        <w:ind w:left="2495" w:hanging="1055"/>
      </w:pPr>
      <w:rPr>
        <w:rFonts w:hint="default"/>
        <w:b w:val="0"/>
        <w:i w:val="0"/>
      </w:rPr>
    </w:lvl>
    <w:lvl w:ilvl="3">
      <w:start w:val="1"/>
      <w:numFmt w:val="lowerLetter"/>
      <w:pStyle w:val="02-Level4-BB"/>
      <w:lvlText w:val="(%4)"/>
      <w:lvlJc w:val="left"/>
      <w:pPr>
        <w:tabs>
          <w:tab w:val="num" w:pos="3215"/>
        </w:tabs>
        <w:ind w:left="3215" w:hanging="720"/>
      </w:pPr>
      <w:rPr>
        <w:rFonts w:hint="default"/>
        <w:b w:val="0"/>
        <w:i w:val="0"/>
        <w:color w:val="0000FF"/>
      </w:rPr>
    </w:lvl>
    <w:lvl w:ilvl="4">
      <w:start w:val="1"/>
      <w:numFmt w:val="lowerRoman"/>
      <w:pStyle w:val="02-Level5-BB"/>
      <w:lvlText w:val=" (%5)"/>
      <w:lvlJc w:val="left"/>
      <w:pPr>
        <w:tabs>
          <w:tab w:val="num" w:pos="4295"/>
        </w:tabs>
        <w:ind w:left="4009" w:hanging="794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0BD10D14"/>
    <w:multiLevelType w:val="hybridMultilevel"/>
    <w:tmpl w:val="B4D251E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B7D38C1"/>
    <w:multiLevelType w:val="hybridMultilevel"/>
    <w:tmpl w:val="F5BE3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B56D0"/>
    <w:multiLevelType w:val="hybridMultilevel"/>
    <w:tmpl w:val="45E6E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5EAA"/>
    <w:multiLevelType w:val="multilevel"/>
    <w:tmpl w:val="F6D0535A"/>
    <w:lvl w:ilvl="0">
      <w:start w:val="1"/>
      <w:numFmt w:val="decimal"/>
      <w:pStyle w:val="Heading1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"/>
      <w:lvlText w:val="%1.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9C6117"/>
    <w:multiLevelType w:val="hybridMultilevel"/>
    <w:tmpl w:val="1AE041F8"/>
    <w:lvl w:ilvl="0" w:tplc="54D25794">
      <w:start w:val="1"/>
      <w:numFmt w:val="bullet"/>
      <w:pStyle w:val="Bodylevel3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8" w15:restartNumberingAfterBreak="0">
    <w:nsid w:val="31D27607"/>
    <w:multiLevelType w:val="multilevel"/>
    <w:tmpl w:val="3D683810"/>
    <w:name w:val="FirstScheduleScheme"/>
    <w:lvl w:ilvl="0">
      <w:start w:val="1"/>
      <w:numFmt w:val="decimal"/>
      <w:pStyle w:val="01-ScheduleHeading"/>
      <w:suff w:val="nothing"/>
      <w:lvlText w:val="Schedule %1"/>
      <w:lvlJc w:val="left"/>
      <w:rPr>
        <w:rFonts w:cs="Times New Roman" w:hint="default"/>
      </w:rPr>
    </w:lvl>
    <w:lvl w:ilvl="1">
      <w:start w:val="1"/>
      <w:numFmt w:val="upperRoman"/>
      <w:pStyle w:val="01-SchedulePartHeading"/>
      <w:suff w:val="nothing"/>
      <w:lvlText w:val="Part %2"/>
      <w:lvlJc w:val="left"/>
      <w:rPr>
        <w:rFonts w:cs="Times New Roman" w:hint="default"/>
      </w:rPr>
    </w:lvl>
    <w:lvl w:ilvl="2">
      <w:start w:val="1"/>
      <w:numFmt w:val="decimal"/>
      <w:pStyle w:val="01-S-Level1-BB"/>
      <w:lvlText w:val="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01-S-Level2-BB"/>
      <w:lvlText w:val="%3.%4"/>
      <w:lvlJc w:val="left"/>
      <w:pPr>
        <w:tabs>
          <w:tab w:val="num" w:pos="1713"/>
        </w:tabs>
        <w:ind w:left="1713" w:hanging="720"/>
      </w:pPr>
      <w:rPr>
        <w:rFonts w:cs="Times New Roman" w:hint="default"/>
        <w:b/>
      </w:rPr>
    </w:lvl>
    <w:lvl w:ilvl="4">
      <w:start w:val="1"/>
      <w:numFmt w:val="decimal"/>
      <w:pStyle w:val="01-S-Level3-BB"/>
      <w:lvlText w:val="%3.%4.%5"/>
      <w:lvlJc w:val="left"/>
      <w:pPr>
        <w:tabs>
          <w:tab w:val="num" w:pos="2575"/>
        </w:tabs>
        <w:ind w:left="2575" w:hanging="1440"/>
      </w:pPr>
      <w:rPr>
        <w:rFonts w:cs="Times New Roman" w:hint="default"/>
      </w:rPr>
    </w:lvl>
    <w:lvl w:ilvl="5">
      <w:start w:val="1"/>
      <w:numFmt w:val="decimal"/>
      <w:pStyle w:val="01-S-Level4-BB"/>
      <w:lvlText w:val="%3.%4.%5.%6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6">
      <w:start w:val="1"/>
      <w:numFmt w:val="decimal"/>
      <w:pStyle w:val="01-S-Level5-BB"/>
      <w:lvlText w:val="%3.%4.%5.%6.%7"/>
      <w:lvlJc w:val="left"/>
      <w:pPr>
        <w:tabs>
          <w:tab w:val="num" w:pos="3142"/>
        </w:tabs>
        <w:ind w:left="3142" w:hanging="14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" w15:restartNumberingAfterBreak="0">
    <w:nsid w:val="3777213F"/>
    <w:multiLevelType w:val="multilevel"/>
    <w:tmpl w:val="709A5650"/>
    <w:lvl w:ilvl="0">
      <w:start w:val="1"/>
      <w:numFmt w:val="decimal"/>
      <w:lvlRestart w:val="0"/>
      <w:pStyle w:val="AgtLevel1Heading"/>
      <w:isLgl/>
      <w:lvlText w:val="%1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decimal"/>
      <w:pStyle w:val="AgtLevel2"/>
      <w:isLgl/>
      <w:lvlText w:val="%1.%2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lowerLetter"/>
      <w:pStyle w:val="AgtLeve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lowerRoman"/>
      <w:pStyle w:val="AgtLevel4"/>
      <w:lvlText w:val="(%4)"/>
      <w:lvlJc w:val="left"/>
      <w:pPr>
        <w:tabs>
          <w:tab w:val="num" w:pos="2520"/>
        </w:tabs>
        <w:ind w:left="216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upperLetter"/>
      <w:pStyle w:val="AgtLevel5"/>
      <w:lvlText w:val="(%5)"/>
      <w:lvlJc w:val="left"/>
      <w:pPr>
        <w:tabs>
          <w:tab w:val="num" w:pos="2989"/>
        </w:tabs>
        <w:ind w:left="2989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decimal"/>
      <w:pStyle w:val="AgtLevel6"/>
      <w:lvlText w:val="%6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6">
      <w:start w:val="1"/>
      <w:numFmt w:val="lowerLetter"/>
      <w:pStyle w:val="AgtLevel7"/>
      <w:lvlText w:val="%7)"/>
      <w:lvlJc w:val="left"/>
      <w:pPr>
        <w:tabs>
          <w:tab w:val="num" w:pos="4320"/>
        </w:tabs>
        <w:ind w:left="4320" w:hanging="720"/>
      </w:pPr>
      <w:rPr>
        <w:rFonts w:ascii="Lucida Sans Unicode" w:hAnsi="Lucida Sans Unicode" w:hint="default"/>
        <w:b w:val="0"/>
        <w:i w:val="0"/>
        <w:sz w:val="18"/>
      </w:rPr>
    </w:lvl>
    <w:lvl w:ilvl="7">
      <w:start w:val="1"/>
      <w:numFmt w:val="lowerRoman"/>
      <w:pStyle w:val="AgtLevel8"/>
      <w:lvlText w:val="%8)"/>
      <w:lvlJc w:val="left"/>
      <w:pPr>
        <w:tabs>
          <w:tab w:val="num" w:pos="5040"/>
        </w:tabs>
        <w:ind w:left="5040" w:hanging="720"/>
      </w:pPr>
      <w:rPr>
        <w:rFonts w:ascii="Lucida Sans Unicode" w:hAnsi="Lucida Sans Unicode" w:hint="default"/>
        <w:b w:val="0"/>
        <w:i w:val="0"/>
        <w:sz w:val="18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10" w15:restartNumberingAfterBreak="0">
    <w:nsid w:val="3A185EB9"/>
    <w:multiLevelType w:val="hybridMultilevel"/>
    <w:tmpl w:val="267A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342F"/>
    <w:multiLevelType w:val="multilevel"/>
    <w:tmpl w:val="1BA045A2"/>
    <w:lvl w:ilvl="0">
      <w:start w:val="1"/>
      <w:numFmt w:val="decimal"/>
      <w:lvlText w:val="SECTION %1"/>
      <w:lvlJc w:val="left"/>
      <w:rPr>
        <w:rFonts w:hint="default"/>
      </w:rPr>
    </w:lvl>
    <w:lvl w:ilvl="1">
      <w:numFmt w:val="decimal"/>
      <w:lvlText w:val=""/>
      <w:lvlJc w:val="left"/>
    </w:lvl>
    <w:lvl w:ilvl="2">
      <w:start w:val="1"/>
      <w:numFmt w:val="lowerLetter"/>
      <w:pStyle w:val="Bodylevel2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9A3742"/>
    <w:multiLevelType w:val="multilevel"/>
    <w:tmpl w:val="B934ADF8"/>
    <w:lvl w:ilvl="0">
      <w:start w:val="1"/>
      <w:numFmt w:val="decimal"/>
      <w:pStyle w:val="BB-Level1Leg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1">
      <w:start w:val="1"/>
      <w:numFmt w:val="decimal"/>
      <w:pStyle w:val="BB-Level2Legal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B-Level3Legal"/>
      <w:lvlText w:val="%1.%2.%3"/>
      <w:lvlJc w:val="left"/>
      <w:pPr>
        <w:tabs>
          <w:tab w:val="num" w:pos="1701"/>
        </w:tabs>
        <w:ind w:left="1701" w:hanging="981"/>
      </w:pPr>
      <w:rPr>
        <w:rFonts w:ascii="Arial" w:hAnsi="Arial" w:hint="default"/>
        <w:sz w:val="20"/>
      </w:rPr>
    </w:lvl>
    <w:lvl w:ilvl="3">
      <w:start w:val="1"/>
      <w:numFmt w:val="lowerLetter"/>
      <w:pStyle w:val="BB-Level4Leg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BB-Level5Leg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A9422E4"/>
    <w:multiLevelType w:val="hybridMultilevel"/>
    <w:tmpl w:val="9D52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53C4"/>
    <w:multiLevelType w:val="hybridMultilevel"/>
    <w:tmpl w:val="E1DE88E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7ABC49B8"/>
    <w:multiLevelType w:val="hybridMultilevel"/>
    <w:tmpl w:val="B9C8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279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4"/>
  </w:num>
  <w:num w:numId="8">
    <w:abstractNumId w:val="13"/>
  </w:num>
  <w:num w:numId="9">
    <w:abstractNumId w:val="5"/>
  </w:num>
  <w:num w:numId="10">
    <w:abstractNumId w:val="15"/>
  </w:num>
  <w:num w:numId="11">
    <w:abstractNumId w:val="3"/>
  </w:num>
  <w:num w:numId="12">
    <w:abstractNumId w:val="0"/>
  </w:num>
  <w:num w:numId="13">
    <w:abstractNumId w:val="9"/>
  </w:num>
  <w:num w:numId="14">
    <w:abstractNumId w:val="2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80"/>
    <w:rsid w:val="00043780"/>
    <w:rsid w:val="00083CD9"/>
    <w:rsid w:val="000A38CC"/>
    <w:rsid w:val="00143E75"/>
    <w:rsid w:val="00236D2F"/>
    <w:rsid w:val="00247329"/>
    <w:rsid w:val="00264886"/>
    <w:rsid w:val="003730EE"/>
    <w:rsid w:val="0037638D"/>
    <w:rsid w:val="004042FC"/>
    <w:rsid w:val="00477EA6"/>
    <w:rsid w:val="004A5A80"/>
    <w:rsid w:val="004B4DE4"/>
    <w:rsid w:val="004D21AC"/>
    <w:rsid w:val="005137ED"/>
    <w:rsid w:val="005B5FBB"/>
    <w:rsid w:val="005C1E2A"/>
    <w:rsid w:val="006258F8"/>
    <w:rsid w:val="00694999"/>
    <w:rsid w:val="007105DD"/>
    <w:rsid w:val="007E0BE3"/>
    <w:rsid w:val="007E7608"/>
    <w:rsid w:val="00820B52"/>
    <w:rsid w:val="00827C9F"/>
    <w:rsid w:val="00852B09"/>
    <w:rsid w:val="008D5589"/>
    <w:rsid w:val="00930414"/>
    <w:rsid w:val="00930C07"/>
    <w:rsid w:val="00973B9A"/>
    <w:rsid w:val="009E6869"/>
    <w:rsid w:val="00A4456E"/>
    <w:rsid w:val="00A7285A"/>
    <w:rsid w:val="00A878B1"/>
    <w:rsid w:val="00A94E06"/>
    <w:rsid w:val="00AA44C2"/>
    <w:rsid w:val="00B01B3B"/>
    <w:rsid w:val="00B33E22"/>
    <w:rsid w:val="00B67804"/>
    <w:rsid w:val="00BC5E42"/>
    <w:rsid w:val="00BD4AB0"/>
    <w:rsid w:val="00C354C6"/>
    <w:rsid w:val="00CE688C"/>
    <w:rsid w:val="00CF73AC"/>
    <w:rsid w:val="00CF7AF9"/>
    <w:rsid w:val="00DA3B3B"/>
    <w:rsid w:val="00DD78AB"/>
    <w:rsid w:val="00E104A8"/>
    <w:rsid w:val="00E64FA6"/>
    <w:rsid w:val="00F211CE"/>
    <w:rsid w:val="00F46637"/>
    <w:rsid w:val="00F5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C0BF"/>
  <w15:chartTrackingRefBased/>
  <w15:docId w15:val="{EBA0BA9B-6DF4-4BED-845B-6E1982C2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A8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A5A80"/>
    <w:pPr>
      <w:keepNext/>
      <w:numPr>
        <w:numId w:val="1"/>
      </w:numPr>
      <w:jc w:val="both"/>
      <w:outlineLvl w:val="0"/>
    </w:pPr>
    <w:rPr>
      <w:rFonts w:cs="Arial"/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C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A80"/>
    <w:rPr>
      <w:rFonts w:ascii="Arial" w:eastAsia="Times New Roman" w:hAnsi="Arial" w:cs="Arial"/>
      <w:b/>
      <w:color w:val="00000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4A5A80"/>
    <w:pPr>
      <w:ind w:left="720"/>
    </w:pPr>
  </w:style>
  <w:style w:type="paragraph" w:customStyle="1" w:styleId="Body">
    <w:name w:val="Body"/>
    <w:basedOn w:val="Normal"/>
    <w:link w:val="BodyChar"/>
    <w:qFormat/>
    <w:rsid w:val="004A5A80"/>
    <w:pPr>
      <w:numPr>
        <w:ilvl w:val="1"/>
        <w:numId w:val="1"/>
      </w:numPr>
      <w:ind w:left="567" w:hanging="567"/>
    </w:pPr>
    <w:rPr>
      <w:sz w:val="22"/>
      <w:szCs w:val="22"/>
    </w:rPr>
  </w:style>
  <w:style w:type="paragraph" w:customStyle="1" w:styleId="Bodylevel2">
    <w:name w:val="Body level 2"/>
    <w:basedOn w:val="Body"/>
    <w:qFormat/>
    <w:rsid w:val="004A5A80"/>
    <w:pPr>
      <w:numPr>
        <w:ilvl w:val="2"/>
        <w:numId w:val="2"/>
      </w:numPr>
      <w:ind w:left="1474" w:hanging="907"/>
    </w:pPr>
  </w:style>
  <w:style w:type="character" w:customStyle="1" w:styleId="BodyChar">
    <w:name w:val="Body Char"/>
    <w:link w:val="Body"/>
    <w:rsid w:val="004A5A80"/>
    <w:rPr>
      <w:rFonts w:ascii="Arial" w:eastAsia="Times New Roman" w:hAnsi="Arial" w:cs="Times New Roman"/>
      <w:lang w:eastAsia="en-GB"/>
    </w:rPr>
  </w:style>
  <w:style w:type="paragraph" w:customStyle="1" w:styleId="Bodylevel3">
    <w:name w:val="Body level 3"/>
    <w:basedOn w:val="Bodylevel2"/>
    <w:link w:val="Bodylevel3Char"/>
    <w:qFormat/>
    <w:rsid w:val="004A5A80"/>
    <w:pPr>
      <w:numPr>
        <w:ilvl w:val="0"/>
        <w:numId w:val="3"/>
      </w:numPr>
    </w:pPr>
  </w:style>
  <w:style w:type="character" w:customStyle="1" w:styleId="Bodylevel3Char">
    <w:name w:val="Body level 3 Char"/>
    <w:basedOn w:val="DefaultParagraphFont"/>
    <w:link w:val="Bodylevel3"/>
    <w:rsid w:val="004A5A80"/>
    <w:rPr>
      <w:rFonts w:ascii="Arial" w:eastAsia="Times New Roman" w:hAnsi="Arial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7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AF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7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F9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C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C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NoSpacing">
    <w:name w:val="No Spacing"/>
    <w:uiPriority w:val="99"/>
    <w:qFormat/>
    <w:rsid w:val="00930C07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01-SchedulePartHeading">
    <w:name w:val="01-SchedulePartHeading"/>
    <w:basedOn w:val="01-ScheduleHeading"/>
    <w:next w:val="Normal"/>
    <w:rsid w:val="00930C07"/>
    <w:pPr>
      <w:pageBreakBefore w:val="0"/>
      <w:numPr>
        <w:ilvl w:val="1"/>
      </w:numPr>
      <w:tabs>
        <w:tab w:val="num" w:pos="1800"/>
      </w:tabs>
      <w:ind w:left="1797" w:hanging="357"/>
    </w:pPr>
    <w:rPr>
      <w:caps w:val="0"/>
    </w:rPr>
  </w:style>
  <w:style w:type="paragraph" w:customStyle="1" w:styleId="01-ScheduleHeading">
    <w:name w:val="01-ScheduleHeading"/>
    <w:basedOn w:val="Normal"/>
    <w:next w:val="Normal"/>
    <w:rsid w:val="00930C07"/>
    <w:pPr>
      <w:pageBreakBefore/>
      <w:numPr>
        <w:numId w:val="5"/>
      </w:numPr>
      <w:jc w:val="both"/>
    </w:pPr>
    <w:rPr>
      <w:rFonts w:ascii="Helvetica" w:hAnsi="Helvetica"/>
      <w:b/>
      <w:caps/>
      <w:sz w:val="22"/>
      <w:szCs w:val="20"/>
    </w:rPr>
  </w:style>
  <w:style w:type="paragraph" w:customStyle="1" w:styleId="01-S-Level1-BB">
    <w:name w:val="01-S-Level1-BB"/>
    <w:basedOn w:val="Normal"/>
    <w:next w:val="Normal"/>
    <w:rsid w:val="00930C07"/>
    <w:pPr>
      <w:numPr>
        <w:ilvl w:val="2"/>
        <w:numId w:val="5"/>
      </w:numPr>
      <w:jc w:val="both"/>
    </w:pPr>
    <w:rPr>
      <w:rFonts w:ascii="Helvetica" w:hAnsi="Helvetica"/>
      <w:sz w:val="22"/>
      <w:szCs w:val="20"/>
    </w:rPr>
  </w:style>
  <w:style w:type="paragraph" w:customStyle="1" w:styleId="01-S-Level2-BB">
    <w:name w:val="01-S-Level2-BB"/>
    <w:basedOn w:val="01-S-Level1-BB"/>
    <w:next w:val="Normal"/>
    <w:rsid w:val="00930C07"/>
    <w:pPr>
      <w:numPr>
        <w:ilvl w:val="3"/>
      </w:numPr>
    </w:pPr>
  </w:style>
  <w:style w:type="paragraph" w:customStyle="1" w:styleId="01-S-Level3-BB">
    <w:name w:val="01-S-Level3-BB"/>
    <w:basedOn w:val="01-S-Level1-BB"/>
    <w:next w:val="Normal"/>
    <w:link w:val="01-S-Level3-BBChar"/>
    <w:rsid w:val="00930C07"/>
    <w:pPr>
      <w:numPr>
        <w:ilvl w:val="4"/>
      </w:numPr>
    </w:pPr>
  </w:style>
  <w:style w:type="paragraph" w:customStyle="1" w:styleId="01-S-Level4-BB">
    <w:name w:val="01-S-Level4-BB"/>
    <w:basedOn w:val="01-S-Level3-BB"/>
    <w:next w:val="Normal"/>
    <w:rsid w:val="00930C07"/>
    <w:pPr>
      <w:numPr>
        <w:ilvl w:val="5"/>
      </w:numPr>
      <w:tabs>
        <w:tab w:val="clear" w:pos="2008"/>
        <w:tab w:val="num" w:pos="360"/>
      </w:tabs>
      <w:ind w:left="0" w:firstLine="0"/>
    </w:pPr>
  </w:style>
  <w:style w:type="paragraph" w:customStyle="1" w:styleId="01-S-Level5-BB">
    <w:name w:val="01-S-Level5-BB"/>
    <w:basedOn w:val="01-S-Level4-BB"/>
    <w:next w:val="Normal"/>
    <w:rsid w:val="00930C07"/>
    <w:pPr>
      <w:numPr>
        <w:ilvl w:val="6"/>
      </w:numPr>
      <w:tabs>
        <w:tab w:val="clear" w:pos="3142"/>
        <w:tab w:val="num" w:pos="360"/>
        <w:tab w:val="num" w:pos="3240"/>
      </w:tabs>
      <w:ind w:left="3240" w:firstLine="0"/>
    </w:pPr>
  </w:style>
  <w:style w:type="character" w:customStyle="1" w:styleId="01-S-Level3-BBChar">
    <w:name w:val="01-S-Level3-BB Char"/>
    <w:link w:val="01-S-Level3-BB"/>
    <w:rsid w:val="00930C07"/>
    <w:rPr>
      <w:rFonts w:ascii="Helvetica" w:eastAsia="Times New Roman" w:hAnsi="Helvetica" w:cs="Times New Roman"/>
      <w:szCs w:val="20"/>
      <w:lang w:eastAsia="en-GB"/>
    </w:rPr>
  </w:style>
  <w:style w:type="paragraph" w:styleId="ListBullet">
    <w:name w:val="List Bullet"/>
    <w:basedOn w:val="Normal"/>
    <w:unhideWhenUsed/>
    <w:rsid w:val="00930C07"/>
    <w:pPr>
      <w:numPr>
        <w:numId w:val="12"/>
      </w:numPr>
      <w:spacing w:after="200" w:line="276" w:lineRule="auto"/>
      <w:contextualSpacing/>
    </w:pPr>
    <w:rPr>
      <w:rFonts w:ascii="Helvetica" w:hAnsi="Helvetica"/>
      <w:sz w:val="22"/>
      <w:szCs w:val="22"/>
    </w:rPr>
  </w:style>
  <w:style w:type="paragraph" w:customStyle="1" w:styleId="AgtLevel1Heading">
    <w:name w:val="Agt/Level1 Heading"/>
    <w:basedOn w:val="Normal"/>
    <w:rsid w:val="00930C07"/>
    <w:pPr>
      <w:keepNext/>
      <w:numPr>
        <w:numId w:val="13"/>
      </w:numPr>
      <w:spacing w:after="240"/>
      <w:jc w:val="both"/>
    </w:pPr>
    <w:rPr>
      <w:rFonts w:ascii="Lucida Sans Unicode" w:hAnsi="Lucida Sans Unicode"/>
      <w:b/>
      <w:sz w:val="18"/>
      <w:szCs w:val="20"/>
      <w:lang w:eastAsia="en-US"/>
    </w:rPr>
  </w:style>
  <w:style w:type="paragraph" w:customStyle="1" w:styleId="AgtLevel2">
    <w:name w:val="Agt/Level2"/>
    <w:basedOn w:val="Normal"/>
    <w:rsid w:val="00930C07"/>
    <w:pPr>
      <w:numPr>
        <w:ilvl w:val="1"/>
        <w:numId w:val="13"/>
      </w:numPr>
      <w:spacing w:after="240"/>
      <w:jc w:val="both"/>
    </w:pPr>
    <w:rPr>
      <w:rFonts w:ascii="Lucida Sans Unicode" w:hAnsi="Lucida Sans Unicode"/>
      <w:sz w:val="18"/>
      <w:szCs w:val="20"/>
      <w:lang w:eastAsia="en-US"/>
    </w:rPr>
  </w:style>
  <w:style w:type="paragraph" w:customStyle="1" w:styleId="AgtLevel3">
    <w:name w:val="Agt/Level3"/>
    <w:basedOn w:val="Normal"/>
    <w:rsid w:val="00930C07"/>
    <w:pPr>
      <w:numPr>
        <w:ilvl w:val="2"/>
        <w:numId w:val="13"/>
      </w:numPr>
      <w:spacing w:after="240"/>
      <w:jc w:val="both"/>
    </w:pPr>
    <w:rPr>
      <w:rFonts w:ascii="Lucida Sans Unicode" w:hAnsi="Lucida Sans Unicode"/>
      <w:sz w:val="18"/>
      <w:szCs w:val="20"/>
      <w:lang w:eastAsia="en-US"/>
    </w:rPr>
  </w:style>
  <w:style w:type="paragraph" w:customStyle="1" w:styleId="AgtLevel4">
    <w:name w:val="Agt/Level4"/>
    <w:basedOn w:val="Normal"/>
    <w:rsid w:val="00930C07"/>
    <w:pPr>
      <w:numPr>
        <w:ilvl w:val="3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AgtLevel5">
    <w:name w:val="Agt/Level5"/>
    <w:basedOn w:val="Normal"/>
    <w:rsid w:val="00930C07"/>
    <w:pPr>
      <w:numPr>
        <w:ilvl w:val="4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AgtLevel6">
    <w:name w:val="Agt/Level6"/>
    <w:basedOn w:val="Normal"/>
    <w:rsid w:val="00930C07"/>
    <w:pPr>
      <w:numPr>
        <w:ilvl w:val="5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AgtLevel7">
    <w:name w:val="Agt/Level7"/>
    <w:basedOn w:val="Normal"/>
    <w:rsid w:val="00930C07"/>
    <w:pPr>
      <w:numPr>
        <w:ilvl w:val="6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AgtLevel8">
    <w:name w:val="Agt/Level8"/>
    <w:basedOn w:val="Normal"/>
    <w:rsid w:val="00930C07"/>
    <w:pPr>
      <w:numPr>
        <w:ilvl w:val="7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Default">
    <w:name w:val="Default"/>
    <w:rsid w:val="00930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-Normal-BB">
    <w:name w:val="00-Normal-BB"/>
    <w:link w:val="00-Normal-BBChar"/>
    <w:rsid w:val="00930C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00-Normal-BBChar">
    <w:name w:val="00-Normal-BB Char"/>
    <w:link w:val="00-Normal-BB"/>
    <w:rsid w:val="00930C07"/>
    <w:rPr>
      <w:rFonts w:ascii="Arial" w:eastAsia="Times New Roman" w:hAnsi="Arial" w:cs="Times New Roman"/>
      <w:szCs w:val="20"/>
    </w:rPr>
  </w:style>
  <w:style w:type="paragraph" w:customStyle="1" w:styleId="02-Level1-BB">
    <w:name w:val="02-Level1-BB"/>
    <w:basedOn w:val="00-Normal-BB"/>
    <w:next w:val="Normal"/>
    <w:rsid w:val="00930C07"/>
    <w:pPr>
      <w:numPr>
        <w:numId w:val="14"/>
      </w:numPr>
      <w:tabs>
        <w:tab w:val="clear" w:pos="720"/>
        <w:tab w:val="num" w:pos="360"/>
      </w:tabs>
      <w:ind w:left="360" w:hanging="360"/>
    </w:pPr>
    <w:rPr>
      <w:b/>
    </w:rPr>
  </w:style>
  <w:style w:type="paragraph" w:customStyle="1" w:styleId="02-Level2-BB">
    <w:name w:val="02-Level2-BB"/>
    <w:basedOn w:val="00-Normal-BB"/>
    <w:next w:val="Normal"/>
    <w:link w:val="02-Level2-BBChar"/>
    <w:rsid w:val="00930C07"/>
    <w:pPr>
      <w:numPr>
        <w:ilvl w:val="1"/>
        <w:numId w:val="14"/>
      </w:numPr>
    </w:pPr>
  </w:style>
  <w:style w:type="character" w:customStyle="1" w:styleId="02-Level2-BBChar">
    <w:name w:val="02-Level2-BB Char"/>
    <w:basedOn w:val="00-Normal-BBChar"/>
    <w:link w:val="02-Level2-BB"/>
    <w:rsid w:val="00930C07"/>
    <w:rPr>
      <w:rFonts w:ascii="Arial" w:eastAsia="Times New Roman" w:hAnsi="Arial" w:cs="Times New Roman"/>
      <w:szCs w:val="20"/>
    </w:rPr>
  </w:style>
  <w:style w:type="paragraph" w:customStyle="1" w:styleId="02-Level3-BB">
    <w:name w:val="02-Level3-BB"/>
    <w:basedOn w:val="00-Normal-BB"/>
    <w:next w:val="Normal"/>
    <w:rsid w:val="00930C07"/>
    <w:pPr>
      <w:numPr>
        <w:ilvl w:val="2"/>
        <w:numId w:val="14"/>
      </w:numPr>
      <w:tabs>
        <w:tab w:val="clear" w:pos="2495"/>
        <w:tab w:val="num" w:pos="360"/>
        <w:tab w:val="num" w:pos="2160"/>
      </w:tabs>
      <w:ind w:left="2160" w:hanging="360"/>
    </w:pPr>
  </w:style>
  <w:style w:type="paragraph" w:customStyle="1" w:styleId="02-Level4-BB">
    <w:name w:val="02-Level4-BB"/>
    <w:basedOn w:val="00-Normal-BB"/>
    <w:next w:val="Normal"/>
    <w:rsid w:val="00930C07"/>
    <w:pPr>
      <w:numPr>
        <w:ilvl w:val="3"/>
        <w:numId w:val="14"/>
      </w:numPr>
      <w:tabs>
        <w:tab w:val="clear" w:pos="3215"/>
        <w:tab w:val="num" w:pos="360"/>
        <w:tab w:val="num" w:pos="2880"/>
      </w:tabs>
      <w:ind w:left="2880" w:hanging="360"/>
    </w:pPr>
  </w:style>
  <w:style w:type="paragraph" w:customStyle="1" w:styleId="02-Level5-BB">
    <w:name w:val="02-Level5-BB"/>
    <w:basedOn w:val="00-Normal-BB"/>
    <w:next w:val="Normal"/>
    <w:rsid w:val="00930C07"/>
    <w:pPr>
      <w:numPr>
        <w:ilvl w:val="4"/>
        <w:numId w:val="14"/>
      </w:numPr>
      <w:tabs>
        <w:tab w:val="clear" w:pos="4295"/>
        <w:tab w:val="num" w:pos="360"/>
        <w:tab w:val="num" w:pos="3600"/>
        <w:tab w:val="left" w:pos="4009"/>
      </w:tabs>
      <w:ind w:left="3600" w:hanging="360"/>
    </w:pPr>
  </w:style>
  <w:style w:type="paragraph" w:customStyle="1" w:styleId="BB-Level1Legal">
    <w:name w:val="BB-Level1(Legal)"/>
    <w:next w:val="Normal"/>
    <w:uiPriority w:val="1"/>
    <w:rsid w:val="00930C07"/>
    <w:pPr>
      <w:numPr>
        <w:numId w:val="15"/>
      </w:numPr>
      <w:spacing w:after="240" w:line="240" w:lineRule="auto"/>
      <w:jc w:val="both"/>
    </w:pPr>
    <w:rPr>
      <w:rFonts w:ascii="Arial" w:hAnsi="Arial" w:cs="Arial"/>
      <w:b/>
      <w:caps/>
      <w:sz w:val="20"/>
      <w:szCs w:val="20"/>
    </w:rPr>
  </w:style>
  <w:style w:type="paragraph" w:customStyle="1" w:styleId="BB-Level2Legal">
    <w:name w:val="BB-Level2(Legal)"/>
    <w:next w:val="Normal"/>
    <w:uiPriority w:val="2"/>
    <w:rsid w:val="00930C07"/>
    <w:pPr>
      <w:numPr>
        <w:ilvl w:val="1"/>
        <w:numId w:val="15"/>
      </w:numPr>
      <w:spacing w:after="24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BB-Level3Legal">
    <w:name w:val="BB-Level3(Legal)"/>
    <w:next w:val="Normal"/>
    <w:uiPriority w:val="3"/>
    <w:rsid w:val="00930C07"/>
    <w:pPr>
      <w:numPr>
        <w:ilvl w:val="2"/>
        <w:numId w:val="15"/>
      </w:numPr>
      <w:spacing w:after="24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BB-Level4Legal">
    <w:name w:val="BB-Level4(Legal)"/>
    <w:next w:val="Normal"/>
    <w:uiPriority w:val="4"/>
    <w:rsid w:val="00930C07"/>
    <w:pPr>
      <w:numPr>
        <w:ilvl w:val="3"/>
        <w:numId w:val="15"/>
      </w:numPr>
      <w:tabs>
        <w:tab w:val="left" w:pos="1701"/>
      </w:tabs>
      <w:spacing w:after="24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BB-Level5Legal">
    <w:name w:val="BB-Level5(Legal)"/>
    <w:next w:val="Normal"/>
    <w:uiPriority w:val="5"/>
    <w:rsid w:val="00930C07"/>
    <w:pPr>
      <w:numPr>
        <w:ilvl w:val="4"/>
        <w:numId w:val="15"/>
      </w:numPr>
      <w:tabs>
        <w:tab w:val="left" w:pos="2268"/>
      </w:tabs>
      <w:spacing w:after="240" w:line="240" w:lineRule="auto"/>
      <w:jc w:val="both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93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s">
    <w:name w:val="Definitions"/>
    <w:basedOn w:val="Normal"/>
    <w:rsid w:val="00930C07"/>
    <w:pPr>
      <w:tabs>
        <w:tab w:val="left" w:pos="709"/>
      </w:tabs>
      <w:spacing w:after="120" w:line="300" w:lineRule="atLeast"/>
      <w:ind w:left="72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Defterm">
    <w:name w:val="Defterm"/>
    <w:rsid w:val="00930C07"/>
    <w:rPr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4C98DBFCB794CADC5F5BD84AEEB4C" ma:contentTypeVersion="0" ma:contentTypeDescription="Create a new document." ma:contentTypeScope="" ma:versionID="e8e7e0c6cb80c7fd08e09f55344f7266">
  <xsd:schema xmlns:xsd="http://www.w3.org/2001/XMLSchema" xmlns:xs="http://www.w3.org/2001/XMLSchema" xmlns:p="http://schemas.microsoft.com/office/2006/metadata/properties" xmlns:ns2="b9e0b38b-4ab8-43c9-b692-9eb1b491adcd" targetNamespace="http://schemas.microsoft.com/office/2006/metadata/properties" ma:root="true" ma:fieldsID="63d7cf0710d88f475f2c91db437cadc8" ns2:_="">
    <xsd:import namespace="b9e0b38b-4ab8-43c9-b692-9eb1b491ad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b38b-4ab8-43c9-b692-9eb1b491ad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e0b38b-4ab8-43c9-b692-9eb1b491adcd">NSCCMT-85-2708</_dlc_DocId>
    <_dlc_DocIdUrl xmlns="b9e0b38b-4ab8-43c9-b692-9eb1b491adcd">
      <Url>http://sourcedocs/sites/spt/_layouts/DocIdRedir.aspx?ID=NSCCMT-85-2708</Url>
      <Description>NSCCMT-85-2708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6D26E-BDB7-4D63-A4ED-0631040EF42E}"/>
</file>

<file path=customXml/itemProps2.xml><?xml version="1.0" encoding="utf-8"?>
<ds:datastoreItem xmlns:ds="http://schemas.openxmlformats.org/officeDocument/2006/customXml" ds:itemID="{E086DC61-0928-4787-822B-CC460D754DF7}"/>
</file>

<file path=customXml/itemProps3.xml><?xml version="1.0" encoding="utf-8"?>
<ds:datastoreItem xmlns:ds="http://schemas.openxmlformats.org/officeDocument/2006/customXml" ds:itemID="{39EF27B9-2DB6-4081-AFFA-47EF1951E562}"/>
</file>

<file path=customXml/itemProps4.xml><?xml version="1.0" encoding="utf-8"?>
<ds:datastoreItem xmlns:ds="http://schemas.openxmlformats.org/officeDocument/2006/customXml" ds:itemID="{76812845-B053-4C56-9824-C82F9CC57CD6}"/>
</file>

<file path=customXml/itemProps5.xml><?xml version="1.0" encoding="utf-8"?>
<ds:datastoreItem xmlns:ds="http://schemas.openxmlformats.org/officeDocument/2006/customXml" ds:itemID="{B3139178-4496-42E9-9B90-5B1C9E4A3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Braund</dc:creator>
  <cp:keywords/>
  <dc:description/>
  <cp:lastModifiedBy>Claire Norman</cp:lastModifiedBy>
  <cp:revision>8</cp:revision>
  <cp:lastPrinted>2017-11-28T09:02:00Z</cp:lastPrinted>
  <dcterms:created xsi:type="dcterms:W3CDTF">2019-06-12T11:12:00Z</dcterms:created>
  <dcterms:modified xsi:type="dcterms:W3CDTF">2019-07-11T08:59:00Z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103687979</vt:i4>
  </property>
  <property fmtid="{D5CDD505-2E9C-101B-9397-08002B2CF9AE}" pid="3" name="_NewReviewCycle">
    <vt:lpwstr/>
  </property>
  <property fmtid="{D5CDD505-2E9C-101B-9397-08002B2CF9AE}" pid="4" name="_EmailSubject">
    <vt:lpwstr>RE: Energy Management Tender Documentation </vt:lpwstr>
  </property>
  <property fmtid="{D5CDD505-2E9C-101B-9397-08002B2CF9AE}" pid="5" name="_AuthorEmail">
    <vt:lpwstr>elaine.braund@n-somerset.gov.uk</vt:lpwstr>
  </property>
  <property fmtid="{D5CDD505-2E9C-101B-9397-08002B2CF9AE}" pid="6" name="_AuthorEmailDisplayName">
    <vt:lpwstr>Elaine Braund</vt:lpwstr>
  </property>
  <property fmtid="{D5CDD505-2E9C-101B-9397-08002B2CF9AE}" pid="7" name="_dlc_DocIdItemGuid">
    <vt:lpwstr>91b27493-5276-4a81-83c8-80c0398798d9</vt:lpwstr>
  </property>
  <property fmtid="{D5CDD505-2E9C-101B-9397-08002B2CF9AE}" pid="8" name="ContentTypeId">
    <vt:lpwstr>0x01010038E4C98DBFCB794CADC5F5BD84AEEB4C</vt:lpwstr>
  </property>
  <property fmtid="{D5CDD505-2E9C-101B-9397-08002B2CF9AE}" pid="9" name="_ReviewingToolsShownOnce">
    <vt:lpwstr/>
  </property>
</Properties>
</file>