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9A7DFD" w14:textId="77777777" w:rsidR="001030EA" w:rsidRDefault="001030EA"/>
    <w:p w14:paraId="0F4C6390" w14:textId="77777777" w:rsidR="004E1038" w:rsidRDefault="004E1038" w:rsidP="00DD6206">
      <w:pPr>
        <w:rPr>
          <w:rFonts w:ascii="Trebuchet MS" w:hAnsi="Trebuchet MS"/>
          <w:b/>
          <w:color w:val="2D0054"/>
          <w:sz w:val="72"/>
          <w:szCs w:val="72"/>
        </w:rPr>
      </w:pPr>
    </w:p>
    <w:p w14:paraId="5198A44C" w14:textId="77777777" w:rsidR="004E1038" w:rsidRDefault="004E1038" w:rsidP="00DD6206">
      <w:pPr>
        <w:rPr>
          <w:rFonts w:ascii="Trebuchet MS" w:hAnsi="Trebuchet MS"/>
          <w:b/>
          <w:color w:val="2D0054"/>
          <w:sz w:val="72"/>
          <w:szCs w:val="72"/>
        </w:rPr>
      </w:pPr>
    </w:p>
    <w:p w14:paraId="29ECC5A8" w14:textId="77777777" w:rsidR="004E1038" w:rsidRDefault="004E1038" w:rsidP="00DD6206">
      <w:pPr>
        <w:rPr>
          <w:rFonts w:ascii="Trebuchet MS" w:hAnsi="Trebuchet MS"/>
          <w:b/>
          <w:color w:val="2D0054"/>
          <w:sz w:val="72"/>
          <w:szCs w:val="72"/>
        </w:rPr>
      </w:pPr>
    </w:p>
    <w:p w14:paraId="30E020C3" w14:textId="7B678728" w:rsidR="00DD6206" w:rsidRDefault="00F910D7" w:rsidP="00DD6206">
      <w:pPr>
        <w:rPr>
          <w:rFonts w:ascii="Trebuchet MS" w:hAnsi="Trebuchet MS"/>
          <w:b/>
          <w:color w:val="2D0054"/>
          <w:sz w:val="72"/>
          <w:szCs w:val="72"/>
        </w:rPr>
      </w:pPr>
      <w:r>
        <w:rPr>
          <w:rFonts w:ascii="Trebuchet MS" w:hAnsi="Trebuchet MS"/>
          <w:b/>
          <w:color w:val="2D0054"/>
          <w:sz w:val="72"/>
          <w:szCs w:val="72"/>
        </w:rPr>
        <w:t>Contract Procedure Rules</w:t>
      </w:r>
    </w:p>
    <w:p w14:paraId="33394DB3" w14:textId="494868EA" w:rsidR="00F910D7" w:rsidRPr="00F910D7" w:rsidRDefault="00F910D7" w:rsidP="00DD6206">
      <w:pPr>
        <w:rPr>
          <w:rFonts w:ascii="Trebuchet MS" w:hAnsi="Trebuchet MS"/>
          <w:b/>
          <w:color w:val="2D0054"/>
          <w:sz w:val="44"/>
          <w:szCs w:val="44"/>
        </w:rPr>
      </w:pPr>
      <w:r w:rsidRPr="00F910D7">
        <w:rPr>
          <w:rFonts w:ascii="Trebuchet MS" w:hAnsi="Trebuchet MS"/>
          <w:b/>
          <w:color w:val="2D0054"/>
          <w:sz w:val="44"/>
          <w:szCs w:val="44"/>
        </w:rPr>
        <w:t>For the supply of Goods, Services and works</w:t>
      </w:r>
    </w:p>
    <w:p w14:paraId="34C67207" w14:textId="77777777" w:rsidR="00F910D7" w:rsidRDefault="00F910D7" w:rsidP="003F5DE4">
      <w:pPr>
        <w:rPr>
          <w:rFonts w:asciiTheme="majorHAnsi" w:hAnsiTheme="majorHAnsi"/>
          <w:b/>
          <w:color w:val="2D0054" w:themeColor="accent1"/>
          <w:sz w:val="32"/>
          <w:szCs w:val="36"/>
        </w:rPr>
      </w:pPr>
    </w:p>
    <w:p w14:paraId="0CD37C69" w14:textId="13F12666" w:rsidR="00244D70" w:rsidRPr="00244D70" w:rsidRDefault="00771FA4">
      <w:pPr>
        <w:rPr>
          <w:rFonts w:asciiTheme="majorHAnsi" w:hAnsiTheme="majorHAnsi"/>
          <w:b/>
          <w:color w:val="2D0054" w:themeColor="accent1"/>
          <w:sz w:val="12"/>
          <w:szCs w:val="12"/>
        </w:rPr>
      </w:pPr>
      <w:r>
        <w:rPr>
          <w:noProof/>
        </w:rPr>
        <w:drawing>
          <wp:inline distT="0" distB="0" distL="0" distR="0" wp14:anchorId="255ADBEA" wp14:editId="29B37714">
            <wp:extent cx="4000500" cy="241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0500" cy="2419350"/>
                    </a:xfrm>
                    <a:prstGeom prst="rect">
                      <a:avLst/>
                    </a:prstGeom>
                  </pic:spPr>
                </pic:pic>
              </a:graphicData>
            </a:graphic>
          </wp:inline>
        </w:drawing>
      </w:r>
    </w:p>
    <w:p w14:paraId="6F2F6D9B" w14:textId="77777777" w:rsidR="004E1038" w:rsidRDefault="004E1038" w:rsidP="0034773F">
      <w:pPr>
        <w:rPr>
          <w:rFonts w:asciiTheme="majorHAnsi" w:hAnsiTheme="majorHAnsi"/>
          <w:b/>
          <w:color w:val="2D0054" w:themeColor="accent1"/>
          <w:sz w:val="32"/>
          <w:szCs w:val="32"/>
        </w:rPr>
      </w:pPr>
    </w:p>
    <w:p w14:paraId="285891BA" w14:textId="45675B65" w:rsidR="00876DB0" w:rsidRPr="0034773F" w:rsidRDefault="0040323C" w:rsidP="0034773F">
      <w:pPr>
        <w:rPr>
          <w:rFonts w:asciiTheme="majorHAnsi" w:hAnsiTheme="majorHAnsi"/>
          <w:b/>
          <w:color w:val="2D0054" w:themeColor="accent1"/>
          <w:sz w:val="32"/>
          <w:szCs w:val="32"/>
        </w:rPr>
      </w:pPr>
      <w:r>
        <w:rPr>
          <w:rFonts w:asciiTheme="majorHAnsi" w:hAnsiTheme="majorHAnsi"/>
          <w:b/>
          <w:color w:val="2D0054" w:themeColor="accent1"/>
          <w:sz w:val="32"/>
          <w:szCs w:val="32"/>
        </w:rPr>
        <w:t xml:space="preserve">Approved and </w:t>
      </w:r>
      <w:r w:rsidR="00AE5194">
        <w:rPr>
          <w:rFonts w:asciiTheme="majorHAnsi" w:hAnsiTheme="majorHAnsi"/>
          <w:b/>
          <w:color w:val="2D0054" w:themeColor="accent1"/>
          <w:sz w:val="32"/>
          <w:szCs w:val="32"/>
        </w:rPr>
        <w:t xml:space="preserve">Adopted </w:t>
      </w:r>
      <w:r w:rsidR="009139FB">
        <w:rPr>
          <w:rFonts w:asciiTheme="majorHAnsi" w:hAnsiTheme="majorHAnsi"/>
          <w:b/>
          <w:color w:val="2D0054" w:themeColor="accent1"/>
          <w:sz w:val="32"/>
          <w:szCs w:val="32"/>
        </w:rPr>
        <w:t xml:space="preserve">in Part 4 (Section </w:t>
      </w:r>
      <w:r w:rsidR="00AE5194">
        <w:rPr>
          <w:rFonts w:asciiTheme="majorHAnsi" w:hAnsiTheme="majorHAnsi"/>
          <w:b/>
          <w:color w:val="2D0054" w:themeColor="accent1"/>
          <w:sz w:val="32"/>
          <w:szCs w:val="32"/>
        </w:rPr>
        <w:t>28</w:t>
      </w:r>
      <w:r w:rsidR="009139FB">
        <w:rPr>
          <w:rFonts w:asciiTheme="majorHAnsi" w:hAnsiTheme="majorHAnsi"/>
          <w:b/>
          <w:color w:val="2D0054" w:themeColor="accent1"/>
          <w:sz w:val="32"/>
          <w:szCs w:val="32"/>
        </w:rPr>
        <w:t>)</w:t>
      </w:r>
      <w:r w:rsidR="00AE5194">
        <w:rPr>
          <w:rFonts w:asciiTheme="majorHAnsi" w:hAnsiTheme="majorHAnsi"/>
          <w:b/>
          <w:color w:val="2D0054" w:themeColor="accent1"/>
          <w:sz w:val="32"/>
          <w:szCs w:val="32"/>
        </w:rPr>
        <w:t xml:space="preserve"> of the Constitution</w:t>
      </w:r>
      <w:r>
        <w:rPr>
          <w:rFonts w:asciiTheme="majorHAnsi" w:hAnsiTheme="majorHAnsi"/>
          <w:b/>
          <w:color w:val="2D0054" w:themeColor="accent1"/>
          <w:sz w:val="32"/>
          <w:szCs w:val="32"/>
        </w:rPr>
        <w:t xml:space="preserve"> </w:t>
      </w:r>
    </w:p>
    <w:p w14:paraId="10412B3B" w14:textId="0455B6B8" w:rsidR="00A731DB" w:rsidRDefault="00A731DB"/>
    <w:p w14:paraId="674F5DF3" w14:textId="440B6B17" w:rsidR="0040323C" w:rsidRDefault="0040323C"/>
    <w:p w14:paraId="0518311E" w14:textId="77777777" w:rsidR="000A2399" w:rsidRDefault="000A2399"/>
    <w:p w14:paraId="6607B28C" w14:textId="77777777" w:rsidR="0040323C" w:rsidRDefault="0040323C"/>
    <w:sdt>
      <w:sdtPr>
        <w:rPr>
          <w:rFonts w:asciiTheme="minorHAnsi" w:eastAsiaTheme="minorHAnsi" w:hAnsiTheme="minorHAnsi" w:cstheme="minorBidi"/>
          <w:b w:val="0"/>
          <w:bCs w:val="0"/>
          <w:color w:val="auto"/>
          <w:sz w:val="22"/>
          <w:szCs w:val="22"/>
          <w:lang w:val="en-GB" w:eastAsia="en-US"/>
        </w:rPr>
        <w:id w:val="1035314965"/>
        <w:docPartObj>
          <w:docPartGallery w:val="Table of Contents"/>
          <w:docPartUnique/>
        </w:docPartObj>
      </w:sdtPr>
      <w:sdtEndPr>
        <w:rPr>
          <w:noProof/>
        </w:rPr>
      </w:sdtEndPr>
      <w:sdtContent>
        <w:p w14:paraId="2F2425CA" w14:textId="77777777" w:rsidR="001C7CB8" w:rsidRDefault="001C7CB8" w:rsidP="001C7CB8">
          <w:pPr>
            <w:pStyle w:val="TOCHeading"/>
          </w:pPr>
          <w:r>
            <w:t>Contents</w:t>
          </w:r>
        </w:p>
        <w:p w14:paraId="1CD6133E" w14:textId="08D7F119" w:rsidR="002E62BC" w:rsidRDefault="001C7CB8">
          <w:pPr>
            <w:pStyle w:val="TOC1"/>
            <w:tabs>
              <w:tab w:val="left" w:pos="440"/>
              <w:tab w:val="right" w:leader="dot" w:pos="9742"/>
            </w:tabs>
            <w:rPr>
              <w:rFonts w:eastAsiaTheme="minorEastAsia"/>
              <w:noProof/>
              <w:lang w:eastAsia="en-GB"/>
            </w:rPr>
          </w:pPr>
          <w:r>
            <w:fldChar w:fldCharType="begin"/>
          </w:r>
          <w:r>
            <w:instrText xml:space="preserve"> TOC \o "1-3" \h \z \u </w:instrText>
          </w:r>
          <w:r>
            <w:fldChar w:fldCharType="separate"/>
          </w:r>
          <w:hyperlink w:anchor="_Toc64386334" w:history="1">
            <w:r w:rsidR="002E62BC" w:rsidRPr="00BF2CA4">
              <w:rPr>
                <w:rStyle w:val="Hyperlink"/>
                <w:noProof/>
              </w:rPr>
              <w:t>1.</w:t>
            </w:r>
            <w:r w:rsidR="002E62BC">
              <w:rPr>
                <w:rFonts w:eastAsiaTheme="minorEastAsia"/>
                <w:noProof/>
                <w:lang w:eastAsia="en-GB"/>
              </w:rPr>
              <w:tab/>
            </w:r>
            <w:r w:rsidR="002E62BC" w:rsidRPr="00BF2CA4">
              <w:rPr>
                <w:rStyle w:val="Hyperlink"/>
                <w:noProof/>
              </w:rPr>
              <w:t>Definitions</w:t>
            </w:r>
            <w:r w:rsidR="002E62BC">
              <w:rPr>
                <w:noProof/>
                <w:webHidden/>
              </w:rPr>
              <w:tab/>
            </w:r>
            <w:r w:rsidR="002E62BC">
              <w:rPr>
                <w:noProof/>
                <w:webHidden/>
              </w:rPr>
              <w:fldChar w:fldCharType="begin"/>
            </w:r>
            <w:r w:rsidR="002E62BC">
              <w:rPr>
                <w:noProof/>
                <w:webHidden/>
              </w:rPr>
              <w:instrText xml:space="preserve"> PAGEREF _Toc64386334 \h </w:instrText>
            </w:r>
            <w:r w:rsidR="002E62BC">
              <w:rPr>
                <w:noProof/>
                <w:webHidden/>
              </w:rPr>
            </w:r>
            <w:r w:rsidR="002E62BC">
              <w:rPr>
                <w:noProof/>
                <w:webHidden/>
              </w:rPr>
              <w:fldChar w:fldCharType="separate"/>
            </w:r>
            <w:r w:rsidR="002D05FB">
              <w:rPr>
                <w:noProof/>
                <w:webHidden/>
              </w:rPr>
              <w:t>3</w:t>
            </w:r>
            <w:r w:rsidR="002E62BC">
              <w:rPr>
                <w:noProof/>
                <w:webHidden/>
              </w:rPr>
              <w:fldChar w:fldCharType="end"/>
            </w:r>
          </w:hyperlink>
        </w:p>
        <w:p w14:paraId="5BACE573" w14:textId="38D4A7C2" w:rsidR="002E62BC" w:rsidRDefault="00076171">
          <w:pPr>
            <w:pStyle w:val="TOC1"/>
            <w:tabs>
              <w:tab w:val="left" w:pos="440"/>
              <w:tab w:val="right" w:leader="dot" w:pos="9742"/>
            </w:tabs>
            <w:rPr>
              <w:rFonts w:eastAsiaTheme="minorEastAsia"/>
              <w:noProof/>
              <w:lang w:eastAsia="en-GB"/>
            </w:rPr>
          </w:pPr>
          <w:hyperlink w:anchor="_Toc64386335" w:history="1">
            <w:r w:rsidR="002E62BC" w:rsidRPr="00BF2CA4">
              <w:rPr>
                <w:rStyle w:val="Hyperlink"/>
                <w:noProof/>
              </w:rPr>
              <w:t>2.</w:t>
            </w:r>
            <w:r w:rsidR="002E62BC">
              <w:rPr>
                <w:rFonts w:eastAsiaTheme="minorEastAsia"/>
                <w:noProof/>
                <w:lang w:eastAsia="en-GB"/>
              </w:rPr>
              <w:tab/>
            </w:r>
            <w:r w:rsidR="002E62BC" w:rsidRPr="00BF2CA4">
              <w:rPr>
                <w:rStyle w:val="Hyperlink"/>
                <w:noProof/>
              </w:rPr>
              <w:t>Compliance with the Rules and Relevant Legislation</w:t>
            </w:r>
            <w:r w:rsidR="002E62BC">
              <w:rPr>
                <w:noProof/>
                <w:webHidden/>
              </w:rPr>
              <w:tab/>
            </w:r>
            <w:r w:rsidR="002E62BC">
              <w:rPr>
                <w:noProof/>
                <w:webHidden/>
              </w:rPr>
              <w:fldChar w:fldCharType="begin"/>
            </w:r>
            <w:r w:rsidR="002E62BC">
              <w:rPr>
                <w:noProof/>
                <w:webHidden/>
              </w:rPr>
              <w:instrText xml:space="preserve"> PAGEREF _Toc64386335 \h </w:instrText>
            </w:r>
            <w:r w:rsidR="002E62BC">
              <w:rPr>
                <w:noProof/>
                <w:webHidden/>
              </w:rPr>
            </w:r>
            <w:r w:rsidR="002E62BC">
              <w:rPr>
                <w:noProof/>
                <w:webHidden/>
              </w:rPr>
              <w:fldChar w:fldCharType="separate"/>
            </w:r>
            <w:r w:rsidR="002D05FB">
              <w:rPr>
                <w:noProof/>
                <w:webHidden/>
              </w:rPr>
              <w:t>4</w:t>
            </w:r>
            <w:r w:rsidR="002E62BC">
              <w:rPr>
                <w:noProof/>
                <w:webHidden/>
              </w:rPr>
              <w:fldChar w:fldCharType="end"/>
            </w:r>
          </w:hyperlink>
        </w:p>
        <w:p w14:paraId="12EB41E6" w14:textId="43103677" w:rsidR="002E62BC" w:rsidRDefault="00076171">
          <w:pPr>
            <w:pStyle w:val="TOC1"/>
            <w:tabs>
              <w:tab w:val="left" w:pos="440"/>
              <w:tab w:val="right" w:leader="dot" w:pos="9742"/>
            </w:tabs>
            <w:rPr>
              <w:rFonts w:eastAsiaTheme="minorEastAsia"/>
              <w:noProof/>
              <w:lang w:eastAsia="en-GB"/>
            </w:rPr>
          </w:pPr>
          <w:hyperlink w:anchor="_Toc64386336" w:history="1">
            <w:r w:rsidR="002E62BC" w:rsidRPr="00BF2CA4">
              <w:rPr>
                <w:rStyle w:val="Hyperlink"/>
                <w:noProof/>
              </w:rPr>
              <w:t>3.</w:t>
            </w:r>
            <w:r w:rsidR="002E62BC">
              <w:rPr>
                <w:rFonts w:eastAsiaTheme="minorEastAsia"/>
                <w:noProof/>
                <w:lang w:eastAsia="en-GB"/>
              </w:rPr>
              <w:tab/>
            </w:r>
            <w:r w:rsidR="002E62BC" w:rsidRPr="00BF2CA4">
              <w:rPr>
                <w:rStyle w:val="Hyperlink"/>
                <w:noProof/>
              </w:rPr>
              <w:t>Contracts to which the Rules do not apply</w:t>
            </w:r>
            <w:r w:rsidR="002E62BC">
              <w:rPr>
                <w:noProof/>
                <w:webHidden/>
              </w:rPr>
              <w:tab/>
            </w:r>
            <w:r w:rsidR="002E62BC">
              <w:rPr>
                <w:noProof/>
                <w:webHidden/>
              </w:rPr>
              <w:fldChar w:fldCharType="begin"/>
            </w:r>
            <w:r w:rsidR="002E62BC">
              <w:rPr>
                <w:noProof/>
                <w:webHidden/>
              </w:rPr>
              <w:instrText xml:space="preserve"> PAGEREF _Toc64386336 \h </w:instrText>
            </w:r>
            <w:r w:rsidR="002E62BC">
              <w:rPr>
                <w:noProof/>
                <w:webHidden/>
              </w:rPr>
            </w:r>
            <w:r w:rsidR="002E62BC">
              <w:rPr>
                <w:noProof/>
                <w:webHidden/>
              </w:rPr>
              <w:fldChar w:fldCharType="separate"/>
            </w:r>
            <w:r w:rsidR="002D05FB">
              <w:rPr>
                <w:noProof/>
                <w:webHidden/>
              </w:rPr>
              <w:t>5</w:t>
            </w:r>
            <w:r w:rsidR="002E62BC">
              <w:rPr>
                <w:noProof/>
                <w:webHidden/>
              </w:rPr>
              <w:fldChar w:fldCharType="end"/>
            </w:r>
          </w:hyperlink>
        </w:p>
        <w:p w14:paraId="664BD537" w14:textId="611812F8" w:rsidR="002E62BC" w:rsidRDefault="00076171">
          <w:pPr>
            <w:pStyle w:val="TOC1"/>
            <w:tabs>
              <w:tab w:val="left" w:pos="440"/>
              <w:tab w:val="right" w:leader="dot" w:pos="9742"/>
            </w:tabs>
            <w:rPr>
              <w:rFonts w:eastAsiaTheme="minorEastAsia"/>
              <w:noProof/>
              <w:lang w:eastAsia="en-GB"/>
            </w:rPr>
          </w:pPr>
          <w:hyperlink w:anchor="_Toc64386337" w:history="1">
            <w:r w:rsidR="002E62BC" w:rsidRPr="00BF2CA4">
              <w:rPr>
                <w:rStyle w:val="Hyperlink"/>
                <w:noProof/>
              </w:rPr>
              <w:t>4.</w:t>
            </w:r>
            <w:r w:rsidR="002E62BC">
              <w:rPr>
                <w:rFonts w:eastAsiaTheme="minorEastAsia"/>
                <w:noProof/>
                <w:lang w:eastAsia="en-GB"/>
              </w:rPr>
              <w:tab/>
            </w:r>
            <w:r w:rsidR="002E62BC" w:rsidRPr="00BF2CA4">
              <w:rPr>
                <w:rStyle w:val="Hyperlink"/>
                <w:noProof/>
              </w:rPr>
              <w:t>Exemptions from the Rules</w:t>
            </w:r>
            <w:r w:rsidR="002E62BC">
              <w:rPr>
                <w:noProof/>
                <w:webHidden/>
              </w:rPr>
              <w:tab/>
            </w:r>
            <w:r w:rsidR="002E62BC">
              <w:rPr>
                <w:noProof/>
                <w:webHidden/>
              </w:rPr>
              <w:fldChar w:fldCharType="begin"/>
            </w:r>
            <w:r w:rsidR="002E62BC">
              <w:rPr>
                <w:noProof/>
                <w:webHidden/>
              </w:rPr>
              <w:instrText xml:space="preserve"> PAGEREF _Toc64386337 \h </w:instrText>
            </w:r>
            <w:r w:rsidR="002E62BC">
              <w:rPr>
                <w:noProof/>
                <w:webHidden/>
              </w:rPr>
            </w:r>
            <w:r w:rsidR="002E62BC">
              <w:rPr>
                <w:noProof/>
                <w:webHidden/>
              </w:rPr>
              <w:fldChar w:fldCharType="separate"/>
            </w:r>
            <w:r w:rsidR="002D05FB">
              <w:rPr>
                <w:noProof/>
                <w:webHidden/>
              </w:rPr>
              <w:t>5</w:t>
            </w:r>
            <w:r w:rsidR="002E62BC">
              <w:rPr>
                <w:noProof/>
                <w:webHidden/>
              </w:rPr>
              <w:fldChar w:fldCharType="end"/>
            </w:r>
          </w:hyperlink>
        </w:p>
        <w:p w14:paraId="063F95D2" w14:textId="780D342C" w:rsidR="002E62BC" w:rsidRDefault="00076171">
          <w:pPr>
            <w:pStyle w:val="TOC1"/>
            <w:tabs>
              <w:tab w:val="left" w:pos="440"/>
              <w:tab w:val="right" w:leader="dot" w:pos="9742"/>
            </w:tabs>
            <w:rPr>
              <w:rFonts w:eastAsiaTheme="minorEastAsia"/>
              <w:noProof/>
              <w:lang w:eastAsia="en-GB"/>
            </w:rPr>
          </w:pPr>
          <w:hyperlink w:anchor="_Toc64386338" w:history="1">
            <w:r w:rsidR="002E62BC" w:rsidRPr="00BF2CA4">
              <w:rPr>
                <w:rStyle w:val="Hyperlink"/>
                <w:noProof/>
              </w:rPr>
              <w:t>5.</w:t>
            </w:r>
            <w:r w:rsidR="002E62BC">
              <w:rPr>
                <w:rFonts w:eastAsiaTheme="minorEastAsia"/>
                <w:noProof/>
                <w:lang w:eastAsia="en-GB"/>
              </w:rPr>
              <w:tab/>
            </w:r>
            <w:r w:rsidR="002E62BC" w:rsidRPr="00BF2CA4">
              <w:rPr>
                <w:rStyle w:val="Hyperlink"/>
                <w:noProof/>
              </w:rPr>
              <w:t>Contracts to which Rules on Tendering (Rules 12-18) do not apply – General</w:t>
            </w:r>
            <w:r w:rsidR="002E62BC">
              <w:rPr>
                <w:noProof/>
                <w:webHidden/>
              </w:rPr>
              <w:tab/>
            </w:r>
            <w:r w:rsidR="002E62BC">
              <w:rPr>
                <w:noProof/>
                <w:webHidden/>
              </w:rPr>
              <w:fldChar w:fldCharType="begin"/>
            </w:r>
            <w:r w:rsidR="002E62BC">
              <w:rPr>
                <w:noProof/>
                <w:webHidden/>
              </w:rPr>
              <w:instrText xml:space="preserve"> PAGEREF _Toc64386338 \h </w:instrText>
            </w:r>
            <w:r w:rsidR="002E62BC">
              <w:rPr>
                <w:noProof/>
                <w:webHidden/>
              </w:rPr>
            </w:r>
            <w:r w:rsidR="002E62BC">
              <w:rPr>
                <w:noProof/>
                <w:webHidden/>
              </w:rPr>
              <w:fldChar w:fldCharType="separate"/>
            </w:r>
            <w:r w:rsidR="002D05FB">
              <w:rPr>
                <w:noProof/>
                <w:webHidden/>
              </w:rPr>
              <w:t>6</w:t>
            </w:r>
            <w:r w:rsidR="002E62BC">
              <w:rPr>
                <w:noProof/>
                <w:webHidden/>
              </w:rPr>
              <w:fldChar w:fldCharType="end"/>
            </w:r>
          </w:hyperlink>
        </w:p>
        <w:p w14:paraId="50634FE9" w14:textId="7ECEE267" w:rsidR="002E62BC" w:rsidRDefault="00076171">
          <w:pPr>
            <w:pStyle w:val="TOC1"/>
            <w:tabs>
              <w:tab w:val="left" w:pos="440"/>
              <w:tab w:val="right" w:leader="dot" w:pos="9742"/>
            </w:tabs>
            <w:rPr>
              <w:rFonts w:eastAsiaTheme="minorEastAsia"/>
              <w:noProof/>
              <w:lang w:eastAsia="en-GB"/>
            </w:rPr>
          </w:pPr>
          <w:hyperlink w:anchor="_Toc64386339" w:history="1">
            <w:r w:rsidR="002E62BC" w:rsidRPr="00BF2CA4">
              <w:rPr>
                <w:rStyle w:val="Hyperlink"/>
                <w:noProof/>
              </w:rPr>
              <w:t>6.</w:t>
            </w:r>
            <w:r w:rsidR="002E62BC">
              <w:rPr>
                <w:rFonts w:eastAsiaTheme="minorEastAsia"/>
                <w:noProof/>
                <w:lang w:eastAsia="en-GB"/>
              </w:rPr>
              <w:tab/>
            </w:r>
            <w:r w:rsidR="002E62BC" w:rsidRPr="00BF2CA4">
              <w:rPr>
                <w:rStyle w:val="Hyperlink"/>
                <w:noProof/>
              </w:rPr>
              <w:t>Contracts to which Rules on Tendering (Rules 12-18) do not apply – Service Specific</w:t>
            </w:r>
            <w:r w:rsidR="002E62BC">
              <w:rPr>
                <w:noProof/>
                <w:webHidden/>
              </w:rPr>
              <w:tab/>
            </w:r>
            <w:r w:rsidR="002E62BC">
              <w:rPr>
                <w:noProof/>
                <w:webHidden/>
              </w:rPr>
              <w:fldChar w:fldCharType="begin"/>
            </w:r>
            <w:r w:rsidR="002E62BC">
              <w:rPr>
                <w:noProof/>
                <w:webHidden/>
              </w:rPr>
              <w:instrText xml:space="preserve"> PAGEREF _Toc64386339 \h </w:instrText>
            </w:r>
            <w:r w:rsidR="002E62BC">
              <w:rPr>
                <w:noProof/>
                <w:webHidden/>
              </w:rPr>
            </w:r>
            <w:r w:rsidR="002E62BC">
              <w:rPr>
                <w:noProof/>
                <w:webHidden/>
              </w:rPr>
              <w:fldChar w:fldCharType="separate"/>
            </w:r>
            <w:r w:rsidR="002D05FB">
              <w:rPr>
                <w:noProof/>
                <w:webHidden/>
              </w:rPr>
              <w:t>7</w:t>
            </w:r>
            <w:r w:rsidR="002E62BC">
              <w:rPr>
                <w:noProof/>
                <w:webHidden/>
              </w:rPr>
              <w:fldChar w:fldCharType="end"/>
            </w:r>
          </w:hyperlink>
        </w:p>
        <w:p w14:paraId="0CFD8772" w14:textId="7C2A051E" w:rsidR="002E62BC" w:rsidRDefault="00076171">
          <w:pPr>
            <w:pStyle w:val="TOC1"/>
            <w:tabs>
              <w:tab w:val="left" w:pos="440"/>
              <w:tab w:val="right" w:leader="dot" w:pos="9742"/>
            </w:tabs>
            <w:rPr>
              <w:rFonts w:eastAsiaTheme="minorEastAsia"/>
              <w:noProof/>
              <w:lang w:eastAsia="en-GB"/>
            </w:rPr>
          </w:pPr>
          <w:hyperlink w:anchor="_Toc64386340" w:history="1">
            <w:r w:rsidR="002E62BC" w:rsidRPr="00BF2CA4">
              <w:rPr>
                <w:rStyle w:val="Hyperlink"/>
                <w:noProof/>
              </w:rPr>
              <w:t>7.</w:t>
            </w:r>
            <w:r w:rsidR="002E62BC">
              <w:rPr>
                <w:rFonts w:eastAsiaTheme="minorEastAsia"/>
                <w:noProof/>
                <w:lang w:eastAsia="en-GB"/>
              </w:rPr>
              <w:tab/>
            </w:r>
            <w:r w:rsidR="002E62BC" w:rsidRPr="00BF2CA4">
              <w:rPr>
                <w:rStyle w:val="Hyperlink"/>
                <w:noProof/>
              </w:rPr>
              <w:t>Register of Exemptions</w:t>
            </w:r>
            <w:r w:rsidR="002E62BC">
              <w:rPr>
                <w:noProof/>
                <w:webHidden/>
              </w:rPr>
              <w:tab/>
            </w:r>
            <w:r w:rsidR="002E62BC">
              <w:rPr>
                <w:noProof/>
                <w:webHidden/>
              </w:rPr>
              <w:fldChar w:fldCharType="begin"/>
            </w:r>
            <w:r w:rsidR="002E62BC">
              <w:rPr>
                <w:noProof/>
                <w:webHidden/>
              </w:rPr>
              <w:instrText xml:space="preserve"> PAGEREF _Toc64386340 \h </w:instrText>
            </w:r>
            <w:r w:rsidR="002E62BC">
              <w:rPr>
                <w:noProof/>
                <w:webHidden/>
              </w:rPr>
            </w:r>
            <w:r w:rsidR="002E62BC">
              <w:rPr>
                <w:noProof/>
                <w:webHidden/>
              </w:rPr>
              <w:fldChar w:fldCharType="separate"/>
            </w:r>
            <w:r w:rsidR="002D05FB">
              <w:rPr>
                <w:noProof/>
                <w:webHidden/>
              </w:rPr>
              <w:t>7</w:t>
            </w:r>
            <w:r w:rsidR="002E62BC">
              <w:rPr>
                <w:noProof/>
                <w:webHidden/>
              </w:rPr>
              <w:fldChar w:fldCharType="end"/>
            </w:r>
          </w:hyperlink>
        </w:p>
        <w:p w14:paraId="7541E62B" w14:textId="3DBBA3DA" w:rsidR="002E62BC" w:rsidRDefault="00076171">
          <w:pPr>
            <w:pStyle w:val="TOC1"/>
            <w:tabs>
              <w:tab w:val="left" w:pos="440"/>
              <w:tab w:val="right" w:leader="dot" w:pos="9742"/>
            </w:tabs>
            <w:rPr>
              <w:rFonts w:eastAsiaTheme="minorEastAsia"/>
              <w:noProof/>
              <w:lang w:eastAsia="en-GB"/>
            </w:rPr>
          </w:pPr>
          <w:hyperlink w:anchor="_Toc64386341" w:history="1">
            <w:r w:rsidR="002E62BC" w:rsidRPr="00BF2CA4">
              <w:rPr>
                <w:rStyle w:val="Hyperlink"/>
                <w:noProof/>
              </w:rPr>
              <w:t>8.</w:t>
            </w:r>
            <w:r w:rsidR="002E62BC">
              <w:rPr>
                <w:rFonts w:eastAsiaTheme="minorEastAsia"/>
                <w:noProof/>
                <w:lang w:eastAsia="en-GB"/>
              </w:rPr>
              <w:tab/>
            </w:r>
            <w:r w:rsidR="002E62BC" w:rsidRPr="00BF2CA4">
              <w:rPr>
                <w:rStyle w:val="Hyperlink"/>
                <w:noProof/>
              </w:rPr>
              <w:t>Schemes of Delegation</w:t>
            </w:r>
            <w:r w:rsidR="002E62BC">
              <w:rPr>
                <w:noProof/>
                <w:webHidden/>
              </w:rPr>
              <w:tab/>
            </w:r>
            <w:r w:rsidR="002E62BC">
              <w:rPr>
                <w:noProof/>
                <w:webHidden/>
              </w:rPr>
              <w:fldChar w:fldCharType="begin"/>
            </w:r>
            <w:r w:rsidR="002E62BC">
              <w:rPr>
                <w:noProof/>
                <w:webHidden/>
              </w:rPr>
              <w:instrText xml:space="preserve"> PAGEREF _Toc64386341 \h </w:instrText>
            </w:r>
            <w:r w:rsidR="002E62BC">
              <w:rPr>
                <w:noProof/>
                <w:webHidden/>
              </w:rPr>
            </w:r>
            <w:r w:rsidR="002E62BC">
              <w:rPr>
                <w:noProof/>
                <w:webHidden/>
              </w:rPr>
              <w:fldChar w:fldCharType="separate"/>
            </w:r>
            <w:r w:rsidR="002D05FB">
              <w:rPr>
                <w:noProof/>
                <w:webHidden/>
              </w:rPr>
              <w:t>8</w:t>
            </w:r>
            <w:r w:rsidR="002E62BC">
              <w:rPr>
                <w:noProof/>
                <w:webHidden/>
              </w:rPr>
              <w:fldChar w:fldCharType="end"/>
            </w:r>
          </w:hyperlink>
        </w:p>
        <w:p w14:paraId="7C2803F1" w14:textId="2DF1A2DF" w:rsidR="002E62BC" w:rsidRDefault="00076171">
          <w:pPr>
            <w:pStyle w:val="TOC1"/>
            <w:tabs>
              <w:tab w:val="left" w:pos="440"/>
              <w:tab w:val="right" w:leader="dot" w:pos="9742"/>
            </w:tabs>
            <w:rPr>
              <w:rFonts w:eastAsiaTheme="minorEastAsia"/>
              <w:noProof/>
              <w:lang w:eastAsia="en-GB"/>
            </w:rPr>
          </w:pPr>
          <w:hyperlink w:anchor="_Toc64386342" w:history="1">
            <w:r w:rsidR="002E62BC" w:rsidRPr="00BF2CA4">
              <w:rPr>
                <w:rStyle w:val="Hyperlink"/>
                <w:noProof/>
              </w:rPr>
              <w:t>9.</w:t>
            </w:r>
            <w:r w:rsidR="002E62BC">
              <w:rPr>
                <w:rFonts w:eastAsiaTheme="minorEastAsia"/>
                <w:noProof/>
                <w:lang w:eastAsia="en-GB"/>
              </w:rPr>
              <w:tab/>
            </w:r>
            <w:r w:rsidR="002E62BC" w:rsidRPr="00BF2CA4">
              <w:rPr>
                <w:rStyle w:val="Hyperlink"/>
                <w:noProof/>
              </w:rPr>
              <w:t>Tender Process and Record Keeping</w:t>
            </w:r>
            <w:r w:rsidR="002E62BC">
              <w:rPr>
                <w:noProof/>
                <w:webHidden/>
              </w:rPr>
              <w:tab/>
            </w:r>
            <w:r w:rsidR="002E62BC">
              <w:rPr>
                <w:noProof/>
                <w:webHidden/>
              </w:rPr>
              <w:fldChar w:fldCharType="begin"/>
            </w:r>
            <w:r w:rsidR="002E62BC">
              <w:rPr>
                <w:noProof/>
                <w:webHidden/>
              </w:rPr>
              <w:instrText xml:space="preserve"> PAGEREF _Toc64386342 \h </w:instrText>
            </w:r>
            <w:r w:rsidR="002E62BC">
              <w:rPr>
                <w:noProof/>
                <w:webHidden/>
              </w:rPr>
            </w:r>
            <w:r w:rsidR="002E62BC">
              <w:rPr>
                <w:noProof/>
                <w:webHidden/>
              </w:rPr>
              <w:fldChar w:fldCharType="separate"/>
            </w:r>
            <w:r w:rsidR="002D05FB">
              <w:rPr>
                <w:noProof/>
                <w:webHidden/>
              </w:rPr>
              <w:t>8</w:t>
            </w:r>
            <w:r w:rsidR="002E62BC">
              <w:rPr>
                <w:noProof/>
                <w:webHidden/>
              </w:rPr>
              <w:fldChar w:fldCharType="end"/>
            </w:r>
          </w:hyperlink>
        </w:p>
        <w:p w14:paraId="262C2C5D" w14:textId="66CC1095" w:rsidR="002E62BC" w:rsidRDefault="00076171">
          <w:pPr>
            <w:pStyle w:val="TOC1"/>
            <w:tabs>
              <w:tab w:val="left" w:pos="660"/>
              <w:tab w:val="right" w:leader="dot" w:pos="9742"/>
            </w:tabs>
            <w:rPr>
              <w:rFonts w:eastAsiaTheme="minorEastAsia"/>
              <w:noProof/>
              <w:lang w:eastAsia="en-GB"/>
            </w:rPr>
          </w:pPr>
          <w:hyperlink w:anchor="_Toc64386343" w:history="1">
            <w:r w:rsidR="002E62BC" w:rsidRPr="00BF2CA4">
              <w:rPr>
                <w:rStyle w:val="Hyperlink"/>
                <w:noProof/>
              </w:rPr>
              <w:t>10.</w:t>
            </w:r>
            <w:r w:rsidR="002E62BC">
              <w:rPr>
                <w:rFonts w:eastAsiaTheme="minorEastAsia"/>
                <w:noProof/>
                <w:lang w:eastAsia="en-GB"/>
              </w:rPr>
              <w:tab/>
            </w:r>
            <w:r w:rsidR="002E62BC" w:rsidRPr="00BF2CA4">
              <w:rPr>
                <w:rStyle w:val="Hyperlink"/>
                <w:noProof/>
              </w:rPr>
              <w:t>Establishing the Value of the Contract/Expenditure per Contract</w:t>
            </w:r>
            <w:r w:rsidR="002E62BC">
              <w:rPr>
                <w:noProof/>
                <w:webHidden/>
              </w:rPr>
              <w:tab/>
            </w:r>
            <w:r w:rsidR="002E62BC">
              <w:rPr>
                <w:noProof/>
                <w:webHidden/>
              </w:rPr>
              <w:fldChar w:fldCharType="begin"/>
            </w:r>
            <w:r w:rsidR="002E62BC">
              <w:rPr>
                <w:noProof/>
                <w:webHidden/>
              </w:rPr>
              <w:instrText xml:space="preserve"> PAGEREF _Toc64386343 \h </w:instrText>
            </w:r>
            <w:r w:rsidR="002E62BC">
              <w:rPr>
                <w:noProof/>
                <w:webHidden/>
              </w:rPr>
            </w:r>
            <w:r w:rsidR="002E62BC">
              <w:rPr>
                <w:noProof/>
                <w:webHidden/>
              </w:rPr>
              <w:fldChar w:fldCharType="separate"/>
            </w:r>
            <w:r w:rsidR="002D05FB">
              <w:rPr>
                <w:noProof/>
                <w:webHidden/>
              </w:rPr>
              <w:t>8</w:t>
            </w:r>
            <w:r w:rsidR="002E62BC">
              <w:rPr>
                <w:noProof/>
                <w:webHidden/>
              </w:rPr>
              <w:fldChar w:fldCharType="end"/>
            </w:r>
          </w:hyperlink>
        </w:p>
        <w:p w14:paraId="07AEB059" w14:textId="10CA925E" w:rsidR="002E62BC" w:rsidRDefault="00076171">
          <w:pPr>
            <w:pStyle w:val="TOC1"/>
            <w:tabs>
              <w:tab w:val="left" w:pos="660"/>
              <w:tab w:val="right" w:leader="dot" w:pos="9742"/>
            </w:tabs>
            <w:rPr>
              <w:rFonts w:eastAsiaTheme="minorEastAsia"/>
              <w:noProof/>
              <w:lang w:eastAsia="en-GB"/>
            </w:rPr>
          </w:pPr>
          <w:hyperlink w:anchor="_Toc64386344" w:history="1">
            <w:r w:rsidR="002E62BC" w:rsidRPr="00BF2CA4">
              <w:rPr>
                <w:rStyle w:val="Hyperlink"/>
                <w:noProof/>
              </w:rPr>
              <w:t>11.</w:t>
            </w:r>
            <w:r w:rsidR="002E62BC">
              <w:rPr>
                <w:rFonts w:eastAsiaTheme="minorEastAsia"/>
                <w:noProof/>
                <w:lang w:eastAsia="en-GB"/>
              </w:rPr>
              <w:tab/>
            </w:r>
            <w:r w:rsidR="002E62BC" w:rsidRPr="00BF2CA4">
              <w:rPr>
                <w:rStyle w:val="Hyperlink"/>
                <w:noProof/>
              </w:rPr>
              <w:t>Finance and Authorisation</w:t>
            </w:r>
            <w:r w:rsidR="002E62BC">
              <w:rPr>
                <w:noProof/>
                <w:webHidden/>
              </w:rPr>
              <w:tab/>
            </w:r>
            <w:r w:rsidR="002E62BC">
              <w:rPr>
                <w:noProof/>
                <w:webHidden/>
              </w:rPr>
              <w:fldChar w:fldCharType="begin"/>
            </w:r>
            <w:r w:rsidR="002E62BC">
              <w:rPr>
                <w:noProof/>
                <w:webHidden/>
              </w:rPr>
              <w:instrText xml:space="preserve"> PAGEREF _Toc64386344 \h </w:instrText>
            </w:r>
            <w:r w:rsidR="002E62BC">
              <w:rPr>
                <w:noProof/>
                <w:webHidden/>
              </w:rPr>
            </w:r>
            <w:r w:rsidR="002E62BC">
              <w:rPr>
                <w:noProof/>
                <w:webHidden/>
              </w:rPr>
              <w:fldChar w:fldCharType="separate"/>
            </w:r>
            <w:r w:rsidR="002D05FB">
              <w:rPr>
                <w:noProof/>
                <w:webHidden/>
              </w:rPr>
              <w:t>9</w:t>
            </w:r>
            <w:r w:rsidR="002E62BC">
              <w:rPr>
                <w:noProof/>
                <w:webHidden/>
              </w:rPr>
              <w:fldChar w:fldCharType="end"/>
            </w:r>
          </w:hyperlink>
        </w:p>
        <w:p w14:paraId="53B00186" w14:textId="5EA06112" w:rsidR="002E62BC" w:rsidRDefault="00076171">
          <w:pPr>
            <w:pStyle w:val="TOC1"/>
            <w:tabs>
              <w:tab w:val="left" w:pos="660"/>
              <w:tab w:val="right" w:leader="dot" w:pos="9742"/>
            </w:tabs>
            <w:rPr>
              <w:rFonts w:eastAsiaTheme="minorEastAsia"/>
              <w:noProof/>
              <w:lang w:eastAsia="en-GB"/>
            </w:rPr>
          </w:pPr>
          <w:hyperlink w:anchor="_Toc64386345" w:history="1">
            <w:r w:rsidR="002E62BC" w:rsidRPr="00BF2CA4">
              <w:rPr>
                <w:rStyle w:val="Hyperlink"/>
                <w:noProof/>
              </w:rPr>
              <w:t>12.</w:t>
            </w:r>
            <w:r w:rsidR="002E62BC">
              <w:rPr>
                <w:rFonts w:eastAsiaTheme="minorEastAsia"/>
                <w:noProof/>
                <w:lang w:eastAsia="en-GB"/>
              </w:rPr>
              <w:tab/>
            </w:r>
            <w:r w:rsidR="002E62BC" w:rsidRPr="00BF2CA4">
              <w:rPr>
                <w:rStyle w:val="Hyperlink"/>
                <w:noProof/>
              </w:rPr>
              <w:t>Pre-Qualification Requirements</w:t>
            </w:r>
            <w:r w:rsidR="002E62BC">
              <w:rPr>
                <w:noProof/>
                <w:webHidden/>
              </w:rPr>
              <w:tab/>
            </w:r>
            <w:r w:rsidR="002E62BC">
              <w:rPr>
                <w:noProof/>
                <w:webHidden/>
              </w:rPr>
              <w:fldChar w:fldCharType="begin"/>
            </w:r>
            <w:r w:rsidR="002E62BC">
              <w:rPr>
                <w:noProof/>
                <w:webHidden/>
              </w:rPr>
              <w:instrText xml:space="preserve"> PAGEREF _Toc64386345 \h </w:instrText>
            </w:r>
            <w:r w:rsidR="002E62BC">
              <w:rPr>
                <w:noProof/>
                <w:webHidden/>
              </w:rPr>
            </w:r>
            <w:r w:rsidR="002E62BC">
              <w:rPr>
                <w:noProof/>
                <w:webHidden/>
              </w:rPr>
              <w:fldChar w:fldCharType="separate"/>
            </w:r>
            <w:r w:rsidR="002D05FB">
              <w:rPr>
                <w:noProof/>
                <w:webHidden/>
              </w:rPr>
              <w:t>10</w:t>
            </w:r>
            <w:r w:rsidR="002E62BC">
              <w:rPr>
                <w:noProof/>
                <w:webHidden/>
              </w:rPr>
              <w:fldChar w:fldCharType="end"/>
            </w:r>
          </w:hyperlink>
        </w:p>
        <w:p w14:paraId="22375E8D" w14:textId="683E53CD" w:rsidR="002E62BC" w:rsidRDefault="00076171">
          <w:pPr>
            <w:pStyle w:val="TOC1"/>
            <w:tabs>
              <w:tab w:val="left" w:pos="660"/>
              <w:tab w:val="right" w:leader="dot" w:pos="9742"/>
            </w:tabs>
            <w:rPr>
              <w:rFonts w:eastAsiaTheme="minorEastAsia"/>
              <w:noProof/>
              <w:lang w:eastAsia="en-GB"/>
            </w:rPr>
          </w:pPr>
          <w:hyperlink w:anchor="_Toc64386346" w:history="1">
            <w:r w:rsidR="002E62BC" w:rsidRPr="00BF2CA4">
              <w:rPr>
                <w:rStyle w:val="Hyperlink"/>
                <w:noProof/>
              </w:rPr>
              <w:t>13.</w:t>
            </w:r>
            <w:r w:rsidR="002E62BC">
              <w:rPr>
                <w:rFonts w:eastAsiaTheme="minorEastAsia"/>
                <w:noProof/>
                <w:lang w:eastAsia="en-GB"/>
              </w:rPr>
              <w:tab/>
            </w:r>
            <w:r w:rsidR="002E62BC" w:rsidRPr="00BF2CA4">
              <w:rPr>
                <w:rStyle w:val="Hyperlink"/>
                <w:noProof/>
              </w:rPr>
              <w:t>Best Value - Competitive Quotes and Tenders</w:t>
            </w:r>
            <w:r w:rsidR="002E62BC">
              <w:rPr>
                <w:noProof/>
                <w:webHidden/>
              </w:rPr>
              <w:tab/>
            </w:r>
            <w:r w:rsidR="002E62BC">
              <w:rPr>
                <w:noProof/>
                <w:webHidden/>
              </w:rPr>
              <w:fldChar w:fldCharType="begin"/>
            </w:r>
            <w:r w:rsidR="002E62BC">
              <w:rPr>
                <w:noProof/>
                <w:webHidden/>
              </w:rPr>
              <w:instrText xml:space="preserve"> PAGEREF _Toc64386346 \h </w:instrText>
            </w:r>
            <w:r w:rsidR="002E62BC">
              <w:rPr>
                <w:noProof/>
                <w:webHidden/>
              </w:rPr>
            </w:r>
            <w:r w:rsidR="002E62BC">
              <w:rPr>
                <w:noProof/>
                <w:webHidden/>
              </w:rPr>
              <w:fldChar w:fldCharType="separate"/>
            </w:r>
            <w:r w:rsidR="002D05FB">
              <w:rPr>
                <w:noProof/>
                <w:webHidden/>
              </w:rPr>
              <w:t>10</w:t>
            </w:r>
            <w:r w:rsidR="002E62BC">
              <w:rPr>
                <w:noProof/>
                <w:webHidden/>
              </w:rPr>
              <w:fldChar w:fldCharType="end"/>
            </w:r>
          </w:hyperlink>
        </w:p>
        <w:p w14:paraId="41331E24" w14:textId="0A953F7D" w:rsidR="002E62BC" w:rsidRDefault="00076171">
          <w:pPr>
            <w:pStyle w:val="TOC1"/>
            <w:tabs>
              <w:tab w:val="left" w:pos="660"/>
              <w:tab w:val="right" w:leader="dot" w:pos="9742"/>
            </w:tabs>
            <w:rPr>
              <w:rFonts w:eastAsiaTheme="minorEastAsia"/>
              <w:noProof/>
              <w:lang w:eastAsia="en-GB"/>
            </w:rPr>
          </w:pPr>
          <w:hyperlink w:anchor="_Toc64386347" w:history="1">
            <w:r w:rsidR="002E62BC" w:rsidRPr="00BF2CA4">
              <w:rPr>
                <w:rStyle w:val="Hyperlink"/>
                <w:noProof/>
              </w:rPr>
              <w:t>14.</w:t>
            </w:r>
            <w:r w:rsidR="002E62BC">
              <w:rPr>
                <w:rFonts w:eastAsiaTheme="minorEastAsia"/>
                <w:noProof/>
                <w:lang w:eastAsia="en-GB"/>
              </w:rPr>
              <w:tab/>
            </w:r>
            <w:r w:rsidR="002E62BC" w:rsidRPr="00BF2CA4">
              <w:rPr>
                <w:rStyle w:val="Hyperlink"/>
                <w:noProof/>
              </w:rPr>
              <w:t>Tender Process to Use</w:t>
            </w:r>
            <w:r w:rsidR="002E62BC">
              <w:rPr>
                <w:noProof/>
                <w:webHidden/>
              </w:rPr>
              <w:tab/>
            </w:r>
            <w:r w:rsidR="002E62BC">
              <w:rPr>
                <w:noProof/>
                <w:webHidden/>
              </w:rPr>
              <w:fldChar w:fldCharType="begin"/>
            </w:r>
            <w:r w:rsidR="002E62BC">
              <w:rPr>
                <w:noProof/>
                <w:webHidden/>
              </w:rPr>
              <w:instrText xml:space="preserve"> PAGEREF _Toc64386347 \h </w:instrText>
            </w:r>
            <w:r w:rsidR="002E62BC">
              <w:rPr>
                <w:noProof/>
                <w:webHidden/>
              </w:rPr>
            </w:r>
            <w:r w:rsidR="002E62BC">
              <w:rPr>
                <w:noProof/>
                <w:webHidden/>
              </w:rPr>
              <w:fldChar w:fldCharType="separate"/>
            </w:r>
            <w:r w:rsidR="002D05FB">
              <w:rPr>
                <w:noProof/>
                <w:webHidden/>
              </w:rPr>
              <w:t>11</w:t>
            </w:r>
            <w:r w:rsidR="002E62BC">
              <w:rPr>
                <w:noProof/>
                <w:webHidden/>
              </w:rPr>
              <w:fldChar w:fldCharType="end"/>
            </w:r>
          </w:hyperlink>
        </w:p>
        <w:p w14:paraId="61181987" w14:textId="7ACCDFF6" w:rsidR="002E62BC" w:rsidRDefault="00076171">
          <w:pPr>
            <w:pStyle w:val="TOC1"/>
            <w:tabs>
              <w:tab w:val="left" w:pos="660"/>
              <w:tab w:val="right" w:leader="dot" w:pos="9742"/>
            </w:tabs>
            <w:rPr>
              <w:rFonts w:eastAsiaTheme="minorEastAsia"/>
              <w:noProof/>
              <w:lang w:eastAsia="en-GB"/>
            </w:rPr>
          </w:pPr>
          <w:hyperlink w:anchor="_Toc64386348" w:history="1">
            <w:r w:rsidR="002E62BC" w:rsidRPr="00BF2CA4">
              <w:rPr>
                <w:rStyle w:val="Hyperlink"/>
                <w:noProof/>
              </w:rPr>
              <w:t>15.</w:t>
            </w:r>
            <w:r w:rsidR="002E62BC">
              <w:rPr>
                <w:rFonts w:eastAsiaTheme="minorEastAsia"/>
                <w:noProof/>
                <w:lang w:eastAsia="en-GB"/>
              </w:rPr>
              <w:tab/>
            </w:r>
            <w:r w:rsidR="002E62BC" w:rsidRPr="00BF2CA4">
              <w:rPr>
                <w:rStyle w:val="Hyperlink"/>
                <w:noProof/>
              </w:rPr>
              <w:t>Invitations to Tender</w:t>
            </w:r>
            <w:r w:rsidR="002E62BC">
              <w:rPr>
                <w:noProof/>
                <w:webHidden/>
              </w:rPr>
              <w:tab/>
            </w:r>
            <w:r w:rsidR="002E62BC">
              <w:rPr>
                <w:noProof/>
                <w:webHidden/>
              </w:rPr>
              <w:fldChar w:fldCharType="begin"/>
            </w:r>
            <w:r w:rsidR="002E62BC">
              <w:rPr>
                <w:noProof/>
                <w:webHidden/>
              </w:rPr>
              <w:instrText xml:space="preserve"> PAGEREF _Toc64386348 \h </w:instrText>
            </w:r>
            <w:r w:rsidR="002E62BC">
              <w:rPr>
                <w:noProof/>
                <w:webHidden/>
              </w:rPr>
            </w:r>
            <w:r w:rsidR="002E62BC">
              <w:rPr>
                <w:noProof/>
                <w:webHidden/>
              </w:rPr>
              <w:fldChar w:fldCharType="separate"/>
            </w:r>
            <w:r w:rsidR="002D05FB">
              <w:rPr>
                <w:noProof/>
                <w:webHidden/>
              </w:rPr>
              <w:t>11</w:t>
            </w:r>
            <w:r w:rsidR="002E62BC">
              <w:rPr>
                <w:noProof/>
                <w:webHidden/>
              </w:rPr>
              <w:fldChar w:fldCharType="end"/>
            </w:r>
          </w:hyperlink>
        </w:p>
        <w:p w14:paraId="749830B3" w14:textId="61BAA0A1" w:rsidR="002E62BC" w:rsidRDefault="00076171">
          <w:pPr>
            <w:pStyle w:val="TOC1"/>
            <w:tabs>
              <w:tab w:val="left" w:pos="660"/>
              <w:tab w:val="right" w:leader="dot" w:pos="9742"/>
            </w:tabs>
            <w:rPr>
              <w:rFonts w:eastAsiaTheme="minorEastAsia"/>
              <w:noProof/>
              <w:lang w:eastAsia="en-GB"/>
            </w:rPr>
          </w:pPr>
          <w:hyperlink w:anchor="_Toc64386349" w:history="1">
            <w:r w:rsidR="002E62BC" w:rsidRPr="00BF2CA4">
              <w:rPr>
                <w:rStyle w:val="Hyperlink"/>
                <w:noProof/>
              </w:rPr>
              <w:t>16.</w:t>
            </w:r>
            <w:r w:rsidR="002E62BC">
              <w:rPr>
                <w:rFonts w:eastAsiaTheme="minorEastAsia"/>
                <w:noProof/>
                <w:lang w:eastAsia="en-GB"/>
              </w:rPr>
              <w:tab/>
            </w:r>
            <w:r w:rsidR="002E62BC" w:rsidRPr="00BF2CA4">
              <w:rPr>
                <w:rStyle w:val="Hyperlink"/>
                <w:noProof/>
              </w:rPr>
              <w:t>Receipt of Tenders (including under Framework Agreements) and Opening of Tenders</w:t>
            </w:r>
            <w:r w:rsidR="002E62BC">
              <w:rPr>
                <w:noProof/>
                <w:webHidden/>
              </w:rPr>
              <w:tab/>
            </w:r>
            <w:r w:rsidR="002E62BC">
              <w:rPr>
                <w:noProof/>
                <w:webHidden/>
              </w:rPr>
              <w:fldChar w:fldCharType="begin"/>
            </w:r>
            <w:r w:rsidR="002E62BC">
              <w:rPr>
                <w:noProof/>
                <w:webHidden/>
              </w:rPr>
              <w:instrText xml:space="preserve"> PAGEREF _Toc64386349 \h </w:instrText>
            </w:r>
            <w:r w:rsidR="002E62BC">
              <w:rPr>
                <w:noProof/>
                <w:webHidden/>
              </w:rPr>
            </w:r>
            <w:r w:rsidR="002E62BC">
              <w:rPr>
                <w:noProof/>
                <w:webHidden/>
              </w:rPr>
              <w:fldChar w:fldCharType="separate"/>
            </w:r>
            <w:r w:rsidR="002D05FB">
              <w:rPr>
                <w:noProof/>
                <w:webHidden/>
              </w:rPr>
              <w:t>12</w:t>
            </w:r>
            <w:r w:rsidR="002E62BC">
              <w:rPr>
                <w:noProof/>
                <w:webHidden/>
              </w:rPr>
              <w:fldChar w:fldCharType="end"/>
            </w:r>
          </w:hyperlink>
        </w:p>
        <w:p w14:paraId="0D912902" w14:textId="25CDA7D6" w:rsidR="002E62BC" w:rsidRDefault="00076171">
          <w:pPr>
            <w:pStyle w:val="TOC1"/>
            <w:tabs>
              <w:tab w:val="left" w:pos="660"/>
              <w:tab w:val="right" w:leader="dot" w:pos="9742"/>
            </w:tabs>
            <w:rPr>
              <w:rFonts w:eastAsiaTheme="minorEastAsia"/>
              <w:noProof/>
              <w:lang w:eastAsia="en-GB"/>
            </w:rPr>
          </w:pPr>
          <w:hyperlink w:anchor="_Toc64386350" w:history="1">
            <w:r w:rsidR="002E62BC" w:rsidRPr="00BF2CA4">
              <w:rPr>
                <w:rStyle w:val="Hyperlink"/>
                <w:noProof/>
              </w:rPr>
              <w:t>17.</w:t>
            </w:r>
            <w:r w:rsidR="002E62BC">
              <w:rPr>
                <w:rFonts w:eastAsiaTheme="minorEastAsia"/>
                <w:noProof/>
                <w:lang w:eastAsia="en-GB"/>
              </w:rPr>
              <w:tab/>
            </w:r>
            <w:r w:rsidR="002E62BC" w:rsidRPr="00BF2CA4">
              <w:rPr>
                <w:rStyle w:val="Hyperlink"/>
                <w:noProof/>
              </w:rPr>
              <w:t>Evaluation Criteria and Evaluation of Tenders</w:t>
            </w:r>
            <w:r w:rsidR="002E62BC">
              <w:rPr>
                <w:noProof/>
                <w:webHidden/>
              </w:rPr>
              <w:tab/>
            </w:r>
            <w:r w:rsidR="002E62BC">
              <w:rPr>
                <w:noProof/>
                <w:webHidden/>
              </w:rPr>
              <w:fldChar w:fldCharType="begin"/>
            </w:r>
            <w:r w:rsidR="002E62BC">
              <w:rPr>
                <w:noProof/>
                <w:webHidden/>
              </w:rPr>
              <w:instrText xml:space="preserve"> PAGEREF _Toc64386350 \h </w:instrText>
            </w:r>
            <w:r w:rsidR="002E62BC">
              <w:rPr>
                <w:noProof/>
                <w:webHidden/>
              </w:rPr>
            </w:r>
            <w:r w:rsidR="002E62BC">
              <w:rPr>
                <w:noProof/>
                <w:webHidden/>
              </w:rPr>
              <w:fldChar w:fldCharType="separate"/>
            </w:r>
            <w:r w:rsidR="002D05FB">
              <w:rPr>
                <w:noProof/>
                <w:webHidden/>
              </w:rPr>
              <w:t>12</w:t>
            </w:r>
            <w:r w:rsidR="002E62BC">
              <w:rPr>
                <w:noProof/>
                <w:webHidden/>
              </w:rPr>
              <w:fldChar w:fldCharType="end"/>
            </w:r>
          </w:hyperlink>
        </w:p>
        <w:p w14:paraId="14DEED73" w14:textId="397132CF" w:rsidR="002E62BC" w:rsidRDefault="00076171">
          <w:pPr>
            <w:pStyle w:val="TOC1"/>
            <w:tabs>
              <w:tab w:val="left" w:pos="660"/>
              <w:tab w:val="right" w:leader="dot" w:pos="9742"/>
            </w:tabs>
            <w:rPr>
              <w:rFonts w:eastAsiaTheme="minorEastAsia"/>
              <w:noProof/>
              <w:lang w:eastAsia="en-GB"/>
            </w:rPr>
          </w:pPr>
          <w:hyperlink w:anchor="_Toc64386351" w:history="1">
            <w:r w:rsidR="002E62BC" w:rsidRPr="00BF2CA4">
              <w:rPr>
                <w:rStyle w:val="Hyperlink"/>
                <w:noProof/>
              </w:rPr>
              <w:t>18.</w:t>
            </w:r>
            <w:r w:rsidR="002E62BC">
              <w:rPr>
                <w:rFonts w:eastAsiaTheme="minorEastAsia"/>
                <w:noProof/>
                <w:lang w:eastAsia="en-GB"/>
              </w:rPr>
              <w:tab/>
            </w:r>
            <w:r w:rsidR="002E62BC" w:rsidRPr="00BF2CA4">
              <w:rPr>
                <w:rStyle w:val="Hyperlink"/>
                <w:noProof/>
              </w:rPr>
              <w:t>Award of Contracts</w:t>
            </w:r>
            <w:r w:rsidR="002E62BC">
              <w:rPr>
                <w:noProof/>
                <w:webHidden/>
              </w:rPr>
              <w:tab/>
            </w:r>
            <w:r w:rsidR="002E62BC">
              <w:rPr>
                <w:noProof/>
                <w:webHidden/>
              </w:rPr>
              <w:fldChar w:fldCharType="begin"/>
            </w:r>
            <w:r w:rsidR="002E62BC">
              <w:rPr>
                <w:noProof/>
                <w:webHidden/>
              </w:rPr>
              <w:instrText xml:space="preserve"> PAGEREF _Toc64386351 \h </w:instrText>
            </w:r>
            <w:r w:rsidR="002E62BC">
              <w:rPr>
                <w:noProof/>
                <w:webHidden/>
              </w:rPr>
            </w:r>
            <w:r w:rsidR="002E62BC">
              <w:rPr>
                <w:noProof/>
                <w:webHidden/>
              </w:rPr>
              <w:fldChar w:fldCharType="separate"/>
            </w:r>
            <w:r w:rsidR="002D05FB">
              <w:rPr>
                <w:noProof/>
                <w:webHidden/>
              </w:rPr>
              <w:t>14</w:t>
            </w:r>
            <w:r w:rsidR="002E62BC">
              <w:rPr>
                <w:noProof/>
                <w:webHidden/>
              </w:rPr>
              <w:fldChar w:fldCharType="end"/>
            </w:r>
          </w:hyperlink>
        </w:p>
        <w:p w14:paraId="4747FF56" w14:textId="13838C70" w:rsidR="002E62BC" w:rsidRDefault="00076171">
          <w:pPr>
            <w:pStyle w:val="TOC1"/>
            <w:tabs>
              <w:tab w:val="left" w:pos="660"/>
              <w:tab w:val="right" w:leader="dot" w:pos="9742"/>
            </w:tabs>
            <w:rPr>
              <w:rFonts w:eastAsiaTheme="minorEastAsia"/>
              <w:noProof/>
              <w:lang w:eastAsia="en-GB"/>
            </w:rPr>
          </w:pPr>
          <w:hyperlink w:anchor="_Toc64386352" w:history="1">
            <w:r w:rsidR="002E62BC" w:rsidRPr="00BF2CA4">
              <w:rPr>
                <w:rStyle w:val="Hyperlink"/>
                <w:noProof/>
              </w:rPr>
              <w:t>19.</w:t>
            </w:r>
            <w:r w:rsidR="002E62BC">
              <w:rPr>
                <w:rFonts w:eastAsiaTheme="minorEastAsia"/>
                <w:noProof/>
                <w:lang w:eastAsia="en-GB"/>
              </w:rPr>
              <w:tab/>
            </w:r>
            <w:r w:rsidR="002E62BC" w:rsidRPr="00BF2CA4">
              <w:rPr>
                <w:rStyle w:val="Hyperlink"/>
                <w:noProof/>
              </w:rPr>
              <w:t>Signing and Sealing of Contracts</w:t>
            </w:r>
            <w:r w:rsidR="002E62BC">
              <w:rPr>
                <w:noProof/>
                <w:webHidden/>
              </w:rPr>
              <w:tab/>
            </w:r>
            <w:r w:rsidR="002E62BC">
              <w:rPr>
                <w:noProof/>
                <w:webHidden/>
              </w:rPr>
              <w:fldChar w:fldCharType="begin"/>
            </w:r>
            <w:r w:rsidR="002E62BC">
              <w:rPr>
                <w:noProof/>
                <w:webHidden/>
              </w:rPr>
              <w:instrText xml:space="preserve"> PAGEREF _Toc64386352 \h </w:instrText>
            </w:r>
            <w:r w:rsidR="002E62BC">
              <w:rPr>
                <w:noProof/>
                <w:webHidden/>
              </w:rPr>
            </w:r>
            <w:r w:rsidR="002E62BC">
              <w:rPr>
                <w:noProof/>
                <w:webHidden/>
              </w:rPr>
              <w:fldChar w:fldCharType="separate"/>
            </w:r>
            <w:r w:rsidR="002D05FB">
              <w:rPr>
                <w:noProof/>
                <w:webHidden/>
              </w:rPr>
              <w:t>14</w:t>
            </w:r>
            <w:r w:rsidR="002E62BC">
              <w:rPr>
                <w:noProof/>
                <w:webHidden/>
              </w:rPr>
              <w:fldChar w:fldCharType="end"/>
            </w:r>
          </w:hyperlink>
        </w:p>
        <w:p w14:paraId="301B66AD" w14:textId="723E044B" w:rsidR="002E62BC" w:rsidRDefault="00076171">
          <w:pPr>
            <w:pStyle w:val="TOC1"/>
            <w:tabs>
              <w:tab w:val="left" w:pos="660"/>
              <w:tab w:val="right" w:leader="dot" w:pos="9742"/>
            </w:tabs>
            <w:rPr>
              <w:rFonts w:eastAsiaTheme="minorEastAsia"/>
              <w:noProof/>
              <w:lang w:eastAsia="en-GB"/>
            </w:rPr>
          </w:pPr>
          <w:hyperlink w:anchor="_Toc64386353" w:history="1">
            <w:r w:rsidR="002E62BC" w:rsidRPr="00BF2CA4">
              <w:rPr>
                <w:rStyle w:val="Hyperlink"/>
                <w:noProof/>
              </w:rPr>
              <w:t>20.</w:t>
            </w:r>
            <w:r w:rsidR="002E62BC">
              <w:rPr>
                <w:rFonts w:eastAsiaTheme="minorEastAsia"/>
                <w:noProof/>
                <w:lang w:eastAsia="en-GB"/>
              </w:rPr>
              <w:tab/>
            </w:r>
            <w:r w:rsidR="002E62BC" w:rsidRPr="00BF2CA4">
              <w:rPr>
                <w:rStyle w:val="Hyperlink"/>
                <w:noProof/>
              </w:rPr>
              <w:t>Commencement of Contracts</w:t>
            </w:r>
            <w:r w:rsidR="002E62BC">
              <w:rPr>
                <w:noProof/>
                <w:webHidden/>
              </w:rPr>
              <w:tab/>
            </w:r>
            <w:r w:rsidR="002E62BC">
              <w:rPr>
                <w:noProof/>
                <w:webHidden/>
              </w:rPr>
              <w:fldChar w:fldCharType="begin"/>
            </w:r>
            <w:r w:rsidR="002E62BC">
              <w:rPr>
                <w:noProof/>
                <w:webHidden/>
              </w:rPr>
              <w:instrText xml:space="preserve"> PAGEREF _Toc64386353 \h </w:instrText>
            </w:r>
            <w:r w:rsidR="002E62BC">
              <w:rPr>
                <w:noProof/>
                <w:webHidden/>
              </w:rPr>
            </w:r>
            <w:r w:rsidR="002E62BC">
              <w:rPr>
                <w:noProof/>
                <w:webHidden/>
              </w:rPr>
              <w:fldChar w:fldCharType="separate"/>
            </w:r>
            <w:r w:rsidR="002D05FB">
              <w:rPr>
                <w:noProof/>
                <w:webHidden/>
              </w:rPr>
              <w:t>15</w:t>
            </w:r>
            <w:r w:rsidR="002E62BC">
              <w:rPr>
                <w:noProof/>
                <w:webHidden/>
              </w:rPr>
              <w:fldChar w:fldCharType="end"/>
            </w:r>
          </w:hyperlink>
        </w:p>
        <w:p w14:paraId="263ECBEC" w14:textId="77A5484F" w:rsidR="002E62BC" w:rsidRDefault="00076171">
          <w:pPr>
            <w:pStyle w:val="TOC1"/>
            <w:tabs>
              <w:tab w:val="left" w:pos="660"/>
              <w:tab w:val="right" w:leader="dot" w:pos="9742"/>
            </w:tabs>
            <w:rPr>
              <w:rFonts w:eastAsiaTheme="minorEastAsia"/>
              <w:noProof/>
              <w:lang w:eastAsia="en-GB"/>
            </w:rPr>
          </w:pPr>
          <w:hyperlink w:anchor="_Toc64386354" w:history="1">
            <w:r w:rsidR="002E62BC" w:rsidRPr="00BF2CA4">
              <w:rPr>
                <w:rStyle w:val="Hyperlink"/>
                <w:noProof/>
              </w:rPr>
              <w:t>21.</w:t>
            </w:r>
            <w:r w:rsidR="002E62BC">
              <w:rPr>
                <w:rFonts w:eastAsiaTheme="minorEastAsia"/>
                <w:noProof/>
                <w:lang w:eastAsia="en-GB"/>
              </w:rPr>
              <w:tab/>
            </w:r>
            <w:r w:rsidR="002E62BC" w:rsidRPr="00BF2CA4">
              <w:rPr>
                <w:rStyle w:val="Hyperlink"/>
                <w:noProof/>
              </w:rPr>
              <w:t>Terms and Conditions of Contracts</w:t>
            </w:r>
            <w:r w:rsidR="002E62BC">
              <w:rPr>
                <w:noProof/>
                <w:webHidden/>
              </w:rPr>
              <w:tab/>
            </w:r>
            <w:r w:rsidR="002E62BC">
              <w:rPr>
                <w:noProof/>
                <w:webHidden/>
              </w:rPr>
              <w:fldChar w:fldCharType="begin"/>
            </w:r>
            <w:r w:rsidR="002E62BC">
              <w:rPr>
                <w:noProof/>
                <w:webHidden/>
              </w:rPr>
              <w:instrText xml:space="preserve"> PAGEREF _Toc64386354 \h </w:instrText>
            </w:r>
            <w:r w:rsidR="002E62BC">
              <w:rPr>
                <w:noProof/>
                <w:webHidden/>
              </w:rPr>
            </w:r>
            <w:r w:rsidR="002E62BC">
              <w:rPr>
                <w:noProof/>
                <w:webHidden/>
              </w:rPr>
              <w:fldChar w:fldCharType="separate"/>
            </w:r>
            <w:r w:rsidR="002D05FB">
              <w:rPr>
                <w:noProof/>
                <w:webHidden/>
              </w:rPr>
              <w:t>15</w:t>
            </w:r>
            <w:r w:rsidR="002E62BC">
              <w:rPr>
                <w:noProof/>
                <w:webHidden/>
              </w:rPr>
              <w:fldChar w:fldCharType="end"/>
            </w:r>
          </w:hyperlink>
        </w:p>
        <w:p w14:paraId="5221E4BD" w14:textId="3EC3BBC3" w:rsidR="002E62BC" w:rsidRDefault="00076171">
          <w:pPr>
            <w:pStyle w:val="TOC1"/>
            <w:tabs>
              <w:tab w:val="left" w:pos="660"/>
              <w:tab w:val="right" w:leader="dot" w:pos="9742"/>
            </w:tabs>
            <w:rPr>
              <w:rFonts w:eastAsiaTheme="minorEastAsia"/>
              <w:noProof/>
              <w:lang w:eastAsia="en-GB"/>
            </w:rPr>
          </w:pPr>
          <w:hyperlink w:anchor="_Toc64386355" w:history="1">
            <w:r w:rsidR="002E62BC" w:rsidRPr="00BF2CA4">
              <w:rPr>
                <w:rStyle w:val="Hyperlink"/>
                <w:noProof/>
              </w:rPr>
              <w:t>22.</w:t>
            </w:r>
            <w:r w:rsidR="002E62BC">
              <w:rPr>
                <w:rFonts w:eastAsiaTheme="minorEastAsia"/>
                <w:noProof/>
                <w:lang w:eastAsia="en-GB"/>
              </w:rPr>
              <w:tab/>
            </w:r>
            <w:r w:rsidR="002E62BC" w:rsidRPr="00BF2CA4">
              <w:rPr>
                <w:rStyle w:val="Hyperlink"/>
                <w:noProof/>
              </w:rPr>
              <w:t>Variations, Extensions and Renewals of Contracts</w:t>
            </w:r>
            <w:r w:rsidR="002E62BC">
              <w:rPr>
                <w:noProof/>
                <w:webHidden/>
              </w:rPr>
              <w:tab/>
            </w:r>
            <w:r w:rsidR="002E62BC">
              <w:rPr>
                <w:noProof/>
                <w:webHidden/>
              </w:rPr>
              <w:fldChar w:fldCharType="begin"/>
            </w:r>
            <w:r w:rsidR="002E62BC">
              <w:rPr>
                <w:noProof/>
                <w:webHidden/>
              </w:rPr>
              <w:instrText xml:space="preserve"> PAGEREF _Toc64386355 \h </w:instrText>
            </w:r>
            <w:r w:rsidR="002E62BC">
              <w:rPr>
                <w:noProof/>
                <w:webHidden/>
              </w:rPr>
            </w:r>
            <w:r w:rsidR="002E62BC">
              <w:rPr>
                <w:noProof/>
                <w:webHidden/>
              </w:rPr>
              <w:fldChar w:fldCharType="separate"/>
            </w:r>
            <w:r w:rsidR="002D05FB">
              <w:rPr>
                <w:noProof/>
                <w:webHidden/>
              </w:rPr>
              <w:t>16</w:t>
            </w:r>
            <w:r w:rsidR="002E62BC">
              <w:rPr>
                <w:noProof/>
                <w:webHidden/>
              </w:rPr>
              <w:fldChar w:fldCharType="end"/>
            </w:r>
          </w:hyperlink>
        </w:p>
        <w:p w14:paraId="795115DA" w14:textId="38CAF2E4" w:rsidR="002E62BC" w:rsidRDefault="00076171">
          <w:pPr>
            <w:pStyle w:val="TOC1"/>
            <w:tabs>
              <w:tab w:val="left" w:pos="660"/>
              <w:tab w:val="right" w:leader="dot" w:pos="9742"/>
            </w:tabs>
            <w:rPr>
              <w:rFonts w:eastAsiaTheme="minorEastAsia"/>
              <w:noProof/>
              <w:lang w:eastAsia="en-GB"/>
            </w:rPr>
          </w:pPr>
          <w:hyperlink w:anchor="_Toc64386356" w:history="1">
            <w:r w:rsidR="002E62BC" w:rsidRPr="00BF2CA4">
              <w:rPr>
                <w:rStyle w:val="Hyperlink"/>
                <w:noProof/>
              </w:rPr>
              <w:t>23.</w:t>
            </w:r>
            <w:r w:rsidR="002E62BC">
              <w:rPr>
                <w:rFonts w:eastAsiaTheme="minorEastAsia"/>
                <w:noProof/>
                <w:lang w:eastAsia="en-GB"/>
              </w:rPr>
              <w:tab/>
            </w:r>
            <w:r w:rsidR="002E62BC" w:rsidRPr="00BF2CA4">
              <w:rPr>
                <w:rStyle w:val="Hyperlink"/>
                <w:noProof/>
              </w:rPr>
              <w:t>Contract Management</w:t>
            </w:r>
            <w:r w:rsidR="002E62BC">
              <w:rPr>
                <w:noProof/>
                <w:webHidden/>
              </w:rPr>
              <w:tab/>
            </w:r>
            <w:r w:rsidR="002E62BC">
              <w:rPr>
                <w:noProof/>
                <w:webHidden/>
              </w:rPr>
              <w:fldChar w:fldCharType="begin"/>
            </w:r>
            <w:r w:rsidR="002E62BC">
              <w:rPr>
                <w:noProof/>
                <w:webHidden/>
              </w:rPr>
              <w:instrText xml:space="preserve"> PAGEREF _Toc64386356 \h </w:instrText>
            </w:r>
            <w:r w:rsidR="002E62BC">
              <w:rPr>
                <w:noProof/>
                <w:webHidden/>
              </w:rPr>
            </w:r>
            <w:r w:rsidR="002E62BC">
              <w:rPr>
                <w:noProof/>
                <w:webHidden/>
              </w:rPr>
              <w:fldChar w:fldCharType="separate"/>
            </w:r>
            <w:r w:rsidR="002D05FB">
              <w:rPr>
                <w:noProof/>
                <w:webHidden/>
              </w:rPr>
              <w:t>16</w:t>
            </w:r>
            <w:r w:rsidR="002E62BC">
              <w:rPr>
                <w:noProof/>
                <w:webHidden/>
              </w:rPr>
              <w:fldChar w:fldCharType="end"/>
            </w:r>
          </w:hyperlink>
        </w:p>
        <w:p w14:paraId="36C03B51" w14:textId="26551A00" w:rsidR="002E62BC" w:rsidRDefault="00076171">
          <w:pPr>
            <w:pStyle w:val="TOC1"/>
            <w:tabs>
              <w:tab w:val="left" w:pos="660"/>
              <w:tab w:val="right" w:leader="dot" w:pos="9742"/>
            </w:tabs>
            <w:rPr>
              <w:rFonts w:eastAsiaTheme="minorEastAsia"/>
              <w:noProof/>
              <w:lang w:eastAsia="en-GB"/>
            </w:rPr>
          </w:pPr>
          <w:hyperlink w:anchor="_Toc64386357" w:history="1">
            <w:r w:rsidR="002E62BC" w:rsidRPr="00BF2CA4">
              <w:rPr>
                <w:rStyle w:val="Hyperlink"/>
                <w:noProof/>
              </w:rPr>
              <w:t>24.</w:t>
            </w:r>
            <w:r w:rsidR="002E62BC">
              <w:rPr>
                <w:rFonts w:eastAsiaTheme="minorEastAsia"/>
                <w:noProof/>
                <w:lang w:eastAsia="en-GB"/>
              </w:rPr>
              <w:tab/>
            </w:r>
            <w:r w:rsidR="002E62BC" w:rsidRPr="00BF2CA4">
              <w:rPr>
                <w:rStyle w:val="Hyperlink"/>
                <w:noProof/>
              </w:rPr>
              <w:t>Non-compliance with the rules</w:t>
            </w:r>
            <w:r w:rsidR="002E62BC">
              <w:rPr>
                <w:noProof/>
                <w:webHidden/>
              </w:rPr>
              <w:tab/>
            </w:r>
            <w:r w:rsidR="002E62BC">
              <w:rPr>
                <w:noProof/>
                <w:webHidden/>
              </w:rPr>
              <w:fldChar w:fldCharType="begin"/>
            </w:r>
            <w:r w:rsidR="002E62BC">
              <w:rPr>
                <w:noProof/>
                <w:webHidden/>
              </w:rPr>
              <w:instrText xml:space="preserve"> PAGEREF _Toc64386357 \h </w:instrText>
            </w:r>
            <w:r w:rsidR="002E62BC">
              <w:rPr>
                <w:noProof/>
                <w:webHidden/>
              </w:rPr>
            </w:r>
            <w:r w:rsidR="002E62BC">
              <w:rPr>
                <w:noProof/>
                <w:webHidden/>
              </w:rPr>
              <w:fldChar w:fldCharType="separate"/>
            </w:r>
            <w:r w:rsidR="002D05FB">
              <w:rPr>
                <w:noProof/>
                <w:webHidden/>
              </w:rPr>
              <w:t>17</w:t>
            </w:r>
            <w:r w:rsidR="002E62BC">
              <w:rPr>
                <w:noProof/>
                <w:webHidden/>
              </w:rPr>
              <w:fldChar w:fldCharType="end"/>
            </w:r>
          </w:hyperlink>
        </w:p>
        <w:p w14:paraId="07B0544B" w14:textId="35537FEE" w:rsidR="002E62BC" w:rsidRDefault="00076171">
          <w:pPr>
            <w:pStyle w:val="TOC1"/>
            <w:tabs>
              <w:tab w:val="left" w:pos="660"/>
              <w:tab w:val="right" w:leader="dot" w:pos="9742"/>
            </w:tabs>
            <w:rPr>
              <w:rFonts w:eastAsiaTheme="minorEastAsia"/>
              <w:noProof/>
              <w:lang w:eastAsia="en-GB"/>
            </w:rPr>
          </w:pPr>
          <w:hyperlink w:anchor="_Toc64386358" w:history="1">
            <w:r w:rsidR="002E62BC" w:rsidRPr="00BF2CA4">
              <w:rPr>
                <w:rStyle w:val="Hyperlink"/>
                <w:noProof/>
              </w:rPr>
              <w:t>25.</w:t>
            </w:r>
            <w:r w:rsidR="002E62BC">
              <w:rPr>
                <w:rFonts w:eastAsiaTheme="minorEastAsia"/>
                <w:noProof/>
                <w:lang w:eastAsia="en-GB"/>
              </w:rPr>
              <w:tab/>
            </w:r>
            <w:r w:rsidR="002E62BC" w:rsidRPr="00BF2CA4">
              <w:rPr>
                <w:rStyle w:val="Hyperlink"/>
                <w:noProof/>
              </w:rPr>
              <w:t>Seeking advise</w:t>
            </w:r>
            <w:r w:rsidR="002E62BC">
              <w:rPr>
                <w:noProof/>
                <w:webHidden/>
              </w:rPr>
              <w:tab/>
            </w:r>
            <w:r w:rsidR="002E62BC">
              <w:rPr>
                <w:noProof/>
                <w:webHidden/>
              </w:rPr>
              <w:fldChar w:fldCharType="begin"/>
            </w:r>
            <w:r w:rsidR="002E62BC">
              <w:rPr>
                <w:noProof/>
                <w:webHidden/>
              </w:rPr>
              <w:instrText xml:space="preserve"> PAGEREF _Toc64386358 \h </w:instrText>
            </w:r>
            <w:r w:rsidR="002E62BC">
              <w:rPr>
                <w:noProof/>
                <w:webHidden/>
              </w:rPr>
            </w:r>
            <w:r w:rsidR="002E62BC">
              <w:rPr>
                <w:noProof/>
                <w:webHidden/>
              </w:rPr>
              <w:fldChar w:fldCharType="separate"/>
            </w:r>
            <w:r w:rsidR="002D05FB">
              <w:rPr>
                <w:noProof/>
                <w:webHidden/>
              </w:rPr>
              <w:t>17</w:t>
            </w:r>
            <w:r w:rsidR="002E62BC">
              <w:rPr>
                <w:noProof/>
                <w:webHidden/>
              </w:rPr>
              <w:fldChar w:fldCharType="end"/>
            </w:r>
          </w:hyperlink>
        </w:p>
        <w:p w14:paraId="129E67C3" w14:textId="380FC987" w:rsidR="002E62BC" w:rsidRDefault="00076171">
          <w:pPr>
            <w:pStyle w:val="TOC1"/>
            <w:tabs>
              <w:tab w:val="left" w:pos="660"/>
              <w:tab w:val="right" w:leader="dot" w:pos="9742"/>
            </w:tabs>
            <w:rPr>
              <w:rFonts w:eastAsiaTheme="minorEastAsia"/>
              <w:noProof/>
              <w:lang w:eastAsia="en-GB"/>
            </w:rPr>
          </w:pPr>
          <w:hyperlink w:anchor="_Toc64386359" w:history="1">
            <w:r w:rsidR="002E62BC" w:rsidRPr="00BF2CA4">
              <w:rPr>
                <w:rStyle w:val="Hyperlink"/>
                <w:noProof/>
              </w:rPr>
              <w:t>26.</w:t>
            </w:r>
            <w:r w:rsidR="002E62BC">
              <w:rPr>
                <w:rFonts w:eastAsiaTheme="minorEastAsia"/>
                <w:noProof/>
                <w:lang w:eastAsia="en-GB"/>
              </w:rPr>
              <w:tab/>
            </w:r>
            <w:r w:rsidR="002E62BC" w:rsidRPr="00BF2CA4">
              <w:rPr>
                <w:rStyle w:val="Hyperlink"/>
                <w:noProof/>
              </w:rPr>
              <w:t>Associated Documentation</w:t>
            </w:r>
            <w:r w:rsidR="002E62BC">
              <w:rPr>
                <w:noProof/>
                <w:webHidden/>
              </w:rPr>
              <w:tab/>
            </w:r>
            <w:r w:rsidR="002E62BC">
              <w:rPr>
                <w:noProof/>
                <w:webHidden/>
              </w:rPr>
              <w:fldChar w:fldCharType="begin"/>
            </w:r>
            <w:r w:rsidR="002E62BC">
              <w:rPr>
                <w:noProof/>
                <w:webHidden/>
              </w:rPr>
              <w:instrText xml:space="preserve"> PAGEREF _Toc64386359 \h </w:instrText>
            </w:r>
            <w:r w:rsidR="002E62BC">
              <w:rPr>
                <w:noProof/>
                <w:webHidden/>
              </w:rPr>
            </w:r>
            <w:r w:rsidR="002E62BC">
              <w:rPr>
                <w:noProof/>
                <w:webHidden/>
              </w:rPr>
              <w:fldChar w:fldCharType="separate"/>
            </w:r>
            <w:r w:rsidR="002D05FB">
              <w:rPr>
                <w:noProof/>
                <w:webHidden/>
              </w:rPr>
              <w:t>18</w:t>
            </w:r>
            <w:r w:rsidR="002E62BC">
              <w:rPr>
                <w:noProof/>
                <w:webHidden/>
              </w:rPr>
              <w:fldChar w:fldCharType="end"/>
            </w:r>
          </w:hyperlink>
        </w:p>
        <w:p w14:paraId="61FF6540" w14:textId="1E922911" w:rsidR="002E62BC" w:rsidRDefault="00076171">
          <w:pPr>
            <w:pStyle w:val="TOC1"/>
            <w:tabs>
              <w:tab w:val="left" w:pos="660"/>
              <w:tab w:val="right" w:leader="dot" w:pos="9742"/>
            </w:tabs>
            <w:rPr>
              <w:rFonts w:eastAsiaTheme="minorEastAsia"/>
              <w:noProof/>
              <w:lang w:eastAsia="en-GB"/>
            </w:rPr>
          </w:pPr>
          <w:hyperlink w:anchor="_Toc64386360" w:history="1">
            <w:r w:rsidR="002E62BC" w:rsidRPr="00BF2CA4">
              <w:rPr>
                <w:rStyle w:val="Hyperlink"/>
                <w:noProof/>
              </w:rPr>
              <w:t>27.</w:t>
            </w:r>
            <w:r w:rsidR="002E62BC">
              <w:rPr>
                <w:rFonts w:eastAsiaTheme="minorEastAsia"/>
                <w:noProof/>
                <w:lang w:eastAsia="en-GB"/>
              </w:rPr>
              <w:tab/>
            </w:r>
            <w:r w:rsidR="002E62BC" w:rsidRPr="00BF2CA4">
              <w:rPr>
                <w:rStyle w:val="Hyperlink"/>
                <w:noProof/>
              </w:rPr>
              <w:t>Version Control</w:t>
            </w:r>
            <w:r w:rsidR="002E62BC">
              <w:rPr>
                <w:noProof/>
                <w:webHidden/>
              </w:rPr>
              <w:tab/>
            </w:r>
            <w:r w:rsidR="002E62BC">
              <w:rPr>
                <w:noProof/>
                <w:webHidden/>
              </w:rPr>
              <w:fldChar w:fldCharType="begin"/>
            </w:r>
            <w:r w:rsidR="002E62BC">
              <w:rPr>
                <w:noProof/>
                <w:webHidden/>
              </w:rPr>
              <w:instrText xml:space="preserve"> PAGEREF _Toc64386360 \h </w:instrText>
            </w:r>
            <w:r w:rsidR="002E62BC">
              <w:rPr>
                <w:noProof/>
                <w:webHidden/>
              </w:rPr>
            </w:r>
            <w:r w:rsidR="002E62BC">
              <w:rPr>
                <w:noProof/>
                <w:webHidden/>
              </w:rPr>
              <w:fldChar w:fldCharType="separate"/>
            </w:r>
            <w:r w:rsidR="002D05FB">
              <w:rPr>
                <w:noProof/>
                <w:webHidden/>
              </w:rPr>
              <w:t>18</w:t>
            </w:r>
            <w:r w:rsidR="002E62BC">
              <w:rPr>
                <w:noProof/>
                <w:webHidden/>
              </w:rPr>
              <w:fldChar w:fldCharType="end"/>
            </w:r>
          </w:hyperlink>
        </w:p>
        <w:p w14:paraId="3E6C01B3" w14:textId="1DDC380C" w:rsidR="001311F2" w:rsidRPr="001311F2" w:rsidRDefault="001C7CB8" w:rsidP="001311F2">
          <w:pPr>
            <w:rPr>
              <w:noProof/>
            </w:rPr>
          </w:pPr>
          <w:r>
            <w:rPr>
              <w:b/>
              <w:bCs/>
              <w:noProof/>
            </w:rPr>
            <w:fldChar w:fldCharType="end"/>
          </w:r>
        </w:p>
      </w:sdtContent>
    </w:sdt>
    <w:p w14:paraId="0BA8190C" w14:textId="77777777" w:rsidR="002E62BC" w:rsidRDefault="002E62BC">
      <w:pPr>
        <w:rPr>
          <w:rFonts w:asciiTheme="majorHAnsi" w:eastAsiaTheme="majorEastAsia" w:hAnsiTheme="majorHAnsi" w:cstheme="majorBidi"/>
          <w:b/>
          <w:bCs/>
          <w:color w:val="21003E" w:themeColor="accent1" w:themeShade="BF"/>
          <w:sz w:val="28"/>
          <w:szCs w:val="28"/>
          <w:highlight w:val="lightGray"/>
        </w:rPr>
      </w:pPr>
      <w:bookmarkStart w:id="0" w:name="_Toc64386334"/>
      <w:r>
        <w:rPr>
          <w:highlight w:val="lightGray"/>
        </w:rPr>
        <w:br w:type="page"/>
      </w:r>
    </w:p>
    <w:p w14:paraId="599C8D34" w14:textId="7E974111" w:rsidR="00E729AB" w:rsidRDefault="00A51FE2" w:rsidP="002E62BC">
      <w:pPr>
        <w:pStyle w:val="Heading1"/>
        <w:numPr>
          <w:ilvl w:val="0"/>
          <w:numId w:val="11"/>
        </w:numPr>
        <w:spacing w:after="240"/>
      </w:pPr>
      <w:r>
        <w:lastRenderedPageBreak/>
        <w:t>Definitions</w:t>
      </w:r>
      <w:bookmarkEnd w:id="0"/>
    </w:p>
    <w:p w14:paraId="2098CDAF" w14:textId="77777777" w:rsidR="008A770E" w:rsidRDefault="00E729AB" w:rsidP="008A770E">
      <w:pPr>
        <w:pStyle w:val="ListParagraph"/>
        <w:numPr>
          <w:ilvl w:val="1"/>
          <w:numId w:val="11"/>
        </w:numPr>
        <w:spacing w:after="120"/>
        <w:contextualSpacing w:val="0"/>
      </w:pPr>
      <w:r w:rsidRPr="00E729AB">
        <w:rPr>
          <w:b/>
          <w:bCs/>
        </w:rPr>
        <w:t>Definitions</w:t>
      </w:r>
      <w:r>
        <w:t xml:space="preserve"> </w:t>
      </w:r>
    </w:p>
    <w:p w14:paraId="19A1932C" w14:textId="77777777" w:rsidR="008A770E" w:rsidRDefault="00E729AB" w:rsidP="008A770E">
      <w:pPr>
        <w:pStyle w:val="ListParagraph"/>
        <w:spacing w:after="120"/>
        <w:ind w:left="360" w:firstLine="360"/>
        <w:contextualSpacing w:val="0"/>
      </w:pPr>
      <w:r>
        <w:t xml:space="preserve">For the purposes of the Rules: </w:t>
      </w:r>
    </w:p>
    <w:p w14:paraId="4E740E63" w14:textId="1D8ACB46" w:rsidR="008A770E" w:rsidRDefault="00E729AB" w:rsidP="008A770E">
      <w:pPr>
        <w:pStyle w:val="ListParagraph"/>
        <w:numPr>
          <w:ilvl w:val="2"/>
          <w:numId w:val="14"/>
        </w:numPr>
        <w:spacing w:after="120"/>
        <w:ind w:left="1418" w:hanging="709"/>
        <w:contextualSpacing w:val="0"/>
      </w:pPr>
      <w:r>
        <w:t>Authorised Officers means the Chief Executive, Section 151 Officer (</w:t>
      </w:r>
      <w:r w:rsidR="00A20B2B">
        <w:t>Executive Director</w:t>
      </w:r>
      <w:r w:rsidR="00BD3AC2">
        <w:t xml:space="preserve"> – Resources and </w:t>
      </w:r>
      <w:r w:rsidR="00B142DD">
        <w:t>Transformation</w:t>
      </w:r>
      <w:r>
        <w:t>) and the Central Procurement Team (CPT</w:t>
      </w:r>
      <w:proofErr w:type="gramStart"/>
      <w:r>
        <w:t>).</w:t>
      </w:r>
      <w:r w:rsidR="00AE5194">
        <w:t>*</w:t>
      </w:r>
      <w:proofErr w:type="gramEnd"/>
      <w:r w:rsidR="00AE5194">
        <w:t>*</w:t>
      </w:r>
      <w:r>
        <w:t xml:space="preserve"> </w:t>
      </w:r>
    </w:p>
    <w:p w14:paraId="3A8F136F" w14:textId="631F4C8C" w:rsidR="00AE5194" w:rsidRPr="00AE5194" w:rsidRDefault="00AE5194" w:rsidP="00AE5194">
      <w:pPr>
        <w:pStyle w:val="ListParagraph"/>
        <w:spacing w:after="120"/>
        <w:ind w:left="1418"/>
        <w:contextualSpacing w:val="0"/>
        <w:rPr>
          <w:b/>
          <w:bCs/>
          <w:i/>
          <w:iCs/>
          <w:sz w:val="20"/>
          <w:szCs w:val="20"/>
        </w:rPr>
      </w:pPr>
      <w:r w:rsidRPr="00AE5194">
        <w:rPr>
          <w:b/>
          <w:bCs/>
          <w:i/>
          <w:iCs/>
          <w:sz w:val="20"/>
          <w:szCs w:val="20"/>
        </w:rPr>
        <w:t xml:space="preserve">** The Council’s procurement function is provided under a Shared Service Arrangement through Derbyshire Shared Facilities Services based at Chesterfield NHS Foundation Trust </w:t>
      </w:r>
    </w:p>
    <w:p w14:paraId="2A8A784D" w14:textId="77777777" w:rsidR="008A770E" w:rsidRDefault="00E729AB" w:rsidP="008A770E">
      <w:pPr>
        <w:pStyle w:val="ListParagraph"/>
        <w:spacing w:after="120"/>
        <w:ind w:left="1224"/>
        <w:contextualSpacing w:val="0"/>
      </w:pPr>
      <w:r w:rsidRPr="008A770E">
        <w:rPr>
          <w:b/>
          <w:bCs/>
        </w:rPr>
        <w:t>Contract means</w:t>
      </w:r>
      <w:r>
        <w:t xml:space="preserve"> an agreement which: </w:t>
      </w:r>
    </w:p>
    <w:p w14:paraId="38E804CF" w14:textId="7E9210F7" w:rsidR="008A770E" w:rsidRDefault="00E729AB" w:rsidP="008A770E">
      <w:pPr>
        <w:pStyle w:val="ListParagraph"/>
        <w:numPr>
          <w:ilvl w:val="0"/>
          <w:numId w:val="15"/>
        </w:numPr>
        <w:spacing w:after="120"/>
        <w:contextualSpacing w:val="0"/>
      </w:pPr>
      <w:r>
        <w:t xml:space="preserve">may be oral, written, partly oral and partly written or implied from conduct between the Council and another </w:t>
      </w:r>
      <w:r w:rsidR="00AE5194">
        <w:t>person.</w:t>
      </w:r>
      <w:r>
        <w:t xml:space="preserve"> </w:t>
      </w:r>
    </w:p>
    <w:p w14:paraId="1897E76B" w14:textId="77777777" w:rsidR="008A770E" w:rsidRDefault="00E729AB" w:rsidP="008A770E">
      <w:pPr>
        <w:pStyle w:val="ListParagraph"/>
        <w:numPr>
          <w:ilvl w:val="0"/>
          <w:numId w:val="15"/>
        </w:numPr>
        <w:spacing w:after="120"/>
        <w:contextualSpacing w:val="0"/>
      </w:pPr>
      <w:r>
        <w:t xml:space="preserve">ii. gives rise to obligations which are enforceable or recognised by law (i.e. legally binding); and </w:t>
      </w:r>
    </w:p>
    <w:p w14:paraId="09A8CBD2" w14:textId="0F354A9C" w:rsidR="008A770E" w:rsidRDefault="00E729AB" w:rsidP="008A770E">
      <w:pPr>
        <w:pStyle w:val="ListParagraph"/>
        <w:numPr>
          <w:ilvl w:val="0"/>
          <w:numId w:val="15"/>
        </w:numPr>
        <w:spacing w:after="120"/>
        <w:contextualSpacing w:val="0"/>
      </w:pPr>
      <w:r>
        <w:t xml:space="preserve">iii. commits the Council to paying or doing </w:t>
      </w:r>
      <w:r w:rsidR="00AE5194">
        <w:t>something.</w:t>
      </w:r>
      <w:r>
        <w:t xml:space="preserve"> </w:t>
      </w:r>
    </w:p>
    <w:p w14:paraId="69820B6F" w14:textId="705D1311" w:rsidR="008A770E" w:rsidRDefault="00E729AB" w:rsidP="008A770E">
      <w:pPr>
        <w:pStyle w:val="ListParagraph"/>
        <w:numPr>
          <w:ilvl w:val="2"/>
          <w:numId w:val="14"/>
        </w:numPr>
        <w:spacing w:after="120"/>
        <w:ind w:left="1418" w:hanging="709"/>
        <w:contextualSpacing w:val="0"/>
      </w:pPr>
      <w:r>
        <w:t>and, where the context requires, a reference to a contract means a contract to which the Rules apply</w:t>
      </w:r>
      <w:r w:rsidR="00AE5194">
        <w:t>,</w:t>
      </w:r>
      <w:r>
        <w:t xml:space="preserve"> and a “</w:t>
      </w:r>
      <w:r w:rsidRPr="008A770E">
        <w:rPr>
          <w:b/>
          <w:bCs/>
        </w:rPr>
        <w:t>Call-off Contract</w:t>
      </w:r>
      <w:r>
        <w:t>” means an order made/call-off contract entered into under a Framework Agreement</w:t>
      </w:r>
      <w:r w:rsidR="00AE5194">
        <w:t>.</w:t>
      </w:r>
      <w:r>
        <w:t xml:space="preserve"> </w:t>
      </w:r>
    </w:p>
    <w:p w14:paraId="5FD8D3C0" w14:textId="06433E8A" w:rsidR="008A770E" w:rsidRDefault="00E729AB" w:rsidP="008A770E">
      <w:pPr>
        <w:pStyle w:val="ListParagraph"/>
        <w:numPr>
          <w:ilvl w:val="2"/>
          <w:numId w:val="14"/>
        </w:numPr>
        <w:spacing w:after="120"/>
        <w:ind w:left="1418" w:hanging="709"/>
        <w:contextualSpacing w:val="0"/>
      </w:pPr>
      <w:r w:rsidRPr="008A770E">
        <w:rPr>
          <w:b/>
          <w:bCs/>
        </w:rPr>
        <w:t>Designated Opening Officers</w:t>
      </w:r>
      <w:r>
        <w:t xml:space="preserve"> means officers designated to carry out the functions allocated to them in the Rules for the Receipt and Opening of Tenders (Section 16) including any third parties (such as consultants) approved by the </w:t>
      </w:r>
      <w:r w:rsidR="00A20B2B">
        <w:t>Executive Director</w:t>
      </w:r>
      <w:r w:rsidR="00485AE6">
        <w:t xml:space="preserve"> – Resources and Transformation</w:t>
      </w:r>
      <w:r>
        <w:t>)</w:t>
      </w:r>
      <w:r w:rsidR="00AE5194">
        <w:t>.</w:t>
      </w:r>
      <w:r>
        <w:t xml:space="preserve"> </w:t>
      </w:r>
    </w:p>
    <w:p w14:paraId="7FCFC238" w14:textId="078AC882" w:rsidR="008A770E" w:rsidRDefault="00E729AB" w:rsidP="008A770E">
      <w:pPr>
        <w:pStyle w:val="ListParagraph"/>
        <w:numPr>
          <w:ilvl w:val="2"/>
          <w:numId w:val="14"/>
        </w:numPr>
        <w:spacing w:after="120"/>
        <w:ind w:left="1418" w:hanging="709"/>
        <w:contextualSpacing w:val="0"/>
      </w:pPr>
      <w:r w:rsidRPr="008A770E">
        <w:rPr>
          <w:b/>
          <w:bCs/>
        </w:rPr>
        <w:t xml:space="preserve">Director </w:t>
      </w:r>
      <w:r>
        <w:t xml:space="preserve">means the </w:t>
      </w:r>
      <w:r w:rsidR="00A20B2B">
        <w:t>Executive Director</w:t>
      </w:r>
      <w:r w:rsidR="00485AE6">
        <w:t xml:space="preserve"> - Resources and Transformation</w:t>
      </w:r>
    </w:p>
    <w:p w14:paraId="1C58D037" w14:textId="7EEBB8CA" w:rsidR="008A770E" w:rsidRDefault="00E729AB" w:rsidP="008A770E">
      <w:pPr>
        <w:pStyle w:val="ListParagraph"/>
        <w:numPr>
          <w:ilvl w:val="2"/>
          <w:numId w:val="14"/>
        </w:numPr>
        <w:spacing w:after="120"/>
        <w:ind w:left="1418" w:hanging="709"/>
        <w:contextualSpacing w:val="0"/>
      </w:pPr>
      <w:r w:rsidRPr="008A770E">
        <w:rPr>
          <w:b/>
          <w:bCs/>
        </w:rPr>
        <w:t>EU Tender</w:t>
      </w:r>
      <w:r>
        <w:t xml:space="preserve"> means a tender procedure, which needs to be carried out under European Union public procurement legislation</w:t>
      </w:r>
      <w:r w:rsidR="00AE5194">
        <w:t xml:space="preserve">. </w:t>
      </w:r>
      <w:r w:rsidR="00836FF2">
        <w:t>(</w:t>
      </w:r>
      <w:r w:rsidR="00836FF2" w:rsidRPr="00836FF2">
        <w:rPr>
          <w:rFonts w:ascii="Arial" w:hAnsi="Arial" w:cs="Arial"/>
          <w:b/>
          <w:bCs/>
          <w:i/>
          <w:iCs/>
        </w:rPr>
        <w:t>Although the UK has left the EU, the Treaty still applies in UK law until statute determines otherwise</w:t>
      </w:r>
      <w:r w:rsidR="00836FF2">
        <w:rPr>
          <w:rFonts w:ascii="Arial" w:hAnsi="Arial" w:cs="Arial"/>
          <w:sz w:val="24"/>
          <w:szCs w:val="24"/>
        </w:rPr>
        <w:t>).</w:t>
      </w:r>
      <w:r>
        <w:t xml:space="preserve"> </w:t>
      </w:r>
    </w:p>
    <w:p w14:paraId="6A066550" w14:textId="5D15E907" w:rsidR="008A770E" w:rsidRDefault="00E729AB" w:rsidP="008A770E">
      <w:pPr>
        <w:pStyle w:val="ListParagraph"/>
        <w:numPr>
          <w:ilvl w:val="2"/>
          <w:numId w:val="14"/>
        </w:numPr>
        <w:spacing w:after="120"/>
        <w:ind w:left="1418" w:hanging="709"/>
        <w:contextualSpacing w:val="0"/>
      </w:pPr>
      <w:r w:rsidRPr="008A770E">
        <w:rPr>
          <w:b/>
          <w:bCs/>
        </w:rPr>
        <w:t>Framework Agreement</w:t>
      </w:r>
      <w:r>
        <w:t xml:space="preserve"> means a contract with a supplier or suppliers which establishes the terms and conditions (</w:t>
      </w:r>
      <w:proofErr w:type="gramStart"/>
      <w:r>
        <w:t>in particular as</w:t>
      </w:r>
      <w:proofErr w:type="gramEnd"/>
      <w:r>
        <w:t xml:space="preserve"> to price) under which Call-off Contracts can be made during the length of the Framework Agreement. This includes government pre-negotiated contracts</w:t>
      </w:r>
      <w:r w:rsidR="00836FF2">
        <w:t>.</w:t>
      </w:r>
      <w:r>
        <w:t xml:space="preserve"> </w:t>
      </w:r>
    </w:p>
    <w:p w14:paraId="2AC750A8" w14:textId="1A5C9694" w:rsidR="008A770E" w:rsidRDefault="00E729AB" w:rsidP="008A770E">
      <w:pPr>
        <w:pStyle w:val="ListParagraph"/>
        <w:numPr>
          <w:ilvl w:val="2"/>
          <w:numId w:val="14"/>
        </w:numPr>
        <w:spacing w:after="120"/>
        <w:ind w:left="1418" w:hanging="709"/>
        <w:contextualSpacing w:val="0"/>
      </w:pPr>
      <w:r w:rsidRPr="008A770E">
        <w:rPr>
          <w:b/>
          <w:bCs/>
        </w:rPr>
        <w:t>person</w:t>
      </w:r>
      <w:r>
        <w:t xml:space="preserve"> means any individual, partnership, local authority or incorporated or unincorporated body</w:t>
      </w:r>
      <w:r w:rsidR="00836FF2">
        <w:t>.</w:t>
      </w:r>
      <w:r>
        <w:t xml:space="preserve"> </w:t>
      </w:r>
    </w:p>
    <w:p w14:paraId="2A0FF3A6" w14:textId="723AD74D" w:rsidR="008A770E" w:rsidRDefault="00E729AB" w:rsidP="008A770E">
      <w:pPr>
        <w:pStyle w:val="ListParagraph"/>
        <w:numPr>
          <w:ilvl w:val="2"/>
          <w:numId w:val="14"/>
        </w:numPr>
        <w:spacing w:after="120"/>
        <w:ind w:left="1418" w:hanging="709"/>
        <w:contextualSpacing w:val="0"/>
      </w:pPr>
      <w:r w:rsidRPr="008A770E">
        <w:rPr>
          <w:b/>
          <w:bCs/>
        </w:rPr>
        <w:t>Section 151 Officer</w:t>
      </w:r>
      <w:r>
        <w:t xml:space="preserve"> means the </w:t>
      </w:r>
      <w:r w:rsidR="004D6248">
        <w:t xml:space="preserve">Executive Director - Resources and Transformation </w:t>
      </w:r>
      <w:r>
        <w:t xml:space="preserve">appointed under s151 of the Local Government Act 1972 and officers to whom the s151 Officer has delegated their functions in accordance with the relevant Scheme of Delegation; and </w:t>
      </w:r>
    </w:p>
    <w:p w14:paraId="010B3646" w14:textId="7867A671" w:rsidR="00E729AB" w:rsidRDefault="00E729AB" w:rsidP="008A770E">
      <w:pPr>
        <w:pStyle w:val="ListParagraph"/>
        <w:numPr>
          <w:ilvl w:val="2"/>
          <w:numId w:val="14"/>
        </w:numPr>
        <w:spacing w:after="120"/>
        <w:ind w:left="1418" w:hanging="709"/>
        <w:contextualSpacing w:val="0"/>
      </w:pPr>
      <w:r w:rsidRPr="008A770E">
        <w:rPr>
          <w:b/>
          <w:bCs/>
        </w:rPr>
        <w:t>Scheme of Delegation</w:t>
      </w:r>
      <w:r>
        <w:t xml:space="preserve"> has the meaning given to it under Rule 8 of the Contract Procedure Rules.</w:t>
      </w:r>
    </w:p>
    <w:p w14:paraId="3B692D12" w14:textId="160AEFDA" w:rsidR="002E62BC" w:rsidRDefault="002E62BC" w:rsidP="008A770E">
      <w:pPr>
        <w:pStyle w:val="ListParagraph"/>
        <w:numPr>
          <w:ilvl w:val="2"/>
          <w:numId w:val="14"/>
        </w:numPr>
        <w:spacing w:after="120"/>
        <w:ind w:left="1418" w:hanging="709"/>
        <w:contextualSpacing w:val="0"/>
      </w:pPr>
      <w:r>
        <w:rPr>
          <w:b/>
          <w:bCs/>
        </w:rPr>
        <w:lastRenderedPageBreak/>
        <w:t xml:space="preserve">Environmental management </w:t>
      </w:r>
      <w:r>
        <w:t>is managing the environmental aspects and impacts of services, activities (including purchasing) and assets, to ensure compliance to SDDC</w:t>
      </w:r>
      <w:r w:rsidRPr="002E62BC">
        <w:t xml:space="preserve"> Environmental Policy</w:t>
      </w:r>
      <w:r>
        <w:t xml:space="preserve"> and ISO 14001 standard</w:t>
      </w:r>
      <w:r w:rsidRPr="002E62BC">
        <w:t>.</w:t>
      </w:r>
    </w:p>
    <w:p w14:paraId="3CA03FAF" w14:textId="21824CAA" w:rsidR="00836FF2" w:rsidRDefault="00524CE9" w:rsidP="008A770E">
      <w:pPr>
        <w:pStyle w:val="ListParagraph"/>
        <w:numPr>
          <w:ilvl w:val="2"/>
          <w:numId w:val="14"/>
        </w:numPr>
        <w:spacing w:after="120"/>
        <w:ind w:left="1418" w:hanging="709"/>
        <w:contextualSpacing w:val="0"/>
      </w:pPr>
      <w:r>
        <w:rPr>
          <w:b/>
          <w:bCs/>
        </w:rPr>
        <w:t xml:space="preserve">Sustainability </w:t>
      </w:r>
      <w:r w:rsidRPr="00524CE9">
        <w:t>is delivering environmental, economic and social gains</w:t>
      </w:r>
      <w:r>
        <w:rPr>
          <w:b/>
          <w:bCs/>
        </w:rPr>
        <w:t>.</w:t>
      </w:r>
    </w:p>
    <w:p w14:paraId="3FC5B22D" w14:textId="1B25800B" w:rsidR="004E1038" w:rsidRDefault="004E1038" w:rsidP="000E2D8B">
      <w:pPr>
        <w:pStyle w:val="Heading1"/>
        <w:numPr>
          <w:ilvl w:val="0"/>
          <w:numId w:val="11"/>
        </w:numPr>
        <w:spacing w:after="240"/>
      </w:pPr>
      <w:bookmarkStart w:id="1" w:name="_Toc64386335"/>
      <w:r w:rsidRPr="004E1038">
        <w:t>Compliance with the Rules and Relevant Legislation</w:t>
      </w:r>
      <w:bookmarkEnd w:id="1"/>
    </w:p>
    <w:p w14:paraId="792F5DC8" w14:textId="43DB77D6" w:rsidR="008A770E" w:rsidRDefault="008A770E" w:rsidP="008A770E">
      <w:pPr>
        <w:pStyle w:val="ListParagraph"/>
        <w:numPr>
          <w:ilvl w:val="1"/>
          <w:numId w:val="11"/>
        </w:numPr>
        <w:spacing w:after="120"/>
        <w:contextualSpacing w:val="0"/>
      </w:pPr>
      <w:r>
        <w:t>The Rules apply to all contracts for the provision of goods, services and works to the Council unless otherwise specified in the Rules. This means</w:t>
      </w:r>
      <w:r w:rsidR="00524CE9">
        <w:t>:</w:t>
      </w:r>
    </w:p>
    <w:p w14:paraId="0D646769" w14:textId="3E481F5E" w:rsidR="008A770E" w:rsidRDefault="008A770E" w:rsidP="008A770E">
      <w:pPr>
        <w:pStyle w:val="ListParagraph"/>
        <w:numPr>
          <w:ilvl w:val="0"/>
          <w:numId w:val="16"/>
        </w:numPr>
        <w:spacing w:after="120"/>
        <w:contextualSpacing w:val="0"/>
      </w:pPr>
      <w:r w:rsidRPr="008A770E">
        <w:rPr>
          <w:b/>
          <w:bCs/>
        </w:rPr>
        <w:t>Purchase Orders</w:t>
      </w:r>
      <w:r>
        <w:t xml:space="preserve"> - All third</w:t>
      </w:r>
      <w:r w:rsidR="00524CE9">
        <w:t>-</w:t>
      </w:r>
      <w:r>
        <w:t>party expenditure should be covered by an official purchase order to enforce the ‘</w:t>
      </w:r>
      <w:r w:rsidRPr="0040323C">
        <w:rPr>
          <w:b/>
          <w:bCs/>
        </w:rPr>
        <w:t>No Purchase Order, No Pay’</w:t>
      </w:r>
      <w:r>
        <w:t xml:space="preserve"> policy throughout the Council. </w:t>
      </w:r>
    </w:p>
    <w:p w14:paraId="2F689518" w14:textId="77777777" w:rsidR="008A770E" w:rsidRDefault="008A770E" w:rsidP="008A770E">
      <w:pPr>
        <w:pStyle w:val="ListParagraph"/>
        <w:numPr>
          <w:ilvl w:val="0"/>
          <w:numId w:val="16"/>
        </w:numPr>
        <w:spacing w:after="120"/>
        <w:contextualSpacing w:val="0"/>
      </w:pPr>
      <w:r w:rsidRPr="008A770E">
        <w:rPr>
          <w:b/>
          <w:bCs/>
        </w:rPr>
        <w:t>Payment Policy</w:t>
      </w:r>
      <w:r>
        <w:t xml:space="preserve"> – It is Council policy to settle all outstanding supplier liabilities by BACS, with the use of cheques phased out. </w:t>
      </w:r>
    </w:p>
    <w:p w14:paraId="08ADF69F" w14:textId="6CF1E4E9" w:rsidR="008A770E" w:rsidRDefault="008A770E" w:rsidP="008A770E">
      <w:pPr>
        <w:pStyle w:val="ListParagraph"/>
        <w:numPr>
          <w:ilvl w:val="0"/>
          <w:numId w:val="16"/>
        </w:numPr>
        <w:spacing w:after="120"/>
        <w:contextualSpacing w:val="0"/>
      </w:pPr>
      <w:r w:rsidRPr="008A770E">
        <w:rPr>
          <w:b/>
          <w:bCs/>
        </w:rPr>
        <w:t>Goods Receipt</w:t>
      </w:r>
      <w:r>
        <w:t xml:space="preserve"> – All goods, services and works covered by an official purchase order must be receipted before payment will be made against any invoices received by the Council – receipt must be made in accordance with the instructions specified in the Financial Procedure Rules, Appendix B1</w:t>
      </w:r>
      <w:r w:rsidR="00524CE9">
        <w:t>.</w:t>
      </w:r>
      <w:r>
        <w:t xml:space="preserve"> Evidence of receipts should be kept by the recipient for audit purposes. All invoices received need to quote the official purchase order and be sent directly to Finance for invoice registration to ensure prompt processing. Invoices not quoting the purchase order will be returned to the supplier for clarification.</w:t>
      </w:r>
      <w:r>
        <w:cr/>
      </w:r>
    </w:p>
    <w:p w14:paraId="1FB9993D" w14:textId="77777777" w:rsidR="008A770E" w:rsidRDefault="008A770E" w:rsidP="008A770E">
      <w:pPr>
        <w:pStyle w:val="ListParagraph"/>
        <w:numPr>
          <w:ilvl w:val="1"/>
          <w:numId w:val="11"/>
        </w:numPr>
        <w:spacing w:after="120"/>
        <w:contextualSpacing w:val="0"/>
      </w:pPr>
      <w:r>
        <w:t xml:space="preserve">All contracts must comply with: </w:t>
      </w:r>
    </w:p>
    <w:p w14:paraId="12B2B2DC" w14:textId="6C846D5F" w:rsidR="008A770E" w:rsidRDefault="008A770E" w:rsidP="008A770E">
      <w:pPr>
        <w:pStyle w:val="ListParagraph"/>
        <w:numPr>
          <w:ilvl w:val="0"/>
          <w:numId w:val="18"/>
        </w:numPr>
        <w:spacing w:after="120"/>
        <w:contextualSpacing w:val="0"/>
      </w:pPr>
      <w:r>
        <w:t xml:space="preserve">European law; and </w:t>
      </w:r>
    </w:p>
    <w:p w14:paraId="4F4C25A8" w14:textId="1F608F46" w:rsidR="008A770E" w:rsidRDefault="008A770E" w:rsidP="008A770E">
      <w:pPr>
        <w:pStyle w:val="ListParagraph"/>
        <w:numPr>
          <w:ilvl w:val="0"/>
          <w:numId w:val="18"/>
        </w:numPr>
        <w:spacing w:after="120"/>
        <w:contextualSpacing w:val="0"/>
      </w:pPr>
      <w:r>
        <w:t xml:space="preserve">English law (including the Council’s statutory duties and powers); and </w:t>
      </w:r>
    </w:p>
    <w:p w14:paraId="2C2592A3" w14:textId="088B5156" w:rsidR="008A770E" w:rsidRDefault="008A770E" w:rsidP="008A770E">
      <w:pPr>
        <w:pStyle w:val="ListParagraph"/>
        <w:numPr>
          <w:ilvl w:val="0"/>
          <w:numId w:val="18"/>
        </w:numPr>
        <w:spacing w:after="120"/>
        <w:contextualSpacing w:val="0"/>
      </w:pPr>
      <w:r>
        <w:t xml:space="preserve">the Rules and the Financial Procedure Rules; and </w:t>
      </w:r>
    </w:p>
    <w:p w14:paraId="731E6BAA" w14:textId="5A886678" w:rsidR="008A770E" w:rsidRDefault="008A770E" w:rsidP="008A770E">
      <w:pPr>
        <w:pStyle w:val="ListParagraph"/>
        <w:numPr>
          <w:ilvl w:val="0"/>
          <w:numId w:val="18"/>
        </w:numPr>
        <w:spacing w:after="120"/>
        <w:contextualSpacing w:val="0"/>
      </w:pPr>
      <w:r>
        <w:t xml:space="preserve">any relevant Council policies; and </w:t>
      </w:r>
    </w:p>
    <w:p w14:paraId="1D26A654" w14:textId="1D09537B" w:rsidR="008A770E" w:rsidRDefault="008A770E" w:rsidP="008A770E">
      <w:pPr>
        <w:pStyle w:val="ListParagraph"/>
        <w:numPr>
          <w:ilvl w:val="0"/>
          <w:numId w:val="18"/>
        </w:numPr>
        <w:spacing w:after="120"/>
        <w:contextualSpacing w:val="0"/>
      </w:pPr>
      <w:r>
        <w:t xml:space="preserve">Any legal requirement stipulated by the </w:t>
      </w:r>
      <w:r w:rsidR="00A20B2B">
        <w:t>Executive Director</w:t>
      </w:r>
      <w:r w:rsidR="00485AE6">
        <w:t xml:space="preserve"> - Resources and Transformation</w:t>
      </w:r>
      <w:r>
        <w:t>.</w:t>
      </w:r>
    </w:p>
    <w:p w14:paraId="2A88C34C" w14:textId="77777777" w:rsidR="008A770E" w:rsidRDefault="008A770E" w:rsidP="008A770E">
      <w:pPr>
        <w:pStyle w:val="ListParagraph"/>
        <w:spacing w:after="120"/>
        <w:ind w:left="1512"/>
        <w:contextualSpacing w:val="0"/>
      </w:pPr>
    </w:p>
    <w:p w14:paraId="0926B524" w14:textId="698AA8A6" w:rsidR="008A770E" w:rsidRDefault="008A770E" w:rsidP="008A770E">
      <w:pPr>
        <w:pStyle w:val="ListParagraph"/>
        <w:numPr>
          <w:ilvl w:val="1"/>
          <w:numId w:val="11"/>
        </w:numPr>
        <w:spacing w:after="120"/>
        <w:contextualSpacing w:val="0"/>
      </w:pPr>
      <w:r>
        <w:t>All contracts must comply with the following principles of EU law</w:t>
      </w:r>
      <w:r w:rsidR="00F00D86">
        <w:t xml:space="preserve"> where they continue to apply under the EU Treaty</w:t>
      </w:r>
      <w:r>
        <w:t xml:space="preserve">: </w:t>
      </w:r>
    </w:p>
    <w:p w14:paraId="1E337399" w14:textId="36E680A3" w:rsidR="008A770E" w:rsidRDefault="008A770E" w:rsidP="008A770E">
      <w:pPr>
        <w:pStyle w:val="ListParagraph"/>
        <w:numPr>
          <w:ilvl w:val="0"/>
          <w:numId w:val="19"/>
        </w:numPr>
        <w:spacing w:after="120"/>
        <w:contextualSpacing w:val="0"/>
      </w:pPr>
      <w:r>
        <w:t xml:space="preserve">free movement of goods and services; and </w:t>
      </w:r>
    </w:p>
    <w:p w14:paraId="7D1FD925" w14:textId="0D71DBF3" w:rsidR="008A770E" w:rsidRDefault="008A770E" w:rsidP="008A770E">
      <w:pPr>
        <w:pStyle w:val="ListParagraph"/>
        <w:numPr>
          <w:ilvl w:val="0"/>
          <w:numId w:val="19"/>
        </w:numPr>
        <w:spacing w:after="120"/>
        <w:contextualSpacing w:val="0"/>
      </w:pPr>
      <w:r>
        <w:t xml:space="preserve">non-discrimination; and </w:t>
      </w:r>
    </w:p>
    <w:p w14:paraId="733DB139" w14:textId="79E8E21B" w:rsidR="008A770E" w:rsidRDefault="008A770E" w:rsidP="008A770E">
      <w:pPr>
        <w:pStyle w:val="ListParagraph"/>
        <w:numPr>
          <w:ilvl w:val="0"/>
          <w:numId w:val="19"/>
        </w:numPr>
        <w:spacing w:after="120"/>
        <w:contextualSpacing w:val="0"/>
      </w:pPr>
      <w:r>
        <w:t xml:space="preserve">openness/transparency; and </w:t>
      </w:r>
    </w:p>
    <w:p w14:paraId="01C6057C" w14:textId="31B9C278" w:rsidR="008A770E" w:rsidRDefault="008A770E" w:rsidP="008A770E">
      <w:pPr>
        <w:pStyle w:val="ListParagraph"/>
        <w:numPr>
          <w:ilvl w:val="0"/>
          <w:numId w:val="19"/>
        </w:numPr>
        <w:spacing w:after="120"/>
        <w:contextualSpacing w:val="0"/>
      </w:pPr>
      <w:r>
        <w:t xml:space="preserve">equal treatment for all; and </w:t>
      </w:r>
    </w:p>
    <w:p w14:paraId="48327E76" w14:textId="5DDC4251" w:rsidR="008A770E" w:rsidRDefault="008A770E" w:rsidP="008A770E">
      <w:pPr>
        <w:pStyle w:val="ListParagraph"/>
        <w:numPr>
          <w:ilvl w:val="0"/>
          <w:numId w:val="19"/>
        </w:numPr>
        <w:spacing w:after="120"/>
        <w:contextualSpacing w:val="0"/>
      </w:pPr>
      <w:r>
        <w:t xml:space="preserve">proportionality. </w:t>
      </w:r>
    </w:p>
    <w:p w14:paraId="65E917B5" w14:textId="77777777" w:rsidR="008A770E" w:rsidRPr="008A770E" w:rsidRDefault="008A770E" w:rsidP="008A770E">
      <w:pPr>
        <w:pStyle w:val="ListParagraph"/>
        <w:spacing w:after="120"/>
        <w:ind w:left="1512"/>
        <w:contextualSpacing w:val="0"/>
        <w:rPr>
          <w:sz w:val="18"/>
          <w:szCs w:val="18"/>
        </w:rPr>
      </w:pPr>
    </w:p>
    <w:p w14:paraId="73F486B6" w14:textId="77777777" w:rsidR="008A770E" w:rsidRDefault="008A770E" w:rsidP="008A770E">
      <w:pPr>
        <w:pStyle w:val="ListParagraph"/>
        <w:numPr>
          <w:ilvl w:val="1"/>
          <w:numId w:val="11"/>
        </w:numPr>
        <w:spacing w:after="120"/>
        <w:contextualSpacing w:val="0"/>
      </w:pPr>
      <w:r>
        <w:lastRenderedPageBreak/>
        <w:t xml:space="preserve">The intention and spirit of the Rules must be adhered to. </w:t>
      </w:r>
    </w:p>
    <w:p w14:paraId="4EE3FF3E" w14:textId="77777777" w:rsidR="008A770E" w:rsidRDefault="008A770E" w:rsidP="008A770E">
      <w:pPr>
        <w:pStyle w:val="ListParagraph"/>
        <w:numPr>
          <w:ilvl w:val="1"/>
          <w:numId w:val="11"/>
        </w:numPr>
        <w:spacing w:after="120"/>
        <w:contextualSpacing w:val="0"/>
      </w:pPr>
      <w:r>
        <w:t>The Rules must be complied with by all officers of the Council and all other persons who are authorised to carry out procurement and contracting on behalf of the Council (such as the Council’s agents for property services) (“</w:t>
      </w:r>
      <w:r w:rsidRPr="0040323C">
        <w:rPr>
          <w:b/>
          <w:bCs/>
        </w:rPr>
        <w:t>Agents</w:t>
      </w:r>
      <w:r>
        <w:t>”).</w:t>
      </w:r>
    </w:p>
    <w:p w14:paraId="1993323B" w14:textId="22F5F7D2" w:rsidR="008A770E" w:rsidRPr="008A770E" w:rsidRDefault="008A770E" w:rsidP="008A770E">
      <w:pPr>
        <w:pStyle w:val="ListParagraph"/>
        <w:numPr>
          <w:ilvl w:val="1"/>
          <w:numId w:val="11"/>
        </w:numPr>
        <w:spacing w:after="120"/>
        <w:contextualSpacing w:val="0"/>
      </w:pPr>
      <w:r>
        <w:t xml:space="preserve">It must be a term of all contracts between the Council and its Agents that the Agents comply with the Rules. Furthermore, Agents may undertake to conduct the Procurement Procedures detailed herein and associated negotiation on behalf of the Council, however, such Agents are not authorised to </w:t>
      </w:r>
      <w:proofErr w:type="gramStart"/>
      <w:r>
        <w:t>enter into</w:t>
      </w:r>
      <w:proofErr w:type="gramEnd"/>
      <w:r>
        <w:t xml:space="preserve"> a binding Contract on behalf of the Council.</w:t>
      </w:r>
    </w:p>
    <w:p w14:paraId="6C44F6C1" w14:textId="18C0A273" w:rsidR="004E1038" w:rsidRDefault="004E1038" w:rsidP="000E2D8B">
      <w:pPr>
        <w:pStyle w:val="Heading1"/>
        <w:numPr>
          <w:ilvl w:val="0"/>
          <w:numId w:val="11"/>
        </w:numPr>
        <w:spacing w:after="240"/>
      </w:pPr>
      <w:bookmarkStart w:id="2" w:name="_Toc64386336"/>
      <w:r w:rsidRPr="004E1038">
        <w:t xml:space="preserve">Contracts to which the Rules do not </w:t>
      </w:r>
      <w:bookmarkEnd w:id="2"/>
      <w:r w:rsidR="00524CE9" w:rsidRPr="004E1038">
        <w:t>apply.</w:t>
      </w:r>
    </w:p>
    <w:p w14:paraId="378AEEC2" w14:textId="77777777" w:rsidR="002B6B48" w:rsidRDefault="002B6B48" w:rsidP="002B6B48">
      <w:pPr>
        <w:pStyle w:val="ListParagraph"/>
        <w:numPr>
          <w:ilvl w:val="1"/>
          <w:numId w:val="11"/>
        </w:numPr>
        <w:spacing w:after="120"/>
        <w:contextualSpacing w:val="0"/>
      </w:pPr>
      <w:r>
        <w:t>The Rules do not apply to:</w:t>
      </w:r>
    </w:p>
    <w:p w14:paraId="0116A173" w14:textId="3124E4AE" w:rsidR="002B6B48" w:rsidRDefault="002B6B48" w:rsidP="002B6B48">
      <w:pPr>
        <w:pStyle w:val="ListParagraph"/>
        <w:numPr>
          <w:ilvl w:val="2"/>
          <w:numId w:val="11"/>
        </w:numPr>
        <w:spacing w:after="120"/>
        <w:contextualSpacing w:val="0"/>
      </w:pPr>
      <w:r>
        <w:t>Contracts which are not for the provision of goods, services or works (e.g. grants or contracts relating to land). Note, therefore, that the Rules do not apply to contracts of employment</w:t>
      </w:r>
      <w:r w:rsidR="00524CE9">
        <w:t>,</w:t>
      </w:r>
      <w:r>
        <w:t xml:space="preserve"> but they do apply to consultancy contracts, which are contracts for services.</w:t>
      </w:r>
    </w:p>
    <w:p w14:paraId="3F5AB942" w14:textId="48931C81" w:rsidR="002B6B48" w:rsidRPr="002B6B48" w:rsidRDefault="002B6B48" w:rsidP="002B6B48">
      <w:pPr>
        <w:pStyle w:val="ListParagraph"/>
        <w:numPr>
          <w:ilvl w:val="1"/>
          <w:numId w:val="11"/>
        </w:numPr>
        <w:spacing w:after="120"/>
        <w:contextualSpacing w:val="0"/>
      </w:pPr>
      <w:r>
        <w:t xml:space="preserve">Low value purchases which may be made from procurement cards (or petty cash for exceptional circumstances) </w:t>
      </w:r>
      <w:proofErr w:type="gramStart"/>
      <w:r>
        <w:t>provided that</w:t>
      </w:r>
      <w:proofErr w:type="gramEnd"/>
      <w:r>
        <w:t xml:space="preserve"> they are in accordance with any operational instructions and financial limits issued by the s151 Officer.</w:t>
      </w:r>
    </w:p>
    <w:p w14:paraId="55401983" w14:textId="3C8CB167" w:rsidR="004E1038" w:rsidRDefault="004E1038" w:rsidP="000E2D8B">
      <w:pPr>
        <w:pStyle w:val="Heading1"/>
        <w:numPr>
          <w:ilvl w:val="0"/>
          <w:numId w:val="11"/>
        </w:numPr>
        <w:spacing w:after="240"/>
      </w:pPr>
      <w:bookmarkStart w:id="3" w:name="_Toc64386337"/>
      <w:r w:rsidRPr="004E1038">
        <w:t>Exemptions from the Rules</w:t>
      </w:r>
      <w:bookmarkEnd w:id="3"/>
    </w:p>
    <w:p w14:paraId="37BB69DB" w14:textId="77777777" w:rsidR="002B6B48" w:rsidRPr="0040323C" w:rsidRDefault="002B6B48" w:rsidP="002B6B48">
      <w:pPr>
        <w:pStyle w:val="ListParagraph"/>
        <w:numPr>
          <w:ilvl w:val="1"/>
          <w:numId w:val="11"/>
        </w:numPr>
        <w:spacing w:after="120"/>
        <w:contextualSpacing w:val="0"/>
        <w:rPr>
          <w:b/>
          <w:bCs/>
          <w:u w:val="single"/>
        </w:rPr>
      </w:pPr>
      <w:r w:rsidRPr="0040323C">
        <w:rPr>
          <w:b/>
          <w:bCs/>
          <w:u w:val="single"/>
        </w:rPr>
        <w:t>Contracts with a value of £25,000 or more</w:t>
      </w:r>
    </w:p>
    <w:p w14:paraId="6AA3C1B1" w14:textId="09D44E7C" w:rsidR="002B6B48" w:rsidRDefault="002B6B48" w:rsidP="002B6B48">
      <w:pPr>
        <w:pStyle w:val="ListParagraph"/>
        <w:numPr>
          <w:ilvl w:val="2"/>
          <w:numId w:val="11"/>
        </w:numPr>
        <w:spacing w:after="120"/>
        <w:contextualSpacing w:val="0"/>
      </w:pPr>
      <w:r>
        <w:t xml:space="preserve">The </w:t>
      </w:r>
      <w:r w:rsidR="00546F16">
        <w:t xml:space="preserve">relevant </w:t>
      </w:r>
      <w:r w:rsidR="004D6248">
        <w:t xml:space="preserve">Executive </w:t>
      </w:r>
      <w:r>
        <w:t xml:space="preserve">may seek an exemption from any of the Rules from: </w:t>
      </w:r>
    </w:p>
    <w:p w14:paraId="469060DC" w14:textId="2BE0BC8D" w:rsidR="002B6B48" w:rsidRDefault="002B6B48" w:rsidP="002B6B48">
      <w:pPr>
        <w:pStyle w:val="ListParagraph"/>
        <w:numPr>
          <w:ilvl w:val="0"/>
          <w:numId w:val="20"/>
        </w:numPr>
        <w:spacing w:after="120"/>
        <w:contextualSpacing w:val="0"/>
      </w:pPr>
      <w:r>
        <w:t>A Committee acting under delegated powers; or</w:t>
      </w:r>
    </w:p>
    <w:p w14:paraId="746376A5" w14:textId="74871FAE" w:rsidR="002B6B48" w:rsidRDefault="002B6B48" w:rsidP="002B6B48">
      <w:pPr>
        <w:pStyle w:val="ListParagraph"/>
        <w:numPr>
          <w:ilvl w:val="0"/>
          <w:numId w:val="20"/>
        </w:numPr>
        <w:spacing w:after="120"/>
        <w:contextualSpacing w:val="0"/>
      </w:pPr>
      <w:r>
        <w:t>The Chief Executive acting under delegated powers along with the Leader of the Council.</w:t>
      </w:r>
    </w:p>
    <w:p w14:paraId="0DC1E2D1" w14:textId="30D39263" w:rsidR="002B6B48" w:rsidRDefault="002B6B48" w:rsidP="002B6B48">
      <w:pPr>
        <w:pStyle w:val="ListParagraph"/>
        <w:numPr>
          <w:ilvl w:val="2"/>
          <w:numId w:val="11"/>
        </w:numPr>
        <w:spacing w:after="120"/>
        <w:contextualSpacing w:val="0"/>
      </w:pPr>
      <w:r>
        <w:t xml:space="preserve">In order to request an </w:t>
      </w:r>
      <w:proofErr w:type="gramStart"/>
      <w:r>
        <w:t>exemption</w:t>
      </w:r>
      <w:proofErr w:type="gramEnd"/>
      <w:r>
        <w:t xml:space="preserve"> the </w:t>
      </w:r>
      <w:proofErr w:type="spellStart"/>
      <w:r w:rsidR="00546F16">
        <w:t>the</w:t>
      </w:r>
      <w:proofErr w:type="spellEnd"/>
      <w:r w:rsidR="00546F16">
        <w:t xml:space="preserve"> relevant </w:t>
      </w:r>
      <w:r w:rsidR="004D6248">
        <w:t xml:space="preserve">Executive Director </w:t>
      </w:r>
      <w:r>
        <w:t xml:space="preserve">must prepare a report setting out: </w:t>
      </w:r>
    </w:p>
    <w:p w14:paraId="76618DF1" w14:textId="31AB8854" w:rsidR="002B6B48" w:rsidRDefault="002B6B48" w:rsidP="002B6B48">
      <w:pPr>
        <w:pStyle w:val="ListParagraph"/>
        <w:numPr>
          <w:ilvl w:val="0"/>
          <w:numId w:val="22"/>
        </w:numPr>
        <w:spacing w:after="120"/>
        <w:contextualSpacing w:val="0"/>
      </w:pPr>
      <w:r>
        <w:t>the reasons why the exemption is being requested and which Rule(s) an exemption is being requested from</w:t>
      </w:r>
      <w:r w:rsidR="00CD66EB">
        <w:t>.</w:t>
      </w:r>
      <w:r>
        <w:t xml:space="preserve"> </w:t>
      </w:r>
    </w:p>
    <w:p w14:paraId="72C979B0" w14:textId="53CBFB37" w:rsidR="002B6B48" w:rsidRDefault="002B6B48" w:rsidP="002B6B48">
      <w:pPr>
        <w:pStyle w:val="ListParagraph"/>
        <w:numPr>
          <w:ilvl w:val="0"/>
          <w:numId w:val="22"/>
        </w:numPr>
        <w:spacing w:after="120"/>
        <w:contextualSpacing w:val="0"/>
      </w:pPr>
      <w:r>
        <w:t>the process which is intended to be followed instead</w:t>
      </w:r>
      <w:r w:rsidR="00CD66EB">
        <w:t>.</w:t>
      </w:r>
    </w:p>
    <w:p w14:paraId="250F0A47" w14:textId="036FEFCD" w:rsidR="002B6B48" w:rsidRDefault="002B6B48" w:rsidP="002B6B48">
      <w:pPr>
        <w:pStyle w:val="ListParagraph"/>
        <w:numPr>
          <w:ilvl w:val="0"/>
          <w:numId w:val="22"/>
        </w:numPr>
        <w:spacing w:after="120"/>
        <w:contextualSpacing w:val="0"/>
      </w:pPr>
      <w:r>
        <w:t xml:space="preserve">a legal appraisal and financial appraisal from the </w:t>
      </w:r>
      <w:r w:rsidR="00A20B2B">
        <w:t>Executive Director</w:t>
      </w:r>
      <w:r>
        <w:t xml:space="preserve"> </w:t>
      </w:r>
      <w:r w:rsidR="00485AE6">
        <w:t>- Resources and Transformation.</w:t>
      </w:r>
    </w:p>
    <w:p w14:paraId="33048A8B" w14:textId="77777777" w:rsidR="002B6B48" w:rsidRDefault="002B6B48" w:rsidP="002B6B48">
      <w:pPr>
        <w:pStyle w:val="ListParagraph"/>
        <w:numPr>
          <w:ilvl w:val="2"/>
          <w:numId w:val="11"/>
        </w:numPr>
        <w:spacing w:after="120"/>
        <w:contextualSpacing w:val="0"/>
      </w:pPr>
      <w:r>
        <w:t xml:space="preserve">An exemption will only be granted where the Committee or the Chief Executive and Leader of the Council is satisfied that the exemption is justified on its own special circumstances. </w:t>
      </w:r>
    </w:p>
    <w:p w14:paraId="7C7E9B46" w14:textId="13D85A52" w:rsidR="002B6B48" w:rsidRPr="002B6B48" w:rsidRDefault="002B6B48" w:rsidP="002B6B48">
      <w:pPr>
        <w:pStyle w:val="ListParagraph"/>
        <w:numPr>
          <w:ilvl w:val="2"/>
          <w:numId w:val="11"/>
        </w:numPr>
        <w:spacing w:after="120"/>
        <w:contextualSpacing w:val="0"/>
      </w:pPr>
      <w:r>
        <w:t xml:space="preserve">Staff seeking an exemption should, in the first instance, contact the </w:t>
      </w:r>
      <w:r w:rsidR="00A20B2B">
        <w:t>Executive Director</w:t>
      </w:r>
      <w:r>
        <w:t xml:space="preserve"> </w:t>
      </w:r>
      <w:r w:rsidR="00485AE6">
        <w:t>- Resources and Transformation.</w:t>
      </w:r>
    </w:p>
    <w:p w14:paraId="30C8C7DD" w14:textId="53714791" w:rsidR="004E1038" w:rsidRDefault="004E1038" w:rsidP="000E2D8B">
      <w:pPr>
        <w:pStyle w:val="Heading1"/>
        <w:numPr>
          <w:ilvl w:val="0"/>
          <w:numId w:val="11"/>
        </w:numPr>
        <w:spacing w:after="240"/>
      </w:pPr>
      <w:bookmarkStart w:id="4" w:name="_Toc64386338"/>
      <w:r w:rsidRPr="004E1038">
        <w:lastRenderedPageBreak/>
        <w:t xml:space="preserve">Contracts to which Rules on Tendering (Rules 12-18) do not apply </w:t>
      </w:r>
      <w:r w:rsidR="002B6B48">
        <w:t>–</w:t>
      </w:r>
      <w:r w:rsidRPr="004E1038">
        <w:t xml:space="preserve"> General</w:t>
      </w:r>
      <w:bookmarkEnd w:id="4"/>
      <w:r w:rsidR="00CD66EB">
        <w:t>.</w:t>
      </w:r>
    </w:p>
    <w:p w14:paraId="573AE9B0" w14:textId="77777777" w:rsidR="002B6B48" w:rsidRDefault="002B6B48" w:rsidP="009F1856">
      <w:pPr>
        <w:pStyle w:val="ListParagraph"/>
        <w:numPr>
          <w:ilvl w:val="1"/>
          <w:numId w:val="11"/>
        </w:numPr>
        <w:spacing w:after="120"/>
        <w:contextualSpacing w:val="0"/>
      </w:pPr>
      <w:r>
        <w:t xml:space="preserve">Competitive quotes or tenders are not required for the following: </w:t>
      </w:r>
    </w:p>
    <w:p w14:paraId="2780CF81" w14:textId="77777777" w:rsidR="002B6B48" w:rsidRDefault="002B6B48" w:rsidP="009F1856">
      <w:pPr>
        <w:pStyle w:val="ListParagraph"/>
        <w:numPr>
          <w:ilvl w:val="2"/>
          <w:numId w:val="11"/>
        </w:numPr>
        <w:spacing w:after="120"/>
        <w:contextualSpacing w:val="0"/>
      </w:pPr>
      <w:r>
        <w:t xml:space="preserve">Call-off Contracts </w:t>
      </w:r>
    </w:p>
    <w:p w14:paraId="4A793C1B" w14:textId="2803B2B3" w:rsidR="002B6B48" w:rsidRDefault="002B6B48" w:rsidP="009F1856">
      <w:pPr>
        <w:pStyle w:val="ListParagraph"/>
        <w:numPr>
          <w:ilvl w:val="0"/>
          <w:numId w:val="23"/>
        </w:numPr>
        <w:spacing w:after="120"/>
        <w:contextualSpacing w:val="0"/>
      </w:pPr>
      <w:r>
        <w:t xml:space="preserve">Call-off contracts where the relevant Framework Agreement has been entered into by: </w:t>
      </w:r>
    </w:p>
    <w:p w14:paraId="0DFD3477" w14:textId="77777777" w:rsidR="002B6B48" w:rsidRDefault="002B6B48" w:rsidP="009F1856">
      <w:pPr>
        <w:pStyle w:val="ListParagraph"/>
        <w:numPr>
          <w:ilvl w:val="0"/>
          <w:numId w:val="23"/>
        </w:numPr>
        <w:spacing w:after="120"/>
        <w:contextualSpacing w:val="0"/>
      </w:pPr>
      <w:r>
        <w:t xml:space="preserve">the Council in compliance with the Rules; or </w:t>
      </w:r>
    </w:p>
    <w:p w14:paraId="24BBBA2B" w14:textId="5FD2C44B" w:rsidR="002B6B48" w:rsidRDefault="002B6B48" w:rsidP="009F1856">
      <w:pPr>
        <w:pStyle w:val="ListParagraph"/>
        <w:numPr>
          <w:ilvl w:val="0"/>
          <w:numId w:val="23"/>
        </w:numPr>
        <w:spacing w:after="120"/>
        <w:contextualSpacing w:val="0"/>
      </w:pPr>
      <w:r>
        <w:t>another local authority, a local authority purchasing consortium or central government where the Framework Agreement has been tendered and awarded in accordance with EU public procurement legislation.</w:t>
      </w:r>
    </w:p>
    <w:p w14:paraId="2E3CEC41" w14:textId="2A4E03A6" w:rsidR="002B6B48" w:rsidRDefault="002B6B48" w:rsidP="009F1856">
      <w:pPr>
        <w:spacing w:after="120"/>
        <w:ind w:left="1134"/>
      </w:pPr>
      <w:r>
        <w:t>For the avoidance of doubt, Call-Off Contracts must be entered into in accordance with the terms of the Framework Agreement (e.g. selection by mini-competition) and mini-competitions under Framework Agreements must be run in accordance with CPR 2.2 and 2.3.</w:t>
      </w:r>
    </w:p>
    <w:p w14:paraId="096D6623" w14:textId="77777777" w:rsidR="002B6B48" w:rsidRDefault="002B6B48" w:rsidP="009F1856">
      <w:pPr>
        <w:pStyle w:val="ListParagraph"/>
        <w:numPr>
          <w:ilvl w:val="2"/>
          <w:numId w:val="11"/>
        </w:numPr>
        <w:spacing w:after="120"/>
        <w:ind w:left="792"/>
        <w:contextualSpacing w:val="0"/>
      </w:pPr>
      <w:r>
        <w:t xml:space="preserve">Emergency </w:t>
      </w:r>
    </w:p>
    <w:p w14:paraId="000C2E38" w14:textId="6E0DC84A" w:rsidR="009F1856" w:rsidRDefault="002B6B48" w:rsidP="009F1856">
      <w:pPr>
        <w:pStyle w:val="ListParagraph"/>
        <w:numPr>
          <w:ilvl w:val="0"/>
          <w:numId w:val="25"/>
        </w:numPr>
        <w:spacing w:after="120"/>
        <w:ind w:left="1843" w:hanging="317"/>
        <w:contextualSpacing w:val="0"/>
      </w:pPr>
      <w:r>
        <w:t xml:space="preserve">In cases of emergency, the Chief Executive </w:t>
      </w:r>
      <w:proofErr w:type="gramStart"/>
      <w:r>
        <w:t xml:space="preserve">or </w:t>
      </w:r>
      <w:r w:rsidR="00485AE6">
        <w:t xml:space="preserve"> </w:t>
      </w:r>
      <w:r w:rsidR="004D6248">
        <w:t>Executive</w:t>
      </w:r>
      <w:proofErr w:type="gramEnd"/>
      <w:r w:rsidR="004D6248">
        <w:t xml:space="preserve"> Director - Resources and Transformation </w:t>
      </w:r>
      <w:r>
        <w:t xml:space="preserve">may verbally authorise and record in writing an exemption from the Rules for goods, services or works </w:t>
      </w:r>
      <w:r w:rsidR="00CD66EB" w:rsidRPr="00CD66EB">
        <w:rPr>
          <w:b/>
          <w:bCs/>
        </w:rPr>
        <w:t>provided that</w:t>
      </w:r>
      <w:r>
        <w:t>:</w:t>
      </w:r>
    </w:p>
    <w:p w14:paraId="0F764E61" w14:textId="77777777" w:rsidR="002B6B48" w:rsidRDefault="002B6B48" w:rsidP="009F1856">
      <w:pPr>
        <w:pStyle w:val="ListParagraph"/>
        <w:spacing w:after="120"/>
        <w:ind w:left="2410" w:hanging="283"/>
        <w:contextualSpacing w:val="0"/>
      </w:pPr>
      <w:r>
        <w:t xml:space="preserve">a. the emergency was brought about by events which were not reasonably foreseeable by, or attributable in any way to, the Council (e.g. flood); and </w:t>
      </w:r>
    </w:p>
    <w:p w14:paraId="22CFA381" w14:textId="77777777" w:rsidR="002B6B48" w:rsidRDefault="002B6B48" w:rsidP="009F1856">
      <w:pPr>
        <w:pStyle w:val="ListParagraph"/>
        <w:spacing w:after="120"/>
        <w:ind w:left="2410" w:hanging="283"/>
        <w:contextualSpacing w:val="0"/>
      </w:pPr>
      <w:r>
        <w:t>b. If the goods, services or works are not received immediately, there is a significant risk of:</w:t>
      </w:r>
      <w:r w:rsidRPr="002B6B48">
        <w:t xml:space="preserve"> </w:t>
      </w:r>
    </w:p>
    <w:p w14:paraId="37FC7251" w14:textId="77777777" w:rsidR="002B6B48" w:rsidRDefault="002B6B48" w:rsidP="009F1856">
      <w:pPr>
        <w:pStyle w:val="ListParagraph"/>
        <w:spacing w:after="120"/>
        <w:ind w:left="1985" w:hanging="283"/>
        <w:contextualSpacing w:val="0"/>
      </w:pPr>
      <w:r>
        <w:t xml:space="preserve">1. danger to life; or </w:t>
      </w:r>
    </w:p>
    <w:p w14:paraId="088096C3" w14:textId="77777777" w:rsidR="002B6B48" w:rsidRDefault="002B6B48" w:rsidP="009F1856">
      <w:pPr>
        <w:pStyle w:val="ListParagraph"/>
        <w:spacing w:after="120"/>
        <w:ind w:left="1985" w:hanging="283"/>
        <w:contextualSpacing w:val="0"/>
      </w:pPr>
      <w:r>
        <w:t xml:space="preserve">2. damage to property; or </w:t>
      </w:r>
    </w:p>
    <w:p w14:paraId="3A261F0B" w14:textId="77777777" w:rsidR="002B6B48" w:rsidRDefault="002B6B48" w:rsidP="009F1856">
      <w:pPr>
        <w:pStyle w:val="ListParagraph"/>
        <w:spacing w:after="120"/>
        <w:ind w:left="1985" w:hanging="283"/>
        <w:contextualSpacing w:val="0"/>
      </w:pPr>
      <w:r>
        <w:t>3. a major impact on the Council or its service users.</w:t>
      </w:r>
    </w:p>
    <w:p w14:paraId="6979D3D8" w14:textId="77777777" w:rsidR="009F1856" w:rsidRDefault="002B6B48" w:rsidP="009F1856">
      <w:pPr>
        <w:pStyle w:val="ListParagraph"/>
        <w:numPr>
          <w:ilvl w:val="0"/>
          <w:numId w:val="25"/>
        </w:numPr>
        <w:spacing w:after="120"/>
        <w:ind w:left="1843" w:hanging="317"/>
        <w:contextualSpacing w:val="0"/>
      </w:pPr>
      <w:r>
        <w:t xml:space="preserve">In these </w:t>
      </w:r>
      <w:proofErr w:type="gramStart"/>
      <w:r>
        <w:t>cases</w:t>
      </w:r>
      <w:proofErr w:type="gramEnd"/>
      <w:r>
        <w:t xml:space="preserve"> only goods, services or works necessary or appropriate to safeguard the Council’s position or protect life and property can be procured before formal approval is obtained. </w:t>
      </w:r>
    </w:p>
    <w:p w14:paraId="128DC7C2" w14:textId="509284BF" w:rsidR="002B6B48" w:rsidRDefault="002B6B48" w:rsidP="009F1856">
      <w:pPr>
        <w:pStyle w:val="ListParagraph"/>
        <w:numPr>
          <w:ilvl w:val="0"/>
          <w:numId w:val="25"/>
        </w:numPr>
        <w:spacing w:after="120"/>
        <w:ind w:left="1843" w:hanging="317"/>
        <w:contextualSpacing w:val="0"/>
      </w:pPr>
      <w:r>
        <w:t xml:space="preserve">The Chief Executive or </w:t>
      </w:r>
      <w:r w:rsidR="004D6248">
        <w:t xml:space="preserve">Executive Director - Resources and Transformation </w:t>
      </w:r>
      <w:r>
        <w:t xml:space="preserve">must at the earliest be informed of the action taken in dealing with the emergency. The </w:t>
      </w:r>
      <w:r w:rsidR="004D6248">
        <w:t xml:space="preserve">Executive Director - Resources and Transformation </w:t>
      </w:r>
      <w:r>
        <w:t>must also submit a report to the relevant Policy Committee that details the circumstances of and justifications for granting exemptions made in accordance with this Rule.</w:t>
      </w:r>
    </w:p>
    <w:p w14:paraId="70956E8F" w14:textId="77777777" w:rsidR="009F1856" w:rsidRDefault="009F1856" w:rsidP="009F1856">
      <w:pPr>
        <w:pStyle w:val="ListParagraph"/>
        <w:spacing w:after="120"/>
        <w:ind w:left="1843"/>
        <w:contextualSpacing w:val="0"/>
      </w:pPr>
    </w:p>
    <w:p w14:paraId="6795443E" w14:textId="77777777" w:rsidR="009F1856" w:rsidRDefault="009F1856" w:rsidP="009F1856">
      <w:pPr>
        <w:pStyle w:val="ListParagraph"/>
        <w:numPr>
          <w:ilvl w:val="2"/>
          <w:numId w:val="11"/>
        </w:numPr>
        <w:spacing w:after="120"/>
        <w:ind w:left="792"/>
        <w:contextualSpacing w:val="0"/>
      </w:pPr>
      <w:r>
        <w:t xml:space="preserve">No competitive market </w:t>
      </w:r>
    </w:p>
    <w:p w14:paraId="76D90AF6" w14:textId="238832B3" w:rsidR="009F1856" w:rsidRDefault="009F1856" w:rsidP="009F1856">
      <w:pPr>
        <w:pStyle w:val="ListParagraph"/>
        <w:numPr>
          <w:ilvl w:val="0"/>
          <w:numId w:val="26"/>
        </w:numPr>
        <w:spacing w:after="120"/>
        <w:contextualSpacing w:val="0"/>
      </w:pPr>
      <w:r>
        <w:t xml:space="preserve">Proprietary or patented goods or services are proposed to be purchased which, in the opinion of the Authorised Officer, are only obtainable from one person, and it can be demonstrated that no reasonably satisfactory alternative to those proprietary or patented goods is </w:t>
      </w:r>
      <w:r w:rsidR="00CD66EB">
        <w:t>available:</w:t>
      </w:r>
      <w:r>
        <w:t xml:space="preserve"> or</w:t>
      </w:r>
    </w:p>
    <w:p w14:paraId="0C08992F" w14:textId="77777777" w:rsidR="009F1856" w:rsidRDefault="009F1856" w:rsidP="009F1856">
      <w:pPr>
        <w:pStyle w:val="ListParagraph"/>
        <w:numPr>
          <w:ilvl w:val="0"/>
          <w:numId w:val="26"/>
        </w:numPr>
        <w:spacing w:after="120"/>
        <w:contextualSpacing w:val="0"/>
      </w:pPr>
      <w:r>
        <w:lastRenderedPageBreak/>
        <w:t xml:space="preserve">The Authorised Officer can demonstrate that no genuine competition can be obtained in respect of the purchase of </w:t>
      </w:r>
      <w:proofErr w:type="gramStart"/>
      <w:r>
        <w:t>particular goods</w:t>
      </w:r>
      <w:proofErr w:type="gramEnd"/>
      <w:r>
        <w:t>, services or works; or</w:t>
      </w:r>
    </w:p>
    <w:p w14:paraId="51EAC97C" w14:textId="77777777" w:rsidR="009F1856" w:rsidRDefault="009F1856" w:rsidP="009F1856">
      <w:pPr>
        <w:pStyle w:val="ListParagraph"/>
        <w:numPr>
          <w:ilvl w:val="0"/>
          <w:numId w:val="26"/>
        </w:numPr>
        <w:spacing w:after="120"/>
        <w:contextualSpacing w:val="0"/>
      </w:pPr>
      <w:r>
        <w:t xml:space="preserve">The Authorised Officer is satisfied that the works or services are of such a specialist nature that they can only be carried out by one person (e.g. statutory undertakers); or </w:t>
      </w:r>
    </w:p>
    <w:p w14:paraId="05941373" w14:textId="77777777" w:rsidR="009F1856" w:rsidRDefault="009F1856" w:rsidP="009F1856">
      <w:pPr>
        <w:pStyle w:val="ListParagraph"/>
        <w:numPr>
          <w:ilvl w:val="0"/>
          <w:numId w:val="26"/>
        </w:numPr>
        <w:spacing w:after="120"/>
        <w:contextualSpacing w:val="0"/>
      </w:pPr>
      <w:r>
        <w:t xml:space="preserve">Goods are proposed to be purchased by or on behalf of the Council at a public auction; or </w:t>
      </w:r>
    </w:p>
    <w:p w14:paraId="097686E5" w14:textId="70EFBED8" w:rsidR="009F1856" w:rsidRDefault="009F1856" w:rsidP="009F1856">
      <w:pPr>
        <w:pStyle w:val="ListParagraph"/>
        <w:numPr>
          <w:ilvl w:val="0"/>
          <w:numId w:val="26"/>
        </w:numPr>
        <w:spacing w:after="120"/>
        <w:contextualSpacing w:val="0"/>
      </w:pPr>
      <w:r>
        <w:t xml:space="preserve">Goods are proposed to be purchased which are of a specialist nature (such as antiquities for museums), </w:t>
      </w:r>
      <w:r w:rsidR="00CD66EB">
        <w:t>provided that</w:t>
      </w:r>
      <w:r>
        <w:t xml:space="preserve"> in all these cases (except for works which are primarily the responsibility of a utility or statutory undertaker as defined in s329 Highways Act 1980). </w:t>
      </w:r>
    </w:p>
    <w:p w14:paraId="2F587281" w14:textId="77777777" w:rsidR="009F1856" w:rsidRDefault="009F1856" w:rsidP="009F1856">
      <w:pPr>
        <w:pStyle w:val="ListParagraph"/>
        <w:numPr>
          <w:ilvl w:val="1"/>
          <w:numId w:val="26"/>
        </w:numPr>
        <w:spacing w:after="120"/>
        <w:contextualSpacing w:val="0"/>
      </w:pPr>
      <w:r>
        <w:t xml:space="preserve">the Authorised Officer prepares a written statement explaining why the relevant circumstances apply and including why it is in the best interests of the Council for the contract not to be tendered and setting out the course of action proposed to be followed; and </w:t>
      </w:r>
    </w:p>
    <w:p w14:paraId="1F612254" w14:textId="1FFB6BA8" w:rsidR="009F1856" w:rsidRDefault="009F1856" w:rsidP="009F1856">
      <w:pPr>
        <w:pStyle w:val="ListParagraph"/>
        <w:numPr>
          <w:ilvl w:val="1"/>
          <w:numId w:val="26"/>
        </w:numPr>
        <w:spacing w:after="120"/>
        <w:contextualSpacing w:val="0"/>
      </w:pPr>
      <w:r>
        <w:t xml:space="preserve">the Authorised Officer receives written agreement from the s151 Officer and the </w:t>
      </w:r>
      <w:r w:rsidR="00610842">
        <w:t xml:space="preserve">relevant </w:t>
      </w:r>
      <w:r w:rsidR="004D6248">
        <w:t xml:space="preserve">Executive Director </w:t>
      </w:r>
      <w:r>
        <w:t xml:space="preserve">to pursue the course of action set out in the statement. </w:t>
      </w:r>
    </w:p>
    <w:p w14:paraId="469CCC97" w14:textId="1A5552B7" w:rsidR="009F1856" w:rsidRDefault="009F1856" w:rsidP="009F1856">
      <w:pPr>
        <w:pStyle w:val="ListParagraph"/>
        <w:numPr>
          <w:ilvl w:val="1"/>
          <w:numId w:val="26"/>
        </w:numPr>
        <w:spacing w:after="120"/>
        <w:contextualSpacing w:val="0"/>
      </w:pPr>
      <w:r>
        <w:t xml:space="preserve">Authorised Officers, in conjunction with Legal Services, ensure that contract terms are appropriate </w:t>
      </w:r>
      <w:r w:rsidR="00CD66EB">
        <w:t>considering</w:t>
      </w:r>
      <w:r>
        <w:t xml:space="preserve"> all relevant factors (such as benefit and risk to the Council).</w:t>
      </w:r>
    </w:p>
    <w:p w14:paraId="015A5CCC" w14:textId="77777777" w:rsidR="009F1856" w:rsidRDefault="009F1856" w:rsidP="009F1856">
      <w:pPr>
        <w:pStyle w:val="ListParagraph"/>
        <w:numPr>
          <w:ilvl w:val="2"/>
          <w:numId w:val="11"/>
        </w:numPr>
        <w:spacing w:after="120"/>
        <w:ind w:left="1276" w:hanging="567"/>
        <w:contextualSpacing w:val="0"/>
      </w:pPr>
      <w:r>
        <w:t xml:space="preserve">The exceptions in Rules 5.1.1 to 5.1.4 (inclusive) do not apply where the proposed course of action conflicts with EU public procurement legislation.  </w:t>
      </w:r>
    </w:p>
    <w:p w14:paraId="41282ECD" w14:textId="4FA17D8D" w:rsidR="009F1856" w:rsidRPr="002B6B48" w:rsidRDefault="009F1856" w:rsidP="009F1856">
      <w:pPr>
        <w:pStyle w:val="ListParagraph"/>
        <w:numPr>
          <w:ilvl w:val="2"/>
          <w:numId w:val="11"/>
        </w:numPr>
        <w:spacing w:after="120"/>
        <w:ind w:left="1276" w:hanging="567"/>
        <w:contextualSpacing w:val="0"/>
      </w:pPr>
      <w:r>
        <w:t>The rest of the Rules must still be complied with.</w:t>
      </w:r>
    </w:p>
    <w:p w14:paraId="58268CB3" w14:textId="5652F2DF" w:rsidR="004E1038" w:rsidRDefault="004E1038" w:rsidP="000E2D8B">
      <w:pPr>
        <w:pStyle w:val="Heading1"/>
        <w:numPr>
          <w:ilvl w:val="0"/>
          <w:numId w:val="11"/>
        </w:numPr>
        <w:spacing w:after="240"/>
      </w:pPr>
      <w:bookmarkStart w:id="5" w:name="_Toc64386339"/>
      <w:r w:rsidRPr="004E1038">
        <w:t>Contracts to which Rules on Tendering (Rules 12-18) do not apply – Service Specific</w:t>
      </w:r>
      <w:bookmarkEnd w:id="5"/>
      <w:r w:rsidR="00CD66EB">
        <w:t>.</w:t>
      </w:r>
    </w:p>
    <w:p w14:paraId="48A79B75" w14:textId="77777777" w:rsidR="009F1856" w:rsidRDefault="009F1856" w:rsidP="002E62BC">
      <w:pPr>
        <w:pStyle w:val="ListParagraph"/>
        <w:numPr>
          <w:ilvl w:val="1"/>
          <w:numId w:val="11"/>
        </w:numPr>
      </w:pPr>
      <w:r>
        <w:t xml:space="preserve">Competitive quotes or tenders are not required for the following: </w:t>
      </w:r>
    </w:p>
    <w:p w14:paraId="0F78CDF8" w14:textId="245F2EAB" w:rsidR="009F1856" w:rsidRDefault="009F1856" w:rsidP="00CD66EB">
      <w:pPr>
        <w:pStyle w:val="ListParagraph"/>
        <w:numPr>
          <w:ilvl w:val="2"/>
          <w:numId w:val="11"/>
        </w:numPr>
        <w:ind w:left="1225" w:hanging="505"/>
      </w:pPr>
      <w:r>
        <w:t xml:space="preserve">For the engagement of Counsel by the </w:t>
      </w:r>
      <w:r w:rsidR="00A20B2B">
        <w:t>Executive Director</w:t>
      </w:r>
      <w:r w:rsidR="00CD66EB">
        <w:t xml:space="preserve"> </w:t>
      </w:r>
      <w:r w:rsidR="00485AE6">
        <w:t>- Resources and Transformation.</w:t>
      </w:r>
    </w:p>
    <w:p w14:paraId="4EA89A0D" w14:textId="77777777" w:rsidR="00CD66EB" w:rsidRDefault="00CD66EB" w:rsidP="00CD66EB">
      <w:pPr>
        <w:pStyle w:val="ListParagraph"/>
        <w:ind w:left="1225"/>
      </w:pPr>
    </w:p>
    <w:p w14:paraId="0F137C0F" w14:textId="71C1016D" w:rsidR="009F1856" w:rsidRDefault="009F1856" w:rsidP="00CD66EB">
      <w:pPr>
        <w:pStyle w:val="ListParagraph"/>
        <w:numPr>
          <w:ilvl w:val="2"/>
          <w:numId w:val="11"/>
        </w:numPr>
        <w:ind w:left="1225" w:hanging="505"/>
      </w:pPr>
      <w:r>
        <w:t xml:space="preserve">The exceptions in Rules 6.1.1 does not apply where the proposed course of action </w:t>
      </w:r>
      <w:r w:rsidR="00CD66EB">
        <w:t>c</w:t>
      </w:r>
      <w:r>
        <w:t xml:space="preserve">onflicts with EU public procurement legislation. </w:t>
      </w:r>
    </w:p>
    <w:p w14:paraId="465B8F46" w14:textId="77777777" w:rsidR="00CD66EB" w:rsidRDefault="00CD66EB" w:rsidP="00CD66EB">
      <w:pPr>
        <w:pStyle w:val="ListParagraph"/>
        <w:ind w:left="1224"/>
      </w:pPr>
    </w:p>
    <w:p w14:paraId="5E0A092A" w14:textId="352ACF32" w:rsidR="009F1856" w:rsidRPr="009F1856" w:rsidRDefault="009F1856" w:rsidP="002E62BC">
      <w:pPr>
        <w:pStyle w:val="ListParagraph"/>
        <w:numPr>
          <w:ilvl w:val="2"/>
          <w:numId w:val="11"/>
        </w:numPr>
      </w:pPr>
      <w:r>
        <w:t>The rest of the Rules must still be complied with.</w:t>
      </w:r>
    </w:p>
    <w:p w14:paraId="09E84722" w14:textId="42A1B44F" w:rsidR="004E1038" w:rsidRDefault="004E1038" w:rsidP="000E2D8B">
      <w:pPr>
        <w:pStyle w:val="Heading1"/>
        <w:numPr>
          <w:ilvl w:val="0"/>
          <w:numId w:val="11"/>
        </w:numPr>
        <w:spacing w:after="240"/>
      </w:pPr>
      <w:bookmarkStart w:id="6" w:name="_Toc64386340"/>
      <w:r w:rsidRPr="004E1038">
        <w:t>Register of Exemptions</w:t>
      </w:r>
      <w:bookmarkEnd w:id="6"/>
      <w:r w:rsidR="00CD66EB">
        <w:t>.</w:t>
      </w:r>
    </w:p>
    <w:p w14:paraId="5F1B6384" w14:textId="37637C73" w:rsidR="009F1856" w:rsidRPr="009F1856" w:rsidRDefault="009F1856" w:rsidP="009F1856">
      <w:pPr>
        <w:pStyle w:val="ListParagraph"/>
        <w:numPr>
          <w:ilvl w:val="1"/>
          <w:numId w:val="11"/>
        </w:numPr>
      </w:pPr>
      <w:r>
        <w:t xml:space="preserve">The Central Procurement Team will maintain a register of exemptions granted under Rule 4 (exemptions from the Council/Chief Executive/Committee) and will provide a copy of this </w:t>
      </w:r>
      <w:r>
        <w:lastRenderedPageBreak/>
        <w:t>register to the s151 Officer at least every six months, and otherwise as and when requested to do so by the s151 Officer.</w:t>
      </w:r>
    </w:p>
    <w:p w14:paraId="66DAD78D" w14:textId="75F7E9E4" w:rsidR="004E1038" w:rsidRDefault="004E1038" w:rsidP="000E2D8B">
      <w:pPr>
        <w:pStyle w:val="Heading1"/>
        <w:numPr>
          <w:ilvl w:val="0"/>
          <w:numId w:val="11"/>
        </w:numPr>
        <w:spacing w:after="240"/>
      </w:pPr>
      <w:bookmarkStart w:id="7" w:name="_Toc64386341"/>
      <w:r w:rsidRPr="004E1038">
        <w:t>Schemes of Delegation</w:t>
      </w:r>
      <w:bookmarkEnd w:id="7"/>
    </w:p>
    <w:p w14:paraId="3E2150CE" w14:textId="728E0FAA" w:rsidR="009F1856" w:rsidRDefault="009F1856" w:rsidP="009F1856">
      <w:pPr>
        <w:pStyle w:val="ListParagraph"/>
        <w:numPr>
          <w:ilvl w:val="1"/>
          <w:numId w:val="11"/>
        </w:numPr>
        <w:spacing w:after="120"/>
        <w:contextualSpacing w:val="0"/>
      </w:pPr>
      <w:r>
        <w:t xml:space="preserve">The </w:t>
      </w:r>
      <w:r w:rsidR="004D6248">
        <w:t xml:space="preserve">Executive Director - Resources and Transformation </w:t>
      </w:r>
      <w:r>
        <w:t>must ensure that he has a Scheme of Delegation identifying:</w:t>
      </w:r>
    </w:p>
    <w:p w14:paraId="3C699942" w14:textId="3A295BE2" w:rsidR="009F1856" w:rsidRDefault="009F1856" w:rsidP="009F1856">
      <w:pPr>
        <w:pStyle w:val="ListParagraph"/>
        <w:numPr>
          <w:ilvl w:val="0"/>
          <w:numId w:val="27"/>
        </w:numPr>
        <w:spacing w:after="120"/>
        <w:contextualSpacing w:val="0"/>
      </w:pPr>
      <w:r>
        <w:t>Authorised Officers; and</w:t>
      </w:r>
    </w:p>
    <w:p w14:paraId="490C8051" w14:textId="67D63635" w:rsidR="009F1856" w:rsidRDefault="009F1856" w:rsidP="009F1856">
      <w:pPr>
        <w:pStyle w:val="ListParagraph"/>
        <w:numPr>
          <w:ilvl w:val="0"/>
          <w:numId w:val="27"/>
        </w:numPr>
        <w:spacing w:after="120"/>
        <w:contextualSpacing w:val="0"/>
      </w:pPr>
      <w:r>
        <w:t>the extent of Authorised Officers’ delegated authority (including expenditure limits).</w:t>
      </w:r>
    </w:p>
    <w:p w14:paraId="73BB27EB" w14:textId="2EDE8C39" w:rsidR="009F1856" w:rsidRDefault="009F1856" w:rsidP="009F1856">
      <w:pPr>
        <w:pStyle w:val="ListParagraph"/>
        <w:numPr>
          <w:ilvl w:val="1"/>
          <w:numId w:val="11"/>
        </w:numPr>
        <w:spacing w:after="120"/>
        <w:contextualSpacing w:val="0"/>
      </w:pPr>
      <w:r>
        <w:t xml:space="preserve">Authorised Officers may not, under any circumstances, act outside the delegated powers of the </w:t>
      </w:r>
      <w:r w:rsidR="00A20B2B">
        <w:t>Executive Director</w:t>
      </w:r>
      <w:r w:rsidR="00485AE6">
        <w:t xml:space="preserve"> - Resources and Transformation</w:t>
      </w:r>
      <w:r>
        <w:t>.</w:t>
      </w:r>
    </w:p>
    <w:p w14:paraId="1DEB57A3" w14:textId="2AB633E3" w:rsidR="009F1856" w:rsidRDefault="009F1856" w:rsidP="009F1856">
      <w:pPr>
        <w:pStyle w:val="ListParagraph"/>
        <w:numPr>
          <w:ilvl w:val="1"/>
          <w:numId w:val="11"/>
        </w:numPr>
        <w:spacing w:after="120"/>
        <w:contextualSpacing w:val="0"/>
      </w:pPr>
      <w:r>
        <w:t xml:space="preserve">The </w:t>
      </w:r>
      <w:r w:rsidR="004D6248">
        <w:t xml:space="preserve">Executive Director - Resources and Transformation </w:t>
      </w:r>
      <w:r>
        <w:t xml:space="preserve">must ensure that all Authorised Officers receive the necessary training to be and remain conversant with the Rules. </w:t>
      </w:r>
    </w:p>
    <w:p w14:paraId="4BC4BB66" w14:textId="25B59C9F" w:rsidR="009F1856" w:rsidRDefault="009F1856" w:rsidP="009F1856">
      <w:pPr>
        <w:pStyle w:val="ListParagraph"/>
        <w:numPr>
          <w:ilvl w:val="1"/>
          <w:numId w:val="11"/>
        </w:numPr>
        <w:spacing w:after="120"/>
        <w:contextualSpacing w:val="0"/>
      </w:pPr>
      <w:r>
        <w:t xml:space="preserve">The Monitoring Officer must supply to and agree with the s151 Officer their Schemes of Delegation before the start of each financial year, and on making any amendments. </w:t>
      </w:r>
    </w:p>
    <w:p w14:paraId="42D4B668" w14:textId="06A42DB3" w:rsidR="009F1856" w:rsidRPr="009F1856" w:rsidRDefault="009F1856" w:rsidP="009F1856">
      <w:pPr>
        <w:pStyle w:val="ListParagraph"/>
        <w:numPr>
          <w:ilvl w:val="1"/>
          <w:numId w:val="11"/>
        </w:numPr>
        <w:spacing w:after="120"/>
        <w:contextualSpacing w:val="0"/>
      </w:pPr>
      <w:r>
        <w:t xml:space="preserve">The s151 Officer must keep a register of all Schemes of Delegation and supply a copy to the Monitoring Officer at the beginning of each financial </w:t>
      </w:r>
      <w:proofErr w:type="gramStart"/>
      <w:r>
        <w:t>year</w:t>
      </w:r>
      <w:r w:rsidR="00F00D86">
        <w:t xml:space="preserve"> </w:t>
      </w:r>
      <w:r>
        <w:t xml:space="preserve"> and</w:t>
      </w:r>
      <w:proofErr w:type="gramEnd"/>
      <w:r>
        <w:t xml:space="preserve"> notify the Monitoring Officer of any subsequent amendments</w:t>
      </w:r>
      <w:r w:rsidR="00CD66EB">
        <w:t>.</w:t>
      </w:r>
    </w:p>
    <w:p w14:paraId="5D9C4656" w14:textId="0DBC0C62" w:rsidR="004E1038" w:rsidRDefault="004E1038" w:rsidP="000E2D8B">
      <w:pPr>
        <w:pStyle w:val="Heading1"/>
        <w:numPr>
          <w:ilvl w:val="0"/>
          <w:numId w:val="11"/>
        </w:numPr>
        <w:spacing w:after="240"/>
      </w:pPr>
      <w:bookmarkStart w:id="8" w:name="_Toc64386342"/>
      <w:r w:rsidRPr="004E1038">
        <w:t>Tender Process and Record Keeping</w:t>
      </w:r>
      <w:bookmarkEnd w:id="8"/>
    </w:p>
    <w:p w14:paraId="29D68D2B" w14:textId="77777777" w:rsidR="009F1856" w:rsidRDefault="009F1856" w:rsidP="009F1856">
      <w:pPr>
        <w:pStyle w:val="ListParagraph"/>
        <w:numPr>
          <w:ilvl w:val="1"/>
          <w:numId w:val="11"/>
        </w:numPr>
        <w:spacing w:after="120"/>
        <w:ind w:left="788" w:hanging="431"/>
        <w:contextualSpacing w:val="0"/>
      </w:pPr>
      <w:r>
        <w:t xml:space="preserve">The Central Procurement Team must keep and maintain records in respect of each contract (from the time the project begins until the point at which the contract ends) </w:t>
      </w:r>
      <w:proofErr w:type="gramStart"/>
      <w:r>
        <w:t>in order to</w:t>
      </w:r>
      <w:proofErr w:type="gramEnd"/>
      <w:r>
        <w:t xml:space="preserve"> demonstrate the achievement of Best Value, openness, probity and compliance with the Rules including EU law where OJEU specific Tenders are placed. </w:t>
      </w:r>
    </w:p>
    <w:p w14:paraId="27B53C0B" w14:textId="77777777" w:rsidR="00CD66EB" w:rsidRDefault="009F1856" w:rsidP="009F1856">
      <w:pPr>
        <w:pStyle w:val="ListParagraph"/>
        <w:numPr>
          <w:ilvl w:val="1"/>
          <w:numId w:val="11"/>
        </w:numPr>
        <w:spacing w:after="120"/>
        <w:ind w:left="788" w:hanging="431"/>
        <w:contextualSpacing w:val="0"/>
      </w:pPr>
      <w:r>
        <w:t>Council staff must inform the Central Procurement Team of all contracts (including Call-Off Contracts) to be tendered (at least eight weeks before the tender process starts and preferably, prior to the start of the Financial Year)</w:t>
      </w:r>
      <w:r w:rsidR="00CD66EB">
        <w:t>.</w:t>
      </w:r>
    </w:p>
    <w:p w14:paraId="36E4CF4D" w14:textId="314D43D7" w:rsidR="009F1856" w:rsidRDefault="009F1856" w:rsidP="009F1856">
      <w:pPr>
        <w:pStyle w:val="ListParagraph"/>
        <w:numPr>
          <w:ilvl w:val="1"/>
          <w:numId w:val="11"/>
        </w:numPr>
        <w:spacing w:after="120"/>
        <w:ind w:left="788" w:hanging="431"/>
        <w:contextualSpacing w:val="0"/>
      </w:pPr>
      <w:r>
        <w:t>For Contracts with a value &gt; £25,000 it is the Council staff obligation to provide the Central Procurement Team with sufficient notice of intention to contract. If the Central Procurement Team is notified with sufficient time</w:t>
      </w:r>
      <w:r w:rsidR="00CD66EB">
        <w:t>,</w:t>
      </w:r>
      <w:r>
        <w:t xml:space="preserve"> then the contract opportunity will be placed on the Council Website to meet Community Consultation obligations</w:t>
      </w:r>
      <w:r w:rsidR="00C12FF9">
        <w:t>.</w:t>
      </w:r>
    </w:p>
    <w:p w14:paraId="053FA8C3" w14:textId="2AF14264" w:rsidR="009F1856" w:rsidRDefault="009F1856" w:rsidP="009F1856">
      <w:pPr>
        <w:pStyle w:val="ListParagraph"/>
        <w:numPr>
          <w:ilvl w:val="1"/>
          <w:numId w:val="11"/>
        </w:numPr>
        <w:spacing w:after="120"/>
        <w:ind w:left="788" w:hanging="431"/>
        <w:contextualSpacing w:val="0"/>
      </w:pPr>
      <w:r>
        <w:t xml:space="preserve">All tenders must be led by the Central Procurement </w:t>
      </w:r>
      <w:proofErr w:type="gramStart"/>
      <w:r>
        <w:t>Team</w:t>
      </w:r>
      <w:proofErr w:type="gramEnd"/>
      <w:r>
        <w:t xml:space="preserve"> or an officer authorised by the </w:t>
      </w:r>
      <w:r w:rsidR="001D2A51">
        <w:t>Executive Director - Resources and Transformation</w:t>
      </w:r>
      <w:r>
        <w:t>.</w:t>
      </w:r>
    </w:p>
    <w:p w14:paraId="0233B39E" w14:textId="7722BC9C" w:rsidR="009F1856" w:rsidRPr="009F1856" w:rsidRDefault="009F1856" w:rsidP="009F1856">
      <w:pPr>
        <w:pStyle w:val="ListParagraph"/>
        <w:numPr>
          <w:ilvl w:val="1"/>
          <w:numId w:val="11"/>
        </w:numPr>
        <w:spacing w:after="120"/>
        <w:ind w:left="788" w:hanging="431"/>
        <w:contextualSpacing w:val="0"/>
      </w:pPr>
      <w:r>
        <w:t xml:space="preserve">Any </w:t>
      </w:r>
      <w:r w:rsidR="00CD66EB">
        <w:t xml:space="preserve">Employee </w:t>
      </w:r>
      <w:r>
        <w:t xml:space="preserve">of the Council </w:t>
      </w:r>
      <w:r w:rsidR="00CD66EB">
        <w:t xml:space="preserve">found to be </w:t>
      </w:r>
      <w:r>
        <w:t xml:space="preserve">in breach of these Contract Procedure Rules shall be subject to </w:t>
      </w:r>
      <w:r w:rsidR="00CD66EB">
        <w:t>the Council’s D</w:t>
      </w:r>
      <w:r>
        <w:t xml:space="preserve">isciplinary </w:t>
      </w:r>
      <w:r w:rsidR="00CD66EB">
        <w:t>P</w:t>
      </w:r>
      <w:r>
        <w:t>rocess</w:t>
      </w:r>
      <w:r w:rsidR="00CD66EB">
        <w:t>.</w:t>
      </w:r>
    </w:p>
    <w:p w14:paraId="519F98EF" w14:textId="4429A73E" w:rsidR="004E1038" w:rsidRDefault="004E1038" w:rsidP="000E2D8B">
      <w:pPr>
        <w:pStyle w:val="Heading1"/>
        <w:numPr>
          <w:ilvl w:val="0"/>
          <w:numId w:val="11"/>
        </w:numPr>
        <w:spacing w:after="240"/>
      </w:pPr>
      <w:bookmarkStart w:id="9" w:name="_Toc64386343"/>
      <w:r w:rsidRPr="004E1038">
        <w:t>Establishing the Value of the Contract/Expenditure per Contract</w:t>
      </w:r>
      <w:bookmarkEnd w:id="9"/>
    </w:p>
    <w:p w14:paraId="624BD64F" w14:textId="77777777" w:rsidR="009F1856" w:rsidRDefault="009F1856" w:rsidP="009F1856">
      <w:pPr>
        <w:pStyle w:val="ListParagraph"/>
        <w:numPr>
          <w:ilvl w:val="1"/>
          <w:numId w:val="11"/>
        </w:numPr>
        <w:spacing w:after="120"/>
        <w:ind w:left="794" w:hanging="652"/>
        <w:contextualSpacing w:val="0"/>
      </w:pPr>
      <w:r>
        <w:t xml:space="preserve">The value of a contract (that is, the expenditure per contract) means the actual or estimated amount payable by the Council to the supplier for the goods, services or works (excluding </w:t>
      </w:r>
      <w:r>
        <w:lastRenderedPageBreak/>
        <w:t xml:space="preserve">VAT) over the length of the contract (e.g. a three-year contract with an option to extend for 2 years under which £20,000 is payable per annum has a value of £100,000). </w:t>
      </w:r>
    </w:p>
    <w:p w14:paraId="75B4295D" w14:textId="77777777" w:rsidR="009F1856" w:rsidRDefault="009F1856" w:rsidP="009F1856">
      <w:pPr>
        <w:pStyle w:val="ListParagraph"/>
        <w:numPr>
          <w:ilvl w:val="1"/>
          <w:numId w:val="11"/>
        </w:numPr>
        <w:spacing w:after="120"/>
        <w:ind w:left="794" w:hanging="652"/>
        <w:contextualSpacing w:val="0"/>
      </w:pPr>
      <w:r>
        <w:t xml:space="preserve">Goods, services and works contracts must not be split into smaller contracts </w:t>
      </w:r>
      <w:proofErr w:type="gramStart"/>
      <w:r>
        <w:t>in order to</w:t>
      </w:r>
      <w:proofErr w:type="gramEnd"/>
      <w:r>
        <w:t xml:space="preserve"> avoid any of the Rules. </w:t>
      </w:r>
    </w:p>
    <w:p w14:paraId="1D810483" w14:textId="048CAF47" w:rsidR="009F1856" w:rsidRDefault="009F1856" w:rsidP="009F1856">
      <w:pPr>
        <w:pStyle w:val="ListParagraph"/>
        <w:numPr>
          <w:ilvl w:val="1"/>
          <w:numId w:val="11"/>
        </w:numPr>
        <w:spacing w:after="120"/>
        <w:ind w:left="794" w:hanging="652"/>
        <w:contextualSpacing w:val="0"/>
      </w:pPr>
      <w:r>
        <w:t xml:space="preserve">Framework Agreements must not be entered into for more than four (4) years (including options to extend) unless otherwise advised by the </w:t>
      </w:r>
      <w:r w:rsidR="001D2A51">
        <w:t>Executive Director - Resources and Transformation</w:t>
      </w:r>
      <w:r>
        <w:t xml:space="preserve">. </w:t>
      </w:r>
    </w:p>
    <w:p w14:paraId="7C17B8EF" w14:textId="41E97381" w:rsidR="009F1856" w:rsidRDefault="009F1856" w:rsidP="009F1856">
      <w:pPr>
        <w:pStyle w:val="ListParagraph"/>
        <w:numPr>
          <w:ilvl w:val="1"/>
          <w:numId w:val="11"/>
        </w:numPr>
        <w:spacing w:after="120"/>
        <w:ind w:left="794" w:hanging="652"/>
        <w:contextualSpacing w:val="0"/>
      </w:pPr>
      <w:r>
        <w:t>For contracts of an indefinite length the value must be established on the basis that the contract will last for a period of 48 months</w:t>
      </w:r>
      <w:r w:rsidR="00CD66EB">
        <w:t xml:space="preserve"> (Four Years)</w:t>
      </w:r>
      <w:r>
        <w:t xml:space="preserve">. </w:t>
      </w:r>
      <w:r w:rsidRPr="00CD66EB">
        <w:rPr>
          <w:b/>
          <w:bCs/>
          <w:i/>
          <w:iCs/>
        </w:rPr>
        <w:t>See also Rule 21.1</w:t>
      </w:r>
      <w:r>
        <w:t xml:space="preserve">. </w:t>
      </w:r>
    </w:p>
    <w:p w14:paraId="0D01C58D" w14:textId="6A6927A2" w:rsidR="009F1856" w:rsidRPr="009F1856" w:rsidRDefault="009F1856" w:rsidP="009F1856">
      <w:pPr>
        <w:pStyle w:val="ListParagraph"/>
        <w:numPr>
          <w:ilvl w:val="1"/>
          <w:numId w:val="11"/>
        </w:numPr>
        <w:spacing w:after="120"/>
        <w:ind w:left="794" w:hanging="652"/>
        <w:contextualSpacing w:val="0"/>
      </w:pPr>
      <w:r w:rsidRPr="0040323C">
        <w:rPr>
          <w:b/>
          <w:bCs/>
        </w:rPr>
        <w:t>Aggregated Spend (Contract Aggregation) –</w:t>
      </w:r>
      <w:r>
        <w:t xml:space="preserve"> For contracts already in place for a service delivery, and where additional spend is identified which is not covered by the existing contract i.e. it exceeds the estimated value of the contract, then advice must be sought from the </w:t>
      </w:r>
      <w:r w:rsidR="001D2A51">
        <w:t>Executive Director - Resources and Transformation</w:t>
      </w:r>
      <w:r w:rsidR="0045773B">
        <w:t xml:space="preserve"> </w:t>
      </w:r>
      <w:r>
        <w:t>or the Central Procurement Team.</w:t>
      </w:r>
    </w:p>
    <w:p w14:paraId="0239F6D9" w14:textId="482232CC" w:rsidR="00A51FE2" w:rsidRDefault="00A51FE2" w:rsidP="000E2D8B">
      <w:pPr>
        <w:pStyle w:val="Heading1"/>
        <w:numPr>
          <w:ilvl w:val="0"/>
          <w:numId w:val="11"/>
        </w:numPr>
        <w:spacing w:after="240"/>
      </w:pPr>
      <w:bookmarkStart w:id="10" w:name="_Toc64386344"/>
      <w:r w:rsidRPr="00A51FE2">
        <w:t>Finance and Authorisation</w:t>
      </w:r>
      <w:bookmarkEnd w:id="10"/>
    </w:p>
    <w:p w14:paraId="27F81E75" w14:textId="583C24D8" w:rsidR="009F1856" w:rsidRDefault="009F1856" w:rsidP="009F1856">
      <w:pPr>
        <w:pStyle w:val="ListParagraph"/>
        <w:numPr>
          <w:ilvl w:val="1"/>
          <w:numId w:val="11"/>
        </w:numPr>
        <w:ind w:left="993" w:hanging="709"/>
      </w:pPr>
      <w:r>
        <w:t xml:space="preserve">Before </w:t>
      </w:r>
      <w:proofErr w:type="gramStart"/>
      <w:r>
        <w:t>entering into</w:t>
      </w:r>
      <w:proofErr w:type="gramEnd"/>
      <w:r>
        <w:t xml:space="preserve"> any process, which will or may result in the incurring any expenditure for the supply of goods, services or works be it capital or revenue, the Central Procurement Team must ensure that: </w:t>
      </w:r>
    </w:p>
    <w:p w14:paraId="165E4617" w14:textId="77777777" w:rsidR="00C337ED" w:rsidRDefault="00C337ED" w:rsidP="00C337ED">
      <w:pPr>
        <w:pStyle w:val="ListParagraph"/>
        <w:ind w:left="993"/>
      </w:pPr>
    </w:p>
    <w:p w14:paraId="7B86B2BF" w14:textId="798451C1" w:rsidR="009F1856" w:rsidRDefault="009F1856" w:rsidP="009F1856">
      <w:pPr>
        <w:pStyle w:val="ListParagraph"/>
        <w:numPr>
          <w:ilvl w:val="0"/>
          <w:numId w:val="30"/>
        </w:numPr>
      </w:pPr>
      <w:r>
        <w:t>where it is a key decision, the requirements of Article 13 Section 13.2 of the Constitution have been complied with:</w:t>
      </w:r>
    </w:p>
    <w:p w14:paraId="3D5174FA" w14:textId="77777777" w:rsidR="00C337ED" w:rsidRDefault="00C337ED" w:rsidP="00C337ED">
      <w:pPr>
        <w:pStyle w:val="ListParagraph"/>
        <w:ind w:left="1512"/>
      </w:pPr>
    </w:p>
    <w:p w14:paraId="3A3D82A8" w14:textId="39B3AF1B" w:rsidR="009F1856" w:rsidRDefault="009F1856" w:rsidP="009F1856">
      <w:pPr>
        <w:pStyle w:val="ListParagraph"/>
        <w:numPr>
          <w:ilvl w:val="0"/>
          <w:numId w:val="30"/>
        </w:numPr>
      </w:pPr>
      <w:r>
        <w:t>adequate financial provision is included in the Council’s approved revenue budget or capital programme (as appropriate) and that such expenditure continues to be available in accordance with the Financial Procedure Rules; and</w:t>
      </w:r>
    </w:p>
    <w:p w14:paraId="473E9091" w14:textId="77777777" w:rsidR="00C337ED" w:rsidRDefault="00C337ED" w:rsidP="00C337ED">
      <w:pPr>
        <w:pStyle w:val="ListParagraph"/>
        <w:ind w:left="1512"/>
      </w:pPr>
    </w:p>
    <w:p w14:paraId="1E0677CF" w14:textId="7901704F" w:rsidR="009F1856" w:rsidRDefault="009F1856" w:rsidP="002E62BC">
      <w:pPr>
        <w:pStyle w:val="ListParagraph"/>
        <w:numPr>
          <w:ilvl w:val="0"/>
          <w:numId w:val="30"/>
        </w:numPr>
      </w:pPr>
      <w:r>
        <w:t>the provisions of the Financial Procedure Rules have been complied with (including, without limitation, FPR Section D, D2.15 to D2.22); and iv. Written authorisation has been obtained from the Section 151 Officer.</w:t>
      </w:r>
    </w:p>
    <w:p w14:paraId="33261D3B" w14:textId="77777777" w:rsidR="00C337ED" w:rsidRDefault="00C337ED" w:rsidP="00C337ED">
      <w:pPr>
        <w:pStyle w:val="ListParagraph"/>
        <w:ind w:left="1512"/>
      </w:pPr>
    </w:p>
    <w:p w14:paraId="0B6439C1" w14:textId="441A3BD0" w:rsidR="009F1856" w:rsidRDefault="009F1856" w:rsidP="009F1856">
      <w:pPr>
        <w:pStyle w:val="ListParagraph"/>
        <w:numPr>
          <w:ilvl w:val="1"/>
          <w:numId w:val="11"/>
        </w:numPr>
        <w:ind w:left="993" w:hanging="650"/>
      </w:pPr>
      <w:r>
        <w:t xml:space="preserve">The </w:t>
      </w:r>
      <w:r w:rsidR="001D2A51">
        <w:t>Executive Director - Resources and Transformation</w:t>
      </w:r>
      <w:r w:rsidR="0045773B">
        <w:t xml:space="preserve"> </w:t>
      </w:r>
      <w:r>
        <w:t xml:space="preserve">must be notified before officers </w:t>
      </w:r>
      <w:proofErr w:type="gramStart"/>
      <w:r>
        <w:t>enter into</w:t>
      </w:r>
      <w:proofErr w:type="gramEnd"/>
      <w:r>
        <w:t xml:space="preserve"> any process which: </w:t>
      </w:r>
    </w:p>
    <w:p w14:paraId="2A595F24" w14:textId="77777777" w:rsidR="00C337ED" w:rsidRDefault="00C337ED" w:rsidP="00C337ED">
      <w:pPr>
        <w:pStyle w:val="ListParagraph"/>
        <w:ind w:left="2160"/>
      </w:pPr>
    </w:p>
    <w:p w14:paraId="4211FB09" w14:textId="463CECE8" w:rsidR="009F1856" w:rsidRDefault="009F1856" w:rsidP="009F1856">
      <w:pPr>
        <w:pStyle w:val="ListParagraph"/>
        <w:numPr>
          <w:ilvl w:val="0"/>
          <w:numId w:val="33"/>
        </w:numPr>
      </w:pPr>
      <w:r>
        <w:t xml:space="preserve">will or may result in any transfers of staff under the Transfer of Undertakings (Protection of Employment) Regulations (“TUPE”) and any of the staff are or were previously Council employees; or </w:t>
      </w:r>
    </w:p>
    <w:p w14:paraId="4213E8E3" w14:textId="77777777" w:rsidR="00C337ED" w:rsidRDefault="00C337ED" w:rsidP="00C337ED">
      <w:pPr>
        <w:pStyle w:val="ListParagraph"/>
        <w:ind w:left="2160"/>
      </w:pPr>
    </w:p>
    <w:p w14:paraId="48714628" w14:textId="4318AA6F" w:rsidR="009F1856" w:rsidRDefault="009F1856" w:rsidP="002E62BC">
      <w:pPr>
        <w:pStyle w:val="ListParagraph"/>
        <w:numPr>
          <w:ilvl w:val="0"/>
          <w:numId w:val="33"/>
        </w:numPr>
      </w:pPr>
      <w:r>
        <w:t xml:space="preserve">will or may result in any transfers of staff under TUPE who </w:t>
      </w:r>
      <w:r w:rsidR="00C337ED">
        <w:t>members of the Council’s Pension Scheme are</w:t>
      </w:r>
      <w:r>
        <w:t>.</w:t>
      </w:r>
    </w:p>
    <w:p w14:paraId="11AE64CD" w14:textId="77777777" w:rsidR="00C337ED" w:rsidRDefault="00C337ED" w:rsidP="00C337ED">
      <w:pPr>
        <w:pStyle w:val="ListParagraph"/>
      </w:pPr>
    </w:p>
    <w:p w14:paraId="78FD9A35" w14:textId="6077C8A3" w:rsidR="009F1856" w:rsidRDefault="009F1856" w:rsidP="009F1856">
      <w:pPr>
        <w:pStyle w:val="ListParagraph"/>
        <w:numPr>
          <w:ilvl w:val="1"/>
          <w:numId w:val="11"/>
        </w:numPr>
        <w:ind w:left="993" w:hanging="650"/>
      </w:pPr>
      <w:r>
        <w:t xml:space="preserve">The </w:t>
      </w:r>
      <w:r w:rsidR="0045773B">
        <w:t xml:space="preserve">Executive Director - Resources and Transformation </w:t>
      </w:r>
      <w:r>
        <w:t xml:space="preserve">must be notified before officers </w:t>
      </w:r>
      <w:proofErr w:type="gramStart"/>
      <w:r>
        <w:t>enter into</w:t>
      </w:r>
      <w:proofErr w:type="gramEnd"/>
      <w:r>
        <w:t xml:space="preserve"> any process, which will or may </w:t>
      </w:r>
      <w:r w:rsidR="00C337ED">
        <w:t>result</w:t>
      </w:r>
      <w:r w:rsidR="002760A0">
        <w:t>:</w:t>
      </w:r>
      <w:r>
        <w:t xml:space="preserve"> </w:t>
      </w:r>
    </w:p>
    <w:p w14:paraId="6DC4BD7E" w14:textId="77777777" w:rsidR="00C337ED" w:rsidRDefault="00C337ED" w:rsidP="00C337ED">
      <w:pPr>
        <w:pStyle w:val="ListParagraph"/>
        <w:ind w:left="1512"/>
      </w:pPr>
    </w:p>
    <w:p w14:paraId="26D1B5DB" w14:textId="68E67FE1" w:rsidR="009F1856" w:rsidRDefault="009F1856" w:rsidP="009F1856">
      <w:pPr>
        <w:pStyle w:val="ListParagraph"/>
        <w:numPr>
          <w:ilvl w:val="0"/>
          <w:numId w:val="34"/>
        </w:numPr>
      </w:pPr>
      <w:r>
        <w:t xml:space="preserve">in a contract that confers exclusive possession of the Council’s premises or </w:t>
      </w:r>
    </w:p>
    <w:p w14:paraId="1FBED225" w14:textId="77777777" w:rsidR="00C337ED" w:rsidRDefault="00C337ED" w:rsidP="00C337ED">
      <w:pPr>
        <w:pStyle w:val="ListParagraph"/>
        <w:ind w:left="1512"/>
      </w:pPr>
    </w:p>
    <w:p w14:paraId="6B50F6C6" w14:textId="2FA6740D" w:rsidR="009F1856" w:rsidRDefault="009F1856" w:rsidP="009F1856">
      <w:pPr>
        <w:pStyle w:val="ListParagraph"/>
        <w:numPr>
          <w:ilvl w:val="0"/>
          <w:numId w:val="34"/>
        </w:numPr>
      </w:pPr>
      <w:r>
        <w:t>in the acquisition by the Council of a property interest.</w:t>
      </w:r>
    </w:p>
    <w:p w14:paraId="784A1E1C" w14:textId="77777777" w:rsidR="002760A0" w:rsidRDefault="002760A0" w:rsidP="002760A0">
      <w:pPr>
        <w:pStyle w:val="ListParagraph"/>
      </w:pPr>
    </w:p>
    <w:p w14:paraId="16B6A7A5" w14:textId="77777777" w:rsidR="002760A0" w:rsidRDefault="002760A0" w:rsidP="002760A0">
      <w:pPr>
        <w:pStyle w:val="ListParagraph"/>
        <w:ind w:left="1512"/>
      </w:pPr>
    </w:p>
    <w:p w14:paraId="6303A29C" w14:textId="66E2E638" w:rsidR="009F1856" w:rsidRPr="009F1856" w:rsidRDefault="009F1856" w:rsidP="00C337ED">
      <w:pPr>
        <w:pStyle w:val="ListParagraph"/>
        <w:numPr>
          <w:ilvl w:val="1"/>
          <w:numId w:val="11"/>
        </w:numPr>
        <w:spacing w:after="120"/>
        <w:ind w:left="993" w:hanging="709"/>
      </w:pPr>
      <w:r>
        <w:t xml:space="preserve">Where there is a corporate contract (i.e. contract for the benefit of the Council as a whole) for the supply of goods, services or works, no other contract may be used for the supply of those goods, services or works unless this has been authorised in advance in writing by the </w:t>
      </w:r>
      <w:r w:rsidR="00A20B2B">
        <w:t>Executive Director</w:t>
      </w:r>
      <w:r w:rsidR="003D04D4">
        <w:t xml:space="preserve"> </w:t>
      </w:r>
      <w:r w:rsidR="001D2A51">
        <w:t>Executive Director - Resources and Transformation</w:t>
      </w:r>
      <w:r>
        <w:t>.</w:t>
      </w:r>
    </w:p>
    <w:p w14:paraId="02C1CB49" w14:textId="43B9FFAF" w:rsidR="00A51FE2" w:rsidRDefault="00A51FE2" w:rsidP="000E2D8B">
      <w:pPr>
        <w:pStyle w:val="Heading1"/>
        <w:numPr>
          <w:ilvl w:val="0"/>
          <w:numId w:val="11"/>
        </w:numPr>
        <w:spacing w:after="240"/>
      </w:pPr>
      <w:bookmarkStart w:id="11" w:name="_Toc64386345"/>
      <w:r w:rsidRPr="00A51FE2">
        <w:t>Pre-Qualification Requirements</w:t>
      </w:r>
      <w:bookmarkEnd w:id="11"/>
    </w:p>
    <w:p w14:paraId="5192A70E" w14:textId="72357A6F" w:rsidR="009F1856" w:rsidRPr="009F1856" w:rsidRDefault="000C7531" w:rsidP="00C337ED">
      <w:pPr>
        <w:pStyle w:val="ListParagraph"/>
        <w:numPr>
          <w:ilvl w:val="1"/>
          <w:numId w:val="11"/>
        </w:numPr>
        <w:ind w:left="1191" w:hanging="709"/>
      </w:pPr>
      <w:r>
        <w:t>The Central Procurement Team will undertake any required P</w:t>
      </w:r>
      <w:r w:rsidR="00C337ED">
        <w:t>re-</w:t>
      </w:r>
      <w:r>
        <w:t>Q</w:t>
      </w:r>
      <w:r w:rsidR="00C337ED">
        <w:t>ualification exe</w:t>
      </w:r>
      <w:r>
        <w:t>rcise</w:t>
      </w:r>
      <w:r w:rsidR="00C337ED">
        <w:t>.</w:t>
      </w:r>
    </w:p>
    <w:p w14:paraId="333C940B" w14:textId="26726A0C" w:rsidR="00A51FE2" w:rsidRDefault="00771FA4" w:rsidP="000E2D8B">
      <w:pPr>
        <w:pStyle w:val="Heading1"/>
        <w:numPr>
          <w:ilvl w:val="0"/>
          <w:numId w:val="11"/>
        </w:numPr>
        <w:spacing w:after="240"/>
      </w:pPr>
      <w:bookmarkStart w:id="12" w:name="_Toc64386346"/>
      <w:r>
        <w:t>Achieving value for money</w:t>
      </w:r>
      <w:r w:rsidR="00A51FE2" w:rsidRPr="00A51FE2">
        <w:t xml:space="preserve"> - Competitive Quotes and Tenders</w:t>
      </w:r>
      <w:bookmarkEnd w:id="12"/>
    </w:p>
    <w:p w14:paraId="4061E1A1" w14:textId="29A6DCF8" w:rsidR="000C7531" w:rsidRDefault="000C7531" w:rsidP="000C7531">
      <w:pPr>
        <w:pStyle w:val="ListParagraph"/>
        <w:numPr>
          <w:ilvl w:val="1"/>
          <w:numId w:val="11"/>
        </w:numPr>
        <w:spacing w:after="120"/>
        <w:ind w:left="992" w:hanging="650"/>
        <w:contextualSpacing w:val="0"/>
      </w:pPr>
      <w:r>
        <w:t xml:space="preserve">For contracts worth less than £25,000, </w:t>
      </w:r>
      <w:r w:rsidR="002760A0">
        <w:t>Officers</w:t>
      </w:r>
      <w:r>
        <w:t xml:space="preserve"> must take practicable steps to secure value for money through a combination of cost and quality by clearly defining the business requirement and seeking offers at the lowest cost commensurate with meeting that business requirement.</w:t>
      </w:r>
    </w:p>
    <w:p w14:paraId="4E4D9F95" w14:textId="6E373848" w:rsidR="000C7531" w:rsidRDefault="000C7531" w:rsidP="00C337ED">
      <w:pPr>
        <w:pStyle w:val="ListParagraph"/>
        <w:numPr>
          <w:ilvl w:val="1"/>
          <w:numId w:val="11"/>
        </w:numPr>
        <w:spacing w:after="120"/>
        <w:ind w:left="993" w:hanging="709"/>
        <w:contextualSpacing w:val="0"/>
      </w:pPr>
      <w:r>
        <w:t xml:space="preserve">For contracts worth £25,000 </w:t>
      </w:r>
      <w:r w:rsidR="004D69EA">
        <w:t>to £50,000</w:t>
      </w:r>
      <w:r>
        <w:t>, the Central Procurement Team must take practicable steps to secure value for money through a combination of cost, quality and competition</w:t>
      </w:r>
      <w:r w:rsidR="0001224C">
        <w:t>, utilising a formal request for quotation process</w:t>
      </w:r>
      <w:r>
        <w:t>. The Central Procurement Team must comply with the requirements of Rule 17 relating to the drawing up of evaluation criteria.</w:t>
      </w:r>
    </w:p>
    <w:p w14:paraId="495D78D5" w14:textId="57771DF0" w:rsidR="0001224C" w:rsidRDefault="000C7531" w:rsidP="0001224C">
      <w:pPr>
        <w:pStyle w:val="ListParagraph"/>
        <w:numPr>
          <w:ilvl w:val="1"/>
          <w:numId w:val="11"/>
        </w:numPr>
        <w:spacing w:after="120"/>
        <w:ind w:left="993" w:hanging="709"/>
        <w:contextualSpacing w:val="0"/>
      </w:pPr>
      <w:r>
        <w:t>For all contracts of £</w:t>
      </w:r>
      <w:r w:rsidR="004D69EA">
        <w:t xml:space="preserve">50,000 </w:t>
      </w:r>
      <w:r>
        <w:t>or above competitive quotations or tenders must be sought as set out in the following table</w:t>
      </w:r>
      <w:r w:rsidR="0001224C">
        <w:t>.  The Central Procurement Team must take practicable steps to secure value for money through a combination of cost, quality and competition. The Central Procurement Team must also comply with the requirements of Rule 17 relating to the drawing up of evaluation criteria.</w:t>
      </w:r>
    </w:p>
    <w:p w14:paraId="7A989D97" w14:textId="0FC46844" w:rsidR="000C7531" w:rsidRDefault="000C7531" w:rsidP="00C337ED">
      <w:pPr>
        <w:pStyle w:val="ListParagraph"/>
        <w:numPr>
          <w:ilvl w:val="1"/>
          <w:numId w:val="11"/>
        </w:numPr>
        <w:spacing w:after="120"/>
        <w:ind w:left="993" w:hanging="709"/>
        <w:contextualSpacing w:val="0"/>
      </w:pPr>
    </w:p>
    <w:p w14:paraId="4D948B93" w14:textId="77777777" w:rsidR="000C7531" w:rsidRDefault="000C7531" w:rsidP="000C7531">
      <w:pPr>
        <w:pStyle w:val="ListParagraph"/>
        <w:ind w:left="993"/>
      </w:pPr>
    </w:p>
    <w:p w14:paraId="1F6BFD60" w14:textId="56BB7405" w:rsidR="000C7531" w:rsidRPr="000C7531" w:rsidRDefault="000C7531" w:rsidP="000C7531">
      <w:pPr>
        <w:pStyle w:val="ListParagraph"/>
        <w:ind w:left="993"/>
        <w:jc w:val="center"/>
        <w:rPr>
          <w:b/>
          <w:bCs/>
        </w:rPr>
      </w:pPr>
      <w:r w:rsidRPr="000C7531">
        <w:rPr>
          <w:b/>
          <w:bCs/>
        </w:rPr>
        <w:t>Goods, Services and Works</w:t>
      </w:r>
    </w:p>
    <w:tbl>
      <w:tblPr>
        <w:tblStyle w:val="TableGrid"/>
        <w:tblW w:w="0" w:type="auto"/>
        <w:tblInd w:w="993" w:type="dxa"/>
        <w:tblLook w:val="04A0" w:firstRow="1" w:lastRow="0" w:firstColumn="1" w:lastColumn="0" w:noHBand="0" w:noVBand="1"/>
      </w:tblPr>
      <w:tblGrid>
        <w:gridCol w:w="3435"/>
        <w:gridCol w:w="5314"/>
      </w:tblGrid>
      <w:tr w:rsidR="000C7531" w14:paraId="21FE682D" w14:textId="77777777" w:rsidTr="0016741E">
        <w:tc>
          <w:tcPr>
            <w:tcW w:w="3435" w:type="dxa"/>
            <w:shd w:val="clear" w:color="auto" w:fill="2D0054" w:themeFill="accent1"/>
          </w:tcPr>
          <w:p w14:paraId="43E1BCF8" w14:textId="50A51E14" w:rsidR="000C7531" w:rsidRPr="000C7531" w:rsidRDefault="000C7531" w:rsidP="000C7531">
            <w:pPr>
              <w:rPr>
                <w:color w:val="FFFFFF" w:themeColor="background1"/>
              </w:rPr>
            </w:pPr>
            <w:r w:rsidRPr="000C7531">
              <w:rPr>
                <w:color w:val="FFFFFF" w:themeColor="background1"/>
              </w:rPr>
              <w:t>Estimated cumulative expenditure per contract</w:t>
            </w:r>
          </w:p>
        </w:tc>
        <w:tc>
          <w:tcPr>
            <w:tcW w:w="5314" w:type="dxa"/>
            <w:shd w:val="clear" w:color="auto" w:fill="2D0054" w:themeFill="accent1"/>
          </w:tcPr>
          <w:p w14:paraId="461B57A6" w14:textId="639777F3" w:rsidR="000C7531" w:rsidRPr="000C7531" w:rsidRDefault="000C7531" w:rsidP="000C7531">
            <w:pPr>
              <w:pStyle w:val="ListParagraph"/>
              <w:ind w:left="0"/>
              <w:rPr>
                <w:color w:val="FFFFFF" w:themeColor="background1"/>
              </w:rPr>
            </w:pPr>
            <w:r w:rsidRPr="000C7531">
              <w:rPr>
                <w:color w:val="FFFFFF" w:themeColor="background1"/>
              </w:rPr>
              <w:t>Competition Requirements</w:t>
            </w:r>
          </w:p>
        </w:tc>
      </w:tr>
      <w:tr w:rsidR="00522E27" w14:paraId="7F00E9C7" w14:textId="77777777" w:rsidTr="0016741E">
        <w:tc>
          <w:tcPr>
            <w:tcW w:w="3435" w:type="dxa"/>
          </w:tcPr>
          <w:p w14:paraId="186625DF" w14:textId="1FC487DE" w:rsidR="00522E27" w:rsidRDefault="00522E27" w:rsidP="000C7531">
            <w:pPr>
              <w:pStyle w:val="ListParagraph"/>
              <w:ind w:left="3"/>
            </w:pPr>
            <w:r>
              <w:t>Up to £5,000</w:t>
            </w:r>
          </w:p>
        </w:tc>
        <w:tc>
          <w:tcPr>
            <w:tcW w:w="5314" w:type="dxa"/>
          </w:tcPr>
          <w:p w14:paraId="21C789DF" w14:textId="3A848B9F" w:rsidR="00522E27" w:rsidRDefault="0001224C" w:rsidP="000C7531">
            <w:pPr>
              <w:pStyle w:val="ListParagraph"/>
              <w:ind w:left="3"/>
            </w:pPr>
            <w:r>
              <w:t>Officer discretion</w:t>
            </w:r>
            <w:r w:rsidR="00522E27">
              <w:t xml:space="preserve"> </w:t>
            </w:r>
          </w:p>
        </w:tc>
      </w:tr>
      <w:tr w:rsidR="000C7531" w14:paraId="61E060D3" w14:textId="77777777" w:rsidTr="0016741E">
        <w:tc>
          <w:tcPr>
            <w:tcW w:w="3435" w:type="dxa"/>
          </w:tcPr>
          <w:p w14:paraId="2A27A322" w14:textId="5D4E1792" w:rsidR="0079384E" w:rsidRDefault="0079384E" w:rsidP="0079384E">
            <w:pPr>
              <w:pStyle w:val="ListParagraph"/>
              <w:ind w:left="3"/>
            </w:pPr>
            <w:r>
              <w:t>Between £5,001 and £25,000 (Quotations)</w:t>
            </w:r>
          </w:p>
          <w:p w14:paraId="1EA21B90" w14:textId="7CE0B7A4" w:rsidR="000C7531" w:rsidRDefault="000C7531" w:rsidP="000C7531">
            <w:pPr>
              <w:pStyle w:val="ListParagraph"/>
              <w:ind w:left="3"/>
            </w:pPr>
          </w:p>
          <w:p w14:paraId="02F5C44B" w14:textId="4CFA5469" w:rsidR="000C7531" w:rsidRDefault="000C7531" w:rsidP="000C7531">
            <w:pPr>
              <w:ind w:left="3"/>
            </w:pPr>
          </w:p>
          <w:p w14:paraId="37EF5D44" w14:textId="60BE484C" w:rsidR="000C7531" w:rsidRDefault="000C7531" w:rsidP="000C7531">
            <w:pPr>
              <w:pStyle w:val="ListParagraph"/>
              <w:ind w:left="3"/>
            </w:pPr>
          </w:p>
        </w:tc>
        <w:tc>
          <w:tcPr>
            <w:tcW w:w="5314" w:type="dxa"/>
          </w:tcPr>
          <w:p w14:paraId="63060180" w14:textId="77777777" w:rsidR="00D7491F" w:rsidRDefault="005C70D4" w:rsidP="005C70D4">
            <w:pPr>
              <w:pStyle w:val="ListParagraph"/>
              <w:ind w:left="3"/>
            </w:pPr>
            <w:r>
              <w:t xml:space="preserve">Heads of Service must ensure genuine competition by inviting </w:t>
            </w:r>
            <w:proofErr w:type="gramStart"/>
            <w:r>
              <w:t>sufficient numbers of</w:t>
            </w:r>
            <w:proofErr w:type="gramEnd"/>
            <w:r>
              <w:t xml:space="preserve"> persons (good practice indicates a minimum of 3 selected impartially) to submit written quotations for the goods, services or works required by the Council. </w:t>
            </w:r>
          </w:p>
          <w:p w14:paraId="0D597301" w14:textId="77777777" w:rsidR="00D7491F" w:rsidRDefault="00D7491F" w:rsidP="005C70D4">
            <w:pPr>
              <w:pStyle w:val="ListParagraph"/>
              <w:ind w:left="3"/>
            </w:pPr>
          </w:p>
          <w:p w14:paraId="3B63B51A" w14:textId="53F1FE98" w:rsidR="005C70D4" w:rsidRDefault="005C70D4" w:rsidP="005C70D4">
            <w:pPr>
              <w:pStyle w:val="ListParagraph"/>
              <w:ind w:left="3"/>
            </w:pPr>
            <w:r>
              <w:t xml:space="preserve">Some degree of advertising may be required, preferably on </w:t>
            </w:r>
            <w:proofErr w:type="gramStart"/>
            <w:r>
              <w:t xml:space="preserve">the </w:t>
            </w:r>
            <w:r w:rsidR="00241C70">
              <w:t xml:space="preserve"> SDDC</w:t>
            </w:r>
            <w:proofErr w:type="gramEnd"/>
            <w:r>
              <w:t xml:space="preserve"> </w:t>
            </w:r>
            <w:r w:rsidR="00241C70">
              <w:t xml:space="preserve">e-tendering </w:t>
            </w:r>
            <w:r>
              <w:t>Portal/Contracts Finder</w:t>
            </w:r>
            <w:r w:rsidR="00E07ADA">
              <w:t>.</w:t>
            </w:r>
          </w:p>
          <w:p w14:paraId="74D9C826" w14:textId="05C0FC57" w:rsidR="000C7531" w:rsidRDefault="000C7531" w:rsidP="000C7531">
            <w:pPr>
              <w:pStyle w:val="ListParagraph"/>
              <w:ind w:left="3"/>
            </w:pPr>
          </w:p>
        </w:tc>
      </w:tr>
      <w:tr w:rsidR="0016741E" w14:paraId="5633E405" w14:textId="77777777" w:rsidTr="0016741E">
        <w:tc>
          <w:tcPr>
            <w:tcW w:w="3435" w:type="dxa"/>
          </w:tcPr>
          <w:p w14:paraId="258A84EA" w14:textId="757B707A" w:rsidR="0016741E" w:rsidRDefault="0016741E" w:rsidP="0016741E">
            <w:pPr>
              <w:pStyle w:val="ListParagraph"/>
              <w:ind w:left="3"/>
            </w:pPr>
            <w:r>
              <w:lastRenderedPageBreak/>
              <w:t>Between £25,001 and £50,000 (Formal Request for Quotation [RFQ])</w:t>
            </w:r>
          </w:p>
          <w:p w14:paraId="68899604" w14:textId="4E19CBD1" w:rsidR="0016741E" w:rsidRDefault="0016741E" w:rsidP="0016741E">
            <w:pPr>
              <w:pStyle w:val="ListParagraph"/>
              <w:ind w:left="3"/>
            </w:pPr>
          </w:p>
          <w:p w14:paraId="77EF64C7" w14:textId="77777777" w:rsidR="0016741E" w:rsidRDefault="0016741E" w:rsidP="0016741E">
            <w:pPr>
              <w:pStyle w:val="ListParagraph"/>
              <w:ind w:left="3"/>
            </w:pPr>
          </w:p>
        </w:tc>
        <w:tc>
          <w:tcPr>
            <w:tcW w:w="5314" w:type="dxa"/>
          </w:tcPr>
          <w:p w14:paraId="76DFA47F" w14:textId="1B96E7BE" w:rsidR="00D7491F" w:rsidRDefault="0016741E" w:rsidP="0016741E">
            <w:pPr>
              <w:pStyle w:val="ListParagraph"/>
              <w:ind w:left="3"/>
            </w:pPr>
            <w:r>
              <w:t xml:space="preserve">Heads of Service must ensure genuine competition by inviting </w:t>
            </w:r>
            <w:proofErr w:type="gramStart"/>
            <w:r>
              <w:t>sufficient numbers of</w:t>
            </w:r>
            <w:proofErr w:type="gramEnd"/>
            <w:r>
              <w:t xml:space="preserve"> persons (good practice indicates a minimum of 3 selected impartially) to submit written quotations</w:t>
            </w:r>
            <w:r w:rsidR="00D7491F">
              <w:t xml:space="preserve"> via the Council’s Request for Quotation (RFQ) mini competition process,</w:t>
            </w:r>
            <w:r>
              <w:t xml:space="preserve"> for the goods, services or works required by the Council.</w:t>
            </w:r>
          </w:p>
          <w:p w14:paraId="1F0F6683" w14:textId="71AF8DCB" w:rsidR="00D7491F" w:rsidRDefault="0016741E" w:rsidP="0016741E">
            <w:pPr>
              <w:pStyle w:val="ListParagraph"/>
              <w:ind w:left="3"/>
            </w:pPr>
            <w:r>
              <w:t xml:space="preserve"> </w:t>
            </w:r>
          </w:p>
          <w:p w14:paraId="7C849160" w14:textId="50DCF3B9" w:rsidR="0016741E" w:rsidRDefault="00D7491F" w:rsidP="0016741E">
            <w:pPr>
              <w:pStyle w:val="ListParagraph"/>
              <w:ind w:left="3"/>
            </w:pPr>
            <w:r>
              <w:t>A</w:t>
            </w:r>
            <w:r w:rsidR="0016741E">
              <w:t xml:space="preserve">dvertising </w:t>
            </w:r>
            <w:r>
              <w:t>should b</w:t>
            </w:r>
            <w:r w:rsidR="0016741E">
              <w:t xml:space="preserve">e </w:t>
            </w:r>
            <w:r>
              <w:t>undertaken via</w:t>
            </w:r>
            <w:r w:rsidR="0016741E">
              <w:t xml:space="preserve"> Source Derbyshire Portal</w:t>
            </w:r>
            <w:r>
              <w:t xml:space="preserve"> or the </w:t>
            </w:r>
            <w:r w:rsidR="0016741E">
              <w:t>Contracts Finder.</w:t>
            </w:r>
          </w:p>
          <w:p w14:paraId="35FA163D" w14:textId="77777777" w:rsidR="0016741E" w:rsidRDefault="0016741E" w:rsidP="0016741E">
            <w:pPr>
              <w:pStyle w:val="ListParagraph"/>
              <w:ind w:left="3"/>
            </w:pPr>
          </w:p>
        </w:tc>
      </w:tr>
      <w:tr w:rsidR="0016741E" w14:paraId="36ACE6B7" w14:textId="77777777" w:rsidTr="0016741E">
        <w:tc>
          <w:tcPr>
            <w:tcW w:w="3435" w:type="dxa"/>
          </w:tcPr>
          <w:p w14:paraId="267B99B1" w14:textId="7EE2FBA4" w:rsidR="0016741E" w:rsidRDefault="0016741E" w:rsidP="0016741E">
            <w:pPr>
              <w:pStyle w:val="ListParagraph"/>
              <w:ind w:left="3"/>
            </w:pPr>
            <w:r>
              <w:t>£</w:t>
            </w:r>
            <w:r w:rsidR="00241C70">
              <w:t>50,001</w:t>
            </w:r>
            <w:r>
              <w:t xml:space="preserve"> or above but less</w:t>
            </w:r>
          </w:p>
          <w:p w14:paraId="6EC3EFBE" w14:textId="77777777" w:rsidR="0016741E" w:rsidRDefault="0016741E" w:rsidP="0016741E">
            <w:pPr>
              <w:pStyle w:val="ListParagraph"/>
              <w:ind w:left="3"/>
            </w:pPr>
            <w:r>
              <w:t>than the relevant EU</w:t>
            </w:r>
          </w:p>
          <w:p w14:paraId="6DD1410F" w14:textId="77777777" w:rsidR="0016741E" w:rsidRDefault="0016741E" w:rsidP="0016741E">
            <w:pPr>
              <w:pStyle w:val="ListParagraph"/>
              <w:ind w:left="3"/>
            </w:pPr>
            <w:r>
              <w:t>directive threshold.</w:t>
            </w:r>
          </w:p>
          <w:p w14:paraId="0FB9D22A" w14:textId="77777777" w:rsidR="0016741E" w:rsidRDefault="0016741E" w:rsidP="0016741E">
            <w:pPr>
              <w:pStyle w:val="ListParagraph"/>
              <w:ind w:left="3"/>
            </w:pPr>
            <w:r>
              <w:t>(Tenders)</w:t>
            </w:r>
          </w:p>
          <w:p w14:paraId="1FBF870F" w14:textId="77777777" w:rsidR="0016741E" w:rsidRDefault="0016741E" w:rsidP="0016741E">
            <w:pPr>
              <w:pStyle w:val="ListParagraph"/>
              <w:ind w:left="3"/>
            </w:pPr>
          </w:p>
        </w:tc>
        <w:tc>
          <w:tcPr>
            <w:tcW w:w="5314" w:type="dxa"/>
          </w:tcPr>
          <w:p w14:paraId="6A99FD05" w14:textId="560EA2AD" w:rsidR="0016741E" w:rsidRDefault="0016741E" w:rsidP="0016741E">
            <w:pPr>
              <w:pStyle w:val="ListParagraph"/>
              <w:ind w:left="3"/>
            </w:pPr>
            <w:r>
              <w:t>Heads of Services must refer the procurement</w:t>
            </w:r>
          </w:p>
          <w:p w14:paraId="11AD0BDD" w14:textId="412A730F" w:rsidR="0016741E" w:rsidRDefault="0016741E" w:rsidP="0016741E">
            <w:pPr>
              <w:pStyle w:val="ListParagraph"/>
              <w:ind w:left="3"/>
            </w:pPr>
            <w:r>
              <w:t>exercise to the Central Procurement Team</w:t>
            </w:r>
            <w:r w:rsidR="00241C70">
              <w:t xml:space="preserve"> to undertake a formal tender process</w:t>
            </w:r>
          </w:p>
        </w:tc>
      </w:tr>
      <w:tr w:rsidR="0016741E" w14:paraId="65B672D1" w14:textId="77777777" w:rsidTr="0016741E">
        <w:tc>
          <w:tcPr>
            <w:tcW w:w="3435" w:type="dxa"/>
          </w:tcPr>
          <w:p w14:paraId="2B53988D" w14:textId="77777777" w:rsidR="0016741E" w:rsidRDefault="0016741E" w:rsidP="0016741E">
            <w:pPr>
              <w:pStyle w:val="ListParagraph"/>
              <w:ind w:left="3"/>
            </w:pPr>
            <w:r>
              <w:t xml:space="preserve">Equal to or </w:t>
            </w:r>
            <w:proofErr w:type="gramStart"/>
            <w:r>
              <w:t>exceeding</w:t>
            </w:r>
            <w:proofErr w:type="gramEnd"/>
            <w:r>
              <w:t xml:space="preserve"> the</w:t>
            </w:r>
          </w:p>
          <w:p w14:paraId="411019F6" w14:textId="77777777" w:rsidR="0016741E" w:rsidRDefault="0016741E" w:rsidP="0016741E">
            <w:pPr>
              <w:pStyle w:val="ListParagraph"/>
              <w:ind w:left="3"/>
            </w:pPr>
            <w:r>
              <w:t>financial thresholds stated in</w:t>
            </w:r>
          </w:p>
          <w:p w14:paraId="221BD49F" w14:textId="21C0C9D0" w:rsidR="0016741E" w:rsidRDefault="0016741E" w:rsidP="0016741E">
            <w:pPr>
              <w:pStyle w:val="ListParagraph"/>
              <w:ind w:left="3"/>
            </w:pPr>
            <w:r>
              <w:t>the relevant EU Directive</w:t>
            </w:r>
          </w:p>
        </w:tc>
        <w:tc>
          <w:tcPr>
            <w:tcW w:w="5314" w:type="dxa"/>
          </w:tcPr>
          <w:p w14:paraId="44EF94C9" w14:textId="26263E47" w:rsidR="0016741E" w:rsidRDefault="0016741E" w:rsidP="0016741E">
            <w:pPr>
              <w:pStyle w:val="ListParagraph"/>
              <w:ind w:left="3"/>
            </w:pPr>
            <w:r>
              <w:t xml:space="preserve">As above. </w:t>
            </w:r>
          </w:p>
          <w:p w14:paraId="20B89EF2" w14:textId="23FD3BE5" w:rsidR="0016741E" w:rsidRDefault="0016741E" w:rsidP="0016741E">
            <w:pPr>
              <w:pStyle w:val="ListParagraph"/>
              <w:ind w:left="3"/>
            </w:pPr>
          </w:p>
        </w:tc>
      </w:tr>
    </w:tbl>
    <w:p w14:paraId="379B22A1" w14:textId="77777777" w:rsidR="000C7531" w:rsidRDefault="000C7531" w:rsidP="000C7531">
      <w:pPr>
        <w:pStyle w:val="ListParagraph"/>
        <w:numPr>
          <w:ilvl w:val="1"/>
          <w:numId w:val="11"/>
        </w:numPr>
        <w:spacing w:after="120"/>
        <w:ind w:left="992" w:hanging="635"/>
        <w:contextualSpacing w:val="0"/>
      </w:pPr>
      <w:r w:rsidRPr="00191BA2">
        <w:rPr>
          <w:b/>
          <w:bCs/>
        </w:rPr>
        <w:t xml:space="preserve">Suppliers </w:t>
      </w:r>
      <w:r>
        <w:t xml:space="preserve">– All proposed new suppliers must be approved by the Central Procurement Team prior to any contract or works. </w:t>
      </w:r>
    </w:p>
    <w:p w14:paraId="5797FAD8" w14:textId="476370CF" w:rsidR="000C7531" w:rsidRPr="000C7531" w:rsidRDefault="000C7531" w:rsidP="000C7531">
      <w:pPr>
        <w:pStyle w:val="ListParagraph"/>
        <w:numPr>
          <w:ilvl w:val="1"/>
          <w:numId w:val="11"/>
        </w:numPr>
        <w:spacing w:after="120"/>
        <w:ind w:left="992" w:hanging="635"/>
        <w:contextualSpacing w:val="0"/>
      </w:pPr>
      <w:r w:rsidRPr="00191BA2">
        <w:rPr>
          <w:b/>
          <w:bCs/>
        </w:rPr>
        <w:t>Local Suppliers</w:t>
      </w:r>
      <w:r>
        <w:t xml:space="preserve"> – The Council has a stated objective to wherever possible, try and support local business. To help achieve this objective, all tenders should </w:t>
      </w:r>
      <w:proofErr w:type="gramStart"/>
      <w:r>
        <w:t>advertised</w:t>
      </w:r>
      <w:proofErr w:type="gramEnd"/>
      <w:r>
        <w:t xml:space="preserve"> in the Source Derbyshire portal and involve local suppliers wherever possible. For the purposes of these CPRs a local supplier is deemed to be a supplier who pays local business rates to South Derbyshire District Council or is based within a </w:t>
      </w:r>
      <w:r w:rsidR="00C337ED">
        <w:t>25-mile</w:t>
      </w:r>
      <w:r>
        <w:t xml:space="preserve"> radius of DE11 0AH.</w:t>
      </w:r>
    </w:p>
    <w:p w14:paraId="30BEFC7E" w14:textId="6F2D5CD8" w:rsidR="00A51FE2" w:rsidRDefault="00A51FE2" w:rsidP="000E2D8B">
      <w:pPr>
        <w:pStyle w:val="Heading1"/>
        <w:numPr>
          <w:ilvl w:val="0"/>
          <w:numId w:val="11"/>
        </w:numPr>
        <w:spacing w:after="240"/>
      </w:pPr>
      <w:bookmarkStart w:id="13" w:name="_Toc64386347"/>
      <w:r w:rsidRPr="00A51FE2">
        <w:t>Tender Process to Use</w:t>
      </w:r>
      <w:bookmarkEnd w:id="13"/>
    </w:p>
    <w:p w14:paraId="40695226" w14:textId="10BFEED0" w:rsidR="000C7531" w:rsidRDefault="000C7531" w:rsidP="000C7531">
      <w:pPr>
        <w:pStyle w:val="ListParagraph"/>
        <w:numPr>
          <w:ilvl w:val="1"/>
          <w:numId w:val="11"/>
        </w:numPr>
        <w:ind w:left="993" w:hanging="710"/>
      </w:pPr>
      <w:r>
        <w:t xml:space="preserve">Before progressing with a tender exercise, the decision on which process to use needs to be taken by the Central Procurement Team, </w:t>
      </w:r>
      <w:r w:rsidR="00DC2BB2">
        <w:t xml:space="preserve">who will </w:t>
      </w:r>
      <w:r>
        <w:t>liais</w:t>
      </w:r>
      <w:r w:rsidR="00DC2BB2">
        <w:t>e</w:t>
      </w:r>
      <w:r>
        <w:t xml:space="preserve"> with the </w:t>
      </w:r>
      <w:r w:rsidR="00DC2BB2">
        <w:t xml:space="preserve">relevant Executive Director and/or the </w:t>
      </w:r>
      <w:r w:rsidR="0045773B">
        <w:t>Executive Director - Resources and Transformation</w:t>
      </w:r>
      <w:r w:rsidR="00DC2BB2">
        <w:t xml:space="preserve">, depending on the value </w:t>
      </w:r>
      <w:r w:rsidR="00D872C3">
        <w:t>of the contract.</w:t>
      </w:r>
      <w:r w:rsidR="0045773B">
        <w:t xml:space="preserve"> </w:t>
      </w:r>
      <w:r>
        <w:t xml:space="preserve"> </w:t>
      </w:r>
    </w:p>
    <w:p w14:paraId="34468689" w14:textId="77777777" w:rsidR="000C7531" w:rsidRDefault="000C7531" w:rsidP="000C7531">
      <w:pPr>
        <w:pStyle w:val="ListParagraph"/>
        <w:ind w:left="360"/>
      </w:pPr>
    </w:p>
    <w:p w14:paraId="06FD4D52" w14:textId="202EB421" w:rsidR="00771FA4" w:rsidRDefault="000C7531" w:rsidP="000C7531">
      <w:pPr>
        <w:pStyle w:val="ListParagraph"/>
        <w:ind w:left="993"/>
      </w:pPr>
      <w:r>
        <w:t xml:space="preserve">Further guidance on each of these processes, including timescales </w:t>
      </w:r>
      <w:r w:rsidR="00C452DA">
        <w:t xml:space="preserve">is detailed in the </w:t>
      </w:r>
      <w:r w:rsidR="00C452DA" w:rsidRPr="00F00D86">
        <w:rPr>
          <w:i/>
          <w:iCs/>
        </w:rPr>
        <w:t xml:space="preserve">Procurement Strategy </w:t>
      </w:r>
      <w:r w:rsidRPr="00F00D86">
        <w:rPr>
          <w:i/>
          <w:iCs/>
        </w:rPr>
        <w:t>an</w:t>
      </w:r>
      <w:r w:rsidR="00F00D86">
        <w:rPr>
          <w:i/>
          <w:iCs/>
        </w:rPr>
        <w:t>d</w:t>
      </w:r>
      <w:r w:rsidRPr="00F00D86">
        <w:rPr>
          <w:i/>
          <w:iCs/>
        </w:rPr>
        <w:t xml:space="preserve"> </w:t>
      </w:r>
      <w:r w:rsidR="00C452DA" w:rsidRPr="00F00D86">
        <w:rPr>
          <w:i/>
          <w:iCs/>
        </w:rPr>
        <w:t>Guidance Notes</w:t>
      </w:r>
      <w:r w:rsidR="00C452DA">
        <w:t>.</w:t>
      </w:r>
    </w:p>
    <w:p w14:paraId="602FD164" w14:textId="77777777" w:rsidR="00C452DA" w:rsidRDefault="00C452DA" w:rsidP="000C7531">
      <w:pPr>
        <w:pStyle w:val="ListParagraph"/>
        <w:ind w:left="993"/>
      </w:pPr>
    </w:p>
    <w:p w14:paraId="1B3C9753" w14:textId="73CAC01B" w:rsidR="00771FA4" w:rsidRDefault="000C7531" w:rsidP="00771FA4">
      <w:pPr>
        <w:pStyle w:val="ListParagraph"/>
        <w:ind w:left="993"/>
      </w:pPr>
      <w:r>
        <w:t>Where a tender process involves subsequent dialogue with tenderers</w:t>
      </w:r>
      <w:proofErr w:type="gramStart"/>
      <w:r>
        <w:t xml:space="preserve"> and in particular</w:t>
      </w:r>
      <w:proofErr w:type="gramEnd"/>
      <w:r>
        <w:t xml:space="preserve"> those involving competitive dialogue or a negotiated procedure, this must be led by the CPT supported by the Client Department.</w:t>
      </w:r>
    </w:p>
    <w:p w14:paraId="4438C604" w14:textId="51116B2F" w:rsidR="00771FA4" w:rsidRDefault="00771FA4" w:rsidP="00771FA4">
      <w:pPr>
        <w:pStyle w:val="ListParagraph"/>
        <w:ind w:left="993"/>
      </w:pPr>
    </w:p>
    <w:p w14:paraId="2449BAD9" w14:textId="2DEE94FF" w:rsidR="00771FA4" w:rsidRPr="000C7531" w:rsidRDefault="00F426F7" w:rsidP="0040323C">
      <w:pPr>
        <w:pStyle w:val="ListParagraph"/>
        <w:numPr>
          <w:ilvl w:val="1"/>
          <w:numId w:val="11"/>
        </w:numPr>
        <w:ind w:left="993" w:hanging="709"/>
      </w:pPr>
      <w:r>
        <w:t>T</w:t>
      </w:r>
      <w:r w:rsidR="00191BA2">
        <w:t>enders</w:t>
      </w:r>
      <w:r>
        <w:t xml:space="preserve"> are to ensure that sustainability is factored into all bids therefore</w:t>
      </w:r>
      <w:r w:rsidR="00191BA2">
        <w:t xml:space="preserve"> </w:t>
      </w:r>
      <w:r w:rsidR="00771FA4">
        <w:t>“100% price tenders”</w:t>
      </w:r>
      <w:r w:rsidR="00191BA2">
        <w:t xml:space="preserve"> are prohibited.</w:t>
      </w:r>
    </w:p>
    <w:p w14:paraId="05DF212F" w14:textId="5010C3E3" w:rsidR="00A51FE2" w:rsidRDefault="00A51FE2" w:rsidP="000E2D8B">
      <w:pPr>
        <w:pStyle w:val="Heading1"/>
        <w:numPr>
          <w:ilvl w:val="0"/>
          <w:numId w:val="11"/>
        </w:numPr>
        <w:spacing w:after="240"/>
      </w:pPr>
      <w:bookmarkStart w:id="14" w:name="_Toc64386348"/>
      <w:r w:rsidRPr="00A51FE2">
        <w:t>Invitations to Tender</w:t>
      </w:r>
      <w:bookmarkEnd w:id="14"/>
    </w:p>
    <w:p w14:paraId="29937250" w14:textId="77777777" w:rsidR="000C7531" w:rsidRDefault="000C7531" w:rsidP="00191BA2">
      <w:pPr>
        <w:pStyle w:val="ListParagraph"/>
        <w:numPr>
          <w:ilvl w:val="1"/>
          <w:numId w:val="11"/>
        </w:numPr>
        <w:spacing w:after="120"/>
        <w:ind w:left="1134" w:hanging="850"/>
        <w:contextualSpacing w:val="0"/>
      </w:pPr>
      <w:r>
        <w:t xml:space="preserve">The Central Procurement Team shall ensure that all invitations to tender: </w:t>
      </w:r>
    </w:p>
    <w:p w14:paraId="0EBA532F" w14:textId="54F34FDF" w:rsidR="000C7531" w:rsidRDefault="000C7531" w:rsidP="00191BA2">
      <w:pPr>
        <w:pStyle w:val="ListParagraph"/>
        <w:numPr>
          <w:ilvl w:val="0"/>
          <w:numId w:val="36"/>
        </w:numPr>
        <w:spacing w:after="120"/>
        <w:contextualSpacing w:val="0"/>
      </w:pPr>
      <w:r>
        <w:lastRenderedPageBreak/>
        <w:t>clearly specify the goods, services or works that are required (subject to appropriate adjustment where the competitive procedure with negotiation, competitive dialogue or innovation partnership procedure is being used)</w:t>
      </w:r>
      <w:r w:rsidR="00F00D86">
        <w:t>.</w:t>
      </w:r>
    </w:p>
    <w:p w14:paraId="36946F3E" w14:textId="154C0185" w:rsidR="000C7531" w:rsidRDefault="000C7531" w:rsidP="00191BA2">
      <w:pPr>
        <w:pStyle w:val="ListParagraph"/>
        <w:numPr>
          <w:ilvl w:val="0"/>
          <w:numId w:val="36"/>
        </w:numPr>
        <w:spacing w:after="120"/>
        <w:contextualSpacing w:val="0"/>
      </w:pPr>
      <w:r>
        <w:t xml:space="preserve">In the case of the Negotiated Restricted Process (i.e.: under standing orders and outside OJEU) make it clear to all tenderers that there is final stage where the top scored tenders will be invited for final interviews. At and following final interviews bidders will have the opportunity to answer the Council’s questions for clarification and to submit revised prices. This stage must be led by CPT supported by an officer of the Client Department. </w:t>
      </w:r>
    </w:p>
    <w:p w14:paraId="0AA63B7A" w14:textId="77777777" w:rsidR="000C7531" w:rsidRDefault="000C7531" w:rsidP="00191BA2">
      <w:pPr>
        <w:pStyle w:val="ListParagraph"/>
        <w:numPr>
          <w:ilvl w:val="0"/>
          <w:numId w:val="36"/>
        </w:numPr>
        <w:spacing w:after="120"/>
        <w:contextualSpacing w:val="0"/>
      </w:pPr>
      <w:r>
        <w:t xml:space="preserve">for all Tenders, list the criteria on which tenders will be evaluated (see Rule 17) showing the weighting of the various criteria. The scoring methodology will also be detailed. </w:t>
      </w:r>
    </w:p>
    <w:p w14:paraId="2156AE2C" w14:textId="4E128D9B" w:rsidR="000C7531" w:rsidRDefault="000C7531" w:rsidP="00191BA2">
      <w:pPr>
        <w:pStyle w:val="ListParagraph"/>
        <w:numPr>
          <w:ilvl w:val="0"/>
          <w:numId w:val="36"/>
        </w:numPr>
        <w:spacing w:after="120"/>
        <w:contextualSpacing w:val="0"/>
      </w:pPr>
      <w:r>
        <w:t>include a requirement for tenderers to declare that the tender content, price and all other figures or particulars concerning the tender have not been disclosed by the tenderer to any other party</w:t>
      </w:r>
      <w:r w:rsidR="00C452DA">
        <w:t>.</w:t>
      </w:r>
      <w:r>
        <w:t xml:space="preserve"> </w:t>
      </w:r>
    </w:p>
    <w:p w14:paraId="195BE776" w14:textId="77777777" w:rsidR="000C7531" w:rsidRDefault="000C7531" w:rsidP="00191BA2">
      <w:pPr>
        <w:pStyle w:val="ListParagraph"/>
        <w:numPr>
          <w:ilvl w:val="0"/>
          <w:numId w:val="36"/>
        </w:numPr>
        <w:spacing w:after="120"/>
        <w:contextualSpacing w:val="0"/>
      </w:pPr>
      <w:r>
        <w:t xml:space="preserve">include a requirement for tenderers to complete fully and sign all tender documents including certificates confirming that no canvassing or collusion has taken place; and </w:t>
      </w:r>
    </w:p>
    <w:p w14:paraId="6234B5A8" w14:textId="77777777" w:rsidR="000C7531" w:rsidRDefault="000C7531" w:rsidP="00191BA2">
      <w:pPr>
        <w:pStyle w:val="ListParagraph"/>
        <w:numPr>
          <w:ilvl w:val="0"/>
          <w:numId w:val="36"/>
        </w:numPr>
        <w:spacing w:after="120"/>
        <w:contextualSpacing w:val="0"/>
      </w:pPr>
      <w:r>
        <w:t xml:space="preserve">state that the contract will be on the Council’s standard terms and conditions of contract which are to be enclosed with the invitation to tender </w:t>
      </w:r>
      <w:proofErr w:type="gramStart"/>
      <w:r>
        <w:t>and also</w:t>
      </w:r>
      <w:proofErr w:type="gramEnd"/>
      <w:r>
        <w:t xml:space="preserve"> available on the Council’s website. </w:t>
      </w:r>
    </w:p>
    <w:p w14:paraId="2E37B05C" w14:textId="7C3CB1D8" w:rsidR="000C7531" w:rsidRPr="000C7531" w:rsidRDefault="000C7531" w:rsidP="000C7531">
      <w:pPr>
        <w:pStyle w:val="ListParagraph"/>
        <w:numPr>
          <w:ilvl w:val="1"/>
          <w:numId w:val="11"/>
        </w:numPr>
        <w:ind w:left="993" w:hanging="709"/>
      </w:pPr>
      <w:r>
        <w:t xml:space="preserve">Wherever possible, contracts must require goods, services and works to be in accordance with a specified European </w:t>
      </w:r>
      <w:r w:rsidR="00F00D86">
        <w:t xml:space="preserve">or British </w:t>
      </w:r>
      <w:r>
        <w:t xml:space="preserve">Standard </w:t>
      </w:r>
      <w:r w:rsidR="00F00D86">
        <w:t>(where this applies).</w:t>
      </w:r>
    </w:p>
    <w:p w14:paraId="77315AF4" w14:textId="49CD45B2" w:rsidR="00A51FE2" w:rsidRDefault="00A51FE2" w:rsidP="00191BA2">
      <w:pPr>
        <w:pStyle w:val="Heading1"/>
        <w:numPr>
          <w:ilvl w:val="0"/>
          <w:numId w:val="11"/>
        </w:numPr>
        <w:spacing w:after="240"/>
        <w:ind w:left="567" w:hanging="709"/>
      </w:pPr>
      <w:bookmarkStart w:id="15" w:name="_Toc64386349"/>
      <w:r w:rsidRPr="00A51FE2">
        <w:t>Receipt of Tenders (including under Framework Agreements) and Opening of Tenders</w:t>
      </w:r>
      <w:bookmarkEnd w:id="15"/>
    </w:p>
    <w:p w14:paraId="52CC579F" w14:textId="77777777" w:rsidR="000C7531" w:rsidRDefault="000C7531" w:rsidP="000C7531">
      <w:pPr>
        <w:pStyle w:val="ListParagraph"/>
        <w:numPr>
          <w:ilvl w:val="1"/>
          <w:numId w:val="11"/>
        </w:numPr>
        <w:spacing w:after="120"/>
        <w:ind w:left="993" w:hanging="709"/>
        <w:contextualSpacing w:val="0"/>
      </w:pPr>
      <w:r>
        <w:t xml:space="preserve">Authorised Officers must comply with the Council’s Procedures for Receipt and Opening of Tenders as set out below. </w:t>
      </w:r>
    </w:p>
    <w:p w14:paraId="0E495092" w14:textId="77777777" w:rsidR="000C7531" w:rsidRDefault="000C7531" w:rsidP="000C7531">
      <w:pPr>
        <w:pStyle w:val="ListParagraph"/>
        <w:numPr>
          <w:ilvl w:val="1"/>
          <w:numId w:val="11"/>
        </w:numPr>
        <w:spacing w:after="120"/>
        <w:ind w:left="993" w:hanging="709"/>
        <w:contextualSpacing w:val="0"/>
      </w:pPr>
      <w:r>
        <w:t xml:space="preserve">All tenders shall be received electronically via a secure e-tendering portal owned or operated on behalf of the Council. </w:t>
      </w:r>
    </w:p>
    <w:p w14:paraId="1A959D85" w14:textId="77777777" w:rsidR="000C7531" w:rsidRDefault="000C7531" w:rsidP="000C7531">
      <w:pPr>
        <w:pStyle w:val="ListParagraph"/>
        <w:numPr>
          <w:ilvl w:val="1"/>
          <w:numId w:val="11"/>
        </w:numPr>
        <w:spacing w:after="120"/>
        <w:ind w:left="993" w:hanging="709"/>
        <w:contextualSpacing w:val="0"/>
      </w:pPr>
      <w:r>
        <w:t>All tenders received, including mini-tenders under Framework Agreements, must remain locked in a secure vault within the e-tendering portal until the specified closing date and time for receipt of tenders has passed.</w:t>
      </w:r>
      <w:r w:rsidRPr="000C7531">
        <w:t xml:space="preserve"> </w:t>
      </w:r>
    </w:p>
    <w:p w14:paraId="36BEF712" w14:textId="29E4724D" w:rsidR="000C7531" w:rsidRDefault="000C7531" w:rsidP="000C7531">
      <w:pPr>
        <w:pStyle w:val="ListParagraph"/>
        <w:numPr>
          <w:ilvl w:val="1"/>
          <w:numId w:val="11"/>
        </w:numPr>
        <w:spacing w:after="120"/>
        <w:ind w:left="993" w:hanging="709"/>
        <w:contextualSpacing w:val="0"/>
      </w:pPr>
      <w:r>
        <w:t xml:space="preserve">The secure vault shall be </w:t>
      </w:r>
      <w:r w:rsidR="00C452DA">
        <w:t>unlocked,</w:t>
      </w:r>
      <w:r>
        <w:t xml:space="preserve"> and all tenders released electronically, by the CPT. Electronic copies of all tender documents submitted shall remain in the portal in a secure tamperproof area. </w:t>
      </w:r>
    </w:p>
    <w:p w14:paraId="62F7A60A" w14:textId="165E325E" w:rsidR="000C7531" w:rsidRPr="000C7531" w:rsidRDefault="000C7531" w:rsidP="000C7531">
      <w:pPr>
        <w:pStyle w:val="ListParagraph"/>
        <w:numPr>
          <w:ilvl w:val="1"/>
          <w:numId w:val="11"/>
        </w:numPr>
        <w:spacing w:after="120"/>
        <w:ind w:left="993" w:hanging="709"/>
        <w:contextualSpacing w:val="0"/>
      </w:pPr>
      <w:r>
        <w:t>An electronic audit log shall be kept within the e-tendering portal showing all actions conducted by all parties.</w:t>
      </w:r>
    </w:p>
    <w:p w14:paraId="5711579B" w14:textId="10EB5509" w:rsidR="00A51FE2" w:rsidRDefault="00A51FE2" w:rsidP="000E2D8B">
      <w:pPr>
        <w:pStyle w:val="Heading1"/>
        <w:numPr>
          <w:ilvl w:val="0"/>
          <w:numId w:val="11"/>
        </w:numPr>
        <w:spacing w:after="240"/>
      </w:pPr>
      <w:bookmarkStart w:id="16" w:name="_Toc64386350"/>
      <w:r w:rsidRPr="00A51FE2">
        <w:lastRenderedPageBreak/>
        <w:t>Evaluation Criteria and Evaluation of Tenders</w:t>
      </w:r>
      <w:bookmarkEnd w:id="16"/>
    </w:p>
    <w:p w14:paraId="3B4986FF" w14:textId="11F1C23A" w:rsidR="000C7531" w:rsidRDefault="000C7531" w:rsidP="000C7531">
      <w:pPr>
        <w:pStyle w:val="ListParagraph"/>
        <w:numPr>
          <w:ilvl w:val="1"/>
          <w:numId w:val="11"/>
        </w:numPr>
        <w:spacing w:after="120"/>
        <w:ind w:left="993" w:hanging="709"/>
        <w:contextualSpacing w:val="0"/>
      </w:pPr>
      <w:r>
        <w:t>In determining the relevant evaluation criteria on which tenders are to be assessed, Authorised Officers and relevant Council Staff must consider all factors relevant to their requirement, including environmental and social considerations, so far as this is lawful.</w:t>
      </w:r>
    </w:p>
    <w:p w14:paraId="11D75FBC" w14:textId="390284F0" w:rsidR="00F426F7" w:rsidRDefault="00F426F7" w:rsidP="00687D12">
      <w:pPr>
        <w:pStyle w:val="ListParagraph"/>
        <w:numPr>
          <w:ilvl w:val="2"/>
          <w:numId w:val="11"/>
        </w:numPr>
        <w:spacing w:after="120"/>
        <w:contextualSpacing w:val="0"/>
      </w:pPr>
      <w:r>
        <w:t xml:space="preserve">All categories shall be ‘weighted’ to ensure </w:t>
      </w:r>
      <w:r w:rsidR="00687D12">
        <w:t xml:space="preserve">price, quality, environment and social aspects are considered </w:t>
      </w:r>
      <w:r>
        <w:t xml:space="preserve">holistically and that </w:t>
      </w:r>
      <w:r w:rsidR="00687D12">
        <w:t>sustainab</w:t>
      </w:r>
      <w:r>
        <w:t>ility of tender supports the</w:t>
      </w:r>
      <w:r w:rsidR="00687D12">
        <w:t xml:space="preserve"> </w:t>
      </w:r>
      <w:r w:rsidR="009352F1">
        <w:t>achieving value for money (section 7)</w:t>
      </w:r>
      <w:r>
        <w:t>. This can be done by</w:t>
      </w:r>
      <w:r w:rsidR="009352F1">
        <w:t xml:space="preserve"> </w:t>
      </w:r>
      <w:r w:rsidR="00C452DA">
        <w:t>understanding.</w:t>
      </w:r>
    </w:p>
    <w:p w14:paraId="60EF04EE" w14:textId="3C01B3E3" w:rsidR="00F426F7" w:rsidRDefault="00B32505" w:rsidP="0040323C">
      <w:pPr>
        <w:pStyle w:val="ListParagraph"/>
        <w:numPr>
          <w:ilvl w:val="3"/>
          <w:numId w:val="11"/>
        </w:numPr>
        <w:spacing w:after="120"/>
        <w:ind w:left="2127" w:hanging="567"/>
      </w:pPr>
      <w:r>
        <w:t>“</w:t>
      </w:r>
      <w:proofErr w:type="gramStart"/>
      <w:r>
        <w:t>whole</w:t>
      </w:r>
      <w:proofErr w:type="gramEnd"/>
      <w:r>
        <w:t xml:space="preserve"> life costing impact” of purchase (materials, manufacture, maintenance, quality and end of life) </w:t>
      </w:r>
      <w:r w:rsidR="00687D12">
        <w:t>and</w:t>
      </w:r>
      <w:r w:rsidR="00F426F7">
        <w:t xml:space="preserve"> </w:t>
      </w:r>
    </w:p>
    <w:p w14:paraId="285EE2FC" w14:textId="77777777" w:rsidR="00C452DA" w:rsidRDefault="00C452DA" w:rsidP="00C452DA">
      <w:pPr>
        <w:pStyle w:val="ListParagraph"/>
        <w:spacing w:after="120"/>
        <w:ind w:left="2127"/>
      </w:pPr>
    </w:p>
    <w:p w14:paraId="02B4EB96" w14:textId="5B369704" w:rsidR="00687D12" w:rsidRDefault="00F426F7" w:rsidP="0040323C">
      <w:pPr>
        <w:pStyle w:val="ListParagraph"/>
        <w:numPr>
          <w:ilvl w:val="3"/>
          <w:numId w:val="11"/>
        </w:numPr>
        <w:spacing w:after="120"/>
        <w:ind w:left="2127" w:hanging="567"/>
      </w:pPr>
      <w:r>
        <w:t xml:space="preserve">ii. </w:t>
      </w:r>
      <w:r w:rsidR="009352F1">
        <w:t>E</w:t>
      </w:r>
      <w:r w:rsidR="00687D12">
        <w:t>nvironmental</w:t>
      </w:r>
      <w:r w:rsidR="009352F1">
        <w:t xml:space="preserve"> management of its activities/services</w:t>
      </w:r>
      <w:r w:rsidR="00687D12">
        <w:t>.</w:t>
      </w:r>
    </w:p>
    <w:p w14:paraId="0438EFD7" w14:textId="77777777" w:rsidR="00C452DA" w:rsidRDefault="00C452DA" w:rsidP="00C452DA">
      <w:pPr>
        <w:pStyle w:val="ListParagraph"/>
      </w:pPr>
    </w:p>
    <w:p w14:paraId="5E21B219" w14:textId="0F0F78BD" w:rsidR="000C7531" w:rsidRDefault="000C7531" w:rsidP="000C7531">
      <w:pPr>
        <w:pStyle w:val="ListParagraph"/>
        <w:numPr>
          <w:ilvl w:val="1"/>
          <w:numId w:val="11"/>
        </w:numPr>
        <w:spacing w:after="120"/>
        <w:ind w:left="993" w:hanging="709"/>
        <w:contextualSpacing w:val="0"/>
      </w:pPr>
      <w:r>
        <w:t xml:space="preserve">The evaluation process will clearly demonstrate that the Council is seeking to identify the </w:t>
      </w:r>
      <w:r w:rsidR="00191BA2">
        <w:t xml:space="preserve">Achieving best value </w:t>
      </w:r>
      <w:r>
        <w:t xml:space="preserve">tender (see Rule 13). </w:t>
      </w:r>
    </w:p>
    <w:p w14:paraId="7499D873" w14:textId="2D539945" w:rsidR="00687D12" w:rsidRDefault="000C7531" w:rsidP="00687D12">
      <w:pPr>
        <w:pStyle w:val="ListParagraph"/>
        <w:numPr>
          <w:ilvl w:val="1"/>
          <w:numId w:val="11"/>
        </w:numPr>
        <w:spacing w:after="120"/>
        <w:ind w:left="993" w:hanging="709"/>
        <w:contextualSpacing w:val="0"/>
      </w:pPr>
      <w:r>
        <w:t xml:space="preserve">The CPT will ensure that all tenders and mini competitions are evaluated by a panel including the Council’s Client Department, technical and financial officers (if appropriate) and appointed external consultants, in accordance with the evaluation criteria specified in the invitation to tender. </w:t>
      </w:r>
    </w:p>
    <w:p w14:paraId="68884B29" w14:textId="54E8A2FE" w:rsidR="000C7531" w:rsidRDefault="000C7531" w:rsidP="000C7531">
      <w:pPr>
        <w:pStyle w:val="ListParagraph"/>
        <w:numPr>
          <w:ilvl w:val="1"/>
          <w:numId w:val="11"/>
        </w:numPr>
        <w:spacing w:after="120"/>
        <w:ind w:left="993" w:hanging="709"/>
        <w:contextualSpacing w:val="0"/>
      </w:pPr>
      <w:r>
        <w:t xml:space="preserve">The arithmetic in compliant tenders, including </w:t>
      </w:r>
      <w:r w:rsidR="00C452DA">
        <w:t>mini tenders</w:t>
      </w:r>
      <w:r>
        <w:t xml:space="preserve"> under Framework Agreements, must be checked. If arithmetical or clerical errors are found they should be notified to the tenderer, which should be requested to confirm the correct figures/wording or withdraw its tender. </w:t>
      </w:r>
    </w:p>
    <w:p w14:paraId="5387DDF9" w14:textId="2E396406" w:rsidR="000C7531" w:rsidRDefault="000C7531" w:rsidP="000C7531">
      <w:pPr>
        <w:pStyle w:val="ListParagraph"/>
        <w:numPr>
          <w:ilvl w:val="1"/>
          <w:numId w:val="11"/>
        </w:numPr>
        <w:spacing w:after="120"/>
        <w:ind w:left="993" w:hanging="709"/>
        <w:contextualSpacing w:val="0"/>
      </w:pPr>
      <w:r>
        <w:t>Authorised Officers must compare submitted tender prices with any project appraisal or pre-tender estimates. All differentials must be considered. For tender prices of £25,000 or more where the differential is more than 20% above or below the project appraisal or pre-tender estimate, the reason must be determined</w:t>
      </w:r>
      <w:r w:rsidR="00C452DA">
        <w:t>,</w:t>
      </w:r>
      <w:r>
        <w:t xml:space="preserve"> and this must be reported to the </w:t>
      </w:r>
      <w:r w:rsidR="001D2A51">
        <w:t>Executive Director - Resources and Transformation</w:t>
      </w:r>
      <w:r>
        <w:t xml:space="preserve">. </w:t>
      </w:r>
    </w:p>
    <w:p w14:paraId="1427ED6C" w14:textId="6ABF1870" w:rsidR="000C7531" w:rsidRDefault="000C7531" w:rsidP="000C7531">
      <w:pPr>
        <w:pStyle w:val="ListParagraph"/>
        <w:numPr>
          <w:ilvl w:val="1"/>
          <w:numId w:val="11"/>
        </w:numPr>
        <w:spacing w:after="120"/>
        <w:ind w:left="993" w:hanging="709"/>
        <w:contextualSpacing w:val="0"/>
      </w:pPr>
      <w:r>
        <w:t xml:space="preserve">In cases as set out in Rule 17.5 for goods and services, a tender must not be accepted unless this has been authorised by the </w:t>
      </w:r>
      <w:r w:rsidR="001D2A51">
        <w:t>Executive Director - Resources and Transformation</w:t>
      </w:r>
      <w:r>
        <w:t xml:space="preserve">. For capital expenditure, authorisation of acceptance of variations must be in accordance with the FPR Section B, B2.38 of the Finance Procedure Rules. </w:t>
      </w:r>
    </w:p>
    <w:p w14:paraId="2F2A0353" w14:textId="1E18EAFD" w:rsidR="000C7531" w:rsidRDefault="000C7531" w:rsidP="000C7531">
      <w:pPr>
        <w:pStyle w:val="ListParagraph"/>
        <w:numPr>
          <w:ilvl w:val="1"/>
          <w:numId w:val="11"/>
        </w:numPr>
        <w:spacing w:after="120"/>
        <w:ind w:left="993" w:hanging="709"/>
        <w:contextualSpacing w:val="0"/>
      </w:pPr>
      <w:r>
        <w:t>Final evaluated scores will be checked by a member of the Central Procurement Team and counter checked by a member of the Finance Team and/or the Client Department to ensure accuracy.</w:t>
      </w:r>
    </w:p>
    <w:p w14:paraId="7052D713" w14:textId="00DE906A" w:rsidR="00900584" w:rsidRPr="00900584" w:rsidRDefault="00900584" w:rsidP="00900584">
      <w:pPr>
        <w:pStyle w:val="ListParagraph"/>
        <w:spacing w:after="120"/>
        <w:ind w:left="993"/>
        <w:contextualSpacing w:val="0"/>
        <w:rPr>
          <w:b/>
          <w:bCs/>
        </w:rPr>
      </w:pPr>
      <w:r w:rsidRPr="00900584">
        <w:rPr>
          <w:b/>
          <w:bCs/>
        </w:rPr>
        <w:t>Equality, Inclusion and Diversity</w:t>
      </w:r>
    </w:p>
    <w:p w14:paraId="3CFBB7AA" w14:textId="66B47B2F" w:rsidR="00900584" w:rsidRPr="00E428F7" w:rsidRDefault="00900584" w:rsidP="000C7531">
      <w:pPr>
        <w:pStyle w:val="ListParagraph"/>
        <w:numPr>
          <w:ilvl w:val="1"/>
          <w:numId w:val="11"/>
        </w:numPr>
        <w:spacing w:after="120"/>
        <w:ind w:left="993" w:hanging="709"/>
        <w:contextualSpacing w:val="0"/>
      </w:pPr>
      <w:r>
        <w:t xml:space="preserve">In </w:t>
      </w:r>
      <w:r w:rsidRPr="00900584">
        <w:rPr>
          <w:rFonts w:ascii="Arial" w:hAnsi="Arial" w:cs="Times New Roman"/>
        </w:rPr>
        <w:t xml:space="preserve">making decisions </w:t>
      </w:r>
      <w:r>
        <w:rPr>
          <w:rFonts w:ascii="Arial" w:hAnsi="Arial" w:cs="Times New Roman"/>
        </w:rPr>
        <w:t>to award</w:t>
      </w:r>
      <w:r w:rsidRPr="00900584">
        <w:rPr>
          <w:rFonts w:ascii="Arial" w:hAnsi="Arial" w:cs="Times New Roman"/>
        </w:rPr>
        <w:t xml:space="preserve">, the Council must consciously consider the need to: eliminate discrimination, advance equality of opportunity, and foster good relations. </w:t>
      </w:r>
      <w:r>
        <w:rPr>
          <w:rFonts w:ascii="Arial" w:hAnsi="Arial" w:cs="Times New Roman"/>
        </w:rPr>
        <w:t xml:space="preserve">This should be proportionate to the </w:t>
      </w:r>
      <w:proofErr w:type="gramStart"/>
      <w:r>
        <w:rPr>
          <w:rFonts w:ascii="Arial" w:hAnsi="Arial" w:cs="Times New Roman"/>
        </w:rPr>
        <w:t>service</w:t>
      </w:r>
      <w:proofErr w:type="gramEnd"/>
      <w:r>
        <w:rPr>
          <w:rFonts w:ascii="Arial" w:hAnsi="Arial" w:cs="Times New Roman"/>
        </w:rPr>
        <w:t xml:space="preserve"> or goods being procured. </w:t>
      </w:r>
      <w:r w:rsidRPr="00900584">
        <w:rPr>
          <w:rFonts w:ascii="Arial" w:hAnsi="Arial" w:cs="Times New Roman"/>
        </w:rPr>
        <w:t xml:space="preserve"> </w:t>
      </w:r>
    </w:p>
    <w:p w14:paraId="34E6A9DE" w14:textId="15F8C521" w:rsidR="00E428F7" w:rsidRPr="00E428F7" w:rsidRDefault="00E428F7" w:rsidP="000C7531">
      <w:pPr>
        <w:pStyle w:val="ListParagraph"/>
        <w:numPr>
          <w:ilvl w:val="1"/>
          <w:numId w:val="11"/>
        </w:numPr>
        <w:spacing w:after="120"/>
        <w:ind w:left="993" w:hanging="709"/>
        <w:contextualSpacing w:val="0"/>
      </w:pPr>
      <w:r>
        <w:t xml:space="preserve">It is an on-going obligation and therefore </w:t>
      </w:r>
      <w:r w:rsidRPr="00E428F7">
        <w:rPr>
          <w:rFonts w:ascii="Arial" w:hAnsi="Arial" w:cs="Times New Roman"/>
        </w:rPr>
        <w:t>should be considered during pre-procurement, the procurement itself and through contract management</w:t>
      </w:r>
      <w:r>
        <w:rPr>
          <w:rFonts w:ascii="Arial" w:hAnsi="Arial" w:cs="Times New Roman"/>
        </w:rPr>
        <w:t xml:space="preserve">. </w:t>
      </w:r>
      <w:r w:rsidRPr="00E428F7">
        <w:rPr>
          <w:rFonts w:ascii="Arial" w:hAnsi="Arial" w:cs="Times New Roman"/>
        </w:rPr>
        <w:t xml:space="preserve">Where relevant, Contractors should be required (by way of inclusion of specific contract terms) to take steps to assist the Council to comply with </w:t>
      </w:r>
      <w:r>
        <w:rPr>
          <w:rFonts w:ascii="Arial" w:hAnsi="Arial" w:cs="Times New Roman"/>
        </w:rPr>
        <w:t xml:space="preserve">its duty under the Equality Act 2010. </w:t>
      </w:r>
    </w:p>
    <w:p w14:paraId="192CB691" w14:textId="4FE23DEC" w:rsidR="00E428F7" w:rsidRPr="00E428F7" w:rsidRDefault="00E428F7" w:rsidP="006F3B13">
      <w:pPr>
        <w:pStyle w:val="ListParagraph"/>
        <w:numPr>
          <w:ilvl w:val="1"/>
          <w:numId w:val="11"/>
        </w:numPr>
        <w:spacing w:after="120"/>
        <w:ind w:left="993" w:hanging="709"/>
        <w:contextualSpacing w:val="0"/>
      </w:pPr>
      <w:r w:rsidRPr="00E428F7">
        <w:rPr>
          <w:rFonts w:ascii="Arial" w:hAnsi="Arial" w:cs="Times New Roman"/>
        </w:rPr>
        <w:lastRenderedPageBreak/>
        <w:t xml:space="preserve">All contractors will be expected to comply with national equality legislation to deliver services fairly and without unlawful discrimination. </w:t>
      </w:r>
      <w:r>
        <w:rPr>
          <w:rFonts w:ascii="Arial" w:hAnsi="Arial" w:cs="Times New Roman"/>
        </w:rPr>
        <w:t>T</w:t>
      </w:r>
      <w:r w:rsidRPr="00E428F7">
        <w:rPr>
          <w:rFonts w:ascii="Arial" w:hAnsi="Arial" w:cs="Times New Roman"/>
        </w:rPr>
        <w:t>he Council’s Procurement Team can provide advice on the necessary questions that are required to be raised with all contractors within the tender documents and how the responses should be evaluated.</w:t>
      </w:r>
    </w:p>
    <w:p w14:paraId="2A532B8F" w14:textId="77777777" w:rsidR="00052659" w:rsidRDefault="00052659" w:rsidP="00E428F7">
      <w:pPr>
        <w:pStyle w:val="ListParagraph"/>
        <w:spacing w:after="120"/>
        <w:ind w:left="792"/>
        <w:contextualSpacing w:val="0"/>
        <w:rPr>
          <w:rFonts w:ascii="Arial" w:hAnsi="Arial" w:cs="Times New Roman"/>
        </w:rPr>
      </w:pPr>
    </w:p>
    <w:p w14:paraId="429F574A" w14:textId="77777777" w:rsidR="00052659" w:rsidRDefault="00052659" w:rsidP="00E428F7">
      <w:pPr>
        <w:pStyle w:val="ListParagraph"/>
        <w:spacing w:after="120"/>
        <w:ind w:left="792"/>
        <w:contextualSpacing w:val="0"/>
        <w:rPr>
          <w:rFonts w:ascii="Arial" w:hAnsi="Arial" w:cs="Times New Roman"/>
        </w:rPr>
      </w:pPr>
    </w:p>
    <w:p w14:paraId="5C9760F4" w14:textId="77777777" w:rsidR="00052659" w:rsidRDefault="00052659" w:rsidP="00E428F7">
      <w:pPr>
        <w:pStyle w:val="ListParagraph"/>
        <w:spacing w:after="120"/>
        <w:ind w:left="792"/>
        <w:contextualSpacing w:val="0"/>
        <w:rPr>
          <w:rFonts w:ascii="Arial" w:hAnsi="Arial" w:cs="Times New Roman"/>
        </w:rPr>
      </w:pPr>
    </w:p>
    <w:p w14:paraId="69DBFC13" w14:textId="77777777" w:rsidR="00052659" w:rsidRDefault="00052659" w:rsidP="00E428F7">
      <w:pPr>
        <w:pStyle w:val="ListParagraph"/>
        <w:spacing w:after="120"/>
        <w:ind w:left="792"/>
        <w:contextualSpacing w:val="0"/>
        <w:rPr>
          <w:rFonts w:ascii="Arial" w:hAnsi="Arial" w:cs="Times New Roman"/>
        </w:rPr>
      </w:pPr>
    </w:p>
    <w:p w14:paraId="50278405" w14:textId="77777777" w:rsidR="00052659" w:rsidRDefault="00052659" w:rsidP="00E428F7">
      <w:pPr>
        <w:pStyle w:val="ListParagraph"/>
        <w:spacing w:after="120"/>
        <w:ind w:left="792"/>
        <w:contextualSpacing w:val="0"/>
        <w:rPr>
          <w:rFonts w:ascii="Arial" w:hAnsi="Arial" w:cs="Times New Roman"/>
        </w:rPr>
      </w:pPr>
    </w:p>
    <w:p w14:paraId="0DED9930" w14:textId="77777777" w:rsidR="00052659" w:rsidRDefault="00052659" w:rsidP="00E428F7">
      <w:pPr>
        <w:pStyle w:val="ListParagraph"/>
        <w:spacing w:after="120"/>
        <w:ind w:left="792"/>
        <w:contextualSpacing w:val="0"/>
        <w:rPr>
          <w:rFonts w:ascii="Arial" w:hAnsi="Arial" w:cs="Times New Roman"/>
        </w:rPr>
      </w:pPr>
    </w:p>
    <w:p w14:paraId="28002CC7" w14:textId="17009F57" w:rsidR="00900584" w:rsidRPr="000C7531" w:rsidRDefault="00E428F7" w:rsidP="00E428F7">
      <w:pPr>
        <w:pStyle w:val="ListParagraph"/>
        <w:spacing w:after="120"/>
        <w:ind w:left="792"/>
        <w:contextualSpacing w:val="0"/>
      </w:pPr>
      <w:r w:rsidRPr="00E428F7">
        <w:rPr>
          <w:rFonts w:ascii="Arial" w:hAnsi="Arial" w:cs="Times New Roman"/>
        </w:rPr>
        <w:t xml:space="preserve">  </w:t>
      </w:r>
    </w:p>
    <w:p w14:paraId="283AF0AF" w14:textId="632C9099" w:rsidR="00A51FE2" w:rsidRDefault="00A51FE2" w:rsidP="002D05FB">
      <w:pPr>
        <w:pStyle w:val="Heading1"/>
        <w:numPr>
          <w:ilvl w:val="0"/>
          <w:numId w:val="11"/>
        </w:numPr>
        <w:spacing w:after="240"/>
      </w:pPr>
      <w:bookmarkStart w:id="17" w:name="_Toc64386351"/>
      <w:r w:rsidRPr="00A51FE2">
        <w:t>Award of Contracts</w:t>
      </w:r>
      <w:bookmarkEnd w:id="17"/>
    </w:p>
    <w:p w14:paraId="0A7A218A" w14:textId="77777777" w:rsidR="000C7531" w:rsidRDefault="000C7531" w:rsidP="002D05FB">
      <w:pPr>
        <w:pStyle w:val="ListParagraph"/>
        <w:numPr>
          <w:ilvl w:val="1"/>
          <w:numId w:val="11"/>
        </w:numPr>
        <w:spacing w:after="120"/>
        <w:ind w:left="1135" w:hanging="851"/>
        <w:contextualSpacing w:val="0"/>
      </w:pPr>
      <w:r>
        <w:t xml:space="preserve">Contracts may only be awarded by the Council if there has been full compliance with the Rules and the Financial Procedure Rules. </w:t>
      </w:r>
    </w:p>
    <w:p w14:paraId="232B7992" w14:textId="53C309AC" w:rsidR="000C7531" w:rsidRDefault="000C7531" w:rsidP="002D05FB">
      <w:pPr>
        <w:pStyle w:val="ListParagraph"/>
        <w:numPr>
          <w:ilvl w:val="1"/>
          <w:numId w:val="11"/>
        </w:numPr>
        <w:spacing w:afterLines="120" w:after="288"/>
        <w:ind w:left="1134" w:hanging="850"/>
      </w:pPr>
      <w:r>
        <w:t>Tenders may be evaluated and recommended for acceptance by the following officers:</w:t>
      </w:r>
    </w:p>
    <w:tbl>
      <w:tblPr>
        <w:tblStyle w:val="TableGrid"/>
        <w:tblW w:w="0" w:type="auto"/>
        <w:tblInd w:w="1271" w:type="dxa"/>
        <w:tblLook w:val="04A0" w:firstRow="1" w:lastRow="0" w:firstColumn="1" w:lastColumn="0" w:noHBand="0" w:noVBand="1"/>
      </w:tblPr>
      <w:tblGrid>
        <w:gridCol w:w="3153"/>
        <w:gridCol w:w="2517"/>
      </w:tblGrid>
      <w:tr w:rsidR="000C7531" w:rsidRPr="000C7531" w14:paraId="6A9F1B3C" w14:textId="77777777" w:rsidTr="002D05FB">
        <w:tc>
          <w:tcPr>
            <w:tcW w:w="3153" w:type="dxa"/>
            <w:shd w:val="clear" w:color="auto" w:fill="2D0054" w:themeFill="accent1"/>
          </w:tcPr>
          <w:p w14:paraId="2F26961D" w14:textId="6331AA86" w:rsidR="000C7531" w:rsidRPr="000C7531" w:rsidRDefault="00D6087D" w:rsidP="00D6087D">
            <w:pPr>
              <w:spacing w:afterLines="50" w:after="120" w:line="276" w:lineRule="auto"/>
              <w:contextualSpacing/>
              <w:rPr>
                <w:color w:val="FFFFFF" w:themeColor="background1"/>
              </w:rPr>
            </w:pPr>
            <w:r w:rsidRPr="00D6087D">
              <w:rPr>
                <w:color w:val="FFFFFF" w:themeColor="background1"/>
              </w:rPr>
              <w:t>Cumulative value of contract</w:t>
            </w:r>
          </w:p>
        </w:tc>
        <w:tc>
          <w:tcPr>
            <w:tcW w:w="2517" w:type="dxa"/>
            <w:shd w:val="clear" w:color="auto" w:fill="2D0054" w:themeFill="accent1"/>
          </w:tcPr>
          <w:p w14:paraId="7659B5C4" w14:textId="49335F36" w:rsidR="000C7531" w:rsidRPr="000C7531" w:rsidRDefault="00D6087D" w:rsidP="00D6087D">
            <w:pPr>
              <w:pStyle w:val="ListParagraph"/>
              <w:spacing w:afterLines="50" w:after="120" w:line="276" w:lineRule="auto"/>
              <w:ind w:left="0"/>
              <w:rPr>
                <w:color w:val="FFFFFF" w:themeColor="background1"/>
              </w:rPr>
            </w:pPr>
            <w:r w:rsidRPr="00D6087D">
              <w:rPr>
                <w:color w:val="FFFFFF" w:themeColor="background1"/>
              </w:rPr>
              <w:t>Acceptance by</w:t>
            </w:r>
          </w:p>
        </w:tc>
      </w:tr>
      <w:tr w:rsidR="000C7531" w14:paraId="4367CF43" w14:textId="77777777" w:rsidTr="002D05FB">
        <w:tc>
          <w:tcPr>
            <w:tcW w:w="3153" w:type="dxa"/>
          </w:tcPr>
          <w:p w14:paraId="4B4D5392" w14:textId="66FCBD8F" w:rsidR="000C7531" w:rsidRDefault="00D6087D" w:rsidP="00D6087D">
            <w:pPr>
              <w:pStyle w:val="ListParagraph"/>
              <w:spacing w:afterLines="50" w:after="120"/>
              <w:ind w:left="3"/>
            </w:pPr>
            <w:r>
              <w:t xml:space="preserve">Tender not exceeding £25,000 </w:t>
            </w:r>
          </w:p>
        </w:tc>
        <w:tc>
          <w:tcPr>
            <w:tcW w:w="2517" w:type="dxa"/>
          </w:tcPr>
          <w:p w14:paraId="708BEF4A" w14:textId="2ABDB3B9" w:rsidR="000C7531" w:rsidRDefault="002D05FB" w:rsidP="00D6087D">
            <w:pPr>
              <w:pStyle w:val="ListParagraph"/>
              <w:spacing w:afterLines="50" w:after="120"/>
              <w:ind w:left="3"/>
            </w:pPr>
            <w:r>
              <w:t>H</w:t>
            </w:r>
            <w:r w:rsidR="00C452DA">
              <w:t>ead of Service</w:t>
            </w:r>
          </w:p>
        </w:tc>
      </w:tr>
      <w:tr w:rsidR="00D6087D" w14:paraId="3AAFC9EE" w14:textId="77777777" w:rsidTr="002D05FB">
        <w:tc>
          <w:tcPr>
            <w:tcW w:w="3153" w:type="dxa"/>
          </w:tcPr>
          <w:p w14:paraId="6C729E37" w14:textId="0386D8FE" w:rsidR="00D6087D" w:rsidRDefault="00D6087D" w:rsidP="00D6087D">
            <w:pPr>
              <w:pStyle w:val="ListParagraph"/>
              <w:spacing w:afterLines="50" w:after="120"/>
              <w:ind w:left="3"/>
            </w:pPr>
            <w:r>
              <w:t>Above £25,000</w:t>
            </w:r>
          </w:p>
        </w:tc>
        <w:tc>
          <w:tcPr>
            <w:tcW w:w="2517" w:type="dxa"/>
          </w:tcPr>
          <w:p w14:paraId="042C8325" w14:textId="40196DDC" w:rsidR="00D6087D" w:rsidRDefault="00CF0D13" w:rsidP="00D6087D">
            <w:pPr>
              <w:pStyle w:val="ListParagraph"/>
              <w:spacing w:afterLines="50" w:after="120"/>
              <w:ind w:left="3"/>
            </w:pPr>
            <w:r>
              <w:t xml:space="preserve">Executive </w:t>
            </w:r>
            <w:r w:rsidR="00D6087D">
              <w:t>Director</w:t>
            </w:r>
          </w:p>
        </w:tc>
      </w:tr>
    </w:tbl>
    <w:p w14:paraId="4CF5DB1A" w14:textId="77777777" w:rsidR="00D6087D" w:rsidRDefault="00D6087D" w:rsidP="00D6087D">
      <w:pPr>
        <w:pStyle w:val="ListParagraph"/>
        <w:spacing w:afterLines="120" w:after="288"/>
        <w:ind w:left="1134"/>
      </w:pPr>
    </w:p>
    <w:p w14:paraId="190CDCF4" w14:textId="79DDA865" w:rsidR="00D6087D" w:rsidRDefault="00D6087D" w:rsidP="002D05FB">
      <w:pPr>
        <w:pStyle w:val="ListParagraph"/>
        <w:numPr>
          <w:ilvl w:val="1"/>
          <w:numId w:val="11"/>
        </w:numPr>
        <w:spacing w:after="120"/>
        <w:ind w:left="1135" w:hanging="851"/>
        <w:contextualSpacing w:val="0"/>
      </w:pPr>
      <w:r>
        <w:t>No tender can be accepted</w:t>
      </w:r>
      <w:r w:rsidR="00C452DA">
        <w:t>,</w:t>
      </w:r>
      <w:r>
        <w:t xml:space="preserve"> or contract awarded unless this is </w:t>
      </w:r>
      <w:proofErr w:type="gramStart"/>
      <w:r>
        <w:t>on the basis of</w:t>
      </w:r>
      <w:proofErr w:type="gramEnd"/>
      <w:r>
        <w:t xml:space="preserve"> the evaluation criteria sent out with the invitation to tender. </w:t>
      </w:r>
    </w:p>
    <w:p w14:paraId="32B88B36" w14:textId="77777777" w:rsidR="00D6087D" w:rsidRDefault="00D6087D" w:rsidP="002D05FB">
      <w:pPr>
        <w:pStyle w:val="ListParagraph"/>
        <w:numPr>
          <w:ilvl w:val="1"/>
          <w:numId w:val="11"/>
        </w:numPr>
        <w:spacing w:after="120"/>
        <w:ind w:left="1135" w:hanging="851"/>
        <w:contextualSpacing w:val="0"/>
      </w:pPr>
      <w:r>
        <w:t xml:space="preserve">Successful and unsuccessful tenderers (and, for EU Tenders, and those persons who expressed an interest in the contract) must be notified of the award of the contract for which they have submitted a tender. This notification letter must be in a form approved by the Central Procurement Team. </w:t>
      </w:r>
    </w:p>
    <w:p w14:paraId="173D6A0D" w14:textId="324203AA" w:rsidR="00D6087D" w:rsidRDefault="00D6087D" w:rsidP="002D05FB">
      <w:pPr>
        <w:pStyle w:val="ListParagraph"/>
        <w:numPr>
          <w:ilvl w:val="1"/>
          <w:numId w:val="11"/>
        </w:numPr>
        <w:spacing w:after="120"/>
        <w:ind w:left="1135" w:hanging="851"/>
        <w:contextualSpacing w:val="0"/>
      </w:pPr>
      <w:r>
        <w:t xml:space="preserve">Where there has been an EU Tender, and in such other circumstances as the </w:t>
      </w:r>
      <w:r w:rsidR="0045773B">
        <w:t xml:space="preserve">Executive Director - Resources and Transformation </w:t>
      </w:r>
      <w:r>
        <w:t xml:space="preserve">may advise, the award of the contract must be subject to the </w:t>
      </w:r>
      <w:r w:rsidR="00C452DA">
        <w:t>legally required</w:t>
      </w:r>
      <w:r>
        <w:t xml:space="preserve"> standstill period to enable unsuccessful bidders to challenge the award prior to completion of the contract (see Rule 20.1). Where there is a court challenge prior to completion of the contract then the contract must not be completed without the authorisation of the </w:t>
      </w:r>
      <w:r w:rsidR="001D2A51">
        <w:t>Executive Director - Resources and Transformation</w:t>
      </w:r>
      <w:r>
        <w:t xml:space="preserve">. </w:t>
      </w:r>
    </w:p>
    <w:p w14:paraId="04FDCBAE" w14:textId="7D314D14" w:rsidR="00D6087D" w:rsidRDefault="00D6087D" w:rsidP="002D05FB">
      <w:pPr>
        <w:pStyle w:val="ListParagraph"/>
        <w:numPr>
          <w:ilvl w:val="1"/>
          <w:numId w:val="11"/>
        </w:numPr>
        <w:spacing w:after="120"/>
        <w:ind w:left="1135" w:hanging="851"/>
        <w:contextualSpacing w:val="0"/>
      </w:pPr>
      <w:r>
        <w:t xml:space="preserve">Where a key decision was required to authorise the entering into of the procurement process under Rule 11, the contract must not be awarded unless that decision has been complied with (for example, a new decision may be required prior to award or if any of the risk factors have changed). </w:t>
      </w:r>
    </w:p>
    <w:p w14:paraId="7C56F5F4" w14:textId="56C11B3F" w:rsidR="000C7531" w:rsidRPr="000C7531" w:rsidRDefault="00D6087D" w:rsidP="002D05FB">
      <w:pPr>
        <w:pStyle w:val="ListParagraph"/>
        <w:numPr>
          <w:ilvl w:val="1"/>
          <w:numId w:val="11"/>
        </w:numPr>
        <w:spacing w:after="120"/>
        <w:ind w:left="1135" w:hanging="851"/>
        <w:contextualSpacing w:val="0"/>
      </w:pPr>
      <w:r>
        <w:lastRenderedPageBreak/>
        <w:t>Where a key decision was not required to authorise the entering into of the procurement process under Rule 11 but due to the price of the winning bid it has become a key decision, the requirements of Article 13 Section 13.2 of the Constitution must be complied with before the contract is awarded.</w:t>
      </w:r>
    </w:p>
    <w:p w14:paraId="27073616" w14:textId="3F3959BE" w:rsidR="00A51FE2" w:rsidRDefault="00A51FE2" w:rsidP="002D05FB">
      <w:pPr>
        <w:pStyle w:val="Heading1"/>
        <w:numPr>
          <w:ilvl w:val="0"/>
          <w:numId w:val="11"/>
        </w:numPr>
        <w:spacing w:after="240"/>
      </w:pPr>
      <w:bookmarkStart w:id="18" w:name="_Toc64386352"/>
      <w:r w:rsidRPr="00A51FE2">
        <w:t>Signing and Sealing of Contracts</w:t>
      </w:r>
      <w:bookmarkEnd w:id="18"/>
    </w:p>
    <w:p w14:paraId="62DB48A3" w14:textId="77777777" w:rsidR="00D6087D" w:rsidRDefault="00D6087D" w:rsidP="002D05FB">
      <w:pPr>
        <w:pStyle w:val="ListParagraph"/>
        <w:numPr>
          <w:ilvl w:val="1"/>
          <w:numId w:val="11"/>
        </w:numPr>
        <w:spacing w:after="120"/>
        <w:contextualSpacing w:val="0"/>
      </w:pPr>
      <w:r w:rsidRPr="00D6087D">
        <w:rPr>
          <w:b/>
          <w:bCs/>
        </w:rPr>
        <w:t>Contracts, which are not call-off Contracts</w:t>
      </w:r>
      <w:r>
        <w:t xml:space="preserve"> </w:t>
      </w:r>
    </w:p>
    <w:p w14:paraId="43D0D288" w14:textId="29934C8D" w:rsidR="00D6087D" w:rsidRDefault="00D6087D" w:rsidP="002D05FB">
      <w:pPr>
        <w:pStyle w:val="ListParagraph"/>
        <w:numPr>
          <w:ilvl w:val="2"/>
          <w:numId w:val="11"/>
        </w:numPr>
        <w:spacing w:after="120"/>
        <w:ind w:left="1843" w:hanging="850"/>
        <w:contextualSpacing w:val="0"/>
      </w:pPr>
      <w:r>
        <w:t xml:space="preserve">Where there has been an EU Tender, and in such other circumstances as the </w:t>
      </w:r>
      <w:r w:rsidR="0045773B">
        <w:t xml:space="preserve">Executive Director - Resources and Transformation </w:t>
      </w:r>
      <w:r>
        <w:t xml:space="preserve">may advise, the contract must not be entered into with the successful tenderer unless and until the mandatory standstill period has elapsed without a challenge from an unsuccessful tenderer (see also 18.5). </w:t>
      </w:r>
    </w:p>
    <w:p w14:paraId="41BCA973" w14:textId="74603426" w:rsidR="00A944F8" w:rsidRDefault="00A944F8" w:rsidP="002D05FB">
      <w:pPr>
        <w:pStyle w:val="ListParagraph"/>
        <w:numPr>
          <w:ilvl w:val="2"/>
          <w:numId w:val="11"/>
        </w:numPr>
        <w:spacing w:after="120"/>
        <w:ind w:left="1843" w:hanging="850"/>
        <w:contextualSpacing w:val="0"/>
      </w:pPr>
      <w:r>
        <w:t xml:space="preserve">Contracts shall be drawn up with support of the legal team. </w:t>
      </w:r>
    </w:p>
    <w:p w14:paraId="5FEA2F18" w14:textId="460C1767" w:rsidR="00D6087D" w:rsidRDefault="00C452DA" w:rsidP="002D05FB">
      <w:pPr>
        <w:pStyle w:val="ListParagraph"/>
        <w:numPr>
          <w:ilvl w:val="2"/>
          <w:numId w:val="11"/>
        </w:numPr>
        <w:spacing w:after="120"/>
        <w:ind w:left="1843" w:hanging="850"/>
        <w:contextualSpacing w:val="0"/>
      </w:pPr>
      <w:r>
        <w:t>Heads of Service</w:t>
      </w:r>
      <w:r w:rsidR="00D6087D">
        <w:t xml:space="preserve"> with delegated powers must sign contracts up to £25,000 in value (see Rule 8). </w:t>
      </w:r>
    </w:p>
    <w:p w14:paraId="0DEED14C" w14:textId="12EC951E" w:rsidR="00D6087D" w:rsidRDefault="00D6087D" w:rsidP="002D05FB">
      <w:pPr>
        <w:pStyle w:val="ListParagraph"/>
        <w:numPr>
          <w:ilvl w:val="2"/>
          <w:numId w:val="11"/>
        </w:numPr>
        <w:spacing w:after="120"/>
        <w:ind w:left="1843" w:hanging="850"/>
        <w:contextualSpacing w:val="0"/>
      </w:pPr>
      <w:r>
        <w:t xml:space="preserve">Save as set out in Rule 20.1.1, two authorised officers of the Council must sign all contracts which are worth £25,000 or more in value. For the purposes of contract signing authorised officers are Chief Executive and </w:t>
      </w:r>
      <w:r w:rsidR="00A20B2B">
        <w:t>Executive Director</w:t>
      </w:r>
      <w:r>
        <w:t xml:space="preserve">s. For the avoidance of doubt, no elected or co-opted Member of the Council may sign any contract for or on behalf of the Council </w:t>
      </w:r>
    </w:p>
    <w:p w14:paraId="2334F3FA" w14:textId="192155D9" w:rsidR="00D6087D" w:rsidRPr="00D6087D" w:rsidRDefault="00D6087D" w:rsidP="002D05FB">
      <w:pPr>
        <w:pStyle w:val="ListParagraph"/>
        <w:numPr>
          <w:ilvl w:val="2"/>
          <w:numId w:val="11"/>
        </w:numPr>
        <w:spacing w:after="120"/>
        <w:ind w:left="1843" w:hanging="850"/>
        <w:contextualSpacing w:val="0"/>
        <w:rPr>
          <w:i/>
          <w:iCs/>
        </w:rPr>
      </w:pPr>
      <w:r w:rsidRPr="00D6087D">
        <w:rPr>
          <w:i/>
          <w:iCs/>
        </w:rPr>
        <w:t xml:space="preserve">Any contract requiring the additional limitation of 12 years rather than the 6 years for court proceedings in the event of default must be sealed as a deed by the </w:t>
      </w:r>
      <w:r w:rsidR="001D2A51">
        <w:rPr>
          <w:i/>
          <w:iCs/>
        </w:rPr>
        <w:t>Executive Director - Resources and Transformation</w:t>
      </w:r>
      <w:r w:rsidRPr="00D6087D">
        <w:rPr>
          <w:i/>
          <w:iCs/>
        </w:rPr>
        <w:t xml:space="preserve">. This is particularly relevant to construction contracts in the case of latent defects. </w:t>
      </w:r>
    </w:p>
    <w:p w14:paraId="426C7923" w14:textId="77777777" w:rsidR="00D6087D" w:rsidRPr="00D6087D" w:rsidRDefault="00D6087D" w:rsidP="002D05FB">
      <w:pPr>
        <w:pStyle w:val="ListParagraph"/>
        <w:numPr>
          <w:ilvl w:val="1"/>
          <w:numId w:val="11"/>
        </w:numPr>
        <w:spacing w:after="120"/>
        <w:contextualSpacing w:val="0"/>
        <w:rPr>
          <w:b/>
          <w:bCs/>
        </w:rPr>
      </w:pPr>
      <w:r w:rsidRPr="00D6087D">
        <w:rPr>
          <w:b/>
          <w:bCs/>
        </w:rPr>
        <w:t xml:space="preserve">Call-off Contracts </w:t>
      </w:r>
    </w:p>
    <w:p w14:paraId="21477920" w14:textId="77777777" w:rsidR="00D6087D" w:rsidRDefault="00D6087D" w:rsidP="002D05FB">
      <w:pPr>
        <w:pStyle w:val="ListParagraph"/>
        <w:numPr>
          <w:ilvl w:val="2"/>
          <w:numId w:val="11"/>
        </w:numPr>
        <w:spacing w:after="120"/>
        <w:ind w:left="1418" w:hanging="698"/>
        <w:contextualSpacing w:val="0"/>
      </w:pPr>
      <w:r w:rsidRPr="00D6087D">
        <w:rPr>
          <w:i/>
          <w:iCs/>
        </w:rPr>
        <w:t>Council Framework Agreement with no new terms:</w:t>
      </w:r>
      <w:r>
        <w:t xml:space="preserve"> Where a Call-off Contract is entered into under a Framework Agreement which has been set up by the Council and no new terms are being introduced (e.g. under a mini-competition), the Call-Off Contract does not have to be signed or sealed (unless required in accordance with the terms of the Framework Agreement) BUT the Call-off Contract must be authorised as set out in Rule 11 and under the Financial Scheme of Delegation and approved by the Central Procurement Team. </w:t>
      </w:r>
    </w:p>
    <w:p w14:paraId="00FE9E77" w14:textId="2EE73748" w:rsidR="00D6087D" w:rsidRDefault="00D6087D" w:rsidP="002D05FB">
      <w:pPr>
        <w:pStyle w:val="ListParagraph"/>
        <w:numPr>
          <w:ilvl w:val="2"/>
          <w:numId w:val="11"/>
        </w:numPr>
        <w:spacing w:after="120"/>
        <w:ind w:left="1418" w:hanging="709"/>
        <w:contextualSpacing w:val="0"/>
      </w:pPr>
      <w:r w:rsidRPr="00D6087D">
        <w:rPr>
          <w:i/>
          <w:iCs/>
        </w:rPr>
        <w:t>Council Framework Agreement with new terms</w:t>
      </w:r>
      <w:r>
        <w:t xml:space="preserve">: Where a Call-Off Contract is entered into under a Framework Agreement which has been set up by the Council and new terms have been introduced (e.g. following a mini-competition), the </w:t>
      </w:r>
      <w:proofErr w:type="spellStart"/>
      <w:r>
        <w:t>CallOff</w:t>
      </w:r>
      <w:proofErr w:type="spellEnd"/>
      <w:r>
        <w:t xml:space="preserve"> Contract must be signed or sealed as set out in 19.1.1 to 19.1.3 (inclusive) unless otherwise agreed by the </w:t>
      </w:r>
      <w:r w:rsidR="001D2A51">
        <w:t>Executive Director - Resources and Transformation</w:t>
      </w:r>
      <w:r>
        <w:t xml:space="preserve">. </w:t>
      </w:r>
    </w:p>
    <w:p w14:paraId="4CB821F2" w14:textId="774089A3" w:rsidR="00D6087D" w:rsidRPr="00D6087D" w:rsidRDefault="00D6087D" w:rsidP="002D05FB">
      <w:pPr>
        <w:pStyle w:val="ListParagraph"/>
        <w:numPr>
          <w:ilvl w:val="2"/>
          <w:numId w:val="11"/>
        </w:numPr>
        <w:spacing w:after="120"/>
        <w:ind w:left="1418" w:hanging="709"/>
        <w:contextualSpacing w:val="0"/>
      </w:pPr>
      <w:r w:rsidRPr="00D6087D">
        <w:rPr>
          <w:i/>
          <w:iCs/>
        </w:rPr>
        <w:t>Third Party Framework Agreements</w:t>
      </w:r>
      <w:r>
        <w:t xml:space="preserve">: Where a Call-off Contract is entered into under a Framework Agreement which has been set up by a third party, the Call-Off Contract must be signed or sealed as set out in 18.1.2 to 18.1.3 (inclusive) unless otherwise agreed by the </w:t>
      </w:r>
      <w:r w:rsidR="001D2A51">
        <w:t>Executive Director - Resources and Transformation</w:t>
      </w:r>
    </w:p>
    <w:p w14:paraId="116FA432" w14:textId="69EFB719" w:rsidR="00A51FE2" w:rsidRDefault="00A51FE2" w:rsidP="002D05FB">
      <w:pPr>
        <w:pStyle w:val="Heading1"/>
        <w:numPr>
          <w:ilvl w:val="0"/>
          <w:numId w:val="11"/>
        </w:numPr>
        <w:spacing w:after="240"/>
      </w:pPr>
      <w:bookmarkStart w:id="19" w:name="_Toc64386353"/>
      <w:r w:rsidRPr="00A51FE2">
        <w:lastRenderedPageBreak/>
        <w:t>Commencement of Contracts</w:t>
      </w:r>
      <w:bookmarkEnd w:id="19"/>
    </w:p>
    <w:p w14:paraId="5D0DD017" w14:textId="77777777" w:rsidR="00D6087D" w:rsidRDefault="00D6087D" w:rsidP="002D05FB">
      <w:pPr>
        <w:pStyle w:val="ListParagraph"/>
        <w:numPr>
          <w:ilvl w:val="1"/>
          <w:numId w:val="11"/>
        </w:numPr>
        <w:spacing w:after="120"/>
        <w:ind w:left="1134" w:hanging="708"/>
        <w:contextualSpacing w:val="0"/>
      </w:pPr>
      <w:r>
        <w:t xml:space="preserve">No supply of goods, services or works must commence until all contract documentation is duly completed (see Rule 19), except: </w:t>
      </w:r>
    </w:p>
    <w:p w14:paraId="4C14FDC6" w14:textId="77777777" w:rsidR="00D6087D" w:rsidRDefault="00D6087D" w:rsidP="002D05FB">
      <w:pPr>
        <w:pStyle w:val="ListParagraph"/>
        <w:numPr>
          <w:ilvl w:val="2"/>
          <w:numId w:val="11"/>
        </w:numPr>
        <w:spacing w:after="120"/>
        <w:ind w:left="1560" w:hanging="851"/>
        <w:contextualSpacing w:val="0"/>
      </w:pPr>
      <w:r>
        <w:t xml:space="preserve">In cases of emergency falling under Rule 5.3, in which case the contract must be completed at the earliest opportunity. </w:t>
      </w:r>
    </w:p>
    <w:p w14:paraId="1A16E41D" w14:textId="03D0C354" w:rsidR="00AC23A0" w:rsidRPr="00D6087D" w:rsidRDefault="00D6087D" w:rsidP="002D05FB">
      <w:pPr>
        <w:pStyle w:val="ListParagraph"/>
        <w:numPr>
          <w:ilvl w:val="2"/>
          <w:numId w:val="11"/>
        </w:numPr>
        <w:spacing w:after="120"/>
        <w:ind w:left="1560" w:hanging="851"/>
        <w:contextualSpacing w:val="0"/>
      </w:pPr>
      <w:r>
        <w:t xml:space="preserve">Where otherwise approved by the </w:t>
      </w:r>
      <w:r w:rsidR="00A20B2B">
        <w:t>Executive Director</w:t>
      </w:r>
      <w:r w:rsidR="001D2A51">
        <w:t xml:space="preserve"> - Resources and Transformation</w:t>
      </w:r>
    </w:p>
    <w:p w14:paraId="2125839E" w14:textId="011209DA" w:rsidR="00A51FE2" w:rsidRDefault="00A51FE2" w:rsidP="002D05FB">
      <w:pPr>
        <w:pStyle w:val="Heading1"/>
        <w:numPr>
          <w:ilvl w:val="0"/>
          <w:numId w:val="11"/>
        </w:numPr>
        <w:spacing w:after="240"/>
      </w:pPr>
      <w:bookmarkStart w:id="20" w:name="_Toc64386354"/>
      <w:r w:rsidRPr="00A51FE2">
        <w:t>Terms and Conditions of Contracts</w:t>
      </w:r>
      <w:bookmarkEnd w:id="20"/>
    </w:p>
    <w:p w14:paraId="7D7CD935" w14:textId="7E8B9989" w:rsidR="00AC23A0" w:rsidRDefault="00AC23A0" w:rsidP="002D05FB">
      <w:pPr>
        <w:pStyle w:val="ListParagraph"/>
        <w:numPr>
          <w:ilvl w:val="1"/>
          <w:numId w:val="11"/>
        </w:numPr>
        <w:spacing w:after="120"/>
        <w:ind w:left="1134" w:hanging="709"/>
        <w:contextualSpacing w:val="0"/>
      </w:pPr>
      <w:r>
        <w:t>Terms and conditions shall be drawn up with support of the legal team.</w:t>
      </w:r>
    </w:p>
    <w:p w14:paraId="3B745BE1" w14:textId="50A5729A" w:rsidR="00D6087D" w:rsidRDefault="00D6087D" w:rsidP="002D05FB">
      <w:pPr>
        <w:pStyle w:val="ListParagraph"/>
        <w:numPr>
          <w:ilvl w:val="1"/>
          <w:numId w:val="11"/>
        </w:numPr>
        <w:spacing w:after="120"/>
        <w:ind w:left="1134" w:hanging="709"/>
        <w:contextualSpacing w:val="0"/>
      </w:pPr>
      <w:r>
        <w:t xml:space="preserve">Terms and conditions for all contracts for goods, services and works with a value of £25,000 or more (and preferably all other contracts, particularly consultancy contracts) must be in accordance with the Council’s standard terms and conditions prepared or approved by the </w:t>
      </w:r>
      <w:r w:rsidR="001D2A51">
        <w:t>Executive Director - Resources and Transformation</w:t>
      </w:r>
      <w:r>
        <w:t xml:space="preserve">, unless otherwise agreed by the </w:t>
      </w:r>
      <w:r w:rsidR="001D2A51">
        <w:t>Executive Director - Resources and Transformation</w:t>
      </w:r>
      <w:r>
        <w:t xml:space="preserve">. </w:t>
      </w:r>
    </w:p>
    <w:p w14:paraId="212ADF52" w14:textId="762A5B61" w:rsidR="00E06BDC" w:rsidRDefault="00D6087D" w:rsidP="002D05FB">
      <w:pPr>
        <w:pStyle w:val="ListParagraph"/>
        <w:numPr>
          <w:ilvl w:val="1"/>
          <w:numId w:val="11"/>
        </w:numPr>
        <w:spacing w:after="120"/>
        <w:ind w:left="1134" w:hanging="709"/>
        <w:contextualSpacing w:val="0"/>
      </w:pPr>
      <w:r>
        <w:t xml:space="preserve">All contracts with a value of £25,000 or more must include a clause empowering the Council to terminate the contract for corruption and to recover from the supplier the amount of any loss resulting from such termination in a form approved by the </w:t>
      </w:r>
      <w:r w:rsidR="001D2A51">
        <w:t>Executive Director - Resources and Transformation</w:t>
      </w:r>
      <w:r>
        <w:t>.</w:t>
      </w:r>
    </w:p>
    <w:p w14:paraId="6429643B" w14:textId="6F018DC3" w:rsidR="00AC23A0" w:rsidRPr="00C452DA" w:rsidRDefault="00AC23A0" w:rsidP="002D05FB">
      <w:pPr>
        <w:pStyle w:val="ListParagraph"/>
        <w:numPr>
          <w:ilvl w:val="1"/>
          <w:numId w:val="11"/>
        </w:numPr>
        <w:spacing w:after="120"/>
        <w:ind w:left="1134" w:hanging="709"/>
        <w:contextualSpacing w:val="0"/>
        <w:rPr>
          <w:b/>
          <w:bCs/>
        </w:rPr>
      </w:pPr>
      <w:r w:rsidRPr="00C452DA">
        <w:rPr>
          <w:b/>
          <w:bCs/>
        </w:rPr>
        <w:t>Key Performance Indicators</w:t>
      </w:r>
    </w:p>
    <w:p w14:paraId="7C99A08D" w14:textId="31BD6C01" w:rsidR="00E06BDC" w:rsidRDefault="00AC23A0" w:rsidP="002D05FB">
      <w:pPr>
        <w:pStyle w:val="ListParagraph"/>
        <w:numPr>
          <w:ilvl w:val="2"/>
          <w:numId w:val="11"/>
        </w:numPr>
        <w:spacing w:after="120"/>
        <w:contextualSpacing w:val="0"/>
      </w:pPr>
      <w:r>
        <w:t>e</w:t>
      </w:r>
      <w:r w:rsidRPr="00A944F8">
        <w:t xml:space="preserve">nsure that </w:t>
      </w:r>
      <w:r>
        <w:t>relevant corporate and service level plan objectives</w:t>
      </w:r>
      <w:r w:rsidRPr="00A944F8">
        <w:t xml:space="preserve"> are </w:t>
      </w:r>
      <w:r>
        <w:t xml:space="preserve">included in the Terms and Conditions and applicable </w:t>
      </w:r>
      <w:r w:rsidRPr="00A944F8">
        <w:t>reportable</w:t>
      </w:r>
      <w:r>
        <w:t xml:space="preserve"> timeframes for data is in place to be sent back to the contract manager at the counci</w:t>
      </w:r>
      <w:r w:rsidR="00E06BDC">
        <w:t>l.</w:t>
      </w:r>
    </w:p>
    <w:p w14:paraId="123E11DC" w14:textId="06BFD08B" w:rsidR="00A51FE2" w:rsidRDefault="00A51FE2" w:rsidP="002D05FB">
      <w:pPr>
        <w:pStyle w:val="Heading1"/>
        <w:numPr>
          <w:ilvl w:val="0"/>
          <w:numId w:val="11"/>
        </w:numPr>
        <w:spacing w:after="240"/>
      </w:pPr>
      <w:bookmarkStart w:id="21" w:name="_Toc64386355"/>
      <w:r w:rsidRPr="00A51FE2">
        <w:t>Variations, Extensions and Renewals of Contracts</w:t>
      </w:r>
      <w:bookmarkEnd w:id="21"/>
    </w:p>
    <w:p w14:paraId="10E425AD" w14:textId="77777777" w:rsidR="00D6087D" w:rsidRDefault="00D6087D" w:rsidP="002D05FB">
      <w:pPr>
        <w:pStyle w:val="ListParagraph"/>
        <w:numPr>
          <w:ilvl w:val="1"/>
          <w:numId w:val="11"/>
        </w:numPr>
        <w:spacing w:after="120"/>
        <w:ind w:left="992" w:hanging="567"/>
        <w:contextualSpacing w:val="0"/>
      </w:pPr>
      <w:r>
        <w:t xml:space="preserve">Where an Authorised Officer wishes to exercise an option in a contract to extend that contract, this must be referred to the Central Procurement Team and Legal Services for advice. </w:t>
      </w:r>
    </w:p>
    <w:p w14:paraId="0CD2C2F8" w14:textId="77777777" w:rsidR="00D6087D" w:rsidRDefault="00D6087D" w:rsidP="002D05FB">
      <w:pPr>
        <w:pStyle w:val="ListParagraph"/>
        <w:numPr>
          <w:ilvl w:val="1"/>
          <w:numId w:val="11"/>
        </w:numPr>
        <w:spacing w:after="120"/>
        <w:ind w:left="992" w:hanging="567"/>
        <w:contextualSpacing w:val="0"/>
      </w:pPr>
      <w:r>
        <w:t xml:space="preserve">Where an Authorised Officer wishes to re-negotiate the price payable under a contract, vary the contract materially or extend/renew a contract where there is no option to extend it in the contract, this must be referred to Legal Services and the Central Procurement Team before negotiations are entered into as there may be a new contract in these circumstances to which the Rules must be applied. </w:t>
      </w:r>
    </w:p>
    <w:p w14:paraId="548BD7C9" w14:textId="73B487A4" w:rsidR="00D6087D" w:rsidRPr="00D6087D" w:rsidRDefault="00D6087D" w:rsidP="002D05FB">
      <w:pPr>
        <w:pStyle w:val="ListParagraph"/>
        <w:numPr>
          <w:ilvl w:val="1"/>
          <w:numId w:val="11"/>
        </w:numPr>
        <w:spacing w:after="120"/>
        <w:ind w:left="992" w:hanging="567"/>
        <w:contextualSpacing w:val="0"/>
      </w:pPr>
      <w:r>
        <w:t xml:space="preserve">In determining whether to vary, extend or renew a contract, a full value for money assessment should be undertaken to determine the best option at that </w:t>
      </w:r>
      <w:proofErr w:type="gramStart"/>
      <w:r>
        <w:t>particular time</w:t>
      </w:r>
      <w:proofErr w:type="gramEnd"/>
      <w:r>
        <w:t>. An option to extend a contract should not be automatically invoked without some justification. Consultation should be undertaken as appropriate with Finance and Procurement.</w:t>
      </w:r>
    </w:p>
    <w:p w14:paraId="070CF06A" w14:textId="0B397B86" w:rsidR="00D6087D" w:rsidRDefault="00D6087D" w:rsidP="002D05FB">
      <w:pPr>
        <w:pStyle w:val="Heading1"/>
        <w:numPr>
          <w:ilvl w:val="0"/>
          <w:numId w:val="11"/>
        </w:numPr>
        <w:spacing w:after="240"/>
      </w:pPr>
      <w:bookmarkStart w:id="22" w:name="_Toc64386356"/>
      <w:r>
        <w:lastRenderedPageBreak/>
        <w:t>Contract Management</w:t>
      </w:r>
      <w:bookmarkEnd w:id="22"/>
    </w:p>
    <w:p w14:paraId="58F9093B" w14:textId="55064B58" w:rsidR="00E92E85" w:rsidRDefault="00E92E85" w:rsidP="002D05FB">
      <w:pPr>
        <w:pStyle w:val="ListParagraph"/>
        <w:numPr>
          <w:ilvl w:val="1"/>
          <w:numId w:val="11"/>
        </w:numPr>
        <w:spacing w:after="120"/>
        <w:contextualSpacing w:val="0"/>
      </w:pPr>
      <w:r>
        <w:t>Environmental and H</w:t>
      </w:r>
      <w:r w:rsidR="00C452DA">
        <w:t xml:space="preserve">ealth and </w:t>
      </w:r>
      <w:r>
        <w:t>S</w:t>
      </w:r>
      <w:r w:rsidR="00C452DA">
        <w:t>afety</w:t>
      </w:r>
      <w:r>
        <w:t xml:space="preserve"> Management</w:t>
      </w:r>
    </w:p>
    <w:p w14:paraId="64E4057B" w14:textId="2C69A8D5" w:rsidR="00E92E85" w:rsidRDefault="00E92E85" w:rsidP="002D05FB">
      <w:pPr>
        <w:pStyle w:val="ListParagraph"/>
        <w:numPr>
          <w:ilvl w:val="2"/>
          <w:numId w:val="11"/>
        </w:numPr>
        <w:spacing w:after="120"/>
        <w:contextualSpacing w:val="0"/>
      </w:pPr>
      <w:r>
        <w:t>Shall have in place</w:t>
      </w:r>
      <w:r w:rsidR="009352F1">
        <w:t xml:space="preserve"> (as per tender and/or quotation)</w:t>
      </w:r>
      <w:r w:rsidR="00C452DA">
        <w:t>.</w:t>
      </w:r>
    </w:p>
    <w:p w14:paraId="3AC4BCD3" w14:textId="53551FE6" w:rsidR="00E92E85" w:rsidRDefault="00E92E85" w:rsidP="002D05FB">
      <w:pPr>
        <w:pStyle w:val="ListParagraph"/>
        <w:numPr>
          <w:ilvl w:val="3"/>
          <w:numId w:val="11"/>
        </w:numPr>
        <w:spacing w:after="120"/>
        <w:ind w:hanging="310"/>
        <w:contextualSpacing w:val="0"/>
      </w:pPr>
      <w:r>
        <w:t>Health and Safety Management System</w:t>
      </w:r>
      <w:r w:rsidR="00C452DA">
        <w:t>.</w:t>
      </w:r>
    </w:p>
    <w:p w14:paraId="67B28FA3" w14:textId="4F789594" w:rsidR="00E92E85" w:rsidRDefault="00E92E85" w:rsidP="002D05FB">
      <w:pPr>
        <w:pStyle w:val="ListParagraph"/>
        <w:numPr>
          <w:ilvl w:val="3"/>
          <w:numId w:val="11"/>
        </w:numPr>
        <w:spacing w:after="120"/>
        <w:ind w:hanging="310"/>
        <w:contextualSpacing w:val="0"/>
      </w:pPr>
      <w:r>
        <w:t xml:space="preserve">Environmental Management System or confirmation to adhere to </w:t>
      </w:r>
      <w:r w:rsidR="00C452DA">
        <w:t>t</w:t>
      </w:r>
      <w:r>
        <w:t>he Council</w:t>
      </w:r>
      <w:r w:rsidR="00C452DA">
        <w:t>’</w:t>
      </w:r>
      <w:r>
        <w:t>s STEMS system (ISO 14001)</w:t>
      </w:r>
    </w:p>
    <w:p w14:paraId="7D67C363" w14:textId="7BF7F3D1" w:rsidR="00E92E85" w:rsidRDefault="00E92E85" w:rsidP="002D05FB">
      <w:pPr>
        <w:pStyle w:val="ListParagraph"/>
        <w:numPr>
          <w:ilvl w:val="3"/>
          <w:numId w:val="11"/>
        </w:numPr>
        <w:spacing w:after="120"/>
        <w:ind w:hanging="310"/>
        <w:contextualSpacing w:val="0"/>
      </w:pPr>
      <w:r>
        <w:t>Quality Management system (as required)</w:t>
      </w:r>
    </w:p>
    <w:p w14:paraId="272B9BA2" w14:textId="6B74910C" w:rsidR="00E92E85" w:rsidRDefault="00C452DA" w:rsidP="00C452DA">
      <w:pPr>
        <w:spacing w:after="120"/>
        <w:ind w:left="1418"/>
      </w:pPr>
      <w:r>
        <w:t xml:space="preserve">A </w:t>
      </w:r>
      <w:r w:rsidR="00E92E85">
        <w:t xml:space="preserve">Contract maybe audited to ensure compliance to these systems to ensure compliance for undertaking </w:t>
      </w:r>
    </w:p>
    <w:p w14:paraId="604D480E" w14:textId="3A86474A" w:rsidR="00E92E85" w:rsidRDefault="00E92E85" w:rsidP="002D05FB">
      <w:pPr>
        <w:pStyle w:val="ListParagraph"/>
        <w:numPr>
          <w:ilvl w:val="2"/>
          <w:numId w:val="11"/>
        </w:numPr>
        <w:spacing w:after="120"/>
        <w:contextualSpacing w:val="0"/>
      </w:pPr>
      <w:r>
        <w:t xml:space="preserve">The contractor is </w:t>
      </w:r>
      <w:r w:rsidRPr="00AC23A0">
        <w:t>responsible for supervising their own staff and for ensuring that they work safely. The Councils role is to ensure that they fulfil these obligations and that the contractor appointed is competent to undertake the task</w:t>
      </w:r>
      <w:r>
        <w:t>. Copies of the below should be available to request</w:t>
      </w:r>
      <w:r w:rsidR="00C452DA">
        <w:t>.</w:t>
      </w:r>
      <w:r>
        <w:t xml:space="preserve"> </w:t>
      </w:r>
    </w:p>
    <w:p w14:paraId="1A2F7ECC" w14:textId="4C69B846" w:rsidR="00E92E85" w:rsidRDefault="00E92E85" w:rsidP="002D05FB">
      <w:pPr>
        <w:pStyle w:val="ListParagraph"/>
        <w:numPr>
          <w:ilvl w:val="3"/>
          <w:numId w:val="11"/>
        </w:numPr>
        <w:spacing w:after="120"/>
        <w:contextualSpacing w:val="0"/>
      </w:pPr>
      <w:r>
        <w:t>Copies of competencies of all staff shall be retained by the contractor but maybe called on</w:t>
      </w:r>
    </w:p>
    <w:p w14:paraId="21820D51" w14:textId="6719B998" w:rsidR="00E92E85" w:rsidRDefault="00E92E85" w:rsidP="002D05FB">
      <w:pPr>
        <w:pStyle w:val="ListParagraph"/>
        <w:numPr>
          <w:ilvl w:val="3"/>
          <w:numId w:val="11"/>
        </w:numPr>
        <w:spacing w:after="120"/>
        <w:contextualSpacing w:val="0"/>
      </w:pPr>
      <w:r>
        <w:t>RAMS (Risk Assessments and Method Statements) including COSHH assessments</w:t>
      </w:r>
    </w:p>
    <w:p w14:paraId="483D5421" w14:textId="4039981F" w:rsidR="00E92E85" w:rsidRDefault="00E92E85" w:rsidP="002D05FB">
      <w:pPr>
        <w:pStyle w:val="ListParagraph"/>
        <w:numPr>
          <w:ilvl w:val="2"/>
          <w:numId w:val="11"/>
        </w:numPr>
        <w:spacing w:after="120"/>
        <w:contextualSpacing w:val="0"/>
      </w:pPr>
      <w:r>
        <w:t>Before commencing works</w:t>
      </w:r>
      <w:r w:rsidR="000A782E">
        <w:t xml:space="preserve"> on behalf of the </w:t>
      </w:r>
      <w:r w:rsidR="00C452DA">
        <w:t>C</w:t>
      </w:r>
      <w:r w:rsidR="000A782E">
        <w:t>ouncil, a Contractor</w:t>
      </w:r>
      <w:r>
        <w:t xml:space="preserve"> induction </w:t>
      </w:r>
      <w:r w:rsidR="000A782E">
        <w:t xml:space="preserve">shall be completed </w:t>
      </w:r>
      <w:r>
        <w:t>as per STEMS-10</w:t>
      </w:r>
    </w:p>
    <w:p w14:paraId="76D0EDC7" w14:textId="18587E5C" w:rsidR="00AC23A0" w:rsidRPr="0040323C" w:rsidRDefault="00E92E85" w:rsidP="002D05FB">
      <w:pPr>
        <w:pStyle w:val="ListParagraph"/>
        <w:numPr>
          <w:ilvl w:val="1"/>
          <w:numId w:val="11"/>
        </w:numPr>
        <w:spacing w:after="120"/>
        <w:ind w:left="992" w:hanging="567"/>
        <w:contextualSpacing w:val="0"/>
        <w:rPr>
          <w:b/>
          <w:bCs/>
        </w:rPr>
      </w:pPr>
      <w:r w:rsidRPr="0040323C">
        <w:rPr>
          <w:b/>
          <w:bCs/>
        </w:rPr>
        <w:t>Contract Delivery</w:t>
      </w:r>
    </w:p>
    <w:p w14:paraId="25BC6EB7" w14:textId="2F3827B8" w:rsidR="00E92E85" w:rsidRDefault="00D6087D" w:rsidP="00C452DA">
      <w:pPr>
        <w:pStyle w:val="ListParagraph"/>
        <w:spacing w:after="120"/>
        <w:ind w:left="992"/>
        <w:contextualSpacing w:val="0"/>
      </w:pPr>
      <w:r>
        <w:t xml:space="preserve">The client or commissioning Department is responsible for the proper monitoring of contracts and third parties in accordance with the terms and conditions and any performance targets. Besides the qualitative aspects, this should also include financial performance to ensure that budgets and contractual amounts are not exceeded. This should be undertaken within the Council’s Budget Monitoring Framework. </w:t>
      </w:r>
    </w:p>
    <w:p w14:paraId="6450EBCB" w14:textId="44EE2879" w:rsidR="00C452DA" w:rsidRPr="00C452DA" w:rsidRDefault="00C452DA" w:rsidP="002D05FB">
      <w:pPr>
        <w:pStyle w:val="ListParagraph"/>
        <w:numPr>
          <w:ilvl w:val="1"/>
          <w:numId w:val="11"/>
        </w:numPr>
        <w:spacing w:after="120"/>
        <w:ind w:left="992" w:hanging="567"/>
        <w:contextualSpacing w:val="0"/>
        <w:rPr>
          <w:b/>
          <w:bCs/>
        </w:rPr>
      </w:pPr>
      <w:r w:rsidRPr="00C452DA">
        <w:rPr>
          <w:b/>
          <w:bCs/>
        </w:rPr>
        <w:t>Contract Meetings</w:t>
      </w:r>
    </w:p>
    <w:p w14:paraId="5986E2B1" w14:textId="0F4EFD1D" w:rsidR="00D6087D" w:rsidRDefault="00D6087D" w:rsidP="00C452DA">
      <w:pPr>
        <w:pStyle w:val="ListParagraph"/>
        <w:spacing w:after="120"/>
        <w:ind w:left="992"/>
        <w:contextualSpacing w:val="0"/>
      </w:pPr>
      <w:r>
        <w:t>Contractual performance should be reviewed on a regular basis and although this could vary depending on the nature and operation of each Contract, this should be undertaken on at least an annual basis.</w:t>
      </w:r>
    </w:p>
    <w:p w14:paraId="10A20D3E" w14:textId="5D64A6D5" w:rsidR="00A51FE2" w:rsidRDefault="00A51FE2" w:rsidP="002D05FB">
      <w:pPr>
        <w:pStyle w:val="Heading1"/>
        <w:numPr>
          <w:ilvl w:val="0"/>
          <w:numId w:val="11"/>
        </w:numPr>
        <w:spacing w:after="240"/>
      </w:pPr>
      <w:bookmarkStart w:id="23" w:name="_Toc64386357"/>
      <w:r>
        <w:t>Non-compliance with the rules</w:t>
      </w:r>
      <w:bookmarkEnd w:id="23"/>
    </w:p>
    <w:p w14:paraId="7FEAB7EF" w14:textId="5200857C" w:rsidR="00D6087D" w:rsidRDefault="00D6087D" w:rsidP="002D05FB">
      <w:pPr>
        <w:pStyle w:val="ListParagraph"/>
        <w:numPr>
          <w:ilvl w:val="1"/>
          <w:numId w:val="11"/>
        </w:numPr>
        <w:spacing w:after="120"/>
        <w:ind w:left="992" w:hanging="567"/>
        <w:contextualSpacing w:val="0"/>
      </w:pPr>
      <w:r>
        <w:t xml:space="preserve">Any non-compliance with any of the Rules must be notified to the </w:t>
      </w:r>
      <w:r w:rsidR="0045773B">
        <w:t xml:space="preserve">Executive Director - Resources and Transformation </w:t>
      </w:r>
      <w:r>
        <w:t xml:space="preserve">(as s151 Officer) </w:t>
      </w:r>
    </w:p>
    <w:p w14:paraId="1DADB6DB" w14:textId="790DB997" w:rsidR="00D6087D" w:rsidRDefault="00D6087D" w:rsidP="002D05FB">
      <w:pPr>
        <w:pStyle w:val="ListParagraph"/>
        <w:numPr>
          <w:ilvl w:val="1"/>
          <w:numId w:val="11"/>
        </w:numPr>
        <w:spacing w:after="120"/>
        <w:ind w:left="992" w:hanging="567"/>
        <w:contextualSpacing w:val="0"/>
      </w:pPr>
      <w:r>
        <w:t>If non-compliance has given rise to</w:t>
      </w:r>
      <w:r w:rsidR="00C452DA">
        <w:t xml:space="preserve"> </w:t>
      </w:r>
      <w:r>
        <w:t xml:space="preserve">or is likely to give rise to illegality or maladministration, the </w:t>
      </w:r>
      <w:r w:rsidR="0045773B">
        <w:t xml:space="preserve">Executive Director - Resources and Transformation </w:t>
      </w:r>
      <w:r>
        <w:t xml:space="preserve">(as s151 Officer) will notify the Monitoring Officer or in the event of a conflict of interest, the Chief Executive. </w:t>
      </w:r>
    </w:p>
    <w:p w14:paraId="79611204" w14:textId="2B302CD9" w:rsidR="00D6087D" w:rsidRPr="00D6087D" w:rsidRDefault="00D6087D" w:rsidP="002D05FB">
      <w:pPr>
        <w:pStyle w:val="ListParagraph"/>
        <w:numPr>
          <w:ilvl w:val="1"/>
          <w:numId w:val="11"/>
        </w:numPr>
        <w:spacing w:after="120"/>
        <w:ind w:left="992" w:hanging="567"/>
        <w:contextualSpacing w:val="0"/>
      </w:pPr>
      <w:r>
        <w:t xml:space="preserve">If the Rules are not complied with, this will not invalidate any contract </w:t>
      </w:r>
      <w:proofErr w:type="gramStart"/>
      <w:r>
        <w:t>entered into</w:t>
      </w:r>
      <w:proofErr w:type="gramEnd"/>
      <w:r>
        <w:t xml:space="preserve"> by or on behalf of the Council, except where European or English law provides to the contrary.</w:t>
      </w:r>
    </w:p>
    <w:p w14:paraId="508A0166" w14:textId="2DCB129C" w:rsidR="00661AA3" w:rsidRDefault="00A51FE2" w:rsidP="002D05FB">
      <w:pPr>
        <w:pStyle w:val="Heading1"/>
        <w:numPr>
          <w:ilvl w:val="0"/>
          <w:numId w:val="11"/>
        </w:numPr>
        <w:spacing w:after="240"/>
      </w:pPr>
      <w:bookmarkStart w:id="24" w:name="_Toc64386358"/>
      <w:r>
        <w:lastRenderedPageBreak/>
        <w:t>Seeking advise</w:t>
      </w:r>
      <w:bookmarkEnd w:id="24"/>
    </w:p>
    <w:p w14:paraId="1041F61F" w14:textId="40762A5E" w:rsidR="00D6087D" w:rsidRDefault="00D6087D" w:rsidP="00D6087D">
      <w:r>
        <w:t xml:space="preserve">Officers requiring advice on procurement practice and EU requirements should contact the Central Procurement Team at: </w:t>
      </w:r>
      <w:hyperlink r:id="rId9" w:history="1">
        <w:r w:rsidRPr="001C7EBA">
          <w:rPr>
            <w:rStyle w:val="Hyperlink"/>
          </w:rPr>
          <w:t>procurement@south-derbys.gov.uk</w:t>
        </w:r>
      </w:hyperlink>
      <w:r>
        <w:t xml:space="preserve"> </w:t>
      </w:r>
    </w:p>
    <w:p w14:paraId="74BE1C87" w14:textId="5970F0D8" w:rsidR="00D6087D" w:rsidRPr="00D6087D" w:rsidRDefault="00D6087D" w:rsidP="00D6087D">
      <w:r>
        <w:t>Officers requiring contracts, terms and conditions or legal advice should contact Legal Services.</w:t>
      </w:r>
    </w:p>
    <w:p w14:paraId="6943F477" w14:textId="549E8BDA" w:rsidR="00B54297" w:rsidRDefault="00B54297" w:rsidP="00B138D7">
      <w:pPr>
        <w:rPr>
          <w:sz w:val="24"/>
          <w:szCs w:val="24"/>
        </w:rPr>
      </w:pPr>
    </w:p>
    <w:p w14:paraId="61681DBC" w14:textId="2B06CD54" w:rsidR="002D05FB" w:rsidRDefault="002D05FB" w:rsidP="00B138D7">
      <w:pPr>
        <w:rPr>
          <w:sz w:val="24"/>
          <w:szCs w:val="24"/>
        </w:rPr>
      </w:pPr>
    </w:p>
    <w:p w14:paraId="3EFFC89D" w14:textId="7837F9C4" w:rsidR="002D05FB" w:rsidRDefault="002D05FB" w:rsidP="00B138D7">
      <w:pPr>
        <w:rPr>
          <w:sz w:val="24"/>
          <w:szCs w:val="24"/>
        </w:rPr>
      </w:pPr>
    </w:p>
    <w:p w14:paraId="1675CABE" w14:textId="77777777" w:rsidR="002D05FB" w:rsidRDefault="002D05FB" w:rsidP="00B138D7">
      <w:pPr>
        <w:rPr>
          <w:sz w:val="24"/>
          <w:szCs w:val="24"/>
        </w:rPr>
      </w:pPr>
    </w:p>
    <w:p w14:paraId="2EF0238B" w14:textId="77777777" w:rsidR="004E1038" w:rsidRPr="000B7D45" w:rsidRDefault="004E1038" w:rsidP="002D05FB">
      <w:pPr>
        <w:pStyle w:val="Heading1"/>
        <w:numPr>
          <w:ilvl w:val="0"/>
          <w:numId w:val="11"/>
        </w:numPr>
        <w:spacing w:before="0" w:after="240"/>
      </w:pPr>
      <w:bookmarkStart w:id="25" w:name="_Toc64386359"/>
      <w:r>
        <w:t>Associated Documentation</w:t>
      </w:r>
      <w:bookmarkEnd w:id="25"/>
    </w:p>
    <w:tbl>
      <w:tblPr>
        <w:tblStyle w:val="LightList-Accent1"/>
        <w:tblW w:w="0" w:type="auto"/>
        <w:tblInd w:w="108" w:type="dxa"/>
        <w:tblLook w:val="0020" w:firstRow="1" w:lastRow="0" w:firstColumn="0" w:lastColumn="0" w:noHBand="0" w:noVBand="0"/>
      </w:tblPr>
      <w:tblGrid>
        <w:gridCol w:w="4320"/>
        <w:gridCol w:w="5304"/>
      </w:tblGrid>
      <w:tr w:rsidR="004E1038" w14:paraId="3E2B55A3" w14:textId="77777777" w:rsidTr="008A770E">
        <w:trPr>
          <w:cnfStyle w:val="100000000000" w:firstRow="1" w:lastRow="0" w:firstColumn="0" w:lastColumn="0" w:oddVBand="0" w:evenVBand="0" w:oddHBand="0" w:evenHBand="0"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4395" w:type="dxa"/>
            <w:shd w:val="clear" w:color="auto" w:fill="002060"/>
          </w:tcPr>
          <w:p w14:paraId="4D90535A" w14:textId="77777777" w:rsidR="004E1038" w:rsidRDefault="004E1038" w:rsidP="008A770E">
            <w:pPr>
              <w:jc w:val="center"/>
            </w:pPr>
            <w:r>
              <w:t>Description of Documentation</w:t>
            </w:r>
          </w:p>
        </w:tc>
        <w:tc>
          <w:tcPr>
            <w:tcW w:w="5408" w:type="dxa"/>
            <w:shd w:val="clear" w:color="auto" w:fill="002060"/>
          </w:tcPr>
          <w:p w14:paraId="34DA84F4" w14:textId="77777777" w:rsidR="004E1038" w:rsidRDefault="004E1038" w:rsidP="008A770E">
            <w:pPr>
              <w:jc w:val="center"/>
              <w:cnfStyle w:val="100000000000" w:firstRow="1" w:lastRow="0" w:firstColumn="0" w:lastColumn="0" w:oddVBand="0" w:evenVBand="0" w:oddHBand="0" w:evenHBand="0" w:firstRowFirstColumn="0" w:firstRowLastColumn="0" w:lastRowFirstColumn="0" w:lastRowLastColumn="0"/>
            </w:pPr>
          </w:p>
        </w:tc>
      </w:tr>
      <w:tr w:rsidR="004E1038" w14:paraId="0D0A3414" w14:textId="77777777" w:rsidTr="008A770E">
        <w:trPr>
          <w:cnfStyle w:val="000000100000" w:firstRow="0" w:lastRow="0" w:firstColumn="0" w:lastColumn="0" w:oddVBand="0" w:evenVBand="0" w:oddHBand="1" w:evenHBand="0"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4395" w:type="dxa"/>
          </w:tcPr>
          <w:p w14:paraId="1AD77BA8" w14:textId="77777777" w:rsidR="004E1038" w:rsidRPr="00C452DA" w:rsidRDefault="004E1038" w:rsidP="008A770E">
            <w:pPr>
              <w:tabs>
                <w:tab w:val="center" w:pos="2302"/>
              </w:tabs>
              <w:spacing w:line="276" w:lineRule="auto"/>
            </w:pPr>
            <w:r w:rsidRPr="00C452DA">
              <w:t xml:space="preserve">Corporate </w:t>
            </w:r>
            <w:r w:rsidR="00C452DA" w:rsidRPr="00C452DA">
              <w:t>Plan</w:t>
            </w:r>
          </w:p>
          <w:p w14:paraId="1F81359E" w14:textId="47AB89EF" w:rsidR="00C452DA" w:rsidRPr="00C452DA" w:rsidRDefault="00C452DA" w:rsidP="008A770E">
            <w:pPr>
              <w:tabs>
                <w:tab w:val="center" w:pos="2302"/>
              </w:tabs>
              <w:spacing w:line="276" w:lineRule="auto"/>
            </w:pPr>
          </w:p>
        </w:tc>
        <w:tc>
          <w:tcPr>
            <w:tcW w:w="5408" w:type="dxa"/>
          </w:tcPr>
          <w:p w14:paraId="3AF2BB5A" w14:textId="77777777" w:rsidR="004E1038" w:rsidRPr="00C452DA" w:rsidRDefault="004E1038" w:rsidP="008A770E">
            <w:pPr>
              <w:spacing w:line="276" w:lineRule="auto"/>
              <w:cnfStyle w:val="000000100000" w:firstRow="0" w:lastRow="0" w:firstColumn="0" w:lastColumn="0" w:oddVBand="0" w:evenVBand="0" w:oddHBand="1" w:evenHBand="0" w:firstRowFirstColumn="0" w:firstRowLastColumn="0" w:lastRowFirstColumn="0" w:lastRowLastColumn="0"/>
            </w:pPr>
            <w:r w:rsidRPr="00C452DA">
              <w:t>2020-24</w:t>
            </w:r>
          </w:p>
        </w:tc>
      </w:tr>
      <w:tr w:rsidR="004E1038" w14:paraId="5929A008" w14:textId="77777777" w:rsidTr="008A770E">
        <w:trPr>
          <w:trHeight w:val="290"/>
        </w:trPr>
        <w:tc>
          <w:tcPr>
            <w:cnfStyle w:val="000010000000" w:firstRow="0" w:lastRow="0" w:firstColumn="0" w:lastColumn="0" w:oddVBand="1" w:evenVBand="0" w:oddHBand="0" w:evenHBand="0" w:firstRowFirstColumn="0" w:firstRowLastColumn="0" w:lastRowFirstColumn="0" w:lastRowLastColumn="0"/>
            <w:tcW w:w="4395" w:type="dxa"/>
          </w:tcPr>
          <w:p w14:paraId="16EA7987" w14:textId="77777777" w:rsidR="004E1038" w:rsidRPr="00C452DA" w:rsidRDefault="004E1038" w:rsidP="008A770E">
            <w:pPr>
              <w:spacing w:line="276" w:lineRule="auto"/>
            </w:pPr>
            <w:r w:rsidRPr="00C452DA">
              <w:t xml:space="preserve">Procurement Strategy and </w:t>
            </w:r>
            <w:r w:rsidR="00C452DA" w:rsidRPr="00C452DA">
              <w:t>F</w:t>
            </w:r>
            <w:r w:rsidRPr="00C452DA">
              <w:t>ramework</w:t>
            </w:r>
          </w:p>
          <w:p w14:paraId="5B7CA893" w14:textId="3C6F5A5D" w:rsidR="00C452DA" w:rsidRPr="00C452DA" w:rsidRDefault="00C452DA" w:rsidP="008A770E">
            <w:pPr>
              <w:spacing w:line="276" w:lineRule="auto"/>
            </w:pPr>
          </w:p>
        </w:tc>
        <w:tc>
          <w:tcPr>
            <w:tcW w:w="5408" w:type="dxa"/>
          </w:tcPr>
          <w:p w14:paraId="585BE9EA" w14:textId="77777777" w:rsidR="004E1038" w:rsidRPr="00C452DA" w:rsidRDefault="004E1038" w:rsidP="008A770E">
            <w:pPr>
              <w:spacing w:line="276" w:lineRule="auto"/>
              <w:cnfStyle w:val="000000000000" w:firstRow="0" w:lastRow="0" w:firstColumn="0" w:lastColumn="0" w:oddVBand="0" w:evenVBand="0" w:oddHBand="0" w:evenHBand="0" w:firstRowFirstColumn="0" w:firstRowLastColumn="0" w:lastRowFirstColumn="0" w:lastRowLastColumn="0"/>
            </w:pPr>
            <w:r w:rsidRPr="00C452DA">
              <w:t>2020-2024</w:t>
            </w:r>
          </w:p>
        </w:tc>
      </w:tr>
      <w:tr w:rsidR="004E1038" w14:paraId="109D3EA4" w14:textId="77777777" w:rsidTr="008A770E">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4395" w:type="dxa"/>
          </w:tcPr>
          <w:p w14:paraId="3DE12890" w14:textId="77777777" w:rsidR="004E1038" w:rsidRPr="00C452DA" w:rsidRDefault="004E1038" w:rsidP="008A770E">
            <w:r w:rsidRPr="00C452DA">
              <w:t>SDDC – General Terms and Conditions for contact</w:t>
            </w:r>
          </w:p>
          <w:p w14:paraId="2CED2D92" w14:textId="3C44FE6B" w:rsidR="00C452DA" w:rsidRPr="00C452DA" w:rsidRDefault="00C452DA" w:rsidP="008A770E"/>
        </w:tc>
        <w:tc>
          <w:tcPr>
            <w:tcW w:w="5408" w:type="dxa"/>
          </w:tcPr>
          <w:p w14:paraId="21FA0BA3" w14:textId="77777777" w:rsidR="004E1038" w:rsidRPr="00C452DA" w:rsidRDefault="004E1038" w:rsidP="008A770E">
            <w:pPr>
              <w:cnfStyle w:val="000000100000" w:firstRow="0" w:lastRow="0" w:firstColumn="0" w:lastColumn="0" w:oddVBand="0" w:evenVBand="0" w:oddHBand="1" w:evenHBand="0" w:firstRowFirstColumn="0" w:firstRowLastColumn="0" w:lastRowFirstColumn="0" w:lastRowLastColumn="0"/>
            </w:pPr>
            <w:r w:rsidRPr="00C452DA">
              <w:t>Version: June 2019</w:t>
            </w:r>
          </w:p>
        </w:tc>
      </w:tr>
      <w:tr w:rsidR="004E1038" w14:paraId="270185F4" w14:textId="77777777" w:rsidTr="008A770E">
        <w:trPr>
          <w:trHeight w:val="290"/>
        </w:trPr>
        <w:tc>
          <w:tcPr>
            <w:cnfStyle w:val="000010000000" w:firstRow="0" w:lastRow="0" w:firstColumn="0" w:lastColumn="0" w:oddVBand="1" w:evenVBand="0" w:oddHBand="0" w:evenHBand="0" w:firstRowFirstColumn="0" w:firstRowLastColumn="0" w:lastRowFirstColumn="0" w:lastRowLastColumn="0"/>
            <w:tcW w:w="4395" w:type="dxa"/>
          </w:tcPr>
          <w:p w14:paraId="37E90DFE" w14:textId="77777777" w:rsidR="004E1038" w:rsidRPr="00C452DA" w:rsidRDefault="004E1038" w:rsidP="008A770E">
            <w:pPr>
              <w:spacing w:line="276" w:lineRule="auto"/>
            </w:pPr>
            <w:r w:rsidRPr="00C452DA">
              <w:t>Environment Management System</w:t>
            </w:r>
          </w:p>
          <w:p w14:paraId="7B78C58F" w14:textId="01DDE00D" w:rsidR="00C452DA" w:rsidRPr="00C452DA" w:rsidRDefault="00C452DA" w:rsidP="008A770E">
            <w:pPr>
              <w:spacing w:line="276" w:lineRule="auto"/>
            </w:pPr>
          </w:p>
        </w:tc>
        <w:tc>
          <w:tcPr>
            <w:tcW w:w="5408" w:type="dxa"/>
          </w:tcPr>
          <w:p w14:paraId="633FF0B0" w14:textId="77777777" w:rsidR="004E1038" w:rsidRPr="00C452DA" w:rsidRDefault="004E1038" w:rsidP="008A770E">
            <w:pPr>
              <w:spacing w:line="276" w:lineRule="auto"/>
              <w:cnfStyle w:val="000000000000" w:firstRow="0" w:lastRow="0" w:firstColumn="0" w:lastColumn="0" w:oddVBand="0" w:evenVBand="0" w:oddHBand="0" w:evenHBand="0" w:firstRowFirstColumn="0" w:firstRowLastColumn="0" w:lastRowFirstColumn="0" w:lastRowLastColumn="0"/>
            </w:pPr>
            <w:r w:rsidRPr="00C452DA">
              <w:t>STEMS-01</w:t>
            </w:r>
          </w:p>
        </w:tc>
      </w:tr>
      <w:tr w:rsidR="004E1038" w14:paraId="44EF6E04" w14:textId="77777777" w:rsidTr="008A770E">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4395" w:type="dxa"/>
          </w:tcPr>
          <w:p w14:paraId="007C9858" w14:textId="77777777" w:rsidR="004E1038" w:rsidRPr="00C452DA" w:rsidRDefault="004E1038" w:rsidP="008A770E">
            <w:pPr>
              <w:tabs>
                <w:tab w:val="center" w:pos="2302"/>
              </w:tabs>
              <w:spacing w:line="276" w:lineRule="auto"/>
            </w:pPr>
            <w:r w:rsidRPr="00C452DA">
              <w:t>Procedure forms</w:t>
            </w:r>
          </w:p>
        </w:tc>
        <w:tc>
          <w:tcPr>
            <w:tcW w:w="5408" w:type="dxa"/>
          </w:tcPr>
          <w:p w14:paraId="46ED0C02" w14:textId="77777777" w:rsidR="004E1038" w:rsidRPr="00C452DA" w:rsidRDefault="004E1038" w:rsidP="004E1038">
            <w:pPr>
              <w:pStyle w:val="ListParagraph"/>
              <w:numPr>
                <w:ilvl w:val="0"/>
                <w:numId w:val="13"/>
              </w:numPr>
              <w:ind w:left="321" w:hanging="284"/>
              <w:cnfStyle w:val="000000100000" w:firstRow="0" w:lastRow="0" w:firstColumn="0" w:lastColumn="0" w:oddVBand="0" w:evenVBand="0" w:oddHBand="1" w:evenHBand="0" w:firstRowFirstColumn="0" w:firstRowLastColumn="0" w:lastRowFirstColumn="0" w:lastRowLastColumn="0"/>
            </w:pPr>
            <w:r w:rsidRPr="00C452DA">
              <w:t>Pre-procurement analysis for contracts</w:t>
            </w:r>
          </w:p>
          <w:p w14:paraId="0EF290BB" w14:textId="77777777" w:rsidR="004E1038" w:rsidRPr="00C452DA" w:rsidRDefault="004E1038" w:rsidP="004E1038">
            <w:pPr>
              <w:pStyle w:val="ListParagraph"/>
              <w:numPr>
                <w:ilvl w:val="0"/>
                <w:numId w:val="13"/>
              </w:numPr>
              <w:ind w:left="321" w:hanging="284"/>
              <w:cnfStyle w:val="000000100000" w:firstRow="0" w:lastRow="0" w:firstColumn="0" w:lastColumn="0" w:oddVBand="0" w:evenVBand="0" w:oddHBand="1" w:evenHBand="0" w:firstRowFirstColumn="0" w:firstRowLastColumn="0" w:lastRowFirstColumn="0" w:lastRowLastColumn="0"/>
            </w:pPr>
            <w:r w:rsidRPr="00C452DA">
              <w:t>Procurement checklist for tender exercises</w:t>
            </w:r>
          </w:p>
          <w:p w14:paraId="0AA7195F" w14:textId="77777777" w:rsidR="004E1038" w:rsidRPr="00C452DA" w:rsidRDefault="004E1038" w:rsidP="004E1038">
            <w:pPr>
              <w:pStyle w:val="ListParagraph"/>
              <w:numPr>
                <w:ilvl w:val="0"/>
                <w:numId w:val="13"/>
              </w:numPr>
              <w:ind w:left="321" w:hanging="284"/>
              <w:cnfStyle w:val="000000100000" w:firstRow="0" w:lastRow="0" w:firstColumn="0" w:lastColumn="0" w:oddVBand="0" w:evenVBand="0" w:oddHBand="1" w:evenHBand="0" w:firstRowFirstColumn="0" w:firstRowLastColumn="0" w:lastRowFirstColumn="0" w:lastRowLastColumn="0"/>
            </w:pPr>
            <w:r w:rsidRPr="00C452DA">
              <w:t>Tender report</w:t>
            </w:r>
          </w:p>
          <w:p w14:paraId="47851745" w14:textId="77777777" w:rsidR="004E1038" w:rsidRPr="00C452DA" w:rsidRDefault="004E1038" w:rsidP="004E1038">
            <w:pPr>
              <w:pStyle w:val="ListParagraph"/>
              <w:numPr>
                <w:ilvl w:val="0"/>
                <w:numId w:val="13"/>
              </w:numPr>
              <w:ind w:left="321" w:hanging="284"/>
              <w:cnfStyle w:val="000000100000" w:firstRow="0" w:lastRow="0" w:firstColumn="0" w:lastColumn="0" w:oddVBand="0" w:evenVBand="0" w:oddHBand="1" w:evenHBand="0" w:firstRowFirstColumn="0" w:firstRowLastColumn="0" w:lastRowFirstColumn="0" w:lastRowLastColumn="0"/>
            </w:pPr>
            <w:r w:rsidRPr="00C452DA">
              <w:t>New supplier form</w:t>
            </w:r>
          </w:p>
          <w:p w14:paraId="57DA9006" w14:textId="77777777" w:rsidR="004E1038" w:rsidRPr="00C452DA" w:rsidRDefault="004E1038" w:rsidP="004E1038">
            <w:pPr>
              <w:pStyle w:val="ListParagraph"/>
              <w:numPr>
                <w:ilvl w:val="0"/>
                <w:numId w:val="13"/>
              </w:numPr>
              <w:ind w:left="321" w:hanging="284"/>
              <w:cnfStyle w:val="000000100000" w:firstRow="0" w:lastRow="0" w:firstColumn="0" w:lastColumn="0" w:oddVBand="0" w:evenVBand="0" w:oddHBand="1" w:evenHBand="0" w:firstRowFirstColumn="0" w:firstRowLastColumn="0" w:lastRowFirstColumn="0" w:lastRowLastColumn="0"/>
            </w:pPr>
            <w:r w:rsidRPr="00C452DA">
              <w:t>Permission to setup new supplier form</w:t>
            </w:r>
          </w:p>
          <w:p w14:paraId="31062D8D" w14:textId="77777777" w:rsidR="004E1038" w:rsidRPr="00C452DA" w:rsidRDefault="004E1038" w:rsidP="004E1038">
            <w:pPr>
              <w:pStyle w:val="ListParagraph"/>
              <w:numPr>
                <w:ilvl w:val="0"/>
                <w:numId w:val="13"/>
              </w:numPr>
              <w:ind w:left="321" w:hanging="284"/>
              <w:cnfStyle w:val="000000100000" w:firstRow="0" w:lastRow="0" w:firstColumn="0" w:lastColumn="0" w:oddVBand="0" w:evenVBand="0" w:oddHBand="1" w:evenHBand="0" w:firstRowFirstColumn="0" w:firstRowLastColumn="0" w:lastRowFirstColumn="0" w:lastRowLastColumn="0"/>
            </w:pPr>
            <w:r w:rsidRPr="00C452DA">
              <w:t>Quotation waiver form</w:t>
            </w:r>
          </w:p>
          <w:p w14:paraId="2360AAEE" w14:textId="77777777" w:rsidR="00C452DA" w:rsidRPr="00C452DA" w:rsidRDefault="00C452DA" w:rsidP="004E1038">
            <w:pPr>
              <w:pStyle w:val="ListParagraph"/>
              <w:numPr>
                <w:ilvl w:val="0"/>
                <w:numId w:val="13"/>
              </w:numPr>
              <w:ind w:left="321" w:hanging="284"/>
              <w:cnfStyle w:val="000000100000" w:firstRow="0" w:lastRow="0" w:firstColumn="0" w:lastColumn="0" w:oddVBand="0" w:evenVBand="0" w:oddHBand="1" w:evenHBand="0" w:firstRowFirstColumn="0" w:firstRowLastColumn="0" w:lastRowFirstColumn="0" w:lastRowLastColumn="0"/>
            </w:pPr>
            <w:r w:rsidRPr="00C452DA">
              <w:t>Exemption from the Tendering Rules</w:t>
            </w:r>
          </w:p>
          <w:p w14:paraId="76D42DD6" w14:textId="52D07D38" w:rsidR="00C452DA" w:rsidRPr="00C452DA" w:rsidRDefault="00C452DA" w:rsidP="00C452DA">
            <w:pPr>
              <w:pStyle w:val="ListParagraph"/>
              <w:ind w:left="321"/>
              <w:cnfStyle w:val="000000100000" w:firstRow="0" w:lastRow="0" w:firstColumn="0" w:lastColumn="0" w:oddVBand="0" w:evenVBand="0" w:oddHBand="1" w:evenHBand="0" w:firstRowFirstColumn="0" w:firstRowLastColumn="0" w:lastRowFirstColumn="0" w:lastRowLastColumn="0"/>
            </w:pPr>
          </w:p>
        </w:tc>
      </w:tr>
      <w:tr w:rsidR="004E1038" w14:paraId="3C686635" w14:textId="77777777" w:rsidTr="008A770E">
        <w:trPr>
          <w:trHeight w:val="290"/>
        </w:trPr>
        <w:tc>
          <w:tcPr>
            <w:cnfStyle w:val="000010000000" w:firstRow="0" w:lastRow="0" w:firstColumn="0" w:lastColumn="0" w:oddVBand="1" w:evenVBand="0" w:oddHBand="0" w:evenHBand="0" w:firstRowFirstColumn="0" w:firstRowLastColumn="0" w:lastRowFirstColumn="0" w:lastRowLastColumn="0"/>
            <w:tcW w:w="4395" w:type="dxa"/>
          </w:tcPr>
          <w:p w14:paraId="305C7249" w14:textId="77777777" w:rsidR="004E1038" w:rsidRPr="00C452DA" w:rsidRDefault="004E1038" w:rsidP="008A770E">
            <w:pPr>
              <w:tabs>
                <w:tab w:val="center" w:pos="2302"/>
              </w:tabs>
            </w:pPr>
            <w:r w:rsidRPr="00C452DA">
              <w:t>Guidance</w:t>
            </w:r>
          </w:p>
        </w:tc>
        <w:tc>
          <w:tcPr>
            <w:tcW w:w="5408" w:type="dxa"/>
          </w:tcPr>
          <w:p w14:paraId="65992466" w14:textId="77777777" w:rsidR="004E1038" w:rsidRPr="00C452DA" w:rsidRDefault="004E1038" w:rsidP="004E1038">
            <w:pPr>
              <w:pStyle w:val="ListParagraph"/>
              <w:numPr>
                <w:ilvl w:val="0"/>
                <w:numId w:val="13"/>
              </w:numPr>
              <w:ind w:left="321" w:hanging="284"/>
              <w:cnfStyle w:val="000000000000" w:firstRow="0" w:lastRow="0" w:firstColumn="0" w:lastColumn="0" w:oddVBand="0" w:evenVBand="0" w:oddHBand="0" w:evenHBand="0" w:firstRowFirstColumn="0" w:firstRowLastColumn="0" w:lastRowFirstColumn="0" w:lastRowLastColumn="0"/>
            </w:pPr>
            <w:r w:rsidRPr="00C452DA">
              <w:t>Selling to the council – a practical guide</w:t>
            </w:r>
          </w:p>
          <w:p w14:paraId="1D9E7B0C" w14:textId="77777777" w:rsidR="004E1038" w:rsidRDefault="004E1038" w:rsidP="004E1038">
            <w:pPr>
              <w:pStyle w:val="ListParagraph"/>
              <w:numPr>
                <w:ilvl w:val="0"/>
                <w:numId w:val="13"/>
              </w:numPr>
              <w:ind w:left="321" w:hanging="284"/>
              <w:cnfStyle w:val="000000000000" w:firstRow="0" w:lastRow="0" w:firstColumn="0" w:lastColumn="0" w:oddVBand="0" w:evenVBand="0" w:oddHBand="0" w:evenHBand="0" w:firstRowFirstColumn="0" w:firstRowLastColumn="0" w:lastRowFirstColumn="0" w:lastRowLastColumn="0"/>
            </w:pPr>
            <w:r w:rsidRPr="00C452DA">
              <w:t>Purchase order conditions</w:t>
            </w:r>
          </w:p>
          <w:p w14:paraId="52D47A65" w14:textId="1BAB81C7" w:rsidR="00C452DA" w:rsidRPr="00C452DA" w:rsidRDefault="00C452DA" w:rsidP="00C452DA">
            <w:pPr>
              <w:pStyle w:val="ListParagraph"/>
              <w:ind w:left="321"/>
              <w:cnfStyle w:val="000000000000" w:firstRow="0" w:lastRow="0" w:firstColumn="0" w:lastColumn="0" w:oddVBand="0" w:evenVBand="0" w:oddHBand="0" w:evenHBand="0" w:firstRowFirstColumn="0" w:firstRowLastColumn="0" w:lastRowFirstColumn="0" w:lastRowLastColumn="0"/>
            </w:pPr>
          </w:p>
        </w:tc>
      </w:tr>
    </w:tbl>
    <w:p w14:paraId="1624F25F" w14:textId="2E3FE291" w:rsidR="003C56F8" w:rsidRDefault="003C56F8" w:rsidP="002D05FB">
      <w:pPr>
        <w:pStyle w:val="Heading1"/>
        <w:numPr>
          <w:ilvl w:val="0"/>
          <w:numId w:val="11"/>
        </w:numPr>
        <w:spacing w:after="240"/>
      </w:pPr>
      <w:bookmarkStart w:id="26" w:name="_Toc64386360"/>
      <w:r>
        <w:t>Version Control</w:t>
      </w:r>
      <w:bookmarkEnd w:id="26"/>
    </w:p>
    <w:tbl>
      <w:tblPr>
        <w:tblW w:w="0" w:type="auto"/>
        <w:tblInd w:w="108"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Look w:val="0020" w:firstRow="1" w:lastRow="0" w:firstColumn="0" w:lastColumn="0" w:noHBand="0" w:noVBand="0"/>
      </w:tblPr>
      <w:tblGrid>
        <w:gridCol w:w="1023"/>
        <w:gridCol w:w="6728"/>
        <w:gridCol w:w="1873"/>
      </w:tblGrid>
      <w:tr w:rsidR="003C56F8" w14:paraId="7799804E" w14:textId="77777777" w:rsidTr="008A770E">
        <w:trPr>
          <w:trHeight w:val="265"/>
        </w:trPr>
        <w:tc>
          <w:tcPr>
            <w:tcW w:w="1023" w:type="dxa"/>
            <w:tcBorders>
              <w:top w:val="single" w:sz="8" w:space="0" w:color="333399"/>
              <w:left w:val="single" w:sz="8" w:space="0" w:color="333399"/>
              <w:bottom w:val="single" w:sz="8" w:space="0" w:color="333399"/>
              <w:right w:val="single" w:sz="8" w:space="0" w:color="333399"/>
            </w:tcBorders>
            <w:shd w:val="clear" w:color="auto" w:fill="002060"/>
            <w:hideMark/>
          </w:tcPr>
          <w:p w14:paraId="2272E3E1" w14:textId="77777777" w:rsidR="003C56F8" w:rsidRDefault="003C56F8" w:rsidP="008A770E">
            <w:pPr>
              <w:jc w:val="center"/>
              <w:rPr>
                <w:b/>
                <w:color w:val="FFFFFF" w:themeColor="background1"/>
              </w:rPr>
            </w:pPr>
            <w:r>
              <w:rPr>
                <w:b/>
                <w:color w:val="FFFFFF" w:themeColor="background1"/>
              </w:rPr>
              <w:t>Version</w:t>
            </w:r>
          </w:p>
        </w:tc>
        <w:tc>
          <w:tcPr>
            <w:tcW w:w="6915" w:type="dxa"/>
            <w:tcBorders>
              <w:top w:val="single" w:sz="8" w:space="0" w:color="333399"/>
              <w:left w:val="single" w:sz="8" w:space="0" w:color="333399"/>
              <w:bottom w:val="single" w:sz="8" w:space="0" w:color="333399"/>
              <w:right w:val="single" w:sz="8" w:space="0" w:color="333399"/>
            </w:tcBorders>
            <w:shd w:val="clear" w:color="auto" w:fill="002060"/>
            <w:hideMark/>
          </w:tcPr>
          <w:p w14:paraId="2C9CFF83" w14:textId="77777777" w:rsidR="003C56F8" w:rsidRDefault="003C56F8" w:rsidP="008A770E">
            <w:pPr>
              <w:jc w:val="center"/>
              <w:rPr>
                <w:b/>
                <w:color w:val="FFFFFF" w:themeColor="background1"/>
              </w:rPr>
            </w:pPr>
            <w:r>
              <w:rPr>
                <w:b/>
                <w:color w:val="FFFFFF" w:themeColor="background1"/>
              </w:rPr>
              <w:t>Changes</w:t>
            </w:r>
          </w:p>
        </w:tc>
        <w:tc>
          <w:tcPr>
            <w:tcW w:w="1916" w:type="dxa"/>
            <w:tcBorders>
              <w:top w:val="single" w:sz="8" w:space="0" w:color="333399"/>
              <w:left w:val="single" w:sz="8" w:space="0" w:color="333399"/>
              <w:bottom w:val="single" w:sz="8" w:space="0" w:color="333399"/>
              <w:right w:val="single" w:sz="8" w:space="0" w:color="333399"/>
            </w:tcBorders>
            <w:shd w:val="clear" w:color="auto" w:fill="002060"/>
            <w:hideMark/>
          </w:tcPr>
          <w:p w14:paraId="1E031717" w14:textId="77777777" w:rsidR="003C56F8" w:rsidRDefault="003C56F8" w:rsidP="008A770E">
            <w:pPr>
              <w:jc w:val="center"/>
              <w:rPr>
                <w:b/>
                <w:color w:val="FFFFFF" w:themeColor="background1"/>
              </w:rPr>
            </w:pPr>
            <w:r>
              <w:rPr>
                <w:b/>
                <w:color w:val="FFFFFF" w:themeColor="background1"/>
              </w:rPr>
              <w:t>Date</w:t>
            </w:r>
          </w:p>
        </w:tc>
      </w:tr>
      <w:tr w:rsidR="003C56F8" w14:paraId="447CB5E6" w14:textId="77777777" w:rsidTr="007118B7">
        <w:trPr>
          <w:trHeight w:val="284"/>
        </w:trPr>
        <w:tc>
          <w:tcPr>
            <w:tcW w:w="1023" w:type="dxa"/>
            <w:tcBorders>
              <w:top w:val="single" w:sz="8" w:space="0" w:color="333399"/>
              <w:left w:val="single" w:sz="8" w:space="0" w:color="333399"/>
              <w:bottom w:val="single" w:sz="8" w:space="0" w:color="333399"/>
              <w:right w:val="single" w:sz="8" w:space="0" w:color="333399"/>
            </w:tcBorders>
            <w:hideMark/>
          </w:tcPr>
          <w:p w14:paraId="56DC1DF4" w14:textId="77777777" w:rsidR="003C56F8" w:rsidRDefault="003C56F8" w:rsidP="007118B7">
            <w:pPr>
              <w:spacing w:after="0" w:line="240" w:lineRule="auto"/>
            </w:pPr>
            <w:r>
              <w:t>1</w:t>
            </w:r>
          </w:p>
        </w:tc>
        <w:tc>
          <w:tcPr>
            <w:tcW w:w="6915" w:type="dxa"/>
            <w:tcBorders>
              <w:top w:val="single" w:sz="8" w:space="0" w:color="333399"/>
              <w:left w:val="single" w:sz="8" w:space="0" w:color="333399"/>
              <w:bottom w:val="single" w:sz="8" w:space="0" w:color="333399"/>
              <w:right w:val="single" w:sz="8" w:space="0" w:color="333399"/>
            </w:tcBorders>
          </w:tcPr>
          <w:p w14:paraId="2F5DA886" w14:textId="1F91E159" w:rsidR="003C56F8" w:rsidRDefault="007118B7" w:rsidP="007118B7">
            <w:pPr>
              <w:spacing w:after="0" w:line="240" w:lineRule="auto"/>
            </w:pPr>
            <w:r>
              <w:t>Full review of procedure</w:t>
            </w:r>
            <w:r w:rsidR="00C329B1">
              <w:t>s</w:t>
            </w:r>
          </w:p>
          <w:p w14:paraId="55760FF4" w14:textId="5666587D" w:rsidR="0063295F" w:rsidRDefault="0063295F" w:rsidP="007118B7">
            <w:pPr>
              <w:spacing w:after="0" w:line="240" w:lineRule="auto"/>
            </w:pPr>
          </w:p>
        </w:tc>
        <w:tc>
          <w:tcPr>
            <w:tcW w:w="1916" w:type="dxa"/>
            <w:tcBorders>
              <w:top w:val="single" w:sz="8" w:space="0" w:color="333399"/>
              <w:left w:val="single" w:sz="8" w:space="0" w:color="333399"/>
              <w:bottom w:val="single" w:sz="8" w:space="0" w:color="333399"/>
              <w:right w:val="single" w:sz="8" w:space="0" w:color="333399"/>
            </w:tcBorders>
          </w:tcPr>
          <w:p w14:paraId="2D4ED637" w14:textId="44C3A166" w:rsidR="003C56F8" w:rsidRDefault="007118B7" w:rsidP="007118B7">
            <w:pPr>
              <w:spacing w:after="0" w:line="240" w:lineRule="auto"/>
            </w:pPr>
            <w:r>
              <w:t xml:space="preserve">May </w:t>
            </w:r>
            <w:r w:rsidR="004E1038">
              <w:t>2017</w:t>
            </w:r>
          </w:p>
        </w:tc>
      </w:tr>
      <w:tr w:rsidR="003C56F8" w14:paraId="0FE2D9D3" w14:textId="77777777" w:rsidTr="008A770E">
        <w:trPr>
          <w:trHeight w:val="280"/>
        </w:trPr>
        <w:tc>
          <w:tcPr>
            <w:tcW w:w="1023" w:type="dxa"/>
            <w:tcBorders>
              <w:top w:val="single" w:sz="8" w:space="0" w:color="333399"/>
              <w:left w:val="single" w:sz="8" w:space="0" w:color="333399"/>
              <w:bottom w:val="single" w:sz="8" w:space="0" w:color="333399"/>
              <w:right w:val="single" w:sz="8" w:space="0" w:color="333399"/>
            </w:tcBorders>
            <w:hideMark/>
          </w:tcPr>
          <w:p w14:paraId="7F5B220D" w14:textId="77777777" w:rsidR="003C56F8" w:rsidRDefault="003C56F8" w:rsidP="007118B7">
            <w:pPr>
              <w:spacing w:after="0" w:line="240" w:lineRule="auto"/>
            </w:pPr>
            <w:r>
              <w:t>2</w:t>
            </w:r>
          </w:p>
        </w:tc>
        <w:tc>
          <w:tcPr>
            <w:tcW w:w="6915" w:type="dxa"/>
            <w:tcBorders>
              <w:top w:val="single" w:sz="8" w:space="0" w:color="333399"/>
              <w:left w:val="single" w:sz="8" w:space="0" w:color="333399"/>
              <w:bottom w:val="single" w:sz="8" w:space="0" w:color="333399"/>
              <w:right w:val="single" w:sz="8" w:space="0" w:color="333399"/>
            </w:tcBorders>
          </w:tcPr>
          <w:p w14:paraId="066F4454" w14:textId="2F21B3E7" w:rsidR="003C56F8" w:rsidRDefault="007118B7" w:rsidP="00E729AB">
            <w:pPr>
              <w:spacing w:after="0" w:line="240" w:lineRule="auto"/>
            </w:pPr>
            <w:r>
              <w:t>Update on procedure</w:t>
            </w:r>
            <w:r w:rsidR="00C329B1">
              <w:t>s</w:t>
            </w:r>
            <w:r>
              <w:t xml:space="preserve"> </w:t>
            </w:r>
            <w:r w:rsidR="00C329B1">
              <w:t xml:space="preserve">following </w:t>
            </w:r>
            <w:r w:rsidR="00E729AB">
              <w:t>Senior Management Restructure</w:t>
            </w:r>
          </w:p>
          <w:p w14:paraId="66364355" w14:textId="3716F2D9" w:rsidR="0063295F" w:rsidRDefault="0063295F" w:rsidP="00E729AB">
            <w:pPr>
              <w:spacing w:after="0" w:line="240" w:lineRule="auto"/>
            </w:pPr>
          </w:p>
        </w:tc>
        <w:tc>
          <w:tcPr>
            <w:tcW w:w="1916" w:type="dxa"/>
            <w:tcBorders>
              <w:top w:val="single" w:sz="8" w:space="0" w:color="333399"/>
              <w:left w:val="single" w:sz="8" w:space="0" w:color="333399"/>
              <w:bottom w:val="single" w:sz="8" w:space="0" w:color="333399"/>
              <w:right w:val="single" w:sz="8" w:space="0" w:color="333399"/>
            </w:tcBorders>
          </w:tcPr>
          <w:p w14:paraId="4AC20266" w14:textId="63EBA96B" w:rsidR="003C56F8" w:rsidRDefault="007118B7" w:rsidP="007118B7">
            <w:pPr>
              <w:spacing w:after="0" w:line="240" w:lineRule="auto"/>
            </w:pPr>
            <w:r>
              <w:t xml:space="preserve">June </w:t>
            </w:r>
            <w:r w:rsidR="004E1038">
              <w:t>2018</w:t>
            </w:r>
          </w:p>
        </w:tc>
      </w:tr>
      <w:tr w:rsidR="004E1038" w14:paraId="50BB22B4" w14:textId="77777777" w:rsidTr="008A770E">
        <w:trPr>
          <w:trHeight w:val="280"/>
        </w:trPr>
        <w:tc>
          <w:tcPr>
            <w:tcW w:w="1023" w:type="dxa"/>
            <w:tcBorders>
              <w:top w:val="single" w:sz="8" w:space="0" w:color="333399"/>
              <w:left w:val="single" w:sz="8" w:space="0" w:color="333399"/>
              <w:bottom w:val="single" w:sz="8" w:space="0" w:color="333399"/>
              <w:right w:val="single" w:sz="8" w:space="0" w:color="333399"/>
            </w:tcBorders>
          </w:tcPr>
          <w:p w14:paraId="0E01F33D" w14:textId="1AE7BB4E" w:rsidR="004E1038" w:rsidRDefault="004E1038" w:rsidP="007118B7">
            <w:pPr>
              <w:spacing w:after="0" w:line="240" w:lineRule="auto"/>
            </w:pPr>
            <w:r>
              <w:t>3</w:t>
            </w:r>
          </w:p>
        </w:tc>
        <w:tc>
          <w:tcPr>
            <w:tcW w:w="6915" w:type="dxa"/>
            <w:tcBorders>
              <w:top w:val="single" w:sz="8" w:space="0" w:color="333399"/>
              <w:left w:val="single" w:sz="8" w:space="0" w:color="333399"/>
              <w:bottom w:val="single" w:sz="8" w:space="0" w:color="333399"/>
              <w:right w:val="single" w:sz="8" w:space="0" w:color="333399"/>
            </w:tcBorders>
          </w:tcPr>
          <w:p w14:paraId="243B9A44" w14:textId="077BF902" w:rsidR="004E1038" w:rsidRDefault="007118B7" w:rsidP="007118B7">
            <w:pPr>
              <w:spacing w:after="0" w:line="240" w:lineRule="auto"/>
            </w:pPr>
            <w:r>
              <w:t xml:space="preserve">Update to </w:t>
            </w:r>
            <w:r w:rsidR="00E729AB">
              <w:t>include environmental aims following ISO 14001 audit and supporting update to Environmental Policy 2021</w:t>
            </w:r>
            <w:r w:rsidR="004466CC">
              <w:t xml:space="preserve">. In addition, </w:t>
            </w:r>
            <w:r w:rsidR="004466CC">
              <w:lastRenderedPageBreak/>
              <w:t>version reflects the new Equality, Inclusion and Diversity Strategy 2020 to 2024.</w:t>
            </w:r>
          </w:p>
          <w:p w14:paraId="7BDD2646" w14:textId="759D07A7" w:rsidR="0063295F" w:rsidRDefault="0063295F" w:rsidP="007118B7">
            <w:pPr>
              <w:spacing w:after="0" w:line="240" w:lineRule="auto"/>
            </w:pPr>
          </w:p>
        </w:tc>
        <w:tc>
          <w:tcPr>
            <w:tcW w:w="1916" w:type="dxa"/>
            <w:tcBorders>
              <w:top w:val="single" w:sz="8" w:space="0" w:color="333399"/>
              <w:left w:val="single" w:sz="8" w:space="0" w:color="333399"/>
              <w:bottom w:val="single" w:sz="8" w:space="0" w:color="333399"/>
              <w:right w:val="single" w:sz="8" w:space="0" w:color="333399"/>
            </w:tcBorders>
          </w:tcPr>
          <w:p w14:paraId="6E1257B1" w14:textId="7321A478" w:rsidR="004E1038" w:rsidRDefault="00CF468D" w:rsidP="007118B7">
            <w:pPr>
              <w:spacing w:after="0" w:line="240" w:lineRule="auto"/>
            </w:pPr>
            <w:r>
              <w:lastRenderedPageBreak/>
              <w:t>April</w:t>
            </w:r>
            <w:r w:rsidR="007118B7">
              <w:t xml:space="preserve"> </w:t>
            </w:r>
            <w:r w:rsidR="004E1038">
              <w:t>2021</w:t>
            </w:r>
          </w:p>
        </w:tc>
      </w:tr>
      <w:tr w:rsidR="001E5B91" w14:paraId="06B815EA" w14:textId="77777777" w:rsidTr="008A770E">
        <w:trPr>
          <w:trHeight w:val="280"/>
        </w:trPr>
        <w:tc>
          <w:tcPr>
            <w:tcW w:w="1023" w:type="dxa"/>
            <w:tcBorders>
              <w:top w:val="single" w:sz="8" w:space="0" w:color="333399"/>
              <w:left w:val="single" w:sz="8" w:space="0" w:color="333399"/>
              <w:bottom w:val="single" w:sz="8" w:space="0" w:color="333399"/>
              <w:right w:val="single" w:sz="8" w:space="0" w:color="333399"/>
            </w:tcBorders>
          </w:tcPr>
          <w:p w14:paraId="1D0A77B7" w14:textId="10868BB7" w:rsidR="001E5B91" w:rsidRDefault="001E5B91" w:rsidP="007118B7">
            <w:pPr>
              <w:spacing w:after="0" w:line="240" w:lineRule="auto"/>
            </w:pPr>
            <w:r>
              <w:t>4</w:t>
            </w:r>
          </w:p>
        </w:tc>
        <w:tc>
          <w:tcPr>
            <w:tcW w:w="6915" w:type="dxa"/>
            <w:tcBorders>
              <w:top w:val="single" w:sz="8" w:space="0" w:color="333399"/>
              <w:left w:val="single" w:sz="8" w:space="0" w:color="333399"/>
              <w:bottom w:val="single" w:sz="8" w:space="0" w:color="333399"/>
              <w:right w:val="single" w:sz="8" w:space="0" w:color="333399"/>
            </w:tcBorders>
          </w:tcPr>
          <w:p w14:paraId="359F5B2F" w14:textId="4BEEB4A0" w:rsidR="001E5B91" w:rsidRDefault="001E5B91" w:rsidP="007118B7">
            <w:pPr>
              <w:spacing w:after="0" w:line="240" w:lineRule="auto"/>
            </w:pPr>
            <w:r>
              <w:t xml:space="preserve">Update </w:t>
            </w:r>
            <w:r w:rsidR="00BD3AC2">
              <w:t>with revised contract procurement thresholds and minor changes in relation to the Council’s new management structure.</w:t>
            </w:r>
          </w:p>
        </w:tc>
        <w:tc>
          <w:tcPr>
            <w:tcW w:w="1916" w:type="dxa"/>
            <w:tcBorders>
              <w:top w:val="single" w:sz="8" w:space="0" w:color="333399"/>
              <w:left w:val="single" w:sz="8" w:space="0" w:color="333399"/>
              <w:bottom w:val="single" w:sz="8" w:space="0" w:color="333399"/>
              <w:right w:val="single" w:sz="8" w:space="0" w:color="333399"/>
            </w:tcBorders>
          </w:tcPr>
          <w:p w14:paraId="3D79DA4A" w14:textId="5EA0AA1A" w:rsidR="001E5B91" w:rsidRDefault="00BD3AC2" w:rsidP="007118B7">
            <w:pPr>
              <w:spacing w:after="0" w:line="240" w:lineRule="auto"/>
            </w:pPr>
            <w:r>
              <w:t>May 2024</w:t>
            </w:r>
          </w:p>
        </w:tc>
      </w:tr>
    </w:tbl>
    <w:p w14:paraId="0CCB342B" w14:textId="77777777" w:rsidR="00876DB0" w:rsidRDefault="00876DB0" w:rsidP="0034773F">
      <w:pPr>
        <w:pStyle w:val="Heading1"/>
        <w:spacing w:after="240"/>
      </w:pPr>
    </w:p>
    <w:sectPr w:rsidR="00876DB0" w:rsidSect="007A6461">
      <w:headerReference w:type="default" r:id="rId10"/>
      <w:footerReference w:type="default" r:id="rId11"/>
      <w:headerReference w:type="first" r:id="rId12"/>
      <w:footerReference w:type="first" r:id="rId13"/>
      <w:pgSz w:w="11906" w:h="16838"/>
      <w:pgMar w:top="1440" w:right="1077" w:bottom="993" w:left="1077" w:header="709" w:footer="2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B703D3" w14:textId="77777777" w:rsidR="00967E4B" w:rsidRDefault="00967E4B" w:rsidP="001030EA">
      <w:pPr>
        <w:spacing w:after="0" w:line="240" w:lineRule="auto"/>
      </w:pPr>
      <w:r>
        <w:separator/>
      </w:r>
    </w:p>
  </w:endnote>
  <w:endnote w:type="continuationSeparator" w:id="0">
    <w:p w14:paraId="4E3EE399" w14:textId="77777777" w:rsidR="00967E4B" w:rsidRDefault="00967E4B" w:rsidP="00103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eo">
    <w:charset w:val="00"/>
    <w:family w:val="auto"/>
    <w:pitch w:val="variable"/>
    <w:sig w:usb0="00000007" w:usb1="00000000" w:usb2="00000000" w:usb3="00000000" w:csb0="0000008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ndara" w:hAnsi="Candara"/>
        <w:sz w:val="20"/>
        <w:szCs w:val="20"/>
      </w:rPr>
      <w:id w:val="-1002279631"/>
      <w:docPartObj>
        <w:docPartGallery w:val="Page Numbers (Bottom of Page)"/>
        <w:docPartUnique/>
      </w:docPartObj>
    </w:sdtPr>
    <w:sdtEndPr>
      <w:rPr>
        <w:rFonts w:ascii="Trebuchet MS" w:hAnsi="Trebuchet MS"/>
        <w:noProof/>
      </w:rPr>
    </w:sdtEndPr>
    <w:sdtContent>
      <w:p w14:paraId="024DEEFC" w14:textId="3F02624F" w:rsidR="002E62BC" w:rsidRPr="004D4621" w:rsidRDefault="002E62BC" w:rsidP="00683824">
        <w:pPr>
          <w:pStyle w:val="Footer"/>
          <w:spacing w:after="120"/>
          <w:rPr>
            <w:rFonts w:cstheme="minorHAnsi"/>
            <w:color w:val="A6A6A6" w:themeColor="background1" w:themeShade="A6"/>
            <w:sz w:val="20"/>
            <w:szCs w:val="20"/>
          </w:rPr>
        </w:pPr>
        <w:r>
          <w:rPr>
            <w:rFonts w:ascii="Trebuchet MS" w:hAnsi="Trebuchet MS" w:cs="Arial"/>
            <w:noProof/>
            <w:color w:val="2D0054"/>
          </w:rPr>
          <w:drawing>
            <wp:anchor distT="0" distB="0" distL="114300" distR="114300" simplePos="0" relativeHeight="251660800" behindDoc="1" locked="0" layoutInCell="1" allowOverlap="1" wp14:anchorId="320B7E2B" wp14:editId="7DF40398">
              <wp:simplePos x="0" y="0"/>
              <wp:positionH relativeFrom="column">
                <wp:posOffset>-64770</wp:posOffset>
              </wp:positionH>
              <wp:positionV relativeFrom="paragraph">
                <wp:posOffset>174625</wp:posOffset>
              </wp:positionV>
              <wp:extent cx="3613150" cy="513080"/>
              <wp:effectExtent l="0" t="0" r="6350" b="127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3613150" cy="513080"/>
                      </a:xfrm>
                      <a:prstGeom prst="rect">
                        <a:avLst/>
                      </a:prstGeom>
                    </pic:spPr>
                  </pic:pic>
                </a:graphicData>
              </a:graphic>
              <wp14:sizeRelH relativeFrom="page">
                <wp14:pctWidth>0</wp14:pctWidth>
              </wp14:sizeRelH>
              <wp14:sizeRelV relativeFrom="page">
                <wp14:pctHeight>0</wp14:pctHeight>
              </wp14:sizeRelV>
            </wp:anchor>
          </w:drawing>
        </w:r>
      </w:p>
      <w:sdt>
        <w:sdtPr>
          <w:rPr>
            <w:rFonts w:ascii="Candara" w:hAnsi="Candara"/>
            <w:sz w:val="20"/>
            <w:szCs w:val="20"/>
          </w:rPr>
          <w:id w:val="-1035038018"/>
          <w:docPartObj>
            <w:docPartGallery w:val="Page Numbers (Bottom of Page)"/>
            <w:docPartUnique/>
          </w:docPartObj>
        </w:sdtPr>
        <w:sdtEndPr>
          <w:rPr>
            <w:rFonts w:ascii="Trebuchet MS" w:hAnsi="Trebuchet MS"/>
            <w:noProof/>
          </w:rPr>
        </w:sdtEndPr>
        <w:sdtContent>
          <w:p w14:paraId="02D5F797" w14:textId="63F51C0D" w:rsidR="002E62BC" w:rsidRPr="00E45FAA" w:rsidRDefault="002E62BC" w:rsidP="00683824">
            <w:pPr>
              <w:pStyle w:val="Footer"/>
              <w:jc w:val="right"/>
              <w:rPr>
                <w:rFonts w:ascii="Trebuchet MS" w:hAnsi="Trebuchet MS"/>
                <w:sz w:val="20"/>
                <w:szCs w:val="20"/>
              </w:rPr>
            </w:pPr>
            <w:r w:rsidRPr="00E45FAA">
              <w:rPr>
                <w:rFonts w:ascii="Trebuchet MS" w:hAnsi="Trebuchet MS"/>
                <w:sz w:val="20"/>
                <w:szCs w:val="20"/>
              </w:rPr>
              <w:t xml:space="preserve">Page | </w:t>
            </w:r>
            <w:r w:rsidRPr="00E45FAA">
              <w:rPr>
                <w:rFonts w:ascii="Trebuchet MS" w:hAnsi="Trebuchet MS"/>
                <w:sz w:val="20"/>
                <w:szCs w:val="20"/>
              </w:rPr>
              <w:fldChar w:fldCharType="begin"/>
            </w:r>
            <w:r w:rsidRPr="00E45FAA">
              <w:rPr>
                <w:rFonts w:ascii="Trebuchet MS" w:hAnsi="Trebuchet MS"/>
                <w:sz w:val="20"/>
                <w:szCs w:val="20"/>
              </w:rPr>
              <w:instrText xml:space="preserve"> PAGE   \* MERGEFORMAT </w:instrText>
            </w:r>
            <w:r w:rsidRPr="00E45FAA">
              <w:rPr>
                <w:rFonts w:ascii="Trebuchet MS" w:hAnsi="Trebuchet MS"/>
                <w:sz w:val="20"/>
                <w:szCs w:val="20"/>
              </w:rPr>
              <w:fldChar w:fldCharType="separate"/>
            </w:r>
            <w:r>
              <w:rPr>
                <w:rFonts w:ascii="Trebuchet MS" w:hAnsi="Trebuchet MS"/>
                <w:sz w:val="20"/>
                <w:szCs w:val="20"/>
              </w:rPr>
              <w:t>2</w:t>
            </w:r>
            <w:r w:rsidRPr="00E45FAA">
              <w:rPr>
                <w:rFonts w:ascii="Trebuchet MS" w:hAnsi="Trebuchet MS"/>
                <w:noProof/>
                <w:sz w:val="20"/>
                <w:szCs w:val="20"/>
              </w:rPr>
              <w:fldChar w:fldCharType="end"/>
            </w:r>
            <w:r w:rsidRPr="00E45FAA">
              <w:rPr>
                <w:rFonts w:ascii="Trebuchet MS" w:hAnsi="Trebuchet MS"/>
                <w:noProof/>
                <w:sz w:val="20"/>
                <w:szCs w:val="20"/>
              </w:rPr>
              <w:t xml:space="preserve"> |</w:t>
            </w:r>
          </w:p>
        </w:sdtContent>
      </w:sdt>
      <w:p w14:paraId="65881E9E" w14:textId="77777777" w:rsidR="002E62BC" w:rsidRPr="004C63AD" w:rsidRDefault="00076171" w:rsidP="00683824">
        <w:pPr>
          <w:pStyle w:val="Footer"/>
          <w:rPr>
            <w:rFonts w:ascii="Trebuchet MS" w:hAnsi="Trebuchet MS"/>
            <w:sz w:val="20"/>
            <w:szCs w:val="20"/>
          </w:rPr>
        </w:pPr>
      </w:p>
    </w:sdtContent>
  </w:sdt>
  <w:p w14:paraId="5387D772" w14:textId="77777777" w:rsidR="002E62BC" w:rsidRDefault="002E6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AC75D" w14:textId="57C15500" w:rsidR="002E62BC" w:rsidRPr="00683824" w:rsidRDefault="002E62BC">
    <w:pPr>
      <w:pStyle w:val="Footer"/>
      <w:rPr>
        <w:i/>
        <w:iCs/>
        <w:color w:val="808080" w:themeColor="background1" w:themeShade="80"/>
        <w:sz w:val="20"/>
        <w:szCs w:val="20"/>
      </w:rPr>
    </w:pPr>
    <w:r w:rsidRPr="00683824">
      <w:rPr>
        <w:i/>
        <w:iCs/>
        <w:color w:val="808080" w:themeColor="background1" w:themeShade="80"/>
        <w:sz w:val="20"/>
        <w:szCs w:val="20"/>
      </w:rPr>
      <w:tab/>
    </w:r>
    <w:r w:rsidRPr="00683824">
      <w:rPr>
        <w:i/>
        <w:iCs/>
        <w:color w:val="808080" w:themeColor="background1" w:themeShade="8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B58787" w14:textId="77777777" w:rsidR="00967E4B" w:rsidRDefault="00967E4B" w:rsidP="001030EA">
      <w:pPr>
        <w:spacing w:after="0" w:line="240" w:lineRule="auto"/>
      </w:pPr>
      <w:r>
        <w:separator/>
      </w:r>
    </w:p>
  </w:footnote>
  <w:footnote w:type="continuationSeparator" w:id="0">
    <w:p w14:paraId="31350B9B" w14:textId="77777777" w:rsidR="00967E4B" w:rsidRDefault="00967E4B" w:rsidP="00103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C0296" w14:textId="1C3434F7" w:rsidR="002E62BC" w:rsidRDefault="002E62BC" w:rsidP="00F07253">
    <w:pPr>
      <w:pStyle w:val="Footer"/>
    </w:pPr>
    <w:r>
      <w:t xml:space="preserve">Document Ref: SDDC-Contract-Procedure-Rules      </w:t>
    </w:r>
    <w:r>
      <w:tab/>
      <w:t xml:space="preserve">Date: </w:t>
    </w:r>
    <w:r w:rsidR="00AE5194">
      <w:t>April 2021</w:t>
    </w:r>
  </w:p>
  <w:p w14:paraId="699C094F" w14:textId="77777777" w:rsidR="002E62BC" w:rsidRPr="001030EA" w:rsidRDefault="002E62BC" w:rsidP="001030EA">
    <w:pPr>
      <w:pStyle w:val="Header"/>
      <w:rPr>
        <w:rFonts w:ascii="Aleo" w:hAnsi="Aleo"/>
        <w:b/>
        <w:color w:val="2D0054"/>
      </w:rPr>
    </w:pPr>
  </w:p>
  <w:p w14:paraId="221E0D38" w14:textId="77777777" w:rsidR="002E62BC" w:rsidRDefault="002E62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69E17" w14:textId="46D93567" w:rsidR="002E62BC" w:rsidRDefault="002E62BC">
    <w:pPr>
      <w:pStyle w:val="Header"/>
    </w:pPr>
    <w:r>
      <w:rPr>
        <w:noProof/>
        <w:lang w:eastAsia="en-GB"/>
      </w:rPr>
      <w:drawing>
        <wp:anchor distT="0" distB="0" distL="114300" distR="114300" simplePos="0" relativeHeight="251659776" behindDoc="1" locked="0" layoutInCell="1" allowOverlap="1" wp14:anchorId="77B189E0" wp14:editId="2D2E7B92">
          <wp:simplePos x="0" y="0"/>
          <wp:positionH relativeFrom="page">
            <wp:posOffset>2693449</wp:posOffset>
          </wp:positionH>
          <wp:positionV relativeFrom="page">
            <wp:posOffset>2033831</wp:posOffset>
          </wp:positionV>
          <wp:extent cx="4862830" cy="7177797"/>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rcle-Graphic-20%-crop.png"/>
                  <pic:cNvPicPr/>
                </pic:nvPicPr>
                <pic:blipFill rotWithShape="1">
                  <a:blip r:embed="rId1">
                    <a:alphaModFix amt="50000"/>
                    <a:extLst>
                      <a:ext uri="{28A0092B-C50C-407E-A947-70E740481C1C}">
                        <a14:useLocalDpi xmlns:a14="http://schemas.microsoft.com/office/drawing/2010/main" val="0"/>
                      </a:ext>
                    </a:extLst>
                  </a:blip>
                  <a:srcRect l="38" r="-38"/>
                  <a:stretch/>
                </pic:blipFill>
                <pic:spPr bwMode="auto">
                  <a:xfrm>
                    <a:off x="0" y="0"/>
                    <a:ext cx="4862830" cy="71777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45FAA">
      <w:rPr>
        <w:noProof/>
        <w:lang w:eastAsia="en-GB"/>
      </w:rPr>
      <w:drawing>
        <wp:anchor distT="0" distB="0" distL="114300" distR="114300" simplePos="0" relativeHeight="251656704" behindDoc="0" locked="0" layoutInCell="1" allowOverlap="1" wp14:anchorId="181A8B3D" wp14:editId="6B7CB9C4">
          <wp:simplePos x="0" y="0"/>
          <wp:positionH relativeFrom="column">
            <wp:posOffset>5753100</wp:posOffset>
          </wp:positionH>
          <wp:positionV relativeFrom="paragraph">
            <wp:posOffset>-287655</wp:posOffset>
          </wp:positionV>
          <wp:extent cx="978535" cy="1384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V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8535" cy="1384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D7931"/>
    <w:multiLevelType w:val="hybridMultilevel"/>
    <w:tmpl w:val="4546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12714"/>
    <w:multiLevelType w:val="multilevel"/>
    <w:tmpl w:val="F782BC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655D50"/>
    <w:multiLevelType w:val="hybridMultilevel"/>
    <w:tmpl w:val="5B9CFE3A"/>
    <w:lvl w:ilvl="0" w:tplc="257C476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B7A6E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4E2CBC"/>
    <w:multiLevelType w:val="hybridMultilevel"/>
    <w:tmpl w:val="BB68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E1E0A"/>
    <w:multiLevelType w:val="multilevel"/>
    <w:tmpl w:val="F782BC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A87D19"/>
    <w:multiLevelType w:val="multilevel"/>
    <w:tmpl w:val="F782BC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7F0FB1"/>
    <w:multiLevelType w:val="hybridMultilevel"/>
    <w:tmpl w:val="50AC2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52B4817"/>
    <w:multiLevelType w:val="multilevel"/>
    <w:tmpl w:val="C0B6A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B4145"/>
    <w:multiLevelType w:val="hybridMultilevel"/>
    <w:tmpl w:val="FA8425D6"/>
    <w:lvl w:ilvl="0" w:tplc="B7548AEC">
      <w:start w:val="1"/>
      <w:numFmt w:val="lowerRoman"/>
      <w:lvlText w:val="%1."/>
      <w:lvlJc w:val="left"/>
      <w:pPr>
        <w:ind w:left="1512" w:hanging="72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0" w15:restartNumberingAfterBreak="0">
    <w:nsid w:val="1BFA01C4"/>
    <w:multiLevelType w:val="multilevel"/>
    <w:tmpl w:val="0E5E97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Bid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326346"/>
    <w:multiLevelType w:val="multilevel"/>
    <w:tmpl w:val="F782BC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A204D0"/>
    <w:multiLevelType w:val="hybridMultilevel"/>
    <w:tmpl w:val="7AC07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477FC0"/>
    <w:multiLevelType w:val="multilevel"/>
    <w:tmpl w:val="F782BC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176F38"/>
    <w:multiLevelType w:val="hybridMultilevel"/>
    <w:tmpl w:val="37784A8A"/>
    <w:lvl w:ilvl="0" w:tplc="899A79BA">
      <w:start w:val="1"/>
      <w:numFmt w:val="lowerRoman"/>
      <w:lvlText w:val="%1."/>
      <w:lvlJc w:val="left"/>
      <w:pPr>
        <w:ind w:left="1512" w:hanging="72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5" w15:restartNumberingAfterBreak="0">
    <w:nsid w:val="2F6449E5"/>
    <w:multiLevelType w:val="hybridMultilevel"/>
    <w:tmpl w:val="09149426"/>
    <w:lvl w:ilvl="0" w:tplc="F4AAAEA2">
      <w:start w:val="1"/>
      <w:numFmt w:val="lowerRoman"/>
      <w:lvlText w:val="%1."/>
      <w:lvlJc w:val="left"/>
      <w:pPr>
        <w:ind w:left="1512" w:hanging="72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6" w15:restartNumberingAfterBreak="0">
    <w:nsid w:val="30EA4B95"/>
    <w:multiLevelType w:val="hybridMultilevel"/>
    <w:tmpl w:val="93D4D01C"/>
    <w:lvl w:ilvl="0" w:tplc="F350C5CA">
      <w:start w:val="1"/>
      <w:numFmt w:val="lowerRoman"/>
      <w:lvlText w:val="%1."/>
      <w:lvlJc w:val="left"/>
      <w:pPr>
        <w:ind w:left="1944" w:hanging="720"/>
      </w:pPr>
      <w:rPr>
        <w:rFonts w:hint="default"/>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7" w15:restartNumberingAfterBreak="0">
    <w:nsid w:val="347410FE"/>
    <w:multiLevelType w:val="multilevel"/>
    <w:tmpl w:val="F782BC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AE6140"/>
    <w:multiLevelType w:val="multilevel"/>
    <w:tmpl w:val="0E5E97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Bid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3C2218"/>
    <w:multiLevelType w:val="multilevel"/>
    <w:tmpl w:val="0E5E97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Bid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441A1F"/>
    <w:multiLevelType w:val="multilevel"/>
    <w:tmpl w:val="F782BC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E143F7"/>
    <w:multiLevelType w:val="hybridMultilevel"/>
    <w:tmpl w:val="1F1023F8"/>
    <w:lvl w:ilvl="0" w:tplc="6298E67E">
      <w:start w:val="1"/>
      <w:numFmt w:val="lowerRoman"/>
      <w:lvlText w:val="%1."/>
      <w:lvlJc w:val="left"/>
      <w:pPr>
        <w:ind w:left="1512" w:hanging="72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2" w15:restartNumberingAfterBreak="0">
    <w:nsid w:val="4B774F4B"/>
    <w:multiLevelType w:val="hybridMultilevel"/>
    <w:tmpl w:val="9150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DB4B8A"/>
    <w:multiLevelType w:val="multilevel"/>
    <w:tmpl w:val="F782BC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052E92"/>
    <w:multiLevelType w:val="multilevel"/>
    <w:tmpl w:val="1BAAC978"/>
    <w:lvl w:ilvl="0">
      <w:start w:val="1"/>
      <w:numFmt w:val="decimal"/>
      <w:lvlText w:val="%1.0"/>
      <w:lvlJc w:val="left"/>
      <w:pPr>
        <w:ind w:left="495" w:hanging="495"/>
      </w:pPr>
      <w:rPr>
        <w:rFonts w:hint="default"/>
      </w:rPr>
    </w:lvl>
    <w:lvl w:ilvl="1">
      <w:start w:val="1"/>
      <w:numFmt w:val="bullet"/>
      <w:lvlText w:val=""/>
      <w:lvlJc w:val="left"/>
      <w:pPr>
        <w:ind w:left="1215" w:hanging="495"/>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DCF53A3"/>
    <w:multiLevelType w:val="multilevel"/>
    <w:tmpl w:val="F782BC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8C411E"/>
    <w:multiLevelType w:val="hybridMultilevel"/>
    <w:tmpl w:val="CE76085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5FB500A1"/>
    <w:multiLevelType w:val="hybridMultilevel"/>
    <w:tmpl w:val="47C0EC28"/>
    <w:lvl w:ilvl="0" w:tplc="43A45C82">
      <w:start w:val="1"/>
      <w:numFmt w:val="lowerRoman"/>
      <w:lvlText w:val="%1."/>
      <w:lvlJc w:val="left"/>
      <w:pPr>
        <w:ind w:left="1512" w:hanging="72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8" w15:restartNumberingAfterBreak="0">
    <w:nsid w:val="644037AA"/>
    <w:multiLevelType w:val="hybridMultilevel"/>
    <w:tmpl w:val="BA2262EA"/>
    <w:lvl w:ilvl="0" w:tplc="6AAE06E4">
      <w:start w:val="1"/>
      <w:numFmt w:val="lowerRoman"/>
      <w:lvlText w:val="%1."/>
      <w:lvlJc w:val="left"/>
      <w:pPr>
        <w:ind w:left="1512" w:hanging="72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9" w15:restartNumberingAfterBreak="0">
    <w:nsid w:val="65203C72"/>
    <w:multiLevelType w:val="hybridMultilevel"/>
    <w:tmpl w:val="C0228982"/>
    <w:lvl w:ilvl="0" w:tplc="D0CCBDC4">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7AD2395"/>
    <w:multiLevelType w:val="hybridMultilevel"/>
    <w:tmpl w:val="3F202DE0"/>
    <w:lvl w:ilvl="0" w:tplc="1BF6FE58">
      <w:start w:val="1"/>
      <w:numFmt w:val="lowerRoman"/>
      <w:lvlText w:val="%1."/>
      <w:lvlJc w:val="left"/>
      <w:pPr>
        <w:ind w:left="1944" w:hanging="720"/>
      </w:pPr>
      <w:rPr>
        <w:rFonts w:hint="default"/>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31" w15:restartNumberingAfterBreak="0">
    <w:nsid w:val="69262DB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354522"/>
    <w:multiLevelType w:val="hybridMultilevel"/>
    <w:tmpl w:val="16760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896AC5"/>
    <w:multiLevelType w:val="multilevel"/>
    <w:tmpl w:val="3A009E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asciiTheme="minorHAnsi" w:eastAsiaTheme="minorHAnsi" w:hAnsiTheme="minorHAnsi" w:cstheme="minorBid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EAE4B81"/>
    <w:multiLevelType w:val="hybridMultilevel"/>
    <w:tmpl w:val="CDCEE032"/>
    <w:lvl w:ilvl="0" w:tplc="79FAF3A6">
      <w:start w:val="1"/>
      <w:numFmt w:val="lowerRoman"/>
      <w:lvlText w:val="%1."/>
      <w:lvlJc w:val="left"/>
      <w:pPr>
        <w:ind w:left="1512" w:hanging="72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5" w15:restartNumberingAfterBreak="0">
    <w:nsid w:val="6EC12857"/>
    <w:multiLevelType w:val="hybridMultilevel"/>
    <w:tmpl w:val="CCD8F32E"/>
    <w:lvl w:ilvl="0" w:tplc="B16C063E">
      <w:start w:val="1"/>
      <w:numFmt w:val="lowerRoman"/>
      <w:lvlText w:val="%1."/>
      <w:lvlJc w:val="left"/>
      <w:pPr>
        <w:ind w:left="1944" w:hanging="720"/>
      </w:pPr>
      <w:rPr>
        <w:rFonts w:hint="default"/>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36" w15:restartNumberingAfterBreak="0">
    <w:nsid w:val="71CE2B3B"/>
    <w:multiLevelType w:val="hybridMultilevel"/>
    <w:tmpl w:val="E56CDCF0"/>
    <w:lvl w:ilvl="0" w:tplc="51C674D0">
      <w:start w:val="1"/>
      <w:numFmt w:val="lowerRoman"/>
      <w:lvlText w:val="%1."/>
      <w:lvlJc w:val="left"/>
      <w:pPr>
        <w:ind w:left="1944" w:hanging="720"/>
      </w:pPr>
      <w:rPr>
        <w:rFonts w:hint="default"/>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37" w15:restartNumberingAfterBreak="0">
    <w:nsid w:val="732F26C8"/>
    <w:multiLevelType w:val="hybridMultilevel"/>
    <w:tmpl w:val="653C33DC"/>
    <w:lvl w:ilvl="0" w:tplc="725CC54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81342A3"/>
    <w:multiLevelType w:val="multilevel"/>
    <w:tmpl w:val="F782BC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0D13A8"/>
    <w:multiLevelType w:val="hybridMultilevel"/>
    <w:tmpl w:val="40987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4030226">
    <w:abstractNumId w:val="31"/>
  </w:num>
  <w:num w:numId="2" w16cid:durableId="2021541753">
    <w:abstractNumId w:val="0"/>
  </w:num>
  <w:num w:numId="3" w16cid:durableId="2051027767">
    <w:abstractNumId w:val="22"/>
  </w:num>
  <w:num w:numId="4" w16cid:durableId="1882397887">
    <w:abstractNumId w:val="24"/>
  </w:num>
  <w:num w:numId="5" w16cid:durableId="1154028805">
    <w:abstractNumId w:val="12"/>
  </w:num>
  <w:num w:numId="6" w16cid:durableId="1999652305">
    <w:abstractNumId w:val="32"/>
  </w:num>
  <w:num w:numId="7" w16cid:durableId="1888907548">
    <w:abstractNumId w:val="39"/>
  </w:num>
  <w:num w:numId="8" w16cid:durableId="187715917">
    <w:abstractNumId w:val="7"/>
  </w:num>
  <w:num w:numId="9" w16cid:durableId="1909267923">
    <w:abstractNumId w:val="26"/>
  </w:num>
  <w:num w:numId="10" w16cid:durableId="536478568">
    <w:abstractNumId w:val="3"/>
  </w:num>
  <w:num w:numId="11" w16cid:durableId="1757288545">
    <w:abstractNumId w:val="33"/>
  </w:num>
  <w:num w:numId="12" w16cid:durableId="6249116">
    <w:abstractNumId w:val="8"/>
  </w:num>
  <w:num w:numId="13" w16cid:durableId="542640841">
    <w:abstractNumId w:val="4"/>
  </w:num>
  <w:num w:numId="14" w16cid:durableId="1664310388">
    <w:abstractNumId w:val="38"/>
  </w:num>
  <w:num w:numId="15" w16cid:durableId="775096647">
    <w:abstractNumId w:val="35"/>
  </w:num>
  <w:num w:numId="16" w16cid:durableId="439028274">
    <w:abstractNumId w:val="14"/>
  </w:num>
  <w:num w:numId="17" w16cid:durableId="1176463103">
    <w:abstractNumId w:val="20"/>
  </w:num>
  <w:num w:numId="18" w16cid:durableId="1071272021">
    <w:abstractNumId w:val="15"/>
  </w:num>
  <w:num w:numId="19" w16cid:durableId="2066292147">
    <w:abstractNumId w:val="21"/>
  </w:num>
  <w:num w:numId="20" w16cid:durableId="1690527453">
    <w:abstractNumId w:val="30"/>
  </w:num>
  <w:num w:numId="21" w16cid:durableId="1783570997">
    <w:abstractNumId w:val="11"/>
  </w:num>
  <w:num w:numId="22" w16cid:durableId="759718233">
    <w:abstractNumId w:val="36"/>
  </w:num>
  <w:num w:numId="23" w16cid:durableId="1247497062">
    <w:abstractNumId w:val="16"/>
  </w:num>
  <w:num w:numId="24" w16cid:durableId="887839741">
    <w:abstractNumId w:val="5"/>
  </w:num>
  <w:num w:numId="25" w16cid:durableId="2042973171">
    <w:abstractNumId w:val="2"/>
  </w:num>
  <w:num w:numId="26" w16cid:durableId="590162076">
    <w:abstractNumId w:val="29"/>
  </w:num>
  <w:num w:numId="27" w16cid:durableId="966860319">
    <w:abstractNumId w:val="27"/>
  </w:num>
  <w:num w:numId="28" w16cid:durableId="1457681766">
    <w:abstractNumId w:val="13"/>
  </w:num>
  <w:num w:numId="29" w16cid:durableId="1600723205">
    <w:abstractNumId w:val="23"/>
  </w:num>
  <w:num w:numId="30" w16cid:durableId="460196934">
    <w:abstractNumId w:val="28"/>
  </w:num>
  <w:num w:numId="31" w16cid:durableId="1812284884">
    <w:abstractNumId w:val="6"/>
  </w:num>
  <w:num w:numId="32" w16cid:durableId="1939483099">
    <w:abstractNumId w:val="25"/>
  </w:num>
  <w:num w:numId="33" w16cid:durableId="1035808060">
    <w:abstractNumId w:val="37"/>
  </w:num>
  <w:num w:numId="34" w16cid:durableId="527180176">
    <w:abstractNumId w:val="9"/>
  </w:num>
  <w:num w:numId="35" w16cid:durableId="1824470570">
    <w:abstractNumId w:val="17"/>
  </w:num>
  <w:num w:numId="36" w16cid:durableId="2122258288">
    <w:abstractNumId w:val="34"/>
  </w:num>
  <w:num w:numId="37" w16cid:durableId="1394700496">
    <w:abstractNumId w:val="1"/>
  </w:num>
  <w:num w:numId="38" w16cid:durableId="293371145">
    <w:abstractNumId w:val="10"/>
  </w:num>
  <w:num w:numId="39" w16cid:durableId="1759785216">
    <w:abstractNumId w:val="19"/>
  </w:num>
  <w:num w:numId="40" w16cid:durableId="4601531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0EA"/>
    <w:rsid w:val="0001224C"/>
    <w:rsid w:val="00052659"/>
    <w:rsid w:val="00076171"/>
    <w:rsid w:val="000A2399"/>
    <w:rsid w:val="000A2C1E"/>
    <w:rsid w:val="000A782E"/>
    <w:rsid w:val="000B7D45"/>
    <w:rsid w:val="000C7531"/>
    <w:rsid w:val="000E2D8B"/>
    <w:rsid w:val="001030EA"/>
    <w:rsid w:val="001311F2"/>
    <w:rsid w:val="00134FEB"/>
    <w:rsid w:val="0016741E"/>
    <w:rsid w:val="00174740"/>
    <w:rsid w:val="00191BA2"/>
    <w:rsid w:val="001A0B0B"/>
    <w:rsid w:val="001B27BC"/>
    <w:rsid w:val="001C7CB8"/>
    <w:rsid w:val="001D2A51"/>
    <w:rsid w:val="001D53B2"/>
    <w:rsid w:val="001E5B91"/>
    <w:rsid w:val="002126BF"/>
    <w:rsid w:val="00231A33"/>
    <w:rsid w:val="002400C9"/>
    <w:rsid w:val="00241C70"/>
    <w:rsid w:val="00244D70"/>
    <w:rsid w:val="00264400"/>
    <w:rsid w:val="002760A0"/>
    <w:rsid w:val="00296B4C"/>
    <w:rsid w:val="002B6B48"/>
    <w:rsid w:val="002D05FB"/>
    <w:rsid w:val="002E62BC"/>
    <w:rsid w:val="00301EA1"/>
    <w:rsid w:val="00304A5A"/>
    <w:rsid w:val="003203DB"/>
    <w:rsid w:val="00334415"/>
    <w:rsid w:val="00334AAA"/>
    <w:rsid w:val="003450B0"/>
    <w:rsid w:val="0034773F"/>
    <w:rsid w:val="003726A7"/>
    <w:rsid w:val="003C56F8"/>
    <w:rsid w:val="003D04D4"/>
    <w:rsid w:val="003F3FCE"/>
    <w:rsid w:val="003F5DE4"/>
    <w:rsid w:val="0040323C"/>
    <w:rsid w:val="004466CC"/>
    <w:rsid w:val="0045773B"/>
    <w:rsid w:val="00485AE6"/>
    <w:rsid w:val="004C32A9"/>
    <w:rsid w:val="004D1188"/>
    <w:rsid w:val="004D2600"/>
    <w:rsid w:val="004D6248"/>
    <w:rsid w:val="004D69EA"/>
    <w:rsid w:val="004E1038"/>
    <w:rsid w:val="00505ECE"/>
    <w:rsid w:val="00522E27"/>
    <w:rsid w:val="00524CE9"/>
    <w:rsid w:val="005265A5"/>
    <w:rsid w:val="005322CE"/>
    <w:rsid w:val="00536E5E"/>
    <w:rsid w:val="00546F16"/>
    <w:rsid w:val="005644C5"/>
    <w:rsid w:val="005853FE"/>
    <w:rsid w:val="0059275A"/>
    <w:rsid w:val="005A290A"/>
    <w:rsid w:val="005C70D4"/>
    <w:rsid w:val="005F1541"/>
    <w:rsid w:val="006033C7"/>
    <w:rsid w:val="00610842"/>
    <w:rsid w:val="0061109E"/>
    <w:rsid w:val="00624E8B"/>
    <w:rsid w:val="0063295F"/>
    <w:rsid w:val="00637B14"/>
    <w:rsid w:val="00661AA3"/>
    <w:rsid w:val="00683824"/>
    <w:rsid w:val="00687D12"/>
    <w:rsid w:val="00697492"/>
    <w:rsid w:val="006978FD"/>
    <w:rsid w:val="006B6F39"/>
    <w:rsid w:val="007118B7"/>
    <w:rsid w:val="00734B48"/>
    <w:rsid w:val="00771FA4"/>
    <w:rsid w:val="00784C7C"/>
    <w:rsid w:val="0079384E"/>
    <w:rsid w:val="007A4879"/>
    <w:rsid w:val="007A6461"/>
    <w:rsid w:val="007B2A28"/>
    <w:rsid w:val="007C1EC0"/>
    <w:rsid w:val="007C7AFF"/>
    <w:rsid w:val="007F3369"/>
    <w:rsid w:val="007F6C05"/>
    <w:rsid w:val="00810622"/>
    <w:rsid w:val="00824EB3"/>
    <w:rsid w:val="00833660"/>
    <w:rsid w:val="00836FF2"/>
    <w:rsid w:val="00841F3A"/>
    <w:rsid w:val="00852932"/>
    <w:rsid w:val="00876DB0"/>
    <w:rsid w:val="00881009"/>
    <w:rsid w:val="00883627"/>
    <w:rsid w:val="008A770E"/>
    <w:rsid w:val="008B71F2"/>
    <w:rsid w:val="008E7D0F"/>
    <w:rsid w:val="00900584"/>
    <w:rsid w:val="00906C77"/>
    <w:rsid w:val="00907FF6"/>
    <w:rsid w:val="009139FB"/>
    <w:rsid w:val="009352F1"/>
    <w:rsid w:val="00951D7A"/>
    <w:rsid w:val="0096127F"/>
    <w:rsid w:val="00967E4B"/>
    <w:rsid w:val="00980BC2"/>
    <w:rsid w:val="009F1856"/>
    <w:rsid w:val="00A153B3"/>
    <w:rsid w:val="00A20B2B"/>
    <w:rsid w:val="00A51FE2"/>
    <w:rsid w:val="00A53CC0"/>
    <w:rsid w:val="00A623B0"/>
    <w:rsid w:val="00A731DB"/>
    <w:rsid w:val="00A77A4D"/>
    <w:rsid w:val="00A944F8"/>
    <w:rsid w:val="00AC23A0"/>
    <w:rsid w:val="00AC2EE4"/>
    <w:rsid w:val="00AD75E2"/>
    <w:rsid w:val="00AE5194"/>
    <w:rsid w:val="00B13752"/>
    <w:rsid w:val="00B138D7"/>
    <w:rsid w:val="00B142DD"/>
    <w:rsid w:val="00B32505"/>
    <w:rsid w:val="00B41E47"/>
    <w:rsid w:val="00B54297"/>
    <w:rsid w:val="00B54794"/>
    <w:rsid w:val="00B843BD"/>
    <w:rsid w:val="00B9708F"/>
    <w:rsid w:val="00BA707A"/>
    <w:rsid w:val="00BC5F63"/>
    <w:rsid w:val="00BD14DE"/>
    <w:rsid w:val="00BD3AC2"/>
    <w:rsid w:val="00C069F2"/>
    <w:rsid w:val="00C12FF9"/>
    <w:rsid w:val="00C225B8"/>
    <w:rsid w:val="00C329B1"/>
    <w:rsid w:val="00C337ED"/>
    <w:rsid w:val="00C36FB7"/>
    <w:rsid w:val="00C452DA"/>
    <w:rsid w:val="00C80658"/>
    <w:rsid w:val="00C86120"/>
    <w:rsid w:val="00CA562E"/>
    <w:rsid w:val="00CD66EB"/>
    <w:rsid w:val="00CF0D13"/>
    <w:rsid w:val="00CF468D"/>
    <w:rsid w:val="00D2181F"/>
    <w:rsid w:val="00D375D1"/>
    <w:rsid w:val="00D5026B"/>
    <w:rsid w:val="00D52CC9"/>
    <w:rsid w:val="00D6087D"/>
    <w:rsid w:val="00D6343C"/>
    <w:rsid w:val="00D70A3F"/>
    <w:rsid w:val="00D73C23"/>
    <w:rsid w:val="00D7491F"/>
    <w:rsid w:val="00D86DEB"/>
    <w:rsid w:val="00D872C3"/>
    <w:rsid w:val="00DC1CCD"/>
    <w:rsid w:val="00DC2BB2"/>
    <w:rsid w:val="00DD6206"/>
    <w:rsid w:val="00DE02B1"/>
    <w:rsid w:val="00DF1957"/>
    <w:rsid w:val="00E06BDC"/>
    <w:rsid w:val="00E07ADA"/>
    <w:rsid w:val="00E12B7F"/>
    <w:rsid w:val="00E428F7"/>
    <w:rsid w:val="00E42DD4"/>
    <w:rsid w:val="00E45FAA"/>
    <w:rsid w:val="00E4737D"/>
    <w:rsid w:val="00E51277"/>
    <w:rsid w:val="00E56151"/>
    <w:rsid w:val="00E57323"/>
    <w:rsid w:val="00E729AB"/>
    <w:rsid w:val="00E76261"/>
    <w:rsid w:val="00E92E85"/>
    <w:rsid w:val="00E952AE"/>
    <w:rsid w:val="00E97793"/>
    <w:rsid w:val="00EC4D03"/>
    <w:rsid w:val="00EF42B2"/>
    <w:rsid w:val="00F00D86"/>
    <w:rsid w:val="00F02525"/>
    <w:rsid w:val="00F07253"/>
    <w:rsid w:val="00F426F7"/>
    <w:rsid w:val="00F633FC"/>
    <w:rsid w:val="00F636FA"/>
    <w:rsid w:val="00F910D7"/>
    <w:rsid w:val="00F97890"/>
    <w:rsid w:val="00FA3750"/>
    <w:rsid w:val="00FA3F23"/>
    <w:rsid w:val="00FA49A7"/>
    <w:rsid w:val="00FC7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1DB59"/>
  <w15:docId w15:val="{D94C4C89-DB83-49E9-A7F1-7583698C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531"/>
  </w:style>
  <w:style w:type="paragraph" w:styleId="Heading1">
    <w:name w:val="heading 1"/>
    <w:basedOn w:val="Normal"/>
    <w:next w:val="Normal"/>
    <w:link w:val="Heading1Char"/>
    <w:uiPriority w:val="9"/>
    <w:qFormat/>
    <w:rsid w:val="00876DB0"/>
    <w:pPr>
      <w:keepNext/>
      <w:keepLines/>
      <w:spacing w:before="480" w:after="0"/>
      <w:outlineLvl w:val="0"/>
    </w:pPr>
    <w:rPr>
      <w:rFonts w:asciiTheme="majorHAnsi" w:eastAsiaTheme="majorEastAsia" w:hAnsiTheme="majorHAnsi" w:cstheme="majorBidi"/>
      <w:b/>
      <w:bCs/>
      <w:color w:val="21003E" w:themeColor="accent1" w:themeShade="BF"/>
      <w:sz w:val="28"/>
      <w:szCs w:val="28"/>
    </w:rPr>
  </w:style>
  <w:style w:type="paragraph" w:styleId="Heading2">
    <w:name w:val="heading 2"/>
    <w:basedOn w:val="Normal"/>
    <w:next w:val="Normal"/>
    <w:link w:val="Heading2Char"/>
    <w:uiPriority w:val="9"/>
    <w:unhideWhenUsed/>
    <w:qFormat/>
    <w:rsid w:val="00637B14"/>
    <w:pPr>
      <w:keepNext/>
      <w:keepLines/>
      <w:spacing w:before="200" w:after="0"/>
      <w:outlineLvl w:val="1"/>
    </w:pPr>
    <w:rPr>
      <w:rFonts w:asciiTheme="majorHAnsi" w:eastAsiaTheme="majorEastAsia" w:hAnsiTheme="majorHAnsi" w:cstheme="majorBidi"/>
      <w:b/>
      <w:bCs/>
      <w:color w:val="2D005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0EA"/>
  </w:style>
  <w:style w:type="paragraph" w:styleId="Footer">
    <w:name w:val="footer"/>
    <w:basedOn w:val="Normal"/>
    <w:link w:val="FooterChar"/>
    <w:uiPriority w:val="99"/>
    <w:unhideWhenUsed/>
    <w:rsid w:val="00103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0EA"/>
  </w:style>
  <w:style w:type="paragraph" w:styleId="BalloonText">
    <w:name w:val="Balloon Text"/>
    <w:basedOn w:val="Normal"/>
    <w:link w:val="BalloonTextChar"/>
    <w:uiPriority w:val="99"/>
    <w:semiHidden/>
    <w:unhideWhenUsed/>
    <w:rsid w:val="00103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0EA"/>
    <w:rPr>
      <w:rFonts w:ascii="Tahoma" w:hAnsi="Tahoma" w:cs="Tahoma"/>
      <w:sz w:val="16"/>
      <w:szCs w:val="16"/>
    </w:rPr>
  </w:style>
  <w:style w:type="table" w:styleId="TableGrid">
    <w:name w:val="Table Grid"/>
    <w:basedOn w:val="TableNormal"/>
    <w:uiPriority w:val="59"/>
    <w:rsid w:val="00961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96127F"/>
    <w:pPr>
      <w:spacing w:after="0" w:line="240" w:lineRule="auto"/>
    </w:pPr>
    <w:tblPr>
      <w:tblStyleRowBandSize w:val="1"/>
      <w:tblStyleColBandSize w:val="1"/>
      <w:tblBorders>
        <w:top w:val="single" w:sz="8" w:space="0" w:color="00CC00" w:themeColor="accent3"/>
        <w:left w:val="single" w:sz="8" w:space="0" w:color="00CC00" w:themeColor="accent3"/>
        <w:bottom w:val="single" w:sz="8" w:space="0" w:color="00CC00" w:themeColor="accent3"/>
        <w:right w:val="single" w:sz="8" w:space="0" w:color="00CC00" w:themeColor="accent3"/>
      </w:tblBorders>
    </w:tblPr>
    <w:tblStylePr w:type="firstRow">
      <w:pPr>
        <w:spacing w:before="0" w:after="0" w:line="240" w:lineRule="auto"/>
      </w:pPr>
      <w:rPr>
        <w:b/>
        <w:bCs/>
        <w:color w:val="FFFFFF" w:themeColor="background1"/>
      </w:rPr>
      <w:tblPr/>
      <w:tcPr>
        <w:shd w:val="clear" w:color="auto" w:fill="00CC00" w:themeFill="accent3"/>
      </w:tcPr>
    </w:tblStylePr>
    <w:tblStylePr w:type="lastRow">
      <w:pPr>
        <w:spacing w:before="0" w:after="0" w:line="240" w:lineRule="auto"/>
      </w:pPr>
      <w:rPr>
        <w:b/>
        <w:bCs/>
      </w:rPr>
      <w:tblPr/>
      <w:tcPr>
        <w:tcBorders>
          <w:top w:val="double" w:sz="6" w:space="0" w:color="00CC00" w:themeColor="accent3"/>
          <w:left w:val="single" w:sz="8" w:space="0" w:color="00CC00" w:themeColor="accent3"/>
          <w:bottom w:val="single" w:sz="8" w:space="0" w:color="00CC00" w:themeColor="accent3"/>
          <w:right w:val="single" w:sz="8" w:space="0" w:color="00CC00" w:themeColor="accent3"/>
        </w:tcBorders>
      </w:tcPr>
    </w:tblStylePr>
    <w:tblStylePr w:type="firstCol">
      <w:rPr>
        <w:b/>
        <w:bCs/>
      </w:rPr>
    </w:tblStylePr>
    <w:tblStylePr w:type="lastCol">
      <w:rPr>
        <w:b/>
        <w:bCs/>
      </w:rPr>
    </w:tblStylePr>
    <w:tblStylePr w:type="band1Vert">
      <w:tblPr/>
      <w:tcPr>
        <w:tcBorders>
          <w:top w:val="single" w:sz="8" w:space="0" w:color="00CC00" w:themeColor="accent3"/>
          <w:left w:val="single" w:sz="8" w:space="0" w:color="00CC00" w:themeColor="accent3"/>
          <w:bottom w:val="single" w:sz="8" w:space="0" w:color="00CC00" w:themeColor="accent3"/>
          <w:right w:val="single" w:sz="8" w:space="0" w:color="00CC00" w:themeColor="accent3"/>
        </w:tcBorders>
      </w:tcPr>
    </w:tblStylePr>
    <w:tblStylePr w:type="band1Horz">
      <w:tblPr/>
      <w:tcPr>
        <w:tcBorders>
          <w:top w:val="single" w:sz="8" w:space="0" w:color="00CC00" w:themeColor="accent3"/>
          <w:left w:val="single" w:sz="8" w:space="0" w:color="00CC00" w:themeColor="accent3"/>
          <w:bottom w:val="single" w:sz="8" w:space="0" w:color="00CC00" w:themeColor="accent3"/>
          <w:right w:val="single" w:sz="8" w:space="0" w:color="00CC00" w:themeColor="accent3"/>
        </w:tcBorders>
      </w:tcPr>
    </w:tblStylePr>
  </w:style>
  <w:style w:type="character" w:customStyle="1" w:styleId="Heading1Char">
    <w:name w:val="Heading 1 Char"/>
    <w:basedOn w:val="DefaultParagraphFont"/>
    <w:link w:val="Heading1"/>
    <w:uiPriority w:val="9"/>
    <w:rsid w:val="00876DB0"/>
    <w:rPr>
      <w:rFonts w:asciiTheme="majorHAnsi" w:eastAsiaTheme="majorEastAsia" w:hAnsiTheme="majorHAnsi" w:cstheme="majorBidi"/>
      <w:b/>
      <w:bCs/>
      <w:color w:val="21003E" w:themeColor="accent1" w:themeShade="BF"/>
      <w:sz w:val="28"/>
      <w:szCs w:val="28"/>
    </w:rPr>
  </w:style>
  <w:style w:type="paragraph" w:styleId="TOCHeading">
    <w:name w:val="TOC Heading"/>
    <w:basedOn w:val="Heading1"/>
    <w:next w:val="Normal"/>
    <w:uiPriority w:val="39"/>
    <w:unhideWhenUsed/>
    <w:qFormat/>
    <w:rsid w:val="00876DB0"/>
    <w:pPr>
      <w:outlineLvl w:val="9"/>
    </w:pPr>
    <w:rPr>
      <w:lang w:val="en-US" w:eastAsia="ja-JP"/>
    </w:rPr>
  </w:style>
  <w:style w:type="paragraph" w:styleId="TOC1">
    <w:name w:val="toc 1"/>
    <w:basedOn w:val="Normal"/>
    <w:next w:val="Normal"/>
    <w:autoRedefine/>
    <w:uiPriority w:val="39"/>
    <w:unhideWhenUsed/>
    <w:rsid w:val="00A731DB"/>
    <w:pPr>
      <w:spacing w:after="100"/>
    </w:pPr>
  </w:style>
  <w:style w:type="character" w:styleId="Hyperlink">
    <w:name w:val="Hyperlink"/>
    <w:basedOn w:val="DefaultParagraphFont"/>
    <w:uiPriority w:val="99"/>
    <w:unhideWhenUsed/>
    <w:rsid w:val="00A731DB"/>
    <w:rPr>
      <w:color w:val="0070C0" w:themeColor="hyperlink"/>
      <w:u w:val="single"/>
    </w:rPr>
  </w:style>
  <w:style w:type="table" w:styleId="LightList-Accent1">
    <w:name w:val="Light List Accent 1"/>
    <w:basedOn w:val="TableNormal"/>
    <w:uiPriority w:val="61"/>
    <w:rsid w:val="00A731DB"/>
    <w:pPr>
      <w:spacing w:after="0" w:line="240" w:lineRule="auto"/>
    </w:pPr>
    <w:tblPr>
      <w:tblStyleRowBandSize w:val="1"/>
      <w:tblStyleColBandSize w:val="1"/>
      <w:tblBorders>
        <w:top w:val="single" w:sz="8" w:space="0" w:color="2D0054" w:themeColor="accent1"/>
        <w:left w:val="single" w:sz="8" w:space="0" w:color="2D0054" w:themeColor="accent1"/>
        <w:bottom w:val="single" w:sz="8" w:space="0" w:color="2D0054" w:themeColor="accent1"/>
        <w:right w:val="single" w:sz="8" w:space="0" w:color="2D0054" w:themeColor="accent1"/>
      </w:tblBorders>
    </w:tblPr>
    <w:tblStylePr w:type="firstRow">
      <w:pPr>
        <w:spacing w:before="0" w:after="0" w:line="240" w:lineRule="auto"/>
      </w:pPr>
      <w:rPr>
        <w:b/>
        <w:bCs/>
        <w:color w:val="FFFFFF" w:themeColor="background1"/>
      </w:rPr>
      <w:tblPr/>
      <w:tcPr>
        <w:shd w:val="clear" w:color="auto" w:fill="2D0054" w:themeFill="accent1"/>
      </w:tcPr>
    </w:tblStylePr>
    <w:tblStylePr w:type="lastRow">
      <w:pPr>
        <w:spacing w:before="0" w:after="0" w:line="240" w:lineRule="auto"/>
      </w:pPr>
      <w:rPr>
        <w:b/>
        <w:bCs/>
      </w:rPr>
      <w:tblPr/>
      <w:tcPr>
        <w:tcBorders>
          <w:top w:val="double" w:sz="6" w:space="0" w:color="2D0054" w:themeColor="accent1"/>
          <w:left w:val="single" w:sz="8" w:space="0" w:color="2D0054" w:themeColor="accent1"/>
          <w:bottom w:val="single" w:sz="8" w:space="0" w:color="2D0054" w:themeColor="accent1"/>
          <w:right w:val="single" w:sz="8" w:space="0" w:color="2D0054" w:themeColor="accent1"/>
        </w:tcBorders>
      </w:tcPr>
    </w:tblStylePr>
    <w:tblStylePr w:type="firstCol">
      <w:rPr>
        <w:b/>
        <w:bCs/>
      </w:rPr>
    </w:tblStylePr>
    <w:tblStylePr w:type="lastCol">
      <w:rPr>
        <w:b/>
        <w:bCs/>
      </w:rPr>
    </w:tblStylePr>
    <w:tblStylePr w:type="band1Vert">
      <w:tblPr/>
      <w:tcPr>
        <w:tcBorders>
          <w:top w:val="single" w:sz="8" w:space="0" w:color="2D0054" w:themeColor="accent1"/>
          <w:left w:val="single" w:sz="8" w:space="0" w:color="2D0054" w:themeColor="accent1"/>
          <w:bottom w:val="single" w:sz="8" w:space="0" w:color="2D0054" w:themeColor="accent1"/>
          <w:right w:val="single" w:sz="8" w:space="0" w:color="2D0054" w:themeColor="accent1"/>
        </w:tcBorders>
      </w:tcPr>
    </w:tblStylePr>
    <w:tblStylePr w:type="band1Horz">
      <w:tblPr/>
      <w:tcPr>
        <w:tcBorders>
          <w:top w:val="single" w:sz="8" w:space="0" w:color="2D0054" w:themeColor="accent1"/>
          <w:left w:val="single" w:sz="8" w:space="0" w:color="2D0054" w:themeColor="accent1"/>
          <w:bottom w:val="single" w:sz="8" w:space="0" w:color="2D0054" w:themeColor="accent1"/>
          <w:right w:val="single" w:sz="8" w:space="0" w:color="2D0054" w:themeColor="accent1"/>
        </w:tcBorders>
      </w:tcPr>
    </w:tblStylePr>
  </w:style>
  <w:style w:type="paragraph" w:styleId="NormalWeb">
    <w:name w:val="Normal (Web)"/>
    <w:basedOn w:val="Normal"/>
    <w:uiPriority w:val="99"/>
    <w:semiHidden/>
    <w:unhideWhenUsed/>
    <w:rsid w:val="00661A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1"/>
    <w:qFormat/>
    <w:rsid w:val="00505ECE"/>
    <w:pPr>
      <w:ind w:left="720"/>
      <w:contextualSpacing/>
    </w:pPr>
  </w:style>
  <w:style w:type="character" w:customStyle="1" w:styleId="Heading2Char">
    <w:name w:val="Heading 2 Char"/>
    <w:basedOn w:val="DefaultParagraphFont"/>
    <w:link w:val="Heading2"/>
    <w:uiPriority w:val="9"/>
    <w:rsid w:val="00637B14"/>
    <w:rPr>
      <w:rFonts w:asciiTheme="majorHAnsi" w:eastAsiaTheme="majorEastAsia" w:hAnsiTheme="majorHAnsi" w:cstheme="majorBidi"/>
      <w:b/>
      <w:bCs/>
      <w:color w:val="2D0054" w:themeColor="accent1"/>
      <w:sz w:val="26"/>
      <w:szCs w:val="26"/>
    </w:rPr>
  </w:style>
  <w:style w:type="paragraph" w:styleId="TOC2">
    <w:name w:val="toc 2"/>
    <w:basedOn w:val="Normal"/>
    <w:next w:val="Normal"/>
    <w:autoRedefine/>
    <w:uiPriority w:val="39"/>
    <w:unhideWhenUsed/>
    <w:rsid w:val="00841F3A"/>
    <w:pPr>
      <w:spacing w:after="100"/>
      <w:ind w:left="220"/>
    </w:pPr>
  </w:style>
  <w:style w:type="paragraph" w:styleId="NoSpacing">
    <w:name w:val="No Spacing"/>
    <w:uiPriority w:val="1"/>
    <w:qFormat/>
    <w:rsid w:val="00841F3A"/>
    <w:pPr>
      <w:spacing w:after="0" w:line="240" w:lineRule="auto"/>
    </w:pPr>
  </w:style>
  <w:style w:type="character" w:styleId="CommentReference">
    <w:name w:val="annotation reference"/>
    <w:basedOn w:val="DefaultParagraphFont"/>
    <w:uiPriority w:val="99"/>
    <w:semiHidden/>
    <w:unhideWhenUsed/>
    <w:rsid w:val="008A770E"/>
    <w:rPr>
      <w:sz w:val="16"/>
      <w:szCs w:val="16"/>
    </w:rPr>
  </w:style>
  <w:style w:type="paragraph" w:styleId="CommentText">
    <w:name w:val="annotation text"/>
    <w:basedOn w:val="Normal"/>
    <w:link w:val="CommentTextChar"/>
    <w:uiPriority w:val="99"/>
    <w:unhideWhenUsed/>
    <w:rsid w:val="008A770E"/>
    <w:pPr>
      <w:spacing w:line="240" w:lineRule="auto"/>
    </w:pPr>
    <w:rPr>
      <w:sz w:val="20"/>
      <w:szCs w:val="20"/>
    </w:rPr>
  </w:style>
  <w:style w:type="character" w:customStyle="1" w:styleId="CommentTextChar">
    <w:name w:val="Comment Text Char"/>
    <w:basedOn w:val="DefaultParagraphFont"/>
    <w:link w:val="CommentText"/>
    <w:uiPriority w:val="99"/>
    <w:rsid w:val="008A770E"/>
    <w:rPr>
      <w:sz w:val="20"/>
      <w:szCs w:val="20"/>
    </w:rPr>
  </w:style>
  <w:style w:type="paragraph" w:styleId="CommentSubject">
    <w:name w:val="annotation subject"/>
    <w:basedOn w:val="CommentText"/>
    <w:next w:val="CommentText"/>
    <w:link w:val="CommentSubjectChar"/>
    <w:uiPriority w:val="99"/>
    <w:semiHidden/>
    <w:unhideWhenUsed/>
    <w:rsid w:val="008A770E"/>
    <w:rPr>
      <w:b/>
      <w:bCs/>
    </w:rPr>
  </w:style>
  <w:style w:type="character" w:customStyle="1" w:styleId="CommentSubjectChar">
    <w:name w:val="Comment Subject Char"/>
    <w:basedOn w:val="CommentTextChar"/>
    <w:link w:val="CommentSubject"/>
    <w:uiPriority w:val="99"/>
    <w:semiHidden/>
    <w:rsid w:val="008A770E"/>
    <w:rPr>
      <w:b/>
      <w:bCs/>
      <w:sz w:val="20"/>
      <w:szCs w:val="20"/>
    </w:rPr>
  </w:style>
  <w:style w:type="character" w:styleId="UnresolvedMention">
    <w:name w:val="Unresolved Mention"/>
    <w:basedOn w:val="DefaultParagraphFont"/>
    <w:uiPriority w:val="99"/>
    <w:semiHidden/>
    <w:unhideWhenUsed/>
    <w:rsid w:val="00D6087D"/>
    <w:rPr>
      <w:color w:val="605E5C"/>
      <w:shd w:val="clear" w:color="auto" w:fill="E1DFDD"/>
    </w:rPr>
  </w:style>
  <w:style w:type="paragraph" w:styleId="Revision">
    <w:name w:val="Revision"/>
    <w:hidden/>
    <w:uiPriority w:val="99"/>
    <w:semiHidden/>
    <w:rsid w:val="00522E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277512">
      <w:bodyDiv w:val="1"/>
      <w:marLeft w:val="0"/>
      <w:marRight w:val="0"/>
      <w:marTop w:val="0"/>
      <w:marBottom w:val="0"/>
      <w:divBdr>
        <w:top w:val="none" w:sz="0" w:space="0" w:color="auto"/>
        <w:left w:val="none" w:sz="0" w:space="0" w:color="auto"/>
        <w:bottom w:val="none" w:sz="0" w:space="0" w:color="auto"/>
        <w:right w:val="none" w:sz="0" w:space="0" w:color="auto"/>
      </w:divBdr>
    </w:div>
    <w:div w:id="213320271">
      <w:bodyDiv w:val="1"/>
      <w:marLeft w:val="0"/>
      <w:marRight w:val="0"/>
      <w:marTop w:val="0"/>
      <w:marBottom w:val="0"/>
      <w:divBdr>
        <w:top w:val="none" w:sz="0" w:space="0" w:color="auto"/>
        <w:left w:val="none" w:sz="0" w:space="0" w:color="auto"/>
        <w:bottom w:val="none" w:sz="0" w:space="0" w:color="auto"/>
        <w:right w:val="none" w:sz="0" w:space="0" w:color="auto"/>
      </w:divBdr>
    </w:div>
    <w:div w:id="366101180">
      <w:bodyDiv w:val="1"/>
      <w:marLeft w:val="0"/>
      <w:marRight w:val="0"/>
      <w:marTop w:val="0"/>
      <w:marBottom w:val="0"/>
      <w:divBdr>
        <w:top w:val="none" w:sz="0" w:space="0" w:color="auto"/>
        <w:left w:val="none" w:sz="0" w:space="0" w:color="auto"/>
        <w:bottom w:val="none" w:sz="0" w:space="0" w:color="auto"/>
        <w:right w:val="none" w:sz="0" w:space="0" w:color="auto"/>
      </w:divBdr>
    </w:div>
    <w:div w:id="386882877">
      <w:bodyDiv w:val="1"/>
      <w:marLeft w:val="0"/>
      <w:marRight w:val="0"/>
      <w:marTop w:val="0"/>
      <w:marBottom w:val="0"/>
      <w:divBdr>
        <w:top w:val="none" w:sz="0" w:space="0" w:color="auto"/>
        <w:left w:val="none" w:sz="0" w:space="0" w:color="auto"/>
        <w:bottom w:val="none" w:sz="0" w:space="0" w:color="auto"/>
        <w:right w:val="none" w:sz="0" w:space="0" w:color="auto"/>
      </w:divBdr>
    </w:div>
    <w:div w:id="397290846">
      <w:bodyDiv w:val="1"/>
      <w:marLeft w:val="0"/>
      <w:marRight w:val="0"/>
      <w:marTop w:val="0"/>
      <w:marBottom w:val="0"/>
      <w:divBdr>
        <w:top w:val="none" w:sz="0" w:space="0" w:color="auto"/>
        <w:left w:val="none" w:sz="0" w:space="0" w:color="auto"/>
        <w:bottom w:val="none" w:sz="0" w:space="0" w:color="auto"/>
        <w:right w:val="none" w:sz="0" w:space="0" w:color="auto"/>
      </w:divBdr>
    </w:div>
    <w:div w:id="423455323">
      <w:bodyDiv w:val="1"/>
      <w:marLeft w:val="0"/>
      <w:marRight w:val="0"/>
      <w:marTop w:val="0"/>
      <w:marBottom w:val="0"/>
      <w:divBdr>
        <w:top w:val="none" w:sz="0" w:space="0" w:color="auto"/>
        <w:left w:val="none" w:sz="0" w:space="0" w:color="auto"/>
        <w:bottom w:val="none" w:sz="0" w:space="0" w:color="auto"/>
        <w:right w:val="none" w:sz="0" w:space="0" w:color="auto"/>
      </w:divBdr>
    </w:div>
    <w:div w:id="451870955">
      <w:bodyDiv w:val="1"/>
      <w:marLeft w:val="0"/>
      <w:marRight w:val="0"/>
      <w:marTop w:val="0"/>
      <w:marBottom w:val="0"/>
      <w:divBdr>
        <w:top w:val="none" w:sz="0" w:space="0" w:color="auto"/>
        <w:left w:val="none" w:sz="0" w:space="0" w:color="auto"/>
        <w:bottom w:val="none" w:sz="0" w:space="0" w:color="auto"/>
        <w:right w:val="none" w:sz="0" w:space="0" w:color="auto"/>
      </w:divBdr>
    </w:div>
    <w:div w:id="503861651">
      <w:bodyDiv w:val="1"/>
      <w:marLeft w:val="0"/>
      <w:marRight w:val="0"/>
      <w:marTop w:val="0"/>
      <w:marBottom w:val="0"/>
      <w:divBdr>
        <w:top w:val="none" w:sz="0" w:space="0" w:color="auto"/>
        <w:left w:val="none" w:sz="0" w:space="0" w:color="auto"/>
        <w:bottom w:val="none" w:sz="0" w:space="0" w:color="auto"/>
        <w:right w:val="none" w:sz="0" w:space="0" w:color="auto"/>
      </w:divBdr>
    </w:div>
    <w:div w:id="521550880">
      <w:bodyDiv w:val="1"/>
      <w:marLeft w:val="0"/>
      <w:marRight w:val="0"/>
      <w:marTop w:val="0"/>
      <w:marBottom w:val="0"/>
      <w:divBdr>
        <w:top w:val="none" w:sz="0" w:space="0" w:color="auto"/>
        <w:left w:val="none" w:sz="0" w:space="0" w:color="auto"/>
        <w:bottom w:val="none" w:sz="0" w:space="0" w:color="auto"/>
        <w:right w:val="none" w:sz="0" w:space="0" w:color="auto"/>
      </w:divBdr>
    </w:div>
    <w:div w:id="581567504">
      <w:bodyDiv w:val="1"/>
      <w:marLeft w:val="0"/>
      <w:marRight w:val="0"/>
      <w:marTop w:val="0"/>
      <w:marBottom w:val="0"/>
      <w:divBdr>
        <w:top w:val="none" w:sz="0" w:space="0" w:color="auto"/>
        <w:left w:val="none" w:sz="0" w:space="0" w:color="auto"/>
        <w:bottom w:val="none" w:sz="0" w:space="0" w:color="auto"/>
        <w:right w:val="none" w:sz="0" w:space="0" w:color="auto"/>
      </w:divBdr>
    </w:div>
    <w:div w:id="620192384">
      <w:bodyDiv w:val="1"/>
      <w:marLeft w:val="0"/>
      <w:marRight w:val="0"/>
      <w:marTop w:val="0"/>
      <w:marBottom w:val="0"/>
      <w:divBdr>
        <w:top w:val="none" w:sz="0" w:space="0" w:color="auto"/>
        <w:left w:val="none" w:sz="0" w:space="0" w:color="auto"/>
        <w:bottom w:val="none" w:sz="0" w:space="0" w:color="auto"/>
        <w:right w:val="none" w:sz="0" w:space="0" w:color="auto"/>
      </w:divBdr>
    </w:div>
    <w:div w:id="659964740">
      <w:bodyDiv w:val="1"/>
      <w:marLeft w:val="0"/>
      <w:marRight w:val="0"/>
      <w:marTop w:val="0"/>
      <w:marBottom w:val="0"/>
      <w:divBdr>
        <w:top w:val="none" w:sz="0" w:space="0" w:color="auto"/>
        <w:left w:val="none" w:sz="0" w:space="0" w:color="auto"/>
        <w:bottom w:val="none" w:sz="0" w:space="0" w:color="auto"/>
        <w:right w:val="none" w:sz="0" w:space="0" w:color="auto"/>
      </w:divBdr>
    </w:div>
    <w:div w:id="683089008">
      <w:bodyDiv w:val="1"/>
      <w:marLeft w:val="0"/>
      <w:marRight w:val="0"/>
      <w:marTop w:val="0"/>
      <w:marBottom w:val="0"/>
      <w:divBdr>
        <w:top w:val="none" w:sz="0" w:space="0" w:color="auto"/>
        <w:left w:val="none" w:sz="0" w:space="0" w:color="auto"/>
        <w:bottom w:val="none" w:sz="0" w:space="0" w:color="auto"/>
        <w:right w:val="none" w:sz="0" w:space="0" w:color="auto"/>
      </w:divBdr>
    </w:div>
    <w:div w:id="689180016">
      <w:bodyDiv w:val="1"/>
      <w:marLeft w:val="0"/>
      <w:marRight w:val="0"/>
      <w:marTop w:val="0"/>
      <w:marBottom w:val="0"/>
      <w:divBdr>
        <w:top w:val="none" w:sz="0" w:space="0" w:color="auto"/>
        <w:left w:val="none" w:sz="0" w:space="0" w:color="auto"/>
        <w:bottom w:val="none" w:sz="0" w:space="0" w:color="auto"/>
        <w:right w:val="none" w:sz="0" w:space="0" w:color="auto"/>
      </w:divBdr>
    </w:div>
    <w:div w:id="720636787">
      <w:bodyDiv w:val="1"/>
      <w:marLeft w:val="0"/>
      <w:marRight w:val="0"/>
      <w:marTop w:val="0"/>
      <w:marBottom w:val="0"/>
      <w:divBdr>
        <w:top w:val="none" w:sz="0" w:space="0" w:color="auto"/>
        <w:left w:val="none" w:sz="0" w:space="0" w:color="auto"/>
        <w:bottom w:val="none" w:sz="0" w:space="0" w:color="auto"/>
        <w:right w:val="none" w:sz="0" w:space="0" w:color="auto"/>
      </w:divBdr>
    </w:div>
    <w:div w:id="734818403">
      <w:bodyDiv w:val="1"/>
      <w:marLeft w:val="0"/>
      <w:marRight w:val="0"/>
      <w:marTop w:val="0"/>
      <w:marBottom w:val="0"/>
      <w:divBdr>
        <w:top w:val="none" w:sz="0" w:space="0" w:color="auto"/>
        <w:left w:val="none" w:sz="0" w:space="0" w:color="auto"/>
        <w:bottom w:val="none" w:sz="0" w:space="0" w:color="auto"/>
        <w:right w:val="none" w:sz="0" w:space="0" w:color="auto"/>
      </w:divBdr>
    </w:div>
    <w:div w:id="759910852">
      <w:bodyDiv w:val="1"/>
      <w:marLeft w:val="0"/>
      <w:marRight w:val="0"/>
      <w:marTop w:val="0"/>
      <w:marBottom w:val="0"/>
      <w:divBdr>
        <w:top w:val="none" w:sz="0" w:space="0" w:color="auto"/>
        <w:left w:val="none" w:sz="0" w:space="0" w:color="auto"/>
        <w:bottom w:val="none" w:sz="0" w:space="0" w:color="auto"/>
        <w:right w:val="none" w:sz="0" w:space="0" w:color="auto"/>
      </w:divBdr>
    </w:div>
    <w:div w:id="869224071">
      <w:bodyDiv w:val="1"/>
      <w:marLeft w:val="0"/>
      <w:marRight w:val="0"/>
      <w:marTop w:val="0"/>
      <w:marBottom w:val="0"/>
      <w:divBdr>
        <w:top w:val="none" w:sz="0" w:space="0" w:color="auto"/>
        <w:left w:val="none" w:sz="0" w:space="0" w:color="auto"/>
        <w:bottom w:val="none" w:sz="0" w:space="0" w:color="auto"/>
        <w:right w:val="none" w:sz="0" w:space="0" w:color="auto"/>
      </w:divBdr>
    </w:div>
    <w:div w:id="1144815283">
      <w:bodyDiv w:val="1"/>
      <w:marLeft w:val="0"/>
      <w:marRight w:val="0"/>
      <w:marTop w:val="0"/>
      <w:marBottom w:val="0"/>
      <w:divBdr>
        <w:top w:val="none" w:sz="0" w:space="0" w:color="auto"/>
        <w:left w:val="none" w:sz="0" w:space="0" w:color="auto"/>
        <w:bottom w:val="none" w:sz="0" w:space="0" w:color="auto"/>
        <w:right w:val="none" w:sz="0" w:space="0" w:color="auto"/>
      </w:divBdr>
    </w:div>
    <w:div w:id="1147357316">
      <w:bodyDiv w:val="1"/>
      <w:marLeft w:val="0"/>
      <w:marRight w:val="0"/>
      <w:marTop w:val="0"/>
      <w:marBottom w:val="0"/>
      <w:divBdr>
        <w:top w:val="none" w:sz="0" w:space="0" w:color="auto"/>
        <w:left w:val="none" w:sz="0" w:space="0" w:color="auto"/>
        <w:bottom w:val="none" w:sz="0" w:space="0" w:color="auto"/>
        <w:right w:val="none" w:sz="0" w:space="0" w:color="auto"/>
      </w:divBdr>
    </w:div>
    <w:div w:id="1158961085">
      <w:bodyDiv w:val="1"/>
      <w:marLeft w:val="0"/>
      <w:marRight w:val="0"/>
      <w:marTop w:val="0"/>
      <w:marBottom w:val="0"/>
      <w:divBdr>
        <w:top w:val="none" w:sz="0" w:space="0" w:color="auto"/>
        <w:left w:val="none" w:sz="0" w:space="0" w:color="auto"/>
        <w:bottom w:val="none" w:sz="0" w:space="0" w:color="auto"/>
        <w:right w:val="none" w:sz="0" w:space="0" w:color="auto"/>
      </w:divBdr>
    </w:div>
    <w:div w:id="1222014666">
      <w:bodyDiv w:val="1"/>
      <w:marLeft w:val="0"/>
      <w:marRight w:val="0"/>
      <w:marTop w:val="0"/>
      <w:marBottom w:val="0"/>
      <w:divBdr>
        <w:top w:val="none" w:sz="0" w:space="0" w:color="auto"/>
        <w:left w:val="none" w:sz="0" w:space="0" w:color="auto"/>
        <w:bottom w:val="none" w:sz="0" w:space="0" w:color="auto"/>
        <w:right w:val="none" w:sz="0" w:space="0" w:color="auto"/>
      </w:divBdr>
    </w:div>
    <w:div w:id="1264341886">
      <w:bodyDiv w:val="1"/>
      <w:marLeft w:val="0"/>
      <w:marRight w:val="0"/>
      <w:marTop w:val="0"/>
      <w:marBottom w:val="0"/>
      <w:divBdr>
        <w:top w:val="none" w:sz="0" w:space="0" w:color="auto"/>
        <w:left w:val="none" w:sz="0" w:space="0" w:color="auto"/>
        <w:bottom w:val="none" w:sz="0" w:space="0" w:color="auto"/>
        <w:right w:val="none" w:sz="0" w:space="0" w:color="auto"/>
      </w:divBdr>
    </w:div>
    <w:div w:id="1346326006">
      <w:bodyDiv w:val="1"/>
      <w:marLeft w:val="0"/>
      <w:marRight w:val="0"/>
      <w:marTop w:val="0"/>
      <w:marBottom w:val="0"/>
      <w:divBdr>
        <w:top w:val="none" w:sz="0" w:space="0" w:color="auto"/>
        <w:left w:val="none" w:sz="0" w:space="0" w:color="auto"/>
        <w:bottom w:val="none" w:sz="0" w:space="0" w:color="auto"/>
        <w:right w:val="none" w:sz="0" w:space="0" w:color="auto"/>
      </w:divBdr>
    </w:div>
    <w:div w:id="1351687281">
      <w:bodyDiv w:val="1"/>
      <w:marLeft w:val="0"/>
      <w:marRight w:val="0"/>
      <w:marTop w:val="0"/>
      <w:marBottom w:val="0"/>
      <w:divBdr>
        <w:top w:val="none" w:sz="0" w:space="0" w:color="auto"/>
        <w:left w:val="none" w:sz="0" w:space="0" w:color="auto"/>
        <w:bottom w:val="none" w:sz="0" w:space="0" w:color="auto"/>
        <w:right w:val="none" w:sz="0" w:space="0" w:color="auto"/>
      </w:divBdr>
    </w:div>
    <w:div w:id="1363746283">
      <w:bodyDiv w:val="1"/>
      <w:marLeft w:val="0"/>
      <w:marRight w:val="0"/>
      <w:marTop w:val="0"/>
      <w:marBottom w:val="0"/>
      <w:divBdr>
        <w:top w:val="none" w:sz="0" w:space="0" w:color="auto"/>
        <w:left w:val="none" w:sz="0" w:space="0" w:color="auto"/>
        <w:bottom w:val="none" w:sz="0" w:space="0" w:color="auto"/>
        <w:right w:val="none" w:sz="0" w:space="0" w:color="auto"/>
      </w:divBdr>
    </w:div>
    <w:div w:id="1376660459">
      <w:bodyDiv w:val="1"/>
      <w:marLeft w:val="0"/>
      <w:marRight w:val="0"/>
      <w:marTop w:val="0"/>
      <w:marBottom w:val="0"/>
      <w:divBdr>
        <w:top w:val="none" w:sz="0" w:space="0" w:color="auto"/>
        <w:left w:val="none" w:sz="0" w:space="0" w:color="auto"/>
        <w:bottom w:val="none" w:sz="0" w:space="0" w:color="auto"/>
        <w:right w:val="none" w:sz="0" w:space="0" w:color="auto"/>
      </w:divBdr>
    </w:div>
    <w:div w:id="1390374458">
      <w:bodyDiv w:val="1"/>
      <w:marLeft w:val="0"/>
      <w:marRight w:val="0"/>
      <w:marTop w:val="0"/>
      <w:marBottom w:val="0"/>
      <w:divBdr>
        <w:top w:val="none" w:sz="0" w:space="0" w:color="auto"/>
        <w:left w:val="none" w:sz="0" w:space="0" w:color="auto"/>
        <w:bottom w:val="none" w:sz="0" w:space="0" w:color="auto"/>
        <w:right w:val="none" w:sz="0" w:space="0" w:color="auto"/>
      </w:divBdr>
    </w:div>
    <w:div w:id="1431270138">
      <w:bodyDiv w:val="1"/>
      <w:marLeft w:val="0"/>
      <w:marRight w:val="0"/>
      <w:marTop w:val="0"/>
      <w:marBottom w:val="0"/>
      <w:divBdr>
        <w:top w:val="none" w:sz="0" w:space="0" w:color="auto"/>
        <w:left w:val="none" w:sz="0" w:space="0" w:color="auto"/>
        <w:bottom w:val="none" w:sz="0" w:space="0" w:color="auto"/>
        <w:right w:val="none" w:sz="0" w:space="0" w:color="auto"/>
      </w:divBdr>
    </w:div>
    <w:div w:id="1433286470">
      <w:bodyDiv w:val="1"/>
      <w:marLeft w:val="0"/>
      <w:marRight w:val="0"/>
      <w:marTop w:val="0"/>
      <w:marBottom w:val="0"/>
      <w:divBdr>
        <w:top w:val="none" w:sz="0" w:space="0" w:color="auto"/>
        <w:left w:val="none" w:sz="0" w:space="0" w:color="auto"/>
        <w:bottom w:val="none" w:sz="0" w:space="0" w:color="auto"/>
        <w:right w:val="none" w:sz="0" w:space="0" w:color="auto"/>
      </w:divBdr>
    </w:div>
    <w:div w:id="1524249694">
      <w:bodyDiv w:val="1"/>
      <w:marLeft w:val="0"/>
      <w:marRight w:val="0"/>
      <w:marTop w:val="0"/>
      <w:marBottom w:val="0"/>
      <w:divBdr>
        <w:top w:val="none" w:sz="0" w:space="0" w:color="auto"/>
        <w:left w:val="none" w:sz="0" w:space="0" w:color="auto"/>
        <w:bottom w:val="none" w:sz="0" w:space="0" w:color="auto"/>
        <w:right w:val="none" w:sz="0" w:space="0" w:color="auto"/>
      </w:divBdr>
    </w:div>
    <w:div w:id="1564677898">
      <w:bodyDiv w:val="1"/>
      <w:marLeft w:val="0"/>
      <w:marRight w:val="0"/>
      <w:marTop w:val="0"/>
      <w:marBottom w:val="0"/>
      <w:divBdr>
        <w:top w:val="none" w:sz="0" w:space="0" w:color="auto"/>
        <w:left w:val="none" w:sz="0" w:space="0" w:color="auto"/>
        <w:bottom w:val="none" w:sz="0" w:space="0" w:color="auto"/>
        <w:right w:val="none" w:sz="0" w:space="0" w:color="auto"/>
      </w:divBdr>
    </w:div>
    <w:div w:id="1566263561">
      <w:bodyDiv w:val="1"/>
      <w:marLeft w:val="0"/>
      <w:marRight w:val="0"/>
      <w:marTop w:val="0"/>
      <w:marBottom w:val="0"/>
      <w:divBdr>
        <w:top w:val="none" w:sz="0" w:space="0" w:color="auto"/>
        <w:left w:val="none" w:sz="0" w:space="0" w:color="auto"/>
        <w:bottom w:val="none" w:sz="0" w:space="0" w:color="auto"/>
        <w:right w:val="none" w:sz="0" w:space="0" w:color="auto"/>
      </w:divBdr>
    </w:div>
    <w:div w:id="1614898633">
      <w:bodyDiv w:val="1"/>
      <w:marLeft w:val="0"/>
      <w:marRight w:val="0"/>
      <w:marTop w:val="0"/>
      <w:marBottom w:val="0"/>
      <w:divBdr>
        <w:top w:val="none" w:sz="0" w:space="0" w:color="auto"/>
        <w:left w:val="none" w:sz="0" w:space="0" w:color="auto"/>
        <w:bottom w:val="none" w:sz="0" w:space="0" w:color="auto"/>
        <w:right w:val="none" w:sz="0" w:space="0" w:color="auto"/>
      </w:divBdr>
    </w:div>
    <w:div w:id="1646011853">
      <w:bodyDiv w:val="1"/>
      <w:marLeft w:val="0"/>
      <w:marRight w:val="0"/>
      <w:marTop w:val="0"/>
      <w:marBottom w:val="0"/>
      <w:divBdr>
        <w:top w:val="none" w:sz="0" w:space="0" w:color="auto"/>
        <w:left w:val="none" w:sz="0" w:space="0" w:color="auto"/>
        <w:bottom w:val="none" w:sz="0" w:space="0" w:color="auto"/>
        <w:right w:val="none" w:sz="0" w:space="0" w:color="auto"/>
      </w:divBdr>
    </w:div>
    <w:div w:id="1681274643">
      <w:bodyDiv w:val="1"/>
      <w:marLeft w:val="0"/>
      <w:marRight w:val="0"/>
      <w:marTop w:val="0"/>
      <w:marBottom w:val="0"/>
      <w:divBdr>
        <w:top w:val="none" w:sz="0" w:space="0" w:color="auto"/>
        <w:left w:val="none" w:sz="0" w:space="0" w:color="auto"/>
        <w:bottom w:val="none" w:sz="0" w:space="0" w:color="auto"/>
        <w:right w:val="none" w:sz="0" w:space="0" w:color="auto"/>
      </w:divBdr>
    </w:div>
    <w:div w:id="1813208954">
      <w:bodyDiv w:val="1"/>
      <w:marLeft w:val="0"/>
      <w:marRight w:val="0"/>
      <w:marTop w:val="0"/>
      <w:marBottom w:val="0"/>
      <w:divBdr>
        <w:top w:val="none" w:sz="0" w:space="0" w:color="auto"/>
        <w:left w:val="none" w:sz="0" w:space="0" w:color="auto"/>
        <w:bottom w:val="none" w:sz="0" w:space="0" w:color="auto"/>
        <w:right w:val="none" w:sz="0" w:space="0" w:color="auto"/>
      </w:divBdr>
    </w:div>
    <w:div w:id="1824200091">
      <w:bodyDiv w:val="1"/>
      <w:marLeft w:val="0"/>
      <w:marRight w:val="0"/>
      <w:marTop w:val="0"/>
      <w:marBottom w:val="0"/>
      <w:divBdr>
        <w:top w:val="none" w:sz="0" w:space="0" w:color="auto"/>
        <w:left w:val="none" w:sz="0" w:space="0" w:color="auto"/>
        <w:bottom w:val="none" w:sz="0" w:space="0" w:color="auto"/>
        <w:right w:val="none" w:sz="0" w:space="0" w:color="auto"/>
      </w:divBdr>
    </w:div>
    <w:div w:id="1832524958">
      <w:bodyDiv w:val="1"/>
      <w:marLeft w:val="0"/>
      <w:marRight w:val="0"/>
      <w:marTop w:val="0"/>
      <w:marBottom w:val="0"/>
      <w:divBdr>
        <w:top w:val="none" w:sz="0" w:space="0" w:color="auto"/>
        <w:left w:val="none" w:sz="0" w:space="0" w:color="auto"/>
        <w:bottom w:val="none" w:sz="0" w:space="0" w:color="auto"/>
        <w:right w:val="none" w:sz="0" w:space="0" w:color="auto"/>
      </w:divBdr>
    </w:div>
    <w:div w:id="1854613762">
      <w:bodyDiv w:val="1"/>
      <w:marLeft w:val="0"/>
      <w:marRight w:val="0"/>
      <w:marTop w:val="0"/>
      <w:marBottom w:val="0"/>
      <w:divBdr>
        <w:top w:val="none" w:sz="0" w:space="0" w:color="auto"/>
        <w:left w:val="none" w:sz="0" w:space="0" w:color="auto"/>
        <w:bottom w:val="none" w:sz="0" w:space="0" w:color="auto"/>
        <w:right w:val="none" w:sz="0" w:space="0" w:color="auto"/>
      </w:divBdr>
    </w:div>
    <w:div w:id="1951007575">
      <w:bodyDiv w:val="1"/>
      <w:marLeft w:val="0"/>
      <w:marRight w:val="0"/>
      <w:marTop w:val="0"/>
      <w:marBottom w:val="0"/>
      <w:divBdr>
        <w:top w:val="none" w:sz="0" w:space="0" w:color="auto"/>
        <w:left w:val="none" w:sz="0" w:space="0" w:color="auto"/>
        <w:bottom w:val="none" w:sz="0" w:space="0" w:color="auto"/>
        <w:right w:val="none" w:sz="0" w:space="0" w:color="auto"/>
      </w:divBdr>
    </w:div>
    <w:div w:id="1972856084">
      <w:bodyDiv w:val="1"/>
      <w:marLeft w:val="0"/>
      <w:marRight w:val="0"/>
      <w:marTop w:val="0"/>
      <w:marBottom w:val="0"/>
      <w:divBdr>
        <w:top w:val="none" w:sz="0" w:space="0" w:color="auto"/>
        <w:left w:val="none" w:sz="0" w:space="0" w:color="auto"/>
        <w:bottom w:val="none" w:sz="0" w:space="0" w:color="auto"/>
        <w:right w:val="none" w:sz="0" w:space="0" w:color="auto"/>
      </w:divBdr>
    </w:div>
    <w:div w:id="2026591011">
      <w:bodyDiv w:val="1"/>
      <w:marLeft w:val="0"/>
      <w:marRight w:val="0"/>
      <w:marTop w:val="0"/>
      <w:marBottom w:val="0"/>
      <w:divBdr>
        <w:top w:val="none" w:sz="0" w:space="0" w:color="auto"/>
        <w:left w:val="none" w:sz="0" w:space="0" w:color="auto"/>
        <w:bottom w:val="none" w:sz="0" w:space="0" w:color="auto"/>
        <w:right w:val="none" w:sz="0" w:space="0" w:color="auto"/>
      </w:divBdr>
    </w:div>
    <w:div w:id="209166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south-derbys.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orporate Plan SDDC">
      <a:dk1>
        <a:sysClr val="windowText" lastClr="000000"/>
      </a:dk1>
      <a:lt1>
        <a:sysClr val="window" lastClr="FFFFFF"/>
      </a:lt1>
      <a:dk2>
        <a:srgbClr val="2D0054"/>
      </a:dk2>
      <a:lt2>
        <a:srgbClr val="F2F2F2"/>
      </a:lt2>
      <a:accent1>
        <a:srgbClr val="2D0054"/>
      </a:accent1>
      <a:accent2>
        <a:srgbClr val="99CC00"/>
      </a:accent2>
      <a:accent3>
        <a:srgbClr val="00CC00"/>
      </a:accent3>
      <a:accent4>
        <a:srgbClr val="D60093"/>
      </a:accent4>
      <a:accent5>
        <a:srgbClr val="0066CC"/>
      </a:accent5>
      <a:accent6>
        <a:srgbClr val="FF9900"/>
      </a:accent6>
      <a:hlink>
        <a:srgbClr val="0070C0"/>
      </a:hlink>
      <a:folHlink>
        <a:srgbClr val="800080"/>
      </a:folHlink>
    </a:clrScheme>
    <a:fontScheme name="SDDC Corporate">
      <a:majorFont>
        <a:latin typeface="Trebuchet MS"/>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26FF9-0517-41B7-9C74-E2A257A1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5820</Words>
  <Characters>33178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South Derbyshire District Council</Company>
  <LinksUpToDate>false</LinksUpToDate>
  <CharactersWithSpaces>38921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Rawlins</dc:creator>
  <cp:lastModifiedBy>Kathy Mardon</cp:lastModifiedBy>
  <cp:revision>3</cp:revision>
  <dcterms:created xsi:type="dcterms:W3CDTF">2024-07-24T12:11:00Z</dcterms:created>
  <dcterms:modified xsi:type="dcterms:W3CDTF">2024-07-24T12:12:00Z</dcterms:modified>
</cp:coreProperties>
</file>