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A717" w14:textId="3964A5D1" w:rsidR="00AB124C" w:rsidRPr="00AB124C" w:rsidRDefault="00AB124C" w:rsidP="00AB124C">
      <w:pPr>
        <w:jc w:val="both"/>
        <w:rPr>
          <w:b/>
          <w:lang w:val="en-US"/>
        </w:rPr>
      </w:pPr>
    </w:p>
    <w:p w14:paraId="5E42F099" w14:textId="77777777" w:rsidR="00A6728A" w:rsidRPr="00AB124C" w:rsidRDefault="00A6728A" w:rsidP="009716EA">
      <w:pPr>
        <w:jc w:val="center"/>
        <w:rPr>
          <w:b/>
          <w:lang w:val="en-US"/>
        </w:rPr>
      </w:pPr>
      <w:r w:rsidRPr="00AB124C">
        <w:rPr>
          <w:b/>
          <w:lang w:val="en-US"/>
        </w:rPr>
        <w:t>GOSPORT BOROUGH COUNCIL (GBC)</w:t>
      </w:r>
    </w:p>
    <w:p w14:paraId="49151637" w14:textId="77777777" w:rsidR="00A6728A" w:rsidRPr="00AB124C" w:rsidRDefault="00A6728A" w:rsidP="009716EA">
      <w:pPr>
        <w:jc w:val="center"/>
        <w:rPr>
          <w:b/>
          <w:lang w:val="en-US"/>
        </w:rPr>
      </w:pPr>
    </w:p>
    <w:p w14:paraId="490226C1" w14:textId="77777777" w:rsidR="008320E9" w:rsidRPr="00AB124C" w:rsidRDefault="00C00D19" w:rsidP="009716EA">
      <w:pPr>
        <w:jc w:val="center"/>
        <w:rPr>
          <w:b/>
          <w:lang w:val="en-US"/>
        </w:rPr>
      </w:pPr>
      <w:r w:rsidRPr="00AB124C">
        <w:rPr>
          <w:b/>
          <w:lang w:val="en-US"/>
        </w:rPr>
        <w:t>INVITATION TO QUOTE (ITQ)</w:t>
      </w:r>
    </w:p>
    <w:p w14:paraId="72958DBB" w14:textId="77777777" w:rsidR="00C00D19" w:rsidRPr="00AB124C" w:rsidRDefault="00C00D19" w:rsidP="009716EA">
      <w:pPr>
        <w:jc w:val="center"/>
        <w:rPr>
          <w:b/>
          <w:lang w:val="en-US"/>
        </w:rPr>
      </w:pPr>
    </w:p>
    <w:p w14:paraId="6E6B340B" w14:textId="21847963" w:rsidR="00C00D19" w:rsidRPr="001C2E74" w:rsidRDefault="00C00D19" w:rsidP="009716EA">
      <w:pPr>
        <w:jc w:val="center"/>
        <w:rPr>
          <w:b/>
          <w:color w:val="auto"/>
          <w:lang w:val="en-US"/>
        </w:rPr>
      </w:pPr>
      <w:r w:rsidRPr="001C2E74">
        <w:rPr>
          <w:b/>
          <w:color w:val="auto"/>
          <w:lang w:val="en-US"/>
        </w:rPr>
        <w:t xml:space="preserve">PUBLISHED: </w:t>
      </w:r>
      <w:r w:rsidR="00D70C33">
        <w:rPr>
          <w:b/>
          <w:color w:val="auto"/>
          <w:lang w:val="en-US"/>
        </w:rPr>
        <w:t>23</w:t>
      </w:r>
      <w:r w:rsidR="002D750A">
        <w:rPr>
          <w:b/>
          <w:color w:val="auto"/>
          <w:lang w:val="en-US"/>
        </w:rPr>
        <w:t xml:space="preserve"> July 2024</w:t>
      </w:r>
      <w:r w:rsidRPr="001C2E74">
        <w:rPr>
          <w:b/>
          <w:color w:val="auto"/>
          <w:lang w:val="en-US"/>
        </w:rPr>
        <w:t>, FOR:</w:t>
      </w:r>
    </w:p>
    <w:p w14:paraId="21B8869B" w14:textId="77777777" w:rsidR="00C00D19" w:rsidRPr="00AB124C" w:rsidRDefault="00C00D19" w:rsidP="009716EA">
      <w:pPr>
        <w:jc w:val="center"/>
        <w:rPr>
          <w:b/>
          <w:lang w:val="en-US"/>
        </w:rPr>
      </w:pPr>
    </w:p>
    <w:p w14:paraId="3F109E7B" w14:textId="13175CCD" w:rsidR="00C00D19" w:rsidRPr="00F736C9" w:rsidRDefault="00AE7F59" w:rsidP="009716EA">
      <w:pPr>
        <w:jc w:val="center"/>
        <w:rPr>
          <w:b/>
          <w:color w:val="auto"/>
          <w:lang w:val="en-US"/>
        </w:rPr>
      </w:pPr>
      <w:r w:rsidRPr="00F736C9">
        <w:rPr>
          <w:b/>
          <w:color w:val="auto"/>
          <w:lang w:val="en-US"/>
        </w:rPr>
        <w:t xml:space="preserve">PA system for Remembrance Sunday </w:t>
      </w:r>
    </w:p>
    <w:p w14:paraId="7B9CBB08" w14:textId="77777777" w:rsidR="00C00D19" w:rsidRPr="00AB124C" w:rsidRDefault="00C00D19" w:rsidP="009716EA">
      <w:pPr>
        <w:jc w:val="center"/>
        <w:rPr>
          <w:b/>
          <w:lang w:val="en-US"/>
        </w:rPr>
      </w:pPr>
    </w:p>
    <w:p w14:paraId="46C026C1" w14:textId="363DAF6A" w:rsidR="00C00D19" w:rsidRPr="00AB124C" w:rsidRDefault="00C00D19" w:rsidP="009716EA">
      <w:pPr>
        <w:jc w:val="center"/>
        <w:rPr>
          <w:b/>
          <w:lang w:val="en-US"/>
        </w:rPr>
      </w:pPr>
      <w:r w:rsidRPr="00AB124C">
        <w:rPr>
          <w:b/>
          <w:lang w:val="en-US"/>
        </w:rPr>
        <w:t xml:space="preserve">RESPONSE DEADLINE: </w:t>
      </w:r>
      <w:r w:rsidR="002D750A">
        <w:rPr>
          <w:b/>
          <w:lang w:val="en-US"/>
        </w:rPr>
        <w:t>NOON- 13</w:t>
      </w:r>
      <w:r w:rsidR="002D750A" w:rsidRPr="002D750A">
        <w:rPr>
          <w:b/>
          <w:vertAlign w:val="superscript"/>
          <w:lang w:val="en-US"/>
        </w:rPr>
        <w:t>th</w:t>
      </w:r>
      <w:r w:rsidR="002D750A">
        <w:rPr>
          <w:b/>
          <w:lang w:val="en-US"/>
        </w:rPr>
        <w:t xml:space="preserve"> AUGUST 2024</w:t>
      </w:r>
      <w:r w:rsidR="00AE7F59" w:rsidRPr="00F736C9">
        <w:rPr>
          <w:b/>
          <w:color w:val="auto"/>
          <w:lang w:val="en-US"/>
        </w:rPr>
        <w:t xml:space="preserve"> </w:t>
      </w:r>
    </w:p>
    <w:p w14:paraId="549B95E6" w14:textId="77777777" w:rsidR="00C00D19" w:rsidRPr="00AB124C" w:rsidRDefault="00C00D19" w:rsidP="00AB124C">
      <w:pPr>
        <w:jc w:val="both"/>
        <w:rPr>
          <w:b/>
          <w:lang w:val="en-US"/>
        </w:rPr>
      </w:pPr>
    </w:p>
    <w:sdt>
      <w:sdtPr>
        <w:rPr>
          <w:rFonts w:eastAsiaTheme="minorHAnsi" w:cs="Arial"/>
          <w:b w:val="0"/>
          <w:color w:val="000000" w:themeColor="text1"/>
          <w:szCs w:val="24"/>
          <w:u w:val="none"/>
          <w:lang w:val="en-GB"/>
        </w:rPr>
        <w:id w:val="750856773"/>
        <w:docPartObj>
          <w:docPartGallery w:val="Table of Contents"/>
          <w:docPartUnique/>
        </w:docPartObj>
      </w:sdtPr>
      <w:sdtEndPr>
        <w:rPr>
          <w:bCs/>
          <w:noProof/>
        </w:rPr>
      </w:sdtEndPr>
      <w:sdtContent>
        <w:p w14:paraId="6FD285F3" w14:textId="77777777" w:rsidR="00C00D19" w:rsidRPr="00AB124C" w:rsidRDefault="00C00D19" w:rsidP="00AB124C">
          <w:pPr>
            <w:pStyle w:val="TOCHeading"/>
            <w:jc w:val="both"/>
            <w:rPr>
              <w:rFonts w:cs="Arial"/>
              <w:szCs w:val="24"/>
            </w:rPr>
          </w:pPr>
          <w:r w:rsidRPr="00AB124C">
            <w:rPr>
              <w:rFonts w:cs="Arial"/>
              <w:szCs w:val="24"/>
            </w:rPr>
            <w:t>Contents</w:t>
          </w:r>
        </w:p>
        <w:p w14:paraId="7A699C9B" w14:textId="77777777" w:rsidR="00A76F29" w:rsidRPr="00AB124C" w:rsidRDefault="00A76F29" w:rsidP="00AB124C">
          <w:pPr>
            <w:jc w:val="both"/>
            <w:rPr>
              <w:lang w:val="en-US"/>
            </w:rPr>
          </w:pPr>
        </w:p>
        <w:p w14:paraId="260AF646" w14:textId="23E0048F" w:rsidR="006537F3" w:rsidRDefault="00C00D19">
          <w:pPr>
            <w:pStyle w:val="TOC1"/>
            <w:tabs>
              <w:tab w:val="left" w:pos="440"/>
              <w:tab w:val="right" w:leader="dot" w:pos="9016"/>
            </w:tabs>
            <w:rPr>
              <w:rFonts w:asciiTheme="minorHAnsi" w:eastAsiaTheme="minorEastAsia" w:hAnsiTheme="minorHAnsi" w:cstheme="minorBidi"/>
              <w:noProof/>
              <w:color w:val="auto"/>
              <w:sz w:val="22"/>
              <w:szCs w:val="22"/>
              <w:lang w:eastAsia="en-GB"/>
            </w:rPr>
          </w:pPr>
          <w:r w:rsidRPr="00AB124C">
            <w:fldChar w:fldCharType="begin"/>
          </w:r>
          <w:r w:rsidRPr="00AB124C">
            <w:instrText xml:space="preserve"> TOC \o "1-3" \h \z \u </w:instrText>
          </w:r>
          <w:r w:rsidRPr="00AB124C">
            <w:fldChar w:fldCharType="separate"/>
          </w:r>
          <w:hyperlink w:anchor="_Toc142046285" w:history="1">
            <w:r w:rsidR="006537F3" w:rsidRPr="00CB32EA">
              <w:rPr>
                <w:rStyle w:val="Hyperlink"/>
                <w:noProof/>
                <w:lang w:val="en-US"/>
              </w:rPr>
              <w:t>1.</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Introduction</w:t>
            </w:r>
            <w:r w:rsidR="006537F3">
              <w:rPr>
                <w:noProof/>
                <w:webHidden/>
              </w:rPr>
              <w:tab/>
            </w:r>
            <w:r w:rsidR="006537F3">
              <w:rPr>
                <w:noProof/>
                <w:webHidden/>
              </w:rPr>
              <w:fldChar w:fldCharType="begin"/>
            </w:r>
            <w:r w:rsidR="006537F3">
              <w:rPr>
                <w:noProof/>
                <w:webHidden/>
              </w:rPr>
              <w:instrText xml:space="preserve"> PAGEREF _Toc142046285 \h </w:instrText>
            </w:r>
            <w:r w:rsidR="006537F3">
              <w:rPr>
                <w:noProof/>
                <w:webHidden/>
              </w:rPr>
            </w:r>
            <w:r w:rsidR="006537F3">
              <w:rPr>
                <w:noProof/>
                <w:webHidden/>
              </w:rPr>
              <w:fldChar w:fldCharType="separate"/>
            </w:r>
            <w:r w:rsidR="006537F3">
              <w:rPr>
                <w:noProof/>
                <w:webHidden/>
              </w:rPr>
              <w:t>2</w:t>
            </w:r>
            <w:r w:rsidR="006537F3">
              <w:rPr>
                <w:noProof/>
                <w:webHidden/>
              </w:rPr>
              <w:fldChar w:fldCharType="end"/>
            </w:r>
          </w:hyperlink>
        </w:p>
        <w:p w14:paraId="0D96AEFA" w14:textId="15AE86E4"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86" w:history="1">
            <w:r w:rsidR="006537F3" w:rsidRPr="00CB32EA">
              <w:rPr>
                <w:rStyle w:val="Hyperlink"/>
                <w:noProof/>
                <w:lang w:val="en-US"/>
              </w:rPr>
              <w:t>2.</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Specification / Requirements</w:t>
            </w:r>
            <w:r w:rsidR="006537F3">
              <w:rPr>
                <w:noProof/>
                <w:webHidden/>
              </w:rPr>
              <w:tab/>
            </w:r>
            <w:r w:rsidR="006537F3">
              <w:rPr>
                <w:noProof/>
                <w:webHidden/>
              </w:rPr>
              <w:fldChar w:fldCharType="begin"/>
            </w:r>
            <w:r w:rsidR="006537F3">
              <w:rPr>
                <w:noProof/>
                <w:webHidden/>
              </w:rPr>
              <w:instrText xml:space="preserve"> PAGEREF _Toc142046286 \h </w:instrText>
            </w:r>
            <w:r w:rsidR="006537F3">
              <w:rPr>
                <w:noProof/>
                <w:webHidden/>
              </w:rPr>
            </w:r>
            <w:r w:rsidR="006537F3">
              <w:rPr>
                <w:noProof/>
                <w:webHidden/>
              </w:rPr>
              <w:fldChar w:fldCharType="separate"/>
            </w:r>
            <w:r w:rsidR="006537F3">
              <w:rPr>
                <w:noProof/>
                <w:webHidden/>
              </w:rPr>
              <w:t>2</w:t>
            </w:r>
            <w:r w:rsidR="006537F3">
              <w:rPr>
                <w:noProof/>
                <w:webHidden/>
              </w:rPr>
              <w:fldChar w:fldCharType="end"/>
            </w:r>
          </w:hyperlink>
        </w:p>
        <w:p w14:paraId="68C37499" w14:textId="07D07276"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87" w:history="1">
            <w:r w:rsidR="006537F3" w:rsidRPr="00CB32EA">
              <w:rPr>
                <w:rStyle w:val="Hyperlink"/>
                <w:noProof/>
                <w:lang w:val="en-US"/>
              </w:rPr>
              <w:t>3.</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Health and Safety</w:t>
            </w:r>
            <w:r w:rsidR="006537F3">
              <w:rPr>
                <w:noProof/>
                <w:webHidden/>
              </w:rPr>
              <w:tab/>
            </w:r>
            <w:r w:rsidR="006537F3">
              <w:rPr>
                <w:noProof/>
                <w:webHidden/>
              </w:rPr>
              <w:fldChar w:fldCharType="begin"/>
            </w:r>
            <w:r w:rsidR="006537F3">
              <w:rPr>
                <w:noProof/>
                <w:webHidden/>
              </w:rPr>
              <w:instrText xml:space="preserve"> PAGEREF _Toc142046287 \h </w:instrText>
            </w:r>
            <w:r w:rsidR="006537F3">
              <w:rPr>
                <w:noProof/>
                <w:webHidden/>
              </w:rPr>
            </w:r>
            <w:r w:rsidR="006537F3">
              <w:rPr>
                <w:noProof/>
                <w:webHidden/>
              </w:rPr>
              <w:fldChar w:fldCharType="separate"/>
            </w:r>
            <w:r w:rsidR="006537F3">
              <w:rPr>
                <w:noProof/>
                <w:webHidden/>
              </w:rPr>
              <w:t>3</w:t>
            </w:r>
            <w:r w:rsidR="006537F3">
              <w:rPr>
                <w:noProof/>
                <w:webHidden/>
              </w:rPr>
              <w:fldChar w:fldCharType="end"/>
            </w:r>
          </w:hyperlink>
        </w:p>
        <w:p w14:paraId="2D5D123C" w14:textId="5E5FBEF7"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88" w:history="1">
            <w:r w:rsidR="006537F3" w:rsidRPr="00CB32EA">
              <w:rPr>
                <w:rStyle w:val="Hyperlink"/>
                <w:noProof/>
                <w:lang w:val="en-US"/>
              </w:rPr>
              <w:t>4.</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Insurance</w:t>
            </w:r>
            <w:r w:rsidR="006537F3">
              <w:rPr>
                <w:noProof/>
                <w:webHidden/>
              </w:rPr>
              <w:tab/>
            </w:r>
            <w:r w:rsidR="006537F3">
              <w:rPr>
                <w:noProof/>
                <w:webHidden/>
              </w:rPr>
              <w:fldChar w:fldCharType="begin"/>
            </w:r>
            <w:r w:rsidR="006537F3">
              <w:rPr>
                <w:noProof/>
                <w:webHidden/>
              </w:rPr>
              <w:instrText xml:space="preserve"> PAGEREF _Toc142046288 \h </w:instrText>
            </w:r>
            <w:r w:rsidR="006537F3">
              <w:rPr>
                <w:noProof/>
                <w:webHidden/>
              </w:rPr>
            </w:r>
            <w:r w:rsidR="006537F3">
              <w:rPr>
                <w:noProof/>
                <w:webHidden/>
              </w:rPr>
              <w:fldChar w:fldCharType="separate"/>
            </w:r>
            <w:r w:rsidR="006537F3">
              <w:rPr>
                <w:noProof/>
                <w:webHidden/>
              </w:rPr>
              <w:t>3</w:t>
            </w:r>
            <w:r w:rsidR="006537F3">
              <w:rPr>
                <w:noProof/>
                <w:webHidden/>
              </w:rPr>
              <w:fldChar w:fldCharType="end"/>
            </w:r>
          </w:hyperlink>
        </w:p>
        <w:p w14:paraId="66915CEA" w14:textId="2057F907"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89" w:history="1">
            <w:r w:rsidR="006537F3" w:rsidRPr="00CB32EA">
              <w:rPr>
                <w:rStyle w:val="Hyperlink"/>
                <w:noProof/>
                <w:lang w:val="en-US"/>
              </w:rPr>
              <w:t>5.</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Procurement Timetable</w:t>
            </w:r>
            <w:r w:rsidR="006537F3">
              <w:rPr>
                <w:noProof/>
                <w:webHidden/>
              </w:rPr>
              <w:tab/>
            </w:r>
            <w:r w:rsidR="006537F3">
              <w:rPr>
                <w:noProof/>
                <w:webHidden/>
              </w:rPr>
              <w:fldChar w:fldCharType="begin"/>
            </w:r>
            <w:r w:rsidR="006537F3">
              <w:rPr>
                <w:noProof/>
                <w:webHidden/>
              </w:rPr>
              <w:instrText xml:space="preserve"> PAGEREF _Toc142046289 \h </w:instrText>
            </w:r>
            <w:r w:rsidR="006537F3">
              <w:rPr>
                <w:noProof/>
                <w:webHidden/>
              </w:rPr>
            </w:r>
            <w:r w:rsidR="006537F3">
              <w:rPr>
                <w:noProof/>
                <w:webHidden/>
              </w:rPr>
              <w:fldChar w:fldCharType="separate"/>
            </w:r>
            <w:r w:rsidR="006537F3">
              <w:rPr>
                <w:noProof/>
                <w:webHidden/>
              </w:rPr>
              <w:t>3</w:t>
            </w:r>
            <w:r w:rsidR="006537F3">
              <w:rPr>
                <w:noProof/>
                <w:webHidden/>
              </w:rPr>
              <w:fldChar w:fldCharType="end"/>
            </w:r>
          </w:hyperlink>
        </w:p>
        <w:p w14:paraId="71A66408" w14:textId="5AFD4AFF"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90" w:history="1">
            <w:r w:rsidR="006537F3" w:rsidRPr="00CB32EA">
              <w:rPr>
                <w:rStyle w:val="Hyperlink"/>
                <w:noProof/>
                <w:lang w:val="en-US"/>
              </w:rPr>
              <w:t>6.</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Instructions on submitting a response</w:t>
            </w:r>
            <w:r w:rsidR="006537F3">
              <w:rPr>
                <w:noProof/>
                <w:webHidden/>
              </w:rPr>
              <w:tab/>
            </w:r>
            <w:r w:rsidR="006537F3">
              <w:rPr>
                <w:noProof/>
                <w:webHidden/>
              </w:rPr>
              <w:fldChar w:fldCharType="begin"/>
            </w:r>
            <w:r w:rsidR="006537F3">
              <w:rPr>
                <w:noProof/>
                <w:webHidden/>
              </w:rPr>
              <w:instrText xml:space="preserve"> PAGEREF _Toc142046290 \h </w:instrText>
            </w:r>
            <w:r w:rsidR="006537F3">
              <w:rPr>
                <w:noProof/>
                <w:webHidden/>
              </w:rPr>
            </w:r>
            <w:r w:rsidR="006537F3">
              <w:rPr>
                <w:noProof/>
                <w:webHidden/>
              </w:rPr>
              <w:fldChar w:fldCharType="separate"/>
            </w:r>
            <w:r w:rsidR="006537F3">
              <w:rPr>
                <w:noProof/>
                <w:webHidden/>
              </w:rPr>
              <w:t>4</w:t>
            </w:r>
            <w:r w:rsidR="006537F3">
              <w:rPr>
                <w:noProof/>
                <w:webHidden/>
              </w:rPr>
              <w:fldChar w:fldCharType="end"/>
            </w:r>
          </w:hyperlink>
        </w:p>
        <w:p w14:paraId="17587DBF" w14:textId="4D238C24"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91" w:history="1">
            <w:r w:rsidR="006537F3" w:rsidRPr="00CB32EA">
              <w:rPr>
                <w:rStyle w:val="Hyperlink"/>
                <w:noProof/>
                <w:lang w:val="en-US"/>
              </w:rPr>
              <w:t>7.</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Clarifications</w:t>
            </w:r>
            <w:r w:rsidR="006537F3">
              <w:rPr>
                <w:noProof/>
                <w:webHidden/>
              </w:rPr>
              <w:tab/>
            </w:r>
            <w:r w:rsidR="006537F3">
              <w:rPr>
                <w:noProof/>
                <w:webHidden/>
              </w:rPr>
              <w:fldChar w:fldCharType="begin"/>
            </w:r>
            <w:r w:rsidR="006537F3">
              <w:rPr>
                <w:noProof/>
                <w:webHidden/>
              </w:rPr>
              <w:instrText xml:space="preserve"> PAGEREF _Toc142046291 \h </w:instrText>
            </w:r>
            <w:r w:rsidR="006537F3">
              <w:rPr>
                <w:noProof/>
                <w:webHidden/>
              </w:rPr>
            </w:r>
            <w:r w:rsidR="006537F3">
              <w:rPr>
                <w:noProof/>
                <w:webHidden/>
              </w:rPr>
              <w:fldChar w:fldCharType="separate"/>
            </w:r>
            <w:r w:rsidR="006537F3">
              <w:rPr>
                <w:noProof/>
                <w:webHidden/>
              </w:rPr>
              <w:t>4</w:t>
            </w:r>
            <w:r w:rsidR="006537F3">
              <w:rPr>
                <w:noProof/>
                <w:webHidden/>
              </w:rPr>
              <w:fldChar w:fldCharType="end"/>
            </w:r>
          </w:hyperlink>
        </w:p>
        <w:p w14:paraId="38DCBF29" w14:textId="5AAD9D75"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92" w:history="1">
            <w:r w:rsidR="006537F3" w:rsidRPr="00CB32EA">
              <w:rPr>
                <w:rStyle w:val="Hyperlink"/>
                <w:noProof/>
                <w:lang w:val="en-US"/>
              </w:rPr>
              <w:t>8.</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Evaluation</w:t>
            </w:r>
            <w:r w:rsidR="006537F3">
              <w:rPr>
                <w:noProof/>
                <w:webHidden/>
              </w:rPr>
              <w:tab/>
            </w:r>
            <w:r w:rsidR="006537F3">
              <w:rPr>
                <w:noProof/>
                <w:webHidden/>
              </w:rPr>
              <w:fldChar w:fldCharType="begin"/>
            </w:r>
            <w:r w:rsidR="006537F3">
              <w:rPr>
                <w:noProof/>
                <w:webHidden/>
              </w:rPr>
              <w:instrText xml:space="preserve"> PAGEREF _Toc142046292 \h </w:instrText>
            </w:r>
            <w:r w:rsidR="006537F3">
              <w:rPr>
                <w:noProof/>
                <w:webHidden/>
              </w:rPr>
            </w:r>
            <w:r w:rsidR="006537F3">
              <w:rPr>
                <w:noProof/>
                <w:webHidden/>
              </w:rPr>
              <w:fldChar w:fldCharType="separate"/>
            </w:r>
            <w:r w:rsidR="006537F3">
              <w:rPr>
                <w:noProof/>
                <w:webHidden/>
              </w:rPr>
              <w:t>5</w:t>
            </w:r>
            <w:r w:rsidR="006537F3">
              <w:rPr>
                <w:noProof/>
                <w:webHidden/>
              </w:rPr>
              <w:fldChar w:fldCharType="end"/>
            </w:r>
          </w:hyperlink>
        </w:p>
        <w:p w14:paraId="079E5945" w14:textId="638205E0" w:rsidR="006537F3" w:rsidRDefault="00D70C33">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42046293" w:history="1">
            <w:r w:rsidR="006537F3" w:rsidRPr="00CB32EA">
              <w:rPr>
                <w:rStyle w:val="Hyperlink"/>
                <w:noProof/>
                <w:lang w:val="en-US"/>
              </w:rPr>
              <w:t>9.</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Award</w:t>
            </w:r>
            <w:r w:rsidR="006537F3">
              <w:rPr>
                <w:noProof/>
                <w:webHidden/>
              </w:rPr>
              <w:tab/>
            </w:r>
            <w:r w:rsidR="006537F3">
              <w:rPr>
                <w:noProof/>
                <w:webHidden/>
              </w:rPr>
              <w:fldChar w:fldCharType="begin"/>
            </w:r>
            <w:r w:rsidR="006537F3">
              <w:rPr>
                <w:noProof/>
                <w:webHidden/>
              </w:rPr>
              <w:instrText xml:space="preserve"> PAGEREF _Toc142046293 \h </w:instrText>
            </w:r>
            <w:r w:rsidR="006537F3">
              <w:rPr>
                <w:noProof/>
                <w:webHidden/>
              </w:rPr>
            </w:r>
            <w:r w:rsidR="006537F3">
              <w:rPr>
                <w:noProof/>
                <w:webHidden/>
              </w:rPr>
              <w:fldChar w:fldCharType="separate"/>
            </w:r>
            <w:r w:rsidR="006537F3">
              <w:rPr>
                <w:noProof/>
                <w:webHidden/>
              </w:rPr>
              <w:t>5</w:t>
            </w:r>
            <w:r w:rsidR="006537F3">
              <w:rPr>
                <w:noProof/>
                <w:webHidden/>
              </w:rPr>
              <w:fldChar w:fldCharType="end"/>
            </w:r>
          </w:hyperlink>
        </w:p>
        <w:p w14:paraId="60D36995" w14:textId="6F019D15" w:rsidR="006537F3" w:rsidRDefault="00D70C33">
          <w:pPr>
            <w:pStyle w:val="TOC1"/>
            <w:tabs>
              <w:tab w:val="left" w:pos="660"/>
              <w:tab w:val="right" w:leader="dot" w:pos="9016"/>
            </w:tabs>
            <w:rPr>
              <w:rFonts w:asciiTheme="minorHAnsi" w:eastAsiaTheme="minorEastAsia" w:hAnsiTheme="minorHAnsi" w:cstheme="minorBidi"/>
              <w:noProof/>
              <w:color w:val="auto"/>
              <w:sz w:val="22"/>
              <w:szCs w:val="22"/>
              <w:lang w:eastAsia="en-GB"/>
            </w:rPr>
          </w:pPr>
          <w:hyperlink w:anchor="_Toc142046294" w:history="1">
            <w:r w:rsidR="006537F3" w:rsidRPr="00CB32EA">
              <w:rPr>
                <w:rStyle w:val="Hyperlink"/>
                <w:noProof/>
                <w:lang w:val="en-US"/>
              </w:rPr>
              <w:t>10.</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Terms and Conditions</w:t>
            </w:r>
            <w:r w:rsidR="006537F3">
              <w:rPr>
                <w:noProof/>
                <w:webHidden/>
              </w:rPr>
              <w:tab/>
            </w:r>
            <w:r w:rsidR="006537F3">
              <w:rPr>
                <w:noProof/>
                <w:webHidden/>
              </w:rPr>
              <w:fldChar w:fldCharType="begin"/>
            </w:r>
            <w:r w:rsidR="006537F3">
              <w:rPr>
                <w:noProof/>
                <w:webHidden/>
              </w:rPr>
              <w:instrText xml:space="preserve"> PAGEREF _Toc142046294 \h </w:instrText>
            </w:r>
            <w:r w:rsidR="006537F3">
              <w:rPr>
                <w:noProof/>
                <w:webHidden/>
              </w:rPr>
            </w:r>
            <w:r w:rsidR="006537F3">
              <w:rPr>
                <w:noProof/>
                <w:webHidden/>
              </w:rPr>
              <w:fldChar w:fldCharType="separate"/>
            </w:r>
            <w:r w:rsidR="006537F3">
              <w:rPr>
                <w:noProof/>
                <w:webHidden/>
              </w:rPr>
              <w:t>6</w:t>
            </w:r>
            <w:r w:rsidR="006537F3">
              <w:rPr>
                <w:noProof/>
                <w:webHidden/>
              </w:rPr>
              <w:fldChar w:fldCharType="end"/>
            </w:r>
          </w:hyperlink>
        </w:p>
        <w:p w14:paraId="298657D7" w14:textId="7A4C2A9A" w:rsidR="006537F3" w:rsidRDefault="00D70C33">
          <w:pPr>
            <w:pStyle w:val="TOC1"/>
            <w:tabs>
              <w:tab w:val="left" w:pos="660"/>
              <w:tab w:val="right" w:leader="dot" w:pos="9016"/>
            </w:tabs>
            <w:rPr>
              <w:rFonts w:asciiTheme="minorHAnsi" w:eastAsiaTheme="minorEastAsia" w:hAnsiTheme="minorHAnsi" w:cstheme="minorBidi"/>
              <w:noProof/>
              <w:color w:val="auto"/>
              <w:sz w:val="22"/>
              <w:szCs w:val="22"/>
              <w:lang w:eastAsia="en-GB"/>
            </w:rPr>
          </w:pPr>
          <w:hyperlink w:anchor="_Toc142046295" w:history="1">
            <w:r w:rsidR="006537F3" w:rsidRPr="00CB32EA">
              <w:rPr>
                <w:rStyle w:val="Hyperlink"/>
                <w:noProof/>
                <w:lang w:val="en-US"/>
              </w:rPr>
              <w:t>11.</w:t>
            </w:r>
            <w:r w:rsidR="006537F3">
              <w:rPr>
                <w:rFonts w:asciiTheme="minorHAnsi" w:eastAsiaTheme="minorEastAsia" w:hAnsiTheme="minorHAnsi" w:cstheme="minorBidi"/>
                <w:noProof/>
                <w:color w:val="auto"/>
                <w:sz w:val="22"/>
                <w:szCs w:val="22"/>
                <w:lang w:eastAsia="en-GB"/>
              </w:rPr>
              <w:tab/>
            </w:r>
            <w:r w:rsidR="006537F3" w:rsidRPr="00CB32EA">
              <w:rPr>
                <w:rStyle w:val="Hyperlink"/>
                <w:noProof/>
                <w:lang w:val="en-US"/>
              </w:rPr>
              <w:t>Conduct and Conflicts of interest</w:t>
            </w:r>
            <w:r w:rsidR="006537F3">
              <w:rPr>
                <w:noProof/>
                <w:webHidden/>
              </w:rPr>
              <w:tab/>
            </w:r>
            <w:r w:rsidR="006537F3">
              <w:rPr>
                <w:noProof/>
                <w:webHidden/>
              </w:rPr>
              <w:fldChar w:fldCharType="begin"/>
            </w:r>
            <w:r w:rsidR="006537F3">
              <w:rPr>
                <w:noProof/>
                <w:webHidden/>
              </w:rPr>
              <w:instrText xml:space="preserve"> PAGEREF _Toc142046295 \h </w:instrText>
            </w:r>
            <w:r w:rsidR="006537F3">
              <w:rPr>
                <w:noProof/>
                <w:webHidden/>
              </w:rPr>
            </w:r>
            <w:r w:rsidR="006537F3">
              <w:rPr>
                <w:noProof/>
                <w:webHidden/>
              </w:rPr>
              <w:fldChar w:fldCharType="separate"/>
            </w:r>
            <w:r w:rsidR="006537F3">
              <w:rPr>
                <w:noProof/>
                <w:webHidden/>
              </w:rPr>
              <w:t>6</w:t>
            </w:r>
            <w:r w:rsidR="006537F3">
              <w:rPr>
                <w:noProof/>
                <w:webHidden/>
              </w:rPr>
              <w:fldChar w:fldCharType="end"/>
            </w:r>
          </w:hyperlink>
        </w:p>
        <w:p w14:paraId="103B0DCA" w14:textId="7BC89824" w:rsidR="00C00D19" w:rsidRPr="00AB124C" w:rsidRDefault="00C00D19" w:rsidP="00AB124C">
          <w:pPr>
            <w:jc w:val="both"/>
          </w:pPr>
          <w:r w:rsidRPr="00AB124C">
            <w:rPr>
              <w:b/>
              <w:bCs/>
              <w:noProof/>
            </w:rPr>
            <w:fldChar w:fldCharType="end"/>
          </w:r>
        </w:p>
      </w:sdtContent>
    </w:sdt>
    <w:p w14:paraId="6550ADED" w14:textId="78BF7F5E" w:rsidR="00D85C57" w:rsidRDefault="00D85C57" w:rsidP="00AB124C">
      <w:pPr>
        <w:jc w:val="both"/>
        <w:rPr>
          <w:b/>
          <w:color w:val="FF0000"/>
          <w:lang w:val="en-US"/>
        </w:rPr>
      </w:pPr>
    </w:p>
    <w:p w14:paraId="65862545" w14:textId="52874AE2" w:rsidR="00AE7F59" w:rsidRPr="007B70EA" w:rsidRDefault="00AE7F59" w:rsidP="00AB124C">
      <w:pPr>
        <w:jc w:val="both"/>
        <w:rPr>
          <w:color w:val="auto"/>
          <w:lang w:val="en-US"/>
        </w:rPr>
      </w:pPr>
      <w:r w:rsidRPr="007B70EA">
        <w:rPr>
          <w:color w:val="auto"/>
          <w:lang w:val="en-US"/>
        </w:rPr>
        <w:t xml:space="preserve">Appendix 1- Site map/ layout  </w:t>
      </w:r>
    </w:p>
    <w:p w14:paraId="5D2D927B" w14:textId="77777777" w:rsidR="00415D04" w:rsidRPr="00AB124C" w:rsidRDefault="00415D04" w:rsidP="00AB124C">
      <w:pPr>
        <w:jc w:val="both"/>
        <w:rPr>
          <w:rFonts w:eastAsiaTheme="majorEastAsia"/>
          <w:b/>
          <w:color w:val="auto"/>
          <w:u w:val="single"/>
          <w:lang w:val="en-US"/>
        </w:rPr>
      </w:pPr>
      <w:r w:rsidRPr="00AB124C">
        <w:rPr>
          <w:lang w:val="en-US"/>
        </w:rPr>
        <w:br w:type="page"/>
      </w:r>
    </w:p>
    <w:p w14:paraId="38596508" w14:textId="77777777" w:rsidR="00C00D19" w:rsidRPr="00AB124C" w:rsidRDefault="00C00D19" w:rsidP="00AB124C">
      <w:pPr>
        <w:pStyle w:val="Heading1"/>
        <w:numPr>
          <w:ilvl w:val="0"/>
          <w:numId w:val="1"/>
        </w:numPr>
        <w:ind w:left="426" w:hanging="426"/>
        <w:jc w:val="both"/>
        <w:rPr>
          <w:rFonts w:cs="Arial"/>
          <w:szCs w:val="24"/>
          <w:lang w:val="en-US"/>
        </w:rPr>
      </w:pPr>
      <w:bookmarkStart w:id="0" w:name="_Toc142046285"/>
      <w:r w:rsidRPr="00AB124C">
        <w:rPr>
          <w:rFonts w:cs="Arial"/>
          <w:szCs w:val="24"/>
          <w:lang w:val="en-US"/>
        </w:rPr>
        <w:lastRenderedPageBreak/>
        <w:t>Introduction</w:t>
      </w:r>
      <w:bookmarkEnd w:id="0"/>
    </w:p>
    <w:p w14:paraId="186650F4" w14:textId="70AC7C9E" w:rsidR="00D85C57" w:rsidRPr="00AB124C" w:rsidRDefault="00D85C57" w:rsidP="00AB124C">
      <w:pPr>
        <w:jc w:val="both"/>
        <w:rPr>
          <w:color w:val="4F81BD" w:themeColor="accent1"/>
          <w:lang w:val="en-US"/>
        </w:rPr>
      </w:pPr>
    </w:p>
    <w:p w14:paraId="283C5D7C" w14:textId="73E03902" w:rsidR="00D85C57" w:rsidRPr="00AE7F59" w:rsidRDefault="00D85C57" w:rsidP="00AB124C">
      <w:pPr>
        <w:jc w:val="both"/>
        <w:rPr>
          <w:color w:val="auto"/>
          <w:lang w:val="en-US"/>
        </w:rPr>
      </w:pPr>
      <w:r w:rsidRPr="00AE7F59">
        <w:rPr>
          <w:color w:val="auto"/>
          <w:lang w:val="en-US"/>
        </w:rPr>
        <w:t>Gosport Borough Council (</w:t>
      </w:r>
      <w:r w:rsidR="00AE7F59" w:rsidRPr="00AE7F59">
        <w:rPr>
          <w:color w:val="auto"/>
          <w:lang w:val="en-US"/>
        </w:rPr>
        <w:t>GBC) is inviting quotations for the supply and delivery of a PA system to f</w:t>
      </w:r>
      <w:r w:rsidR="002D750A">
        <w:rPr>
          <w:color w:val="auto"/>
          <w:lang w:val="en-US"/>
        </w:rPr>
        <w:t>acilitate Remembrance Sunday (10 November 2024</w:t>
      </w:r>
      <w:r w:rsidR="00AE7F59" w:rsidRPr="00AE7F59">
        <w:rPr>
          <w:color w:val="auto"/>
          <w:lang w:val="en-US"/>
        </w:rPr>
        <w:t xml:space="preserve">) </w:t>
      </w:r>
    </w:p>
    <w:p w14:paraId="2EDB2468" w14:textId="77777777" w:rsidR="00D85C57" w:rsidRPr="00AE7F59" w:rsidRDefault="00D85C57" w:rsidP="00AB124C">
      <w:pPr>
        <w:jc w:val="both"/>
        <w:rPr>
          <w:color w:val="auto"/>
          <w:lang w:val="en-US"/>
        </w:rPr>
      </w:pPr>
    </w:p>
    <w:p w14:paraId="281072C3" w14:textId="544FFA1A" w:rsidR="008320E9" w:rsidRPr="00AE7F59" w:rsidRDefault="00D85C57" w:rsidP="00AB124C">
      <w:pPr>
        <w:jc w:val="both"/>
        <w:rPr>
          <w:color w:val="auto"/>
          <w:lang w:val="en-US"/>
        </w:rPr>
      </w:pPr>
      <w:r w:rsidRPr="00AE7F59">
        <w:rPr>
          <w:color w:val="auto"/>
          <w:lang w:val="en-US"/>
        </w:rPr>
        <w:t>GBC</w:t>
      </w:r>
      <w:r w:rsidR="008320E9" w:rsidRPr="00AE7F59">
        <w:rPr>
          <w:color w:val="auto"/>
          <w:lang w:val="en-US"/>
        </w:rPr>
        <w:t xml:space="preserve"> is a small local government authority located</w:t>
      </w:r>
      <w:r w:rsidR="00AE7F59" w:rsidRPr="00AE7F59">
        <w:rPr>
          <w:color w:val="auto"/>
          <w:lang w:val="en-US"/>
        </w:rPr>
        <w:t xml:space="preserve"> in Gosport, Hampshire and is conducting this procurement to achieve a successful Remembrance Parade for the </w:t>
      </w:r>
      <w:r w:rsidR="007B70EA">
        <w:rPr>
          <w:color w:val="auto"/>
          <w:lang w:val="en-US"/>
        </w:rPr>
        <w:t xml:space="preserve">local residents and community. </w:t>
      </w:r>
      <w:r w:rsidR="00AE7F59" w:rsidRPr="00AE7F59">
        <w:rPr>
          <w:color w:val="auto"/>
          <w:lang w:val="en-US"/>
        </w:rPr>
        <w:t xml:space="preserve"> </w:t>
      </w:r>
    </w:p>
    <w:p w14:paraId="1A0F7989" w14:textId="115DBB0C" w:rsidR="00C00D19" w:rsidRPr="00AB124C" w:rsidRDefault="00C00D19" w:rsidP="00AB124C">
      <w:pPr>
        <w:pStyle w:val="Heading1"/>
        <w:numPr>
          <w:ilvl w:val="0"/>
          <w:numId w:val="1"/>
        </w:numPr>
        <w:ind w:left="426" w:hanging="426"/>
        <w:jc w:val="both"/>
        <w:rPr>
          <w:rFonts w:cs="Arial"/>
          <w:szCs w:val="24"/>
          <w:lang w:val="en-US"/>
        </w:rPr>
      </w:pPr>
      <w:bookmarkStart w:id="1" w:name="_Toc142046286"/>
      <w:r w:rsidRPr="00AB124C">
        <w:rPr>
          <w:rFonts w:cs="Arial"/>
          <w:szCs w:val="24"/>
          <w:lang w:val="en-US"/>
        </w:rPr>
        <w:t>Specification / Requirements</w:t>
      </w:r>
      <w:bookmarkEnd w:id="1"/>
    </w:p>
    <w:p w14:paraId="5EB63650" w14:textId="77777777" w:rsidR="00C00D19" w:rsidRPr="00AB124C" w:rsidRDefault="00C00D19" w:rsidP="00AB124C">
      <w:pPr>
        <w:jc w:val="both"/>
        <w:rPr>
          <w:lang w:val="en-US"/>
        </w:rPr>
      </w:pPr>
    </w:p>
    <w:p w14:paraId="3AD00B2D" w14:textId="7582B1B5" w:rsidR="00302A14" w:rsidRPr="00D26691" w:rsidRDefault="00D26691" w:rsidP="00D26691">
      <w:pPr>
        <w:pStyle w:val="ListParagraph"/>
        <w:numPr>
          <w:ilvl w:val="0"/>
          <w:numId w:val="11"/>
        </w:numPr>
        <w:jc w:val="both"/>
        <w:rPr>
          <w:color w:val="auto"/>
          <w:lang w:val="en-US"/>
        </w:rPr>
      </w:pPr>
      <w:r w:rsidRPr="00D26691">
        <w:rPr>
          <w:color w:val="auto"/>
          <w:lang w:val="en-US"/>
        </w:rPr>
        <w:t xml:space="preserve">Site- Gosport War Memorial Hospital, Bury </w:t>
      </w:r>
      <w:r>
        <w:rPr>
          <w:color w:val="auto"/>
          <w:lang w:val="en-US"/>
        </w:rPr>
        <w:t>R</w:t>
      </w:r>
      <w:r w:rsidRPr="00D26691">
        <w:rPr>
          <w:color w:val="auto"/>
          <w:lang w:val="en-US"/>
        </w:rPr>
        <w:t>oad, Gosport, Hants, PO12 3PW</w:t>
      </w:r>
    </w:p>
    <w:p w14:paraId="412C0F4E" w14:textId="76C15CCB" w:rsidR="00D26691" w:rsidRDefault="007B70EA" w:rsidP="00D26691">
      <w:pPr>
        <w:pStyle w:val="ListParagraph"/>
        <w:numPr>
          <w:ilvl w:val="0"/>
          <w:numId w:val="11"/>
        </w:numPr>
        <w:jc w:val="both"/>
        <w:rPr>
          <w:color w:val="auto"/>
          <w:lang w:val="en-US"/>
        </w:rPr>
      </w:pPr>
      <w:r>
        <w:rPr>
          <w:color w:val="auto"/>
          <w:lang w:val="en-US"/>
        </w:rPr>
        <w:t xml:space="preserve">Times- Required from 0900 </w:t>
      </w:r>
      <w:r w:rsidR="00D26691" w:rsidRPr="00D26691">
        <w:rPr>
          <w:color w:val="auto"/>
          <w:lang w:val="en-US"/>
        </w:rPr>
        <w:t xml:space="preserve">until 1300 </w:t>
      </w:r>
    </w:p>
    <w:p w14:paraId="44C5D51D" w14:textId="05527F90" w:rsidR="00527208" w:rsidRDefault="00D26691" w:rsidP="00D26691">
      <w:pPr>
        <w:pStyle w:val="ListParagraph"/>
        <w:numPr>
          <w:ilvl w:val="0"/>
          <w:numId w:val="11"/>
        </w:numPr>
        <w:jc w:val="both"/>
        <w:rPr>
          <w:color w:val="auto"/>
          <w:lang w:val="en-US"/>
        </w:rPr>
      </w:pPr>
      <w:r>
        <w:rPr>
          <w:color w:val="auto"/>
          <w:lang w:val="en-US"/>
        </w:rPr>
        <w:t>To set up</w:t>
      </w:r>
      <w:r w:rsidR="000A3D31">
        <w:rPr>
          <w:color w:val="auto"/>
          <w:lang w:val="en-US"/>
        </w:rPr>
        <w:t xml:space="preserve"> and dissemble the PA system. The surrounding roads will be closed from 0930, set up can be any time from 0800. </w:t>
      </w:r>
      <w:r w:rsidR="00527208">
        <w:rPr>
          <w:color w:val="auto"/>
          <w:lang w:val="en-US"/>
        </w:rPr>
        <w:t>The event will have concluded b</w:t>
      </w:r>
      <w:r w:rsidR="006537F3">
        <w:rPr>
          <w:color w:val="auto"/>
          <w:lang w:val="en-US"/>
        </w:rPr>
        <w:t>y</w:t>
      </w:r>
      <w:r w:rsidR="00527208">
        <w:rPr>
          <w:color w:val="auto"/>
          <w:lang w:val="en-US"/>
        </w:rPr>
        <w:t xml:space="preserve"> 1230. </w:t>
      </w:r>
      <w:r w:rsidR="000A3D31">
        <w:rPr>
          <w:color w:val="auto"/>
          <w:lang w:val="en-US"/>
        </w:rPr>
        <w:t xml:space="preserve"> </w:t>
      </w:r>
    </w:p>
    <w:p w14:paraId="207D7BCA" w14:textId="6AC68787" w:rsidR="00D26691" w:rsidRDefault="00527208" w:rsidP="00D26691">
      <w:pPr>
        <w:pStyle w:val="ListParagraph"/>
        <w:numPr>
          <w:ilvl w:val="0"/>
          <w:numId w:val="11"/>
        </w:numPr>
        <w:jc w:val="both"/>
        <w:rPr>
          <w:color w:val="auto"/>
          <w:lang w:val="en-US"/>
        </w:rPr>
      </w:pPr>
      <w:r>
        <w:rPr>
          <w:color w:val="auto"/>
          <w:lang w:val="en-US"/>
        </w:rPr>
        <w:t xml:space="preserve">To be present throughout the ceremony/parade in case of any technical difficulties. </w:t>
      </w:r>
    </w:p>
    <w:p w14:paraId="3190DAFB" w14:textId="58AB72FA" w:rsidR="00D26691" w:rsidRDefault="00D26691" w:rsidP="00D26691">
      <w:pPr>
        <w:pStyle w:val="ListParagraph"/>
        <w:numPr>
          <w:ilvl w:val="0"/>
          <w:numId w:val="11"/>
        </w:numPr>
        <w:jc w:val="both"/>
        <w:rPr>
          <w:color w:val="auto"/>
          <w:lang w:val="en-US"/>
        </w:rPr>
      </w:pPr>
      <w:r>
        <w:rPr>
          <w:color w:val="auto"/>
          <w:lang w:val="en-US"/>
        </w:rPr>
        <w:t xml:space="preserve">To be available for a site visit approximately 1 month prior to the event </w:t>
      </w:r>
    </w:p>
    <w:p w14:paraId="5E8C6A7A" w14:textId="3F15306B" w:rsidR="00D26691" w:rsidRDefault="00D26691" w:rsidP="00D26691">
      <w:pPr>
        <w:pStyle w:val="ListParagraph"/>
        <w:numPr>
          <w:ilvl w:val="0"/>
          <w:numId w:val="11"/>
        </w:numPr>
        <w:jc w:val="both"/>
        <w:rPr>
          <w:color w:val="auto"/>
          <w:lang w:val="en-US"/>
        </w:rPr>
      </w:pPr>
      <w:r>
        <w:rPr>
          <w:color w:val="auto"/>
          <w:lang w:val="en-US"/>
        </w:rPr>
        <w:t xml:space="preserve">2x adjustable microphones along with speakers (number of speakers </w:t>
      </w:r>
      <w:r w:rsidR="00785D66">
        <w:rPr>
          <w:color w:val="auto"/>
          <w:lang w:val="en-US"/>
        </w:rPr>
        <w:t xml:space="preserve">is to be </w:t>
      </w:r>
      <w:r>
        <w:rPr>
          <w:color w:val="auto"/>
          <w:lang w:val="en-US"/>
        </w:rPr>
        <w:t xml:space="preserve">decided by the provider based on the attendance and site layout) </w:t>
      </w:r>
    </w:p>
    <w:p w14:paraId="06AFE64C" w14:textId="540138BA" w:rsidR="00D26691" w:rsidRDefault="00D26691" w:rsidP="00D26691">
      <w:pPr>
        <w:pStyle w:val="ListParagraph"/>
        <w:numPr>
          <w:ilvl w:val="0"/>
          <w:numId w:val="11"/>
        </w:numPr>
        <w:jc w:val="both"/>
        <w:rPr>
          <w:color w:val="auto"/>
          <w:lang w:val="en-US"/>
        </w:rPr>
      </w:pPr>
      <w:r>
        <w:rPr>
          <w:color w:val="auto"/>
          <w:lang w:val="en-US"/>
        </w:rPr>
        <w:t xml:space="preserve">Anticipated attendance </w:t>
      </w:r>
      <w:r w:rsidR="00B56683">
        <w:rPr>
          <w:color w:val="auto"/>
          <w:lang w:val="en-US"/>
        </w:rPr>
        <w:t>for the public is 1000</w:t>
      </w:r>
      <w:r>
        <w:rPr>
          <w:color w:val="auto"/>
          <w:lang w:val="en-US"/>
        </w:rPr>
        <w:t xml:space="preserve"> </w:t>
      </w:r>
    </w:p>
    <w:p w14:paraId="2E931C09" w14:textId="3581DFD3" w:rsidR="00643F40" w:rsidRDefault="00B56683" w:rsidP="00B56683">
      <w:pPr>
        <w:pStyle w:val="ListParagraph"/>
        <w:numPr>
          <w:ilvl w:val="0"/>
          <w:numId w:val="11"/>
        </w:numPr>
        <w:jc w:val="both"/>
        <w:rPr>
          <w:color w:val="auto"/>
          <w:lang w:val="en-US"/>
        </w:rPr>
      </w:pPr>
      <w:r w:rsidRPr="00B56683">
        <w:rPr>
          <w:color w:val="auto"/>
          <w:lang w:val="en-US"/>
        </w:rPr>
        <w:t>Anticipated attendance for the parade and VIP</w:t>
      </w:r>
      <w:r>
        <w:rPr>
          <w:color w:val="auto"/>
          <w:lang w:val="en-US"/>
        </w:rPr>
        <w:t>’</w:t>
      </w:r>
      <w:r w:rsidRPr="00B56683">
        <w:rPr>
          <w:color w:val="auto"/>
          <w:lang w:val="en-US"/>
        </w:rPr>
        <w:t xml:space="preserve">s is 500 </w:t>
      </w:r>
    </w:p>
    <w:p w14:paraId="52746529" w14:textId="77777777" w:rsidR="007B70EA" w:rsidRPr="007B70EA" w:rsidRDefault="007B70EA" w:rsidP="007B70EA">
      <w:pPr>
        <w:pStyle w:val="ListParagraph"/>
        <w:jc w:val="both"/>
        <w:rPr>
          <w:color w:val="auto"/>
          <w:lang w:val="en-US"/>
        </w:rPr>
      </w:pPr>
    </w:p>
    <w:p w14:paraId="5CA75D29" w14:textId="3D3E4BC3" w:rsidR="00643F40" w:rsidRDefault="00643F40" w:rsidP="00643F40">
      <w:pPr>
        <w:rPr>
          <w:color w:val="auto"/>
          <w:lang w:val="en-US"/>
        </w:rPr>
      </w:pPr>
      <w:r w:rsidRPr="00B56683">
        <w:rPr>
          <w:color w:val="auto"/>
          <w:lang w:val="en-US"/>
        </w:rPr>
        <w:t xml:space="preserve">The </w:t>
      </w:r>
      <w:r w:rsidR="00BE0858" w:rsidRPr="00B56683">
        <w:rPr>
          <w:color w:val="auto"/>
          <w:lang w:val="en-US"/>
        </w:rPr>
        <w:t>Supplier</w:t>
      </w:r>
      <w:r w:rsidRPr="00B56683">
        <w:rPr>
          <w:color w:val="auto"/>
          <w:lang w:val="en-US"/>
        </w:rPr>
        <w:t xml:space="preserve"> must offer open lines of communication via phone and email for GBC staff to receive advice and discuss requirements.  This must be available Monday to Friday from 9am until 5pm.</w:t>
      </w:r>
    </w:p>
    <w:p w14:paraId="19ED5D4C" w14:textId="7D11A3BA" w:rsidR="007B70EA" w:rsidRDefault="007B70EA" w:rsidP="00643F40">
      <w:pPr>
        <w:rPr>
          <w:color w:val="auto"/>
          <w:lang w:val="en-US"/>
        </w:rPr>
      </w:pPr>
    </w:p>
    <w:p w14:paraId="28C303D1" w14:textId="2D4011FD" w:rsidR="007B70EA" w:rsidRDefault="007B70EA" w:rsidP="00643F40">
      <w:pPr>
        <w:rPr>
          <w:color w:val="auto"/>
          <w:lang w:val="en-US"/>
        </w:rPr>
      </w:pPr>
    </w:p>
    <w:p w14:paraId="0DFED195" w14:textId="7507D1FF" w:rsidR="007B70EA" w:rsidRDefault="007B70EA" w:rsidP="00643F40">
      <w:pPr>
        <w:rPr>
          <w:color w:val="auto"/>
          <w:lang w:val="en-US"/>
        </w:rPr>
      </w:pPr>
    </w:p>
    <w:p w14:paraId="48101B5F" w14:textId="53F8A759" w:rsidR="007B70EA" w:rsidRDefault="007B70EA" w:rsidP="00643F40">
      <w:pPr>
        <w:rPr>
          <w:color w:val="auto"/>
          <w:lang w:val="en-US"/>
        </w:rPr>
      </w:pPr>
    </w:p>
    <w:p w14:paraId="0538E5BD" w14:textId="0322C6A8" w:rsidR="007B70EA" w:rsidRDefault="007B70EA" w:rsidP="00643F40">
      <w:pPr>
        <w:rPr>
          <w:color w:val="auto"/>
          <w:lang w:val="en-US"/>
        </w:rPr>
      </w:pPr>
    </w:p>
    <w:p w14:paraId="1BADCA35" w14:textId="24D7D465" w:rsidR="00643F40" w:rsidRPr="00643F40" w:rsidRDefault="00643F40" w:rsidP="00643F40">
      <w:pPr>
        <w:jc w:val="both"/>
        <w:rPr>
          <w:color w:val="FF0000"/>
          <w:lang w:val="en-US"/>
        </w:rPr>
      </w:pPr>
    </w:p>
    <w:p w14:paraId="753324B3" w14:textId="77777777" w:rsidR="00C00D19" w:rsidRPr="00AB124C" w:rsidRDefault="00C00D19" w:rsidP="00AB124C">
      <w:pPr>
        <w:pStyle w:val="Heading1"/>
        <w:numPr>
          <w:ilvl w:val="0"/>
          <w:numId w:val="1"/>
        </w:numPr>
        <w:ind w:left="426" w:hanging="426"/>
        <w:jc w:val="both"/>
        <w:rPr>
          <w:rFonts w:cs="Arial"/>
          <w:szCs w:val="24"/>
          <w:lang w:val="en-US"/>
        </w:rPr>
      </w:pPr>
      <w:bookmarkStart w:id="2" w:name="_Toc142046287"/>
      <w:r w:rsidRPr="00AB124C">
        <w:rPr>
          <w:rFonts w:cs="Arial"/>
          <w:szCs w:val="24"/>
          <w:lang w:val="en-US"/>
        </w:rPr>
        <w:lastRenderedPageBreak/>
        <w:t>Health and Safety</w:t>
      </w:r>
      <w:bookmarkEnd w:id="2"/>
    </w:p>
    <w:p w14:paraId="4613D1E0" w14:textId="77777777" w:rsidR="00C00D19" w:rsidRPr="00AB124C" w:rsidRDefault="00C00D19" w:rsidP="00AB124C">
      <w:pPr>
        <w:ind w:left="426" w:hanging="426"/>
        <w:jc w:val="both"/>
        <w:rPr>
          <w:lang w:val="en-US"/>
        </w:rPr>
      </w:pPr>
    </w:p>
    <w:p w14:paraId="5C4044AF" w14:textId="5A57E04A" w:rsidR="00B56683" w:rsidRDefault="00940B45" w:rsidP="00B56683">
      <w:pPr>
        <w:jc w:val="both"/>
        <w:rPr>
          <w:lang w:val="en-US"/>
        </w:rPr>
      </w:pPr>
      <w:r>
        <w:rPr>
          <w:lang w:val="en-US"/>
        </w:rPr>
        <w:t>Risk assessment</w:t>
      </w:r>
      <w:r w:rsidR="001004DF">
        <w:rPr>
          <w:lang w:val="en-US"/>
        </w:rPr>
        <w:t xml:space="preserve"> and method statement</w:t>
      </w:r>
      <w:r>
        <w:rPr>
          <w:lang w:val="en-US"/>
        </w:rPr>
        <w:t xml:space="preserve"> to be provided</w:t>
      </w:r>
      <w:r w:rsidR="001004DF">
        <w:rPr>
          <w:lang w:val="en-US"/>
        </w:rPr>
        <w:t xml:space="preserve">. All electrical equipment must be pat tested and labelled. </w:t>
      </w:r>
    </w:p>
    <w:p w14:paraId="63604404" w14:textId="77777777" w:rsidR="00B56683" w:rsidRPr="00B56683" w:rsidRDefault="00B56683" w:rsidP="00B56683">
      <w:pPr>
        <w:jc w:val="both"/>
        <w:rPr>
          <w:color w:val="FF0000"/>
          <w:lang w:val="en-US"/>
        </w:rPr>
      </w:pPr>
    </w:p>
    <w:p w14:paraId="24A043DB" w14:textId="77777777" w:rsidR="00C00D19" w:rsidRPr="00AB124C" w:rsidRDefault="00C00D19" w:rsidP="00AB124C">
      <w:pPr>
        <w:pStyle w:val="Heading1"/>
        <w:numPr>
          <w:ilvl w:val="0"/>
          <w:numId w:val="1"/>
        </w:numPr>
        <w:ind w:left="426" w:hanging="426"/>
        <w:jc w:val="both"/>
        <w:rPr>
          <w:rFonts w:cs="Arial"/>
          <w:szCs w:val="24"/>
          <w:lang w:val="en-US"/>
        </w:rPr>
      </w:pPr>
      <w:bookmarkStart w:id="3" w:name="_Toc142046288"/>
      <w:r w:rsidRPr="00AB124C">
        <w:rPr>
          <w:rFonts w:cs="Arial"/>
          <w:szCs w:val="24"/>
          <w:lang w:val="en-US"/>
        </w:rPr>
        <w:t>Insurance</w:t>
      </w:r>
      <w:bookmarkEnd w:id="3"/>
    </w:p>
    <w:p w14:paraId="09F164EC" w14:textId="0574AD7A" w:rsidR="00415D04" w:rsidRPr="00B56683" w:rsidRDefault="00415D04" w:rsidP="00AB124C">
      <w:pPr>
        <w:autoSpaceDE w:val="0"/>
        <w:autoSpaceDN w:val="0"/>
        <w:adjustRightInd w:val="0"/>
        <w:spacing w:line="240" w:lineRule="auto"/>
        <w:jc w:val="both"/>
        <w:rPr>
          <w:color w:val="auto"/>
        </w:rPr>
      </w:pPr>
      <w:r w:rsidRPr="00B56683">
        <w:rPr>
          <w:color w:val="auto"/>
        </w:rPr>
        <w:t xml:space="preserve">The </w:t>
      </w:r>
      <w:r w:rsidR="00BE0858" w:rsidRPr="00B56683">
        <w:rPr>
          <w:color w:val="auto"/>
        </w:rPr>
        <w:t>Supplier</w:t>
      </w:r>
      <w:r w:rsidRPr="00B56683">
        <w:rPr>
          <w:color w:val="auto"/>
        </w:rPr>
        <w:t xml:space="preserve"> will maintain the following insurance cover for the duration of the commission and provide evidence of cover to the Council at any time whe</w:t>
      </w:r>
      <w:r w:rsidR="00BE0858" w:rsidRPr="00B56683">
        <w:rPr>
          <w:color w:val="auto"/>
        </w:rPr>
        <w:t>n requested by</w:t>
      </w:r>
      <w:r w:rsidRPr="00B56683">
        <w:rPr>
          <w:color w:val="auto"/>
        </w:rPr>
        <w:t xml:space="preserve"> GBC.</w:t>
      </w:r>
    </w:p>
    <w:p w14:paraId="0CB96DAE" w14:textId="77777777" w:rsidR="00415D04" w:rsidRPr="00B56683" w:rsidRDefault="00415D04" w:rsidP="00AB124C">
      <w:pPr>
        <w:autoSpaceDE w:val="0"/>
        <w:autoSpaceDN w:val="0"/>
        <w:adjustRightInd w:val="0"/>
        <w:spacing w:line="240" w:lineRule="auto"/>
        <w:jc w:val="both"/>
        <w:rPr>
          <w:color w:val="auto"/>
        </w:rPr>
      </w:pPr>
    </w:p>
    <w:tbl>
      <w:tblPr>
        <w:tblStyle w:val="TableGrid"/>
        <w:tblW w:w="0" w:type="auto"/>
        <w:jc w:val="center"/>
        <w:tblLook w:val="04A0" w:firstRow="1" w:lastRow="0" w:firstColumn="1" w:lastColumn="0" w:noHBand="0" w:noVBand="1"/>
      </w:tblPr>
      <w:tblGrid>
        <w:gridCol w:w="2977"/>
        <w:gridCol w:w="3260"/>
      </w:tblGrid>
      <w:tr w:rsidR="00415D04" w:rsidRPr="00B56683" w14:paraId="550FCC91" w14:textId="77777777" w:rsidTr="00415D04">
        <w:trPr>
          <w:jc w:val="center"/>
        </w:trPr>
        <w:tc>
          <w:tcPr>
            <w:tcW w:w="2977" w:type="dxa"/>
            <w:shd w:val="clear" w:color="auto" w:fill="F2F2F2" w:themeFill="background1" w:themeFillShade="F2"/>
          </w:tcPr>
          <w:p w14:paraId="40B16BAD" w14:textId="77777777" w:rsidR="00415D04" w:rsidRPr="00B56683" w:rsidRDefault="00415D04" w:rsidP="00AB124C">
            <w:pPr>
              <w:autoSpaceDE w:val="0"/>
              <w:autoSpaceDN w:val="0"/>
              <w:adjustRightInd w:val="0"/>
              <w:ind w:left="142"/>
              <w:jc w:val="both"/>
              <w:rPr>
                <w:rFonts w:ascii="Arial" w:hAnsi="Arial" w:cs="Arial"/>
                <w:b/>
              </w:rPr>
            </w:pPr>
            <w:r w:rsidRPr="00B56683">
              <w:rPr>
                <w:rFonts w:ascii="Arial" w:hAnsi="Arial" w:cs="Arial"/>
                <w:b/>
              </w:rPr>
              <w:t>Insurance:</w:t>
            </w:r>
          </w:p>
        </w:tc>
        <w:tc>
          <w:tcPr>
            <w:tcW w:w="3260" w:type="dxa"/>
            <w:shd w:val="clear" w:color="auto" w:fill="F2F2F2" w:themeFill="background1" w:themeFillShade="F2"/>
          </w:tcPr>
          <w:p w14:paraId="717C9FEA" w14:textId="77777777" w:rsidR="00415D04" w:rsidRPr="00B56683" w:rsidRDefault="00415D04" w:rsidP="00AB124C">
            <w:pPr>
              <w:autoSpaceDE w:val="0"/>
              <w:autoSpaceDN w:val="0"/>
              <w:adjustRightInd w:val="0"/>
              <w:ind w:left="57" w:hanging="57"/>
              <w:jc w:val="both"/>
              <w:rPr>
                <w:rFonts w:ascii="Arial" w:hAnsi="Arial" w:cs="Arial"/>
                <w:b/>
              </w:rPr>
            </w:pPr>
            <w:r w:rsidRPr="00B56683">
              <w:rPr>
                <w:rFonts w:ascii="Arial" w:hAnsi="Arial" w:cs="Arial"/>
                <w:b/>
              </w:rPr>
              <w:t>Minimum value required</w:t>
            </w:r>
          </w:p>
        </w:tc>
      </w:tr>
      <w:tr w:rsidR="00AB124C" w:rsidRPr="00B56683" w14:paraId="6BA705DC" w14:textId="77777777" w:rsidTr="00415D04">
        <w:trPr>
          <w:jc w:val="center"/>
        </w:trPr>
        <w:tc>
          <w:tcPr>
            <w:tcW w:w="2977" w:type="dxa"/>
          </w:tcPr>
          <w:p w14:paraId="5A27BA8E" w14:textId="77777777" w:rsidR="00415D04" w:rsidRPr="00B56683" w:rsidRDefault="00415D04" w:rsidP="00AB124C">
            <w:pPr>
              <w:autoSpaceDE w:val="0"/>
              <w:autoSpaceDN w:val="0"/>
              <w:adjustRightInd w:val="0"/>
              <w:ind w:left="142"/>
              <w:jc w:val="both"/>
              <w:rPr>
                <w:rFonts w:ascii="Arial" w:hAnsi="Arial" w:cs="Arial"/>
              </w:rPr>
            </w:pPr>
            <w:r w:rsidRPr="00B56683">
              <w:rPr>
                <w:rFonts w:ascii="Arial" w:hAnsi="Arial" w:cs="Arial"/>
              </w:rPr>
              <w:t xml:space="preserve">Public Liability </w:t>
            </w:r>
          </w:p>
        </w:tc>
        <w:tc>
          <w:tcPr>
            <w:tcW w:w="3260" w:type="dxa"/>
          </w:tcPr>
          <w:p w14:paraId="412CB84C" w14:textId="77777777" w:rsidR="00415D04" w:rsidRPr="00B56683" w:rsidRDefault="00415D04" w:rsidP="00AB124C">
            <w:pPr>
              <w:autoSpaceDE w:val="0"/>
              <w:autoSpaceDN w:val="0"/>
              <w:adjustRightInd w:val="0"/>
              <w:ind w:left="57" w:hanging="57"/>
              <w:jc w:val="both"/>
              <w:rPr>
                <w:rFonts w:ascii="Arial" w:hAnsi="Arial" w:cs="Arial"/>
              </w:rPr>
            </w:pPr>
            <w:r w:rsidRPr="00B56683">
              <w:rPr>
                <w:rFonts w:ascii="Arial" w:hAnsi="Arial" w:cs="Arial"/>
              </w:rPr>
              <w:t xml:space="preserve">£10 million </w:t>
            </w:r>
          </w:p>
        </w:tc>
      </w:tr>
      <w:tr w:rsidR="00B56683" w:rsidRPr="00B56683" w14:paraId="5D001469" w14:textId="77777777" w:rsidTr="00B56683">
        <w:trPr>
          <w:trHeight w:val="70"/>
          <w:jc w:val="center"/>
        </w:trPr>
        <w:tc>
          <w:tcPr>
            <w:tcW w:w="2977" w:type="dxa"/>
          </w:tcPr>
          <w:p w14:paraId="0198C95A" w14:textId="77777777" w:rsidR="00415D04" w:rsidRPr="00B56683" w:rsidRDefault="00415D04" w:rsidP="00AB124C">
            <w:pPr>
              <w:autoSpaceDE w:val="0"/>
              <w:autoSpaceDN w:val="0"/>
              <w:adjustRightInd w:val="0"/>
              <w:ind w:left="142"/>
              <w:jc w:val="both"/>
              <w:rPr>
                <w:rFonts w:ascii="Arial" w:hAnsi="Arial" w:cs="Arial"/>
              </w:rPr>
            </w:pPr>
            <w:r w:rsidRPr="00B56683">
              <w:rPr>
                <w:rFonts w:ascii="Arial" w:hAnsi="Arial" w:cs="Arial"/>
              </w:rPr>
              <w:t>Employee Liability</w:t>
            </w:r>
          </w:p>
        </w:tc>
        <w:tc>
          <w:tcPr>
            <w:tcW w:w="3260" w:type="dxa"/>
          </w:tcPr>
          <w:p w14:paraId="5D71420F" w14:textId="77777777" w:rsidR="00415D04" w:rsidRPr="00B56683" w:rsidRDefault="00415D04" w:rsidP="00AB124C">
            <w:pPr>
              <w:autoSpaceDE w:val="0"/>
              <w:autoSpaceDN w:val="0"/>
              <w:adjustRightInd w:val="0"/>
              <w:ind w:left="57" w:hanging="57"/>
              <w:jc w:val="both"/>
              <w:rPr>
                <w:rFonts w:ascii="Arial" w:hAnsi="Arial" w:cs="Arial"/>
              </w:rPr>
            </w:pPr>
            <w:r w:rsidRPr="00B56683">
              <w:rPr>
                <w:rFonts w:ascii="Arial" w:hAnsi="Arial" w:cs="Arial"/>
              </w:rPr>
              <w:t>£5 million</w:t>
            </w:r>
          </w:p>
        </w:tc>
      </w:tr>
      <w:tr w:rsidR="00AB124C" w:rsidRPr="00B56683" w14:paraId="2DCB685C" w14:textId="77777777" w:rsidTr="00415D04">
        <w:trPr>
          <w:jc w:val="center"/>
        </w:trPr>
        <w:tc>
          <w:tcPr>
            <w:tcW w:w="2977" w:type="dxa"/>
          </w:tcPr>
          <w:p w14:paraId="671BF914" w14:textId="77777777" w:rsidR="00415D04" w:rsidRPr="00B56683" w:rsidRDefault="00415D04" w:rsidP="00AB124C">
            <w:pPr>
              <w:autoSpaceDE w:val="0"/>
              <w:autoSpaceDN w:val="0"/>
              <w:adjustRightInd w:val="0"/>
              <w:ind w:left="142"/>
              <w:jc w:val="both"/>
              <w:rPr>
                <w:rFonts w:ascii="Arial" w:hAnsi="Arial" w:cs="Arial"/>
              </w:rPr>
            </w:pPr>
            <w:r w:rsidRPr="00B56683">
              <w:rPr>
                <w:rFonts w:ascii="Arial" w:hAnsi="Arial" w:cs="Arial"/>
              </w:rPr>
              <w:t xml:space="preserve">Professional Indemnity </w:t>
            </w:r>
          </w:p>
        </w:tc>
        <w:tc>
          <w:tcPr>
            <w:tcW w:w="3260" w:type="dxa"/>
          </w:tcPr>
          <w:p w14:paraId="372F548D" w14:textId="77777777" w:rsidR="00415D04" w:rsidRPr="00B56683" w:rsidRDefault="00415D04" w:rsidP="00AB124C">
            <w:pPr>
              <w:autoSpaceDE w:val="0"/>
              <w:autoSpaceDN w:val="0"/>
              <w:adjustRightInd w:val="0"/>
              <w:jc w:val="both"/>
              <w:rPr>
                <w:rFonts w:ascii="Arial" w:hAnsi="Arial" w:cs="Arial"/>
              </w:rPr>
            </w:pPr>
            <w:r w:rsidRPr="00B56683">
              <w:rPr>
                <w:rFonts w:ascii="Arial" w:hAnsi="Arial" w:cs="Arial"/>
              </w:rPr>
              <w:t>£1 million</w:t>
            </w:r>
          </w:p>
        </w:tc>
      </w:tr>
    </w:tbl>
    <w:p w14:paraId="6F6F61AB" w14:textId="77777777" w:rsidR="00415D04" w:rsidRPr="00AB124C" w:rsidRDefault="00415D04" w:rsidP="00AB124C">
      <w:pPr>
        <w:pStyle w:val="Default"/>
        <w:jc w:val="both"/>
        <w:rPr>
          <w:sz w:val="22"/>
          <w:szCs w:val="22"/>
        </w:rPr>
      </w:pPr>
    </w:p>
    <w:p w14:paraId="358E6CA1" w14:textId="77777777" w:rsidR="00C00D19" w:rsidRPr="00AB124C" w:rsidRDefault="00ED1BA4" w:rsidP="00AB124C">
      <w:pPr>
        <w:pStyle w:val="Heading1"/>
        <w:numPr>
          <w:ilvl w:val="0"/>
          <w:numId w:val="1"/>
        </w:numPr>
        <w:ind w:left="426" w:hanging="426"/>
        <w:jc w:val="both"/>
        <w:rPr>
          <w:rFonts w:cs="Arial"/>
          <w:szCs w:val="24"/>
          <w:lang w:val="en-US"/>
        </w:rPr>
      </w:pPr>
      <w:bookmarkStart w:id="4" w:name="_Toc142046289"/>
      <w:r>
        <w:rPr>
          <w:rFonts w:cs="Arial"/>
          <w:szCs w:val="24"/>
          <w:lang w:val="en-US"/>
        </w:rPr>
        <w:t xml:space="preserve">Procurement </w:t>
      </w:r>
      <w:r w:rsidR="00C00D19" w:rsidRPr="00AB124C">
        <w:rPr>
          <w:rFonts w:cs="Arial"/>
          <w:szCs w:val="24"/>
          <w:lang w:val="en-US"/>
        </w:rPr>
        <w:t>Timetable</w:t>
      </w:r>
      <w:bookmarkEnd w:id="4"/>
    </w:p>
    <w:p w14:paraId="33EA2073" w14:textId="673EF030" w:rsidR="00C00D19" w:rsidRPr="00AB124C" w:rsidRDefault="00C00D19" w:rsidP="00AB124C">
      <w:pPr>
        <w:ind w:left="426" w:hanging="426"/>
        <w:jc w:val="both"/>
        <w:rPr>
          <w:color w:val="FF0000"/>
          <w:lang w:val="en-US"/>
        </w:rPr>
      </w:pPr>
    </w:p>
    <w:tbl>
      <w:tblPr>
        <w:tblStyle w:val="TableGrid"/>
        <w:tblW w:w="0" w:type="auto"/>
        <w:tblInd w:w="108" w:type="dxa"/>
        <w:tblLook w:val="04A0" w:firstRow="1" w:lastRow="0" w:firstColumn="1" w:lastColumn="0" w:noHBand="0" w:noVBand="1"/>
      </w:tblPr>
      <w:tblGrid>
        <w:gridCol w:w="5254"/>
        <w:gridCol w:w="3654"/>
      </w:tblGrid>
      <w:tr w:rsidR="00A76F29" w:rsidRPr="00AB124C" w14:paraId="48627008" w14:textId="77777777" w:rsidTr="006537F3">
        <w:tc>
          <w:tcPr>
            <w:tcW w:w="5254" w:type="dxa"/>
          </w:tcPr>
          <w:p w14:paraId="37EBABF4" w14:textId="77777777" w:rsidR="00A76F29" w:rsidRPr="008D5A2C" w:rsidRDefault="00A76F29" w:rsidP="00AB124C">
            <w:pPr>
              <w:jc w:val="both"/>
              <w:rPr>
                <w:rFonts w:ascii="Arial" w:hAnsi="Arial" w:cs="Arial"/>
                <w:b/>
                <w:lang w:val="en-US"/>
              </w:rPr>
            </w:pPr>
            <w:r w:rsidRPr="008D5A2C">
              <w:rPr>
                <w:rFonts w:ascii="Arial" w:hAnsi="Arial" w:cs="Arial"/>
                <w:b/>
                <w:lang w:val="en-US"/>
              </w:rPr>
              <w:t>Event</w:t>
            </w:r>
          </w:p>
        </w:tc>
        <w:tc>
          <w:tcPr>
            <w:tcW w:w="3654" w:type="dxa"/>
          </w:tcPr>
          <w:p w14:paraId="673070C0" w14:textId="77777777" w:rsidR="00A76F29" w:rsidRPr="008D5A2C" w:rsidRDefault="00A76F29" w:rsidP="00AB124C">
            <w:pPr>
              <w:jc w:val="both"/>
              <w:rPr>
                <w:rFonts w:ascii="Arial" w:hAnsi="Arial" w:cs="Arial"/>
                <w:b/>
                <w:lang w:val="en-US"/>
              </w:rPr>
            </w:pPr>
            <w:r w:rsidRPr="008D5A2C">
              <w:rPr>
                <w:rFonts w:ascii="Arial" w:hAnsi="Arial" w:cs="Arial"/>
                <w:b/>
                <w:lang w:val="en-US"/>
              </w:rPr>
              <w:t>Indicative Date</w:t>
            </w:r>
          </w:p>
        </w:tc>
      </w:tr>
      <w:tr w:rsidR="00A76F29" w:rsidRPr="00AB124C" w14:paraId="4FCF6959" w14:textId="77777777" w:rsidTr="006537F3">
        <w:tc>
          <w:tcPr>
            <w:tcW w:w="5254" w:type="dxa"/>
          </w:tcPr>
          <w:p w14:paraId="0370CD89" w14:textId="77777777" w:rsidR="00C00D19" w:rsidRPr="008D5A2C" w:rsidRDefault="00A76F29" w:rsidP="00AB124C">
            <w:pPr>
              <w:jc w:val="both"/>
              <w:rPr>
                <w:rFonts w:ascii="Arial" w:hAnsi="Arial" w:cs="Arial"/>
                <w:lang w:val="en-US"/>
              </w:rPr>
            </w:pPr>
            <w:r w:rsidRPr="008D5A2C">
              <w:rPr>
                <w:rFonts w:ascii="Arial" w:hAnsi="Arial" w:cs="Arial"/>
                <w:lang w:val="en-US"/>
              </w:rPr>
              <w:t>Invitation to Quote published</w:t>
            </w:r>
          </w:p>
        </w:tc>
        <w:tc>
          <w:tcPr>
            <w:tcW w:w="3654" w:type="dxa"/>
          </w:tcPr>
          <w:p w14:paraId="74F10121" w14:textId="5F04EDCB" w:rsidR="008D5A2C" w:rsidRDefault="00D70C33" w:rsidP="00AB124C">
            <w:pPr>
              <w:jc w:val="both"/>
              <w:rPr>
                <w:rFonts w:ascii="Arial" w:hAnsi="Arial" w:cs="Arial"/>
                <w:lang w:val="en-US"/>
              </w:rPr>
            </w:pPr>
            <w:r>
              <w:rPr>
                <w:rFonts w:ascii="Arial" w:hAnsi="Arial" w:cs="Arial"/>
                <w:lang w:val="en-US"/>
              </w:rPr>
              <w:t>23</w:t>
            </w:r>
            <w:bookmarkStart w:id="5" w:name="_GoBack"/>
            <w:bookmarkEnd w:id="5"/>
            <w:r w:rsidR="002D750A">
              <w:rPr>
                <w:rFonts w:ascii="Arial" w:hAnsi="Arial" w:cs="Arial"/>
                <w:lang w:val="en-US"/>
              </w:rPr>
              <w:t>.07.24</w:t>
            </w:r>
          </w:p>
          <w:p w14:paraId="1989A018" w14:textId="0FB02E68" w:rsidR="007B70EA" w:rsidRPr="008D5A2C" w:rsidRDefault="007B70EA" w:rsidP="00AB124C">
            <w:pPr>
              <w:jc w:val="both"/>
              <w:rPr>
                <w:rFonts w:ascii="Arial" w:hAnsi="Arial" w:cs="Arial"/>
                <w:lang w:val="en-US"/>
              </w:rPr>
            </w:pPr>
          </w:p>
        </w:tc>
      </w:tr>
      <w:tr w:rsidR="00A76F29" w:rsidRPr="00AB124C" w14:paraId="247266EA" w14:textId="77777777" w:rsidTr="006537F3">
        <w:tc>
          <w:tcPr>
            <w:tcW w:w="5254" w:type="dxa"/>
          </w:tcPr>
          <w:p w14:paraId="1093C9A6" w14:textId="77777777" w:rsidR="00C00D19" w:rsidRPr="008D5A2C" w:rsidRDefault="00A76F29" w:rsidP="00AB124C">
            <w:pPr>
              <w:jc w:val="both"/>
              <w:rPr>
                <w:rFonts w:ascii="Arial" w:hAnsi="Arial" w:cs="Arial"/>
                <w:lang w:val="en-US"/>
              </w:rPr>
            </w:pPr>
            <w:r w:rsidRPr="008D5A2C">
              <w:rPr>
                <w:rFonts w:ascii="Arial" w:hAnsi="Arial" w:cs="Arial"/>
                <w:lang w:val="en-US"/>
              </w:rPr>
              <w:t>Deadline for clarifications</w:t>
            </w:r>
          </w:p>
        </w:tc>
        <w:tc>
          <w:tcPr>
            <w:tcW w:w="3654" w:type="dxa"/>
          </w:tcPr>
          <w:p w14:paraId="20641945" w14:textId="33A332A0" w:rsidR="00C00D19" w:rsidRDefault="002D750A" w:rsidP="00AB124C">
            <w:pPr>
              <w:jc w:val="both"/>
              <w:rPr>
                <w:rFonts w:ascii="Arial" w:hAnsi="Arial" w:cs="Arial"/>
                <w:lang w:val="en-US"/>
              </w:rPr>
            </w:pPr>
            <w:r>
              <w:rPr>
                <w:rFonts w:ascii="Arial" w:hAnsi="Arial" w:cs="Arial"/>
                <w:lang w:val="en-US"/>
              </w:rPr>
              <w:t>31.07.24</w:t>
            </w:r>
          </w:p>
          <w:p w14:paraId="10ABA8AB" w14:textId="31F85F13" w:rsidR="008D5A2C" w:rsidRPr="008D5A2C" w:rsidRDefault="008D5A2C" w:rsidP="00AB124C">
            <w:pPr>
              <w:jc w:val="both"/>
              <w:rPr>
                <w:rFonts w:ascii="Arial" w:hAnsi="Arial" w:cs="Arial"/>
                <w:lang w:val="en-US"/>
              </w:rPr>
            </w:pPr>
          </w:p>
        </w:tc>
      </w:tr>
      <w:tr w:rsidR="00A76F29" w:rsidRPr="00AB124C" w14:paraId="0116DC36" w14:textId="77777777" w:rsidTr="006537F3">
        <w:tc>
          <w:tcPr>
            <w:tcW w:w="5254" w:type="dxa"/>
          </w:tcPr>
          <w:p w14:paraId="53E2DABA" w14:textId="77777777" w:rsidR="00C00D19" w:rsidRPr="008D5A2C" w:rsidRDefault="00A76F29" w:rsidP="00AB124C">
            <w:pPr>
              <w:jc w:val="both"/>
              <w:rPr>
                <w:rFonts w:ascii="Arial" w:hAnsi="Arial" w:cs="Arial"/>
                <w:lang w:val="en-US"/>
              </w:rPr>
            </w:pPr>
            <w:r w:rsidRPr="008D5A2C">
              <w:rPr>
                <w:rFonts w:ascii="Arial" w:hAnsi="Arial" w:cs="Arial"/>
                <w:lang w:val="en-US"/>
              </w:rPr>
              <w:t>Deadline for receipt of quotes</w:t>
            </w:r>
          </w:p>
        </w:tc>
        <w:tc>
          <w:tcPr>
            <w:tcW w:w="3654" w:type="dxa"/>
          </w:tcPr>
          <w:p w14:paraId="787693E6" w14:textId="2AD1DF81" w:rsidR="00C00D19" w:rsidRDefault="002D750A" w:rsidP="00AB124C">
            <w:pPr>
              <w:jc w:val="both"/>
              <w:rPr>
                <w:rFonts w:ascii="Arial" w:hAnsi="Arial" w:cs="Arial"/>
                <w:lang w:val="en-US"/>
              </w:rPr>
            </w:pPr>
            <w:r>
              <w:rPr>
                <w:rFonts w:ascii="Arial" w:hAnsi="Arial" w:cs="Arial"/>
                <w:lang w:val="en-US"/>
              </w:rPr>
              <w:t>13.08.24- Noon</w:t>
            </w:r>
          </w:p>
          <w:p w14:paraId="40EDE27E" w14:textId="2A617948" w:rsidR="008D5A2C" w:rsidRPr="008D5A2C" w:rsidRDefault="008D5A2C" w:rsidP="00AB124C">
            <w:pPr>
              <w:jc w:val="both"/>
              <w:rPr>
                <w:rFonts w:ascii="Arial" w:hAnsi="Arial" w:cs="Arial"/>
                <w:lang w:val="en-US"/>
              </w:rPr>
            </w:pPr>
          </w:p>
        </w:tc>
      </w:tr>
      <w:tr w:rsidR="00A76F29" w:rsidRPr="00AB124C" w14:paraId="4124ACF9" w14:textId="77777777" w:rsidTr="006537F3">
        <w:tc>
          <w:tcPr>
            <w:tcW w:w="5254" w:type="dxa"/>
          </w:tcPr>
          <w:p w14:paraId="650AAE53" w14:textId="77777777" w:rsidR="00A76F29" w:rsidRPr="008D5A2C" w:rsidRDefault="00A76F29" w:rsidP="00AB124C">
            <w:pPr>
              <w:jc w:val="both"/>
              <w:rPr>
                <w:rFonts w:ascii="Arial" w:hAnsi="Arial" w:cs="Arial"/>
                <w:lang w:val="en-US"/>
              </w:rPr>
            </w:pPr>
            <w:r w:rsidRPr="008D5A2C">
              <w:rPr>
                <w:rFonts w:ascii="Arial" w:hAnsi="Arial" w:cs="Arial"/>
                <w:lang w:val="en-US"/>
              </w:rPr>
              <w:t>Evaluation completed by</w:t>
            </w:r>
          </w:p>
        </w:tc>
        <w:tc>
          <w:tcPr>
            <w:tcW w:w="3654" w:type="dxa"/>
          </w:tcPr>
          <w:p w14:paraId="75F9E6EC" w14:textId="67B0EC50" w:rsidR="00A76F29" w:rsidRDefault="00913E34" w:rsidP="00AB124C">
            <w:pPr>
              <w:jc w:val="both"/>
              <w:rPr>
                <w:rFonts w:ascii="Arial" w:hAnsi="Arial" w:cs="Arial"/>
                <w:lang w:val="en-US"/>
              </w:rPr>
            </w:pPr>
            <w:r>
              <w:rPr>
                <w:rFonts w:ascii="Arial" w:hAnsi="Arial" w:cs="Arial"/>
                <w:lang w:val="en-US"/>
              </w:rPr>
              <w:t>06.09</w:t>
            </w:r>
            <w:r w:rsidR="002D750A">
              <w:rPr>
                <w:rFonts w:ascii="Arial" w:hAnsi="Arial" w:cs="Arial"/>
                <w:lang w:val="en-US"/>
              </w:rPr>
              <w:t>.24</w:t>
            </w:r>
          </w:p>
          <w:p w14:paraId="65CE9485" w14:textId="5DC1FC53" w:rsidR="007B70EA" w:rsidRPr="008D5A2C" w:rsidRDefault="007B70EA" w:rsidP="00AB124C">
            <w:pPr>
              <w:jc w:val="both"/>
              <w:rPr>
                <w:rFonts w:ascii="Arial" w:hAnsi="Arial" w:cs="Arial"/>
                <w:lang w:val="en-US"/>
              </w:rPr>
            </w:pPr>
          </w:p>
        </w:tc>
      </w:tr>
      <w:tr w:rsidR="00A76F29" w:rsidRPr="00AB124C" w14:paraId="32EC7132" w14:textId="77777777" w:rsidTr="006537F3">
        <w:tc>
          <w:tcPr>
            <w:tcW w:w="5254" w:type="dxa"/>
          </w:tcPr>
          <w:p w14:paraId="370CB38F" w14:textId="77777777" w:rsidR="00A76F29" w:rsidRPr="008D5A2C" w:rsidRDefault="00A76F29" w:rsidP="00AB124C">
            <w:pPr>
              <w:jc w:val="both"/>
              <w:rPr>
                <w:rFonts w:ascii="Arial" w:hAnsi="Arial" w:cs="Arial"/>
                <w:lang w:val="en-US"/>
              </w:rPr>
            </w:pPr>
            <w:r w:rsidRPr="008D5A2C">
              <w:rPr>
                <w:rFonts w:ascii="Arial" w:hAnsi="Arial" w:cs="Arial"/>
                <w:lang w:val="en-US"/>
              </w:rPr>
              <w:t>Notification of award decision</w:t>
            </w:r>
          </w:p>
        </w:tc>
        <w:tc>
          <w:tcPr>
            <w:tcW w:w="3654" w:type="dxa"/>
          </w:tcPr>
          <w:p w14:paraId="5F6908D0" w14:textId="7FACECDA" w:rsidR="002D750A" w:rsidRDefault="002D750A" w:rsidP="00AB124C">
            <w:pPr>
              <w:jc w:val="both"/>
              <w:rPr>
                <w:rFonts w:ascii="Arial" w:hAnsi="Arial" w:cs="Arial"/>
                <w:lang w:val="en-US"/>
              </w:rPr>
            </w:pPr>
            <w:r>
              <w:rPr>
                <w:rFonts w:ascii="Arial" w:hAnsi="Arial" w:cs="Arial"/>
                <w:lang w:val="en-US"/>
              </w:rPr>
              <w:t>27.0</w:t>
            </w:r>
            <w:r w:rsidR="00294F22">
              <w:rPr>
                <w:rFonts w:ascii="Arial" w:hAnsi="Arial" w:cs="Arial"/>
                <w:lang w:val="en-US"/>
              </w:rPr>
              <w:t>9</w:t>
            </w:r>
            <w:r>
              <w:rPr>
                <w:rFonts w:ascii="Arial" w:hAnsi="Arial" w:cs="Arial"/>
                <w:lang w:val="en-US"/>
              </w:rPr>
              <w:t>.24</w:t>
            </w:r>
          </w:p>
          <w:p w14:paraId="7D514C63" w14:textId="08F5F949" w:rsidR="00A76F29" w:rsidRPr="008D5A2C" w:rsidRDefault="00415D04" w:rsidP="00AB124C">
            <w:pPr>
              <w:jc w:val="both"/>
              <w:rPr>
                <w:rFonts w:ascii="Arial" w:hAnsi="Arial" w:cs="Arial"/>
                <w:lang w:val="en-US"/>
              </w:rPr>
            </w:pPr>
            <w:r w:rsidRPr="008D5A2C">
              <w:rPr>
                <w:rFonts w:ascii="Arial" w:hAnsi="Arial" w:cs="Arial"/>
                <w:lang w:val="en-US"/>
              </w:rPr>
              <w:t xml:space="preserve"> </w:t>
            </w:r>
          </w:p>
        </w:tc>
      </w:tr>
      <w:tr w:rsidR="00A76F29" w:rsidRPr="00AB124C" w14:paraId="5D1ACF95" w14:textId="77777777" w:rsidTr="006537F3">
        <w:tc>
          <w:tcPr>
            <w:tcW w:w="5254" w:type="dxa"/>
          </w:tcPr>
          <w:p w14:paraId="33BF4F20" w14:textId="77777777" w:rsidR="00A76F29" w:rsidRPr="008D5A2C" w:rsidRDefault="00A76F29" w:rsidP="00AB124C">
            <w:pPr>
              <w:jc w:val="both"/>
              <w:rPr>
                <w:rFonts w:ascii="Arial" w:hAnsi="Arial" w:cs="Arial"/>
                <w:lang w:val="en-US"/>
              </w:rPr>
            </w:pPr>
            <w:r w:rsidRPr="008D5A2C">
              <w:rPr>
                <w:rFonts w:ascii="Arial" w:hAnsi="Arial" w:cs="Arial"/>
                <w:lang w:val="en-US"/>
              </w:rPr>
              <w:t>Commencement date</w:t>
            </w:r>
          </w:p>
        </w:tc>
        <w:tc>
          <w:tcPr>
            <w:tcW w:w="3654" w:type="dxa"/>
          </w:tcPr>
          <w:p w14:paraId="69B93607" w14:textId="39FE5A83" w:rsidR="00A76F29" w:rsidRDefault="007B70EA" w:rsidP="00387E47">
            <w:pPr>
              <w:jc w:val="both"/>
              <w:rPr>
                <w:rFonts w:ascii="Arial" w:hAnsi="Arial" w:cs="Arial"/>
                <w:lang w:val="en-US"/>
              </w:rPr>
            </w:pPr>
            <w:r>
              <w:rPr>
                <w:rFonts w:ascii="Arial" w:hAnsi="Arial" w:cs="Arial"/>
                <w:lang w:val="en-US"/>
              </w:rPr>
              <w:t>1</w:t>
            </w:r>
            <w:r w:rsidR="002D750A">
              <w:rPr>
                <w:rFonts w:ascii="Arial" w:hAnsi="Arial" w:cs="Arial"/>
                <w:lang w:val="en-US"/>
              </w:rPr>
              <w:t>0</w:t>
            </w:r>
            <w:r>
              <w:rPr>
                <w:rFonts w:ascii="Arial" w:hAnsi="Arial" w:cs="Arial"/>
                <w:lang w:val="en-US"/>
              </w:rPr>
              <w:t>.11.23</w:t>
            </w:r>
          </w:p>
          <w:p w14:paraId="4D4B4ECC" w14:textId="18D620E8" w:rsidR="007B70EA" w:rsidRPr="008D5A2C" w:rsidRDefault="007B70EA" w:rsidP="00387E47">
            <w:pPr>
              <w:jc w:val="both"/>
              <w:rPr>
                <w:rFonts w:ascii="Arial" w:hAnsi="Arial" w:cs="Arial"/>
                <w:lang w:val="en-US"/>
              </w:rPr>
            </w:pPr>
          </w:p>
        </w:tc>
      </w:tr>
      <w:tr w:rsidR="00A76F29" w:rsidRPr="00AB124C" w14:paraId="26C2E240" w14:textId="77777777" w:rsidTr="006537F3">
        <w:tc>
          <w:tcPr>
            <w:tcW w:w="5254" w:type="dxa"/>
          </w:tcPr>
          <w:p w14:paraId="689A8169" w14:textId="77777777" w:rsidR="00A76F29" w:rsidRPr="008D5A2C" w:rsidRDefault="00A76F29" w:rsidP="00AB124C">
            <w:pPr>
              <w:jc w:val="both"/>
              <w:rPr>
                <w:rFonts w:ascii="Arial" w:hAnsi="Arial" w:cs="Arial"/>
                <w:lang w:val="en-US"/>
              </w:rPr>
            </w:pPr>
            <w:r w:rsidRPr="008D5A2C">
              <w:rPr>
                <w:rFonts w:ascii="Arial" w:hAnsi="Arial" w:cs="Arial"/>
                <w:lang w:val="en-US"/>
              </w:rPr>
              <w:t>Completion date</w:t>
            </w:r>
          </w:p>
        </w:tc>
        <w:tc>
          <w:tcPr>
            <w:tcW w:w="3654" w:type="dxa"/>
          </w:tcPr>
          <w:p w14:paraId="56BCEA35" w14:textId="5C38490D" w:rsidR="00A76F29" w:rsidRDefault="002D750A" w:rsidP="00AB124C">
            <w:pPr>
              <w:jc w:val="both"/>
              <w:rPr>
                <w:rFonts w:ascii="Arial" w:hAnsi="Arial" w:cs="Arial"/>
                <w:lang w:val="en-US"/>
              </w:rPr>
            </w:pPr>
            <w:r>
              <w:rPr>
                <w:rFonts w:ascii="Arial" w:hAnsi="Arial" w:cs="Arial"/>
                <w:lang w:val="en-US"/>
              </w:rPr>
              <w:t>10</w:t>
            </w:r>
            <w:r w:rsidR="007B70EA">
              <w:rPr>
                <w:rFonts w:ascii="Arial" w:hAnsi="Arial" w:cs="Arial"/>
                <w:lang w:val="en-US"/>
              </w:rPr>
              <w:t>.11.23</w:t>
            </w:r>
          </w:p>
          <w:p w14:paraId="0A6383C5" w14:textId="635F368F" w:rsidR="007B70EA" w:rsidRPr="008D5A2C" w:rsidRDefault="007B70EA" w:rsidP="00AB124C">
            <w:pPr>
              <w:jc w:val="both"/>
              <w:rPr>
                <w:rFonts w:ascii="Arial" w:hAnsi="Arial" w:cs="Arial"/>
                <w:lang w:val="en-US"/>
              </w:rPr>
            </w:pPr>
          </w:p>
        </w:tc>
      </w:tr>
    </w:tbl>
    <w:p w14:paraId="1D6E883F" w14:textId="77777777" w:rsidR="00C00D19" w:rsidRPr="00AB124C" w:rsidRDefault="00C00D19" w:rsidP="00AB124C">
      <w:pPr>
        <w:ind w:left="426" w:hanging="426"/>
        <w:jc w:val="both"/>
        <w:rPr>
          <w:lang w:val="en-US"/>
        </w:rPr>
      </w:pPr>
    </w:p>
    <w:p w14:paraId="346D87F1" w14:textId="77777777" w:rsidR="001830B3" w:rsidRDefault="001830B3">
      <w:pPr>
        <w:rPr>
          <w:rFonts w:eastAsiaTheme="majorEastAsia"/>
          <w:b/>
          <w:color w:val="auto"/>
          <w:u w:val="single"/>
          <w:lang w:val="en-US"/>
        </w:rPr>
      </w:pPr>
      <w:r>
        <w:rPr>
          <w:lang w:val="en-US"/>
        </w:rPr>
        <w:br w:type="page"/>
      </w:r>
    </w:p>
    <w:p w14:paraId="69050516" w14:textId="77777777" w:rsidR="00C00D19" w:rsidRPr="00AB124C" w:rsidRDefault="00C00D19" w:rsidP="00AB124C">
      <w:pPr>
        <w:pStyle w:val="Heading1"/>
        <w:numPr>
          <w:ilvl w:val="0"/>
          <w:numId w:val="1"/>
        </w:numPr>
        <w:ind w:left="426" w:hanging="426"/>
        <w:jc w:val="both"/>
        <w:rPr>
          <w:rFonts w:cs="Arial"/>
          <w:szCs w:val="24"/>
          <w:lang w:val="en-US"/>
        </w:rPr>
      </w:pPr>
      <w:bookmarkStart w:id="6" w:name="_Toc142046290"/>
      <w:r w:rsidRPr="00AB124C">
        <w:rPr>
          <w:rFonts w:cs="Arial"/>
          <w:szCs w:val="24"/>
          <w:lang w:val="en-US"/>
        </w:rPr>
        <w:lastRenderedPageBreak/>
        <w:t>Instructions on submitting a response</w:t>
      </w:r>
      <w:bookmarkEnd w:id="6"/>
    </w:p>
    <w:p w14:paraId="00A10359" w14:textId="77777777" w:rsidR="00A76F29" w:rsidRPr="007B70EA" w:rsidRDefault="00A76F29" w:rsidP="00AB124C">
      <w:pPr>
        <w:ind w:left="426" w:hanging="426"/>
        <w:jc w:val="both"/>
        <w:rPr>
          <w:color w:val="auto"/>
          <w:lang w:val="en-US"/>
        </w:rPr>
      </w:pPr>
    </w:p>
    <w:p w14:paraId="78D1D06D" w14:textId="77777777" w:rsidR="00643F40" w:rsidRPr="007B70EA" w:rsidRDefault="00643F40" w:rsidP="00643F40">
      <w:pPr>
        <w:rPr>
          <w:color w:val="auto"/>
          <w:lang w:val="en-US"/>
        </w:rPr>
      </w:pPr>
      <w:r w:rsidRPr="007B70EA">
        <w:rPr>
          <w:color w:val="auto"/>
          <w:lang w:val="en-US"/>
        </w:rPr>
        <w:t xml:space="preserve">Responses/quotes must be uploaded via the </w:t>
      </w:r>
      <w:proofErr w:type="spellStart"/>
      <w:r w:rsidRPr="007B70EA">
        <w:rPr>
          <w:color w:val="auto"/>
          <w:lang w:val="en-US"/>
        </w:rPr>
        <w:t>Proactis</w:t>
      </w:r>
      <w:proofErr w:type="spellEnd"/>
      <w:r w:rsidRPr="007B70EA">
        <w:rPr>
          <w:color w:val="auto"/>
          <w:lang w:val="en-US"/>
        </w:rPr>
        <w:t xml:space="preserve"> portal, also known as the South East Business Portal: </w:t>
      </w:r>
      <w:hyperlink r:id="rId11" w:history="1">
        <w:r w:rsidRPr="007B70EA">
          <w:rPr>
            <w:rStyle w:val="Hyperlink"/>
            <w:color w:val="auto"/>
          </w:rPr>
          <w:t>https://sebp.due-north.com/</w:t>
        </w:r>
      </w:hyperlink>
      <w:r w:rsidR="003C72DD" w:rsidRPr="007B70EA">
        <w:rPr>
          <w:rStyle w:val="Hyperlink"/>
          <w:color w:val="auto"/>
          <w:u w:val="none"/>
        </w:rPr>
        <w:t xml:space="preserve">, </w:t>
      </w:r>
      <w:r w:rsidR="00FD0BAA" w:rsidRPr="007B70EA">
        <w:rPr>
          <w:rStyle w:val="Hyperlink"/>
          <w:color w:val="auto"/>
          <w:u w:val="none"/>
        </w:rPr>
        <w:t xml:space="preserve">and submitted </w:t>
      </w:r>
      <w:r w:rsidR="005E3F40" w:rsidRPr="007B70EA">
        <w:rPr>
          <w:color w:val="auto"/>
          <w:lang w:val="en-US"/>
        </w:rPr>
        <w:t xml:space="preserve">no later than the time and date specified in the </w:t>
      </w:r>
      <w:r w:rsidR="003C72DD" w:rsidRPr="007B70EA">
        <w:rPr>
          <w:color w:val="auto"/>
          <w:lang w:val="en-US"/>
        </w:rPr>
        <w:t>procurement</w:t>
      </w:r>
      <w:r w:rsidR="005E3F40" w:rsidRPr="007B70EA">
        <w:rPr>
          <w:color w:val="auto"/>
          <w:lang w:val="en-US"/>
        </w:rPr>
        <w:t xml:space="preserve"> timetable.</w:t>
      </w:r>
      <w:r w:rsidRPr="007B70EA">
        <w:rPr>
          <w:color w:val="auto"/>
          <w:lang w:val="en-US"/>
        </w:rPr>
        <w:t xml:space="preserve"> </w:t>
      </w:r>
    </w:p>
    <w:p w14:paraId="2435D2D8" w14:textId="77777777" w:rsidR="005E3F40" w:rsidRPr="007B70EA" w:rsidRDefault="005E3F40" w:rsidP="00AB124C">
      <w:pPr>
        <w:jc w:val="both"/>
        <w:rPr>
          <w:color w:val="auto"/>
          <w:lang w:val="en-US"/>
        </w:rPr>
      </w:pPr>
    </w:p>
    <w:p w14:paraId="3FE67C04" w14:textId="6A3E825B" w:rsidR="005E3F40" w:rsidRPr="007B70EA" w:rsidRDefault="005E3F40" w:rsidP="00AB124C">
      <w:pPr>
        <w:jc w:val="both"/>
        <w:rPr>
          <w:color w:val="auto"/>
          <w:lang w:val="en-US"/>
        </w:rPr>
      </w:pPr>
      <w:r w:rsidRPr="007B70EA">
        <w:rPr>
          <w:color w:val="auto"/>
          <w:lang w:val="en-US"/>
        </w:rPr>
        <w:t>Your quote must include</w:t>
      </w:r>
      <w:r w:rsidR="007B70EA" w:rsidRPr="007B70EA">
        <w:rPr>
          <w:color w:val="auto"/>
          <w:lang w:val="en-US"/>
        </w:rPr>
        <w:t xml:space="preserve"> a breakdown of costs for equipment to hire and </w:t>
      </w:r>
      <w:r w:rsidR="00940B45">
        <w:rPr>
          <w:color w:val="auto"/>
          <w:lang w:val="en-US"/>
        </w:rPr>
        <w:t xml:space="preserve">sight of </w:t>
      </w:r>
      <w:r w:rsidR="007B70EA" w:rsidRPr="007B70EA">
        <w:rPr>
          <w:color w:val="auto"/>
          <w:lang w:val="en-US"/>
        </w:rPr>
        <w:t>your public liability insurance</w:t>
      </w:r>
      <w:r w:rsidR="00294F22">
        <w:rPr>
          <w:color w:val="auto"/>
          <w:lang w:val="en-US"/>
        </w:rPr>
        <w:t>, risk assessment and method statement</w:t>
      </w:r>
      <w:r w:rsidR="007B70EA" w:rsidRPr="007B70EA">
        <w:rPr>
          <w:color w:val="auto"/>
          <w:lang w:val="en-US"/>
        </w:rPr>
        <w:t xml:space="preserve">. </w:t>
      </w:r>
    </w:p>
    <w:p w14:paraId="08306D3D" w14:textId="77777777" w:rsidR="003E043C" w:rsidRPr="00AB124C" w:rsidRDefault="003E043C" w:rsidP="00AB124C">
      <w:pPr>
        <w:jc w:val="both"/>
        <w:rPr>
          <w:color w:val="4F81BD" w:themeColor="accent1"/>
          <w:lang w:val="en-US"/>
        </w:rPr>
      </w:pPr>
    </w:p>
    <w:p w14:paraId="44DB7116" w14:textId="77777777" w:rsidR="003E043C" w:rsidRPr="00AB124C" w:rsidRDefault="003E043C" w:rsidP="00AB124C">
      <w:pPr>
        <w:pStyle w:val="Heading1"/>
        <w:numPr>
          <w:ilvl w:val="0"/>
          <w:numId w:val="1"/>
        </w:numPr>
        <w:ind w:left="426" w:hanging="426"/>
        <w:jc w:val="both"/>
        <w:rPr>
          <w:rFonts w:cs="Arial"/>
          <w:lang w:val="en-US"/>
        </w:rPr>
      </w:pPr>
      <w:bookmarkStart w:id="7" w:name="_Toc125559717"/>
      <w:bookmarkStart w:id="8" w:name="_Toc142046291"/>
      <w:r w:rsidRPr="00AB124C">
        <w:rPr>
          <w:rFonts w:cs="Arial"/>
          <w:lang w:val="en-US"/>
        </w:rPr>
        <w:t>Clarifications</w:t>
      </w:r>
      <w:bookmarkEnd w:id="7"/>
      <w:bookmarkEnd w:id="8"/>
    </w:p>
    <w:p w14:paraId="676A8158" w14:textId="77777777" w:rsidR="003E043C" w:rsidRPr="003F77B1" w:rsidRDefault="003E043C" w:rsidP="00AB124C">
      <w:pPr>
        <w:jc w:val="both"/>
        <w:rPr>
          <w:color w:val="auto"/>
          <w:lang w:val="en-US"/>
        </w:rPr>
      </w:pPr>
      <w:r w:rsidRPr="003F77B1">
        <w:rPr>
          <w:color w:val="auto"/>
          <w:lang w:val="en-US"/>
        </w:rPr>
        <w:t xml:space="preserve">All requests for clarification should be submitted no later than the date specified in the Procurement timetable, using the messaging facility on the </w:t>
      </w:r>
      <w:proofErr w:type="spellStart"/>
      <w:r w:rsidRPr="003F77B1">
        <w:rPr>
          <w:color w:val="auto"/>
          <w:lang w:val="en-US"/>
        </w:rPr>
        <w:t>Proactis</w:t>
      </w:r>
      <w:proofErr w:type="spellEnd"/>
      <w:r w:rsidRPr="003F77B1">
        <w:rPr>
          <w:color w:val="auto"/>
          <w:lang w:val="en-US"/>
        </w:rPr>
        <w:t xml:space="preserve"> procurement portal.</w:t>
      </w:r>
    </w:p>
    <w:p w14:paraId="7BF0F916" w14:textId="77777777" w:rsidR="003E043C" w:rsidRPr="003F77B1" w:rsidRDefault="003E043C" w:rsidP="00AB124C">
      <w:pPr>
        <w:jc w:val="both"/>
        <w:rPr>
          <w:color w:val="auto"/>
          <w:lang w:val="en-US"/>
        </w:rPr>
      </w:pPr>
    </w:p>
    <w:p w14:paraId="6690C550" w14:textId="77777777" w:rsidR="003E043C" w:rsidRPr="003F77B1" w:rsidRDefault="003E043C" w:rsidP="00AB124C">
      <w:pPr>
        <w:jc w:val="both"/>
        <w:rPr>
          <w:color w:val="auto"/>
          <w:lang w:val="en-US"/>
        </w:rPr>
      </w:pPr>
      <w:r w:rsidRPr="003F77B1">
        <w:rPr>
          <w:color w:val="auto"/>
          <w:lang w:val="en-US"/>
        </w:rPr>
        <w:t xml:space="preserve">Questions received after the deadline date may not be answered. If the potential provider expresses that the question is confidential </w:t>
      </w:r>
      <w:r w:rsidRPr="007B70EA">
        <w:rPr>
          <w:color w:val="auto"/>
          <w:lang w:val="en-US"/>
        </w:rPr>
        <w:t>and GBC</w:t>
      </w:r>
      <w:r w:rsidRPr="003F77B1">
        <w:rPr>
          <w:color w:val="auto"/>
          <w:lang w:val="en-US"/>
        </w:rPr>
        <w:t xml:space="preserve"> agrees that it is, then the response will be sent only to the potential provider raising the question. If GBC disagrees, they will inform the potential provider and allow them to withdraw their question.</w:t>
      </w:r>
    </w:p>
    <w:p w14:paraId="5AEE85DF" w14:textId="77777777" w:rsidR="00D85C57" w:rsidRPr="003F77B1" w:rsidRDefault="00D85C57" w:rsidP="00AB124C">
      <w:pPr>
        <w:jc w:val="both"/>
        <w:rPr>
          <w:color w:val="auto"/>
          <w:lang w:val="en-US"/>
        </w:rPr>
      </w:pPr>
    </w:p>
    <w:p w14:paraId="0B92A6DD" w14:textId="5C43BDA9" w:rsidR="00D85C57" w:rsidRDefault="00D85C57" w:rsidP="00AB124C">
      <w:pPr>
        <w:jc w:val="both"/>
        <w:rPr>
          <w:color w:val="auto"/>
          <w:lang w:val="en-US"/>
        </w:rPr>
      </w:pPr>
      <w:r w:rsidRPr="003F77B1">
        <w:rPr>
          <w:color w:val="auto"/>
          <w:lang w:val="en-US"/>
        </w:rPr>
        <w:t xml:space="preserve">Suppliers may be required to clarify their submission. Requests for clarification will be issued via the messaging function on the </w:t>
      </w:r>
      <w:proofErr w:type="spellStart"/>
      <w:r w:rsidRPr="003F77B1">
        <w:rPr>
          <w:color w:val="auto"/>
          <w:lang w:val="en-US"/>
        </w:rPr>
        <w:t>Proactis</w:t>
      </w:r>
      <w:proofErr w:type="spellEnd"/>
      <w:r w:rsidRPr="003F77B1">
        <w:rPr>
          <w:color w:val="auto"/>
          <w:lang w:val="en-US"/>
        </w:rPr>
        <w:t xml:space="preserve"> portal. Suppliers are required to respond to requests for clarification as requested and, no later than within 3 working days.</w:t>
      </w:r>
    </w:p>
    <w:p w14:paraId="2DCFEC1D" w14:textId="2409866E" w:rsidR="007B70EA" w:rsidRDefault="007B70EA" w:rsidP="00AB124C">
      <w:pPr>
        <w:jc w:val="both"/>
        <w:rPr>
          <w:color w:val="auto"/>
          <w:lang w:val="en-US"/>
        </w:rPr>
      </w:pPr>
    </w:p>
    <w:p w14:paraId="1C76F557" w14:textId="40CF33DF" w:rsidR="007B70EA" w:rsidRDefault="007B70EA" w:rsidP="00AB124C">
      <w:pPr>
        <w:jc w:val="both"/>
        <w:rPr>
          <w:color w:val="auto"/>
          <w:lang w:val="en-US"/>
        </w:rPr>
      </w:pPr>
    </w:p>
    <w:p w14:paraId="6805CC39" w14:textId="54C18605" w:rsidR="007B70EA" w:rsidRDefault="007B70EA" w:rsidP="00AB124C">
      <w:pPr>
        <w:jc w:val="both"/>
        <w:rPr>
          <w:color w:val="auto"/>
          <w:lang w:val="en-US"/>
        </w:rPr>
      </w:pPr>
    </w:p>
    <w:p w14:paraId="1F3F5046" w14:textId="77777777" w:rsidR="007B70EA" w:rsidRPr="003F77B1" w:rsidRDefault="007B70EA" w:rsidP="00AB124C">
      <w:pPr>
        <w:jc w:val="both"/>
        <w:rPr>
          <w:color w:val="auto"/>
          <w:lang w:val="en-US"/>
        </w:rPr>
      </w:pPr>
    </w:p>
    <w:p w14:paraId="14182083" w14:textId="77777777" w:rsidR="00D85C57" w:rsidRPr="00AB124C" w:rsidRDefault="00D85C57" w:rsidP="00AB124C">
      <w:pPr>
        <w:jc w:val="both"/>
        <w:rPr>
          <w:color w:val="1F497D" w:themeColor="text2"/>
          <w:lang w:val="en-US"/>
        </w:rPr>
      </w:pPr>
    </w:p>
    <w:p w14:paraId="7CA40C37" w14:textId="77777777" w:rsidR="003E043C" w:rsidRPr="00AB124C" w:rsidRDefault="003E043C" w:rsidP="00AB124C">
      <w:pPr>
        <w:jc w:val="both"/>
        <w:rPr>
          <w:color w:val="4F81BD" w:themeColor="accent1"/>
          <w:lang w:val="en-US"/>
        </w:rPr>
      </w:pPr>
    </w:p>
    <w:p w14:paraId="3C7596E3" w14:textId="77777777" w:rsidR="00C00D19" w:rsidRPr="00AB124C" w:rsidRDefault="00C00D19" w:rsidP="00AB124C">
      <w:pPr>
        <w:pStyle w:val="Heading1"/>
        <w:numPr>
          <w:ilvl w:val="0"/>
          <w:numId w:val="1"/>
        </w:numPr>
        <w:ind w:left="426" w:hanging="426"/>
        <w:jc w:val="both"/>
        <w:rPr>
          <w:rFonts w:cs="Arial"/>
          <w:szCs w:val="24"/>
          <w:lang w:val="en-US"/>
        </w:rPr>
      </w:pPr>
      <w:bookmarkStart w:id="9" w:name="_Toc142046292"/>
      <w:r w:rsidRPr="00AB124C">
        <w:rPr>
          <w:rFonts w:cs="Arial"/>
          <w:szCs w:val="24"/>
          <w:lang w:val="en-US"/>
        </w:rPr>
        <w:lastRenderedPageBreak/>
        <w:t>Evaluation</w:t>
      </w:r>
      <w:bookmarkEnd w:id="9"/>
    </w:p>
    <w:p w14:paraId="062A5484" w14:textId="77777777" w:rsidR="00A76F29" w:rsidRPr="007B70EA" w:rsidRDefault="00A76F29" w:rsidP="00AB124C">
      <w:pPr>
        <w:jc w:val="both"/>
        <w:rPr>
          <w:color w:val="auto"/>
          <w:lang w:val="en-US"/>
        </w:rPr>
      </w:pPr>
    </w:p>
    <w:p w14:paraId="03758E02" w14:textId="77777777" w:rsidR="003E043C" w:rsidRPr="007B70EA" w:rsidRDefault="003E043C" w:rsidP="00AB124C">
      <w:pPr>
        <w:jc w:val="both"/>
        <w:rPr>
          <w:color w:val="auto"/>
          <w:lang w:val="en-US"/>
        </w:rPr>
      </w:pPr>
      <w:r w:rsidRPr="007B70EA">
        <w:rPr>
          <w:color w:val="auto"/>
          <w:lang w:val="en-US"/>
        </w:rPr>
        <w:t>Quotes received on time will be evaluated on best price, providing the quote meets the requirements stated in this ITQ.</w:t>
      </w:r>
    </w:p>
    <w:p w14:paraId="4FD58305" w14:textId="77777777" w:rsidR="003E043C" w:rsidRPr="00AB124C" w:rsidRDefault="003E043C" w:rsidP="00AB124C">
      <w:pPr>
        <w:jc w:val="both"/>
        <w:rPr>
          <w:color w:val="FF0000"/>
          <w:lang w:val="en-US"/>
        </w:rPr>
      </w:pPr>
    </w:p>
    <w:p w14:paraId="4D103BAB" w14:textId="77777777" w:rsidR="00C00D19" w:rsidRPr="00AB124C" w:rsidRDefault="00C00D19" w:rsidP="00AB124C">
      <w:pPr>
        <w:pStyle w:val="Heading1"/>
        <w:numPr>
          <w:ilvl w:val="0"/>
          <w:numId w:val="1"/>
        </w:numPr>
        <w:ind w:left="426" w:hanging="426"/>
        <w:jc w:val="both"/>
        <w:rPr>
          <w:rFonts w:cs="Arial"/>
          <w:szCs w:val="24"/>
          <w:lang w:val="en-US"/>
        </w:rPr>
      </w:pPr>
      <w:bookmarkStart w:id="10" w:name="_Toc142046293"/>
      <w:r w:rsidRPr="00AB124C">
        <w:rPr>
          <w:rFonts w:cs="Arial"/>
          <w:szCs w:val="24"/>
          <w:lang w:val="en-US"/>
        </w:rPr>
        <w:t>Award</w:t>
      </w:r>
      <w:bookmarkEnd w:id="10"/>
    </w:p>
    <w:p w14:paraId="2EFAB137" w14:textId="77777777" w:rsidR="007B70EA" w:rsidRDefault="007B70EA" w:rsidP="00AB124C">
      <w:pPr>
        <w:jc w:val="both"/>
        <w:rPr>
          <w:lang w:val="en-US"/>
        </w:rPr>
      </w:pPr>
    </w:p>
    <w:p w14:paraId="696F4414" w14:textId="54FDFDB3" w:rsidR="003E043C" w:rsidRPr="003F77B1" w:rsidRDefault="003E043C" w:rsidP="00AB124C">
      <w:pPr>
        <w:jc w:val="both"/>
        <w:rPr>
          <w:color w:val="auto"/>
          <w:lang w:val="en-US"/>
        </w:rPr>
      </w:pPr>
      <w:r w:rsidRPr="003F77B1">
        <w:rPr>
          <w:color w:val="auto"/>
          <w:lang w:val="en-US"/>
        </w:rPr>
        <w:t xml:space="preserve">The award decision will be notified via the </w:t>
      </w:r>
      <w:proofErr w:type="spellStart"/>
      <w:r w:rsidRPr="003F77B1">
        <w:rPr>
          <w:color w:val="auto"/>
          <w:lang w:val="en-US"/>
        </w:rPr>
        <w:t>Proactis</w:t>
      </w:r>
      <w:proofErr w:type="spellEnd"/>
      <w:r w:rsidRPr="003F77B1">
        <w:rPr>
          <w:color w:val="auto"/>
          <w:lang w:val="en-US"/>
        </w:rPr>
        <w:t xml:space="preserve"> portal after the deadline for responses has passed and the quotes have been evaluated. </w:t>
      </w:r>
    </w:p>
    <w:p w14:paraId="6C939BCA" w14:textId="77777777" w:rsidR="003E043C" w:rsidRPr="003F77B1" w:rsidRDefault="003E043C" w:rsidP="00AB124C">
      <w:pPr>
        <w:jc w:val="both"/>
        <w:rPr>
          <w:color w:val="auto"/>
          <w:lang w:val="en-US"/>
        </w:rPr>
      </w:pPr>
    </w:p>
    <w:p w14:paraId="75CC7D21" w14:textId="77777777" w:rsidR="003E043C" w:rsidRPr="003F77B1" w:rsidRDefault="003E043C" w:rsidP="00AB124C">
      <w:pPr>
        <w:jc w:val="both"/>
        <w:rPr>
          <w:color w:val="auto"/>
          <w:lang w:val="en-US"/>
        </w:rPr>
      </w:pPr>
      <w:r w:rsidRPr="003F77B1">
        <w:rPr>
          <w:color w:val="auto"/>
          <w:lang w:val="en-US"/>
        </w:rPr>
        <w:t>GBC reserve the right to decline to make an award, or to abandon or cancel the procurement process. GBC will not be responsible for any costs or expenses incurred as a result of following this course of action.</w:t>
      </w:r>
    </w:p>
    <w:p w14:paraId="40E958CB" w14:textId="77777777" w:rsidR="003E043C" w:rsidRPr="003F77B1" w:rsidRDefault="003E043C" w:rsidP="00AB124C">
      <w:pPr>
        <w:jc w:val="both"/>
        <w:rPr>
          <w:color w:val="auto"/>
          <w:lang w:val="en-US"/>
        </w:rPr>
      </w:pPr>
    </w:p>
    <w:p w14:paraId="53003CAF" w14:textId="77777777" w:rsidR="003E043C" w:rsidRPr="007B70EA" w:rsidRDefault="003E043C" w:rsidP="00AB124C">
      <w:pPr>
        <w:jc w:val="both"/>
        <w:rPr>
          <w:color w:val="auto"/>
          <w:lang w:val="en-US"/>
        </w:rPr>
      </w:pPr>
      <w:r w:rsidRPr="003F77B1">
        <w:rPr>
          <w:color w:val="auto"/>
          <w:lang w:val="en-US"/>
        </w:rPr>
        <w:t xml:space="preserve">Any costs incurred by the </w:t>
      </w:r>
      <w:r w:rsidR="00BE0858">
        <w:rPr>
          <w:color w:val="auto"/>
          <w:lang w:val="en-US"/>
        </w:rPr>
        <w:t>Supplier</w:t>
      </w:r>
      <w:r w:rsidRPr="003F77B1">
        <w:rPr>
          <w:color w:val="auto"/>
          <w:lang w:val="en-US"/>
        </w:rPr>
        <w:t xml:space="preserve"> in responding to this ITQ or in support of activities associated with the response to this ITQ are to be borne by the service provider and are not </w:t>
      </w:r>
      <w:r w:rsidRPr="007B70EA">
        <w:rPr>
          <w:color w:val="auto"/>
          <w:lang w:val="en-US"/>
        </w:rPr>
        <w:t>reimbursable by GBC.</w:t>
      </w:r>
    </w:p>
    <w:p w14:paraId="4B24F6B7" w14:textId="77777777" w:rsidR="00643F40" w:rsidRPr="007B70EA" w:rsidRDefault="00643F40" w:rsidP="00AB124C">
      <w:pPr>
        <w:jc w:val="both"/>
        <w:rPr>
          <w:color w:val="auto"/>
          <w:lang w:val="en-US"/>
        </w:rPr>
      </w:pPr>
    </w:p>
    <w:p w14:paraId="6419AEF5" w14:textId="00F8B6E7" w:rsidR="00643F40" w:rsidRPr="007B70EA" w:rsidRDefault="00643F40" w:rsidP="00AB124C">
      <w:pPr>
        <w:jc w:val="both"/>
        <w:rPr>
          <w:color w:val="auto"/>
          <w:lang w:val="en-US"/>
        </w:rPr>
      </w:pPr>
      <w:r w:rsidRPr="007B70EA">
        <w:rPr>
          <w:color w:val="auto"/>
          <w:lang w:val="en-US"/>
        </w:rPr>
        <w:t xml:space="preserve">Following award, </w:t>
      </w:r>
      <w:r w:rsidR="00C6735D" w:rsidRPr="007B70EA">
        <w:rPr>
          <w:color w:val="auto"/>
          <w:lang w:val="en-US"/>
        </w:rPr>
        <w:t>the Council shall order services via purchase order which is sent electronically via email. This document will include a unique reference number, which must be stated on associated documentation, such as delivery notes and invoices.</w:t>
      </w:r>
    </w:p>
    <w:p w14:paraId="4859DD19" w14:textId="77777777" w:rsidR="00C6735D" w:rsidRPr="007B70EA" w:rsidRDefault="00C6735D" w:rsidP="00AB124C">
      <w:pPr>
        <w:jc w:val="both"/>
        <w:rPr>
          <w:color w:val="auto"/>
          <w:lang w:val="en-US"/>
        </w:rPr>
      </w:pPr>
    </w:p>
    <w:p w14:paraId="3A83D7BB" w14:textId="48A6746B" w:rsidR="00C6735D" w:rsidRPr="007B70EA" w:rsidRDefault="00C6735D" w:rsidP="00C6735D">
      <w:pPr>
        <w:jc w:val="both"/>
        <w:rPr>
          <w:color w:val="auto"/>
          <w:lang w:val="en-US"/>
        </w:rPr>
      </w:pPr>
      <w:r w:rsidRPr="007B70EA">
        <w:rPr>
          <w:color w:val="auto"/>
          <w:lang w:val="en-US"/>
        </w:rPr>
        <w:t>The Council pay all invoices in arrears following completion of the service. The contractor shall provide the Council with an invoice within 30 days of service completion/goods delivered. Invoices must detail:</w:t>
      </w:r>
    </w:p>
    <w:p w14:paraId="6EF7FDFE" w14:textId="77777777" w:rsidR="00C6735D" w:rsidRPr="00387E47" w:rsidRDefault="00C6735D" w:rsidP="00C6735D">
      <w:pPr>
        <w:pStyle w:val="ListParagraph"/>
        <w:numPr>
          <w:ilvl w:val="0"/>
          <w:numId w:val="6"/>
        </w:numPr>
        <w:jc w:val="both"/>
        <w:rPr>
          <w:color w:val="auto"/>
          <w:lang w:val="en-US"/>
        </w:rPr>
      </w:pPr>
      <w:r w:rsidRPr="007B70EA">
        <w:rPr>
          <w:color w:val="auto"/>
          <w:lang w:val="en-US"/>
        </w:rPr>
        <w:t xml:space="preserve">The name and address of the Council Representative (as displayed </w:t>
      </w:r>
      <w:r w:rsidRPr="00387E47">
        <w:rPr>
          <w:color w:val="auto"/>
          <w:lang w:val="en-US"/>
        </w:rPr>
        <w:t>on the purchase order)</w:t>
      </w:r>
    </w:p>
    <w:p w14:paraId="3AD7EA0B"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name and address</w:t>
      </w:r>
    </w:p>
    <w:p w14:paraId="083A69B6"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bank details</w:t>
      </w:r>
    </w:p>
    <w:p w14:paraId="43F62A0F"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relevant Council Purchase Order number</w:t>
      </w:r>
    </w:p>
    <w:p w14:paraId="55B84B1A" w14:textId="77777777" w:rsidR="00C6735D" w:rsidRPr="007B70EA" w:rsidRDefault="00C6735D" w:rsidP="00C6735D">
      <w:pPr>
        <w:pStyle w:val="ListParagraph"/>
        <w:numPr>
          <w:ilvl w:val="0"/>
          <w:numId w:val="6"/>
        </w:numPr>
        <w:jc w:val="both"/>
        <w:rPr>
          <w:color w:val="auto"/>
          <w:lang w:val="en-US"/>
        </w:rPr>
      </w:pPr>
      <w:r w:rsidRPr="00387E47">
        <w:rPr>
          <w:color w:val="auto"/>
          <w:lang w:val="en-US"/>
        </w:rPr>
        <w:t xml:space="preserve">A unique </w:t>
      </w:r>
      <w:r w:rsidRPr="007B70EA">
        <w:rPr>
          <w:color w:val="auto"/>
          <w:lang w:val="en-US"/>
        </w:rPr>
        <w:t>invoice number</w:t>
      </w:r>
    </w:p>
    <w:p w14:paraId="1A26137E" w14:textId="2991D504" w:rsidR="00C6735D" w:rsidRPr="007B70EA" w:rsidRDefault="00C6735D" w:rsidP="00C6735D">
      <w:pPr>
        <w:pStyle w:val="ListParagraph"/>
        <w:numPr>
          <w:ilvl w:val="0"/>
          <w:numId w:val="6"/>
        </w:numPr>
        <w:jc w:val="both"/>
        <w:rPr>
          <w:color w:val="auto"/>
          <w:lang w:val="en-US"/>
        </w:rPr>
      </w:pPr>
      <w:r w:rsidRPr="007B70EA">
        <w:rPr>
          <w:color w:val="auto"/>
          <w:lang w:val="en-US"/>
        </w:rPr>
        <w:t xml:space="preserve">Full breakdown of the </w:t>
      </w:r>
      <w:r w:rsidR="007B70EA" w:rsidRPr="007B70EA">
        <w:rPr>
          <w:color w:val="auto"/>
          <w:lang w:val="en-US"/>
        </w:rPr>
        <w:t>service</w:t>
      </w:r>
      <w:r w:rsidRPr="007B70EA">
        <w:rPr>
          <w:color w:val="auto"/>
          <w:lang w:val="en-US"/>
        </w:rPr>
        <w:t xml:space="preserve"> provided</w:t>
      </w:r>
    </w:p>
    <w:p w14:paraId="41C68398" w14:textId="77777777" w:rsidR="00C6735D" w:rsidRPr="00387E47" w:rsidRDefault="00C6735D" w:rsidP="00C6735D">
      <w:pPr>
        <w:pStyle w:val="ListParagraph"/>
        <w:numPr>
          <w:ilvl w:val="0"/>
          <w:numId w:val="6"/>
        </w:numPr>
        <w:jc w:val="both"/>
        <w:rPr>
          <w:color w:val="auto"/>
          <w:lang w:val="en-US"/>
        </w:rPr>
      </w:pPr>
      <w:r w:rsidRPr="00387E47">
        <w:rPr>
          <w:color w:val="auto"/>
          <w:lang w:val="en-US"/>
        </w:rPr>
        <w:lastRenderedPageBreak/>
        <w:t>All costs, VAT charged and VAT number (if applicable)</w:t>
      </w:r>
    </w:p>
    <w:p w14:paraId="77B3283F" w14:textId="77777777" w:rsidR="00C6735D" w:rsidRPr="00387E47" w:rsidRDefault="00C6735D" w:rsidP="00AB124C">
      <w:pPr>
        <w:jc w:val="both"/>
        <w:rPr>
          <w:color w:val="auto"/>
          <w:lang w:val="en-US"/>
        </w:rPr>
      </w:pPr>
      <w:r w:rsidRPr="00387E47">
        <w:rPr>
          <w:color w:val="auto"/>
          <w:lang w:val="en-US"/>
        </w:rPr>
        <w:t>Invoice can be submitted via post or electronically via email, the email address will be displayed on the purchase order.</w:t>
      </w:r>
    </w:p>
    <w:p w14:paraId="2F1BE469" w14:textId="77777777" w:rsidR="00A76F29" w:rsidRPr="00AB124C" w:rsidRDefault="00A76F29" w:rsidP="00AB124C">
      <w:pPr>
        <w:jc w:val="both"/>
        <w:rPr>
          <w:color w:val="FF0000"/>
          <w:lang w:val="en-US"/>
        </w:rPr>
      </w:pPr>
    </w:p>
    <w:p w14:paraId="5C165CCB" w14:textId="77777777" w:rsidR="00A76F29" w:rsidRPr="00AB124C" w:rsidRDefault="00A76F29" w:rsidP="00AB124C">
      <w:pPr>
        <w:pStyle w:val="Heading1"/>
        <w:numPr>
          <w:ilvl w:val="0"/>
          <w:numId w:val="1"/>
        </w:numPr>
        <w:ind w:left="426" w:hanging="426"/>
        <w:jc w:val="both"/>
        <w:rPr>
          <w:rFonts w:cs="Arial"/>
          <w:lang w:val="en-US"/>
        </w:rPr>
      </w:pPr>
      <w:bookmarkStart w:id="11" w:name="_Toc142046294"/>
      <w:r w:rsidRPr="00AB124C">
        <w:rPr>
          <w:rFonts w:cs="Arial"/>
          <w:lang w:val="en-US"/>
        </w:rPr>
        <w:t>Terms and Conditions</w:t>
      </w:r>
      <w:bookmarkEnd w:id="11"/>
    </w:p>
    <w:p w14:paraId="52EB23C4" w14:textId="77777777" w:rsidR="007F23D5" w:rsidRPr="007B70EA" w:rsidRDefault="007F23D5" w:rsidP="00AB124C">
      <w:pPr>
        <w:spacing w:before="120" w:after="120" w:line="249" w:lineRule="auto"/>
        <w:ind w:left="-5" w:right="5" w:hanging="10"/>
        <w:jc w:val="both"/>
        <w:rPr>
          <w:color w:val="auto"/>
        </w:rPr>
      </w:pPr>
      <w:r w:rsidRPr="007B70EA">
        <w:rPr>
          <w:rFonts w:eastAsia="Verdana"/>
          <w:color w:val="auto"/>
        </w:rPr>
        <w:t xml:space="preserve">In submitting a response to this Invitation to Quote, </w:t>
      </w:r>
      <w:r w:rsidR="00BE0858" w:rsidRPr="007B70EA">
        <w:rPr>
          <w:rFonts w:eastAsia="Verdana"/>
          <w:color w:val="auto"/>
        </w:rPr>
        <w:t>potential Suppliers</w:t>
      </w:r>
      <w:r w:rsidRPr="007B70EA">
        <w:rPr>
          <w:rFonts w:eastAsia="Verdana"/>
          <w:color w:val="auto"/>
        </w:rPr>
        <w:t xml:space="preserve"> do so on the conditions set out in GBC’s standard Terms and Conditions, which are attached to this invitation.  In the event of any breach of the conditions, GBC shall be entitled to terminate any arrangement made as a result of such procurement. </w:t>
      </w:r>
    </w:p>
    <w:p w14:paraId="1796F7D7" w14:textId="77777777" w:rsidR="005D1421" w:rsidRDefault="005D1421" w:rsidP="00387E47">
      <w:pPr>
        <w:spacing w:before="120" w:after="120" w:line="249" w:lineRule="auto"/>
        <w:ind w:left="-5" w:right="5" w:hanging="10"/>
        <w:jc w:val="both"/>
        <w:rPr>
          <w:rFonts w:eastAsia="Verdana"/>
          <w:color w:val="4F81BD" w:themeColor="accent1"/>
        </w:rPr>
      </w:pPr>
    </w:p>
    <w:p w14:paraId="15AEABFB" w14:textId="77777777" w:rsidR="005D1421" w:rsidRPr="005D1421" w:rsidRDefault="005D1421" w:rsidP="005D1421">
      <w:pPr>
        <w:pStyle w:val="Heading1"/>
        <w:numPr>
          <w:ilvl w:val="0"/>
          <w:numId w:val="1"/>
        </w:numPr>
        <w:ind w:left="426" w:hanging="426"/>
        <w:jc w:val="both"/>
        <w:rPr>
          <w:rFonts w:cs="Arial"/>
          <w:lang w:val="en-US"/>
        </w:rPr>
      </w:pPr>
      <w:bookmarkStart w:id="12" w:name="_Toc142046295"/>
      <w:r>
        <w:rPr>
          <w:rFonts w:cs="Arial"/>
          <w:lang w:val="en-US"/>
        </w:rPr>
        <w:t xml:space="preserve">Conduct and </w:t>
      </w:r>
      <w:r w:rsidRPr="005D1421">
        <w:rPr>
          <w:rFonts w:cs="Arial"/>
          <w:lang w:val="en-US"/>
        </w:rPr>
        <w:t>Conflicts of interest</w:t>
      </w:r>
      <w:bookmarkEnd w:id="12"/>
    </w:p>
    <w:p w14:paraId="69086A7D" w14:textId="77777777" w:rsidR="005D1421" w:rsidRDefault="005D1421" w:rsidP="005D1421">
      <w:pPr>
        <w:jc w:val="both"/>
        <w:rPr>
          <w:color w:val="auto"/>
          <w:lang w:val="en-US"/>
        </w:rPr>
      </w:pPr>
    </w:p>
    <w:p w14:paraId="02EA20FE" w14:textId="77777777" w:rsidR="005D1421" w:rsidRDefault="005D1421" w:rsidP="005D1421">
      <w:pPr>
        <w:jc w:val="both"/>
        <w:rPr>
          <w:color w:val="auto"/>
          <w:lang w:val="en-US"/>
        </w:rPr>
      </w:pPr>
      <w:r>
        <w:rPr>
          <w:color w:val="auto"/>
          <w:lang w:val="en-US"/>
        </w:rPr>
        <w:t xml:space="preserve">The </w:t>
      </w:r>
      <w:r w:rsidR="00BE0858">
        <w:rPr>
          <w:color w:val="auto"/>
          <w:lang w:val="en-US"/>
        </w:rPr>
        <w:t>supplier</w:t>
      </w:r>
      <w:r w:rsidRPr="005D1421">
        <w:rPr>
          <w:color w:val="auto"/>
          <w:lang w:val="en-US"/>
        </w:rPr>
        <w:t xml:space="preserve"> shall not, before the date and time specified for return of the tender, communicate to any person the amount or approximate amount of the </w:t>
      </w:r>
      <w:r w:rsidR="00BE0858">
        <w:rPr>
          <w:color w:val="auto"/>
          <w:lang w:val="en-US"/>
        </w:rPr>
        <w:t>quote</w:t>
      </w:r>
      <w:r w:rsidRPr="005D1421">
        <w:rPr>
          <w:color w:val="auto"/>
          <w:lang w:val="en-US"/>
        </w:rPr>
        <w:t xml:space="preserve"> or proposed </w:t>
      </w:r>
      <w:r w:rsidR="00BE0858">
        <w:rPr>
          <w:color w:val="auto"/>
          <w:lang w:val="en-US"/>
        </w:rPr>
        <w:t>quote</w:t>
      </w:r>
      <w:r w:rsidRPr="005D1421">
        <w:rPr>
          <w:color w:val="auto"/>
          <w:lang w:val="en-US"/>
        </w:rPr>
        <w:t xml:space="preserve">, except where the disclosure in confidence of the approximate amount of </w:t>
      </w:r>
      <w:r w:rsidR="00BE0858">
        <w:rPr>
          <w:color w:val="auto"/>
          <w:lang w:val="en-US"/>
        </w:rPr>
        <w:t>quote</w:t>
      </w:r>
      <w:r w:rsidRPr="005D1421">
        <w:rPr>
          <w:color w:val="auto"/>
          <w:lang w:val="en-US"/>
        </w:rPr>
        <w:t xml:space="preserve"> is necessary to obtain insurance cover. </w:t>
      </w:r>
    </w:p>
    <w:p w14:paraId="6B00731B" w14:textId="77777777" w:rsidR="005D1421" w:rsidRPr="005D1421" w:rsidRDefault="005D1421" w:rsidP="005D1421">
      <w:pPr>
        <w:jc w:val="both"/>
        <w:rPr>
          <w:color w:val="auto"/>
          <w:lang w:val="en-US"/>
        </w:rPr>
      </w:pPr>
    </w:p>
    <w:p w14:paraId="0B4CD3EA" w14:textId="77777777" w:rsidR="005D1421" w:rsidRDefault="005D1421" w:rsidP="005D1421">
      <w:pPr>
        <w:jc w:val="both"/>
        <w:rPr>
          <w:color w:val="auto"/>
          <w:lang w:val="en-US"/>
        </w:rPr>
      </w:pPr>
      <w:r w:rsidRPr="005D1421">
        <w:rPr>
          <w:color w:val="auto"/>
          <w:lang w:val="en-US"/>
        </w:rPr>
        <w:t xml:space="preserve">The </w:t>
      </w:r>
      <w:r w:rsidR="00BE0858">
        <w:rPr>
          <w:color w:val="auto"/>
          <w:lang w:val="en-US"/>
        </w:rPr>
        <w:t>quote</w:t>
      </w:r>
      <w:r w:rsidRPr="005D1421">
        <w:rPr>
          <w:color w:val="auto"/>
          <w:lang w:val="en-US"/>
        </w:rPr>
        <w:t xml:space="preserve"> shall be a bona-fide </w:t>
      </w:r>
      <w:r w:rsidR="00BE0858">
        <w:rPr>
          <w:color w:val="auto"/>
          <w:lang w:val="en-US"/>
        </w:rPr>
        <w:t>quote</w:t>
      </w:r>
      <w:r w:rsidRPr="005D1421">
        <w:rPr>
          <w:color w:val="auto"/>
          <w:lang w:val="en-US"/>
        </w:rPr>
        <w:t xml:space="preserve"> and shall not be fixed or adjusted by</w:t>
      </w:r>
      <w:r w:rsidR="00BE0858">
        <w:rPr>
          <w:color w:val="auto"/>
          <w:lang w:val="en-US"/>
        </w:rPr>
        <w:t>,</w:t>
      </w:r>
      <w:r w:rsidRPr="005D1421">
        <w:rPr>
          <w:color w:val="auto"/>
          <w:lang w:val="en-US"/>
        </w:rPr>
        <w:t xml:space="preserve"> under</w:t>
      </w:r>
      <w:r w:rsidR="00BE0858">
        <w:rPr>
          <w:color w:val="auto"/>
          <w:lang w:val="en-US"/>
        </w:rPr>
        <w:t>,</w:t>
      </w:r>
      <w:r w:rsidRPr="005D1421">
        <w:rPr>
          <w:color w:val="auto"/>
          <w:lang w:val="en-US"/>
        </w:rPr>
        <w:t xml:space="preserve"> or in accordance with any agreement or arrangement with any other person. </w:t>
      </w:r>
    </w:p>
    <w:p w14:paraId="1D6A8137" w14:textId="77777777" w:rsidR="00BE0858" w:rsidRPr="005D1421" w:rsidRDefault="00BE0858" w:rsidP="005D1421">
      <w:pPr>
        <w:jc w:val="both"/>
        <w:rPr>
          <w:color w:val="auto"/>
          <w:lang w:val="en-US"/>
        </w:rPr>
      </w:pPr>
    </w:p>
    <w:p w14:paraId="19EBE038" w14:textId="77777777" w:rsidR="005D1421" w:rsidRDefault="00BE0858" w:rsidP="005D1421">
      <w:pPr>
        <w:jc w:val="both"/>
        <w:rPr>
          <w:color w:val="auto"/>
          <w:lang w:val="en-US"/>
        </w:rPr>
      </w:pPr>
      <w:r>
        <w:rPr>
          <w:color w:val="auto"/>
          <w:lang w:val="en-US"/>
        </w:rPr>
        <w:t>Suppliers</w:t>
      </w:r>
      <w:r w:rsidR="005D1421" w:rsidRPr="005D1421">
        <w:rPr>
          <w:color w:val="auto"/>
          <w:lang w:val="en-US"/>
        </w:rPr>
        <w:t xml:space="preserve"> shall not enter into any agreement or arrangement with any other person with the intent that the other person shall refrain from </w:t>
      </w:r>
      <w:r>
        <w:rPr>
          <w:color w:val="auto"/>
          <w:lang w:val="en-US"/>
        </w:rPr>
        <w:t>submitting a quote.</w:t>
      </w:r>
    </w:p>
    <w:p w14:paraId="09057187" w14:textId="77777777" w:rsidR="005D1421" w:rsidRPr="005D1421" w:rsidRDefault="005D1421" w:rsidP="005D1421">
      <w:pPr>
        <w:jc w:val="both"/>
        <w:rPr>
          <w:color w:val="auto"/>
          <w:lang w:val="en-US"/>
        </w:rPr>
      </w:pPr>
    </w:p>
    <w:p w14:paraId="30E10FD3" w14:textId="77777777" w:rsidR="005D1421" w:rsidRPr="005D1421" w:rsidRDefault="00BE0858" w:rsidP="005D1421">
      <w:pPr>
        <w:jc w:val="both"/>
        <w:rPr>
          <w:color w:val="auto"/>
          <w:lang w:val="en-US"/>
        </w:rPr>
      </w:pPr>
      <w:r>
        <w:rPr>
          <w:color w:val="auto"/>
          <w:lang w:val="en-US"/>
        </w:rPr>
        <w:t>Suppliers</w:t>
      </w:r>
      <w:r w:rsidR="005D1421" w:rsidRPr="005D1421">
        <w:rPr>
          <w:color w:val="auto"/>
          <w:lang w:val="en-US"/>
        </w:rPr>
        <w:t xml:space="preserve"> must not, in connection with the proposed </w:t>
      </w:r>
      <w:r>
        <w:rPr>
          <w:color w:val="auto"/>
          <w:lang w:val="en-US"/>
        </w:rPr>
        <w:t>quote</w:t>
      </w:r>
      <w:r w:rsidR="005D1421" w:rsidRPr="005D1421">
        <w:rPr>
          <w:color w:val="auto"/>
          <w:lang w:val="en-US"/>
        </w:rPr>
        <w:t xml:space="preserve">: </w:t>
      </w:r>
    </w:p>
    <w:p w14:paraId="4528EBF1" w14:textId="77777777" w:rsidR="005D1421" w:rsidRPr="00D36BB4" w:rsidRDefault="005D1421" w:rsidP="005D1421">
      <w:pPr>
        <w:pStyle w:val="ListParagraph"/>
        <w:numPr>
          <w:ilvl w:val="0"/>
          <w:numId w:val="10"/>
        </w:numPr>
        <w:spacing w:before="120" w:after="120" w:line="249" w:lineRule="auto"/>
        <w:ind w:right="5"/>
        <w:jc w:val="both"/>
      </w:pPr>
      <w:r w:rsidRPr="00D36BB4">
        <w:rPr>
          <w:rFonts w:eastAsia="Verdana"/>
        </w:rPr>
        <w:t>offer any inducement, fee or reward to any mem</w:t>
      </w:r>
      <w:r w:rsidR="00BE0858">
        <w:rPr>
          <w:rFonts w:eastAsia="Verdana"/>
        </w:rPr>
        <w:t>ber or officer of the Authority/Council</w:t>
      </w:r>
    </w:p>
    <w:p w14:paraId="4DF051AB" w14:textId="77777777" w:rsidR="005D1421" w:rsidRPr="00D36BB4" w:rsidRDefault="005D1421" w:rsidP="005D1421">
      <w:pPr>
        <w:pStyle w:val="ListParagraph"/>
        <w:numPr>
          <w:ilvl w:val="0"/>
          <w:numId w:val="10"/>
        </w:numPr>
        <w:spacing w:before="120" w:after="120" w:line="249" w:lineRule="auto"/>
        <w:ind w:right="5"/>
        <w:jc w:val="both"/>
      </w:pPr>
      <w:r w:rsidRPr="00D36BB4">
        <w:rPr>
          <w:rFonts w:eastAsia="Verdana"/>
        </w:rPr>
        <w:t xml:space="preserve">do anything which would constitute a breach of the Bribery Act 2010 or the Section 117 (2) Local Government Act 1972, or </w:t>
      </w:r>
    </w:p>
    <w:p w14:paraId="1779F426" w14:textId="77777777" w:rsidR="00BE0858" w:rsidRPr="00BE0858" w:rsidRDefault="005D1421" w:rsidP="005D1421">
      <w:pPr>
        <w:pStyle w:val="ListParagraph"/>
        <w:numPr>
          <w:ilvl w:val="0"/>
          <w:numId w:val="10"/>
        </w:numPr>
        <w:spacing w:before="120" w:after="120" w:line="249" w:lineRule="auto"/>
        <w:ind w:right="5"/>
        <w:jc w:val="both"/>
      </w:pPr>
      <w:r w:rsidRPr="00D36BB4">
        <w:rPr>
          <w:rFonts w:eastAsia="Verdana"/>
        </w:rPr>
        <w:t>canvass any of the persons referred to above in connectio</w:t>
      </w:r>
      <w:r w:rsidR="00BE0858">
        <w:rPr>
          <w:rFonts w:eastAsia="Verdana"/>
        </w:rPr>
        <w:t>n with the provision;</w:t>
      </w:r>
    </w:p>
    <w:p w14:paraId="3C982647" w14:textId="77777777" w:rsidR="005D1421" w:rsidRPr="00D36BB4" w:rsidRDefault="00BE0858" w:rsidP="00BE0858">
      <w:pPr>
        <w:pStyle w:val="ListParagraph"/>
        <w:numPr>
          <w:ilvl w:val="1"/>
          <w:numId w:val="10"/>
        </w:numPr>
        <w:spacing w:before="120" w:after="120" w:line="249" w:lineRule="auto"/>
        <w:ind w:right="5"/>
        <w:jc w:val="both"/>
      </w:pPr>
      <w:r>
        <w:rPr>
          <w:rFonts w:eastAsia="Verdana"/>
        </w:rPr>
        <w:t xml:space="preserve">or contact, </w:t>
      </w:r>
      <w:r w:rsidR="005D1421" w:rsidRPr="00D36BB4">
        <w:rPr>
          <w:rFonts w:eastAsia="Verdana"/>
        </w:rPr>
        <w:t>any member or officer of the Authority</w:t>
      </w:r>
      <w:r>
        <w:rPr>
          <w:rFonts w:eastAsia="Verdana"/>
        </w:rPr>
        <w:t>/Council</w:t>
      </w:r>
      <w:r w:rsidR="005D1421" w:rsidRPr="00D36BB4">
        <w:rPr>
          <w:rFonts w:eastAsia="Verdana"/>
        </w:rPr>
        <w:t xml:space="preserve"> or any person acting as an advisor to the Authority</w:t>
      </w:r>
      <w:r>
        <w:rPr>
          <w:rFonts w:eastAsia="Verdana"/>
        </w:rPr>
        <w:t>/Council</w:t>
      </w:r>
      <w:r w:rsidR="005D1421" w:rsidRPr="00D36BB4">
        <w:rPr>
          <w:rFonts w:eastAsia="Verdana"/>
        </w:rPr>
        <w:t xml:space="preserve"> (except as authorised by this Invitation to </w:t>
      </w:r>
      <w:r>
        <w:rPr>
          <w:rFonts w:eastAsia="Verdana"/>
        </w:rPr>
        <w:t>Quote</w:t>
      </w:r>
      <w:r w:rsidR="005D1421" w:rsidRPr="00D36BB4">
        <w:rPr>
          <w:rFonts w:eastAsia="Verdana"/>
        </w:rPr>
        <w:t xml:space="preserve"> for the purpose of asking genuine questions about the process or the </w:t>
      </w:r>
      <w:r>
        <w:rPr>
          <w:rFonts w:eastAsia="Verdana"/>
        </w:rPr>
        <w:t>provision</w:t>
      </w:r>
      <w:r w:rsidR="005D1421" w:rsidRPr="00D36BB4">
        <w:rPr>
          <w:rFonts w:eastAsia="Verdana"/>
        </w:rPr>
        <w:t xml:space="preserve">) about any aspect of the proposed </w:t>
      </w:r>
      <w:r>
        <w:rPr>
          <w:rFonts w:eastAsia="Verdana"/>
        </w:rPr>
        <w:t>provision</w:t>
      </w:r>
      <w:r w:rsidR="005D1421" w:rsidRPr="00D36BB4">
        <w:rPr>
          <w:rFonts w:eastAsia="Verdana"/>
        </w:rPr>
        <w:t xml:space="preserve"> or for soliciting information in connection therewith. </w:t>
      </w:r>
    </w:p>
    <w:p w14:paraId="34014EC8" w14:textId="77777777" w:rsidR="005D1421" w:rsidRDefault="008156A9" w:rsidP="005D1421">
      <w:pPr>
        <w:spacing w:before="120" w:after="120" w:line="249" w:lineRule="auto"/>
        <w:ind w:right="5"/>
        <w:rPr>
          <w:rFonts w:ascii="Verdana" w:eastAsia="Verdana" w:hAnsi="Verdana" w:cs="Verdana"/>
        </w:rPr>
      </w:pPr>
      <w:r>
        <w:rPr>
          <w:rFonts w:eastAsia="Verdana"/>
        </w:rPr>
        <w:lastRenderedPageBreak/>
        <w:t>Suppliers</w:t>
      </w:r>
      <w:r w:rsidR="005D1421" w:rsidRPr="00D36BB4">
        <w:rPr>
          <w:rFonts w:eastAsia="Verdana"/>
        </w:rPr>
        <w:t xml:space="preserve"> are responsible for ensuring that no conflicts of interest exist between the </w:t>
      </w:r>
      <w:r>
        <w:rPr>
          <w:rFonts w:eastAsia="Verdana"/>
        </w:rPr>
        <w:t>Supplier</w:t>
      </w:r>
      <w:r w:rsidR="005D1421" w:rsidRPr="00D36BB4">
        <w:rPr>
          <w:rFonts w:eastAsia="Verdana"/>
        </w:rPr>
        <w:t xml:space="preserve"> and its advisors and the C</w:t>
      </w:r>
      <w:r>
        <w:rPr>
          <w:rFonts w:eastAsia="Verdana"/>
        </w:rPr>
        <w:t>ouncil</w:t>
      </w:r>
      <w:r w:rsidR="005D1421" w:rsidRPr="00D36BB4">
        <w:rPr>
          <w:rFonts w:eastAsia="Verdana"/>
        </w:rPr>
        <w:t xml:space="preserve"> and its advisors.  Any </w:t>
      </w:r>
      <w:r>
        <w:rPr>
          <w:rFonts w:eastAsia="Verdana"/>
        </w:rPr>
        <w:t xml:space="preserve">Supplier </w:t>
      </w:r>
      <w:r w:rsidR="005D1421" w:rsidRPr="00D36BB4">
        <w:rPr>
          <w:rFonts w:eastAsia="Verdana"/>
        </w:rPr>
        <w:t xml:space="preserve">who fails to comply with this requirement may be disqualified from the procurement process at the discretion of the </w:t>
      </w:r>
      <w:r w:rsidR="00E571C6">
        <w:rPr>
          <w:rFonts w:eastAsia="Verdana"/>
        </w:rPr>
        <w:t>Council</w:t>
      </w:r>
      <w:r w:rsidR="005D1421" w:rsidRPr="00D36BB4">
        <w:rPr>
          <w:rFonts w:eastAsia="Verdana"/>
        </w:rPr>
        <w:t>. Any conflicts</w:t>
      </w:r>
      <w:r w:rsidR="00D36BB4" w:rsidRPr="00D36BB4">
        <w:rPr>
          <w:rFonts w:eastAsia="Verdana"/>
        </w:rPr>
        <w:t xml:space="preserve"> of interests</w:t>
      </w:r>
      <w:r w:rsidR="005D1421" w:rsidRPr="00D36BB4">
        <w:rPr>
          <w:rFonts w:eastAsia="Verdana"/>
        </w:rPr>
        <w:t xml:space="preserve"> must be declared to the Council at the earliest </w:t>
      </w:r>
      <w:r w:rsidR="00D36BB4" w:rsidRPr="00D36BB4">
        <w:rPr>
          <w:rFonts w:eastAsia="Verdana"/>
        </w:rPr>
        <w:t>opportunity.</w:t>
      </w:r>
    </w:p>
    <w:p w14:paraId="31381218" w14:textId="77777777" w:rsidR="005D1421" w:rsidRPr="005D1421" w:rsidRDefault="005D1421" w:rsidP="005D1421">
      <w:pPr>
        <w:spacing w:before="120" w:after="120" w:line="249" w:lineRule="auto"/>
        <w:ind w:right="5"/>
        <w:jc w:val="both"/>
      </w:pPr>
    </w:p>
    <w:p w14:paraId="4F1AE87A" w14:textId="77777777" w:rsidR="00387E47" w:rsidRPr="00AB124C" w:rsidRDefault="00387E47" w:rsidP="00387E47">
      <w:pPr>
        <w:spacing w:before="120" w:after="120" w:line="249" w:lineRule="auto"/>
        <w:ind w:left="-5" w:right="5" w:hanging="10"/>
        <w:jc w:val="both"/>
        <w:rPr>
          <w:color w:val="4F81BD" w:themeColor="accent1"/>
        </w:rPr>
      </w:pPr>
    </w:p>
    <w:p w14:paraId="56556E48" w14:textId="77777777" w:rsidR="00387E47" w:rsidRPr="00AB124C" w:rsidRDefault="00387E47" w:rsidP="00AB124C">
      <w:pPr>
        <w:jc w:val="both"/>
        <w:rPr>
          <w:color w:val="FF0000"/>
          <w:lang w:val="en-US"/>
        </w:rPr>
      </w:pPr>
    </w:p>
    <w:sectPr w:rsidR="00387E47" w:rsidRPr="00AB124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1580B" w14:textId="77777777" w:rsidR="001C2E74" w:rsidRDefault="001C2E74" w:rsidP="00A76F29">
      <w:pPr>
        <w:spacing w:line="240" w:lineRule="auto"/>
      </w:pPr>
      <w:r>
        <w:separator/>
      </w:r>
    </w:p>
  </w:endnote>
  <w:endnote w:type="continuationSeparator" w:id="0">
    <w:p w14:paraId="1FBB6F72" w14:textId="77777777" w:rsidR="001C2E74" w:rsidRDefault="001C2E74" w:rsidP="00A76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01867"/>
      <w:docPartObj>
        <w:docPartGallery w:val="Page Numbers (Bottom of Page)"/>
        <w:docPartUnique/>
      </w:docPartObj>
    </w:sdtPr>
    <w:sdtEndPr>
      <w:rPr>
        <w:noProof/>
      </w:rPr>
    </w:sdtEndPr>
    <w:sdtContent>
      <w:p w14:paraId="4844E9C1" w14:textId="4679F26E" w:rsidR="001C2E74" w:rsidRDefault="001C2E74">
        <w:pPr>
          <w:pStyle w:val="Footer"/>
          <w:jc w:val="right"/>
        </w:pPr>
        <w:r>
          <w:fldChar w:fldCharType="begin"/>
        </w:r>
        <w:r>
          <w:instrText xml:space="preserve"> PAGE   \* MERGEFORMAT </w:instrText>
        </w:r>
        <w:r>
          <w:fldChar w:fldCharType="separate"/>
        </w:r>
        <w:r w:rsidR="00D70C33">
          <w:rPr>
            <w:noProof/>
          </w:rPr>
          <w:t>7</w:t>
        </w:r>
        <w:r>
          <w:rPr>
            <w:noProof/>
          </w:rPr>
          <w:fldChar w:fldCharType="end"/>
        </w:r>
      </w:p>
    </w:sdtContent>
  </w:sdt>
  <w:p w14:paraId="16C879F1" w14:textId="77777777" w:rsidR="001C2E74" w:rsidRDefault="001C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6E2F" w14:textId="77777777" w:rsidR="001C2E74" w:rsidRDefault="001C2E74" w:rsidP="00A76F29">
      <w:pPr>
        <w:spacing w:line="240" w:lineRule="auto"/>
      </w:pPr>
      <w:r>
        <w:separator/>
      </w:r>
    </w:p>
  </w:footnote>
  <w:footnote w:type="continuationSeparator" w:id="0">
    <w:p w14:paraId="6545D8F7" w14:textId="77777777" w:rsidR="001C2E74" w:rsidRDefault="001C2E74" w:rsidP="00A76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1A3B" w14:textId="77777777" w:rsidR="001C2E74" w:rsidRDefault="001C2E74">
    <w:pPr>
      <w:pStyle w:val="Header"/>
    </w:pPr>
    <w:r>
      <w:tab/>
    </w:r>
    <w:r>
      <w:tab/>
    </w:r>
    <w:r>
      <w:rPr>
        <w:noProof/>
        <w:lang w:eastAsia="en-GB"/>
      </w:rPr>
      <w:drawing>
        <wp:inline distT="0" distB="0" distL="0" distR="0" wp14:anchorId="325FAF03" wp14:editId="1BC9D84A">
          <wp:extent cx="847725" cy="724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5687" cy="739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3C6"/>
    <w:multiLevelType w:val="hybridMultilevel"/>
    <w:tmpl w:val="6DC0C310"/>
    <w:lvl w:ilvl="0" w:tplc="DD2A140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B7F3B"/>
    <w:multiLevelType w:val="hybridMultilevel"/>
    <w:tmpl w:val="AE022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9492F"/>
    <w:multiLevelType w:val="hybridMultilevel"/>
    <w:tmpl w:val="A502B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268"/>
    <w:multiLevelType w:val="multilevel"/>
    <w:tmpl w:val="788039F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3A974E9"/>
    <w:multiLevelType w:val="hybridMultilevel"/>
    <w:tmpl w:val="1298D982"/>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901970"/>
    <w:multiLevelType w:val="hybridMultilevel"/>
    <w:tmpl w:val="686A2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614E"/>
    <w:multiLevelType w:val="hybridMultilevel"/>
    <w:tmpl w:val="6B2841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869A9"/>
    <w:multiLevelType w:val="hybridMultilevel"/>
    <w:tmpl w:val="8624B3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35C00"/>
    <w:multiLevelType w:val="hybridMultilevel"/>
    <w:tmpl w:val="47D8B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31A70"/>
    <w:multiLevelType w:val="hybridMultilevel"/>
    <w:tmpl w:val="F1BA082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91B4249"/>
    <w:multiLevelType w:val="hybridMultilevel"/>
    <w:tmpl w:val="1C1E1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3"/>
  </w:num>
  <w:num w:numId="5">
    <w:abstractNumId w:val="4"/>
  </w:num>
  <w:num w:numId="6">
    <w:abstractNumId w:val="9"/>
  </w:num>
  <w:num w:numId="7">
    <w:abstractNumId w:val="2"/>
  </w:num>
  <w:num w:numId="8">
    <w:abstractNumId w:val="5"/>
  </w:num>
  <w:num w:numId="9">
    <w:abstractNumId w:val="10"/>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19"/>
    <w:rsid w:val="00065C12"/>
    <w:rsid w:val="000771AE"/>
    <w:rsid w:val="000A3030"/>
    <w:rsid w:val="000A3D31"/>
    <w:rsid w:val="001004DF"/>
    <w:rsid w:val="001830B3"/>
    <w:rsid w:val="001C2E74"/>
    <w:rsid w:val="00216C1E"/>
    <w:rsid w:val="00294F22"/>
    <w:rsid w:val="002D750A"/>
    <w:rsid w:val="00302A14"/>
    <w:rsid w:val="00385C57"/>
    <w:rsid w:val="00387E47"/>
    <w:rsid w:val="003C72DD"/>
    <w:rsid w:val="003E043C"/>
    <w:rsid w:val="003F77B1"/>
    <w:rsid w:val="00415D04"/>
    <w:rsid w:val="004C22A4"/>
    <w:rsid w:val="00527208"/>
    <w:rsid w:val="00561108"/>
    <w:rsid w:val="005D1421"/>
    <w:rsid w:val="005E3F40"/>
    <w:rsid w:val="00643F40"/>
    <w:rsid w:val="006537F3"/>
    <w:rsid w:val="006835E8"/>
    <w:rsid w:val="006F338B"/>
    <w:rsid w:val="00785D66"/>
    <w:rsid w:val="007B70EA"/>
    <w:rsid w:val="007F23D5"/>
    <w:rsid w:val="00803094"/>
    <w:rsid w:val="008156A9"/>
    <w:rsid w:val="008320E9"/>
    <w:rsid w:val="00836A7E"/>
    <w:rsid w:val="008D5A2C"/>
    <w:rsid w:val="00913E34"/>
    <w:rsid w:val="00940B45"/>
    <w:rsid w:val="009716EA"/>
    <w:rsid w:val="00977363"/>
    <w:rsid w:val="00A64CCF"/>
    <w:rsid w:val="00A6728A"/>
    <w:rsid w:val="00A76F29"/>
    <w:rsid w:val="00AB124C"/>
    <w:rsid w:val="00AE7F59"/>
    <w:rsid w:val="00B56683"/>
    <w:rsid w:val="00BE0858"/>
    <w:rsid w:val="00C00D19"/>
    <w:rsid w:val="00C6735D"/>
    <w:rsid w:val="00CB34F0"/>
    <w:rsid w:val="00D26691"/>
    <w:rsid w:val="00D36BB4"/>
    <w:rsid w:val="00D70C33"/>
    <w:rsid w:val="00D85C57"/>
    <w:rsid w:val="00DC302E"/>
    <w:rsid w:val="00E47203"/>
    <w:rsid w:val="00E571C6"/>
    <w:rsid w:val="00E71AA6"/>
    <w:rsid w:val="00ED1BA4"/>
    <w:rsid w:val="00F736C9"/>
    <w:rsid w:val="00FD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727F"/>
  <w15:chartTrackingRefBased/>
  <w15:docId w15:val="{613F8FE0-4C76-4744-B4CE-A52CE36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D19"/>
    <w:pPr>
      <w:keepNext/>
      <w:keepLines/>
      <w:spacing w:before="240"/>
      <w:outlineLvl w:val="0"/>
    </w:pPr>
    <w:rPr>
      <w:rFonts w:eastAsiaTheme="majorEastAsia" w:cstheme="majorBidi"/>
      <w:b/>
      <w:color w:val="auto"/>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D19"/>
    <w:rPr>
      <w:rFonts w:eastAsiaTheme="majorEastAsia" w:cstheme="majorBidi"/>
      <w:b/>
      <w:color w:val="auto"/>
      <w:szCs w:val="32"/>
      <w:u w:val="single"/>
    </w:rPr>
  </w:style>
  <w:style w:type="paragraph" w:styleId="TOCHeading">
    <w:name w:val="TOC Heading"/>
    <w:basedOn w:val="Heading1"/>
    <w:next w:val="Normal"/>
    <w:uiPriority w:val="39"/>
    <w:unhideWhenUsed/>
    <w:qFormat/>
    <w:rsid w:val="00C00D19"/>
    <w:pPr>
      <w:spacing w:line="259" w:lineRule="auto"/>
      <w:outlineLvl w:val="9"/>
    </w:pPr>
    <w:rPr>
      <w:lang w:val="en-US"/>
    </w:rPr>
  </w:style>
  <w:style w:type="table" w:styleId="TableGrid">
    <w:name w:val="Table Grid"/>
    <w:basedOn w:val="TableNormal"/>
    <w:uiPriority w:val="59"/>
    <w:rsid w:val="00C00D19"/>
    <w:pPr>
      <w:spacing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F29"/>
    <w:pPr>
      <w:tabs>
        <w:tab w:val="center" w:pos="4513"/>
        <w:tab w:val="right" w:pos="9026"/>
      </w:tabs>
      <w:spacing w:line="240" w:lineRule="auto"/>
    </w:pPr>
  </w:style>
  <w:style w:type="character" w:customStyle="1" w:styleId="HeaderChar">
    <w:name w:val="Header Char"/>
    <w:basedOn w:val="DefaultParagraphFont"/>
    <w:link w:val="Header"/>
    <w:uiPriority w:val="99"/>
    <w:rsid w:val="00A76F29"/>
  </w:style>
  <w:style w:type="paragraph" w:styleId="Footer">
    <w:name w:val="footer"/>
    <w:basedOn w:val="Normal"/>
    <w:link w:val="FooterChar"/>
    <w:uiPriority w:val="99"/>
    <w:unhideWhenUsed/>
    <w:rsid w:val="00A76F29"/>
    <w:pPr>
      <w:tabs>
        <w:tab w:val="center" w:pos="4513"/>
        <w:tab w:val="right" w:pos="9026"/>
      </w:tabs>
      <w:spacing w:line="240" w:lineRule="auto"/>
    </w:pPr>
  </w:style>
  <w:style w:type="character" w:customStyle="1" w:styleId="FooterChar">
    <w:name w:val="Footer Char"/>
    <w:basedOn w:val="DefaultParagraphFont"/>
    <w:link w:val="Footer"/>
    <w:uiPriority w:val="99"/>
    <w:rsid w:val="00A76F29"/>
  </w:style>
  <w:style w:type="paragraph" w:styleId="TOC1">
    <w:name w:val="toc 1"/>
    <w:basedOn w:val="Normal"/>
    <w:next w:val="Normal"/>
    <w:autoRedefine/>
    <w:uiPriority w:val="39"/>
    <w:unhideWhenUsed/>
    <w:rsid w:val="00A76F29"/>
    <w:pPr>
      <w:spacing w:after="100"/>
    </w:pPr>
  </w:style>
  <w:style w:type="character" w:styleId="Hyperlink">
    <w:name w:val="Hyperlink"/>
    <w:basedOn w:val="DefaultParagraphFont"/>
    <w:uiPriority w:val="99"/>
    <w:unhideWhenUsed/>
    <w:rsid w:val="00A76F29"/>
    <w:rPr>
      <w:color w:val="0000FF" w:themeColor="hyperlink"/>
      <w:u w:val="single"/>
    </w:rPr>
  </w:style>
  <w:style w:type="paragraph" w:styleId="ListParagraph">
    <w:name w:val="List Paragraph"/>
    <w:basedOn w:val="Normal"/>
    <w:uiPriority w:val="34"/>
    <w:qFormat/>
    <w:rsid w:val="008320E9"/>
    <w:pPr>
      <w:ind w:left="720"/>
      <w:contextualSpacing/>
    </w:pPr>
  </w:style>
  <w:style w:type="paragraph" w:customStyle="1" w:styleId="Default">
    <w:name w:val="Default"/>
    <w:rsid w:val="00415D04"/>
    <w:pPr>
      <w:autoSpaceDE w:val="0"/>
      <w:autoSpaceDN w:val="0"/>
      <w:adjustRightInd w:val="0"/>
      <w:spacing w:line="240" w:lineRule="auto"/>
    </w:pPr>
    <w:rPr>
      <w:color w:val="000000"/>
    </w:rPr>
  </w:style>
  <w:style w:type="character" w:styleId="CommentReference">
    <w:name w:val="annotation reference"/>
    <w:basedOn w:val="DefaultParagraphFont"/>
    <w:uiPriority w:val="99"/>
    <w:semiHidden/>
    <w:unhideWhenUsed/>
    <w:rsid w:val="00F736C9"/>
    <w:rPr>
      <w:sz w:val="16"/>
      <w:szCs w:val="16"/>
    </w:rPr>
  </w:style>
  <w:style w:type="paragraph" w:styleId="CommentText">
    <w:name w:val="annotation text"/>
    <w:basedOn w:val="Normal"/>
    <w:link w:val="CommentTextChar"/>
    <w:uiPriority w:val="99"/>
    <w:semiHidden/>
    <w:unhideWhenUsed/>
    <w:rsid w:val="00F736C9"/>
    <w:pPr>
      <w:spacing w:line="240" w:lineRule="auto"/>
    </w:pPr>
    <w:rPr>
      <w:sz w:val="20"/>
      <w:szCs w:val="20"/>
    </w:rPr>
  </w:style>
  <w:style w:type="character" w:customStyle="1" w:styleId="CommentTextChar">
    <w:name w:val="Comment Text Char"/>
    <w:basedOn w:val="DefaultParagraphFont"/>
    <w:link w:val="CommentText"/>
    <w:uiPriority w:val="99"/>
    <w:semiHidden/>
    <w:rsid w:val="00F736C9"/>
    <w:rPr>
      <w:sz w:val="20"/>
      <w:szCs w:val="20"/>
    </w:rPr>
  </w:style>
  <w:style w:type="paragraph" w:styleId="CommentSubject">
    <w:name w:val="annotation subject"/>
    <w:basedOn w:val="CommentText"/>
    <w:next w:val="CommentText"/>
    <w:link w:val="CommentSubjectChar"/>
    <w:uiPriority w:val="99"/>
    <w:semiHidden/>
    <w:unhideWhenUsed/>
    <w:rsid w:val="00F736C9"/>
    <w:rPr>
      <w:b/>
      <w:bCs/>
    </w:rPr>
  </w:style>
  <w:style w:type="character" w:customStyle="1" w:styleId="CommentSubjectChar">
    <w:name w:val="Comment Subject Char"/>
    <w:basedOn w:val="CommentTextChar"/>
    <w:link w:val="CommentSubject"/>
    <w:uiPriority w:val="99"/>
    <w:semiHidden/>
    <w:rsid w:val="00F736C9"/>
    <w:rPr>
      <w:b/>
      <w:bCs/>
      <w:sz w:val="20"/>
      <w:szCs w:val="20"/>
    </w:rPr>
  </w:style>
  <w:style w:type="paragraph" w:styleId="BalloonText">
    <w:name w:val="Balloon Text"/>
    <w:basedOn w:val="Normal"/>
    <w:link w:val="BalloonTextChar"/>
    <w:uiPriority w:val="99"/>
    <w:semiHidden/>
    <w:unhideWhenUsed/>
    <w:rsid w:val="00F736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bp.due-nort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17ABE2CCFB24B803480A66CC44F72" ma:contentTypeVersion="0" ma:contentTypeDescription="Create a new document." ma:contentTypeScope="" ma:versionID="9db9da7f8b8d48f202ca6fd5ee34b2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C579E0-4134-4E72-9C42-C271E5B8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F37749-7E88-46D9-AEF6-321EE6720373}">
  <ds:schemaRefs>
    <ds:schemaRef ds:uri="http://schemas.microsoft.com/sharepoint/v3/contenttype/forms"/>
  </ds:schemaRefs>
</ds:datastoreItem>
</file>

<file path=customXml/itemProps3.xml><?xml version="1.0" encoding="utf-8"?>
<ds:datastoreItem xmlns:ds="http://schemas.openxmlformats.org/officeDocument/2006/customXml" ds:itemID="{69C73503-1F61-4AD0-A18A-296CEF6751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5474AA-FD6A-4D34-B69B-4247BD38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Nicola</dc:creator>
  <cp:keywords/>
  <dc:description/>
  <cp:lastModifiedBy>Wheeler, Casey</cp:lastModifiedBy>
  <cp:revision>3</cp:revision>
  <dcterms:created xsi:type="dcterms:W3CDTF">2024-07-19T13:21:00Z</dcterms:created>
  <dcterms:modified xsi:type="dcterms:W3CDTF">2024-07-23T10:53:00Z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0x01010020D17ABE2CCFB24B803480A66CC44F72</vt:lpwstr>
  </property>
</Properties>
</file>