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0949" w14:textId="7955C8F3" w:rsidR="00316EE5" w:rsidRDefault="7992D273" w:rsidP="67ED19C8">
      <w:pPr>
        <w:pStyle w:val="Heading1"/>
        <w:spacing w:after="120" w:line="240" w:lineRule="auto"/>
        <w:ind w:left="360" w:hanging="360"/>
        <w:jc w:val="center"/>
        <w:rPr>
          <w:rFonts w:ascii="Calibri" w:eastAsia="Calibri" w:hAnsi="Calibri" w:cs="Calibri"/>
          <w:b/>
          <w:bCs/>
          <w:color w:val="00A3E0"/>
        </w:rPr>
      </w:pPr>
      <w:r w:rsidRPr="67ED19C8">
        <w:rPr>
          <w:rFonts w:ascii="Calibri" w:eastAsia="Calibri" w:hAnsi="Calibri" w:cs="Calibri"/>
          <w:b/>
          <w:bCs/>
          <w:color w:val="00A3E0"/>
        </w:rPr>
        <w:t>COVER INSTRUCTION</w:t>
      </w:r>
    </w:p>
    <w:p w14:paraId="54D50AB7" w14:textId="26015328" w:rsidR="00316EE5" w:rsidRDefault="7992D273" w:rsidP="67ED19C8">
      <w:pPr>
        <w:pStyle w:val="Heading2"/>
        <w:spacing w:before="120" w:after="120" w:line="240" w:lineRule="auto"/>
        <w:rPr>
          <w:rFonts w:ascii="Calibri" w:eastAsia="Calibri" w:hAnsi="Calibri" w:cs="Calibri"/>
          <w:b/>
          <w:bCs/>
          <w:color w:val="981D97"/>
          <w:sz w:val="24"/>
          <w:szCs w:val="24"/>
        </w:rPr>
      </w:pPr>
      <w:r w:rsidRPr="67ED19C8">
        <w:rPr>
          <w:rFonts w:ascii="Calibri" w:eastAsia="Calibri" w:hAnsi="Calibri" w:cs="Calibri"/>
          <w:b/>
          <w:bCs/>
          <w:color w:val="981D97"/>
          <w:sz w:val="24"/>
          <w:szCs w:val="24"/>
        </w:rPr>
        <w:t>GENERAL REQUIREMENTS</w:t>
      </w:r>
    </w:p>
    <w:p w14:paraId="18265E12" w14:textId="7D638B6F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Cambridgeshire County Council provides County-wide services to all its citizens, has numerous statutory responsibilities, including in respect of the provision of education, and supports blue light services, the health sector, </w:t>
      </w:r>
      <w:proofErr w:type="gramStart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charities</w:t>
      </w:r>
      <w:proofErr w:type="gramEnd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other Local Authorities.</w:t>
      </w:r>
    </w:p>
    <w:p w14:paraId="5FD373C9" w14:textId="1F1C5DB1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Council’s strategic vision is to create a greener, </w:t>
      </w:r>
      <w:proofErr w:type="gramStart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fairer</w:t>
      </w:r>
      <w:proofErr w:type="gramEnd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more caring county, through focusing on five priorities: </w:t>
      </w:r>
    </w:p>
    <w:p w14:paraId="7BFC56E8" w14:textId="41C0188F" w:rsidR="00316EE5" w:rsidRDefault="7992D273" w:rsidP="67ED19C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Environment and sustainability</w:t>
      </w:r>
    </w:p>
    <w:p w14:paraId="4B092558" w14:textId="14433A2A" w:rsidR="00316EE5" w:rsidRDefault="7992D273" w:rsidP="67ED19C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Health and Care</w:t>
      </w:r>
    </w:p>
    <w:p w14:paraId="48279DA4" w14:textId="60164C4D" w:rsidR="00316EE5" w:rsidRDefault="7992D273" w:rsidP="67ED19C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Places and communities</w:t>
      </w:r>
    </w:p>
    <w:p w14:paraId="033C4689" w14:textId="699C3436" w:rsidR="00316EE5" w:rsidRDefault="7992D273" w:rsidP="67ED19C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Children and Young People</w:t>
      </w:r>
    </w:p>
    <w:p w14:paraId="34C09291" w14:textId="3100D451" w:rsidR="00316EE5" w:rsidRDefault="7992D273" w:rsidP="67ED19C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Transport</w:t>
      </w:r>
    </w:p>
    <w:p w14:paraId="30BD8A48" w14:textId="14399CD4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see </w:t>
      </w:r>
      <w:hyperlink r:id="rId8">
        <w:r w:rsidRPr="67ED19C8">
          <w:rPr>
            <w:rStyle w:val="Hyperlink"/>
            <w:rFonts w:ascii="Calibri" w:eastAsia="Calibri" w:hAnsi="Calibri" w:cs="Calibri"/>
            <w:sz w:val="24"/>
            <w:szCs w:val="24"/>
          </w:rPr>
          <w:t>Vision for Cambridgeshire</w:t>
        </w:r>
      </w:hyperlink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6E05E6D" w14:textId="09341613" w:rsidR="00316EE5" w:rsidRPr="006B2A79" w:rsidRDefault="001644C7" w:rsidP="006B2A79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424A8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Public Health are responsible for </w:t>
      </w:r>
      <w:r w:rsidR="00A209BB" w:rsidRPr="00A209BB">
        <w:rPr>
          <w:rFonts w:eastAsia="Times New Roman" w:cstheme="minorHAnsi"/>
          <w:color w:val="0B0C0C"/>
          <w:sz w:val="24"/>
          <w:szCs w:val="24"/>
          <w:lang w:eastAsia="en-GB"/>
        </w:rPr>
        <w:t>commissio</w:t>
      </w:r>
      <w:r w:rsidR="00424A8D" w:rsidRPr="00424A8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ning </w:t>
      </w:r>
      <w:r w:rsidR="004E7285">
        <w:rPr>
          <w:rFonts w:eastAsia="Times New Roman" w:cstheme="minorHAnsi"/>
          <w:color w:val="0B0C0C"/>
          <w:sz w:val="24"/>
          <w:szCs w:val="24"/>
          <w:lang w:eastAsia="en-GB"/>
        </w:rPr>
        <w:t xml:space="preserve">behaviour change and risk reduction </w:t>
      </w:r>
      <w:r w:rsidR="00424A8D" w:rsidRPr="00424A8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health services </w:t>
      </w:r>
      <w:r w:rsidR="00A209BB" w:rsidRPr="00A209B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to meet the needs of the local population, including provision of information, advice and support on a range of </w:t>
      </w:r>
      <w:proofErr w:type="gramStart"/>
      <w:r w:rsidR="00596DEF">
        <w:rPr>
          <w:rFonts w:eastAsia="Times New Roman" w:cstheme="minorHAnsi"/>
          <w:color w:val="0B0C0C"/>
          <w:sz w:val="24"/>
          <w:szCs w:val="24"/>
          <w:lang w:eastAsia="en-GB"/>
        </w:rPr>
        <w:t>health related</w:t>
      </w:r>
      <w:proofErr w:type="gramEnd"/>
      <w:r w:rsidR="00596DEF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behaviour </w:t>
      </w:r>
      <w:r w:rsidR="00A209BB" w:rsidRPr="00A209BB">
        <w:rPr>
          <w:rFonts w:eastAsia="Times New Roman" w:cstheme="minorHAnsi"/>
          <w:color w:val="0B0C0C"/>
          <w:sz w:val="24"/>
          <w:szCs w:val="24"/>
          <w:lang w:eastAsia="en-GB"/>
        </w:rPr>
        <w:t>issues</w:t>
      </w:r>
      <w:r w:rsidR="00596DEF">
        <w:rPr>
          <w:rFonts w:eastAsia="Times New Roman" w:cstheme="minorHAnsi"/>
          <w:color w:val="0B0C0C"/>
          <w:sz w:val="24"/>
          <w:szCs w:val="24"/>
          <w:lang w:eastAsia="en-GB"/>
        </w:rPr>
        <w:t>.</w:t>
      </w:r>
      <w:r w:rsidR="00A83C62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 </w:t>
      </w:r>
      <w:r w:rsidR="0033754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A full Needs Assessment is being carried out in the </w:t>
      </w:r>
      <w:r w:rsidR="00DC133C">
        <w:rPr>
          <w:rFonts w:eastAsia="Times New Roman" w:cstheme="minorHAnsi"/>
          <w:color w:val="0B0C0C"/>
          <w:sz w:val="24"/>
          <w:szCs w:val="24"/>
          <w:lang w:eastAsia="en-GB"/>
        </w:rPr>
        <w:t>Spring</w:t>
      </w:r>
      <w:r w:rsidR="0033754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of 202</w:t>
      </w:r>
      <w:r w:rsidR="00DC133C">
        <w:rPr>
          <w:rFonts w:eastAsia="Times New Roman" w:cstheme="minorHAnsi"/>
          <w:color w:val="0B0C0C"/>
          <w:sz w:val="24"/>
          <w:szCs w:val="24"/>
          <w:lang w:eastAsia="en-GB"/>
        </w:rPr>
        <w:t>4</w:t>
      </w:r>
      <w:r w:rsidR="0033754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to support the</w:t>
      </w:r>
      <w:r w:rsidR="0012776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future</w:t>
      </w:r>
      <w:r w:rsidR="0033754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commissioning </w:t>
      </w:r>
      <w:r w:rsidR="0012776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approach for services across Cambridgeshire and Peterborough which includes both data and trend analysis as well as </w:t>
      </w:r>
      <w:r w:rsidR="006B2A79">
        <w:rPr>
          <w:rFonts w:eastAsia="Times New Roman" w:cstheme="minorHAnsi"/>
          <w:color w:val="0B0C0C"/>
          <w:sz w:val="24"/>
          <w:szCs w:val="24"/>
          <w:lang w:eastAsia="en-GB"/>
        </w:rPr>
        <w:t xml:space="preserve">a qualitative assessment of provision and future developments. </w:t>
      </w:r>
    </w:p>
    <w:p w14:paraId="335D6EB4" w14:textId="53015F36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The Council’s detailed requirements are defined in the requirement quote accompanying this cover sheet.</w:t>
      </w:r>
    </w:p>
    <w:p w14:paraId="4F1976DB" w14:textId="339CD092" w:rsidR="00316EE5" w:rsidRDefault="7992D273" w:rsidP="00583147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Please take care in reading this document in particular the Specification; in the event of any questions or queries in relation to this Request for Quotation (RFQ), please contact the buyer via the method stated below</w:t>
      </w:r>
      <w:r w:rsidR="005831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83147" w:rsidRPr="19AABDD0">
        <w:t xml:space="preserve">via </w:t>
      </w:r>
      <w:r w:rsidR="00583147">
        <w:t xml:space="preserve">the </w:t>
      </w:r>
      <w:proofErr w:type="spellStart"/>
      <w:r w:rsidR="00583147">
        <w:t>ProContract</w:t>
      </w:r>
      <w:proofErr w:type="spellEnd"/>
      <w:r w:rsidR="00583147">
        <w:t xml:space="preserve"> portal.</w:t>
      </w:r>
    </w:p>
    <w:p w14:paraId="01AE57E6" w14:textId="5948C6AD" w:rsidR="00316EE5" w:rsidRDefault="00316EE5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D11A22" w14:textId="7C15EA48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The Council reserves the right to:</w:t>
      </w:r>
    </w:p>
    <w:p w14:paraId="295C9675" w14:textId="1EAD7697" w:rsidR="00316EE5" w:rsidRDefault="7992D273" w:rsidP="67ED19C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carry out due diligence checks on the awarded </w:t>
      </w:r>
      <w:proofErr w:type="gramStart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provider;</w:t>
      </w:r>
      <w:proofErr w:type="gramEnd"/>
    </w:p>
    <w:p w14:paraId="06C130B8" w14:textId="507AFA3B" w:rsidR="00316EE5" w:rsidRDefault="7992D273" w:rsidP="67ED19C8">
      <w:pPr>
        <w:pStyle w:val="ANumberedText2"/>
        <w:spacing w:line="240" w:lineRule="auto"/>
        <w:rPr>
          <w:rFonts w:eastAsia="Calibri" w:cs="Calibri"/>
          <w:color w:val="000000" w:themeColor="text1"/>
          <w:lang w:val="en-GB"/>
        </w:rPr>
      </w:pPr>
      <w:r w:rsidRPr="67ED19C8">
        <w:rPr>
          <w:rFonts w:eastAsia="Calibri" w:cs="Calibri"/>
          <w:color w:val="000000" w:themeColor="text1"/>
        </w:rPr>
        <w:t xml:space="preserve">amend the conditions of </w:t>
      </w:r>
      <w:proofErr w:type="gramStart"/>
      <w:r w:rsidRPr="67ED19C8">
        <w:rPr>
          <w:rFonts w:eastAsia="Calibri" w:cs="Calibri"/>
          <w:color w:val="000000" w:themeColor="text1"/>
        </w:rPr>
        <w:t>Contract</w:t>
      </w:r>
      <w:proofErr w:type="gramEnd"/>
    </w:p>
    <w:p w14:paraId="1EA746DF" w14:textId="79B6269F" w:rsidR="00316EE5" w:rsidRDefault="7992D273" w:rsidP="67ED19C8">
      <w:pPr>
        <w:pStyle w:val="ANumberedText2"/>
        <w:spacing w:line="240" w:lineRule="auto"/>
        <w:rPr>
          <w:rFonts w:eastAsia="Calibri" w:cs="Calibri"/>
          <w:color w:val="000000" w:themeColor="text1"/>
          <w:lang w:val="en-GB"/>
        </w:rPr>
      </w:pPr>
      <w:r w:rsidRPr="67ED19C8">
        <w:rPr>
          <w:rFonts w:eastAsia="Calibri" w:cs="Calibri"/>
          <w:color w:val="000000" w:themeColor="text1"/>
        </w:rPr>
        <w:t>abandon the procurement process at any stage without any liability to the Council; and or</w:t>
      </w:r>
    </w:p>
    <w:p w14:paraId="42A27F1F" w14:textId="6BAB6C64" w:rsidR="00316EE5" w:rsidRDefault="7992D273" w:rsidP="67ED19C8">
      <w:pPr>
        <w:pStyle w:val="ANumberedText2"/>
        <w:spacing w:line="240" w:lineRule="auto"/>
        <w:rPr>
          <w:rFonts w:eastAsia="Calibri" w:cs="Calibri"/>
          <w:color w:val="000000" w:themeColor="text1"/>
          <w:lang w:val="en-GB"/>
        </w:rPr>
      </w:pPr>
      <w:r w:rsidRPr="67ED19C8">
        <w:rPr>
          <w:rFonts w:eastAsia="Calibri" w:cs="Calibri"/>
          <w:color w:val="000000" w:themeColor="text1"/>
        </w:rPr>
        <w:t>require the potential bidder to clarify its quotation in writing and if the potential bidder fails to respond satisfactorily, this may result in the potential bidder not being selected.</w:t>
      </w:r>
    </w:p>
    <w:p w14:paraId="6283D416" w14:textId="152F45B5" w:rsidR="00316EE5" w:rsidRDefault="006605E7" w:rsidP="67ED19C8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 w:type="page"/>
      </w:r>
    </w:p>
    <w:p w14:paraId="02818A5A" w14:textId="59149C3D" w:rsidR="00316EE5" w:rsidRDefault="7992D273" w:rsidP="67ED19C8">
      <w:pPr>
        <w:pStyle w:val="Heading2"/>
        <w:spacing w:before="120" w:after="120" w:line="240" w:lineRule="auto"/>
        <w:rPr>
          <w:rFonts w:ascii="Calibri" w:eastAsia="Calibri" w:hAnsi="Calibri" w:cs="Calibri"/>
          <w:b/>
          <w:bCs/>
          <w:color w:val="981D97"/>
          <w:sz w:val="24"/>
          <w:szCs w:val="24"/>
        </w:rPr>
      </w:pPr>
      <w:r w:rsidRPr="67ED19C8">
        <w:rPr>
          <w:rFonts w:ascii="Calibri" w:eastAsia="Calibri" w:hAnsi="Calibri" w:cs="Calibri"/>
          <w:b/>
          <w:bCs/>
          <w:color w:val="981D97"/>
          <w:sz w:val="24"/>
          <w:szCs w:val="24"/>
        </w:rPr>
        <w:lastRenderedPageBreak/>
        <w:t>PROCUREMENT TIMETABLE</w:t>
      </w:r>
    </w:p>
    <w:p w14:paraId="3CF5FDF0" w14:textId="5DC91D76" w:rsidR="00316EE5" w:rsidRDefault="00316EE5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C6E85C" w14:textId="6C1238DE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Issue of Quote: - </w:t>
      </w:r>
      <w:r w:rsidR="002119BA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236CD1">
        <w:rPr>
          <w:rFonts w:ascii="Calibri" w:eastAsia="Calibri" w:hAnsi="Calibri" w:cs="Calibri"/>
          <w:color w:val="000000" w:themeColor="text1"/>
          <w:sz w:val="24"/>
          <w:szCs w:val="24"/>
        </w:rPr>
        <w:t>4th</w:t>
      </w:r>
      <w:r w:rsidR="00202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119BA">
        <w:rPr>
          <w:rFonts w:ascii="Calibri" w:eastAsia="Calibri" w:hAnsi="Calibri" w:cs="Calibri"/>
          <w:color w:val="000000" w:themeColor="text1"/>
          <w:sz w:val="24"/>
          <w:szCs w:val="24"/>
        </w:rPr>
        <w:t>May</w:t>
      </w:r>
      <w:r w:rsidR="005831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</w:t>
      </w:r>
      <w:r w:rsidR="002119BA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="00236CD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D74EC">
        <w:rPr>
          <w:rFonts w:ascii="Calibri" w:eastAsia="Calibri" w:hAnsi="Calibri" w:cs="Calibri"/>
          <w:color w:val="000000" w:themeColor="text1"/>
          <w:sz w:val="24"/>
          <w:szCs w:val="24"/>
        </w:rPr>
        <w:t>at 12:00</w:t>
      </w:r>
    </w:p>
    <w:p w14:paraId="6491DC7B" w14:textId="2F417AD7" w:rsidR="00316EE5" w:rsidRDefault="004F37B7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Clarification</w:t>
      </w:r>
      <w:r w:rsidR="7992D273"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deadline: </w:t>
      </w:r>
      <w:r w:rsidR="00D27E1D">
        <w:rPr>
          <w:rFonts w:ascii="Calibri" w:eastAsia="Calibri" w:hAnsi="Calibri" w:cs="Calibri"/>
          <w:color w:val="000000" w:themeColor="text1"/>
          <w:sz w:val="24"/>
          <w:szCs w:val="24"/>
        </w:rPr>
        <w:t>5th</w:t>
      </w:r>
      <w:r w:rsidR="00DD4C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June</w:t>
      </w:r>
      <w:r w:rsidR="00ED792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</w:t>
      </w:r>
      <w:r w:rsidR="00DD4CEC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="003D74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12:00</w:t>
      </w:r>
    </w:p>
    <w:p w14:paraId="05688D67" w14:textId="16387B6A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Deadline for quote: </w:t>
      </w:r>
      <w:r w:rsidR="00DD4CEC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1969A3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="001969A3" w:rsidRPr="001969A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1969A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D4CEC">
        <w:rPr>
          <w:rFonts w:ascii="Calibri" w:eastAsia="Calibri" w:hAnsi="Calibri" w:cs="Calibri"/>
          <w:color w:val="000000" w:themeColor="text1"/>
          <w:sz w:val="24"/>
          <w:szCs w:val="24"/>
        </w:rPr>
        <w:t>June</w:t>
      </w:r>
      <w:r w:rsidR="00387C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</w:t>
      </w:r>
      <w:r w:rsidR="00807A4B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="003D74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12:00</w:t>
      </w:r>
    </w:p>
    <w:p w14:paraId="503B8099" w14:textId="48954259" w:rsidR="00807A4B" w:rsidRDefault="00807A4B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Contract Start Date: 1</w:t>
      </w:r>
      <w:r w:rsidRPr="00807A4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July 2024</w:t>
      </w:r>
    </w:p>
    <w:p w14:paraId="105DC267" w14:textId="57333DF7" w:rsidR="008C24B0" w:rsidRDefault="008C24B0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Contract End Date: 31</w:t>
      </w:r>
      <w:r w:rsidRPr="008C24B0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October 2024</w:t>
      </w:r>
    </w:p>
    <w:p w14:paraId="3E68C3FE" w14:textId="41A72E9E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Your quote should be sent </w:t>
      </w:r>
      <w:r w:rsidR="005831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via the </w:t>
      </w:r>
      <w:proofErr w:type="spellStart"/>
      <w:r w:rsidR="00583147">
        <w:rPr>
          <w:rFonts w:ascii="Calibri" w:eastAsia="Calibri" w:hAnsi="Calibri" w:cs="Calibri"/>
          <w:color w:val="000000" w:themeColor="text1"/>
          <w:sz w:val="24"/>
          <w:szCs w:val="24"/>
        </w:rPr>
        <w:t>ProContract</w:t>
      </w:r>
      <w:proofErr w:type="spellEnd"/>
      <w:r w:rsidR="005831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37F47">
        <w:rPr>
          <w:rFonts w:ascii="Calibri" w:eastAsia="Calibri" w:hAnsi="Calibri" w:cs="Calibri"/>
          <w:color w:val="000000" w:themeColor="text1"/>
          <w:sz w:val="24"/>
          <w:szCs w:val="24"/>
        </w:rPr>
        <w:t>e-tendering portal.</w:t>
      </w:r>
    </w:p>
    <w:p w14:paraId="1FD2CDE9" w14:textId="430D35D0" w:rsidR="00316EE5" w:rsidRDefault="00316EE5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82E663" w14:textId="6BB9AE96" w:rsidR="00316EE5" w:rsidRDefault="7992D273" w:rsidP="67ED19C8">
      <w:pPr>
        <w:pStyle w:val="Heading2"/>
        <w:spacing w:before="120" w:after="120" w:line="240" w:lineRule="auto"/>
        <w:rPr>
          <w:rFonts w:ascii="Calibri" w:eastAsia="Calibri" w:hAnsi="Calibri" w:cs="Calibri"/>
          <w:b/>
          <w:bCs/>
          <w:color w:val="981D97"/>
          <w:sz w:val="24"/>
          <w:szCs w:val="24"/>
        </w:rPr>
      </w:pPr>
      <w:r w:rsidRPr="67ED19C8">
        <w:rPr>
          <w:rFonts w:ascii="Calibri" w:eastAsia="Calibri" w:hAnsi="Calibri" w:cs="Calibri"/>
          <w:b/>
          <w:bCs/>
          <w:color w:val="981D97"/>
          <w:sz w:val="24"/>
          <w:szCs w:val="24"/>
        </w:rPr>
        <w:t>EVALUATION OF QUOTATIONS</w:t>
      </w:r>
    </w:p>
    <w:p w14:paraId="26D22022" w14:textId="71457B09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Any bids not compliant or completed fully will be discarded. Based on the information provided by organisations, each compliant submission will be evaluated based on the following criteria:</w:t>
      </w:r>
    </w:p>
    <w:p w14:paraId="72770FD6" w14:textId="6F07BDD4" w:rsidR="00316EE5" w:rsidRDefault="00316EE5" w:rsidP="67ED19C8">
      <w:pPr>
        <w:spacing w:after="12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16DA3452" w14:textId="06137C7A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Style w:val="Strong"/>
          <w:rFonts w:ascii="Calibri" w:eastAsia="Calibri" w:hAnsi="Calibri" w:cs="Calibri"/>
          <w:color w:val="000000" w:themeColor="text1"/>
          <w:sz w:val="24"/>
          <w:szCs w:val="24"/>
        </w:rPr>
        <w:t>Evaluation Method 1:  Minimum Quality Standard. 100% Price</w:t>
      </w:r>
    </w:p>
    <w:p w14:paraId="160DE22C" w14:textId="1D6F74F7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Bidders must complete Part A and pass all pass questions in PART B </w:t>
      </w:r>
      <w:r w:rsidR="006A12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the response document </w:t>
      </w:r>
      <w:proofErr w:type="gramStart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in order to</w:t>
      </w:r>
      <w:proofErr w:type="gramEnd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 considered.</w:t>
      </w:r>
    </w:p>
    <w:p w14:paraId="4E2ED8E1" w14:textId="729F7F7D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Bids not meeting the minimum stand</w:t>
      </w:r>
      <w:r w:rsidRPr="004711BB">
        <w:rPr>
          <w:rFonts w:ascii="Calibri" w:eastAsia="Calibri" w:hAnsi="Calibri" w:cs="Calibri"/>
          <w:color w:val="000000" w:themeColor="text1"/>
          <w:sz w:val="24"/>
          <w:szCs w:val="24"/>
        </w:rPr>
        <w:t>ards will be</w:t>
      </w: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discarded.</w:t>
      </w:r>
    </w:p>
    <w:p w14:paraId="16F8BF8E" w14:textId="3FE5C9F8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Price will make up 100% of the evaluation.</w:t>
      </w:r>
    </w:p>
    <w:p w14:paraId="4633395C" w14:textId="40091CD1" w:rsidR="00316EE5" w:rsidRDefault="00316EE5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6F8644" w14:textId="5BC159F1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Where a question requires a detailed response other than a Yes/No, Bidders’ responses to each question will be scored out of a maximum of ten (10) marks as per the table below:</w:t>
      </w:r>
    </w:p>
    <w:p w14:paraId="2313B203" w14:textId="36099225" w:rsidR="00316EE5" w:rsidRDefault="00316EE5" w:rsidP="67ED19C8">
      <w:pPr>
        <w:spacing w:after="120" w:line="240" w:lineRule="auto"/>
        <w:ind w:left="284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555" w:type="dxa"/>
        <w:tblLayout w:type="fixed"/>
        <w:tblLook w:val="0000" w:firstRow="0" w:lastRow="0" w:firstColumn="0" w:lastColumn="0" w:noHBand="0" w:noVBand="0"/>
      </w:tblPr>
      <w:tblGrid>
        <w:gridCol w:w="2115"/>
        <w:gridCol w:w="3675"/>
      </w:tblGrid>
      <w:tr w:rsidR="67ED19C8" w14:paraId="3A452DBB" w14:textId="77777777" w:rsidTr="67ED19C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7ACD" w14:textId="2438CA56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Score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4E57" w14:textId="478FB7DD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Commentary</w:t>
            </w:r>
          </w:p>
        </w:tc>
      </w:tr>
      <w:tr w:rsidR="67ED19C8" w14:paraId="5AE161AD" w14:textId="77777777" w:rsidTr="67ED19C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1C49" w14:textId="30AC5E7C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538C" w14:textId="3F23AAD1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Very weak or no answer</w:t>
            </w:r>
          </w:p>
        </w:tc>
      </w:tr>
      <w:tr w:rsidR="67ED19C8" w14:paraId="3A7DC7B6" w14:textId="77777777" w:rsidTr="67ED19C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E3BA" w14:textId="34D3E096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765F" w14:textId="2C2CFF02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Poor</w:t>
            </w:r>
          </w:p>
        </w:tc>
      </w:tr>
      <w:tr w:rsidR="67ED19C8" w14:paraId="4E3EFB5D" w14:textId="77777777" w:rsidTr="67ED19C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B119" w14:textId="4C48D72E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B7D5" w14:textId="2FE7E942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Satisfactory</w:t>
            </w:r>
          </w:p>
        </w:tc>
      </w:tr>
      <w:tr w:rsidR="67ED19C8" w14:paraId="0287D9EE" w14:textId="77777777" w:rsidTr="67ED19C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5696" w14:textId="578C2748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2BD5" w14:textId="4B7A1D43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Good</w:t>
            </w:r>
          </w:p>
        </w:tc>
      </w:tr>
      <w:tr w:rsidR="67ED19C8" w14:paraId="20CF36D9" w14:textId="77777777" w:rsidTr="67ED19C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32DC" w14:textId="6F4CA76B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1D5E" w14:textId="4BC96FCE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Very good</w:t>
            </w:r>
          </w:p>
        </w:tc>
      </w:tr>
      <w:tr w:rsidR="67ED19C8" w14:paraId="67C9F38B" w14:textId="77777777" w:rsidTr="67ED19C8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D0EB" w14:textId="39BAD965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4F61" w14:textId="2C853F5C" w:rsidR="67ED19C8" w:rsidRDefault="67ED19C8" w:rsidP="67ED19C8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ED19C8">
              <w:rPr>
                <w:rFonts w:ascii="Calibri" w:eastAsia="Calibri" w:hAnsi="Calibri" w:cs="Calibri"/>
                <w:sz w:val="24"/>
                <w:szCs w:val="24"/>
              </w:rPr>
              <w:t>Exceptional</w:t>
            </w:r>
          </w:p>
        </w:tc>
      </w:tr>
    </w:tbl>
    <w:p w14:paraId="05E79A2B" w14:textId="3FDDD5F2" w:rsidR="00316EE5" w:rsidRDefault="00316EE5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AF6FEC" w14:textId="6E91F3AE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evaluators will score using the marks as described above, with </w:t>
      </w:r>
      <w:r w:rsidRPr="67ED19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 ODD</w:t>
      </w: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marks being used. </w:t>
      </w:r>
    </w:p>
    <w:p w14:paraId="7E995D43" w14:textId="257998C9" w:rsidR="00316EE5" w:rsidRDefault="7992D273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 responses need to score </w:t>
      </w:r>
      <w:r w:rsidRPr="00626C9F">
        <w:rPr>
          <w:rFonts w:ascii="Calibri" w:eastAsia="Calibri" w:hAnsi="Calibri" w:cs="Calibri"/>
          <w:color w:val="000000" w:themeColor="text1"/>
          <w:sz w:val="24"/>
          <w:szCs w:val="24"/>
        </w:rPr>
        <w:t>six (6) or higher to pass.  A score four (4)</w:t>
      </w: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less it will be marked a </w:t>
      </w:r>
      <w:proofErr w:type="gramStart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fail</w:t>
      </w:r>
      <w:proofErr w:type="gramEnd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  </w:t>
      </w:r>
    </w:p>
    <w:p w14:paraId="6B00C95A" w14:textId="77777777" w:rsidR="00802C14" w:rsidRDefault="00802C14" w:rsidP="67ED19C8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5787A5" w14:textId="09E0EDF2" w:rsidR="00316EE5" w:rsidRPr="00802C14" w:rsidRDefault="7992D273" w:rsidP="00802C14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Bidders being scored a </w:t>
      </w:r>
      <w:proofErr w:type="gramStart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>fail</w:t>
      </w:r>
      <w:proofErr w:type="gramEnd"/>
      <w:r w:rsidRPr="67ED1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against the pass/fail question(s) may result in your bid being rejected in its entirety.</w:t>
      </w:r>
    </w:p>
    <w:sectPr w:rsidR="00316EE5" w:rsidRPr="00802C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C2FC"/>
    <w:multiLevelType w:val="hybridMultilevel"/>
    <w:tmpl w:val="50A66CAA"/>
    <w:lvl w:ilvl="0" w:tplc="343A037C">
      <w:start w:val="1"/>
      <w:numFmt w:val="decimal"/>
      <w:lvlText w:val="%1."/>
      <w:lvlJc w:val="left"/>
      <w:pPr>
        <w:ind w:left="720" w:hanging="360"/>
      </w:pPr>
    </w:lvl>
    <w:lvl w:ilvl="1" w:tplc="F1980A22">
      <w:start w:val="1"/>
      <w:numFmt w:val="upperLetter"/>
      <w:lvlText w:val="PART %2:"/>
      <w:lvlJc w:val="left"/>
      <w:pPr>
        <w:ind w:left="720" w:hanging="360"/>
      </w:pPr>
    </w:lvl>
    <w:lvl w:ilvl="2" w:tplc="38F0CB68">
      <w:start w:val="1"/>
      <w:numFmt w:val="lowerRoman"/>
      <w:lvlText w:val="%3."/>
      <w:lvlJc w:val="right"/>
      <w:pPr>
        <w:ind w:left="2160" w:hanging="180"/>
      </w:pPr>
    </w:lvl>
    <w:lvl w:ilvl="3" w:tplc="D7AA3A4C">
      <w:start w:val="1"/>
      <w:numFmt w:val="decimal"/>
      <w:lvlText w:val="%4."/>
      <w:lvlJc w:val="left"/>
      <w:pPr>
        <w:ind w:left="2880" w:hanging="360"/>
      </w:pPr>
    </w:lvl>
    <w:lvl w:ilvl="4" w:tplc="D3E80048">
      <w:start w:val="1"/>
      <w:numFmt w:val="lowerLetter"/>
      <w:lvlText w:val="%5."/>
      <w:lvlJc w:val="left"/>
      <w:pPr>
        <w:ind w:left="3600" w:hanging="360"/>
      </w:pPr>
    </w:lvl>
    <w:lvl w:ilvl="5" w:tplc="12127FD6">
      <w:start w:val="1"/>
      <w:numFmt w:val="lowerRoman"/>
      <w:lvlText w:val="%6."/>
      <w:lvlJc w:val="right"/>
      <w:pPr>
        <w:ind w:left="4320" w:hanging="180"/>
      </w:pPr>
    </w:lvl>
    <w:lvl w:ilvl="6" w:tplc="A7F4E1FC">
      <w:start w:val="1"/>
      <w:numFmt w:val="decimal"/>
      <w:lvlText w:val="%7."/>
      <w:lvlJc w:val="left"/>
      <w:pPr>
        <w:ind w:left="5040" w:hanging="360"/>
      </w:pPr>
    </w:lvl>
    <w:lvl w:ilvl="7" w:tplc="29306284">
      <w:start w:val="1"/>
      <w:numFmt w:val="lowerLetter"/>
      <w:lvlText w:val="%8."/>
      <w:lvlJc w:val="left"/>
      <w:pPr>
        <w:ind w:left="5760" w:hanging="360"/>
      </w:pPr>
    </w:lvl>
    <w:lvl w:ilvl="8" w:tplc="E8B403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2B7D"/>
    <w:multiLevelType w:val="multilevel"/>
    <w:tmpl w:val="3F9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FAA2B"/>
    <w:multiLevelType w:val="hybridMultilevel"/>
    <w:tmpl w:val="5C6C09CC"/>
    <w:lvl w:ilvl="0" w:tplc="387A22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B49C6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AC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C8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43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E3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F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29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F40C3"/>
    <w:multiLevelType w:val="hybridMultilevel"/>
    <w:tmpl w:val="660672B4"/>
    <w:lvl w:ilvl="0" w:tplc="E9A4D4F4">
      <w:start w:val="1"/>
      <w:numFmt w:val="decimal"/>
      <w:lvlText w:val="%1."/>
      <w:lvlJc w:val="left"/>
      <w:pPr>
        <w:ind w:left="3600" w:hanging="360"/>
      </w:pPr>
    </w:lvl>
    <w:lvl w:ilvl="1" w:tplc="3A1215CE">
      <w:start w:val="1"/>
      <w:numFmt w:val="lowerLetter"/>
      <w:lvlText w:val="%2."/>
      <w:lvlJc w:val="left"/>
      <w:pPr>
        <w:ind w:left="1440" w:hanging="360"/>
      </w:pPr>
    </w:lvl>
    <w:lvl w:ilvl="2" w:tplc="CE5E7AAA">
      <w:start w:val="1"/>
      <w:numFmt w:val="lowerRoman"/>
      <w:lvlText w:val="%3."/>
      <w:lvlJc w:val="right"/>
      <w:pPr>
        <w:ind w:left="2160" w:hanging="180"/>
      </w:pPr>
    </w:lvl>
    <w:lvl w:ilvl="3" w:tplc="49B403B6">
      <w:start w:val="1"/>
      <w:numFmt w:val="decimal"/>
      <w:pStyle w:val="ANumberedText2"/>
      <w:lvlText w:val="%4."/>
      <w:lvlJc w:val="left"/>
      <w:pPr>
        <w:ind w:left="2880" w:hanging="360"/>
      </w:pPr>
    </w:lvl>
    <w:lvl w:ilvl="4" w:tplc="D2B88378">
      <w:start w:val="1"/>
      <w:numFmt w:val="lowerLetter"/>
      <w:lvlText w:val="%5."/>
      <w:lvlJc w:val="left"/>
      <w:pPr>
        <w:ind w:left="3600" w:hanging="360"/>
      </w:pPr>
    </w:lvl>
    <w:lvl w:ilvl="5" w:tplc="241CB6A2">
      <w:start w:val="1"/>
      <w:numFmt w:val="lowerRoman"/>
      <w:lvlText w:val="%6."/>
      <w:lvlJc w:val="right"/>
      <w:pPr>
        <w:ind w:left="4320" w:hanging="180"/>
      </w:pPr>
    </w:lvl>
    <w:lvl w:ilvl="6" w:tplc="D89C84FA">
      <w:start w:val="1"/>
      <w:numFmt w:val="decimal"/>
      <w:lvlText w:val="%7."/>
      <w:lvlJc w:val="left"/>
      <w:pPr>
        <w:ind w:left="5040" w:hanging="360"/>
      </w:pPr>
    </w:lvl>
    <w:lvl w:ilvl="7" w:tplc="C918526C">
      <w:start w:val="1"/>
      <w:numFmt w:val="lowerLetter"/>
      <w:lvlText w:val="%8."/>
      <w:lvlJc w:val="left"/>
      <w:pPr>
        <w:ind w:left="5760" w:hanging="360"/>
      </w:pPr>
    </w:lvl>
    <w:lvl w:ilvl="8" w:tplc="51A0C0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DD56"/>
    <w:multiLevelType w:val="hybridMultilevel"/>
    <w:tmpl w:val="F30A8EDC"/>
    <w:lvl w:ilvl="0" w:tplc="EF9279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F24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E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0B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26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C5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7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61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CD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658000">
    <w:abstractNumId w:val="2"/>
  </w:num>
  <w:num w:numId="2" w16cid:durableId="923147083">
    <w:abstractNumId w:val="4"/>
  </w:num>
  <w:num w:numId="3" w16cid:durableId="253705115">
    <w:abstractNumId w:val="3"/>
  </w:num>
  <w:num w:numId="4" w16cid:durableId="1643120185">
    <w:abstractNumId w:val="0"/>
  </w:num>
  <w:num w:numId="5" w16cid:durableId="1084450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5B2D23"/>
    <w:rsid w:val="0012776B"/>
    <w:rsid w:val="001644C7"/>
    <w:rsid w:val="001969A3"/>
    <w:rsid w:val="002020E3"/>
    <w:rsid w:val="002119BA"/>
    <w:rsid w:val="00236CD1"/>
    <w:rsid w:val="00316EE5"/>
    <w:rsid w:val="0033754B"/>
    <w:rsid w:val="00387C81"/>
    <w:rsid w:val="003D74EC"/>
    <w:rsid w:val="00424A8D"/>
    <w:rsid w:val="004711BB"/>
    <w:rsid w:val="004E7285"/>
    <w:rsid w:val="004F37B7"/>
    <w:rsid w:val="00501149"/>
    <w:rsid w:val="00583147"/>
    <w:rsid w:val="00596DEF"/>
    <w:rsid w:val="005C1644"/>
    <w:rsid w:val="00626C9F"/>
    <w:rsid w:val="00637578"/>
    <w:rsid w:val="00637F47"/>
    <w:rsid w:val="006605E7"/>
    <w:rsid w:val="0068558E"/>
    <w:rsid w:val="006A12A9"/>
    <w:rsid w:val="006B2A79"/>
    <w:rsid w:val="00802C14"/>
    <w:rsid w:val="00807A4B"/>
    <w:rsid w:val="00855429"/>
    <w:rsid w:val="008C24B0"/>
    <w:rsid w:val="00A209BB"/>
    <w:rsid w:val="00A83C62"/>
    <w:rsid w:val="00BF6E63"/>
    <w:rsid w:val="00D27E1D"/>
    <w:rsid w:val="00D3788E"/>
    <w:rsid w:val="00DB675E"/>
    <w:rsid w:val="00DC133C"/>
    <w:rsid w:val="00DC54A8"/>
    <w:rsid w:val="00DD4CEC"/>
    <w:rsid w:val="00ED7925"/>
    <w:rsid w:val="00EF76AA"/>
    <w:rsid w:val="5F5B2D23"/>
    <w:rsid w:val="67ED19C8"/>
    <w:rsid w:val="7992D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2D23"/>
  <w15:chartTrackingRefBased/>
  <w15:docId w15:val="{4ADB1D53-40B9-4D26-A2A1-5F22F662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umberedText2">
    <w:name w:val="A Numbered Text 2"/>
    <w:basedOn w:val="Normal"/>
    <w:uiPriority w:val="1"/>
    <w:qFormat/>
    <w:rsid w:val="67ED19C8"/>
    <w:pPr>
      <w:numPr>
        <w:ilvl w:val="3"/>
        <w:numId w:val="3"/>
      </w:numPr>
      <w:spacing w:after="120"/>
      <w:ind w:left="1843" w:hanging="992"/>
      <w:contextualSpacing/>
      <w:jc w:val="both"/>
    </w:pPr>
    <w:rPr>
      <w:rFonts w:ascii="Calibri" w:eastAsiaTheme="minorEastAsia" w:hAnsi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6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shire.gov.uk/council/finance-and-budget/business-plans/business-plan-2022-to-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90E18CCFCA4682BEB1907F5DA1F4" ma:contentTypeVersion="5" ma:contentTypeDescription="Create a new document." ma:contentTypeScope="" ma:versionID="2772584dac8f2b346096539c3cdb5a1f">
  <xsd:schema xmlns:xsd="http://www.w3.org/2001/XMLSchema" xmlns:xs="http://www.w3.org/2001/XMLSchema" xmlns:p="http://schemas.microsoft.com/office/2006/metadata/properties" xmlns:ns2="e8699696-19b5-4af4-aba4-30379026f173" xmlns:ns3="92aca5b9-6942-4684-853c-42b77e5c8014" targetNamespace="http://schemas.microsoft.com/office/2006/metadata/properties" ma:root="true" ma:fieldsID="4df79d86eac1d166f72c880803ef5063" ns2:_="" ns3:_="">
    <xsd:import namespace="e8699696-19b5-4af4-aba4-30379026f173"/>
    <xsd:import namespace="92aca5b9-6942-4684-853c-42b77e5c8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99696-19b5-4af4-aba4-30379026f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ca5b9-6942-4684-853c-42b77e5c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F9443-8059-4658-B877-D69ED59FA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94721-ED2C-4968-A8C6-A326C8178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99696-19b5-4af4-aba4-30379026f173"/>
    <ds:schemaRef ds:uri="92aca5b9-6942-4684-853c-42b77e5c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3367B-4491-4815-91BA-EAB1BE7B2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Maisuria</dc:creator>
  <cp:keywords/>
  <dc:description/>
  <cp:lastModifiedBy>Paul Stokes</cp:lastModifiedBy>
  <cp:revision>18</cp:revision>
  <dcterms:created xsi:type="dcterms:W3CDTF">2024-02-05T17:22:00Z</dcterms:created>
  <dcterms:modified xsi:type="dcterms:W3CDTF">2024-05-23T09:58:00Z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0x010100846D90E18CCFCA4682BEB1907F5DA1F4</vt:lpwstr>
  </property>
</Properties>
</file>