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D9703" w14:textId="77777777" w:rsidR="00BB1283" w:rsidRDefault="00BB1283">
      <w:pPr>
        <w:rPr>
          <w:rFonts w:ascii="Arial" w:hAnsi="Arial" w:cs="Arial"/>
          <w:b/>
        </w:rPr>
      </w:pPr>
    </w:p>
    <w:p w14:paraId="07F7119B" w14:textId="77777777" w:rsidR="0029494E" w:rsidRPr="00BF2E7F" w:rsidRDefault="0050725A">
      <w:pPr>
        <w:rPr>
          <w:rFonts w:ascii="Arial" w:hAnsi="Arial" w:cs="Arial"/>
          <w:b/>
        </w:rPr>
      </w:pPr>
      <w:r w:rsidRPr="00BF2E7F">
        <w:rPr>
          <w:rFonts w:ascii="Arial" w:hAnsi="Arial" w:cs="Arial"/>
          <w:b/>
        </w:rPr>
        <w:t xml:space="preserve">Intention to Tender Notice </w:t>
      </w:r>
      <w:r w:rsidR="00BF2E7F">
        <w:rPr>
          <w:rFonts w:ascii="Arial" w:hAnsi="Arial" w:cs="Arial"/>
          <w:b/>
        </w:rPr>
        <w:t>– Greater Manchester - Self-employment Pilot (SEP)</w:t>
      </w:r>
    </w:p>
    <w:p w14:paraId="2C6B0DAC" w14:textId="77777777" w:rsidR="0050725A" w:rsidRPr="00410421" w:rsidRDefault="0050725A">
      <w:pPr>
        <w:rPr>
          <w:rFonts w:ascii="Arial" w:hAnsi="Arial" w:cs="Arial"/>
          <w:b/>
        </w:rPr>
      </w:pPr>
    </w:p>
    <w:p w14:paraId="21F85953" w14:textId="77777777" w:rsidR="00C0024F" w:rsidRPr="00410421" w:rsidRDefault="00410421" w:rsidP="00C0024F">
      <w:pPr>
        <w:tabs>
          <w:tab w:val="left" w:pos="1165"/>
        </w:tabs>
        <w:jc w:val="both"/>
        <w:rPr>
          <w:rFonts w:ascii="Arial" w:hAnsi="Arial" w:cs="Arial"/>
          <w:b/>
        </w:rPr>
      </w:pPr>
      <w:r w:rsidRPr="00410421">
        <w:rPr>
          <w:rFonts w:ascii="Arial" w:hAnsi="Arial" w:cs="Arial"/>
          <w:b/>
        </w:rPr>
        <w:t xml:space="preserve">Overview </w:t>
      </w:r>
    </w:p>
    <w:p w14:paraId="4F8796D3" w14:textId="15859BF4" w:rsidR="00BF2E7F" w:rsidRDefault="00BF2E7F" w:rsidP="00B902EA">
      <w:pPr>
        <w:jc w:val="both"/>
        <w:rPr>
          <w:rFonts w:ascii="Arial" w:hAnsi="Arial" w:cs="Arial"/>
        </w:rPr>
      </w:pPr>
      <w:r w:rsidRPr="00BF2E7F">
        <w:rPr>
          <w:rFonts w:ascii="Arial" w:hAnsi="Arial" w:cs="Arial"/>
        </w:rPr>
        <w:t xml:space="preserve">Greater Manchester Combined Authority (GMCA) </w:t>
      </w:r>
      <w:r w:rsidR="0050725A" w:rsidRPr="00BF2E7F">
        <w:rPr>
          <w:rFonts w:ascii="Arial" w:hAnsi="Arial" w:cs="Arial"/>
        </w:rPr>
        <w:t xml:space="preserve">have been awarded </w:t>
      </w:r>
      <w:r w:rsidR="00C0024F">
        <w:rPr>
          <w:rFonts w:ascii="Arial" w:hAnsi="Arial" w:cs="Arial"/>
        </w:rPr>
        <w:t>funding</w:t>
      </w:r>
      <w:r w:rsidR="0050725A" w:rsidRPr="00BF2E7F">
        <w:rPr>
          <w:rFonts w:ascii="Arial" w:hAnsi="Arial" w:cs="Arial"/>
        </w:rPr>
        <w:t xml:space="preserve"> from the Department of Education (DfE) to commission a test and learn pilot to </w:t>
      </w:r>
      <w:r w:rsidR="00BB65DD" w:rsidRPr="00BF2E7F">
        <w:rPr>
          <w:rFonts w:ascii="Arial" w:hAnsi="Arial" w:cs="Arial"/>
        </w:rPr>
        <w:t>support</w:t>
      </w:r>
      <w:r w:rsidRPr="00BF2E7F">
        <w:rPr>
          <w:rFonts w:ascii="Arial" w:hAnsi="Arial" w:cs="Arial"/>
        </w:rPr>
        <w:t xml:space="preserve"> a minimum of </w:t>
      </w:r>
      <w:r w:rsidRPr="00C0024F">
        <w:rPr>
          <w:rFonts w:ascii="Arial" w:hAnsi="Arial" w:cs="Arial"/>
        </w:rPr>
        <w:t>2,000</w:t>
      </w:r>
      <w:r w:rsidR="00BB65DD" w:rsidRPr="00C0024F">
        <w:rPr>
          <w:rFonts w:ascii="Arial" w:hAnsi="Arial" w:cs="Arial"/>
        </w:rPr>
        <w:t xml:space="preserve"> Greater</w:t>
      </w:r>
      <w:r w:rsidR="00BB65DD" w:rsidRPr="00BF2E7F">
        <w:rPr>
          <w:rFonts w:ascii="Arial" w:hAnsi="Arial" w:cs="Arial"/>
        </w:rPr>
        <w:t xml:space="preserve"> Manchester self-employed residents from the </w:t>
      </w:r>
      <w:r w:rsidR="00891876">
        <w:rPr>
          <w:rFonts w:ascii="Arial" w:hAnsi="Arial" w:cs="Arial"/>
        </w:rPr>
        <w:t xml:space="preserve">eligible </w:t>
      </w:r>
      <w:r w:rsidR="00BB65DD" w:rsidRPr="00BF2E7F">
        <w:rPr>
          <w:rFonts w:ascii="Arial" w:hAnsi="Arial" w:cs="Arial"/>
        </w:rPr>
        <w:t xml:space="preserve">cohort listed below. </w:t>
      </w:r>
    </w:p>
    <w:p w14:paraId="1FB1F60B" w14:textId="77777777" w:rsidR="00410421" w:rsidRDefault="00410421" w:rsidP="00B902EA">
      <w:pPr>
        <w:jc w:val="both"/>
        <w:rPr>
          <w:rFonts w:ascii="Arial" w:hAnsi="Arial" w:cs="Arial"/>
          <w:b/>
        </w:rPr>
      </w:pPr>
    </w:p>
    <w:p w14:paraId="0938D23A" w14:textId="77777777" w:rsidR="00410421" w:rsidRPr="00410421" w:rsidRDefault="00410421" w:rsidP="00B902EA">
      <w:pPr>
        <w:jc w:val="both"/>
        <w:rPr>
          <w:rFonts w:ascii="Arial" w:hAnsi="Arial" w:cs="Arial"/>
          <w:b/>
        </w:rPr>
      </w:pPr>
      <w:r w:rsidRPr="00410421">
        <w:rPr>
          <w:rFonts w:ascii="Arial" w:hAnsi="Arial" w:cs="Arial"/>
          <w:b/>
        </w:rPr>
        <w:t>Aim</w:t>
      </w:r>
    </w:p>
    <w:p w14:paraId="63E5A075" w14:textId="77777777" w:rsidR="004441ED" w:rsidRDefault="00BF2E7F" w:rsidP="00B902EA">
      <w:pPr>
        <w:jc w:val="both"/>
        <w:rPr>
          <w:rFonts w:ascii="Arial" w:hAnsi="Arial" w:cs="Arial"/>
        </w:rPr>
      </w:pPr>
      <w:r w:rsidRPr="00C901F0">
        <w:rPr>
          <w:rFonts w:ascii="Arial" w:hAnsi="Arial" w:cs="Arial"/>
        </w:rPr>
        <w:t>The main aim of the SEP is to understand which interventions work best to attract and engage those who are already self-employed and identify the most effective support to help them sustain and grow their business.</w:t>
      </w:r>
      <w:r w:rsidR="00B902EA">
        <w:rPr>
          <w:rFonts w:ascii="Arial" w:hAnsi="Arial" w:cs="Arial"/>
        </w:rPr>
        <w:t xml:space="preserve"> The service will also work with those from the Gig Economy</w:t>
      </w:r>
      <w:r w:rsidR="004441ED">
        <w:rPr>
          <w:rFonts w:ascii="Arial" w:hAnsi="Arial" w:cs="Arial"/>
        </w:rPr>
        <w:t xml:space="preserve"> to support them to retrain and move into alternative </w:t>
      </w:r>
      <w:r w:rsidR="00B74D12">
        <w:rPr>
          <w:rFonts w:ascii="Arial" w:hAnsi="Arial" w:cs="Arial"/>
        </w:rPr>
        <w:t xml:space="preserve">preferred </w:t>
      </w:r>
      <w:r w:rsidR="004441ED">
        <w:rPr>
          <w:rFonts w:ascii="Arial" w:hAnsi="Arial" w:cs="Arial"/>
        </w:rPr>
        <w:t>work.</w:t>
      </w:r>
    </w:p>
    <w:p w14:paraId="7B499AD7" w14:textId="77777777" w:rsidR="00BF2E7F" w:rsidRDefault="00BF2E7F" w:rsidP="00B90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service will be externally evaluated and will</w:t>
      </w:r>
      <w:r w:rsidR="00B902EA">
        <w:rPr>
          <w:rFonts w:ascii="Arial" w:hAnsi="Arial" w:cs="Arial"/>
        </w:rPr>
        <w:t xml:space="preserve"> provide</w:t>
      </w:r>
      <w:r>
        <w:rPr>
          <w:rFonts w:ascii="Arial" w:hAnsi="Arial" w:cs="Arial"/>
        </w:rPr>
        <w:t xml:space="preserve"> DfE with an evidence base for what works in this area.</w:t>
      </w:r>
    </w:p>
    <w:p w14:paraId="51C6315A" w14:textId="77777777" w:rsidR="00410421" w:rsidRDefault="00410421" w:rsidP="00B902EA">
      <w:pPr>
        <w:jc w:val="both"/>
        <w:rPr>
          <w:rFonts w:ascii="Arial" w:hAnsi="Arial" w:cs="Arial"/>
        </w:rPr>
      </w:pPr>
    </w:p>
    <w:p w14:paraId="3B601E4A" w14:textId="77777777" w:rsidR="00410421" w:rsidRPr="00410421" w:rsidRDefault="00410421" w:rsidP="00B902EA">
      <w:pPr>
        <w:jc w:val="both"/>
        <w:rPr>
          <w:rFonts w:ascii="Arial" w:hAnsi="Arial" w:cs="Arial"/>
          <w:b/>
        </w:rPr>
      </w:pPr>
      <w:r w:rsidRPr="00410421">
        <w:rPr>
          <w:rFonts w:ascii="Arial" w:hAnsi="Arial" w:cs="Arial"/>
          <w:b/>
        </w:rPr>
        <w:t>Programme metrics</w:t>
      </w:r>
    </w:p>
    <w:p w14:paraId="7176D97E" w14:textId="4ABFB407" w:rsidR="00BB65DD" w:rsidRDefault="00C0024F" w:rsidP="00B90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expect</w:t>
      </w:r>
      <w:r w:rsidR="005B3A2E">
        <w:rPr>
          <w:rFonts w:ascii="Arial" w:hAnsi="Arial" w:cs="Arial"/>
        </w:rPr>
        <w:t xml:space="preserve">ed value of the contract is £8 </w:t>
      </w:r>
      <w:r>
        <w:rPr>
          <w:rFonts w:ascii="Arial" w:hAnsi="Arial" w:cs="Arial"/>
        </w:rPr>
        <w:t>million and it</w:t>
      </w:r>
      <w:r w:rsidR="00BB65DD" w:rsidRPr="00BF2E7F">
        <w:rPr>
          <w:rFonts w:ascii="Arial" w:hAnsi="Arial" w:cs="Arial"/>
        </w:rPr>
        <w:t xml:space="preserve"> is</w:t>
      </w:r>
      <w:r w:rsidR="00B902EA">
        <w:rPr>
          <w:rFonts w:ascii="Arial" w:hAnsi="Arial" w:cs="Arial"/>
        </w:rPr>
        <w:t xml:space="preserve"> anticipated that the</w:t>
      </w:r>
      <w:r w:rsidR="00BB65DD" w:rsidRPr="00BF2E7F">
        <w:rPr>
          <w:rFonts w:ascii="Arial" w:hAnsi="Arial" w:cs="Arial"/>
        </w:rPr>
        <w:t xml:space="preserve"> contract will be awarded in November 2019 and the service will </w:t>
      </w:r>
      <w:r w:rsidR="00891876">
        <w:rPr>
          <w:rFonts w:ascii="Arial" w:hAnsi="Arial" w:cs="Arial"/>
        </w:rPr>
        <w:t>be operational in February 2020</w:t>
      </w:r>
      <w:r w:rsidR="00BB65DD" w:rsidRPr="00BF2E7F">
        <w:rPr>
          <w:rFonts w:ascii="Arial" w:hAnsi="Arial" w:cs="Arial"/>
        </w:rPr>
        <w:t xml:space="preserve"> following an</w:t>
      </w:r>
      <w:r w:rsidR="00891876">
        <w:rPr>
          <w:rFonts w:ascii="Arial" w:hAnsi="Arial" w:cs="Arial"/>
        </w:rPr>
        <w:t xml:space="preserve"> implementation phase and run to March 2022.</w:t>
      </w:r>
    </w:p>
    <w:p w14:paraId="7782A417" w14:textId="77777777" w:rsidR="00410421" w:rsidRDefault="00410421" w:rsidP="00B902EA">
      <w:pPr>
        <w:jc w:val="both"/>
        <w:rPr>
          <w:rFonts w:ascii="Arial" w:hAnsi="Arial" w:cs="Arial"/>
          <w:b/>
        </w:rPr>
      </w:pPr>
    </w:p>
    <w:p w14:paraId="69DE0728" w14:textId="77777777" w:rsidR="00410421" w:rsidRPr="00410421" w:rsidRDefault="00410421" w:rsidP="00B902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Outcomes</w:t>
      </w:r>
    </w:p>
    <w:p w14:paraId="05C56CAA" w14:textId="77777777" w:rsidR="004441ED" w:rsidRDefault="004441ED" w:rsidP="00B90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service will attribute to the following </w:t>
      </w:r>
      <w:r w:rsidR="00502400">
        <w:rPr>
          <w:rFonts w:ascii="Arial" w:hAnsi="Arial" w:cs="Arial"/>
        </w:rPr>
        <w:t xml:space="preserve">strategic </w:t>
      </w:r>
      <w:r>
        <w:rPr>
          <w:rFonts w:ascii="Arial" w:hAnsi="Arial" w:cs="Arial"/>
        </w:rPr>
        <w:t>outcomes</w:t>
      </w:r>
      <w:r w:rsidR="00502400">
        <w:rPr>
          <w:rFonts w:ascii="Arial" w:hAnsi="Arial" w:cs="Arial"/>
        </w:rPr>
        <w:t>:-</w:t>
      </w:r>
    </w:p>
    <w:p w14:paraId="01E67527" w14:textId="77777777" w:rsidR="00502400" w:rsidRPr="00692EF4" w:rsidRDefault="00502400" w:rsidP="00692EF4">
      <w:pPr>
        <w:pStyle w:val="ListParagraph"/>
        <w:numPr>
          <w:ilvl w:val="0"/>
          <w:numId w:val="4"/>
        </w:numPr>
        <w:spacing w:before="100" w:after="0" w:line="240" w:lineRule="auto"/>
        <w:textAlignment w:val="center"/>
        <w:rPr>
          <w:rFonts w:ascii="Arial" w:hAnsi="Arial" w:cs="Arial"/>
          <w:szCs w:val="24"/>
          <w:lang w:eastAsia="en-GB"/>
        </w:rPr>
      </w:pPr>
      <w:r w:rsidRPr="00692EF4">
        <w:rPr>
          <w:rFonts w:ascii="Arial" w:hAnsi="Arial" w:cs="Arial"/>
          <w:kern w:val="24"/>
          <w:szCs w:val="24"/>
          <w:lang w:eastAsia="en-GB"/>
        </w:rPr>
        <w:t>Increase earnings levels of the self-employed</w:t>
      </w:r>
      <w:r w:rsidR="00410421">
        <w:rPr>
          <w:rFonts w:ascii="Arial" w:hAnsi="Arial" w:cs="Arial"/>
          <w:kern w:val="24"/>
          <w:szCs w:val="24"/>
          <w:lang w:eastAsia="en-GB"/>
        </w:rPr>
        <w:t xml:space="preserve"> and those in the gig economy</w:t>
      </w:r>
    </w:p>
    <w:p w14:paraId="0128FFE9" w14:textId="77777777" w:rsidR="00502400" w:rsidRPr="00692EF4" w:rsidRDefault="00502400" w:rsidP="00692EF4">
      <w:pPr>
        <w:pStyle w:val="ListParagraph"/>
        <w:numPr>
          <w:ilvl w:val="0"/>
          <w:numId w:val="4"/>
        </w:numPr>
        <w:spacing w:before="100" w:after="0" w:line="240" w:lineRule="auto"/>
        <w:textAlignment w:val="center"/>
        <w:rPr>
          <w:rFonts w:ascii="Arial" w:hAnsi="Arial" w:cs="Arial"/>
          <w:szCs w:val="24"/>
          <w:lang w:eastAsia="en-GB"/>
        </w:rPr>
      </w:pPr>
      <w:r w:rsidRPr="00692EF4">
        <w:rPr>
          <w:rFonts w:ascii="Arial" w:hAnsi="Arial" w:cs="Arial"/>
          <w:kern w:val="24"/>
          <w:szCs w:val="24"/>
          <w:lang w:eastAsia="en-GB"/>
        </w:rPr>
        <w:t>Increase business profits of the self-employed</w:t>
      </w:r>
    </w:p>
    <w:p w14:paraId="1CEE3D9A" w14:textId="77777777" w:rsidR="00502400" w:rsidRPr="00692EF4" w:rsidRDefault="00502400" w:rsidP="00692EF4">
      <w:pPr>
        <w:pStyle w:val="ListParagraph"/>
        <w:numPr>
          <w:ilvl w:val="0"/>
          <w:numId w:val="4"/>
        </w:numPr>
        <w:spacing w:before="100" w:after="0" w:line="240" w:lineRule="auto"/>
        <w:textAlignment w:val="center"/>
        <w:rPr>
          <w:rFonts w:ascii="Arial" w:hAnsi="Arial" w:cs="Arial"/>
          <w:szCs w:val="24"/>
          <w:lang w:eastAsia="en-GB"/>
        </w:rPr>
      </w:pPr>
      <w:r w:rsidRPr="00692EF4">
        <w:rPr>
          <w:rFonts w:ascii="Arial" w:hAnsi="Arial" w:cs="Arial"/>
          <w:kern w:val="24"/>
          <w:szCs w:val="24"/>
          <w:lang w:eastAsia="en-GB"/>
        </w:rPr>
        <w:t>Increase the confidence and knowledge of the self-employed</w:t>
      </w:r>
      <w:r w:rsidR="00410421">
        <w:rPr>
          <w:rFonts w:ascii="Arial" w:hAnsi="Arial" w:cs="Arial"/>
          <w:kern w:val="24"/>
          <w:szCs w:val="24"/>
          <w:lang w:eastAsia="en-GB"/>
        </w:rPr>
        <w:t xml:space="preserve"> and those in the gig economy </w:t>
      </w:r>
    </w:p>
    <w:p w14:paraId="7ABE1101" w14:textId="77777777" w:rsidR="00502400" w:rsidRPr="00692EF4" w:rsidRDefault="00502400" w:rsidP="00692EF4">
      <w:pPr>
        <w:pStyle w:val="ListParagraph"/>
        <w:numPr>
          <w:ilvl w:val="0"/>
          <w:numId w:val="4"/>
        </w:numPr>
        <w:spacing w:before="100" w:after="0" w:line="240" w:lineRule="auto"/>
        <w:textAlignment w:val="center"/>
        <w:rPr>
          <w:rFonts w:ascii="Arial" w:hAnsi="Arial" w:cs="Arial"/>
          <w:szCs w:val="24"/>
          <w:lang w:eastAsia="en-GB"/>
        </w:rPr>
      </w:pPr>
      <w:r w:rsidRPr="00692EF4">
        <w:rPr>
          <w:rFonts w:ascii="Arial" w:hAnsi="Arial" w:cs="Arial"/>
          <w:kern w:val="24"/>
          <w:szCs w:val="24"/>
          <w:lang w:eastAsia="en-GB"/>
        </w:rPr>
        <w:t>Increase the skills of the self-employed</w:t>
      </w:r>
      <w:r w:rsidR="00410421">
        <w:rPr>
          <w:rFonts w:ascii="Arial" w:hAnsi="Arial" w:cs="Arial"/>
          <w:kern w:val="24"/>
          <w:szCs w:val="24"/>
          <w:lang w:eastAsia="en-GB"/>
        </w:rPr>
        <w:t xml:space="preserve"> and those in the gig economy </w:t>
      </w:r>
    </w:p>
    <w:p w14:paraId="689F5F24" w14:textId="77777777" w:rsidR="00502400" w:rsidRPr="00B74D12" w:rsidRDefault="00502400" w:rsidP="00A073D5">
      <w:pPr>
        <w:pStyle w:val="ListParagraph"/>
        <w:numPr>
          <w:ilvl w:val="0"/>
          <w:numId w:val="4"/>
        </w:numPr>
        <w:spacing w:before="100" w:after="0" w:line="240" w:lineRule="auto"/>
        <w:jc w:val="both"/>
        <w:textAlignment w:val="center"/>
        <w:rPr>
          <w:rFonts w:ascii="Arial" w:hAnsi="Arial" w:cs="Arial"/>
        </w:rPr>
      </w:pPr>
      <w:r w:rsidRPr="00692EF4">
        <w:rPr>
          <w:rFonts w:ascii="Arial" w:hAnsi="Arial" w:cs="Arial"/>
          <w:kern w:val="24"/>
          <w:szCs w:val="24"/>
          <w:lang w:eastAsia="en-GB"/>
        </w:rPr>
        <w:t>Reduce the number of pilot participants that cease trading due to business failur</w:t>
      </w:r>
      <w:r w:rsidR="00B74D12">
        <w:rPr>
          <w:rFonts w:ascii="Arial" w:hAnsi="Arial" w:cs="Arial"/>
          <w:kern w:val="24"/>
          <w:szCs w:val="24"/>
          <w:lang w:eastAsia="en-GB"/>
        </w:rPr>
        <w:t xml:space="preserve">e </w:t>
      </w:r>
    </w:p>
    <w:p w14:paraId="4511CF67" w14:textId="77777777" w:rsidR="00B74D12" w:rsidRDefault="00B74D12" w:rsidP="00B902EA">
      <w:pPr>
        <w:jc w:val="both"/>
        <w:rPr>
          <w:rFonts w:ascii="Arial" w:hAnsi="Arial" w:cs="Arial"/>
          <w:b/>
        </w:rPr>
      </w:pPr>
    </w:p>
    <w:p w14:paraId="574E8EC3" w14:textId="77777777" w:rsidR="00B74D12" w:rsidRDefault="00B74D12" w:rsidP="00B902EA">
      <w:pPr>
        <w:jc w:val="both"/>
        <w:rPr>
          <w:rFonts w:ascii="Arial" w:hAnsi="Arial" w:cs="Arial"/>
          <w:b/>
        </w:rPr>
      </w:pPr>
    </w:p>
    <w:p w14:paraId="7BC7C1B4" w14:textId="77777777" w:rsidR="00410421" w:rsidRPr="00410421" w:rsidRDefault="00410421" w:rsidP="00B902EA">
      <w:pPr>
        <w:jc w:val="both"/>
        <w:rPr>
          <w:rFonts w:ascii="Arial" w:hAnsi="Arial" w:cs="Arial"/>
          <w:b/>
        </w:rPr>
      </w:pPr>
      <w:r w:rsidRPr="00410421">
        <w:rPr>
          <w:rFonts w:ascii="Arial" w:hAnsi="Arial" w:cs="Arial"/>
          <w:b/>
        </w:rPr>
        <w:t>Eligible Cohort</w:t>
      </w:r>
    </w:p>
    <w:p w14:paraId="1E1BDE2E" w14:textId="6B23DA1B" w:rsidR="0065235D" w:rsidRPr="0065235D" w:rsidRDefault="0065235D" w:rsidP="00692EF4">
      <w:pPr>
        <w:jc w:val="both"/>
        <w:rPr>
          <w:rFonts w:ascii="Arial" w:hAnsi="Arial" w:cs="Arial"/>
          <w:b/>
          <w:sz w:val="24"/>
        </w:rPr>
      </w:pPr>
      <w:r w:rsidRPr="0065235D">
        <w:rPr>
          <w:rFonts w:ascii="Arial" w:hAnsi="Arial" w:cs="Arial"/>
          <w:szCs w:val="20"/>
        </w:rPr>
        <w:t xml:space="preserve">GMCA want to ensure that priority access is given to GM residents </w:t>
      </w:r>
      <w:r w:rsidR="00050D98">
        <w:rPr>
          <w:rFonts w:ascii="Arial" w:hAnsi="Arial" w:cs="Arial"/>
          <w:szCs w:val="20"/>
        </w:rPr>
        <w:t xml:space="preserve">on low income </w:t>
      </w:r>
      <w:r w:rsidRPr="0065235D">
        <w:rPr>
          <w:rFonts w:ascii="Arial" w:hAnsi="Arial" w:cs="Arial"/>
          <w:szCs w:val="20"/>
        </w:rPr>
        <w:t>where self-employment is their primary source of income</w:t>
      </w:r>
      <w:r w:rsidR="00531D0E">
        <w:rPr>
          <w:rFonts w:ascii="Arial" w:hAnsi="Arial" w:cs="Arial"/>
          <w:szCs w:val="20"/>
        </w:rPr>
        <w:t>,</w:t>
      </w:r>
      <w:r w:rsidRPr="0065235D">
        <w:rPr>
          <w:rFonts w:ascii="Arial" w:hAnsi="Arial" w:cs="Arial"/>
          <w:szCs w:val="20"/>
        </w:rPr>
        <w:t xml:space="preserve"> or GM residents </w:t>
      </w:r>
      <w:r>
        <w:rPr>
          <w:rFonts w:ascii="Arial" w:hAnsi="Arial" w:cs="Arial"/>
          <w:szCs w:val="20"/>
        </w:rPr>
        <w:t xml:space="preserve">who are </w:t>
      </w:r>
      <w:r w:rsidRPr="0065235D">
        <w:rPr>
          <w:rFonts w:ascii="Arial" w:hAnsi="Arial" w:cs="Arial"/>
          <w:szCs w:val="20"/>
        </w:rPr>
        <w:t xml:space="preserve">working in the gig economy. All participants will be required to participate in the evaluation of the </w:t>
      </w:r>
      <w:r>
        <w:rPr>
          <w:rFonts w:ascii="Arial" w:hAnsi="Arial" w:cs="Arial"/>
          <w:szCs w:val="20"/>
        </w:rPr>
        <w:t>service</w:t>
      </w:r>
      <w:r w:rsidRPr="0065235D">
        <w:rPr>
          <w:rFonts w:ascii="Arial" w:hAnsi="Arial" w:cs="Arial"/>
          <w:szCs w:val="20"/>
        </w:rPr>
        <w:t xml:space="preserve"> to be able to start on the programme and access support</w:t>
      </w:r>
      <w:r>
        <w:rPr>
          <w:rFonts w:ascii="Arial" w:hAnsi="Arial" w:cs="Arial"/>
          <w:szCs w:val="20"/>
        </w:rPr>
        <w:t>.</w:t>
      </w:r>
      <w:bookmarkStart w:id="0" w:name="_GoBack"/>
      <w:bookmarkEnd w:id="0"/>
    </w:p>
    <w:p w14:paraId="344FB4AD" w14:textId="77777777" w:rsidR="0065235D" w:rsidRDefault="0065235D" w:rsidP="00692EF4">
      <w:pPr>
        <w:jc w:val="both"/>
        <w:rPr>
          <w:rFonts w:ascii="Arial" w:hAnsi="Arial" w:cs="Arial"/>
          <w:b/>
        </w:rPr>
      </w:pPr>
    </w:p>
    <w:p w14:paraId="3CA07A54" w14:textId="2E274A07" w:rsidR="00410421" w:rsidRPr="00410421" w:rsidRDefault="00410421" w:rsidP="00692EF4">
      <w:pPr>
        <w:jc w:val="both"/>
        <w:rPr>
          <w:rFonts w:ascii="Arial" w:hAnsi="Arial" w:cs="Arial"/>
          <w:b/>
        </w:rPr>
      </w:pPr>
      <w:r w:rsidRPr="00410421">
        <w:rPr>
          <w:rFonts w:ascii="Arial" w:hAnsi="Arial" w:cs="Arial"/>
          <w:b/>
        </w:rPr>
        <w:t>Minimum Service Offer</w:t>
      </w:r>
    </w:p>
    <w:p w14:paraId="7381C86C" w14:textId="77777777" w:rsidR="00692EF4" w:rsidRDefault="00692EF4" w:rsidP="00692E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A1B46">
        <w:rPr>
          <w:rFonts w:ascii="Arial" w:hAnsi="Arial" w:cs="Arial"/>
        </w:rPr>
        <w:t xml:space="preserve"> minimum</w:t>
      </w:r>
      <w:r>
        <w:rPr>
          <w:rFonts w:ascii="Arial" w:hAnsi="Arial" w:cs="Arial"/>
        </w:rPr>
        <w:t xml:space="preserve"> service </w:t>
      </w:r>
      <w:r w:rsidR="004A1B46">
        <w:rPr>
          <w:rFonts w:ascii="Arial" w:hAnsi="Arial" w:cs="Arial"/>
        </w:rPr>
        <w:t>offer will include the following interventions:-</w:t>
      </w:r>
    </w:p>
    <w:p w14:paraId="54F2C441" w14:textId="77777777" w:rsidR="004A1B46" w:rsidRPr="004A1B46" w:rsidRDefault="004A1B46" w:rsidP="004A1B4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A1B46">
        <w:rPr>
          <w:rFonts w:ascii="Arial" w:hAnsi="Arial" w:cs="Arial"/>
        </w:rPr>
        <w:lastRenderedPageBreak/>
        <w:t xml:space="preserve">Regular access to a Keyworker </w:t>
      </w:r>
    </w:p>
    <w:p w14:paraId="005FD68C" w14:textId="77777777" w:rsidR="004A1B46" w:rsidRPr="004A1B46" w:rsidRDefault="004A1B46" w:rsidP="00FA117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4A1B46">
        <w:rPr>
          <w:rFonts w:ascii="Arial" w:hAnsi="Arial" w:cs="Arial"/>
        </w:rPr>
        <w:t xml:space="preserve">A holistic assessment and personalised action plan </w:t>
      </w:r>
    </w:p>
    <w:p w14:paraId="77B65FAB" w14:textId="77777777" w:rsidR="004A1B46" w:rsidRPr="004A1B46" w:rsidRDefault="004A1B46" w:rsidP="00FA117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4A1B46">
        <w:rPr>
          <w:rFonts w:ascii="Arial" w:hAnsi="Arial" w:cs="Arial"/>
        </w:rPr>
        <w:t xml:space="preserve">Access to the digital platform supporting the service offer </w:t>
      </w:r>
    </w:p>
    <w:p w14:paraId="2A8126C6" w14:textId="77777777" w:rsidR="004A1B46" w:rsidRPr="004A1B46" w:rsidRDefault="004A1B46" w:rsidP="00F025D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4A1B46">
        <w:rPr>
          <w:rFonts w:ascii="Arial" w:hAnsi="Arial" w:cs="Arial"/>
        </w:rPr>
        <w:t>Access to peer mentoring</w:t>
      </w:r>
    </w:p>
    <w:p w14:paraId="37B94156" w14:textId="77777777" w:rsidR="004A1B46" w:rsidRPr="004A1B46" w:rsidRDefault="004A1B46" w:rsidP="004A1B46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4A1B46">
        <w:rPr>
          <w:rFonts w:ascii="Arial" w:hAnsi="Arial" w:cs="Arial"/>
        </w:rPr>
        <w:t>Access to information, advice and guidance from qualified specialists in the areas of personal finances and careers advice</w:t>
      </w:r>
    </w:p>
    <w:p w14:paraId="590C5E0D" w14:textId="77777777" w:rsidR="004A1B46" w:rsidRDefault="004A1B46" w:rsidP="00704A9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4A1B46">
        <w:rPr>
          <w:rFonts w:ascii="Arial" w:hAnsi="Arial" w:cs="Arial"/>
        </w:rPr>
        <w:t xml:space="preserve">Access to </w:t>
      </w:r>
      <w:r w:rsidRPr="004A1B46">
        <w:rPr>
          <w:rFonts w:ascii="Arial" w:hAnsi="Arial" w:cs="Arial"/>
          <w:b/>
        </w:rPr>
        <w:t>Virtual Vouchers</w:t>
      </w:r>
      <w:r w:rsidRPr="004A1B46">
        <w:rPr>
          <w:rFonts w:ascii="Arial" w:hAnsi="Arial" w:cs="Arial"/>
        </w:rPr>
        <w:t xml:space="preserve"> which can be exchanged for the enhanced of skills and training.</w:t>
      </w:r>
    </w:p>
    <w:p w14:paraId="4A810272" w14:textId="77777777" w:rsidR="00410421" w:rsidRDefault="00410421" w:rsidP="00FD4E3B">
      <w:pPr>
        <w:jc w:val="both"/>
        <w:rPr>
          <w:rFonts w:ascii="Arial" w:eastAsia="Times New Roman" w:hAnsi="Arial" w:cs="Arial"/>
        </w:rPr>
      </w:pPr>
    </w:p>
    <w:p w14:paraId="5247B491" w14:textId="77777777" w:rsidR="00286ACB" w:rsidRPr="00286ACB" w:rsidRDefault="00286ACB" w:rsidP="00FD4E3B">
      <w:pPr>
        <w:jc w:val="both"/>
        <w:rPr>
          <w:rFonts w:ascii="Arial" w:eastAsia="Times New Roman" w:hAnsi="Arial" w:cs="Arial"/>
          <w:b/>
        </w:rPr>
      </w:pPr>
      <w:r w:rsidRPr="00286ACB">
        <w:rPr>
          <w:rFonts w:ascii="Arial" w:eastAsia="Times New Roman" w:hAnsi="Arial" w:cs="Arial"/>
          <w:b/>
        </w:rPr>
        <w:t>Payment model</w:t>
      </w:r>
    </w:p>
    <w:p w14:paraId="23E700C2" w14:textId="77777777" w:rsidR="00FD4E3B" w:rsidRPr="00FD4E3B" w:rsidRDefault="00FD4E3B" w:rsidP="00FD4E3B">
      <w:pPr>
        <w:jc w:val="both"/>
        <w:rPr>
          <w:rFonts w:ascii="Arial" w:eastAsia="Times New Roman" w:hAnsi="Arial" w:cs="Arial"/>
        </w:rPr>
      </w:pPr>
      <w:r w:rsidRPr="00FD4E3B">
        <w:rPr>
          <w:rFonts w:ascii="Arial" w:eastAsia="Times New Roman" w:hAnsi="Arial" w:cs="Arial"/>
        </w:rPr>
        <w:t>GMCA anticipates the contract will contribute towards provider costs associated with running the service (e.g. staffing, premises &amp; marketing and communications). Also expects to reimburse eligible virtual voucher costs issued to individuals accessing the service.</w:t>
      </w:r>
    </w:p>
    <w:p w14:paraId="7014E366" w14:textId="77777777" w:rsidR="004A1B46" w:rsidRPr="00286ACB" w:rsidRDefault="004A1B46" w:rsidP="00FD4E3B">
      <w:pPr>
        <w:jc w:val="both"/>
        <w:rPr>
          <w:rFonts w:ascii="Arial" w:hAnsi="Arial" w:cs="Arial"/>
          <w:b/>
        </w:rPr>
      </w:pPr>
    </w:p>
    <w:p w14:paraId="6C64A07C" w14:textId="77777777" w:rsidR="00286ACB" w:rsidRPr="00286ACB" w:rsidRDefault="00286ACB" w:rsidP="00087FDF">
      <w:pPr>
        <w:jc w:val="both"/>
        <w:rPr>
          <w:rFonts w:ascii="Arial" w:hAnsi="Arial" w:cs="Arial"/>
          <w:b/>
        </w:rPr>
      </w:pPr>
      <w:r w:rsidRPr="00286ACB">
        <w:rPr>
          <w:rFonts w:ascii="Arial" w:hAnsi="Arial" w:cs="Arial"/>
          <w:b/>
        </w:rPr>
        <w:t>Procurement strategy and timeline</w:t>
      </w:r>
    </w:p>
    <w:p w14:paraId="6B6DAC8E" w14:textId="77777777" w:rsidR="00087FDF" w:rsidRPr="00087FDF" w:rsidRDefault="00087FDF" w:rsidP="00087FDF">
      <w:pPr>
        <w:jc w:val="both"/>
        <w:rPr>
          <w:rFonts w:ascii="Arial" w:hAnsi="Arial" w:cs="Arial"/>
        </w:rPr>
      </w:pPr>
      <w:r w:rsidRPr="00087FDF">
        <w:rPr>
          <w:rFonts w:ascii="Arial" w:hAnsi="Arial" w:cs="Arial"/>
        </w:rPr>
        <w:t>The Procurement strategy will be an “open tender procedure” compliant with UK and EU legislation.</w:t>
      </w:r>
    </w:p>
    <w:p w14:paraId="6981B8FF" w14:textId="1A8B9737" w:rsidR="00087FDF" w:rsidRPr="00087FDF" w:rsidRDefault="00087FDF" w:rsidP="00087FDF">
      <w:pPr>
        <w:pStyle w:val="BodyText1"/>
        <w:spacing w:before="120" w:after="120" w:line="264" w:lineRule="auto"/>
        <w:ind w:left="0"/>
        <w:jc w:val="both"/>
        <w:rPr>
          <w:rFonts w:ascii="Arial" w:hAnsi="Arial" w:cs="Arial"/>
          <w:sz w:val="22"/>
          <w:szCs w:val="22"/>
        </w:rPr>
      </w:pPr>
      <w:r w:rsidRPr="00087FDF">
        <w:rPr>
          <w:rFonts w:ascii="Arial" w:eastAsiaTheme="minorEastAsia" w:hAnsi="Arial" w:cs="Arial"/>
          <w:sz w:val="22"/>
          <w:szCs w:val="22"/>
        </w:rPr>
        <w:t>The tender documents will be available for download via The Chest</w:t>
      </w:r>
      <w:r w:rsidRPr="00087FDF">
        <w:rPr>
          <w:rFonts w:ascii="Arial" w:hAnsi="Arial" w:cs="Arial"/>
          <w:sz w:val="22"/>
          <w:szCs w:val="22"/>
        </w:rPr>
        <w:t xml:space="preserve"> portal</w:t>
      </w:r>
      <w:r w:rsidRPr="00087FDF">
        <w:rPr>
          <w:rFonts w:ascii="Arial" w:eastAsiaTheme="minorEastAsia" w:hAnsi="Arial" w:cs="Arial"/>
          <w:sz w:val="22"/>
          <w:szCs w:val="22"/>
        </w:rPr>
        <w:t xml:space="preserve"> (Ref DN</w:t>
      </w:r>
      <w:r w:rsidR="00531D0E">
        <w:rPr>
          <w:rFonts w:ascii="Arial" w:eastAsiaTheme="minorEastAsia" w:hAnsi="Arial" w:cs="Arial"/>
          <w:sz w:val="22"/>
          <w:szCs w:val="22"/>
        </w:rPr>
        <w:t>420592</w:t>
      </w:r>
      <w:r w:rsidRPr="00087FDF">
        <w:rPr>
          <w:rFonts w:ascii="Arial" w:eastAsiaTheme="minorEastAsia" w:hAnsi="Arial" w:cs="Arial"/>
          <w:sz w:val="22"/>
          <w:szCs w:val="22"/>
        </w:rPr>
        <w:t xml:space="preserve">) from </w:t>
      </w:r>
      <w:r w:rsidR="00397BD7">
        <w:rPr>
          <w:rFonts w:ascii="Arial" w:eastAsiaTheme="minorEastAsia" w:hAnsi="Arial" w:cs="Arial"/>
          <w:sz w:val="22"/>
          <w:szCs w:val="22"/>
        </w:rPr>
        <w:t xml:space="preserve">late July. </w:t>
      </w:r>
      <w:r w:rsidRPr="00087FDF">
        <w:rPr>
          <w:rFonts w:ascii="Arial" w:eastAsiaTheme="minorEastAsia" w:hAnsi="Arial" w:cs="Arial"/>
          <w:sz w:val="22"/>
          <w:szCs w:val="22"/>
        </w:rPr>
        <w:t xml:space="preserve">If you are interested in applying for this </w:t>
      </w:r>
      <w:r w:rsidRPr="00087FDF">
        <w:rPr>
          <w:rFonts w:ascii="Arial" w:hAnsi="Arial" w:cs="Arial"/>
          <w:sz w:val="22"/>
          <w:szCs w:val="22"/>
        </w:rPr>
        <w:t>opportunity,</w:t>
      </w:r>
      <w:r w:rsidRPr="00087FDF">
        <w:rPr>
          <w:rFonts w:ascii="Arial" w:eastAsiaTheme="minorEastAsia" w:hAnsi="Arial" w:cs="Arial"/>
          <w:sz w:val="22"/>
          <w:szCs w:val="22"/>
        </w:rPr>
        <w:t xml:space="preserve"> you will need to register your organisation on The Chest (</w:t>
      </w:r>
      <w:hyperlink r:id="rId5" w:history="1">
        <w:r w:rsidRPr="00087FDF">
          <w:rPr>
            <w:rStyle w:val="Hyperlink"/>
            <w:rFonts w:ascii="Arial" w:hAnsi="Arial" w:cs="Arial"/>
            <w:sz w:val="22"/>
            <w:szCs w:val="22"/>
          </w:rPr>
          <w:t>www.the-chest.org.uk</w:t>
        </w:r>
      </w:hyperlink>
      <w:r w:rsidRPr="00087FDF">
        <w:rPr>
          <w:rFonts w:ascii="Arial" w:hAnsi="Arial" w:cs="Arial"/>
          <w:sz w:val="22"/>
          <w:szCs w:val="22"/>
        </w:rPr>
        <w:t xml:space="preserve">) </w:t>
      </w:r>
      <w:r w:rsidRPr="00087FDF">
        <w:rPr>
          <w:rFonts w:ascii="Arial" w:eastAsiaTheme="minorEastAsia" w:hAnsi="Arial" w:cs="Arial"/>
          <w:sz w:val="22"/>
          <w:szCs w:val="22"/>
        </w:rPr>
        <w:t>for current opportunities at Greater Manchester Combined Authority (GMCA).</w:t>
      </w:r>
    </w:p>
    <w:p w14:paraId="30A300C1" w14:textId="77777777" w:rsidR="004A1B46" w:rsidRDefault="00F30AE3" w:rsidP="004A1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anticipated </w:t>
      </w:r>
      <w:r w:rsidR="00166D17">
        <w:rPr>
          <w:rFonts w:ascii="Arial" w:hAnsi="Arial" w:cs="Arial"/>
        </w:rPr>
        <w:t xml:space="preserve">timeline is as follows:-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6D17" w14:paraId="101E97C2" w14:textId="77777777" w:rsidTr="00F30AE3">
        <w:tc>
          <w:tcPr>
            <w:tcW w:w="4508" w:type="dxa"/>
            <w:shd w:val="clear" w:color="auto" w:fill="D0CECE" w:themeFill="background2" w:themeFillShade="E6"/>
          </w:tcPr>
          <w:p w14:paraId="7860B816" w14:textId="77777777" w:rsidR="00166D17" w:rsidRDefault="00F30AE3" w:rsidP="004A1B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milestones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14:paraId="31832B3D" w14:textId="77777777" w:rsidR="00166D17" w:rsidRDefault="00F30AE3" w:rsidP="004A1B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dates</w:t>
            </w:r>
          </w:p>
        </w:tc>
      </w:tr>
      <w:tr w:rsidR="00166D17" w14:paraId="11905E69" w14:textId="77777777" w:rsidTr="00166D17">
        <w:tc>
          <w:tcPr>
            <w:tcW w:w="4508" w:type="dxa"/>
          </w:tcPr>
          <w:p w14:paraId="00B0A3BB" w14:textId="77777777" w:rsidR="00166D17" w:rsidRDefault="00F30AE3" w:rsidP="004A1B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of tender documents via the CHEST</w:t>
            </w:r>
          </w:p>
        </w:tc>
        <w:tc>
          <w:tcPr>
            <w:tcW w:w="4508" w:type="dxa"/>
          </w:tcPr>
          <w:p w14:paraId="1385DD88" w14:textId="77777777" w:rsidR="00166D17" w:rsidRDefault="00F30AE3" w:rsidP="004A1B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July 2019</w:t>
            </w:r>
          </w:p>
        </w:tc>
      </w:tr>
      <w:tr w:rsidR="00166D17" w14:paraId="26EC509D" w14:textId="77777777" w:rsidTr="00166D17">
        <w:tc>
          <w:tcPr>
            <w:tcW w:w="4508" w:type="dxa"/>
          </w:tcPr>
          <w:p w14:paraId="6A82A35E" w14:textId="77777777" w:rsidR="00166D17" w:rsidRDefault="00F30AE3" w:rsidP="004A1B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if SAQ/ITT submissions</w:t>
            </w:r>
          </w:p>
        </w:tc>
        <w:tc>
          <w:tcPr>
            <w:tcW w:w="4508" w:type="dxa"/>
          </w:tcPr>
          <w:p w14:paraId="30C23EB4" w14:textId="77777777" w:rsidR="00166D17" w:rsidRDefault="00F30AE3" w:rsidP="004A1B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September 2019</w:t>
            </w:r>
          </w:p>
        </w:tc>
      </w:tr>
      <w:tr w:rsidR="00166D17" w14:paraId="12DA0A70" w14:textId="77777777" w:rsidTr="00166D17">
        <w:tc>
          <w:tcPr>
            <w:tcW w:w="4508" w:type="dxa"/>
          </w:tcPr>
          <w:p w14:paraId="52DD6CFA" w14:textId="77777777" w:rsidR="00166D17" w:rsidRDefault="00F30AE3" w:rsidP="004A1B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of intent to award letters</w:t>
            </w:r>
          </w:p>
        </w:tc>
        <w:tc>
          <w:tcPr>
            <w:tcW w:w="4508" w:type="dxa"/>
          </w:tcPr>
          <w:p w14:paraId="13AA99C6" w14:textId="77777777" w:rsidR="00166D17" w:rsidRDefault="00F30AE3" w:rsidP="004A1B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October 2019</w:t>
            </w:r>
          </w:p>
        </w:tc>
      </w:tr>
      <w:tr w:rsidR="00166D17" w14:paraId="16BC5D3F" w14:textId="77777777" w:rsidTr="00166D17">
        <w:tc>
          <w:tcPr>
            <w:tcW w:w="4508" w:type="dxa"/>
          </w:tcPr>
          <w:p w14:paraId="51CF256E" w14:textId="77777777" w:rsidR="00166D17" w:rsidRDefault="00F30AE3" w:rsidP="004A1B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final contract</w:t>
            </w:r>
          </w:p>
        </w:tc>
        <w:tc>
          <w:tcPr>
            <w:tcW w:w="4508" w:type="dxa"/>
          </w:tcPr>
          <w:p w14:paraId="12DBD663" w14:textId="77777777" w:rsidR="00166D17" w:rsidRDefault="00F30AE3" w:rsidP="004A1B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November 2019</w:t>
            </w:r>
          </w:p>
        </w:tc>
      </w:tr>
      <w:tr w:rsidR="00166D17" w14:paraId="4D8D13D0" w14:textId="77777777" w:rsidTr="00166D17">
        <w:tc>
          <w:tcPr>
            <w:tcW w:w="4508" w:type="dxa"/>
          </w:tcPr>
          <w:p w14:paraId="53520617" w14:textId="77777777" w:rsidR="00166D17" w:rsidRDefault="00F30AE3" w:rsidP="004A1B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Commence implementation</w:t>
            </w:r>
          </w:p>
        </w:tc>
        <w:tc>
          <w:tcPr>
            <w:tcW w:w="4508" w:type="dxa"/>
          </w:tcPr>
          <w:p w14:paraId="0CC06FC8" w14:textId="77777777" w:rsidR="00166D17" w:rsidRDefault="00F30AE3" w:rsidP="004A1B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November 2019</w:t>
            </w:r>
          </w:p>
        </w:tc>
      </w:tr>
      <w:tr w:rsidR="00166D17" w14:paraId="708D3F3A" w14:textId="77777777" w:rsidTr="00166D17">
        <w:tc>
          <w:tcPr>
            <w:tcW w:w="4508" w:type="dxa"/>
          </w:tcPr>
          <w:p w14:paraId="383DE955" w14:textId="77777777" w:rsidR="00166D17" w:rsidRDefault="00F30AE3" w:rsidP="004A1B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commencement</w:t>
            </w:r>
          </w:p>
        </w:tc>
        <w:tc>
          <w:tcPr>
            <w:tcW w:w="4508" w:type="dxa"/>
          </w:tcPr>
          <w:p w14:paraId="3A2D2265" w14:textId="77777777" w:rsidR="00166D17" w:rsidRDefault="00F30AE3" w:rsidP="004A1B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February 2020</w:t>
            </w:r>
          </w:p>
        </w:tc>
      </w:tr>
    </w:tbl>
    <w:p w14:paraId="75BF794C" w14:textId="77777777" w:rsidR="00166D17" w:rsidRDefault="00166D17" w:rsidP="004A1B46">
      <w:pPr>
        <w:jc w:val="both"/>
        <w:rPr>
          <w:rFonts w:ascii="Arial" w:hAnsi="Arial" w:cs="Arial"/>
        </w:rPr>
      </w:pPr>
    </w:p>
    <w:p w14:paraId="0C8A526F" w14:textId="77777777" w:rsidR="00F30AE3" w:rsidRDefault="00F30AE3" w:rsidP="004A1B46">
      <w:pPr>
        <w:jc w:val="both"/>
        <w:rPr>
          <w:rFonts w:ascii="Arial" w:hAnsi="Arial" w:cs="Arial"/>
        </w:rPr>
      </w:pPr>
    </w:p>
    <w:p w14:paraId="3189159C" w14:textId="77777777" w:rsidR="00F30AE3" w:rsidRPr="004A1B46" w:rsidRDefault="00F30AE3" w:rsidP="004A1B46">
      <w:pPr>
        <w:jc w:val="both"/>
        <w:rPr>
          <w:rFonts w:ascii="Arial" w:hAnsi="Arial" w:cs="Arial"/>
        </w:rPr>
      </w:pPr>
    </w:p>
    <w:sectPr w:rsidR="00F30AE3" w:rsidRPr="004A1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344"/>
    <w:multiLevelType w:val="hybridMultilevel"/>
    <w:tmpl w:val="E940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D51"/>
    <w:multiLevelType w:val="hybridMultilevel"/>
    <w:tmpl w:val="0B1A44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BE67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5838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7084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B4B0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16BD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F461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F220F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8628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9943655"/>
    <w:multiLevelType w:val="hybridMultilevel"/>
    <w:tmpl w:val="4A6A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121B"/>
    <w:multiLevelType w:val="hybridMultilevel"/>
    <w:tmpl w:val="AAB4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54E4"/>
    <w:multiLevelType w:val="hybridMultilevel"/>
    <w:tmpl w:val="D9926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FA3C79"/>
    <w:multiLevelType w:val="hybridMultilevel"/>
    <w:tmpl w:val="7566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14DE2"/>
    <w:multiLevelType w:val="hybridMultilevel"/>
    <w:tmpl w:val="3DE60FE4"/>
    <w:lvl w:ilvl="0" w:tplc="0C64D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29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89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C9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A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C7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A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0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2D6C81"/>
    <w:multiLevelType w:val="hybridMultilevel"/>
    <w:tmpl w:val="AAD2B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9605D"/>
    <w:multiLevelType w:val="hybridMultilevel"/>
    <w:tmpl w:val="4F388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D6D65"/>
    <w:multiLevelType w:val="hybridMultilevel"/>
    <w:tmpl w:val="2B3E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1284C"/>
    <w:multiLevelType w:val="hybridMultilevel"/>
    <w:tmpl w:val="66762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5A"/>
    <w:rsid w:val="00050D98"/>
    <w:rsid w:val="00087FDF"/>
    <w:rsid w:val="00166D17"/>
    <w:rsid w:val="00286ACB"/>
    <w:rsid w:val="00397BD7"/>
    <w:rsid w:val="00410421"/>
    <w:rsid w:val="004441ED"/>
    <w:rsid w:val="004A1B46"/>
    <w:rsid w:val="00502400"/>
    <w:rsid w:val="0050725A"/>
    <w:rsid w:val="00531D0E"/>
    <w:rsid w:val="00566A7B"/>
    <w:rsid w:val="005B3A2E"/>
    <w:rsid w:val="0065235D"/>
    <w:rsid w:val="006856F2"/>
    <w:rsid w:val="00692EF4"/>
    <w:rsid w:val="0086110F"/>
    <w:rsid w:val="00891876"/>
    <w:rsid w:val="008F2DC8"/>
    <w:rsid w:val="00940066"/>
    <w:rsid w:val="00983354"/>
    <w:rsid w:val="00B74D12"/>
    <w:rsid w:val="00B902EA"/>
    <w:rsid w:val="00BB1283"/>
    <w:rsid w:val="00BB65DD"/>
    <w:rsid w:val="00BF2E7F"/>
    <w:rsid w:val="00C0024F"/>
    <w:rsid w:val="00CB2F14"/>
    <w:rsid w:val="00F30AE3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406E"/>
  <w15:chartTrackingRefBased/>
  <w15:docId w15:val="{CCF80870-871D-46EC-A612-771204C7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92EF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ist Paragraph12"/>
    <w:basedOn w:val="Normal"/>
    <w:link w:val="ListParagraphChar"/>
    <w:uiPriority w:val="34"/>
    <w:qFormat/>
    <w:rsid w:val="00692E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1B46"/>
    <w:rPr>
      <w:sz w:val="16"/>
      <w:szCs w:val="16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List Paragraph11 Char,MAIN CONTENT Char"/>
    <w:link w:val="ListParagraph"/>
    <w:uiPriority w:val="34"/>
    <w:locked/>
    <w:rsid w:val="004A1B46"/>
  </w:style>
  <w:style w:type="table" w:styleId="TableGrid">
    <w:name w:val="Table Grid"/>
    <w:basedOn w:val="TableNormal"/>
    <w:uiPriority w:val="39"/>
    <w:rsid w:val="0016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basedOn w:val="Normal"/>
    <w:rsid w:val="00087FDF"/>
    <w:pPr>
      <w:spacing w:after="24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rsid w:val="00087F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D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D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-ches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Finlay, Anne</dc:creator>
  <cp:keywords/>
  <dc:description/>
  <cp:lastModifiedBy>McCormack, Suzanne</cp:lastModifiedBy>
  <cp:revision>3</cp:revision>
  <dcterms:created xsi:type="dcterms:W3CDTF">2019-07-11T13:16:00Z</dcterms:created>
  <dcterms:modified xsi:type="dcterms:W3CDTF">2019-07-11T15:13:00Z</dcterms:modified>
</cp:coreProperties>
</file>