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rFonts w:ascii="Arial" w:cs="Arial" w:eastAsia="Arial" w:hAnsi="Arial"/>
          <w:b w:val="1"/>
          <w:color w:val="1f1f1f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Mental Health Supported Housing &amp; Floating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 of Declaration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declare that to the best of my knowledge the answers submitted and information contained in this complete document are correct and accurate, including parts 1, 2 and part 3.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declare that, upon request and without delay I will provide the certificates and/or documentary evidence referred to in this document except where this documentation can be accessed by the contracting authority via a national database free of charge or the contracting authority already possesses the documentation.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understand that the information will be used in the selection process to assess my suitability to participate further in this procurement.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understand that the authority may reject this submission in its entirety if there is a failure to answer all the relevant questions fully, or if false/misleading information or content is provided in any section.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aware of the consequences of serious misrepresentation.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3315"/>
        <w:gridCol w:w="900"/>
        <w:gridCol w:w="1200"/>
        <w:gridCol w:w="1110"/>
        <w:tblGridChange w:id="0">
          <w:tblGrid>
            <w:gridCol w:w="2580"/>
            <w:gridCol w:w="3315"/>
            <w:gridCol w:w="900"/>
            <w:gridCol w:w="1200"/>
            <w:gridCol w:w="111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5"/>
            <w:shd w:fill="f3f3f3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Bid completed by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On behalf of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.93554687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Role in Organisation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231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/yhN5qFYEHc66ZWGluOEs+T6fg==">CgMxLjA4AHIhMUZGN0dsTDZSWUV1M3dlNmtWUDFOdGJQWkNGT2NqdEpw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