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494"/>
        <w:gridCol w:w="1494"/>
        <w:gridCol w:w="5593"/>
        <w:gridCol w:w="5593"/>
      </w:tblGrid>
      <w:tr w:rsidR="00F65F48" w:rsidTr="0012211F">
        <w:trPr>
          <w:cantSplit/>
          <w:tblHeader/>
        </w:trPr>
        <w:tc>
          <w:tcPr>
            <w:tcW w:w="1494" w:type="dxa"/>
            <w:shd w:val="solid" w:color="000080" w:fill="FFFFFF"/>
          </w:tcPr>
          <w:p w:rsidR="00F65F48" w:rsidRPr="0012211F" w:rsidRDefault="00F65F48" w:rsidP="0012211F">
            <w:pPr>
              <w:spacing w:before="120" w:after="120"/>
              <w:jc w:val="center"/>
              <w:rPr>
                <w:b/>
                <w:bCs/>
                <w:color w:val="FFFFFF"/>
              </w:rPr>
            </w:pPr>
            <w:r w:rsidRPr="0012211F">
              <w:rPr>
                <w:b/>
                <w:bCs/>
                <w:color w:val="FFFFFF"/>
              </w:rPr>
              <w:t>Document</w:t>
            </w:r>
          </w:p>
        </w:tc>
        <w:tc>
          <w:tcPr>
            <w:tcW w:w="1494" w:type="dxa"/>
            <w:shd w:val="solid" w:color="000080" w:fill="FFFFFF"/>
          </w:tcPr>
          <w:p w:rsidR="00F65F48" w:rsidRPr="0012211F" w:rsidRDefault="00F65F48" w:rsidP="0012211F">
            <w:pPr>
              <w:spacing w:before="120" w:after="120"/>
              <w:jc w:val="center"/>
              <w:rPr>
                <w:b/>
                <w:bCs/>
                <w:color w:val="FFFFFF"/>
              </w:rPr>
            </w:pPr>
            <w:r w:rsidRPr="0012211F">
              <w:rPr>
                <w:b/>
                <w:bCs/>
                <w:color w:val="FFFFFF"/>
              </w:rPr>
              <w:t>Reference</w:t>
            </w:r>
          </w:p>
        </w:tc>
        <w:tc>
          <w:tcPr>
            <w:tcW w:w="5593" w:type="dxa"/>
            <w:shd w:val="solid" w:color="000080" w:fill="FFFFFF"/>
          </w:tcPr>
          <w:p w:rsidR="00F65F48" w:rsidRPr="0012211F" w:rsidRDefault="00F65F48" w:rsidP="0012211F">
            <w:pPr>
              <w:spacing w:before="120" w:after="120"/>
              <w:jc w:val="center"/>
              <w:rPr>
                <w:b/>
                <w:bCs/>
                <w:color w:val="FFFFFF"/>
              </w:rPr>
            </w:pPr>
            <w:r w:rsidRPr="0012211F">
              <w:rPr>
                <w:b/>
                <w:bCs/>
                <w:color w:val="FFFFFF"/>
              </w:rPr>
              <w:t>Question</w:t>
            </w:r>
          </w:p>
        </w:tc>
        <w:tc>
          <w:tcPr>
            <w:tcW w:w="5593" w:type="dxa"/>
            <w:shd w:val="solid" w:color="000080" w:fill="FFFFFF"/>
          </w:tcPr>
          <w:p w:rsidR="00F65F48" w:rsidRPr="0012211F" w:rsidRDefault="00F65F48" w:rsidP="0012211F">
            <w:pPr>
              <w:spacing w:before="120" w:after="120"/>
              <w:jc w:val="center"/>
              <w:rPr>
                <w:b/>
                <w:bCs/>
                <w:color w:val="FFFFFF"/>
              </w:rPr>
            </w:pPr>
            <w:r w:rsidRPr="0012211F">
              <w:rPr>
                <w:b/>
                <w:bCs/>
                <w:color w:val="FFFFFF"/>
              </w:rPr>
              <w:t>Answer</w:t>
            </w:r>
          </w:p>
        </w:tc>
      </w:tr>
      <w:tr w:rsidR="00D62CDB" w:rsidRPr="0012211F" w:rsidTr="0012211F">
        <w:trPr>
          <w:cantSplit/>
        </w:trPr>
        <w:tc>
          <w:tcPr>
            <w:tcW w:w="1494" w:type="dxa"/>
            <w:shd w:val="clear" w:color="auto" w:fill="auto"/>
          </w:tcPr>
          <w:p w:rsidR="00D62CDB" w:rsidRPr="0012211F" w:rsidRDefault="00264781" w:rsidP="002C4399">
            <w:pPr>
              <w:rPr>
                <w:rFonts w:cs="Arial"/>
                <w:sz w:val="20"/>
                <w:szCs w:val="20"/>
              </w:rPr>
            </w:pPr>
            <w:r>
              <w:rPr>
                <w:rFonts w:cs="Arial"/>
                <w:sz w:val="20"/>
                <w:szCs w:val="20"/>
              </w:rPr>
              <w:t>Specification</w:t>
            </w:r>
          </w:p>
        </w:tc>
        <w:tc>
          <w:tcPr>
            <w:tcW w:w="1494" w:type="dxa"/>
            <w:shd w:val="clear" w:color="auto" w:fill="auto"/>
          </w:tcPr>
          <w:p w:rsidR="00D62CDB" w:rsidRPr="0012211F" w:rsidRDefault="00264781" w:rsidP="002C4399">
            <w:pPr>
              <w:rPr>
                <w:rFonts w:cs="Arial"/>
                <w:sz w:val="20"/>
                <w:szCs w:val="20"/>
              </w:rPr>
            </w:pPr>
            <w:r>
              <w:rPr>
                <w:rFonts w:cs="Arial"/>
                <w:sz w:val="20"/>
                <w:szCs w:val="20"/>
              </w:rPr>
              <w:t>Section 4.5</w:t>
            </w:r>
          </w:p>
        </w:tc>
        <w:tc>
          <w:tcPr>
            <w:tcW w:w="5593" w:type="dxa"/>
            <w:shd w:val="clear" w:color="auto" w:fill="auto"/>
          </w:tcPr>
          <w:p w:rsidR="00264781" w:rsidRPr="00264781" w:rsidRDefault="00264781" w:rsidP="00264781">
            <w:pPr>
              <w:rPr>
                <w:rFonts w:cs="Arial"/>
                <w:sz w:val="20"/>
                <w:szCs w:val="20"/>
              </w:rPr>
            </w:pPr>
            <w:r w:rsidRPr="00264781">
              <w:rPr>
                <w:rFonts w:cs="Arial"/>
                <w:sz w:val="20"/>
                <w:szCs w:val="20"/>
              </w:rPr>
              <w:t>The specification states:</w:t>
            </w:r>
          </w:p>
          <w:p w:rsidR="00264781" w:rsidRPr="00264781" w:rsidRDefault="00264781" w:rsidP="00264781">
            <w:pPr>
              <w:rPr>
                <w:rFonts w:cs="Arial"/>
                <w:sz w:val="20"/>
                <w:szCs w:val="20"/>
              </w:rPr>
            </w:pPr>
          </w:p>
          <w:p w:rsidR="00264781" w:rsidRPr="00264781" w:rsidRDefault="00264781" w:rsidP="00264781">
            <w:pPr>
              <w:rPr>
                <w:rFonts w:cs="Arial"/>
                <w:sz w:val="20"/>
                <w:szCs w:val="20"/>
              </w:rPr>
            </w:pPr>
            <w:r w:rsidRPr="00264781">
              <w:rPr>
                <w:rFonts w:cs="Arial"/>
                <w:sz w:val="20"/>
                <w:szCs w:val="20"/>
              </w:rPr>
              <w:t xml:space="preserve">Providers shall be divided into groups, group A shall provide an “indicative” 800-1000 hours per week and group B shall provide an “indicative” 300-500 hours per week. </w:t>
            </w:r>
          </w:p>
          <w:p w:rsidR="00264781" w:rsidRPr="00264781" w:rsidRDefault="00264781" w:rsidP="00264781">
            <w:pPr>
              <w:rPr>
                <w:rFonts w:cs="Arial"/>
                <w:sz w:val="20"/>
                <w:szCs w:val="20"/>
              </w:rPr>
            </w:pPr>
          </w:p>
          <w:p w:rsidR="00D62CDB" w:rsidRPr="0012211F" w:rsidRDefault="00264781" w:rsidP="00264781">
            <w:pPr>
              <w:rPr>
                <w:rFonts w:cs="Arial"/>
                <w:sz w:val="20"/>
                <w:szCs w:val="20"/>
              </w:rPr>
            </w:pPr>
            <w:r w:rsidRPr="00264781">
              <w:rPr>
                <w:rFonts w:cs="Arial"/>
                <w:sz w:val="20"/>
                <w:szCs w:val="20"/>
              </w:rPr>
              <w:t>Can hours allocated to be providers be to support one specialist group e.g. 300 hours per week to support only people with learning disabilities?</w:t>
            </w:r>
          </w:p>
        </w:tc>
        <w:tc>
          <w:tcPr>
            <w:tcW w:w="5593" w:type="dxa"/>
            <w:shd w:val="clear" w:color="auto" w:fill="auto"/>
          </w:tcPr>
          <w:p w:rsidR="00D62CDB" w:rsidRPr="0012211F" w:rsidRDefault="007609C5" w:rsidP="002C4399">
            <w:pPr>
              <w:rPr>
                <w:rFonts w:cs="Arial"/>
                <w:sz w:val="20"/>
                <w:szCs w:val="20"/>
              </w:rPr>
            </w:pPr>
            <w:r>
              <w:rPr>
                <w:rFonts w:cs="Arial"/>
                <w:sz w:val="20"/>
                <w:szCs w:val="20"/>
              </w:rPr>
              <w:t xml:space="preserve">No, this would not suit the contract. Providers would need to be able to support individuals with varying levels of need as stated in the specification. </w:t>
            </w:r>
            <w:r w:rsidR="00541CC0">
              <w:rPr>
                <w:rFonts w:cs="Arial"/>
                <w:sz w:val="20"/>
                <w:szCs w:val="20"/>
              </w:rPr>
              <w:t xml:space="preserve">This contract is </w:t>
            </w:r>
            <w:r w:rsidR="00541CC0" w:rsidRPr="00541CC0">
              <w:rPr>
                <w:rFonts w:cs="Arial"/>
                <w:sz w:val="20"/>
                <w:szCs w:val="20"/>
              </w:rPr>
              <w:t>primarily for older people and people with long term conditions</w:t>
            </w:r>
            <w:r w:rsidR="00541CC0">
              <w:rPr>
                <w:rFonts w:cs="Arial"/>
                <w:sz w:val="20"/>
                <w:szCs w:val="20"/>
              </w:rPr>
              <w:t xml:space="preserve">. </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3621F1" w:rsidP="002C4399">
            <w:pPr>
              <w:rPr>
                <w:rFonts w:cs="Arial"/>
                <w:sz w:val="20"/>
                <w:szCs w:val="20"/>
              </w:rPr>
            </w:pPr>
            <w:r w:rsidRPr="003621F1">
              <w:rPr>
                <w:rFonts w:cs="Arial"/>
                <w:sz w:val="20"/>
                <w:szCs w:val="20"/>
              </w:rPr>
              <w:t>New referrals will be offered to all providers on the framework via an initial email. – Does this apply to all providers or just the providers for the locality zone?</w:t>
            </w:r>
          </w:p>
        </w:tc>
        <w:tc>
          <w:tcPr>
            <w:tcW w:w="5593" w:type="dxa"/>
            <w:shd w:val="clear" w:color="auto" w:fill="auto"/>
          </w:tcPr>
          <w:p w:rsidR="002C4399" w:rsidRPr="0012211F" w:rsidRDefault="007609C5" w:rsidP="002C4399">
            <w:pPr>
              <w:rPr>
                <w:rFonts w:cs="Arial"/>
                <w:sz w:val="20"/>
                <w:szCs w:val="20"/>
              </w:rPr>
            </w:pPr>
            <w:r>
              <w:rPr>
                <w:rFonts w:cs="Arial"/>
                <w:sz w:val="20"/>
                <w:szCs w:val="20"/>
              </w:rPr>
              <w:t>This applies to all providers regardless of their zone in th</w:t>
            </w:r>
            <w:r w:rsidR="00F1366D">
              <w:rPr>
                <w:rFonts w:cs="Arial"/>
                <w:sz w:val="20"/>
                <w:szCs w:val="20"/>
              </w:rPr>
              <w:t>e initial stage of the contract, as providers will be free to work in any area of Bracknell</w:t>
            </w:r>
            <w:r w:rsidR="00AD15A1">
              <w:rPr>
                <w:rFonts w:cs="Arial"/>
                <w:sz w:val="20"/>
                <w:szCs w:val="20"/>
              </w:rPr>
              <w:t xml:space="preserve"> Forest</w:t>
            </w:r>
            <w:r w:rsidR="00F1366D">
              <w:rPr>
                <w:rFonts w:cs="Arial"/>
                <w:sz w:val="20"/>
                <w:szCs w:val="20"/>
              </w:rPr>
              <w:t>.</w:t>
            </w:r>
            <w:r>
              <w:rPr>
                <w:rFonts w:cs="Arial"/>
                <w:sz w:val="20"/>
                <w:szCs w:val="20"/>
              </w:rPr>
              <w:t xml:space="preserve"> </w:t>
            </w:r>
          </w:p>
        </w:tc>
      </w:tr>
      <w:tr w:rsidR="002C4399" w:rsidRPr="0012211F" w:rsidTr="0012211F">
        <w:trPr>
          <w:cantSplit/>
        </w:trPr>
        <w:tc>
          <w:tcPr>
            <w:tcW w:w="1494" w:type="dxa"/>
            <w:shd w:val="clear" w:color="auto" w:fill="auto"/>
          </w:tcPr>
          <w:p w:rsidR="002C4399" w:rsidRPr="0012211F" w:rsidRDefault="002C4399">
            <w:pPr>
              <w:rPr>
                <w:rFonts w:cs="Arial"/>
                <w:sz w:val="20"/>
                <w:szCs w:val="20"/>
              </w:rPr>
            </w:pPr>
          </w:p>
        </w:tc>
        <w:tc>
          <w:tcPr>
            <w:tcW w:w="1494" w:type="dxa"/>
            <w:shd w:val="clear" w:color="auto" w:fill="auto"/>
          </w:tcPr>
          <w:p w:rsidR="002C4399" w:rsidRPr="0012211F" w:rsidRDefault="002C4399">
            <w:pPr>
              <w:rPr>
                <w:rFonts w:cs="Arial"/>
                <w:sz w:val="20"/>
                <w:szCs w:val="20"/>
              </w:rPr>
            </w:pPr>
          </w:p>
        </w:tc>
        <w:tc>
          <w:tcPr>
            <w:tcW w:w="5593" w:type="dxa"/>
            <w:shd w:val="clear" w:color="auto" w:fill="auto"/>
          </w:tcPr>
          <w:p w:rsidR="002C4399" w:rsidRPr="0012211F" w:rsidRDefault="003621F1">
            <w:pPr>
              <w:rPr>
                <w:rFonts w:cs="Arial"/>
                <w:sz w:val="20"/>
                <w:szCs w:val="20"/>
              </w:rPr>
            </w:pPr>
            <w:r w:rsidRPr="003621F1">
              <w:rPr>
                <w:rFonts w:cs="Arial"/>
                <w:sz w:val="20"/>
                <w:szCs w:val="20"/>
              </w:rPr>
              <w:t>Please can we clarify that the gain share doesn’t work the opposite way too e.g. if a service user’s wellbeing plan does not work, we are not expected to cover half the cost of the increase?</w:t>
            </w:r>
          </w:p>
        </w:tc>
        <w:tc>
          <w:tcPr>
            <w:tcW w:w="5593" w:type="dxa"/>
            <w:shd w:val="clear" w:color="auto" w:fill="auto"/>
          </w:tcPr>
          <w:p w:rsidR="002C4399" w:rsidRPr="007609C5" w:rsidRDefault="00F1366D" w:rsidP="00F1366D">
            <w:pPr>
              <w:rPr>
                <w:rFonts w:cs="Arial"/>
                <w:sz w:val="20"/>
                <w:szCs w:val="20"/>
              </w:rPr>
            </w:pPr>
            <w:r>
              <w:rPr>
                <w:rFonts w:cs="Arial"/>
                <w:sz w:val="20"/>
                <w:szCs w:val="20"/>
              </w:rPr>
              <w:t>We confirm that providers would not be expected to cover half the cost of any increase.</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3621F1" w:rsidP="002C4399">
            <w:pPr>
              <w:rPr>
                <w:rFonts w:cs="Arial"/>
                <w:sz w:val="20"/>
                <w:szCs w:val="20"/>
              </w:rPr>
            </w:pPr>
            <w:r w:rsidRPr="003621F1">
              <w:rPr>
                <w:rFonts w:cs="Arial"/>
                <w:sz w:val="20"/>
                <w:szCs w:val="20"/>
              </w:rPr>
              <w:t>Pricing is not to include mileage, this can be claimed at 45p per mile where provided in accordance with an individual’s wellbeing plan – does the Council intend to cover mileage for travel between visits, or will this mileage only be paid if for example a service user travels in his/her care worker’s vehicle for excursions included as part of the wellbeing plan?</w:t>
            </w:r>
          </w:p>
        </w:tc>
        <w:tc>
          <w:tcPr>
            <w:tcW w:w="5593" w:type="dxa"/>
            <w:shd w:val="clear" w:color="auto" w:fill="auto"/>
          </w:tcPr>
          <w:p w:rsidR="002C4399" w:rsidRPr="0012211F" w:rsidRDefault="00F1366D" w:rsidP="002C4399">
            <w:pPr>
              <w:rPr>
                <w:rFonts w:cs="Arial"/>
                <w:sz w:val="20"/>
                <w:szCs w:val="20"/>
              </w:rPr>
            </w:pPr>
            <w:r>
              <w:rPr>
                <w:rFonts w:cs="Arial"/>
                <w:sz w:val="20"/>
                <w:szCs w:val="20"/>
              </w:rPr>
              <w:t>Mileage cannot be claimed for travel between visits. It can only be claimed for mileage incurred in delivering the Wellbeing Plan.</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F60265" w:rsidP="002C4399">
            <w:pPr>
              <w:rPr>
                <w:rFonts w:cs="Arial"/>
                <w:sz w:val="20"/>
                <w:szCs w:val="20"/>
              </w:rPr>
            </w:pPr>
            <w:r>
              <w:rPr>
                <w:rFonts w:cs="Arial"/>
                <w:sz w:val="20"/>
                <w:szCs w:val="20"/>
              </w:rPr>
              <w:t xml:space="preserve">Please </w:t>
            </w:r>
            <w:r w:rsidR="003621F1" w:rsidRPr="003621F1">
              <w:rPr>
                <w:rFonts w:cs="Arial"/>
                <w:sz w:val="20"/>
                <w:szCs w:val="20"/>
              </w:rPr>
              <w:t>confirm if there is an option for providers to state their zone preferences.</w:t>
            </w:r>
          </w:p>
        </w:tc>
        <w:tc>
          <w:tcPr>
            <w:tcW w:w="5593" w:type="dxa"/>
            <w:shd w:val="clear" w:color="auto" w:fill="auto"/>
          </w:tcPr>
          <w:p w:rsidR="002C4399" w:rsidRPr="0012211F" w:rsidRDefault="00B273EB" w:rsidP="00185F04">
            <w:pPr>
              <w:rPr>
                <w:rFonts w:cs="Arial"/>
                <w:sz w:val="20"/>
                <w:szCs w:val="20"/>
              </w:rPr>
            </w:pPr>
            <w:r>
              <w:rPr>
                <w:rFonts w:cs="Arial"/>
                <w:sz w:val="20"/>
                <w:szCs w:val="20"/>
              </w:rPr>
              <w:t>Yes this is documented in the ITT- see section 1.2.6</w:t>
            </w:r>
            <w:r w:rsidR="00F1366D">
              <w:rPr>
                <w:rFonts w:cs="Arial"/>
                <w:sz w:val="20"/>
                <w:szCs w:val="20"/>
              </w:rPr>
              <w:t>.</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9B66AC" w:rsidP="002C4399">
            <w:pPr>
              <w:rPr>
                <w:rFonts w:cs="Arial"/>
                <w:sz w:val="20"/>
                <w:szCs w:val="20"/>
              </w:rPr>
            </w:pPr>
            <w:r>
              <w:rPr>
                <w:rFonts w:cs="Arial"/>
                <w:sz w:val="20"/>
                <w:szCs w:val="20"/>
              </w:rPr>
              <w:t>F</w:t>
            </w:r>
            <w:r w:rsidRPr="009B66AC">
              <w:rPr>
                <w:rFonts w:cs="Arial"/>
                <w:sz w:val="20"/>
                <w:szCs w:val="20"/>
              </w:rPr>
              <w:t>or this framework are you seeking applications from providers who can meet all support needs or would you welcome submissions from specialist learning disability providers?</w:t>
            </w:r>
          </w:p>
        </w:tc>
        <w:tc>
          <w:tcPr>
            <w:tcW w:w="5593" w:type="dxa"/>
            <w:shd w:val="clear" w:color="auto" w:fill="auto"/>
          </w:tcPr>
          <w:p w:rsidR="002C4399" w:rsidRPr="0012211F" w:rsidRDefault="00F1366D" w:rsidP="002C4399">
            <w:pPr>
              <w:rPr>
                <w:rFonts w:cs="Arial"/>
                <w:sz w:val="20"/>
                <w:szCs w:val="20"/>
              </w:rPr>
            </w:pPr>
            <w:r>
              <w:rPr>
                <w:rFonts w:cs="Arial"/>
                <w:sz w:val="20"/>
                <w:szCs w:val="20"/>
              </w:rPr>
              <w:t>All the providers under the framework will be required to provide support to adults with varying levels of need, as per the specification.</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0122EA" w:rsidRPr="000122EA" w:rsidRDefault="000122EA" w:rsidP="000122EA">
            <w:pPr>
              <w:rPr>
                <w:rFonts w:cs="Arial"/>
                <w:sz w:val="20"/>
                <w:szCs w:val="20"/>
              </w:rPr>
            </w:pPr>
            <w:r w:rsidRPr="000122EA">
              <w:rPr>
                <w:rFonts w:cs="Arial"/>
                <w:sz w:val="20"/>
                <w:szCs w:val="20"/>
              </w:rPr>
              <w:t>We provide two specific services:</w:t>
            </w:r>
          </w:p>
          <w:p w:rsidR="000122EA" w:rsidRPr="000122EA" w:rsidRDefault="000122EA" w:rsidP="000122EA">
            <w:pPr>
              <w:rPr>
                <w:rFonts w:cs="Arial"/>
                <w:sz w:val="20"/>
                <w:szCs w:val="20"/>
              </w:rPr>
            </w:pPr>
            <w:r w:rsidRPr="000122EA">
              <w:rPr>
                <w:rFonts w:cs="Arial"/>
                <w:sz w:val="20"/>
                <w:szCs w:val="20"/>
              </w:rPr>
              <w:t>•        Live-in personal care and support for people of all ages</w:t>
            </w:r>
          </w:p>
          <w:p w:rsidR="000122EA" w:rsidRPr="000122EA" w:rsidRDefault="000122EA" w:rsidP="000122EA">
            <w:pPr>
              <w:rPr>
                <w:rFonts w:cs="Arial"/>
                <w:sz w:val="20"/>
                <w:szCs w:val="20"/>
              </w:rPr>
            </w:pPr>
            <w:r w:rsidRPr="000122EA">
              <w:rPr>
                <w:rFonts w:cs="Arial"/>
                <w:sz w:val="20"/>
                <w:szCs w:val="20"/>
              </w:rPr>
              <w:t>•        Domiciliary care for children and young people (up to age 25) with complex conditions, e.g. PEG feeds, seizure control, tracheostomy care.</w:t>
            </w:r>
          </w:p>
          <w:p w:rsidR="000122EA" w:rsidRPr="000122EA" w:rsidRDefault="000122EA" w:rsidP="000122EA">
            <w:pPr>
              <w:rPr>
                <w:rFonts w:cs="Arial"/>
                <w:sz w:val="20"/>
                <w:szCs w:val="20"/>
              </w:rPr>
            </w:pPr>
          </w:p>
          <w:p w:rsidR="000122EA" w:rsidRPr="000122EA" w:rsidRDefault="000122EA" w:rsidP="000122EA">
            <w:pPr>
              <w:rPr>
                <w:rFonts w:cs="Arial"/>
                <w:sz w:val="20"/>
                <w:szCs w:val="20"/>
              </w:rPr>
            </w:pPr>
            <w:r w:rsidRPr="000122EA">
              <w:rPr>
                <w:rFonts w:cs="Arial"/>
                <w:sz w:val="20"/>
                <w:szCs w:val="20"/>
              </w:rPr>
              <w:t>We do not offer a ‘normal’ domiciliary care service for adults</w:t>
            </w:r>
            <w:r>
              <w:rPr>
                <w:rFonts w:cs="Arial"/>
                <w:sz w:val="20"/>
                <w:szCs w:val="20"/>
              </w:rPr>
              <w:t>.</w:t>
            </w:r>
          </w:p>
          <w:p w:rsidR="000122EA" w:rsidRPr="000122EA" w:rsidRDefault="000122EA" w:rsidP="000122EA">
            <w:pPr>
              <w:rPr>
                <w:rFonts w:cs="Arial"/>
                <w:sz w:val="20"/>
                <w:szCs w:val="20"/>
              </w:rPr>
            </w:pPr>
          </w:p>
          <w:p w:rsidR="002C4399" w:rsidRPr="0012211F" w:rsidRDefault="000122EA" w:rsidP="000122EA">
            <w:pPr>
              <w:rPr>
                <w:rFonts w:cs="Arial"/>
                <w:sz w:val="20"/>
                <w:szCs w:val="20"/>
              </w:rPr>
            </w:pPr>
            <w:r w:rsidRPr="000122EA">
              <w:rPr>
                <w:rFonts w:cs="Arial"/>
                <w:sz w:val="20"/>
                <w:szCs w:val="20"/>
              </w:rPr>
              <w:t>Can you please advise if this tender may be appropriate to either of our service offerings</w:t>
            </w:r>
          </w:p>
        </w:tc>
        <w:tc>
          <w:tcPr>
            <w:tcW w:w="5593" w:type="dxa"/>
            <w:shd w:val="clear" w:color="auto" w:fill="auto"/>
          </w:tcPr>
          <w:p w:rsidR="002C4399" w:rsidRPr="0012211F" w:rsidRDefault="000122EA" w:rsidP="002C4399">
            <w:pPr>
              <w:rPr>
                <w:rFonts w:cs="Arial"/>
                <w:sz w:val="20"/>
                <w:szCs w:val="20"/>
              </w:rPr>
            </w:pPr>
            <w:r>
              <w:rPr>
                <w:rFonts w:cs="Arial"/>
                <w:sz w:val="20"/>
                <w:szCs w:val="20"/>
              </w:rPr>
              <w:t>All providers under the framework will be required to provide support to adults with varying levels of need, as per the specification</w:t>
            </w:r>
          </w:p>
        </w:tc>
      </w:tr>
      <w:tr w:rsidR="00F60265" w:rsidRPr="0012211F" w:rsidTr="008C53C5">
        <w:trPr>
          <w:cantSplit/>
        </w:trPr>
        <w:tc>
          <w:tcPr>
            <w:tcW w:w="1494" w:type="dxa"/>
            <w:shd w:val="clear" w:color="auto" w:fill="auto"/>
          </w:tcPr>
          <w:p w:rsidR="00F60265" w:rsidRPr="0012211F" w:rsidRDefault="00F60265" w:rsidP="008C53C5">
            <w:pPr>
              <w:rPr>
                <w:rFonts w:cs="Arial"/>
                <w:sz w:val="20"/>
                <w:szCs w:val="20"/>
              </w:rPr>
            </w:pPr>
          </w:p>
        </w:tc>
        <w:tc>
          <w:tcPr>
            <w:tcW w:w="1494" w:type="dxa"/>
            <w:shd w:val="clear" w:color="auto" w:fill="auto"/>
          </w:tcPr>
          <w:p w:rsidR="00F60265" w:rsidRPr="0012211F" w:rsidRDefault="00F60265" w:rsidP="008C53C5">
            <w:pPr>
              <w:rPr>
                <w:rFonts w:cs="Arial"/>
                <w:sz w:val="20"/>
                <w:szCs w:val="20"/>
              </w:rPr>
            </w:pPr>
          </w:p>
        </w:tc>
        <w:tc>
          <w:tcPr>
            <w:tcW w:w="5593" w:type="dxa"/>
            <w:shd w:val="clear" w:color="auto" w:fill="auto"/>
          </w:tcPr>
          <w:p w:rsidR="00F60265" w:rsidRPr="0012211F" w:rsidRDefault="00F60265" w:rsidP="008C53C5">
            <w:pPr>
              <w:rPr>
                <w:rFonts w:cs="Arial"/>
                <w:sz w:val="20"/>
                <w:szCs w:val="20"/>
              </w:rPr>
            </w:pPr>
            <w:r w:rsidRPr="003621F1">
              <w:rPr>
                <w:rFonts w:cs="Arial"/>
                <w:sz w:val="20"/>
                <w:szCs w:val="20"/>
              </w:rPr>
              <w:t>Please confirm if successful providers can only be awarded a Group A or Group B set of hours (</w:t>
            </w:r>
            <w:proofErr w:type="spellStart"/>
            <w:r w:rsidRPr="003621F1">
              <w:rPr>
                <w:rFonts w:cs="Arial"/>
                <w:sz w:val="20"/>
                <w:szCs w:val="20"/>
              </w:rPr>
              <w:t>i.e</w:t>
            </w:r>
            <w:proofErr w:type="spellEnd"/>
            <w:r w:rsidRPr="003621F1">
              <w:rPr>
                <w:rFonts w:cs="Arial"/>
                <w:sz w:val="20"/>
                <w:szCs w:val="20"/>
              </w:rPr>
              <w:t xml:space="preserve"> maximum possible award of 800-1,000 hours) or if they might be awarded both?</w:t>
            </w:r>
          </w:p>
        </w:tc>
        <w:tc>
          <w:tcPr>
            <w:tcW w:w="5593" w:type="dxa"/>
            <w:shd w:val="clear" w:color="auto" w:fill="auto"/>
          </w:tcPr>
          <w:p w:rsidR="002709DD" w:rsidRPr="00541CC0" w:rsidRDefault="002709DD" w:rsidP="008C53C5">
            <w:pPr>
              <w:rPr>
                <w:rFonts w:cs="Arial"/>
                <w:sz w:val="20"/>
                <w:szCs w:val="20"/>
              </w:rPr>
            </w:pPr>
            <w:r w:rsidRPr="00541CC0">
              <w:rPr>
                <w:rFonts w:cs="Arial"/>
                <w:sz w:val="20"/>
                <w:szCs w:val="20"/>
              </w:rPr>
              <w:t>No, successful providers would not be offered both group A and group B hours.</w:t>
            </w:r>
          </w:p>
          <w:p w:rsidR="003718A9" w:rsidRPr="00541CC0" w:rsidRDefault="003718A9" w:rsidP="008C53C5">
            <w:pPr>
              <w:rPr>
                <w:rFonts w:cs="Arial"/>
                <w:sz w:val="20"/>
                <w:szCs w:val="20"/>
              </w:rPr>
            </w:pPr>
            <w:r w:rsidRPr="00541CC0">
              <w:rPr>
                <w:rFonts w:cs="Arial"/>
                <w:sz w:val="20"/>
                <w:szCs w:val="20"/>
              </w:rPr>
              <w:t>The council has indicated that it is looking for 5-9 providers. This is to ensure the right balance between consolidating the current number of providers and not ending up with too few.</w:t>
            </w:r>
          </w:p>
          <w:p w:rsidR="003718A9" w:rsidRPr="00541CC0" w:rsidRDefault="003718A9" w:rsidP="003718A9">
            <w:pPr>
              <w:rPr>
                <w:rFonts w:cs="Arial"/>
                <w:sz w:val="20"/>
                <w:szCs w:val="20"/>
              </w:rPr>
            </w:pPr>
            <w:r w:rsidRPr="00541CC0">
              <w:rPr>
                <w:rFonts w:cs="Arial"/>
                <w:sz w:val="20"/>
                <w:szCs w:val="20"/>
              </w:rPr>
              <w:t>If there was a need to strike the right balance between number of providers and the number of hours of service being commissioned, the council may negotiate with providers at contract award to adjust the hours offered to them. This could result in more or less hours being offered.</w:t>
            </w:r>
          </w:p>
          <w:p w:rsidR="003718A9" w:rsidRPr="003718A9" w:rsidRDefault="003718A9" w:rsidP="003718A9">
            <w:pPr>
              <w:rPr>
                <w:rFonts w:cs="Arial"/>
                <w:i/>
                <w:sz w:val="20"/>
                <w:szCs w:val="20"/>
              </w:rPr>
            </w:pPr>
          </w:p>
        </w:tc>
      </w:tr>
      <w:tr w:rsidR="00F60265" w:rsidRPr="0012211F" w:rsidTr="008C53C5">
        <w:trPr>
          <w:cantSplit/>
        </w:trPr>
        <w:tc>
          <w:tcPr>
            <w:tcW w:w="1494" w:type="dxa"/>
            <w:shd w:val="clear" w:color="auto" w:fill="auto"/>
          </w:tcPr>
          <w:p w:rsidR="00F60265" w:rsidRPr="0012211F" w:rsidRDefault="00F60265" w:rsidP="008C53C5">
            <w:pPr>
              <w:rPr>
                <w:rFonts w:cs="Arial"/>
                <w:sz w:val="20"/>
                <w:szCs w:val="20"/>
              </w:rPr>
            </w:pPr>
          </w:p>
        </w:tc>
        <w:tc>
          <w:tcPr>
            <w:tcW w:w="1494" w:type="dxa"/>
            <w:shd w:val="clear" w:color="auto" w:fill="auto"/>
          </w:tcPr>
          <w:p w:rsidR="00F60265" w:rsidRPr="0012211F" w:rsidRDefault="00F60265" w:rsidP="008C53C5">
            <w:pPr>
              <w:rPr>
                <w:rFonts w:cs="Arial"/>
                <w:sz w:val="20"/>
                <w:szCs w:val="20"/>
              </w:rPr>
            </w:pPr>
          </w:p>
        </w:tc>
        <w:tc>
          <w:tcPr>
            <w:tcW w:w="5593" w:type="dxa"/>
            <w:shd w:val="clear" w:color="auto" w:fill="auto"/>
          </w:tcPr>
          <w:p w:rsidR="00F60265" w:rsidRPr="0012211F" w:rsidRDefault="00F60265" w:rsidP="008C53C5">
            <w:pPr>
              <w:rPr>
                <w:rFonts w:ascii="Verdana" w:hAnsi="Verdana"/>
                <w:color w:val="000000"/>
                <w:sz w:val="20"/>
                <w:szCs w:val="20"/>
              </w:rPr>
            </w:pPr>
            <w:r w:rsidRPr="004F72A5">
              <w:rPr>
                <w:rFonts w:cs="Arial"/>
                <w:sz w:val="20"/>
                <w:szCs w:val="20"/>
              </w:rPr>
              <w:t>Bidders are able to submit a rate for all four years of the contract. At this stage it is very difficult to accurately estimate the cost of delivering the service in future years, without being able to forecast increases in National Living Wage and petrol costs etc. Will the Council be open to annual rate negotiations and uplifts?</w:t>
            </w:r>
          </w:p>
        </w:tc>
        <w:tc>
          <w:tcPr>
            <w:tcW w:w="5593" w:type="dxa"/>
            <w:shd w:val="clear" w:color="auto" w:fill="auto"/>
          </w:tcPr>
          <w:p w:rsidR="002709DD" w:rsidRPr="002709DD" w:rsidRDefault="002709DD" w:rsidP="008C53C5">
            <w:pPr>
              <w:rPr>
                <w:rFonts w:cs="Arial"/>
                <w:i/>
                <w:sz w:val="20"/>
                <w:szCs w:val="20"/>
              </w:rPr>
            </w:pPr>
            <w:r w:rsidRPr="00541CC0">
              <w:rPr>
                <w:rFonts w:cs="Arial"/>
                <w:sz w:val="20"/>
                <w:szCs w:val="20"/>
              </w:rPr>
              <w:t>Providers should indicate whether their price for each of the 4 years takes account of the expected increase in the National Living Wage, or does not.  Where it does not, the Council will apply a notional 45p increment for each year of the contract to represent living wage increases for the purpose of evaluating the different tenders.</w:t>
            </w:r>
          </w:p>
        </w:tc>
      </w:tr>
      <w:tr w:rsidR="00F60265" w:rsidRPr="0012211F" w:rsidTr="008C53C5">
        <w:trPr>
          <w:cantSplit/>
        </w:trPr>
        <w:tc>
          <w:tcPr>
            <w:tcW w:w="1494" w:type="dxa"/>
            <w:shd w:val="clear" w:color="auto" w:fill="auto"/>
          </w:tcPr>
          <w:p w:rsidR="00F60265" w:rsidRPr="0012211F" w:rsidRDefault="00F60265" w:rsidP="008C53C5">
            <w:pPr>
              <w:rPr>
                <w:rFonts w:cs="Arial"/>
                <w:sz w:val="20"/>
                <w:szCs w:val="20"/>
              </w:rPr>
            </w:pPr>
          </w:p>
        </w:tc>
        <w:tc>
          <w:tcPr>
            <w:tcW w:w="1494" w:type="dxa"/>
            <w:shd w:val="clear" w:color="auto" w:fill="auto"/>
          </w:tcPr>
          <w:p w:rsidR="00F60265" w:rsidRPr="0012211F" w:rsidRDefault="00F60265" w:rsidP="008C53C5">
            <w:pPr>
              <w:rPr>
                <w:rFonts w:cs="Arial"/>
                <w:sz w:val="20"/>
                <w:szCs w:val="20"/>
              </w:rPr>
            </w:pPr>
          </w:p>
        </w:tc>
        <w:tc>
          <w:tcPr>
            <w:tcW w:w="5593" w:type="dxa"/>
            <w:shd w:val="clear" w:color="auto" w:fill="auto"/>
          </w:tcPr>
          <w:p w:rsidR="00F60265" w:rsidRPr="0012211F" w:rsidRDefault="00F60265" w:rsidP="008C53C5">
            <w:pPr>
              <w:rPr>
                <w:rFonts w:cs="Arial"/>
                <w:sz w:val="20"/>
                <w:szCs w:val="20"/>
              </w:rPr>
            </w:pPr>
            <w:r w:rsidRPr="007609C5">
              <w:rPr>
                <w:rFonts w:cs="Arial"/>
                <w:sz w:val="20"/>
                <w:szCs w:val="20"/>
              </w:rPr>
              <w:t>The Council have set a higher than usual weighting for price, at 60%. Please can you confirm that the Council will disqualify bidders who bid at unsustainably low rates? Please can the Council confirm what you determine to be the minimum rate for sustainable homecare? Is this in line with the UKHCA's recommendations?</w:t>
            </w:r>
          </w:p>
        </w:tc>
        <w:tc>
          <w:tcPr>
            <w:tcW w:w="5593" w:type="dxa"/>
            <w:shd w:val="clear" w:color="auto" w:fill="auto"/>
          </w:tcPr>
          <w:p w:rsidR="002709DD" w:rsidRPr="0012211F" w:rsidRDefault="002709DD" w:rsidP="008C53C5">
            <w:pPr>
              <w:rPr>
                <w:rFonts w:cs="Arial"/>
                <w:sz w:val="20"/>
                <w:szCs w:val="20"/>
              </w:rPr>
            </w:pPr>
            <w:r w:rsidRPr="00541CC0">
              <w:rPr>
                <w:rFonts w:cs="Arial"/>
                <w:sz w:val="20"/>
                <w:szCs w:val="20"/>
              </w:rPr>
              <w:t>The Council will not automatically disqualify bidders with low rates, as the Council has not determined a rate below which the quoted price is considered unsustainable.  Providers will be expected to demonstrate that their bid is sustainable to them.</w:t>
            </w:r>
          </w:p>
        </w:tc>
      </w:tr>
      <w:tr w:rsidR="00BE4775" w:rsidRPr="0012211F" w:rsidTr="00BE4775">
        <w:trPr>
          <w:cantSplit/>
        </w:trPr>
        <w:tc>
          <w:tcPr>
            <w:tcW w:w="1494" w:type="dxa"/>
            <w:shd w:val="clear" w:color="auto" w:fill="D9D9D9" w:themeFill="background1" w:themeFillShade="D9"/>
          </w:tcPr>
          <w:p w:rsidR="00BE4775" w:rsidRPr="0012211F" w:rsidRDefault="00BE4775" w:rsidP="008C53C5">
            <w:pPr>
              <w:rPr>
                <w:rFonts w:cs="Arial"/>
                <w:sz w:val="20"/>
                <w:szCs w:val="20"/>
              </w:rPr>
            </w:pPr>
          </w:p>
        </w:tc>
        <w:tc>
          <w:tcPr>
            <w:tcW w:w="1494" w:type="dxa"/>
            <w:shd w:val="clear" w:color="auto" w:fill="D9D9D9" w:themeFill="background1" w:themeFillShade="D9"/>
          </w:tcPr>
          <w:p w:rsidR="00BE4775" w:rsidRPr="0012211F" w:rsidRDefault="00BE4775" w:rsidP="008C53C5">
            <w:pPr>
              <w:rPr>
                <w:rFonts w:cs="Arial"/>
                <w:sz w:val="20"/>
                <w:szCs w:val="20"/>
              </w:rPr>
            </w:pPr>
          </w:p>
        </w:tc>
        <w:tc>
          <w:tcPr>
            <w:tcW w:w="5593" w:type="dxa"/>
            <w:shd w:val="clear" w:color="auto" w:fill="D9D9D9" w:themeFill="background1" w:themeFillShade="D9"/>
          </w:tcPr>
          <w:p w:rsidR="00BE4775" w:rsidRPr="007609C5" w:rsidRDefault="00BE4775" w:rsidP="008C53C5">
            <w:pPr>
              <w:rPr>
                <w:rFonts w:cs="Arial"/>
                <w:sz w:val="20"/>
                <w:szCs w:val="20"/>
              </w:rPr>
            </w:pPr>
          </w:p>
        </w:tc>
        <w:tc>
          <w:tcPr>
            <w:tcW w:w="5593" w:type="dxa"/>
            <w:shd w:val="clear" w:color="auto" w:fill="D9D9D9" w:themeFill="background1" w:themeFillShade="D9"/>
          </w:tcPr>
          <w:p w:rsidR="00BE4775" w:rsidRPr="002709DD" w:rsidRDefault="00BE4775" w:rsidP="008C53C5">
            <w:pPr>
              <w:rPr>
                <w:rFonts w:cs="Arial"/>
                <w:sz w:val="20"/>
                <w:szCs w:val="20"/>
                <w:highlight w:val="yellow"/>
              </w:rPr>
            </w:pP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BE4775" w:rsidP="002C4399">
            <w:pPr>
              <w:rPr>
                <w:rFonts w:cs="Arial"/>
                <w:sz w:val="20"/>
                <w:szCs w:val="20"/>
              </w:rPr>
            </w:pPr>
            <w:r w:rsidRPr="00BE4775">
              <w:rPr>
                <w:rFonts w:cs="Arial"/>
                <w:sz w:val="20"/>
                <w:szCs w:val="20"/>
              </w:rPr>
              <w:t>What does the contract require for branch location? I.e. must we have a CQC registered branch within the boundaries of Bracknell Forest?</w:t>
            </w:r>
          </w:p>
        </w:tc>
        <w:tc>
          <w:tcPr>
            <w:tcW w:w="5593" w:type="dxa"/>
            <w:shd w:val="clear" w:color="auto" w:fill="auto"/>
          </w:tcPr>
          <w:p w:rsidR="002C4399" w:rsidRPr="0012211F" w:rsidRDefault="00BE4775" w:rsidP="00BE4775">
            <w:pPr>
              <w:rPr>
                <w:rFonts w:cs="Arial"/>
                <w:sz w:val="20"/>
                <w:szCs w:val="20"/>
              </w:rPr>
            </w:pPr>
            <w:r>
              <w:rPr>
                <w:rFonts w:cs="Arial"/>
                <w:sz w:val="20"/>
                <w:szCs w:val="20"/>
              </w:rPr>
              <w:t xml:space="preserve">There is no specific requirement to have a local branch in the locality, as you will see in the Invitation to Tender ITT), </w:t>
            </w:r>
            <w:r w:rsidR="00235048">
              <w:rPr>
                <w:rFonts w:cs="Arial"/>
                <w:sz w:val="20"/>
                <w:szCs w:val="20"/>
              </w:rPr>
              <w:t xml:space="preserve">at 1.4.1 </w:t>
            </w:r>
            <w:r>
              <w:rPr>
                <w:rFonts w:cs="Arial"/>
                <w:sz w:val="20"/>
                <w:szCs w:val="20"/>
              </w:rPr>
              <w:t xml:space="preserve">the council does ask how a service will be managed without a branch in the locality. </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BE4775" w:rsidP="002C4399">
            <w:pPr>
              <w:rPr>
                <w:rFonts w:cs="Arial"/>
                <w:sz w:val="20"/>
                <w:szCs w:val="20"/>
              </w:rPr>
            </w:pPr>
            <w:r w:rsidRPr="00BE4775">
              <w:rPr>
                <w:rFonts w:cs="Arial"/>
                <w:sz w:val="20"/>
                <w:szCs w:val="20"/>
              </w:rPr>
              <w:t>What are the Referral Acceptance Requirements?  (Can we turn down e.g. 100% or is there a KPI?)</w:t>
            </w:r>
          </w:p>
        </w:tc>
        <w:tc>
          <w:tcPr>
            <w:tcW w:w="5593" w:type="dxa"/>
            <w:shd w:val="clear" w:color="auto" w:fill="auto"/>
          </w:tcPr>
          <w:p w:rsidR="00235048" w:rsidRPr="0012211F" w:rsidRDefault="00235048" w:rsidP="002C4399">
            <w:pPr>
              <w:rPr>
                <w:rFonts w:cs="Arial"/>
                <w:sz w:val="20"/>
                <w:szCs w:val="20"/>
              </w:rPr>
            </w:pPr>
            <w:r>
              <w:rPr>
                <w:rFonts w:cs="Arial"/>
                <w:sz w:val="20"/>
                <w:szCs w:val="20"/>
              </w:rPr>
              <w:t>There are no Referral Acceptance Requirements. Providers are free to accept or decline referrals</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BE4775" w:rsidP="002C4399">
            <w:pPr>
              <w:rPr>
                <w:rFonts w:cs="Arial"/>
                <w:sz w:val="20"/>
                <w:szCs w:val="20"/>
              </w:rPr>
            </w:pPr>
            <w:r w:rsidRPr="00BE4775">
              <w:rPr>
                <w:rFonts w:cs="Arial"/>
                <w:sz w:val="20"/>
                <w:szCs w:val="20"/>
              </w:rPr>
              <w:t>ETMS - What are the requirements of this e.g. banded or minute-by- minute?</w:t>
            </w:r>
          </w:p>
        </w:tc>
        <w:tc>
          <w:tcPr>
            <w:tcW w:w="5593" w:type="dxa"/>
            <w:shd w:val="clear" w:color="auto" w:fill="auto"/>
          </w:tcPr>
          <w:p w:rsidR="002C4399" w:rsidRPr="0012211F" w:rsidRDefault="005941C5" w:rsidP="00701A54">
            <w:pPr>
              <w:rPr>
                <w:rFonts w:cs="Arial"/>
                <w:sz w:val="20"/>
                <w:szCs w:val="20"/>
              </w:rPr>
            </w:pPr>
            <w:r>
              <w:rPr>
                <w:rFonts w:cs="Arial"/>
                <w:sz w:val="20"/>
                <w:szCs w:val="20"/>
              </w:rPr>
              <w:t>There is a requirement for the ETMS system to</w:t>
            </w:r>
            <w:r w:rsidRPr="005941C5">
              <w:rPr>
                <w:rFonts w:cs="Arial"/>
                <w:sz w:val="20"/>
                <w:szCs w:val="20"/>
              </w:rPr>
              <w:t xml:space="preserve"> provide information and data. Payment is for outcomes, and this does not fit with either a banded, or per minute,</w:t>
            </w:r>
          </w:p>
        </w:tc>
      </w:tr>
      <w:tr w:rsidR="002C4399" w:rsidRPr="0012211F" w:rsidTr="0012211F">
        <w:trPr>
          <w:cantSplit/>
        </w:trPr>
        <w:tc>
          <w:tcPr>
            <w:tcW w:w="1494" w:type="dxa"/>
            <w:shd w:val="clear" w:color="auto" w:fill="auto"/>
          </w:tcPr>
          <w:p w:rsidR="002C4399" w:rsidRPr="0012211F" w:rsidRDefault="002C4399">
            <w:pPr>
              <w:rPr>
                <w:rFonts w:cs="Arial"/>
                <w:sz w:val="20"/>
                <w:szCs w:val="20"/>
              </w:rPr>
            </w:pPr>
          </w:p>
        </w:tc>
        <w:tc>
          <w:tcPr>
            <w:tcW w:w="1494" w:type="dxa"/>
            <w:shd w:val="clear" w:color="auto" w:fill="auto"/>
          </w:tcPr>
          <w:p w:rsidR="002C4399" w:rsidRPr="0012211F" w:rsidRDefault="002C4399">
            <w:pPr>
              <w:rPr>
                <w:rFonts w:cs="Arial"/>
                <w:sz w:val="20"/>
                <w:szCs w:val="20"/>
              </w:rPr>
            </w:pPr>
          </w:p>
        </w:tc>
        <w:tc>
          <w:tcPr>
            <w:tcW w:w="5593" w:type="dxa"/>
            <w:shd w:val="clear" w:color="auto" w:fill="auto"/>
          </w:tcPr>
          <w:p w:rsidR="002C4399" w:rsidRPr="0012211F" w:rsidRDefault="00BE4775">
            <w:pPr>
              <w:rPr>
                <w:rFonts w:cs="Arial"/>
                <w:sz w:val="20"/>
                <w:szCs w:val="20"/>
              </w:rPr>
            </w:pPr>
            <w:r w:rsidRPr="00BE4775">
              <w:rPr>
                <w:rFonts w:cs="Arial"/>
                <w:sz w:val="20"/>
                <w:szCs w:val="20"/>
              </w:rPr>
              <w:t>Is there any price or volume caps/limits? I.e. is £16.71 a capped price?</w:t>
            </w:r>
          </w:p>
        </w:tc>
        <w:tc>
          <w:tcPr>
            <w:tcW w:w="5593" w:type="dxa"/>
            <w:shd w:val="clear" w:color="auto" w:fill="auto"/>
          </w:tcPr>
          <w:p w:rsidR="002C4399" w:rsidRPr="0012211F" w:rsidRDefault="00235048" w:rsidP="00235048">
            <w:pPr>
              <w:rPr>
                <w:rFonts w:cs="Arial"/>
                <w:sz w:val="20"/>
                <w:szCs w:val="20"/>
              </w:rPr>
            </w:pPr>
            <w:r>
              <w:rPr>
                <w:rFonts w:cs="Arial"/>
                <w:sz w:val="20"/>
                <w:szCs w:val="20"/>
              </w:rPr>
              <w:t>£16.71 is not a capped price, it is indicative only. There are no price or volume caps/limits. H</w:t>
            </w:r>
            <w:r w:rsidR="00BE4775">
              <w:rPr>
                <w:rFonts w:cs="Arial"/>
                <w:sz w:val="20"/>
                <w:szCs w:val="20"/>
              </w:rPr>
              <w:t xml:space="preserve">owever, the tenders will be scored on a 60% price 40% quality basis. The ITT </w:t>
            </w:r>
            <w:r>
              <w:rPr>
                <w:rFonts w:cs="Arial"/>
                <w:sz w:val="20"/>
                <w:szCs w:val="20"/>
              </w:rPr>
              <w:t>re</w:t>
            </w:r>
            <w:r w:rsidR="009A6931">
              <w:rPr>
                <w:rFonts w:cs="Arial"/>
                <w:sz w:val="20"/>
                <w:szCs w:val="20"/>
              </w:rPr>
              <w:t>quires providers to demonstrate their pricing structure and reasoning</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9A6931" w:rsidP="002C4399">
            <w:pPr>
              <w:rPr>
                <w:rFonts w:cs="Arial"/>
                <w:sz w:val="20"/>
                <w:szCs w:val="20"/>
              </w:rPr>
            </w:pPr>
            <w:r w:rsidRPr="009A6931">
              <w:rPr>
                <w:rFonts w:cs="Arial"/>
                <w:sz w:val="20"/>
                <w:szCs w:val="20"/>
              </w:rPr>
              <w:t>It’s is not clear from the map which is Zone 1, 2, 3 etc. Please could you provide a clear list of Zone areas? How many Zones are there in total?</w:t>
            </w:r>
          </w:p>
        </w:tc>
        <w:tc>
          <w:tcPr>
            <w:tcW w:w="5593" w:type="dxa"/>
            <w:shd w:val="clear" w:color="auto" w:fill="auto"/>
          </w:tcPr>
          <w:p w:rsidR="002C4399" w:rsidRPr="009A6931" w:rsidRDefault="008867A6" w:rsidP="002C4399">
            <w:pPr>
              <w:rPr>
                <w:rFonts w:cs="Arial"/>
                <w:sz w:val="20"/>
                <w:szCs w:val="20"/>
                <w:highlight w:val="yellow"/>
              </w:rPr>
            </w:pPr>
            <w:r>
              <w:rPr>
                <w:rFonts w:cs="Arial"/>
                <w:sz w:val="20"/>
                <w:szCs w:val="20"/>
              </w:rPr>
              <w:t xml:space="preserve">Please see Map attached with added labelling. </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9A6931" w:rsidP="002C4399">
            <w:pPr>
              <w:rPr>
                <w:rFonts w:cs="Arial"/>
                <w:sz w:val="20"/>
                <w:szCs w:val="20"/>
              </w:rPr>
            </w:pPr>
            <w:r w:rsidRPr="009A6931">
              <w:rPr>
                <w:rFonts w:cs="Arial"/>
                <w:sz w:val="20"/>
                <w:szCs w:val="20"/>
              </w:rPr>
              <w:t>You requested that we have Crime protection insurance – this is very unusual request for this sort of contract. Please confirm if this is required?</w:t>
            </w:r>
          </w:p>
        </w:tc>
        <w:tc>
          <w:tcPr>
            <w:tcW w:w="5593" w:type="dxa"/>
            <w:shd w:val="clear" w:color="auto" w:fill="auto"/>
          </w:tcPr>
          <w:p w:rsidR="002C4399" w:rsidRPr="0012211F" w:rsidRDefault="009A6931" w:rsidP="002C4399">
            <w:pPr>
              <w:rPr>
                <w:rFonts w:cs="Arial"/>
                <w:sz w:val="20"/>
                <w:szCs w:val="20"/>
              </w:rPr>
            </w:pPr>
            <w:r>
              <w:rPr>
                <w:rFonts w:cs="Arial"/>
                <w:sz w:val="20"/>
                <w:szCs w:val="20"/>
              </w:rPr>
              <w:t xml:space="preserve">This is a requirement for this </w:t>
            </w:r>
            <w:proofErr w:type="gramStart"/>
            <w:r>
              <w:rPr>
                <w:rFonts w:cs="Arial"/>
                <w:sz w:val="20"/>
                <w:szCs w:val="20"/>
              </w:rPr>
              <w:t>contract,</w:t>
            </w:r>
            <w:proofErr w:type="gramEnd"/>
            <w:r>
              <w:rPr>
                <w:rFonts w:cs="Arial"/>
                <w:sz w:val="20"/>
                <w:szCs w:val="20"/>
              </w:rPr>
              <w:t xml:space="preserve"> it was a recommendation due to the fact that providers will be responsible for the individuals budgets and supporting individuals with their personal monies. </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9A6931" w:rsidP="002C4399">
            <w:pPr>
              <w:rPr>
                <w:rFonts w:cs="Arial"/>
                <w:sz w:val="20"/>
                <w:szCs w:val="20"/>
              </w:rPr>
            </w:pPr>
            <w:r w:rsidRPr="009A6931">
              <w:rPr>
                <w:rFonts w:cs="Arial"/>
                <w:sz w:val="20"/>
                <w:szCs w:val="20"/>
              </w:rPr>
              <w:t>Your price schedule states that we must price this contract based on 500 hours per week, however your guidance on potential hours ranges from approx. 800-1000 hrs per week for Group A, or approx. 300-500 hours per week for Group B. Please clarify potential volume of hours per week.</w:t>
            </w:r>
          </w:p>
        </w:tc>
        <w:tc>
          <w:tcPr>
            <w:tcW w:w="5593" w:type="dxa"/>
            <w:shd w:val="clear" w:color="auto" w:fill="auto"/>
          </w:tcPr>
          <w:p w:rsidR="007618C4" w:rsidRDefault="007618C4" w:rsidP="002C4399">
            <w:pPr>
              <w:rPr>
                <w:rFonts w:cs="Arial"/>
                <w:sz w:val="20"/>
                <w:szCs w:val="20"/>
              </w:rPr>
            </w:pPr>
            <w:r>
              <w:rPr>
                <w:rFonts w:cs="Arial"/>
                <w:sz w:val="20"/>
                <w:szCs w:val="20"/>
              </w:rPr>
              <w:t>The council is using the 500 hours as a tool for evaluation purposes only, in order to benchmark costs. This will not impact on any volume of hours that may be allocated to successful organisations.</w:t>
            </w:r>
          </w:p>
          <w:p w:rsidR="002C4399" w:rsidRPr="0012211F" w:rsidRDefault="002C4399" w:rsidP="002C4399">
            <w:pPr>
              <w:rPr>
                <w:rFonts w:cs="Arial"/>
                <w:sz w:val="20"/>
                <w:szCs w:val="20"/>
              </w:rPr>
            </w:pP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4F1DBD" w:rsidP="004F1DBD">
            <w:pPr>
              <w:rPr>
                <w:rFonts w:cs="Arial"/>
                <w:sz w:val="20"/>
                <w:szCs w:val="20"/>
              </w:rPr>
            </w:pPr>
            <w:r w:rsidRPr="004F1DBD">
              <w:rPr>
                <w:rFonts w:cs="Arial"/>
                <w:sz w:val="20"/>
                <w:szCs w:val="20"/>
              </w:rPr>
              <w:t>Please can you confirm if ECM will be used for payment purposes? If so,</w:t>
            </w:r>
            <w:r>
              <w:rPr>
                <w:rFonts w:cs="Arial"/>
                <w:sz w:val="20"/>
                <w:szCs w:val="20"/>
              </w:rPr>
              <w:t xml:space="preserve"> c</w:t>
            </w:r>
            <w:r w:rsidRPr="004F1DBD">
              <w:rPr>
                <w:rFonts w:cs="Arial"/>
                <w:sz w:val="20"/>
                <w:szCs w:val="20"/>
              </w:rPr>
              <w:t xml:space="preserve">an you confirm if/how payments will be </w:t>
            </w:r>
            <w:proofErr w:type="gramStart"/>
            <w:r w:rsidRPr="004F1DBD">
              <w:rPr>
                <w:rFonts w:cs="Arial"/>
                <w:sz w:val="20"/>
                <w:szCs w:val="20"/>
              </w:rPr>
              <w:t>banded.</w:t>
            </w:r>
            <w:proofErr w:type="gramEnd"/>
          </w:p>
        </w:tc>
        <w:tc>
          <w:tcPr>
            <w:tcW w:w="5593" w:type="dxa"/>
            <w:shd w:val="clear" w:color="auto" w:fill="auto"/>
          </w:tcPr>
          <w:p w:rsidR="002C4399" w:rsidRPr="0012211F" w:rsidRDefault="003035DA" w:rsidP="002C4399">
            <w:pPr>
              <w:rPr>
                <w:rFonts w:cs="Arial"/>
                <w:sz w:val="20"/>
                <w:szCs w:val="20"/>
              </w:rPr>
            </w:pPr>
            <w:r>
              <w:rPr>
                <w:rFonts w:cs="Arial"/>
                <w:sz w:val="20"/>
                <w:szCs w:val="20"/>
              </w:rPr>
              <w:t>No, ECM will not be used for payment purposes but a request to review the recordings could be made at any time.</w:t>
            </w:r>
          </w:p>
        </w:tc>
      </w:tr>
      <w:tr w:rsidR="002C4399" w:rsidRPr="0012211F" w:rsidTr="00541CC0">
        <w:trPr>
          <w:cantSplit/>
        </w:trPr>
        <w:tc>
          <w:tcPr>
            <w:tcW w:w="1494" w:type="dxa"/>
            <w:shd w:val="clear" w:color="auto" w:fill="D9D9D9" w:themeFill="background1" w:themeFillShade="D9"/>
          </w:tcPr>
          <w:p w:rsidR="002C4399" w:rsidRPr="0012211F" w:rsidRDefault="002C4399">
            <w:pPr>
              <w:rPr>
                <w:rFonts w:cs="Arial"/>
                <w:sz w:val="20"/>
                <w:szCs w:val="20"/>
              </w:rPr>
            </w:pPr>
          </w:p>
        </w:tc>
        <w:tc>
          <w:tcPr>
            <w:tcW w:w="1494" w:type="dxa"/>
            <w:shd w:val="clear" w:color="auto" w:fill="D9D9D9" w:themeFill="background1" w:themeFillShade="D9"/>
          </w:tcPr>
          <w:p w:rsidR="002C4399" w:rsidRPr="0012211F" w:rsidRDefault="002C4399">
            <w:pPr>
              <w:rPr>
                <w:rFonts w:cs="Arial"/>
                <w:sz w:val="20"/>
                <w:szCs w:val="20"/>
              </w:rPr>
            </w:pPr>
          </w:p>
        </w:tc>
        <w:tc>
          <w:tcPr>
            <w:tcW w:w="5593" w:type="dxa"/>
            <w:shd w:val="clear" w:color="auto" w:fill="D9D9D9" w:themeFill="background1" w:themeFillShade="D9"/>
          </w:tcPr>
          <w:p w:rsidR="002C4399" w:rsidRPr="0012211F" w:rsidRDefault="002C4399">
            <w:pPr>
              <w:rPr>
                <w:rFonts w:cs="Arial"/>
                <w:sz w:val="20"/>
                <w:szCs w:val="20"/>
              </w:rPr>
            </w:pPr>
          </w:p>
        </w:tc>
        <w:tc>
          <w:tcPr>
            <w:tcW w:w="5593" w:type="dxa"/>
            <w:shd w:val="clear" w:color="auto" w:fill="D9D9D9" w:themeFill="background1" w:themeFillShade="D9"/>
          </w:tcPr>
          <w:p w:rsidR="002C4399" w:rsidRPr="0012211F" w:rsidRDefault="002C4399">
            <w:pPr>
              <w:rPr>
                <w:rFonts w:cs="Arial"/>
                <w:sz w:val="20"/>
                <w:szCs w:val="20"/>
              </w:rPr>
            </w:pP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861715" w:rsidP="002C4399">
            <w:pPr>
              <w:rPr>
                <w:rFonts w:cs="Arial"/>
                <w:sz w:val="20"/>
                <w:szCs w:val="20"/>
              </w:rPr>
            </w:pPr>
            <w:r w:rsidRPr="00861715">
              <w:rPr>
                <w:rFonts w:cs="Arial"/>
                <w:sz w:val="20"/>
                <w:szCs w:val="20"/>
              </w:rPr>
              <w:t>Please can you confirm whether we are able to provide support solely to individuals with a learning disability?</w:t>
            </w:r>
          </w:p>
        </w:tc>
        <w:tc>
          <w:tcPr>
            <w:tcW w:w="5593" w:type="dxa"/>
            <w:shd w:val="clear" w:color="auto" w:fill="auto"/>
          </w:tcPr>
          <w:p w:rsidR="002C4399" w:rsidRPr="0012211F" w:rsidRDefault="00861715" w:rsidP="002C4399">
            <w:pPr>
              <w:rPr>
                <w:rFonts w:cs="Arial"/>
                <w:sz w:val="20"/>
                <w:szCs w:val="20"/>
              </w:rPr>
            </w:pPr>
            <w:r>
              <w:rPr>
                <w:rFonts w:cs="Arial"/>
                <w:sz w:val="20"/>
                <w:szCs w:val="20"/>
              </w:rPr>
              <w:t xml:space="preserve">No, Providers must be able to support </w:t>
            </w:r>
            <w:r w:rsidRPr="00861715">
              <w:rPr>
                <w:rFonts w:cs="Arial"/>
                <w:sz w:val="20"/>
                <w:szCs w:val="20"/>
              </w:rPr>
              <w:t>individuals with varying levels</w:t>
            </w:r>
            <w:r>
              <w:rPr>
                <w:rFonts w:cs="Arial"/>
                <w:sz w:val="20"/>
                <w:szCs w:val="20"/>
              </w:rPr>
              <w:t xml:space="preserve"> and types</w:t>
            </w:r>
            <w:r w:rsidRPr="00861715">
              <w:rPr>
                <w:rFonts w:cs="Arial"/>
                <w:sz w:val="20"/>
                <w:szCs w:val="20"/>
              </w:rPr>
              <w:t xml:space="preserve"> of need as stated in the specification.</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861715" w:rsidP="002C4399">
            <w:pPr>
              <w:rPr>
                <w:rFonts w:cs="Arial"/>
                <w:sz w:val="20"/>
                <w:szCs w:val="20"/>
              </w:rPr>
            </w:pPr>
            <w:r w:rsidRPr="00861715">
              <w:rPr>
                <w:rFonts w:cs="Arial"/>
                <w:sz w:val="20"/>
                <w:szCs w:val="20"/>
              </w:rPr>
              <w:t>With regard to the hours please can you confirm if we were awarded would we have guaranteed hours e.g. 300-500</w:t>
            </w:r>
          </w:p>
        </w:tc>
        <w:tc>
          <w:tcPr>
            <w:tcW w:w="5593" w:type="dxa"/>
            <w:shd w:val="clear" w:color="auto" w:fill="auto"/>
          </w:tcPr>
          <w:p w:rsidR="002C4399" w:rsidRPr="0012211F" w:rsidRDefault="00861715" w:rsidP="002C4399">
            <w:pPr>
              <w:rPr>
                <w:rFonts w:cs="Arial"/>
                <w:sz w:val="20"/>
                <w:szCs w:val="20"/>
              </w:rPr>
            </w:pPr>
            <w:r>
              <w:rPr>
                <w:rFonts w:cs="Arial"/>
                <w:sz w:val="20"/>
                <w:szCs w:val="20"/>
              </w:rPr>
              <w:t xml:space="preserve">No, hours will not be </w:t>
            </w:r>
            <w:r w:rsidRPr="00861715">
              <w:rPr>
                <w:rFonts w:cs="Arial"/>
                <w:sz w:val="20"/>
                <w:szCs w:val="20"/>
              </w:rPr>
              <w:t>guaranteed</w:t>
            </w:r>
            <w:r>
              <w:rPr>
                <w:rFonts w:cs="Arial"/>
                <w:sz w:val="20"/>
                <w:szCs w:val="20"/>
              </w:rPr>
              <w:t>.</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761F2B" w:rsidP="00761F2B">
            <w:pPr>
              <w:rPr>
                <w:rFonts w:cs="Arial"/>
                <w:sz w:val="20"/>
                <w:szCs w:val="20"/>
              </w:rPr>
            </w:pPr>
            <w:r>
              <w:rPr>
                <w:rFonts w:cs="Arial"/>
                <w:sz w:val="20"/>
                <w:szCs w:val="20"/>
              </w:rPr>
              <w:t xml:space="preserve">Is there a Top Tips document to assist tenderers? </w:t>
            </w:r>
          </w:p>
        </w:tc>
        <w:tc>
          <w:tcPr>
            <w:tcW w:w="5593" w:type="dxa"/>
            <w:shd w:val="clear" w:color="auto" w:fill="auto"/>
          </w:tcPr>
          <w:p w:rsidR="002C4399" w:rsidRPr="0012211F" w:rsidRDefault="00761F2B" w:rsidP="002C4399">
            <w:pPr>
              <w:rPr>
                <w:rFonts w:cs="Arial"/>
                <w:sz w:val="20"/>
                <w:szCs w:val="20"/>
              </w:rPr>
            </w:pPr>
            <w:r>
              <w:rPr>
                <w:rFonts w:cs="Arial"/>
                <w:sz w:val="20"/>
                <w:szCs w:val="20"/>
              </w:rPr>
              <w:t xml:space="preserve">Yes, please find attached. </w:t>
            </w:r>
          </w:p>
        </w:tc>
      </w:tr>
      <w:tr w:rsidR="002C4399" w:rsidRPr="0012211F" w:rsidTr="00525780">
        <w:trPr>
          <w:cantSplit/>
        </w:trPr>
        <w:tc>
          <w:tcPr>
            <w:tcW w:w="1494" w:type="dxa"/>
            <w:shd w:val="clear" w:color="auto" w:fill="D9D9D9" w:themeFill="background1" w:themeFillShade="D9"/>
          </w:tcPr>
          <w:p w:rsidR="002C4399" w:rsidRPr="0012211F" w:rsidRDefault="002C4399" w:rsidP="002C4399">
            <w:pPr>
              <w:rPr>
                <w:rFonts w:cs="Arial"/>
                <w:sz w:val="20"/>
                <w:szCs w:val="20"/>
              </w:rPr>
            </w:pPr>
          </w:p>
        </w:tc>
        <w:tc>
          <w:tcPr>
            <w:tcW w:w="1494" w:type="dxa"/>
            <w:shd w:val="clear" w:color="auto" w:fill="D9D9D9" w:themeFill="background1" w:themeFillShade="D9"/>
          </w:tcPr>
          <w:p w:rsidR="002C4399" w:rsidRPr="0012211F" w:rsidRDefault="002C4399" w:rsidP="002C4399">
            <w:pPr>
              <w:rPr>
                <w:rFonts w:cs="Arial"/>
                <w:sz w:val="20"/>
                <w:szCs w:val="20"/>
              </w:rPr>
            </w:pPr>
          </w:p>
        </w:tc>
        <w:tc>
          <w:tcPr>
            <w:tcW w:w="5593" w:type="dxa"/>
            <w:shd w:val="clear" w:color="auto" w:fill="D9D9D9" w:themeFill="background1" w:themeFillShade="D9"/>
          </w:tcPr>
          <w:p w:rsidR="002C4399" w:rsidRPr="0012211F" w:rsidRDefault="002C4399" w:rsidP="002C4399">
            <w:pPr>
              <w:rPr>
                <w:rFonts w:cs="Arial"/>
                <w:sz w:val="20"/>
                <w:szCs w:val="20"/>
              </w:rPr>
            </w:pPr>
          </w:p>
        </w:tc>
        <w:tc>
          <w:tcPr>
            <w:tcW w:w="5593" w:type="dxa"/>
            <w:shd w:val="clear" w:color="auto" w:fill="D9D9D9" w:themeFill="background1" w:themeFillShade="D9"/>
          </w:tcPr>
          <w:p w:rsidR="002C4399" w:rsidRPr="0012211F" w:rsidRDefault="002C4399" w:rsidP="002C4399">
            <w:pPr>
              <w:rPr>
                <w:rFonts w:cs="Arial"/>
                <w:sz w:val="20"/>
                <w:szCs w:val="20"/>
              </w:rPr>
            </w:pP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525780" w:rsidP="002C4399">
            <w:pPr>
              <w:rPr>
                <w:rFonts w:cs="Arial"/>
                <w:sz w:val="20"/>
                <w:szCs w:val="20"/>
              </w:rPr>
            </w:pPr>
            <w:r w:rsidRPr="00525780">
              <w:rPr>
                <w:rFonts w:cs="Arial"/>
                <w:sz w:val="20"/>
                <w:szCs w:val="20"/>
              </w:rPr>
              <w:t>How many providers are you going to award in each zone? How is this worked out?</w:t>
            </w:r>
          </w:p>
        </w:tc>
        <w:tc>
          <w:tcPr>
            <w:tcW w:w="5593" w:type="dxa"/>
            <w:shd w:val="clear" w:color="auto" w:fill="auto"/>
          </w:tcPr>
          <w:p w:rsidR="002C4399" w:rsidRPr="002E218E" w:rsidRDefault="002439B7" w:rsidP="00525780">
            <w:pPr>
              <w:rPr>
                <w:rFonts w:cs="Arial"/>
                <w:i/>
                <w:sz w:val="20"/>
                <w:szCs w:val="20"/>
              </w:rPr>
            </w:pPr>
            <w:r w:rsidRPr="002E218E">
              <w:rPr>
                <w:rFonts w:cs="Arial"/>
                <w:i/>
                <w:sz w:val="20"/>
                <w:szCs w:val="20"/>
              </w:rPr>
              <w:t xml:space="preserve">These clarifications will be answered next week. </w:t>
            </w:r>
          </w:p>
        </w:tc>
      </w:tr>
      <w:tr w:rsidR="002C4399" w:rsidRPr="0012211F" w:rsidTr="0012211F">
        <w:trPr>
          <w:cantSplit/>
        </w:trPr>
        <w:tc>
          <w:tcPr>
            <w:tcW w:w="1494" w:type="dxa"/>
            <w:shd w:val="clear" w:color="auto" w:fill="auto"/>
          </w:tcPr>
          <w:p w:rsidR="002C4399" w:rsidRPr="0012211F" w:rsidRDefault="002C4399">
            <w:pPr>
              <w:rPr>
                <w:rFonts w:cs="Arial"/>
                <w:sz w:val="20"/>
                <w:szCs w:val="20"/>
              </w:rPr>
            </w:pPr>
          </w:p>
        </w:tc>
        <w:tc>
          <w:tcPr>
            <w:tcW w:w="1494" w:type="dxa"/>
            <w:shd w:val="clear" w:color="auto" w:fill="auto"/>
          </w:tcPr>
          <w:p w:rsidR="002C4399" w:rsidRPr="0012211F" w:rsidRDefault="002C4399">
            <w:pPr>
              <w:rPr>
                <w:rFonts w:cs="Arial"/>
                <w:sz w:val="20"/>
                <w:szCs w:val="20"/>
              </w:rPr>
            </w:pPr>
          </w:p>
        </w:tc>
        <w:tc>
          <w:tcPr>
            <w:tcW w:w="5593" w:type="dxa"/>
            <w:shd w:val="clear" w:color="auto" w:fill="auto"/>
          </w:tcPr>
          <w:p w:rsidR="002C4399" w:rsidRPr="0012211F" w:rsidRDefault="00525780">
            <w:pPr>
              <w:rPr>
                <w:rFonts w:cs="Arial"/>
                <w:sz w:val="20"/>
                <w:szCs w:val="20"/>
              </w:rPr>
            </w:pPr>
            <w:r w:rsidRPr="00525780">
              <w:rPr>
                <w:rFonts w:cs="Arial"/>
                <w:sz w:val="20"/>
                <w:szCs w:val="20"/>
              </w:rPr>
              <w:t>Is the allocation of award by zone dependant on overall score or provider preference? How is this worked out?</w:t>
            </w:r>
          </w:p>
        </w:tc>
        <w:tc>
          <w:tcPr>
            <w:tcW w:w="5593" w:type="dxa"/>
            <w:shd w:val="clear" w:color="auto" w:fill="auto"/>
          </w:tcPr>
          <w:p w:rsidR="002C4399" w:rsidRPr="002E218E" w:rsidRDefault="002439B7" w:rsidP="00525780">
            <w:pPr>
              <w:rPr>
                <w:rFonts w:cs="Arial"/>
                <w:i/>
                <w:sz w:val="20"/>
                <w:szCs w:val="20"/>
              </w:rPr>
            </w:pPr>
            <w:r w:rsidRPr="002E218E">
              <w:rPr>
                <w:rFonts w:cs="Arial"/>
                <w:i/>
                <w:sz w:val="20"/>
                <w:szCs w:val="20"/>
              </w:rPr>
              <w:t>These clarifications will be answered next week.</w:t>
            </w:r>
          </w:p>
        </w:tc>
      </w:tr>
      <w:tr w:rsidR="002C4399" w:rsidRPr="0012211F" w:rsidTr="0012211F">
        <w:trPr>
          <w:cantSplit/>
        </w:trPr>
        <w:tc>
          <w:tcPr>
            <w:tcW w:w="1494" w:type="dxa"/>
            <w:shd w:val="clear" w:color="auto" w:fill="auto"/>
          </w:tcPr>
          <w:p w:rsidR="002C4399" w:rsidRPr="0012211F" w:rsidRDefault="002C4399" w:rsidP="002C4399">
            <w:pPr>
              <w:rPr>
                <w:rFonts w:cs="Arial"/>
                <w:sz w:val="20"/>
                <w:szCs w:val="20"/>
              </w:rPr>
            </w:pPr>
          </w:p>
        </w:tc>
        <w:tc>
          <w:tcPr>
            <w:tcW w:w="1494" w:type="dxa"/>
            <w:shd w:val="clear" w:color="auto" w:fill="auto"/>
          </w:tcPr>
          <w:p w:rsidR="002C4399" w:rsidRPr="0012211F" w:rsidRDefault="002C4399" w:rsidP="002C4399">
            <w:pPr>
              <w:rPr>
                <w:rFonts w:cs="Arial"/>
                <w:sz w:val="20"/>
                <w:szCs w:val="20"/>
              </w:rPr>
            </w:pPr>
          </w:p>
        </w:tc>
        <w:tc>
          <w:tcPr>
            <w:tcW w:w="5593" w:type="dxa"/>
            <w:shd w:val="clear" w:color="auto" w:fill="auto"/>
          </w:tcPr>
          <w:p w:rsidR="002C4399" w:rsidRPr="0012211F" w:rsidRDefault="00525780" w:rsidP="002C4399">
            <w:pPr>
              <w:rPr>
                <w:rFonts w:cs="Arial"/>
                <w:sz w:val="20"/>
                <w:szCs w:val="20"/>
              </w:rPr>
            </w:pPr>
            <w:r w:rsidRPr="00525780">
              <w:rPr>
                <w:rFonts w:cs="Arial"/>
                <w:sz w:val="20"/>
                <w:szCs w:val="20"/>
              </w:rPr>
              <w:t>Are we able to submit a different price for Urban and Rural areas?</w:t>
            </w:r>
          </w:p>
        </w:tc>
        <w:tc>
          <w:tcPr>
            <w:tcW w:w="5593" w:type="dxa"/>
            <w:shd w:val="clear" w:color="auto" w:fill="auto"/>
          </w:tcPr>
          <w:p w:rsidR="002C4399" w:rsidRPr="002E218E" w:rsidRDefault="002439B7" w:rsidP="002C4399">
            <w:pPr>
              <w:rPr>
                <w:rFonts w:cs="Arial"/>
                <w:i/>
                <w:sz w:val="20"/>
                <w:szCs w:val="20"/>
              </w:rPr>
            </w:pPr>
            <w:r w:rsidRPr="002E218E">
              <w:rPr>
                <w:rFonts w:cs="Arial"/>
                <w:i/>
                <w:sz w:val="20"/>
                <w:szCs w:val="20"/>
              </w:rPr>
              <w:t>These clarifications will be answered next week.</w:t>
            </w:r>
          </w:p>
        </w:tc>
      </w:tr>
      <w:tr w:rsidR="002C4399" w:rsidRPr="0012211F" w:rsidTr="0012211F">
        <w:trPr>
          <w:cantSplit/>
        </w:trPr>
        <w:tc>
          <w:tcPr>
            <w:tcW w:w="1494" w:type="dxa"/>
            <w:shd w:val="clear" w:color="auto" w:fill="auto"/>
          </w:tcPr>
          <w:p w:rsidR="002C4399" w:rsidRPr="0012211F" w:rsidRDefault="002C4399">
            <w:pPr>
              <w:rPr>
                <w:rFonts w:cs="Arial"/>
                <w:sz w:val="20"/>
                <w:szCs w:val="20"/>
              </w:rPr>
            </w:pPr>
          </w:p>
        </w:tc>
        <w:tc>
          <w:tcPr>
            <w:tcW w:w="1494" w:type="dxa"/>
            <w:shd w:val="clear" w:color="auto" w:fill="auto"/>
          </w:tcPr>
          <w:p w:rsidR="002C4399" w:rsidRPr="0012211F" w:rsidRDefault="002C4399">
            <w:pPr>
              <w:rPr>
                <w:rFonts w:cs="Arial"/>
                <w:sz w:val="20"/>
                <w:szCs w:val="20"/>
              </w:rPr>
            </w:pPr>
          </w:p>
        </w:tc>
        <w:tc>
          <w:tcPr>
            <w:tcW w:w="5593" w:type="dxa"/>
            <w:shd w:val="clear" w:color="auto" w:fill="auto"/>
          </w:tcPr>
          <w:p w:rsidR="002C4399" w:rsidRPr="0012211F" w:rsidRDefault="00C638E5" w:rsidP="00C071F3">
            <w:pPr>
              <w:tabs>
                <w:tab w:val="left" w:pos="1125"/>
              </w:tabs>
              <w:rPr>
                <w:rFonts w:cs="Arial"/>
                <w:sz w:val="20"/>
                <w:szCs w:val="20"/>
              </w:rPr>
            </w:pPr>
            <w:r w:rsidRPr="00C638E5">
              <w:rPr>
                <w:rFonts w:cs="Arial"/>
                <w:sz w:val="20"/>
                <w:szCs w:val="20"/>
              </w:rPr>
              <w:t>Please could you</w:t>
            </w:r>
            <w:r w:rsidR="00C071F3">
              <w:rPr>
                <w:rFonts w:cs="Arial"/>
                <w:sz w:val="20"/>
                <w:szCs w:val="20"/>
              </w:rPr>
              <w:t xml:space="preserve"> provide further clarification regarding the zones</w:t>
            </w:r>
            <w:r w:rsidRPr="00C638E5">
              <w:rPr>
                <w:rFonts w:cs="Arial"/>
                <w:sz w:val="20"/>
                <w:szCs w:val="20"/>
              </w:rPr>
              <w:t>?</w:t>
            </w:r>
          </w:p>
        </w:tc>
        <w:tc>
          <w:tcPr>
            <w:tcW w:w="5593" w:type="dxa"/>
            <w:shd w:val="clear" w:color="auto" w:fill="auto"/>
          </w:tcPr>
          <w:p w:rsidR="002C4399" w:rsidRDefault="002439B7">
            <w:pPr>
              <w:rPr>
                <w:rFonts w:cs="Arial"/>
                <w:sz w:val="20"/>
                <w:szCs w:val="20"/>
              </w:rPr>
            </w:pPr>
            <w:r>
              <w:rPr>
                <w:rFonts w:cs="Arial"/>
                <w:sz w:val="20"/>
                <w:szCs w:val="20"/>
              </w:rPr>
              <w:t>Green is zone 1</w:t>
            </w:r>
          </w:p>
          <w:p w:rsidR="002439B7" w:rsidRDefault="002439B7">
            <w:pPr>
              <w:rPr>
                <w:rFonts w:cs="Arial"/>
                <w:sz w:val="20"/>
                <w:szCs w:val="20"/>
              </w:rPr>
            </w:pPr>
            <w:r>
              <w:rPr>
                <w:rFonts w:cs="Arial"/>
                <w:sz w:val="20"/>
                <w:szCs w:val="20"/>
              </w:rPr>
              <w:t>Blue is zone 2</w:t>
            </w:r>
          </w:p>
          <w:p w:rsidR="002439B7" w:rsidRDefault="002439B7">
            <w:pPr>
              <w:rPr>
                <w:rFonts w:cs="Arial"/>
                <w:sz w:val="20"/>
                <w:szCs w:val="20"/>
              </w:rPr>
            </w:pPr>
            <w:r>
              <w:rPr>
                <w:rFonts w:cs="Arial"/>
                <w:sz w:val="20"/>
                <w:szCs w:val="20"/>
              </w:rPr>
              <w:t>Orange is zone 3</w:t>
            </w:r>
          </w:p>
          <w:p w:rsidR="002439B7" w:rsidRDefault="002439B7">
            <w:pPr>
              <w:rPr>
                <w:rFonts w:cs="Arial"/>
                <w:sz w:val="20"/>
                <w:szCs w:val="20"/>
              </w:rPr>
            </w:pPr>
            <w:r>
              <w:rPr>
                <w:rFonts w:cs="Arial"/>
                <w:sz w:val="20"/>
                <w:szCs w:val="20"/>
              </w:rPr>
              <w:t>RG12 1</w:t>
            </w:r>
            <w:r w:rsidRPr="002439B7">
              <w:rPr>
                <w:rFonts w:cs="Arial"/>
                <w:sz w:val="20"/>
                <w:szCs w:val="20"/>
              </w:rPr>
              <w:t xml:space="preserve"> is not coloured</w:t>
            </w:r>
            <w:r>
              <w:rPr>
                <w:rFonts w:cs="Arial"/>
                <w:sz w:val="20"/>
                <w:szCs w:val="20"/>
              </w:rPr>
              <w:t xml:space="preserve"> as it</w:t>
            </w:r>
            <w:r w:rsidRPr="002439B7">
              <w:rPr>
                <w:rFonts w:cs="Arial"/>
                <w:sz w:val="20"/>
                <w:szCs w:val="20"/>
              </w:rPr>
              <w:t xml:space="preserve"> is the tradi</w:t>
            </w:r>
            <w:r>
              <w:rPr>
                <w:rFonts w:cs="Arial"/>
                <w:sz w:val="20"/>
                <w:szCs w:val="20"/>
              </w:rPr>
              <w:t xml:space="preserve">ng estate. </w:t>
            </w:r>
          </w:p>
          <w:p w:rsidR="002439B7" w:rsidRPr="0012211F" w:rsidRDefault="002439B7">
            <w:pPr>
              <w:rPr>
                <w:rFonts w:cs="Arial"/>
                <w:sz w:val="20"/>
                <w:szCs w:val="20"/>
              </w:rPr>
            </w:pPr>
            <w:r>
              <w:rPr>
                <w:rFonts w:cs="Arial"/>
                <w:sz w:val="20"/>
                <w:szCs w:val="20"/>
              </w:rPr>
              <w:t xml:space="preserve">Each zone has the first 4/5 postcode characters, the second set of numbers is the current number of hours provided in that zone and the last number is the current number of clients in that area, these figures were correct in October 2016.  </w:t>
            </w:r>
          </w:p>
        </w:tc>
      </w:tr>
    </w:tbl>
    <w:p w:rsidR="00F65F48" w:rsidRDefault="00F65F48">
      <w:pPr>
        <w:rPr>
          <w:rFonts w:cs="Arial"/>
          <w:sz w:val="20"/>
          <w:szCs w:val="20"/>
        </w:rPr>
      </w:pPr>
    </w:p>
    <w:p w:rsidR="003E60D6" w:rsidRDefault="003E60D6">
      <w:pPr>
        <w:rPr>
          <w:rFonts w:cs="Arial"/>
          <w:sz w:val="20"/>
          <w:szCs w:val="20"/>
        </w:rPr>
      </w:pPr>
    </w:p>
    <w:p w:rsidR="003E60D6" w:rsidRPr="00F65F48" w:rsidRDefault="003E60D6">
      <w:pPr>
        <w:rPr>
          <w:rFonts w:cs="Arial"/>
          <w:sz w:val="20"/>
          <w:szCs w:val="20"/>
        </w:rPr>
      </w:pPr>
    </w:p>
    <w:sectPr w:rsidR="003E60D6" w:rsidRPr="00F65F48" w:rsidSect="00023EDC">
      <w:headerReference w:type="default" r:id="rId8"/>
      <w:footerReference w:type="default" r:id="rId9"/>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D4" w:rsidRDefault="00D44DD4">
      <w:r>
        <w:separator/>
      </w:r>
    </w:p>
  </w:endnote>
  <w:endnote w:type="continuationSeparator" w:id="0">
    <w:p w:rsidR="00D44DD4" w:rsidRDefault="00D4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8F" w:rsidRPr="00AF754C" w:rsidRDefault="00746D8F" w:rsidP="00AF754C">
    <w:pPr>
      <w:pStyle w:val="Footer"/>
      <w:jc w:val="center"/>
      <w:rPr>
        <w:sz w:val="18"/>
        <w:szCs w:val="18"/>
      </w:rPr>
    </w:pPr>
    <w:r w:rsidRPr="00AF754C">
      <w:rPr>
        <w:sz w:val="18"/>
        <w:szCs w:val="18"/>
      </w:rPr>
      <w:t xml:space="preserve">Page </w:t>
    </w:r>
    <w:r w:rsidRPr="00AF754C">
      <w:rPr>
        <w:sz w:val="18"/>
        <w:szCs w:val="18"/>
      </w:rPr>
      <w:fldChar w:fldCharType="begin"/>
    </w:r>
    <w:r w:rsidRPr="00AF754C">
      <w:rPr>
        <w:sz w:val="18"/>
        <w:szCs w:val="18"/>
      </w:rPr>
      <w:instrText xml:space="preserve"> PAGE </w:instrText>
    </w:r>
    <w:r w:rsidRPr="00AF754C">
      <w:rPr>
        <w:sz w:val="18"/>
        <w:szCs w:val="18"/>
      </w:rPr>
      <w:fldChar w:fldCharType="separate"/>
    </w:r>
    <w:r w:rsidR="000F4523">
      <w:rPr>
        <w:noProof/>
        <w:sz w:val="18"/>
        <w:szCs w:val="18"/>
      </w:rPr>
      <w:t>4</w:t>
    </w:r>
    <w:r w:rsidRPr="00AF754C">
      <w:rPr>
        <w:sz w:val="18"/>
        <w:szCs w:val="18"/>
      </w:rPr>
      <w:fldChar w:fldCharType="end"/>
    </w:r>
    <w:r w:rsidRPr="00AF754C">
      <w:rPr>
        <w:sz w:val="18"/>
        <w:szCs w:val="18"/>
      </w:rPr>
      <w:t xml:space="preserve"> of </w:t>
    </w:r>
    <w:r w:rsidRPr="00AF754C">
      <w:rPr>
        <w:sz w:val="18"/>
        <w:szCs w:val="18"/>
      </w:rPr>
      <w:fldChar w:fldCharType="begin"/>
    </w:r>
    <w:r w:rsidRPr="00AF754C">
      <w:rPr>
        <w:sz w:val="18"/>
        <w:szCs w:val="18"/>
      </w:rPr>
      <w:instrText xml:space="preserve"> NUMPAGES </w:instrText>
    </w:r>
    <w:r w:rsidRPr="00AF754C">
      <w:rPr>
        <w:sz w:val="18"/>
        <w:szCs w:val="18"/>
      </w:rPr>
      <w:fldChar w:fldCharType="separate"/>
    </w:r>
    <w:r w:rsidR="000F4523">
      <w:rPr>
        <w:noProof/>
        <w:sz w:val="18"/>
        <w:szCs w:val="18"/>
      </w:rPr>
      <w:t>4</w:t>
    </w:r>
    <w:r w:rsidRPr="00AF754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D4" w:rsidRDefault="00D44DD4">
      <w:r>
        <w:separator/>
      </w:r>
    </w:p>
  </w:footnote>
  <w:footnote w:type="continuationSeparator" w:id="0">
    <w:p w:rsidR="00D44DD4" w:rsidRDefault="00D4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8F" w:rsidRDefault="004F72A5" w:rsidP="00AF754C">
    <w:pPr>
      <w:jc w:val="center"/>
      <w:rPr>
        <w:rFonts w:cs="Arial"/>
        <w:b/>
        <w:sz w:val="28"/>
        <w:szCs w:val="28"/>
      </w:rPr>
    </w:pPr>
    <w:r>
      <w:rPr>
        <w:noProof/>
      </w:rPr>
      <w:drawing>
        <wp:anchor distT="0" distB="0" distL="114300" distR="114300" simplePos="0" relativeHeight="251657728" behindDoc="0" locked="0" layoutInCell="1" allowOverlap="0">
          <wp:simplePos x="0" y="0"/>
          <wp:positionH relativeFrom="column">
            <wp:posOffset>7772400</wp:posOffset>
          </wp:positionH>
          <wp:positionV relativeFrom="paragraph">
            <wp:posOffset>5080</wp:posOffset>
          </wp:positionV>
          <wp:extent cx="1047115" cy="836295"/>
          <wp:effectExtent l="0" t="0" r="0" b="0"/>
          <wp:wrapSquare wrapText="bothSides"/>
          <wp:docPr id="1" name="Picture 1" descr="B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D8F" w:rsidRDefault="0096128D" w:rsidP="009D5CE2">
    <w:pPr>
      <w:jc w:val="center"/>
    </w:pPr>
    <w:r>
      <w:rPr>
        <w:rFonts w:cs="Arial"/>
        <w:b/>
        <w:sz w:val="28"/>
        <w:szCs w:val="28"/>
      </w:rPr>
      <w:t>COMMUNITY BASED SUPPORT SERVICE</w:t>
    </w:r>
  </w:p>
  <w:p w:rsidR="00746D8F" w:rsidRDefault="00746D8F" w:rsidP="009D5CE2">
    <w:pPr>
      <w:jc w:val="center"/>
      <w:rPr>
        <w:rFonts w:cs="Arial"/>
        <w:b/>
        <w:sz w:val="24"/>
      </w:rPr>
    </w:pPr>
    <w:r w:rsidRPr="00AF754C">
      <w:rPr>
        <w:rFonts w:cs="Arial"/>
        <w:b/>
        <w:sz w:val="24"/>
      </w:rPr>
      <w:t xml:space="preserve">Invitation to Tender Questions &amp; Answers – </w:t>
    </w:r>
  </w:p>
  <w:p w:rsidR="00746D8F" w:rsidRPr="00AF754C" w:rsidRDefault="0096128D" w:rsidP="009D5CE2">
    <w:pPr>
      <w:jc w:val="center"/>
      <w:rPr>
        <w:rFonts w:cs="Arial"/>
        <w:b/>
        <w:sz w:val="24"/>
      </w:rPr>
    </w:pPr>
    <w:r>
      <w:rPr>
        <w:rFonts w:cs="Arial"/>
        <w:b/>
        <w:sz w:val="24"/>
      </w:rPr>
      <w:t>February 2017</w:t>
    </w:r>
  </w:p>
  <w:p w:rsidR="00746D8F" w:rsidRDefault="0074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BEB"/>
    <w:multiLevelType w:val="multilevel"/>
    <w:tmpl w:val="6822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CE7DED"/>
    <w:multiLevelType w:val="hybridMultilevel"/>
    <w:tmpl w:val="8BB8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48"/>
    <w:rsid w:val="000122EA"/>
    <w:rsid w:val="000148D4"/>
    <w:rsid w:val="00023EDC"/>
    <w:rsid w:val="00077EF0"/>
    <w:rsid w:val="000B1ABD"/>
    <w:rsid w:val="000E0EA6"/>
    <w:rsid w:val="000E251C"/>
    <w:rsid w:val="000F4523"/>
    <w:rsid w:val="00110CFD"/>
    <w:rsid w:val="0012211F"/>
    <w:rsid w:val="001634C5"/>
    <w:rsid w:val="00181CF7"/>
    <w:rsid w:val="00185F04"/>
    <w:rsid w:val="00214FA4"/>
    <w:rsid w:val="00235048"/>
    <w:rsid w:val="002439B7"/>
    <w:rsid w:val="00255914"/>
    <w:rsid w:val="00264781"/>
    <w:rsid w:val="002709DD"/>
    <w:rsid w:val="002B4978"/>
    <w:rsid w:val="002C15D8"/>
    <w:rsid w:val="002C4399"/>
    <w:rsid w:val="002E218E"/>
    <w:rsid w:val="002E56E2"/>
    <w:rsid w:val="003035DA"/>
    <w:rsid w:val="00306B39"/>
    <w:rsid w:val="00324DE2"/>
    <w:rsid w:val="003621F1"/>
    <w:rsid w:val="003718A9"/>
    <w:rsid w:val="003747AA"/>
    <w:rsid w:val="003E60D6"/>
    <w:rsid w:val="00403C4C"/>
    <w:rsid w:val="00460498"/>
    <w:rsid w:val="00485CF3"/>
    <w:rsid w:val="00495C9C"/>
    <w:rsid w:val="004B47F3"/>
    <w:rsid w:val="004D04FE"/>
    <w:rsid w:val="004F1B65"/>
    <w:rsid w:val="004F1DBD"/>
    <w:rsid w:val="004F72A5"/>
    <w:rsid w:val="00525780"/>
    <w:rsid w:val="00541CC0"/>
    <w:rsid w:val="005941C5"/>
    <w:rsid w:val="0060675A"/>
    <w:rsid w:val="00621974"/>
    <w:rsid w:val="0065106D"/>
    <w:rsid w:val="00654496"/>
    <w:rsid w:val="006919EA"/>
    <w:rsid w:val="00701A54"/>
    <w:rsid w:val="00712085"/>
    <w:rsid w:val="00746D8F"/>
    <w:rsid w:val="007609C5"/>
    <w:rsid w:val="007618C4"/>
    <w:rsid w:val="00761F2B"/>
    <w:rsid w:val="00777248"/>
    <w:rsid w:val="00777271"/>
    <w:rsid w:val="00840062"/>
    <w:rsid w:val="0084591B"/>
    <w:rsid w:val="00855EB3"/>
    <w:rsid w:val="00861715"/>
    <w:rsid w:val="008867A6"/>
    <w:rsid w:val="008A123A"/>
    <w:rsid w:val="008A7ED3"/>
    <w:rsid w:val="008E0AE4"/>
    <w:rsid w:val="008E3E7C"/>
    <w:rsid w:val="008E7FBB"/>
    <w:rsid w:val="0090022F"/>
    <w:rsid w:val="00905296"/>
    <w:rsid w:val="0092700F"/>
    <w:rsid w:val="00952EFF"/>
    <w:rsid w:val="00957694"/>
    <w:rsid w:val="0096128D"/>
    <w:rsid w:val="00962419"/>
    <w:rsid w:val="009631F4"/>
    <w:rsid w:val="00966789"/>
    <w:rsid w:val="00985CE6"/>
    <w:rsid w:val="00995203"/>
    <w:rsid w:val="009A6931"/>
    <w:rsid w:val="009B66AC"/>
    <w:rsid w:val="009C7304"/>
    <w:rsid w:val="009D5CE2"/>
    <w:rsid w:val="009E11C9"/>
    <w:rsid w:val="00A014FE"/>
    <w:rsid w:val="00A0443E"/>
    <w:rsid w:val="00A3150D"/>
    <w:rsid w:val="00A6390D"/>
    <w:rsid w:val="00A72620"/>
    <w:rsid w:val="00A91EAB"/>
    <w:rsid w:val="00AA5191"/>
    <w:rsid w:val="00AB501C"/>
    <w:rsid w:val="00AC0BC0"/>
    <w:rsid w:val="00AC6EC8"/>
    <w:rsid w:val="00AD15A1"/>
    <w:rsid w:val="00AE0E03"/>
    <w:rsid w:val="00AF07C2"/>
    <w:rsid w:val="00AF754C"/>
    <w:rsid w:val="00B273EB"/>
    <w:rsid w:val="00B27DBA"/>
    <w:rsid w:val="00B66919"/>
    <w:rsid w:val="00B767EB"/>
    <w:rsid w:val="00B834FC"/>
    <w:rsid w:val="00BC124E"/>
    <w:rsid w:val="00BD198F"/>
    <w:rsid w:val="00BE4775"/>
    <w:rsid w:val="00C071F3"/>
    <w:rsid w:val="00C125E9"/>
    <w:rsid w:val="00C638E5"/>
    <w:rsid w:val="00CD5CA6"/>
    <w:rsid w:val="00D33580"/>
    <w:rsid w:val="00D44DD4"/>
    <w:rsid w:val="00D62CDB"/>
    <w:rsid w:val="00DC1476"/>
    <w:rsid w:val="00DD070D"/>
    <w:rsid w:val="00DF1191"/>
    <w:rsid w:val="00E83FA7"/>
    <w:rsid w:val="00EA2164"/>
    <w:rsid w:val="00EB64BF"/>
    <w:rsid w:val="00EE6D10"/>
    <w:rsid w:val="00EF432F"/>
    <w:rsid w:val="00F1366D"/>
    <w:rsid w:val="00F13BD9"/>
    <w:rsid w:val="00F40ED2"/>
    <w:rsid w:val="00F41C19"/>
    <w:rsid w:val="00F60265"/>
    <w:rsid w:val="00F65F48"/>
    <w:rsid w:val="00F8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F65F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9C7304"/>
    <w:rPr>
      <w:color w:val="0000FF"/>
      <w:u w:val="single"/>
    </w:rPr>
  </w:style>
  <w:style w:type="table" w:styleId="TableGrid">
    <w:name w:val="Table Grid"/>
    <w:basedOn w:val="TableNormal"/>
    <w:rsid w:val="003E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54C"/>
    <w:pPr>
      <w:tabs>
        <w:tab w:val="center" w:pos="4153"/>
        <w:tab w:val="right" w:pos="8306"/>
      </w:tabs>
    </w:pPr>
  </w:style>
  <w:style w:type="paragraph" w:styleId="Footer">
    <w:name w:val="footer"/>
    <w:basedOn w:val="Normal"/>
    <w:rsid w:val="00AF754C"/>
    <w:pPr>
      <w:tabs>
        <w:tab w:val="center" w:pos="4153"/>
        <w:tab w:val="right" w:pos="8306"/>
      </w:tabs>
    </w:pPr>
  </w:style>
  <w:style w:type="character" w:styleId="CommentReference">
    <w:name w:val="annotation reference"/>
    <w:basedOn w:val="DefaultParagraphFont"/>
    <w:rsid w:val="00235048"/>
    <w:rPr>
      <w:sz w:val="16"/>
      <w:szCs w:val="16"/>
    </w:rPr>
  </w:style>
  <w:style w:type="paragraph" w:styleId="CommentText">
    <w:name w:val="annotation text"/>
    <w:basedOn w:val="Normal"/>
    <w:link w:val="CommentTextChar"/>
    <w:rsid w:val="00235048"/>
    <w:rPr>
      <w:sz w:val="20"/>
      <w:szCs w:val="20"/>
    </w:rPr>
  </w:style>
  <w:style w:type="character" w:customStyle="1" w:styleId="CommentTextChar">
    <w:name w:val="Comment Text Char"/>
    <w:basedOn w:val="DefaultParagraphFont"/>
    <w:link w:val="CommentText"/>
    <w:rsid w:val="00235048"/>
    <w:rPr>
      <w:rFonts w:ascii="Arial" w:hAnsi="Arial"/>
    </w:rPr>
  </w:style>
  <w:style w:type="paragraph" w:styleId="CommentSubject">
    <w:name w:val="annotation subject"/>
    <w:basedOn w:val="CommentText"/>
    <w:next w:val="CommentText"/>
    <w:link w:val="CommentSubjectChar"/>
    <w:rsid w:val="00235048"/>
    <w:rPr>
      <w:b/>
      <w:bCs/>
    </w:rPr>
  </w:style>
  <w:style w:type="character" w:customStyle="1" w:styleId="CommentSubjectChar">
    <w:name w:val="Comment Subject Char"/>
    <w:basedOn w:val="CommentTextChar"/>
    <w:link w:val="CommentSubject"/>
    <w:rsid w:val="00235048"/>
    <w:rPr>
      <w:rFonts w:ascii="Arial" w:hAnsi="Arial"/>
      <w:b/>
      <w:bCs/>
    </w:rPr>
  </w:style>
  <w:style w:type="paragraph" w:styleId="BalloonText">
    <w:name w:val="Balloon Text"/>
    <w:basedOn w:val="Normal"/>
    <w:link w:val="BalloonTextChar"/>
    <w:rsid w:val="00235048"/>
    <w:rPr>
      <w:rFonts w:ascii="Tahoma" w:hAnsi="Tahoma" w:cs="Tahoma"/>
      <w:sz w:val="16"/>
      <w:szCs w:val="16"/>
    </w:rPr>
  </w:style>
  <w:style w:type="character" w:customStyle="1" w:styleId="BalloonTextChar">
    <w:name w:val="Balloon Text Char"/>
    <w:basedOn w:val="DefaultParagraphFont"/>
    <w:link w:val="BalloonText"/>
    <w:rsid w:val="00235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F65F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9C7304"/>
    <w:rPr>
      <w:color w:val="0000FF"/>
      <w:u w:val="single"/>
    </w:rPr>
  </w:style>
  <w:style w:type="table" w:styleId="TableGrid">
    <w:name w:val="Table Grid"/>
    <w:basedOn w:val="TableNormal"/>
    <w:rsid w:val="003E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54C"/>
    <w:pPr>
      <w:tabs>
        <w:tab w:val="center" w:pos="4153"/>
        <w:tab w:val="right" w:pos="8306"/>
      </w:tabs>
    </w:pPr>
  </w:style>
  <w:style w:type="paragraph" w:styleId="Footer">
    <w:name w:val="footer"/>
    <w:basedOn w:val="Normal"/>
    <w:rsid w:val="00AF754C"/>
    <w:pPr>
      <w:tabs>
        <w:tab w:val="center" w:pos="4153"/>
        <w:tab w:val="right" w:pos="8306"/>
      </w:tabs>
    </w:pPr>
  </w:style>
  <w:style w:type="character" w:styleId="CommentReference">
    <w:name w:val="annotation reference"/>
    <w:basedOn w:val="DefaultParagraphFont"/>
    <w:rsid w:val="00235048"/>
    <w:rPr>
      <w:sz w:val="16"/>
      <w:szCs w:val="16"/>
    </w:rPr>
  </w:style>
  <w:style w:type="paragraph" w:styleId="CommentText">
    <w:name w:val="annotation text"/>
    <w:basedOn w:val="Normal"/>
    <w:link w:val="CommentTextChar"/>
    <w:rsid w:val="00235048"/>
    <w:rPr>
      <w:sz w:val="20"/>
      <w:szCs w:val="20"/>
    </w:rPr>
  </w:style>
  <w:style w:type="character" w:customStyle="1" w:styleId="CommentTextChar">
    <w:name w:val="Comment Text Char"/>
    <w:basedOn w:val="DefaultParagraphFont"/>
    <w:link w:val="CommentText"/>
    <w:rsid w:val="00235048"/>
    <w:rPr>
      <w:rFonts w:ascii="Arial" w:hAnsi="Arial"/>
    </w:rPr>
  </w:style>
  <w:style w:type="paragraph" w:styleId="CommentSubject">
    <w:name w:val="annotation subject"/>
    <w:basedOn w:val="CommentText"/>
    <w:next w:val="CommentText"/>
    <w:link w:val="CommentSubjectChar"/>
    <w:rsid w:val="00235048"/>
    <w:rPr>
      <w:b/>
      <w:bCs/>
    </w:rPr>
  </w:style>
  <w:style w:type="character" w:customStyle="1" w:styleId="CommentSubjectChar">
    <w:name w:val="Comment Subject Char"/>
    <w:basedOn w:val="CommentTextChar"/>
    <w:link w:val="CommentSubject"/>
    <w:rsid w:val="00235048"/>
    <w:rPr>
      <w:rFonts w:ascii="Arial" w:hAnsi="Arial"/>
      <w:b/>
      <w:bCs/>
    </w:rPr>
  </w:style>
  <w:style w:type="paragraph" w:styleId="BalloonText">
    <w:name w:val="Balloon Text"/>
    <w:basedOn w:val="Normal"/>
    <w:link w:val="BalloonTextChar"/>
    <w:rsid w:val="00235048"/>
    <w:rPr>
      <w:rFonts w:ascii="Tahoma" w:hAnsi="Tahoma" w:cs="Tahoma"/>
      <w:sz w:val="16"/>
      <w:szCs w:val="16"/>
    </w:rPr>
  </w:style>
  <w:style w:type="character" w:customStyle="1" w:styleId="BalloonTextChar">
    <w:name w:val="Balloon Text Char"/>
    <w:basedOn w:val="DefaultParagraphFont"/>
    <w:link w:val="BalloonText"/>
    <w:rsid w:val="00235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2703">
      <w:bodyDiv w:val="1"/>
      <w:marLeft w:val="0"/>
      <w:marRight w:val="0"/>
      <w:marTop w:val="0"/>
      <w:marBottom w:val="0"/>
      <w:divBdr>
        <w:top w:val="none" w:sz="0" w:space="0" w:color="auto"/>
        <w:left w:val="none" w:sz="0" w:space="0" w:color="auto"/>
        <w:bottom w:val="none" w:sz="0" w:space="0" w:color="auto"/>
        <w:right w:val="none" w:sz="0" w:space="0" w:color="auto"/>
      </w:divBdr>
    </w:div>
    <w:div w:id="15738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PQQ/ITT/RFQ Questions &amp; Answers</vt:lpstr>
    </vt:vector>
  </TitlesOfParts>
  <Company>Bracknell Forest Council</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PQQ/ITT/RFQ Questions &amp; Answers</dc:title>
  <dc:creator>Bracknell Forest Borough Council</dc:creator>
  <cp:lastModifiedBy>Samantha Anderson-Parker</cp:lastModifiedBy>
  <cp:revision>5</cp:revision>
  <cp:lastPrinted>2011-10-04T10:44:00Z</cp:lastPrinted>
  <dcterms:created xsi:type="dcterms:W3CDTF">2017-02-15T11:40:00Z</dcterms:created>
  <dcterms:modified xsi:type="dcterms:W3CDTF">2017-02-15T11:47:00Z</dcterms:modified>
</cp:coreProperties>
</file>