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95697" w14:textId="77777777" w:rsidR="00F932CF" w:rsidRPr="00784440" w:rsidRDefault="00F932CF" w:rsidP="00F932CF">
      <w:pPr>
        <w:pStyle w:val="TitleCover"/>
        <w:rPr>
          <w:rFonts w:ascii="Arial" w:hAnsi="Arial" w:cs="Arial"/>
          <w:b/>
          <w:color w:val="17365D"/>
          <w:sz w:val="72"/>
        </w:rPr>
      </w:pPr>
      <w:r w:rsidRPr="00784440">
        <w:rPr>
          <w:rFonts w:ascii="Arial" w:hAnsi="Arial" w:cs="Arial"/>
          <w:b/>
          <w:color w:val="17365D"/>
          <w:sz w:val="44"/>
        </w:rPr>
        <w:t>sWINDON bOROUGH COUNCIL</w:t>
      </w:r>
    </w:p>
    <w:p w14:paraId="6E0D307A" w14:textId="77777777" w:rsidR="00F932CF" w:rsidRPr="001C46A0" w:rsidRDefault="00F932CF" w:rsidP="00A43CFA">
      <w:pPr>
        <w:pStyle w:val="SubtitleCover"/>
        <w:jc w:val="left"/>
        <w:rPr>
          <w:rFonts w:ascii="Arial" w:hAnsi="Arial" w:cs="Arial"/>
          <w:sz w:val="40"/>
        </w:rPr>
      </w:pPr>
    </w:p>
    <w:p w14:paraId="0B09AF29" w14:textId="77777777" w:rsidR="00F932CF" w:rsidRPr="001C46A0" w:rsidRDefault="00F932CF" w:rsidP="00F932CF">
      <w:pPr>
        <w:pStyle w:val="SubtitleCover"/>
        <w:rPr>
          <w:rFonts w:ascii="Arial" w:hAnsi="Arial" w:cs="Arial"/>
          <w:sz w:val="40"/>
        </w:rPr>
      </w:pPr>
    </w:p>
    <w:p w14:paraId="0D916EAC" w14:textId="77777777" w:rsidR="00F932CF" w:rsidRPr="00784440" w:rsidRDefault="00F932CF" w:rsidP="00F932CF">
      <w:pPr>
        <w:pStyle w:val="SubtitleCover"/>
        <w:rPr>
          <w:rFonts w:ascii="Arial" w:hAnsi="Arial" w:cs="Arial"/>
          <w:b/>
          <w:color w:val="17365D"/>
          <w:sz w:val="44"/>
        </w:rPr>
      </w:pPr>
      <w:r w:rsidRPr="00784440">
        <w:rPr>
          <w:rFonts w:ascii="Arial" w:hAnsi="Arial" w:cs="Arial"/>
          <w:b/>
          <w:color w:val="17365D"/>
          <w:sz w:val="44"/>
        </w:rPr>
        <w:t>Specification For</w:t>
      </w:r>
    </w:p>
    <w:p w14:paraId="1F4F677F" w14:textId="77777777" w:rsidR="00F932CF" w:rsidRPr="00784440" w:rsidRDefault="00F932CF" w:rsidP="00F932CF">
      <w:pPr>
        <w:pStyle w:val="SubtitleCover"/>
        <w:rPr>
          <w:rFonts w:ascii="Arial" w:hAnsi="Arial" w:cs="Arial"/>
          <w:b/>
          <w:color w:val="17365D"/>
          <w:sz w:val="44"/>
        </w:rPr>
      </w:pPr>
    </w:p>
    <w:p w14:paraId="5A8AE0F2" w14:textId="77777777" w:rsidR="00F80C47" w:rsidRDefault="00F80C47" w:rsidP="00F932CF">
      <w:pPr>
        <w:pStyle w:val="SubtitleCover"/>
        <w:rPr>
          <w:rFonts w:ascii="Arial" w:hAnsi="Arial" w:cs="Arial"/>
          <w:b/>
          <w:caps w:val="0"/>
          <w:color w:val="17365D"/>
          <w:sz w:val="44"/>
        </w:rPr>
      </w:pPr>
    </w:p>
    <w:p w14:paraId="09005584" w14:textId="6A31BE3E" w:rsidR="00F80C47" w:rsidRDefault="00F80C47" w:rsidP="00F932CF">
      <w:pPr>
        <w:pStyle w:val="SubtitleCover"/>
        <w:rPr>
          <w:rFonts w:ascii="Arial" w:hAnsi="Arial" w:cs="Arial"/>
          <w:b/>
          <w:caps w:val="0"/>
          <w:color w:val="17365D"/>
          <w:sz w:val="44"/>
        </w:rPr>
      </w:pPr>
      <w:r>
        <w:rPr>
          <w:rFonts w:ascii="Arial" w:hAnsi="Arial" w:cs="Arial"/>
          <w:b/>
          <w:caps w:val="0"/>
          <w:color w:val="17365D"/>
          <w:sz w:val="44"/>
        </w:rPr>
        <w:t>Swindon Borough E</w:t>
      </w:r>
      <w:r w:rsidR="00676ED8">
        <w:rPr>
          <w:rFonts w:ascii="Arial" w:hAnsi="Arial" w:cs="Arial"/>
          <w:b/>
          <w:caps w:val="0"/>
          <w:color w:val="17365D"/>
          <w:sz w:val="44"/>
        </w:rPr>
        <w:t>mployment</w:t>
      </w:r>
      <w:r>
        <w:rPr>
          <w:rFonts w:ascii="Arial" w:hAnsi="Arial" w:cs="Arial"/>
          <w:b/>
          <w:caps w:val="0"/>
          <w:color w:val="17365D"/>
          <w:sz w:val="44"/>
        </w:rPr>
        <w:t xml:space="preserve"> Study</w:t>
      </w:r>
      <w:r w:rsidR="00676ED8">
        <w:rPr>
          <w:rFonts w:ascii="Arial" w:hAnsi="Arial" w:cs="Arial"/>
          <w:b/>
          <w:caps w:val="0"/>
          <w:color w:val="17365D"/>
          <w:sz w:val="44"/>
        </w:rPr>
        <w:t xml:space="preserve"> (2023)</w:t>
      </w:r>
    </w:p>
    <w:p w14:paraId="6638748F" w14:textId="77777777" w:rsidR="00F80C47" w:rsidRPr="00F80C47" w:rsidRDefault="00F80C47" w:rsidP="00F80C47">
      <w:pPr>
        <w:pStyle w:val="BodyText"/>
      </w:pPr>
    </w:p>
    <w:p w14:paraId="522DD4D8" w14:textId="0E301B4A" w:rsidR="00860A55" w:rsidRDefault="00860A55" w:rsidP="00F932CF">
      <w:pPr>
        <w:pStyle w:val="SubtitleCover"/>
        <w:rPr>
          <w:rFonts w:ascii="Arial" w:hAnsi="Arial" w:cs="Arial"/>
          <w:b/>
          <w:caps w:val="0"/>
          <w:color w:val="17365D"/>
          <w:sz w:val="44"/>
        </w:rPr>
      </w:pPr>
      <w:r w:rsidRPr="00860A55">
        <w:rPr>
          <w:rFonts w:ascii="Arial" w:hAnsi="Arial" w:cs="Arial"/>
          <w:b/>
          <w:caps w:val="0"/>
          <w:color w:val="17365D"/>
          <w:sz w:val="44"/>
        </w:rPr>
        <w:t xml:space="preserve">Lot </w:t>
      </w:r>
      <w:r w:rsidR="00705B37">
        <w:rPr>
          <w:rFonts w:ascii="Arial" w:hAnsi="Arial" w:cs="Arial"/>
          <w:b/>
          <w:caps w:val="0"/>
          <w:color w:val="17365D"/>
          <w:sz w:val="44"/>
        </w:rPr>
        <w:t>A</w:t>
      </w:r>
      <w:r w:rsidRPr="00860A55">
        <w:rPr>
          <w:rFonts w:ascii="Arial" w:hAnsi="Arial" w:cs="Arial"/>
          <w:b/>
          <w:caps w:val="0"/>
          <w:color w:val="17365D"/>
          <w:sz w:val="44"/>
        </w:rPr>
        <w:t xml:space="preserve"> – Employment Needs and Land Supply</w:t>
      </w:r>
      <w:r w:rsidR="00256F7E">
        <w:rPr>
          <w:rFonts w:ascii="Arial" w:hAnsi="Arial" w:cs="Arial"/>
          <w:b/>
          <w:caps w:val="0"/>
          <w:color w:val="17365D"/>
          <w:sz w:val="44"/>
        </w:rPr>
        <w:t xml:space="preserve"> Study</w:t>
      </w:r>
    </w:p>
    <w:p w14:paraId="339541D9" w14:textId="77777777" w:rsidR="00860A55" w:rsidRPr="00860A55" w:rsidRDefault="00860A55" w:rsidP="00860A55">
      <w:pPr>
        <w:pStyle w:val="BodyText"/>
      </w:pPr>
    </w:p>
    <w:p w14:paraId="444230A7" w14:textId="4F1D0A22" w:rsidR="00F932CF" w:rsidRDefault="00860A55" w:rsidP="00F932CF">
      <w:pPr>
        <w:pStyle w:val="SubtitleCover"/>
        <w:rPr>
          <w:rFonts w:ascii="Arial" w:hAnsi="Arial" w:cs="Arial"/>
          <w:b/>
          <w:caps w:val="0"/>
          <w:color w:val="17365D"/>
          <w:sz w:val="44"/>
        </w:rPr>
      </w:pPr>
      <w:r w:rsidRPr="00860A55">
        <w:rPr>
          <w:rFonts w:ascii="Arial" w:hAnsi="Arial" w:cs="Arial"/>
          <w:b/>
          <w:caps w:val="0"/>
          <w:color w:val="17365D"/>
          <w:sz w:val="44"/>
        </w:rPr>
        <w:t xml:space="preserve">Lot </w:t>
      </w:r>
      <w:r w:rsidR="00705B37">
        <w:rPr>
          <w:rFonts w:ascii="Arial" w:hAnsi="Arial" w:cs="Arial"/>
          <w:b/>
          <w:caps w:val="0"/>
          <w:color w:val="17365D"/>
          <w:sz w:val="44"/>
        </w:rPr>
        <w:t>B</w:t>
      </w:r>
      <w:r w:rsidRPr="00860A55">
        <w:rPr>
          <w:rFonts w:ascii="Arial" w:hAnsi="Arial" w:cs="Arial"/>
          <w:b/>
          <w:caps w:val="0"/>
          <w:color w:val="17365D"/>
          <w:sz w:val="44"/>
        </w:rPr>
        <w:t xml:space="preserve"> – Retail and </w:t>
      </w:r>
      <w:r w:rsidR="00965B4D">
        <w:rPr>
          <w:rFonts w:ascii="Arial" w:hAnsi="Arial" w:cs="Arial"/>
          <w:b/>
          <w:caps w:val="0"/>
          <w:color w:val="17365D"/>
          <w:sz w:val="44"/>
        </w:rPr>
        <w:t xml:space="preserve">Main Town Centre Uses </w:t>
      </w:r>
      <w:r w:rsidRPr="00860A55">
        <w:rPr>
          <w:rFonts w:ascii="Arial" w:hAnsi="Arial" w:cs="Arial"/>
          <w:b/>
          <w:caps w:val="0"/>
          <w:color w:val="17365D"/>
          <w:sz w:val="44"/>
        </w:rPr>
        <w:t>Needs Study</w:t>
      </w:r>
      <w:r w:rsidR="00A62F0D">
        <w:rPr>
          <w:rFonts w:ascii="Arial" w:hAnsi="Arial" w:cs="Arial"/>
          <w:b/>
          <w:caps w:val="0"/>
          <w:color w:val="17365D"/>
          <w:sz w:val="44"/>
        </w:rPr>
        <w:t xml:space="preserve"> </w:t>
      </w:r>
    </w:p>
    <w:p w14:paraId="2AA23B16" w14:textId="77777777" w:rsidR="00A43CFA" w:rsidRPr="00A43CFA" w:rsidRDefault="00A43CFA" w:rsidP="00A43CFA">
      <w:pPr>
        <w:pStyle w:val="BodyText"/>
      </w:pPr>
    </w:p>
    <w:p w14:paraId="429397D0" w14:textId="3333DEAE" w:rsidR="00F80C47" w:rsidRDefault="00F80C47" w:rsidP="00F80C47">
      <w:pPr>
        <w:pStyle w:val="BodyText"/>
      </w:pPr>
    </w:p>
    <w:p w14:paraId="0CC4839E" w14:textId="482BB872" w:rsidR="00A43CFA" w:rsidRDefault="00A43CFA" w:rsidP="00A43CFA">
      <w:pPr>
        <w:pStyle w:val="SubtitleCover"/>
        <w:rPr>
          <w:rFonts w:ascii="Arial" w:hAnsi="Arial" w:cs="Arial"/>
          <w:b/>
          <w:caps w:val="0"/>
          <w:color w:val="17365D"/>
          <w:sz w:val="44"/>
        </w:rPr>
      </w:pPr>
      <w:r w:rsidRPr="00860A55">
        <w:rPr>
          <w:rFonts w:ascii="Arial" w:hAnsi="Arial" w:cs="Arial"/>
          <w:b/>
          <w:caps w:val="0"/>
          <w:color w:val="17365D"/>
          <w:sz w:val="44"/>
        </w:rPr>
        <w:t xml:space="preserve">Lot </w:t>
      </w:r>
      <w:r w:rsidR="00705B37">
        <w:rPr>
          <w:rFonts w:ascii="Arial" w:hAnsi="Arial" w:cs="Arial"/>
          <w:b/>
          <w:caps w:val="0"/>
          <w:color w:val="17365D"/>
          <w:sz w:val="44"/>
        </w:rPr>
        <w:t>C</w:t>
      </w:r>
      <w:r w:rsidRPr="00860A55">
        <w:rPr>
          <w:rFonts w:ascii="Arial" w:hAnsi="Arial" w:cs="Arial"/>
          <w:b/>
          <w:caps w:val="0"/>
          <w:color w:val="17365D"/>
          <w:sz w:val="44"/>
        </w:rPr>
        <w:t xml:space="preserve"> – </w:t>
      </w:r>
      <w:r>
        <w:rPr>
          <w:rFonts w:ascii="Arial" w:hAnsi="Arial" w:cs="Arial"/>
          <w:b/>
          <w:caps w:val="0"/>
          <w:color w:val="17365D"/>
          <w:sz w:val="44"/>
        </w:rPr>
        <w:t xml:space="preserve">Both Lot </w:t>
      </w:r>
      <w:r w:rsidR="00645448">
        <w:rPr>
          <w:rFonts w:ascii="Arial" w:hAnsi="Arial" w:cs="Arial"/>
          <w:b/>
          <w:caps w:val="0"/>
          <w:color w:val="17365D"/>
          <w:sz w:val="44"/>
        </w:rPr>
        <w:t>A</w:t>
      </w:r>
      <w:r>
        <w:rPr>
          <w:rFonts w:ascii="Arial" w:hAnsi="Arial" w:cs="Arial"/>
          <w:b/>
          <w:caps w:val="0"/>
          <w:color w:val="17365D"/>
          <w:sz w:val="44"/>
        </w:rPr>
        <w:t xml:space="preserve"> and </w:t>
      </w:r>
      <w:r w:rsidR="00645448">
        <w:rPr>
          <w:rFonts w:ascii="Arial" w:hAnsi="Arial" w:cs="Arial"/>
          <w:b/>
          <w:caps w:val="0"/>
          <w:color w:val="17365D"/>
          <w:sz w:val="44"/>
        </w:rPr>
        <w:t>B</w:t>
      </w:r>
      <w:r>
        <w:rPr>
          <w:rFonts w:ascii="Arial" w:hAnsi="Arial" w:cs="Arial"/>
          <w:b/>
          <w:caps w:val="0"/>
          <w:color w:val="17365D"/>
          <w:sz w:val="44"/>
        </w:rPr>
        <w:t xml:space="preserve"> </w:t>
      </w:r>
    </w:p>
    <w:p w14:paraId="67F28410" w14:textId="77777777" w:rsidR="00F80C47" w:rsidRPr="00F80C47" w:rsidRDefault="00F80C47" w:rsidP="00F80C47">
      <w:pPr>
        <w:pStyle w:val="BodyText"/>
      </w:pPr>
    </w:p>
    <w:p w14:paraId="5D45347E" w14:textId="0CE69803" w:rsidR="00F932CF" w:rsidRPr="00D56938" w:rsidRDefault="008B7917" w:rsidP="008B7917">
      <w:pPr>
        <w:pStyle w:val="BodyText1"/>
        <w:jc w:val="center"/>
      </w:pPr>
      <w:r w:rsidRPr="00D56938">
        <w:rPr>
          <w:rFonts w:cs="Arial"/>
          <w:b/>
          <w:caps/>
          <w:sz w:val="44"/>
        </w:rPr>
        <w:t>Notice ReF: DN</w:t>
      </w:r>
      <w:r w:rsidR="0085512F">
        <w:rPr>
          <w:rFonts w:cs="Arial"/>
          <w:b/>
          <w:caps/>
          <w:sz w:val="44"/>
        </w:rPr>
        <w:t>67</w:t>
      </w:r>
      <w:r w:rsidR="006737C6">
        <w:rPr>
          <w:rFonts w:cs="Arial"/>
          <w:b/>
          <w:caps/>
          <w:sz w:val="44"/>
        </w:rPr>
        <w:t>0692</w:t>
      </w:r>
    </w:p>
    <w:p w14:paraId="42FB9FD6" w14:textId="77777777" w:rsidR="00F932CF" w:rsidRDefault="00F932CF" w:rsidP="00F932CF">
      <w:pPr>
        <w:pStyle w:val="BodyText1"/>
      </w:pPr>
    </w:p>
    <w:p w14:paraId="1AFC4EFC" w14:textId="668C299D" w:rsidR="00F932CF" w:rsidRDefault="00F932CF" w:rsidP="00F932CF">
      <w:pPr>
        <w:pStyle w:val="BodyText1"/>
      </w:pPr>
    </w:p>
    <w:p w14:paraId="3AEEC17E" w14:textId="7481DCF5" w:rsidR="008B7917" w:rsidRDefault="008B7917" w:rsidP="00F932CF">
      <w:pPr>
        <w:pStyle w:val="BodyText1"/>
      </w:pPr>
    </w:p>
    <w:p w14:paraId="35068935" w14:textId="77777777" w:rsidR="008B7917" w:rsidRDefault="008B7917" w:rsidP="00F932CF">
      <w:pPr>
        <w:pStyle w:val="BodyText1"/>
      </w:pPr>
    </w:p>
    <w:p w14:paraId="7C31C658" w14:textId="77777777" w:rsidR="00341F0B" w:rsidRDefault="00341F0B" w:rsidP="00F80C47">
      <w:pPr>
        <w:pStyle w:val="BodyText1"/>
      </w:pPr>
    </w:p>
    <w:p w14:paraId="242BD440" w14:textId="083F371B" w:rsidR="00F932CF" w:rsidRDefault="00F932CF" w:rsidP="00F80C47">
      <w:pPr>
        <w:pStyle w:val="BodyText1"/>
      </w:pPr>
      <w:r>
        <w:rPr>
          <w:lang w:val="en-GB" w:eastAsia="en-GB"/>
        </w:rPr>
        <w:drawing>
          <wp:anchor distT="0" distB="0" distL="114300" distR="114300" simplePos="0" relativeHeight="251659264" behindDoc="1" locked="0" layoutInCell="1" allowOverlap="1" wp14:anchorId="5070BF6C" wp14:editId="603D8389">
            <wp:simplePos x="0" y="0"/>
            <wp:positionH relativeFrom="column">
              <wp:posOffset>2374265</wp:posOffset>
            </wp:positionH>
            <wp:positionV relativeFrom="paragraph">
              <wp:posOffset>85090</wp:posOffset>
            </wp:positionV>
            <wp:extent cx="914400" cy="1199515"/>
            <wp:effectExtent l="0" t="0" r="0" b="635"/>
            <wp:wrapNone/>
            <wp:docPr id="1" name="Picture 1" descr="http://www.glypt.co.uk/logo/Swindon-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ypt.co.uk/logo/Swindon-Council-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08136" w14:textId="77777777" w:rsidR="00676ED8" w:rsidRDefault="00676ED8" w:rsidP="00F932CF">
      <w:pPr>
        <w:tabs>
          <w:tab w:val="left" w:pos="6790"/>
        </w:tabs>
        <w:rPr>
          <w:rFonts w:ascii="Arial" w:eastAsia="Times New Roman" w:hAnsi="Arial" w:cs="Arial"/>
          <w:b/>
          <w:sz w:val="24"/>
          <w:lang w:eastAsia="en-GB"/>
        </w:rPr>
      </w:pPr>
    </w:p>
    <w:tbl>
      <w:tblPr>
        <w:tblStyle w:val="TableGrid"/>
        <w:tblW w:w="0" w:type="auto"/>
        <w:tblLook w:val="04A0" w:firstRow="1" w:lastRow="0" w:firstColumn="1" w:lastColumn="0" w:noHBand="0" w:noVBand="1"/>
      </w:tblPr>
      <w:tblGrid>
        <w:gridCol w:w="9016"/>
      </w:tblGrid>
      <w:tr w:rsidR="00FF0C97" w14:paraId="22A3AEF5" w14:textId="77777777" w:rsidTr="00FF0C97">
        <w:tc>
          <w:tcPr>
            <w:tcW w:w="9016" w:type="dxa"/>
            <w:shd w:val="clear" w:color="auto" w:fill="D9D9D9" w:themeFill="background1" w:themeFillShade="D9"/>
          </w:tcPr>
          <w:p w14:paraId="260B82BF" w14:textId="1C35302E" w:rsidR="00FF0C97" w:rsidRPr="00FF0C97" w:rsidRDefault="00FF0C97" w:rsidP="00F932CF">
            <w:pPr>
              <w:tabs>
                <w:tab w:val="left" w:pos="6790"/>
              </w:tabs>
              <w:rPr>
                <w:rFonts w:ascii="Arial" w:hAnsi="Arial" w:cs="Arial"/>
              </w:rPr>
            </w:pPr>
            <w:r w:rsidRPr="009E4798">
              <w:rPr>
                <w:rFonts w:ascii="Arial" w:eastAsia="Times New Roman" w:hAnsi="Arial" w:cs="Arial"/>
                <w:b/>
                <w:sz w:val="24"/>
                <w:lang w:eastAsia="en-GB"/>
              </w:rPr>
              <w:lastRenderedPageBreak/>
              <w:t>I</w:t>
            </w:r>
            <w:r>
              <w:rPr>
                <w:rFonts w:ascii="Arial" w:eastAsia="Times New Roman" w:hAnsi="Arial" w:cs="Arial"/>
                <w:b/>
                <w:sz w:val="24"/>
                <w:lang w:eastAsia="en-GB"/>
              </w:rPr>
              <w:t>NTRODUCTION AND CONTEXT</w:t>
            </w:r>
            <w:r w:rsidRPr="009E4798">
              <w:rPr>
                <w:rFonts w:ascii="Arial" w:eastAsia="Times New Roman" w:hAnsi="Arial" w:cs="Arial"/>
                <w:b/>
                <w:sz w:val="24"/>
                <w:lang w:eastAsia="en-GB"/>
              </w:rPr>
              <w:t xml:space="preserve"> </w:t>
            </w:r>
          </w:p>
        </w:tc>
      </w:tr>
    </w:tbl>
    <w:p w14:paraId="407A6FFF" w14:textId="480381BF" w:rsidR="00F932CF" w:rsidRPr="009E4798" w:rsidRDefault="00F932CF" w:rsidP="00F932CF">
      <w:pPr>
        <w:tabs>
          <w:tab w:val="left" w:pos="6790"/>
        </w:tabs>
        <w:rPr>
          <w:rFonts w:ascii="Arial" w:hAnsi="Arial" w:cs="Arial"/>
        </w:rPr>
      </w:pPr>
    </w:p>
    <w:p w14:paraId="5857C7DE" w14:textId="426734DF" w:rsidR="002477AE" w:rsidRDefault="002477AE" w:rsidP="000E2926">
      <w:pPr>
        <w:spacing w:after="0" w:line="240" w:lineRule="auto"/>
        <w:ind w:left="567" w:hanging="567"/>
        <w:rPr>
          <w:rFonts w:ascii="Arial" w:eastAsia="Times New Roman" w:hAnsi="Arial" w:cs="Arial"/>
          <w:b/>
          <w:lang w:eastAsia="en-GB"/>
        </w:rPr>
      </w:pPr>
      <w:r w:rsidRPr="00781426">
        <w:rPr>
          <w:rFonts w:ascii="Arial" w:eastAsia="Times New Roman" w:hAnsi="Arial" w:cs="Arial"/>
          <w:b/>
          <w:lang w:eastAsia="en-GB"/>
        </w:rPr>
        <w:t>Setting the Ambition</w:t>
      </w:r>
    </w:p>
    <w:p w14:paraId="0C6422DC" w14:textId="77777777" w:rsidR="000E2926" w:rsidRPr="000E2926" w:rsidRDefault="000E2926" w:rsidP="000E2926">
      <w:pPr>
        <w:spacing w:after="0" w:line="240" w:lineRule="auto"/>
        <w:ind w:left="567" w:hanging="567"/>
        <w:rPr>
          <w:rFonts w:ascii="Arial" w:eastAsia="Times New Roman" w:hAnsi="Arial" w:cs="Arial"/>
          <w:b/>
          <w:lang w:eastAsia="en-GB"/>
        </w:rPr>
      </w:pPr>
    </w:p>
    <w:p w14:paraId="556A9174" w14:textId="483BC7E6" w:rsidR="00C618E8" w:rsidRDefault="00F932CF" w:rsidP="0093341A">
      <w:pPr>
        <w:pStyle w:val="ListParagraph"/>
        <w:numPr>
          <w:ilvl w:val="0"/>
          <w:numId w:val="1"/>
        </w:numPr>
        <w:rPr>
          <w:rFonts w:ascii="Arial" w:hAnsi="Arial" w:cs="Arial"/>
        </w:rPr>
      </w:pPr>
      <w:r w:rsidRPr="00F932CF">
        <w:rPr>
          <w:rFonts w:ascii="Arial" w:hAnsi="Arial" w:cs="Arial"/>
        </w:rPr>
        <w:t>Swindon Borough Council is in the process of preparing a new Local Plan</w:t>
      </w:r>
      <w:r w:rsidR="00D42A23">
        <w:rPr>
          <w:rFonts w:ascii="Arial" w:hAnsi="Arial" w:cs="Arial"/>
        </w:rPr>
        <w:t xml:space="preserve"> with a 30-year </w:t>
      </w:r>
      <w:r w:rsidR="00FF3655">
        <w:rPr>
          <w:rFonts w:ascii="Arial" w:hAnsi="Arial" w:cs="Arial"/>
        </w:rPr>
        <w:t xml:space="preserve">plus </w:t>
      </w:r>
      <w:r w:rsidR="00D42A23">
        <w:rPr>
          <w:rFonts w:ascii="Arial" w:hAnsi="Arial" w:cs="Arial"/>
        </w:rPr>
        <w:t xml:space="preserve">vision and functional plan period to </w:t>
      </w:r>
      <w:r w:rsidR="00C618E8">
        <w:rPr>
          <w:rFonts w:ascii="Arial" w:hAnsi="Arial" w:cs="Arial"/>
        </w:rPr>
        <w:t>at least</w:t>
      </w:r>
      <w:r w:rsidR="00D42A23">
        <w:rPr>
          <w:rFonts w:ascii="Arial" w:hAnsi="Arial" w:cs="Arial"/>
        </w:rPr>
        <w:t xml:space="preserve"> 2042</w:t>
      </w:r>
      <w:r w:rsidRPr="00F932CF">
        <w:rPr>
          <w:rFonts w:ascii="Arial" w:hAnsi="Arial" w:cs="Arial"/>
        </w:rPr>
        <w:t xml:space="preserve">.  </w:t>
      </w:r>
      <w:r w:rsidR="00C618E8">
        <w:rPr>
          <w:rFonts w:ascii="Arial" w:hAnsi="Arial" w:cs="Arial"/>
        </w:rPr>
        <w:t xml:space="preserve">This requires long range thinking about the nature of the economy, work and growth.  </w:t>
      </w:r>
    </w:p>
    <w:p w14:paraId="39D339CE" w14:textId="77777777" w:rsidR="00FF3655" w:rsidRPr="00FF3655" w:rsidRDefault="00FF3655" w:rsidP="00FF3655">
      <w:pPr>
        <w:pStyle w:val="ListParagraph"/>
        <w:rPr>
          <w:rFonts w:ascii="Arial" w:hAnsi="Arial" w:cs="Arial"/>
        </w:rPr>
      </w:pPr>
    </w:p>
    <w:p w14:paraId="3DFD4F2D" w14:textId="5CF3F9B2" w:rsidR="00FF3655" w:rsidRDefault="00FF3655" w:rsidP="0093341A">
      <w:pPr>
        <w:pStyle w:val="ListParagraph"/>
        <w:numPr>
          <w:ilvl w:val="0"/>
          <w:numId w:val="1"/>
        </w:numPr>
        <w:rPr>
          <w:rFonts w:ascii="Arial" w:hAnsi="Arial" w:cs="Arial"/>
        </w:rPr>
      </w:pPr>
      <w:r>
        <w:rPr>
          <w:rFonts w:ascii="Arial" w:hAnsi="Arial" w:cs="Arial"/>
        </w:rPr>
        <w:t>The Council is working alongside a range of stakeholders including Business West, Swindon Chamber of Commerce</w:t>
      </w:r>
      <w:r w:rsidR="001C5B19">
        <w:rPr>
          <w:rFonts w:ascii="Arial" w:hAnsi="Arial" w:cs="Arial"/>
        </w:rPr>
        <w:t xml:space="preserve">, </w:t>
      </w:r>
      <w:r w:rsidR="001C5B19" w:rsidRPr="00E35597">
        <w:rPr>
          <w:rFonts w:ascii="Arial" w:hAnsi="Arial" w:cs="Arial"/>
        </w:rPr>
        <w:t xml:space="preserve">University of </w:t>
      </w:r>
      <w:r w:rsidR="00F831F0" w:rsidRPr="00E35597">
        <w:rPr>
          <w:rFonts w:ascii="Arial" w:hAnsi="Arial" w:cs="Arial"/>
        </w:rPr>
        <w:t xml:space="preserve">the West of England </w:t>
      </w:r>
      <w:r>
        <w:rPr>
          <w:rFonts w:ascii="Arial" w:hAnsi="Arial" w:cs="Arial"/>
        </w:rPr>
        <w:t xml:space="preserve">and Swindon and Wiltshire Local Enterprise Partnership to develop a clear and progressive vision for the local economy </w:t>
      </w:r>
      <w:r w:rsidR="001C5B19">
        <w:rPr>
          <w:rFonts w:ascii="Arial" w:hAnsi="Arial" w:cs="Arial"/>
        </w:rPr>
        <w:t xml:space="preserve">and offer </w:t>
      </w:r>
      <w:r>
        <w:rPr>
          <w:rFonts w:ascii="Arial" w:hAnsi="Arial" w:cs="Arial"/>
        </w:rPr>
        <w:t xml:space="preserve">that supports key strengths including locational advantages and develops </w:t>
      </w:r>
      <w:r w:rsidR="00C76E5D">
        <w:rPr>
          <w:rFonts w:ascii="Arial" w:hAnsi="Arial" w:cs="Arial"/>
        </w:rPr>
        <w:t>the</w:t>
      </w:r>
      <w:r>
        <w:rPr>
          <w:rFonts w:ascii="Arial" w:hAnsi="Arial" w:cs="Arial"/>
        </w:rPr>
        <w:t xml:space="preserve"> economic base and opportunities for business growth.</w:t>
      </w:r>
    </w:p>
    <w:p w14:paraId="27DD211C" w14:textId="77777777" w:rsidR="00FF3655" w:rsidRPr="00FF3655" w:rsidRDefault="00FF3655" w:rsidP="00FF3655">
      <w:pPr>
        <w:pStyle w:val="ListParagraph"/>
        <w:rPr>
          <w:rFonts w:ascii="Arial" w:hAnsi="Arial" w:cs="Arial"/>
        </w:rPr>
      </w:pPr>
    </w:p>
    <w:p w14:paraId="36C11205" w14:textId="5697BE89" w:rsidR="00FF3655" w:rsidRDefault="00FF3655" w:rsidP="0093341A">
      <w:pPr>
        <w:pStyle w:val="ListParagraph"/>
        <w:numPr>
          <w:ilvl w:val="0"/>
          <w:numId w:val="1"/>
        </w:numPr>
        <w:rPr>
          <w:rFonts w:ascii="Arial" w:hAnsi="Arial" w:cs="Arial"/>
        </w:rPr>
      </w:pPr>
      <w:r>
        <w:rPr>
          <w:rFonts w:ascii="Arial" w:hAnsi="Arial" w:cs="Arial"/>
        </w:rPr>
        <w:t xml:space="preserve">The Council is keen to commission new evidence to align with the new economic vision </w:t>
      </w:r>
      <w:r w:rsidR="001C5B19">
        <w:rPr>
          <w:rFonts w:ascii="Arial" w:hAnsi="Arial" w:cs="Arial"/>
        </w:rPr>
        <w:t xml:space="preserve">/ direction </w:t>
      </w:r>
      <w:r>
        <w:rPr>
          <w:rFonts w:ascii="Arial" w:hAnsi="Arial" w:cs="Arial"/>
        </w:rPr>
        <w:t xml:space="preserve">work that includes an updated employment needs and land </w:t>
      </w:r>
      <w:r w:rsidR="001C5B19">
        <w:rPr>
          <w:rFonts w:ascii="Arial" w:hAnsi="Arial" w:cs="Arial"/>
        </w:rPr>
        <w:t>supply</w:t>
      </w:r>
      <w:r>
        <w:rPr>
          <w:rFonts w:ascii="Arial" w:hAnsi="Arial" w:cs="Arial"/>
        </w:rPr>
        <w:t xml:space="preserve"> </w:t>
      </w:r>
      <w:r w:rsidR="001C5B19">
        <w:rPr>
          <w:rFonts w:ascii="Arial" w:hAnsi="Arial" w:cs="Arial"/>
        </w:rPr>
        <w:t>assessment</w:t>
      </w:r>
      <w:r>
        <w:rPr>
          <w:rFonts w:ascii="Arial" w:hAnsi="Arial" w:cs="Arial"/>
        </w:rPr>
        <w:t xml:space="preserve"> together with </w:t>
      </w:r>
      <w:r w:rsidR="006067A3">
        <w:rPr>
          <w:rFonts w:ascii="Arial" w:hAnsi="Arial" w:cs="Arial"/>
        </w:rPr>
        <w:t>an update to the retail and commercial leisure evidence base.</w:t>
      </w:r>
    </w:p>
    <w:p w14:paraId="270E5694" w14:textId="77777777" w:rsidR="001C5B19" w:rsidRPr="001C5B19" w:rsidRDefault="001C5B19" w:rsidP="001C5B19">
      <w:pPr>
        <w:pStyle w:val="ListParagraph"/>
        <w:rPr>
          <w:rFonts w:ascii="Arial" w:hAnsi="Arial" w:cs="Arial"/>
        </w:rPr>
      </w:pPr>
    </w:p>
    <w:p w14:paraId="18C0AE83" w14:textId="3902FC49" w:rsidR="001C5B19" w:rsidRPr="001C5B19" w:rsidRDefault="001C5B19" w:rsidP="0093341A">
      <w:pPr>
        <w:pStyle w:val="ListParagraph"/>
        <w:numPr>
          <w:ilvl w:val="0"/>
          <w:numId w:val="1"/>
        </w:numPr>
        <w:rPr>
          <w:rFonts w:ascii="Arial" w:hAnsi="Arial" w:cs="Arial"/>
        </w:rPr>
      </w:pPr>
      <w:r>
        <w:rPr>
          <w:rFonts w:ascii="Arial" w:hAnsi="Arial" w:cs="Arial"/>
        </w:rPr>
        <w:t xml:space="preserve">This is an important study and the Council is keen to appoint a suitably qualified and experienced set of consultants that can frame technical analysis work within a much </w:t>
      </w:r>
      <w:r w:rsidR="00537C29">
        <w:rPr>
          <w:rFonts w:ascii="Arial" w:hAnsi="Arial" w:cs="Arial"/>
        </w:rPr>
        <w:t>larger</w:t>
      </w:r>
      <w:r>
        <w:rPr>
          <w:rFonts w:ascii="Arial" w:hAnsi="Arial" w:cs="Arial"/>
        </w:rPr>
        <w:t xml:space="preserve"> context and take an integrated approach to growth. </w:t>
      </w:r>
      <w:r w:rsidR="00FA5801">
        <w:rPr>
          <w:rFonts w:ascii="Arial" w:hAnsi="Arial" w:cs="Arial"/>
        </w:rPr>
        <w:t xml:space="preserve">This is a multi-lot commission and the </w:t>
      </w:r>
      <w:r w:rsidR="00F932CF" w:rsidRPr="001C5B19">
        <w:rPr>
          <w:rFonts w:ascii="Arial" w:hAnsi="Arial" w:cs="Arial"/>
        </w:rPr>
        <w:t xml:space="preserve">detailed </w:t>
      </w:r>
      <w:r w:rsidR="00FA5801">
        <w:rPr>
          <w:rFonts w:ascii="Arial" w:hAnsi="Arial" w:cs="Arial"/>
        </w:rPr>
        <w:t xml:space="preserve">requirements are outlined in the individual lot sections of the specification.  </w:t>
      </w:r>
    </w:p>
    <w:p w14:paraId="71DDEFA2" w14:textId="713056D2" w:rsidR="008302C9" w:rsidRPr="00781426" w:rsidRDefault="00B26DE4" w:rsidP="002477AE">
      <w:pPr>
        <w:rPr>
          <w:rFonts w:ascii="Arial" w:hAnsi="Arial" w:cs="Arial"/>
          <w:b/>
        </w:rPr>
      </w:pPr>
      <w:r w:rsidRPr="00781426">
        <w:rPr>
          <w:rFonts w:ascii="Arial" w:hAnsi="Arial" w:cs="Arial"/>
          <w:b/>
        </w:rPr>
        <w:t xml:space="preserve">Spatial and </w:t>
      </w:r>
      <w:r w:rsidR="008302C9" w:rsidRPr="00781426">
        <w:rPr>
          <w:rFonts w:ascii="Arial" w:hAnsi="Arial" w:cs="Arial"/>
          <w:b/>
        </w:rPr>
        <w:t>Economic Portrait</w:t>
      </w:r>
    </w:p>
    <w:p w14:paraId="0470585B" w14:textId="7D1A370A" w:rsidR="0084444B" w:rsidRPr="000E2926" w:rsidRDefault="0084444B" w:rsidP="0084444B">
      <w:pPr>
        <w:pStyle w:val="ListParagraph"/>
        <w:numPr>
          <w:ilvl w:val="0"/>
          <w:numId w:val="1"/>
        </w:numPr>
        <w:rPr>
          <w:rFonts w:ascii="Arial" w:hAnsi="Arial" w:cs="Arial"/>
        </w:rPr>
      </w:pPr>
      <w:r w:rsidRPr="000E2926">
        <w:rPr>
          <w:rFonts w:ascii="Arial" w:hAnsi="Arial" w:cs="Arial"/>
        </w:rPr>
        <w:t>The New Swindon Local Plan will cover the whole of the Borough of Swindon.  The Borough is 230km</w:t>
      </w:r>
      <w:r w:rsidRPr="000E2926">
        <w:rPr>
          <w:rFonts w:ascii="Arial" w:hAnsi="Arial" w:cs="Arial"/>
          <w:vertAlign w:val="superscript"/>
        </w:rPr>
        <w:t>2</w:t>
      </w:r>
      <w:r w:rsidRPr="000E2926">
        <w:rPr>
          <w:rFonts w:ascii="Arial" w:hAnsi="Arial" w:cs="Arial"/>
        </w:rPr>
        <w:t xml:space="preserve"> in area </w:t>
      </w:r>
      <w:r w:rsidR="00152C28" w:rsidRPr="000E2926">
        <w:rPr>
          <w:rFonts w:ascii="Arial" w:hAnsi="Arial" w:cs="Arial"/>
        </w:rPr>
        <w:t>and</w:t>
      </w:r>
      <w:r w:rsidR="00D82D22" w:rsidRPr="000E2926">
        <w:rPr>
          <w:rFonts w:ascii="Arial" w:hAnsi="Arial" w:cs="Arial"/>
        </w:rPr>
        <w:t xml:space="preserve"> </w:t>
      </w:r>
      <w:r w:rsidR="00330A4C" w:rsidRPr="000E2926">
        <w:rPr>
          <w:rFonts w:ascii="Arial" w:hAnsi="Arial" w:cs="Arial"/>
        </w:rPr>
        <w:t xml:space="preserve">in 2021 </w:t>
      </w:r>
      <w:r w:rsidR="00D82D22" w:rsidRPr="000E2926">
        <w:rPr>
          <w:rFonts w:ascii="Arial" w:hAnsi="Arial" w:cs="Arial"/>
        </w:rPr>
        <w:t xml:space="preserve">had a </w:t>
      </w:r>
      <w:r w:rsidRPr="000E2926">
        <w:rPr>
          <w:rFonts w:ascii="Arial" w:hAnsi="Arial" w:cs="Arial"/>
        </w:rPr>
        <w:t>population of approximately 233,</w:t>
      </w:r>
      <w:r w:rsidR="00D82D22" w:rsidRPr="000E2926">
        <w:rPr>
          <w:rFonts w:ascii="Arial" w:hAnsi="Arial" w:cs="Arial"/>
        </w:rPr>
        <w:t>4</w:t>
      </w:r>
      <w:r w:rsidRPr="000E2926">
        <w:rPr>
          <w:rFonts w:ascii="Arial" w:hAnsi="Arial" w:cs="Arial"/>
        </w:rPr>
        <w:t>00 people</w:t>
      </w:r>
      <w:r w:rsidR="009F3BBD" w:rsidRPr="000E2926">
        <w:rPr>
          <w:rStyle w:val="FootnoteReference"/>
          <w:rFonts w:ascii="Arial" w:hAnsi="Arial" w:cs="Arial"/>
        </w:rPr>
        <w:footnoteReference w:id="2"/>
      </w:r>
      <w:r w:rsidR="00D82D22" w:rsidRPr="000E2926">
        <w:rPr>
          <w:rFonts w:ascii="Arial" w:hAnsi="Arial" w:cs="Arial"/>
        </w:rPr>
        <w:t>.</w:t>
      </w:r>
      <w:r w:rsidR="00F61AE9" w:rsidRPr="000E2926">
        <w:rPr>
          <w:rFonts w:ascii="Arial" w:hAnsi="Arial" w:cs="Arial"/>
        </w:rPr>
        <w:t xml:space="preserve">  </w:t>
      </w:r>
      <w:r w:rsidRPr="000E2926">
        <w:rPr>
          <w:rFonts w:ascii="Arial" w:hAnsi="Arial" w:cs="Arial"/>
        </w:rPr>
        <w:t xml:space="preserve">It consists of the large urban area of Swindon itself, the market town of Highworth to the </w:t>
      </w:r>
      <w:r w:rsidR="00D4278B" w:rsidRPr="000E2926">
        <w:rPr>
          <w:rFonts w:ascii="Arial" w:hAnsi="Arial" w:cs="Arial"/>
        </w:rPr>
        <w:t>northeast</w:t>
      </w:r>
      <w:r w:rsidRPr="000E2926">
        <w:rPr>
          <w:rFonts w:ascii="Arial" w:hAnsi="Arial" w:cs="Arial"/>
        </w:rPr>
        <w:t>, the large village of Wroughton to the south, and a number of smaller villages and hamlets.</w:t>
      </w:r>
    </w:p>
    <w:p w14:paraId="72B1E348" w14:textId="77777777" w:rsidR="0084444B" w:rsidRPr="000E2926" w:rsidRDefault="0084444B" w:rsidP="0084444B">
      <w:pPr>
        <w:pStyle w:val="ListParagraph"/>
        <w:rPr>
          <w:rFonts w:ascii="Arial" w:hAnsi="Arial" w:cs="Arial"/>
        </w:rPr>
      </w:pPr>
    </w:p>
    <w:p w14:paraId="201BE788" w14:textId="60CBE350" w:rsidR="0084444B" w:rsidRPr="000E2926" w:rsidRDefault="0084444B" w:rsidP="0084444B">
      <w:pPr>
        <w:pStyle w:val="ListParagraph"/>
        <w:numPr>
          <w:ilvl w:val="0"/>
          <w:numId w:val="1"/>
        </w:numPr>
        <w:rPr>
          <w:rFonts w:ascii="Arial" w:hAnsi="Arial" w:cs="Arial"/>
        </w:rPr>
      </w:pPr>
      <w:r w:rsidRPr="000E2926">
        <w:rPr>
          <w:rFonts w:ascii="Arial" w:hAnsi="Arial" w:cs="Arial"/>
        </w:rPr>
        <w:t>At the heart of Swindon’s urban area is Swindon town centre, Swindon train station and Swindon’s Railway Conservation Area</w:t>
      </w:r>
      <w:r w:rsidR="009F3BBD" w:rsidRPr="000E2926">
        <w:rPr>
          <w:rStyle w:val="FootnoteReference"/>
          <w:rFonts w:ascii="Arial" w:hAnsi="Arial" w:cs="Arial"/>
        </w:rPr>
        <w:footnoteReference w:id="3"/>
      </w:r>
      <w:r w:rsidRPr="000E2926">
        <w:rPr>
          <w:rFonts w:ascii="Arial" w:hAnsi="Arial" w:cs="Arial"/>
        </w:rPr>
        <w:t xml:space="preserve">; the historic Great Western Railway (GWR) environment around Swindon train station is of international importance and provides a rich source of local social and historic study interest.  </w:t>
      </w:r>
      <w:r w:rsidR="004168E4" w:rsidRPr="000E2926">
        <w:rPr>
          <w:rFonts w:ascii="Arial" w:hAnsi="Arial" w:cs="Arial"/>
        </w:rPr>
        <w:t xml:space="preserve">The </w:t>
      </w:r>
      <w:r w:rsidRPr="000E2926">
        <w:rPr>
          <w:rFonts w:ascii="Arial" w:hAnsi="Arial" w:cs="Arial"/>
        </w:rPr>
        <w:t>remainder of the Borough is predominantly characterised by high quality landscape, including parts of the North Wessex Downs Area of Outstanding Natural Beauty (AONB) and the Thames Vale.  A rich variety of historic and natural features within the Borough’s towns, villages and countryside all positively contribute towards local distinctiveness, character, appearance and a sense of identity.</w:t>
      </w:r>
    </w:p>
    <w:p w14:paraId="698E09C5" w14:textId="77777777" w:rsidR="0084444B" w:rsidRPr="0084444B" w:rsidRDefault="0084444B" w:rsidP="0084444B">
      <w:pPr>
        <w:pStyle w:val="ListParagraph"/>
        <w:rPr>
          <w:rFonts w:ascii="Arial" w:hAnsi="Arial" w:cs="Arial"/>
        </w:rPr>
      </w:pPr>
    </w:p>
    <w:p w14:paraId="6F37330F" w14:textId="72A3C12F" w:rsidR="0084444B" w:rsidRDefault="0084444B" w:rsidP="0084444B">
      <w:pPr>
        <w:pStyle w:val="ListParagraph"/>
        <w:numPr>
          <w:ilvl w:val="0"/>
          <w:numId w:val="1"/>
        </w:numPr>
        <w:ind w:left="709" w:hanging="425"/>
        <w:rPr>
          <w:rFonts w:ascii="Arial" w:hAnsi="Arial" w:cs="Arial"/>
        </w:rPr>
      </w:pPr>
      <w:r w:rsidRPr="0084444B">
        <w:rPr>
          <w:rFonts w:ascii="Arial" w:hAnsi="Arial" w:cs="Arial"/>
        </w:rPr>
        <w:t xml:space="preserve">Strategically, the Borough is centrally located on the Great Western Railway line between Cardiff and London and on the M4 corridor between Bristol and Reading and is an important location for business and residential development in the South West region.  The Borough’s population has grown significantly over the past 50 </w:t>
      </w:r>
      <w:r w:rsidRPr="0084444B">
        <w:rPr>
          <w:rFonts w:ascii="Arial" w:hAnsi="Arial" w:cs="Arial"/>
        </w:rPr>
        <w:lastRenderedPageBreak/>
        <w:t xml:space="preserve">years and the latest Census data </w:t>
      </w:r>
      <w:r w:rsidR="00A46B66">
        <w:rPr>
          <w:rFonts w:ascii="Arial" w:hAnsi="Arial" w:cs="Arial"/>
        </w:rPr>
        <w:t xml:space="preserve">from 2021 </w:t>
      </w:r>
      <w:r w:rsidRPr="0084444B">
        <w:rPr>
          <w:rFonts w:ascii="Arial" w:hAnsi="Arial" w:cs="Arial"/>
        </w:rPr>
        <w:t xml:space="preserve">shows an 11.6% rise in population within the </w:t>
      </w:r>
      <w:r w:rsidR="00FA5801">
        <w:rPr>
          <w:rFonts w:ascii="Arial" w:hAnsi="Arial" w:cs="Arial"/>
        </w:rPr>
        <w:t>B</w:t>
      </w:r>
      <w:r w:rsidRPr="0084444B">
        <w:rPr>
          <w:rFonts w:ascii="Arial" w:hAnsi="Arial" w:cs="Arial"/>
        </w:rPr>
        <w:t>orough from 2011 to 2021 alone</w:t>
      </w:r>
      <w:r w:rsidR="009F3BBD">
        <w:rPr>
          <w:rStyle w:val="FootnoteReference"/>
          <w:rFonts w:ascii="Arial" w:hAnsi="Arial" w:cs="Arial"/>
        </w:rPr>
        <w:footnoteReference w:id="4"/>
      </w:r>
      <w:r w:rsidRPr="0084444B">
        <w:rPr>
          <w:rFonts w:ascii="Arial" w:hAnsi="Arial" w:cs="Arial"/>
        </w:rPr>
        <w:t>.  The Borough is also identified by the Centre for Economics and Business Research as one of the ‘top ten towns and cities in the UK’ with the fastest-growing economies by the end of 2023.</w:t>
      </w:r>
    </w:p>
    <w:p w14:paraId="61F51215" w14:textId="77777777" w:rsidR="00993EBF" w:rsidRPr="004812EF" w:rsidRDefault="00993EBF" w:rsidP="004812EF">
      <w:pPr>
        <w:pStyle w:val="ListParagraph"/>
        <w:rPr>
          <w:rFonts w:ascii="Arial" w:hAnsi="Arial" w:cs="Arial"/>
        </w:rPr>
      </w:pPr>
    </w:p>
    <w:p w14:paraId="3BFE2BCA" w14:textId="3F167D46" w:rsidR="0084444B" w:rsidRDefault="0084444B" w:rsidP="0084444B">
      <w:pPr>
        <w:pStyle w:val="ListParagraph"/>
        <w:numPr>
          <w:ilvl w:val="0"/>
          <w:numId w:val="1"/>
        </w:numPr>
        <w:ind w:left="709" w:hanging="425"/>
        <w:rPr>
          <w:rFonts w:ascii="Arial" w:hAnsi="Arial" w:cs="Arial"/>
        </w:rPr>
      </w:pPr>
      <w:r w:rsidRPr="0084444B">
        <w:rPr>
          <w:rFonts w:ascii="Arial" w:hAnsi="Arial" w:cs="Arial"/>
        </w:rPr>
        <w:t xml:space="preserve">In spatial terms, whilst </w:t>
      </w:r>
      <w:r w:rsidR="000F564F">
        <w:rPr>
          <w:rFonts w:ascii="Arial" w:hAnsi="Arial" w:cs="Arial"/>
        </w:rPr>
        <w:t>a small percentage of</w:t>
      </w:r>
      <w:r w:rsidRPr="0084444B">
        <w:rPr>
          <w:rFonts w:ascii="Arial" w:hAnsi="Arial" w:cs="Arial"/>
        </w:rPr>
        <w:t xml:space="preserve"> growth is programmed towards rural settlements under the Local Plan 2026, the adopted spatial strategy predominantly continues a long-standing pattern of accommodating growth through large-scale expansion of Swindon’s urban area.</w:t>
      </w:r>
    </w:p>
    <w:p w14:paraId="20E2BAED" w14:textId="77777777" w:rsidR="0084444B" w:rsidRPr="0084444B" w:rsidRDefault="0084444B" w:rsidP="0084444B">
      <w:pPr>
        <w:pStyle w:val="ListParagraph"/>
        <w:rPr>
          <w:rFonts w:ascii="Arial" w:hAnsi="Arial" w:cs="Arial"/>
        </w:rPr>
      </w:pPr>
    </w:p>
    <w:p w14:paraId="55F75CC6" w14:textId="7165BB9B" w:rsidR="00152C28" w:rsidRDefault="0084444B" w:rsidP="00152C28">
      <w:pPr>
        <w:pStyle w:val="ListParagraph"/>
        <w:numPr>
          <w:ilvl w:val="0"/>
          <w:numId w:val="1"/>
        </w:numPr>
        <w:ind w:left="709" w:hanging="425"/>
        <w:rPr>
          <w:rFonts w:ascii="Arial" w:hAnsi="Arial" w:cs="Arial"/>
        </w:rPr>
      </w:pPr>
      <w:r w:rsidRPr="00F61AE9">
        <w:rPr>
          <w:rFonts w:ascii="Arial" w:hAnsi="Arial" w:cs="Arial"/>
        </w:rPr>
        <w:t xml:space="preserve">However, the regeneration of Swindon Town Centre is now a key </w:t>
      </w:r>
      <w:r w:rsidR="009134EB" w:rsidRPr="00F61AE9">
        <w:rPr>
          <w:rFonts w:ascii="Arial" w:hAnsi="Arial" w:cs="Arial"/>
        </w:rPr>
        <w:t xml:space="preserve">strategic </w:t>
      </w:r>
      <w:r w:rsidRPr="00F61AE9">
        <w:rPr>
          <w:rFonts w:ascii="Arial" w:hAnsi="Arial" w:cs="Arial"/>
        </w:rPr>
        <w:t>corporate priority and the Council has been active in leveraging the buildings and land it controls to support a £100m investment programme.  Key projects such as the redevelopment of Kimmerfields and North Star are progressing and a major new bus interchange at Fleming Way is now under construct</w:t>
      </w:r>
      <w:r w:rsidR="00815591">
        <w:rPr>
          <w:rFonts w:ascii="Arial" w:hAnsi="Arial" w:cs="Arial"/>
        </w:rPr>
        <w:t>ion.</w:t>
      </w:r>
      <w:r w:rsidR="00A13D9E">
        <w:rPr>
          <w:rFonts w:ascii="Arial" w:hAnsi="Arial" w:cs="Arial"/>
        </w:rPr>
        <w:t xml:space="preserve">  </w:t>
      </w:r>
      <w:r w:rsidR="00BB633F">
        <w:rPr>
          <w:rFonts w:ascii="Arial" w:hAnsi="Arial" w:cs="Arial"/>
        </w:rPr>
        <w:t xml:space="preserve">A </w:t>
      </w:r>
      <w:r w:rsidR="008571ED">
        <w:rPr>
          <w:rFonts w:ascii="Arial" w:hAnsi="Arial" w:cs="Arial"/>
        </w:rPr>
        <w:t xml:space="preserve">spatial strategy </w:t>
      </w:r>
      <w:r w:rsidR="00003590">
        <w:rPr>
          <w:rFonts w:ascii="Arial" w:hAnsi="Arial" w:cs="Arial"/>
        </w:rPr>
        <w:t>re</w:t>
      </w:r>
      <w:r w:rsidR="008571ED">
        <w:rPr>
          <w:rFonts w:ascii="Arial" w:hAnsi="Arial" w:cs="Arial"/>
        </w:rPr>
        <w:t>focus</w:t>
      </w:r>
      <w:r w:rsidR="00003590">
        <w:rPr>
          <w:rFonts w:ascii="Arial" w:hAnsi="Arial" w:cs="Arial"/>
        </w:rPr>
        <w:t>ed</w:t>
      </w:r>
      <w:r w:rsidR="00152C28">
        <w:rPr>
          <w:rFonts w:ascii="Arial" w:hAnsi="Arial" w:cs="Arial"/>
        </w:rPr>
        <w:t xml:space="preserve"> more on Swindon Town Centre is </w:t>
      </w:r>
      <w:r w:rsidR="00003590">
        <w:rPr>
          <w:rFonts w:ascii="Arial" w:hAnsi="Arial" w:cs="Arial"/>
        </w:rPr>
        <w:t xml:space="preserve">already therefore </w:t>
      </w:r>
      <w:r w:rsidR="00152C28">
        <w:rPr>
          <w:rFonts w:ascii="Arial" w:hAnsi="Arial" w:cs="Arial"/>
        </w:rPr>
        <w:t>emerging along with a</w:t>
      </w:r>
      <w:r w:rsidR="00003590">
        <w:rPr>
          <w:rFonts w:ascii="Arial" w:hAnsi="Arial" w:cs="Arial"/>
        </w:rPr>
        <w:t xml:space="preserve"> </w:t>
      </w:r>
      <w:r w:rsidR="00152C28">
        <w:rPr>
          <w:rFonts w:ascii="Arial" w:hAnsi="Arial" w:cs="Arial"/>
        </w:rPr>
        <w:t xml:space="preserve">spatial approach </w:t>
      </w:r>
      <w:r w:rsidR="00003590">
        <w:rPr>
          <w:rFonts w:ascii="Arial" w:hAnsi="Arial" w:cs="Arial"/>
        </w:rPr>
        <w:t xml:space="preserve">which seeks to promote new mixed-use and residential growth </w:t>
      </w:r>
      <w:r w:rsidR="008571ED">
        <w:rPr>
          <w:rFonts w:ascii="Arial" w:hAnsi="Arial" w:cs="Arial"/>
        </w:rPr>
        <w:t xml:space="preserve">in and around centres and </w:t>
      </w:r>
      <w:r w:rsidR="00003590">
        <w:rPr>
          <w:rFonts w:ascii="Arial" w:hAnsi="Arial" w:cs="Arial"/>
        </w:rPr>
        <w:t xml:space="preserve">other </w:t>
      </w:r>
      <w:r w:rsidR="008571ED">
        <w:rPr>
          <w:rFonts w:ascii="Arial" w:hAnsi="Arial" w:cs="Arial"/>
        </w:rPr>
        <w:t xml:space="preserve">accessible locations where growth would more directly support and </w:t>
      </w:r>
      <w:r w:rsidR="00152C28">
        <w:rPr>
          <w:rFonts w:ascii="Arial" w:hAnsi="Arial" w:cs="Arial"/>
        </w:rPr>
        <w:t>benefit from existing (and new) services, facilities and transport links.</w:t>
      </w:r>
    </w:p>
    <w:p w14:paraId="64DBEE76" w14:textId="77777777" w:rsidR="008571ED" w:rsidRPr="008571ED" w:rsidRDefault="008571ED" w:rsidP="008571ED">
      <w:pPr>
        <w:pStyle w:val="ListParagraph"/>
        <w:rPr>
          <w:rFonts w:ascii="Arial" w:hAnsi="Arial" w:cs="Arial"/>
        </w:rPr>
      </w:pPr>
    </w:p>
    <w:p w14:paraId="66AD5A28" w14:textId="025D2DC8" w:rsidR="00BB633F" w:rsidRPr="004812EF" w:rsidRDefault="00003590" w:rsidP="00F06500">
      <w:pPr>
        <w:pStyle w:val="ListParagraph"/>
        <w:numPr>
          <w:ilvl w:val="0"/>
          <w:numId w:val="1"/>
        </w:numPr>
        <w:ind w:left="709" w:hanging="425"/>
        <w:rPr>
          <w:rFonts w:ascii="Arial" w:hAnsi="Arial" w:cs="Arial"/>
        </w:rPr>
      </w:pPr>
      <w:r w:rsidRPr="004812EF">
        <w:rPr>
          <w:rFonts w:ascii="Arial" w:hAnsi="Arial" w:cs="Arial"/>
        </w:rPr>
        <w:t xml:space="preserve">The future role of centres within the </w:t>
      </w:r>
      <w:r w:rsidR="00F06500" w:rsidRPr="004812EF">
        <w:rPr>
          <w:rFonts w:ascii="Arial" w:hAnsi="Arial" w:cs="Arial"/>
        </w:rPr>
        <w:t>B</w:t>
      </w:r>
      <w:r w:rsidRPr="004812EF">
        <w:rPr>
          <w:rFonts w:ascii="Arial" w:hAnsi="Arial" w:cs="Arial"/>
        </w:rPr>
        <w:t>orough</w:t>
      </w:r>
      <w:r w:rsidR="00F06500" w:rsidRPr="004812EF">
        <w:rPr>
          <w:rFonts w:ascii="Arial" w:hAnsi="Arial" w:cs="Arial"/>
        </w:rPr>
        <w:t>’s</w:t>
      </w:r>
      <w:r w:rsidRPr="004812EF">
        <w:rPr>
          <w:rFonts w:ascii="Arial" w:hAnsi="Arial" w:cs="Arial"/>
        </w:rPr>
        <w:t xml:space="preserve"> </w:t>
      </w:r>
      <w:r w:rsidR="00F06500" w:rsidRPr="004812EF">
        <w:rPr>
          <w:rFonts w:ascii="Arial" w:hAnsi="Arial" w:cs="Arial"/>
        </w:rPr>
        <w:t>town centre network will be a fundamental consideration of this commission</w:t>
      </w:r>
      <w:r w:rsidRPr="004812EF">
        <w:rPr>
          <w:rFonts w:ascii="Arial" w:hAnsi="Arial" w:cs="Arial"/>
        </w:rPr>
        <w:t xml:space="preserve"> </w:t>
      </w:r>
      <w:r w:rsidR="00F06500" w:rsidRPr="004812EF">
        <w:rPr>
          <w:rFonts w:ascii="Arial" w:hAnsi="Arial" w:cs="Arial"/>
        </w:rPr>
        <w:t>and questions around their function as key services centres, leisure destinations, key employment hubs</w:t>
      </w:r>
      <w:r w:rsidR="00B63DCE" w:rsidRPr="004812EF">
        <w:rPr>
          <w:rFonts w:ascii="Arial" w:hAnsi="Arial" w:cs="Arial"/>
        </w:rPr>
        <w:t>,</w:t>
      </w:r>
      <w:r w:rsidR="00F06500" w:rsidRPr="004812EF">
        <w:rPr>
          <w:rFonts w:ascii="Arial" w:hAnsi="Arial" w:cs="Arial"/>
        </w:rPr>
        <w:t xml:space="preserve"> as well as new residential neighbourhoods</w:t>
      </w:r>
      <w:r w:rsidR="00B63DCE" w:rsidRPr="004812EF">
        <w:rPr>
          <w:rFonts w:ascii="Arial" w:hAnsi="Arial" w:cs="Arial"/>
        </w:rPr>
        <w:t>,</w:t>
      </w:r>
      <w:r w:rsidR="00F06500" w:rsidRPr="004812EF">
        <w:rPr>
          <w:rFonts w:ascii="Arial" w:hAnsi="Arial" w:cs="Arial"/>
        </w:rPr>
        <w:t xml:space="preserve"> will all need to be explored.</w:t>
      </w:r>
    </w:p>
    <w:p w14:paraId="61AAEC82" w14:textId="77777777" w:rsidR="00F06500" w:rsidRPr="004812EF" w:rsidRDefault="00F06500" w:rsidP="00F06500">
      <w:pPr>
        <w:pStyle w:val="ListParagraph"/>
        <w:rPr>
          <w:rFonts w:ascii="Arial" w:hAnsi="Arial" w:cs="Arial"/>
        </w:rPr>
      </w:pPr>
    </w:p>
    <w:p w14:paraId="594C9747" w14:textId="0F370D02" w:rsidR="00D43BEE" w:rsidRDefault="002C41C2" w:rsidP="00593EA2">
      <w:pPr>
        <w:pStyle w:val="ListParagraph"/>
        <w:numPr>
          <w:ilvl w:val="0"/>
          <w:numId w:val="1"/>
        </w:numPr>
        <w:ind w:left="709" w:hanging="425"/>
        <w:rPr>
          <w:rFonts w:ascii="Arial" w:hAnsi="Arial" w:cs="Arial"/>
        </w:rPr>
      </w:pPr>
      <w:r w:rsidRPr="004812EF">
        <w:rPr>
          <w:rFonts w:ascii="Arial" w:hAnsi="Arial" w:cs="Arial"/>
        </w:rPr>
        <w:t>L</w:t>
      </w:r>
      <w:r w:rsidR="008A2F5E" w:rsidRPr="004812EF">
        <w:rPr>
          <w:rFonts w:ascii="Arial" w:hAnsi="Arial" w:cs="Arial"/>
        </w:rPr>
        <w:t>and designated for employment use</w:t>
      </w:r>
      <w:r w:rsidRPr="004812EF">
        <w:rPr>
          <w:rFonts w:ascii="Arial" w:hAnsi="Arial" w:cs="Arial"/>
        </w:rPr>
        <w:t xml:space="preserve"> is </w:t>
      </w:r>
      <w:r w:rsidR="004C60A7">
        <w:rPr>
          <w:rFonts w:ascii="Arial" w:hAnsi="Arial" w:cs="Arial"/>
        </w:rPr>
        <w:t xml:space="preserve">also </w:t>
      </w:r>
      <w:r w:rsidRPr="004812EF">
        <w:rPr>
          <w:rFonts w:ascii="Arial" w:hAnsi="Arial" w:cs="Arial"/>
        </w:rPr>
        <w:t xml:space="preserve">predominantly located within Swindon urban area with smaller clusters of employment land </w:t>
      </w:r>
      <w:r w:rsidR="004C60A7">
        <w:rPr>
          <w:rFonts w:ascii="Arial" w:hAnsi="Arial" w:cs="Arial"/>
        </w:rPr>
        <w:t>located at</w:t>
      </w:r>
      <w:r w:rsidRPr="004812EF">
        <w:rPr>
          <w:rFonts w:ascii="Arial" w:hAnsi="Arial" w:cs="Arial"/>
        </w:rPr>
        <w:t xml:space="preserve"> the rural settlements of Highworth and Wroughton.  Within Swindon urban area, industrial and warehouse uses have historically taken route along the railway line corridor and in reference to the strategic road network, particularly the A419 and A420.  </w:t>
      </w:r>
      <w:r w:rsidR="00593EA2" w:rsidRPr="004812EF">
        <w:rPr>
          <w:rFonts w:ascii="Arial" w:hAnsi="Arial" w:cs="Arial"/>
        </w:rPr>
        <w:t>A corridor of office space is also present, running from Swindon station and town centre down towards the M4 where a series of out-of-centre office complexes are located.</w:t>
      </w:r>
    </w:p>
    <w:p w14:paraId="24BCE74B" w14:textId="77777777" w:rsidR="00FA5801" w:rsidRPr="00FA5801" w:rsidRDefault="00FA5801" w:rsidP="00FA5801">
      <w:pPr>
        <w:pStyle w:val="ListParagraph"/>
        <w:rPr>
          <w:rFonts w:ascii="Arial" w:hAnsi="Arial" w:cs="Arial"/>
        </w:rPr>
      </w:pPr>
    </w:p>
    <w:p w14:paraId="3EAA48B2" w14:textId="0BFDABD7" w:rsidR="00593EA2" w:rsidRPr="00FA5801" w:rsidRDefault="00FA5801" w:rsidP="00FA5801">
      <w:pPr>
        <w:pStyle w:val="ListParagraph"/>
        <w:numPr>
          <w:ilvl w:val="0"/>
          <w:numId w:val="1"/>
        </w:numPr>
        <w:ind w:left="709" w:hanging="425"/>
        <w:rPr>
          <w:rFonts w:ascii="Arial" w:hAnsi="Arial" w:cs="Arial"/>
        </w:rPr>
      </w:pPr>
      <w:r>
        <w:rPr>
          <w:rFonts w:ascii="Arial" w:hAnsi="Arial" w:cs="Arial"/>
        </w:rPr>
        <w:t xml:space="preserve">The study will need to review the future role and inter-connections between employment, retail and leisure uses as part of town centre regeneration in particular.  Swindon is also </w:t>
      </w:r>
      <w:r w:rsidR="00003345">
        <w:rPr>
          <w:rFonts w:ascii="Arial" w:hAnsi="Arial" w:cs="Arial"/>
        </w:rPr>
        <w:t xml:space="preserve">a popular destination for logistics / distribution uses and is home to a major Amazon warehouse depot at Symmetry Park employing in excess of 2,000 people.  There will be a need through the study to develop a detailed understanding of the key changes in retailing and how this has driven a need for specific types of supporting employment land space requirements and further trends or directions in the sector. </w:t>
      </w:r>
    </w:p>
    <w:p w14:paraId="6F5DAE6A" w14:textId="2896DF3C" w:rsidR="00F06500" w:rsidRPr="00593EA2" w:rsidRDefault="00F06500" w:rsidP="00593EA2">
      <w:pPr>
        <w:rPr>
          <w:rFonts w:ascii="Arial" w:hAnsi="Arial" w:cs="Arial"/>
        </w:rPr>
      </w:pPr>
    </w:p>
    <w:p w14:paraId="046EFB9B" w14:textId="77777777" w:rsidR="0084444B" w:rsidRPr="0084444B" w:rsidRDefault="0084444B" w:rsidP="0084444B">
      <w:pPr>
        <w:pStyle w:val="ListParagraph"/>
        <w:rPr>
          <w:rFonts w:ascii="Arial" w:hAnsi="Arial" w:cs="Arial"/>
        </w:rPr>
      </w:pPr>
    </w:p>
    <w:p w14:paraId="555DA02E" w14:textId="77777777" w:rsidR="00C10798" w:rsidRPr="00C10798" w:rsidRDefault="00C10798" w:rsidP="00C10798">
      <w:pPr>
        <w:pStyle w:val="ListParagraph"/>
        <w:rPr>
          <w:rFonts w:ascii="Arial" w:hAnsi="Arial" w:cs="Arial"/>
        </w:rPr>
      </w:pPr>
    </w:p>
    <w:p w14:paraId="356B6C1F" w14:textId="3EB3E1AE" w:rsidR="001C5B19" w:rsidRDefault="001C5B19" w:rsidP="0084444B">
      <w:pPr>
        <w:ind w:left="709" w:hanging="425"/>
        <w:rPr>
          <w:rFonts w:ascii="Arial" w:hAnsi="Arial" w:cs="Arial"/>
          <w:highlight w:val="yellow"/>
        </w:rPr>
      </w:pPr>
    </w:p>
    <w:p w14:paraId="07FF96FF" w14:textId="326F77B0" w:rsidR="00781426" w:rsidRDefault="00781426" w:rsidP="00781426">
      <w:pPr>
        <w:ind w:left="709" w:hanging="425"/>
        <w:rPr>
          <w:rFonts w:ascii="Arial" w:hAnsi="Arial" w:cs="Arial"/>
        </w:rPr>
      </w:pPr>
    </w:p>
    <w:p w14:paraId="2B1AFDBF" w14:textId="3F4BF22B" w:rsidR="00524CCC" w:rsidRPr="00524CCC" w:rsidRDefault="00524CCC" w:rsidP="00781426">
      <w:pPr>
        <w:ind w:left="709" w:hanging="425"/>
        <w:rPr>
          <w:rFonts w:ascii="Arial" w:hAnsi="Arial" w:cs="Arial"/>
          <w:b/>
        </w:rPr>
      </w:pPr>
      <w:r w:rsidRPr="00524CCC">
        <w:rPr>
          <w:rFonts w:ascii="Arial" w:hAnsi="Arial" w:cs="Arial"/>
          <w:b/>
        </w:rPr>
        <w:lastRenderedPageBreak/>
        <w:t>The Development Plan</w:t>
      </w:r>
    </w:p>
    <w:p w14:paraId="6B6E726F" w14:textId="42F0EA3A" w:rsidR="00524CCC" w:rsidRDefault="00524CCC" w:rsidP="00C209F5">
      <w:pPr>
        <w:pStyle w:val="ListParagraph"/>
        <w:numPr>
          <w:ilvl w:val="0"/>
          <w:numId w:val="1"/>
        </w:numPr>
        <w:rPr>
          <w:rFonts w:ascii="Arial" w:hAnsi="Arial" w:cs="Arial"/>
        </w:rPr>
      </w:pPr>
      <w:r>
        <w:rPr>
          <w:rFonts w:ascii="Arial" w:hAnsi="Arial" w:cs="Arial"/>
        </w:rPr>
        <w:t>For Swindon Borough, the Development Plan consists of the following documents:</w:t>
      </w:r>
    </w:p>
    <w:p w14:paraId="2DC4B254" w14:textId="11404103" w:rsidR="00524CCC" w:rsidRDefault="00524CCC" w:rsidP="00524CCC">
      <w:pPr>
        <w:pStyle w:val="ListParagraph"/>
        <w:numPr>
          <w:ilvl w:val="1"/>
          <w:numId w:val="6"/>
        </w:numPr>
        <w:rPr>
          <w:rFonts w:ascii="Arial" w:hAnsi="Arial" w:cs="Arial"/>
        </w:rPr>
      </w:pPr>
      <w:r>
        <w:rPr>
          <w:rFonts w:ascii="Arial" w:hAnsi="Arial" w:cs="Arial"/>
        </w:rPr>
        <w:t>Swindon Borough Local Plan 2026 (adopted Mar-2015);</w:t>
      </w:r>
    </w:p>
    <w:p w14:paraId="54156871" w14:textId="77777777" w:rsidR="00781426" w:rsidRDefault="00781426" w:rsidP="0093341A">
      <w:pPr>
        <w:pStyle w:val="ListParagraph"/>
        <w:numPr>
          <w:ilvl w:val="1"/>
          <w:numId w:val="5"/>
        </w:numPr>
        <w:rPr>
          <w:rFonts w:ascii="Arial" w:hAnsi="Arial" w:cs="Arial"/>
        </w:rPr>
      </w:pPr>
      <w:r w:rsidRPr="006D6B75">
        <w:rPr>
          <w:rFonts w:ascii="Arial" w:hAnsi="Arial" w:cs="Arial"/>
        </w:rPr>
        <w:t>Swindon Central Area Action Plan (February 2009)</w:t>
      </w:r>
    </w:p>
    <w:p w14:paraId="5454A857" w14:textId="77777777" w:rsidR="00781426" w:rsidRDefault="00781426" w:rsidP="0093341A">
      <w:pPr>
        <w:pStyle w:val="ListParagraph"/>
        <w:numPr>
          <w:ilvl w:val="1"/>
          <w:numId w:val="5"/>
        </w:numPr>
        <w:rPr>
          <w:rFonts w:ascii="Arial" w:hAnsi="Arial" w:cs="Arial"/>
        </w:rPr>
      </w:pPr>
      <w:r w:rsidRPr="006D6B75">
        <w:rPr>
          <w:rFonts w:ascii="Arial" w:hAnsi="Arial" w:cs="Arial"/>
        </w:rPr>
        <w:t>Wiltshire and Swindon Minerals Core Strategy (2009)</w:t>
      </w:r>
    </w:p>
    <w:p w14:paraId="4ECB0405" w14:textId="77777777" w:rsidR="00781426" w:rsidRDefault="00781426" w:rsidP="0093341A">
      <w:pPr>
        <w:pStyle w:val="ListParagraph"/>
        <w:numPr>
          <w:ilvl w:val="1"/>
          <w:numId w:val="5"/>
        </w:numPr>
        <w:rPr>
          <w:rFonts w:ascii="Arial" w:hAnsi="Arial" w:cs="Arial"/>
        </w:rPr>
      </w:pPr>
      <w:r w:rsidRPr="006D6B75">
        <w:rPr>
          <w:rFonts w:ascii="Arial" w:hAnsi="Arial" w:cs="Arial"/>
        </w:rPr>
        <w:t>Wiltshire and Swindon Minerals Development Control Policies Development Plan Document (DPD) (2009)</w:t>
      </w:r>
    </w:p>
    <w:p w14:paraId="5D661BAA" w14:textId="77777777" w:rsidR="00781426" w:rsidRDefault="00781426" w:rsidP="0093341A">
      <w:pPr>
        <w:pStyle w:val="ListParagraph"/>
        <w:numPr>
          <w:ilvl w:val="1"/>
          <w:numId w:val="5"/>
        </w:numPr>
        <w:rPr>
          <w:rFonts w:ascii="Arial" w:hAnsi="Arial" w:cs="Arial"/>
        </w:rPr>
      </w:pPr>
      <w:r w:rsidRPr="006D6B75">
        <w:rPr>
          <w:rFonts w:ascii="Arial" w:hAnsi="Arial" w:cs="Arial"/>
        </w:rPr>
        <w:t>Wiltshire and Swindon Minerals Site Allocations DPD (2012)</w:t>
      </w:r>
    </w:p>
    <w:p w14:paraId="31403F85" w14:textId="77777777" w:rsidR="00781426" w:rsidRDefault="00781426" w:rsidP="0093341A">
      <w:pPr>
        <w:pStyle w:val="ListParagraph"/>
        <w:numPr>
          <w:ilvl w:val="1"/>
          <w:numId w:val="5"/>
        </w:numPr>
        <w:rPr>
          <w:rFonts w:ascii="Arial" w:hAnsi="Arial" w:cs="Arial"/>
        </w:rPr>
      </w:pPr>
      <w:r w:rsidRPr="006D6B75">
        <w:rPr>
          <w:rFonts w:ascii="Arial" w:hAnsi="Arial" w:cs="Arial"/>
        </w:rPr>
        <w:t>Wiltshire and Swindon Waste Core Strategy (2009)</w:t>
      </w:r>
    </w:p>
    <w:p w14:paraId="08D1A756" w14:textId="77777777" w:rsidR="00781426" w:rsidRDefault="00781426" w:rsidP="0093341A">
      <w:pPr>
        <w:pStyle w:val="ListParagraph"/>
        <w:numPr>
          <w:ilvl w:val="1"/>
          <w:numId w:val="5"/>
        </w:numPr>
        <w:rPr>
          <w:rFonts w:ascii="Arial" w:hAnsi="Arial" w:cs="Arial"/>
        </w:rPr>
      </w:pPr>
      <w:r w:rsidRPr="006D6B75">
        <w:rPr>
          <w:rFonts w:ascii="Arial" w:hAnsi="Arial" w:cs="Arial"/>
        </w:rPr>
        <w:t>Wiltshire and Swindon Development Control Policies DPD (2009)</w:t>
      </w:r>
    </w:p>
    <w:p w14:paraId="6E0D55CC" w14:textId="77777777" w:rsidR="00781426" w:rsidRDefault="00781426" w:rsidP="0093341A">
      <w:pPr>
        <w:pStyle w:val="ListParagraph"/>
        <w:numPr>
          <w:ilvl w:val="1"/>
          <w:numId w:val="5"/>
        </w:numPr>
        <w:rPr>
          <w:rFonts w:ascii="Arial" w:hAnsi="Arial" w:cs="Arial"/>
        </w:rPr>
      </w:pPr>
      <w:r w:rsidRPr="006D6B75">
        <w:rPr>
          <w:rFonts w:ascii="Arial" w:hAnsi="Arial" w:cs="Arial"/>
        </w:rPr>
        <w:t xml:space="preserve">Wiltshire and Swindon Waste Site Allocations DPD (2012) </w:t>
      </w:r>
    </w:p>
    <w:p w14:paraId="10A15EDC" w14:textId="77777777" w:rsidR="00781426" w:rsidRDefault="00781426" w:rsidP="0093341A">
      <w:pPr>
        <w:pStyle w:val="ListParagraph"/>
        <w:numPr>
          <w:ilvl w:val="1"/>
          <w:numId w:val="5"/>
        </w:numPr>
        <w:rPr>
          <w:rFonts w:ascii="Arial" w:hAnsi="Arial" w:cs="Arial"/>
        </w:rPr>
      </w:pPr>
      <w:r w:rsidRPr="006D6B75">
        <w:rPr>
          <w:rFonts w:ascii="Arial" w:hAnsi="Arial" w:cs="Arial"/>
        </w:rPr>
        <w:t xml:space="preserve">Made Neighbourhood Plans: Wroughton (2016); Highworth (2017); South </w:t>
      </w:r>
      <w:r>
        <w:rPr>
          <w:rFonts w:ascii="Arial" w:hAnsi="Arial" w:cs="Arial"/>
        </w:rPr>
        <w:t>M</w:t>
      </w:r>
      <w:r w:rsidRPr="006D6B75">
        <w:rPr>
          <w:rFonts w:ascii="Arial" w:hAnsi="Arial" w:cs="Arial"/>
        </w:rPr>
        <w:t>arston Village (2017); Hannington (2018); Stratton St Margaret (2021</w:t>
      </w:r>
      <w:r>
        <w:rPr>
          <w:rFonts w:ascii="Arial" w:hAnsi="Arial" w:cs="Arial"/>
        </w:rPr>
        <w:t>)</w:t>
      </w:r>
      <w:r w:rsidRPr="006D6B75">
        <w:rPr>
          <w:rFonts w:ascii="Arial" w:hAnsi="Arial" w:cs="Arial"/>
        </w:rPr>
        <w:t xml:space="preserve">; Blunsdon East (2021) </w:t>
      </w:r>
    </w:p>
    <w:p w14:paraId="19C0D931" w14:textId="77777777" w:rsidR="00781426" w:rsidRDefault="00781426" w:rsidP="00781426">
      <w:pPr>
        <w:pStyle w:val="ListParagraph"/>
        <w:ind w:left="1440"/>
        <w:rPr>
          <w:rFonts w:ascii="Arial" w:hAnsi="Arial" w:cs="Arial"/>
        </w:rPr>
      </w:pPr>
    </w:p>
    <w:p w14:paraId="1658FA48" w14:textId="2F1FDD77" w:rsidR="00781426" w:rsidRDefault="00781426" w:rsidP="009134EB">
      <w:pPr>
        <w:pStyle w:val="ListParagraph"/>
        <w:numPr>
          <w:ilvl w:val="0"/>
          <w:numId w:val="1"/>
        </w:numPr>
        <w:rPr>
          <w:rFonts w:ascii="Arial" w:hAnsi="Arial" w:cs="Arial"/>
        </w:rPr>
      </w:pPr>
      <w:r w:rsidRPr="00767A8C">
        <w:rPr>
          <w:rFonts w:ascii="Arial" w:hAnsi="Arial" w:cs="Arial"/>
        </w:rPr>
        <w:t xml:space="preserve">In addition to this, a policy in the Wiltshire and Swindon Minerals Local Plan (adopted in 2001) continues to be saved and has yet to be superseded by more recent documents. </w:t>
      </w:r>
    </w:p>
    <w:p w14:paraId="747FD9CC" w14:textId="2574DFE0" w:rsidR="00524CCC" w:rsidRPr="00524CCC" w:rsidRDefault="00524CCC" w:rsidP="00524CCC">
      <w:pPr>
        <w:ind w:left="284"/>
        <w:rPr>
          <w:rFonts w:ascii="Arial" w:hAnsi="Arial" w:cs="Arial"/>
        </w:rPr>
      </w:pPr>
      <w:r w:rsidRPr="00524CCC">
        <w:rPr>
          <w:rFonts w:ascii="Arial" w:hAnsi="Arial" w:cs="Arial"/>
          <w:b/>
        </w:rPr>
        <w:t>Swindon Borough Local Plan 2026</w:t>
      </w:r>
    </w:p>
    <w:p w14:paraId="0E478456" w14:textId="0F7A0BAA" w:rsidR="009134EB" w:rsidRDefault="00524CCC" w:rsidP="009134EB">
      <w:pPr>
        <w:pStyle w:val="ListParagraph"/>
        <w:numPr>
          <w:ilvl w:val="0"/>
          <w:numId w:val="1"/>
        </w:numPr>
        <w:rPr>
          <w:rFonts w:ascii="Arial" w:hAnsi="Arial" w:cs="Arial"/>
        </w:rPr>
      </w:pPr>
      <w:r w:rsidRPr="00524CCC">
        <w:rPr>
          <w:rFonts w:ascii="Arial" w:hAnsi="Arial" w:cs="Arial"/>
        </w:rPr>
        <w:t xml:space="preserve">In March 2015, the Council adopted the Swindon Borough Local Plan 2026 which set requirements for delivering 22,000 new homes and </w:t>
      </w:r>
      <w:r w:rsidR="00DC667F">
        <w:rPr>
          <w:rFonts w:ascii="Arial" w:hAnsi="Arial" w:cs="Arial"/>
        </w:rPr>
        <w:t xml:space="preserve">a total of </w:t>
      </w:r>
      <w:r w:rsidRPr="00524CCC">
        <w:rPr>
          <w:rFonts w:ascii="Arial" w:hAnsi="Arial" w:cs="Arial"/>
        </w:rPr>
        <w:t>119.5 ha of employment land</w:t>
      </w:r>
      <w:r w:rsidR="00DC667F">
        <w:rPr>
          <w:rFonts w:ascii="Arial" w:hAnsi="Arial" w:cs="Arial"/>
        </w:rPr>
        <w:t xml:space="preserve"> </w:t>
      </w:r>
      <w:r w:rsidRPr="00524CCC">
        <w:rPr>
          <w:rFonts w:ascii="Arial" w:hAnsi="Arial" w:cs="Arial"/>
        </w:rPr>
        <w:t>during the Plan period of 2011 to 2026.</w:t>
      </w:r>
    </w:p>
    <w:p w14:paraId="2A82D3C5" w14:textId="77777777" w:rsidR="009134EB" w:rsidRDefault="009134EB" w:rsidP="009134EB">
      <w:pPr>
        <w:pStyle w:val="ListParagraph"/>
        <w:rPr>
          <w:rFonts w:ascii="Arial" w:hAnsi="Arial" w:cs="Arial"/>
        </w:rPr>
      </w:pPr>
    </w:p>
    <w:p w14:paraId="5C16CB58" w14:textId="7347D151" w:rsidR="00781426" w:rsidRDefault="00DC667F" w:rsidP="00003345">
      <w:pPr>
        <w:pStyle w:val="ListParagraph"/>
        <w:numPr>
          <w:ilvl w:val="0"/>
          <w:numId w:val="1"/>
        </w:numPr>
        <w:rPr>
          <w:rFonts w:ascii="Arial" w:hAnsi="Arial" w:cs="Arial"/>
        </w:rPr>
      </w:pPr>
      <w:r>
        <w:rPr>
          <w:rFonts w:ascii="Arial" w:hAnsi="Arial" w:cs="Arial"/>
        </w:rPr>
        <w:t>Whilst 42ha of the 119.5ha required was to come from extant permissions, the Plan allocated an additional 77.5 ha of employment land.</w:t>
      </w:r>
      <w:r w:rsidR="00003345">
        <w:rPr>
          <w:rFonts w:ascii="Arial" w:hAnsi="Arial" w:cs="Arial"/>
        </w:rPr>
        <w:t xml:space="preserve">  </w:t>
      </w:r>
      <w:r w:rsidRPr="00003345">
        <w:rPr>
          <w:rFonts w:ascii="Arial" w:hAnsi="Arial" w:cs="Arial"/>
        </w:rPr>
        <w:t xml:space="preserve">There is a strong focus upon strategic sites </w:t>
      </w:r>
      <w:r w:rsidR="00EC7B75" w:rsidRPr="00003345">
        <w:rPr>
          <w:rFonts w:ascii="Arial" w:hAnsi="Arial" w:cs="Arial"/>
        </w:rPr>
        <w:t xml:space="preserve">within the adopted Local Plan 2026 </w:t>
      </w:r>
      <w:r w:rsidRPr="00003345">
        <w:rPr>
          <w:rFonts w:ascii="Arial" w:hAnsi="Arial" w:cs="Arial"/>
        </w:rPr>
        <w:t>for the delivery of both new housing and new employment land.  In total, 72.5ha</w:t>
      </w:r>
      <w:r w:rsidR="00EC7B75" w:rsidRPr="00003345">
        <w:rPr>
          <w:rFonts w:ascii="Arial" w:hAnsi="Arial" w:cs="Arial"/>
        </w:rPr>
        <w:t xml:space="preserve"> out of the 77.5ha of </w:t>
      </w:r>
      <w:r w:rsidRPr="00003345">
        <w:rPr>
          <w:rFonts w:ascii="Arial" w:hAnsi="Arial" w:cs="Arial"/>
        </w:rPr>
        <w:t xml:space="preserve">newly allocated employment land was expected to </w:t>
      </w:r>
      <w:r w:rsidR="00EC7B75" w:rsidRPr="00003345">
        <w:rPr>
          <w:rFonts w:ascii="Arial" w:hAnsi="Arial" w:cs="Arial"/>
        </w:rPr>
        <w:t xml:space="preserve">be delivered as part of strategic site allocations.  </w:t>
      </w:r>
      <w:r w:rsidR="00003345">
        <w:rPr>
          <w:rFonts w:ascii="Arial" w:hAnsi="Arial" w:cs="Arial"/>
        </w:rPr>
        <w:t>T</w:t>
      </w:r>
      <w:r w:rsidR="00EC7B75" w:rsidRPr="00003345">
        <w:rPr>
          <w:rFonts w:ascii="Arial" w:hAnsi="Arial" w:cs="Arial"/>
        </w:rPr>
        <w:t>able</w:t>
      </w:r>
      <w:r w:rsidR="00003345">
        <w:rPr>
          <w:rFonts w:ascii="Arial" w:hAnsi="Arial" w:cs="Arial"/>
        </w:rPr>
        <w:t xml:space="preserve"> 1</w:t>
      </w:r>
      <w:r w:rsidR="00EC7B75" w:rsidRPr="00003345">
        <w:rPr>
          <w:rFonts w:ascii="Arial" w:hAnsi="Arial" w:cs="Arial"/>
        </w:rPr>
        <w:t xml:space="preserve"> below sets out these strategic sites and the contribution expected as well as some commentary around delivery status</w:t>
      </w:r>
    </w:p>
    <w:p w14:paraId="6227793A" w14:textId="77777777" w:rsidR="00003345" w:rsidRPr="00003345" w:rsidRDefault="00003345" w:rsidP="00003345">
      <w:pPr>
        <w:pStyle w:val="ListParagraph"/>
        <w:rPr>
          <w:rFonts w:ascii="Arial" w:hAnsi="Arial" w:cs="Arial"/>
        </w:rPr>
      </w:pPr>
    </w:p>
    <w:p w14:paraId="5863CFE1" w14:textId="53A32E97" w:rsidR="00003345" w:rsidRDefault="00003345" w:rsidP="00003345">
      <w:pPr>
        <w:pStyle w:val="ListParagraph"/>
        <w:rPr>
          <w:rFonts w:ascii="Arial" w:hAnsi="Arial" w:cs="Arial"/>
          <w:b/>
        </w:rPr>
      </w:pPr>
      <w:r w:rsidRPr="00003345">
        <w:rPr>
          <w:rFonts w:ascii="Arial" w:hAnsi="Arial" w:cs="Arial"/>
          <w:b/>
        </w:rPr>
        <w:t>Table 1: Strategic Sites</w:t>
      </w:r>
    </w:p>
    <w:p w14:paraId="363F2BC0" w14:textId="77777777" w:rsidR="00003345" w:rsidRPr="00003345" w:rsidRDefault="00003345" w:rsidP="00003345">
      <w:pPr>
        <w:pStyle w:val="ListParagraph"/>
        <w:rPr>
          <w:rFonts w:ascii="Arial" w:hAnsi="Arial" w:cs="Arial"/>
          <w:b/>
        </w:rPr>
      </w:pPr>
    </w:p>
    <w:tbl>
      <w:tblPr>
        <w:tblStyle w:val="TableGrid"/>
        <w:tblW w:w="8489" w:type="dxa"/>
        <w:tblInd w:w="720" w:type="dxa"/>
        <w:tblLook w:val="04A0" w:firstRow="1" w:lastRow="0" w:firstColumn="1" w:lastColumn="0" w:noHBand="0" w:noVBand="1"/>
      </w:tblPr>
      <w:tblGrid>
        <w:gridCol w:w="2310"/>
        <w:gridCol w:w="1995"/>
        <w:gridCol w:w="1995"/>
        <w:gridCol w:w="2189"/>
      </w:tblGrid>
      <w:tr w:rsidR="00D937B0" w14:paraId="2520B24D" w14:textId="77777777" w:rsidTr="00003345">
        <w:tc>
          <w:tcPr>
            <w:tcW w:w="2310" w:type="dxa"/>
            <w:shd w:val="clear" w:color="auto" w:fill="D9D9D9" w:themeFill="background1" w:themeFillShade="D9"/>
          </w:tcPr>
          <w:p w14:paraId="5D01A8EE" w14:textId="07CA1AFC" w:rsidR="00D937B0" w:rsidRPr="007F2644" w:rsidRDefault="00D937B0" w:rsidP="00781426">
            <w:pPr>
              <w:pStyle w:val="ListParagraph"/>
              <w:ind w:left="0"/>
              <w:rPr>
                <w:rFonts w:ascii="Arial" w:hAnsi="Arial" w:cs="Arial"/>
                <w:b/>
              </w:rPr>
            </w:pPr>
            <w:r w:rsidRPr="007F2644">
              <w:rPr>
                <w:rFonts w:ascii="Arial" w:hAnsi="Arial" w:cs="Arial"/>
                <w:b/>
              </w:rPr>
              <w:t>Strategic site name</w:t>
            </w:r>
          </w:p>
        </w:tc>
        <w:tc>
          <w:tcPr>
            <w:tcW w:w="1995" w:type="dxa"/>
            <w:shd w:val="clear" w:color="auto" w:fill="D9D9D9" w:themeFill="background1" w:themeFillShade="D9"/>
          </w:tcPr>
          <w:p w14:paraId="354D1DDE" w14:textId="17BA86D2" w:rsidR="00D937B0" w:rsidRPr="007F2644" w:rsidRDefault="00D937B0" w:rsidP="00781426">
            <w:pPr>
              <w:pStyle w:val="ListParagraph"/>
              <w:ind w:left="0"/>
              <w:rPr>
                <w:rFonts w:ascii="Arial" w:hAnsi="Arial" w:cs="Arial"/>
                <w:b/>
              </w:rPr>
            </w:pPr>
            <w:r w:rsidRPr="007F2644">
              <w:rPr>
                <w:rFonts w:ascii="Arial" w:hAnsi="Arial" w:cs="Arial"/>
                <w:b/>
              </w:rPr>
              <w:t>Residential</w:t>
            </w:r>
            <w:r w:rsidR="007F2644">
              <w:rPr>
                <w:rFonts w:ascii="Arial" w:hAnsi="Arial" w:cs="Arial"/>
                <w:b/>
              </w:rPr>
              <w:t xml:space="preserve"> component</w:t>
            </w:r>
          </w:p>
        </w:tc>
        <w:tc>
          <w:tcPr>
            <w:tcW w:w="1995" w:type="dxa"/>
            <w:shd w:val="clear" w:color="auto" w:fill="D9D9D9" w:themeFill="background1" w:themeFillShade="D9"/>
          </w:tcPr>
          <w:p w14:paraId="23BAABD9" w14:textId="5037B705" w:rsidR="00D937B0" w:rsidRPr="007F2644" w:rsidRDefault="00D937B0" w:rsidP="00781426">
            <w:pPr>
              <w:pStyle w:val="ListParagraph"/>
              <w:ind w:left="0"/>
              <w:rPr>
                <w:rFonts w:ascii="Arial" w:hAnsi="Arial" w:cs="Arial"/>
                <w:b/>
              </w:rPr>
            </w:pPr>
            <w:r w:rsidRPr="007F2644">
              <w:rPr>
                <w:rFonts w:ascii="Arial" w:hAnsi="Arial" w:cs="Arial"/>
                <w:b/>
              </w:rPr>
              <w:t>Employment land</w:t>
            </w:r>
            <w:r w:rsidR="007F2644">
              <w:rPr>
                <w:rFonts w:ascii="Arial" w:hAnsi="Arial" w:cs="Arial"/>
                <w:b/>
              </w:rPr>
              <w:t xml:space="preserve"> component</w:t>
            </w:r>
          </w:p>
        </w:tc>
        <w:tc>
          <w:tcPr>
            <w:tcW w:w="2189" w:type="dxa"/>
            <w:shd w:val="clear" w:color="auto" w:fill="D9D9D9" w:themeFill="background1" w:themeFillShade="D9"/>
          </w:tcPr>
          <w:p w14:paraId="4B5F6133" w14:textId="637F9007" w:rsidR="00D937B0" w:rsidRPr="007F2644" w:rsidRDefault="00E62FA0" w:rsidP="00781426">
            <w:pPr>
              <w:pStyle w:val="ListParagraph"/>
              <w:ind w:left="0"/>
              <w:rPr>
                <w:rFonts w:ascii="Arial" w:hAnsi="Arial" w:cs="Arial"/>
                <w:b/>
              </w:rPr>
            </w:pPr>
            <w:r>
              <w:rPr>
                <w:rFonts w:ascii="Arial" w:hAnsi="Arial" w:cs="Arial"/>
                <w:b/>
              </w:rPr>
              <w:t>Status @ 1-Apr-23</w:t>
            </w:r>
          </w:p>
        </w:tc>
      </w:tr>
      <w:tr w:rsidR="00D937B0" w14:paraId="642A4CCA" w14:textId="77777777" w:rsidTr="00003345">
        <w:tc>
          <w:tcPr>
            <w:tcW w:w="2310" w:type="dxa"/>
          </w:tcPr>
          <w:p w14:paraId="72650677" w14:textId="11A38066" w:rsidR="00D937B0" w:rsidRDefault="00D937B0" w:rsidP="00781426">
            <w:pPr>
              <w:pStyle w:val="ListParagraph"/>
              <w:ind w:left="0"/>
              <w:rPr>
                <w:rFonts w:ascii="Arial" w:hAnsi="Arial" w:cs="Arial"/>
              </w:rPr>
            </w:pPr>
            <w:r w:rsidRPr="006D6B75">
              <w:rPr>
                <w:rFonts w:ascii="Arial" w:hAnsi="Arial" w:cs="Arial"/>
              </w:rPr>
              <w:t>Tadpole Garden Village</w:t>
            </w:r>
          </w:p>
        </w:tc>
        <w:tc>
          <w:tcPr>
            <w:tcW w:w="1995" w:type="dxa"/>
          </w:tcPr>
          <w:p w14:paraId="3C0D31D2" w14:textId="4AD73AAC" w:rsidR="00D937B0" w:rsidRDefault="00D937B0" w:rsidP="00781426">
            <w:pPr>
              <w:pStyle w:val="ListParagraph"/>
              <w:ind w:left="0"/>
              <w:rPr>
                <w:rFonts w:ascii="Arial" w:hAnsi="Arial" w:cs="Arial"/>
              </w:rPr>
            </w:pPr>
            <w:r w:rsidRPr="006D6B75">
              <w:rPr>
                <w:rFonts w:ascii="Arial" w:hAnsi="Arial" w:cs="Arial"/>
              </w:rPr>
              <w:t>circa 1,650 homes (largely built out)</w:t>
            </w:r>
          </w:p>
        </w:tc>
        <w:tc>
          <w:tcPr>
            <w:tcW w:w="1995" w:type="dxa"/>
          </w:tcPr>
          <w:p w14:paraId="28B602E9" w14:textId="04835AE3" w:rsidR="00D937B0" w:rsidRDefault="00726E9D" w:rsidP="00781426">
            <w:pPr>
              <w:pStyle w:val="ListParagraph"/>
              <w:ind w:left="0"/>
              <w:rPr>
                <w:rFonts w:ascii="Arial" w:hAnsi="Arial" w:cs="Arial"/>
              </w:rPr>
            </w:pPr>
            <w:r>
              <w:rPr>
                <w:rFonts w:ascii="Arial" w:hAnsi="Arial" w:cs="Arial"/>
              </w:rPr>
              <w:t>5 ha</w:t>
            </w:r>
          </w:p>
        </w:tc>
        <w:tc>
          <w:tcPr>
            <w:tcW w:w="2189" w:type="dxa"/>
          </w:tcPr>
          <w:p w14:paraId="699A6BE6" w14:textId="6AD801A8" w:rsidR="00D937B0" w:rsidRDefault="00E62FA0" w:rsidP="00781426">
            <w:pPr>
              <w:pStyle w:val="ListParagraph"/>
              <w:ind w:left="0"/>
              <w:rPr>
                <w:rFonts w:ascii="Arial" w:hAnsi="Arial" w:cs="Arial"/>
              </w:rPr>
            </w:pPr>
            <w:r>
              <w:rPr>
                <w:rFonts w:ascii="Arial" w:hAnsi="Arial" w:cs="Arial"/>
              </w:rPr>
              <w:t>Housing largely built out.  Employment land failed to attract employment uses and is now occupied by a school.</w:t>
            </w:r>
          </w:p>
        </w:tc>
      </w:tr>
      <w:tr w:rsidR="00D937B0" w14:paraId="677D4D14" w14:textId="77777777" w:rsidTr="00003345">
        <w:tc>
          <w:tcPr>
            <w:tcW w:w="2310" w:type="dxa"/>
          </w:tcPr>
          <w:p w14:paraId="45D0D359" w14:textId="0F70B1BE" w:rsidR="00D937B0" w:rsidRDefault="00D937B0" w:rsidP="00781426">
            <w:pPr>
              <w:pStyle w:val="ListParagraph"/>
              <w:ind w:left="0"/>
              <w:rPr>
                <w:rFonts w:ascii="Arial" w:hAnsi="Arial" w:cs="Arial"/>
              </w:rPr>
            </w:pPr>
            <w:r w:rsidRPr="006D6B75">
              <w:rPr>
                <w:rFonts w:ascii="Arial" w:hAnsi="Arial" w:cs="Arial"/>
              </w:rPr>
              <w:t>Commonhead / Badbury Park</w:t>
            </w:r>
          </w:p>
        </w:tc>
        <w:tc>
          <w:tcPr>
            <w:tcW w:w="1995" w:type="dxa"/>
          </w:tcPr>
          <w:p w14:paraId="7D39D0B0" w14:textId="1D17BBF2" w:rsidR="00D937B0" w:rsidRDefault="00D937B0" w:rsidP="00781426">
            <w:pPr>
              <w:pStyle w:val="ListParagraph"/>
              <w:ind w:left="0"/>
              <w:rPr>
                <w:rFonts w:ascii="Arial" w:hAnsi="Arial" w:cs="Arial"/>
              </w:rPr>
            </w:pPr>
            <w:r w:rsidRPr="006D6B75">
              <w:rPr>
                <w:rFonts w:ascii="Arial" w:hAnsi="Arial" w:cs="Arial"/>
              </w:rPr>
              <w:t>circa 1,200 homes (largely built out)</w:t>
            </w:r>
          </w:p>
        </w:tc>
        <w:tc>
          <w:tcPr>
            <w:tcW w:w="1995" w:type="dxa"/>
          </w:tcPr>
          <w:p w14:paraId="7748E1BC" w14:textId="0FAF4990" w:rsidR="00D937B0" w:rsidRDefault="00726E9D" w:rsidP="00781426">
            <w:pPr>
              <w:pStyle w:val="ListParagraph"/>
              <w:ind w:left="0"/>
              <w:rPr>
                <w:rFonts w:ascii="Arial" w:hAnsi="Arial" w:cs="Arial"/>
              </w:rPr>
            </w:pPr>
            <w:r>
              <w:rPr>
                <w:rFonts w:ascii="Arial" w:hAnsi="Arial" w:cs="Arial"/>
              </w:rPr>
              <w:t>15 ha</w:t>
            </w:r>
          </w:p>
        </w:tc>
        <w:tc>
          <w:tcPr>
            <w:tcW w:w="2189" w:type="dxa"/>
          </w:tcPr>
          <w:p w14:paraId="4208D26C" w14:textId="79472CED" w:rsidR="00D937B0" w:rsidRDefault="00E62FA0" w:rsidP="0067398D">
            <w:pPr>
              <w:pStyle w:val="ListParagraph"/>
              <w:ind w:left="0"/>
              <w:rPr>
                <w:rFonts w:ascii="Arial" w:hAnsi="Arial" w:cs="Arial"/>
              </w:rPr>
            </w:pPr>
            <w:r>
              <w:rPr>
                <w:rFonts w:ascii="Arial" w:hAnsi="Arial" w:cs="Arial"/>
              </w:rPr>
              <w:t>Housing largely built out.  Employment land</w:t>
            </w:r>
            <w:r w:rsidR="007F2644">
              <w:rPr>
                <w:rFonts w:ascii="Arial" w:hAnsi="Arial" w:cs="Arial"/>
              </w:rPr>
              <w:t xml:space="preserve"> not delivered </w:t>
            </w:r>
            <w:r w:rsidR="0067398D">
              <w:rPr>
                <w:rFonts w:ascii="Arial" w:hAnsi="Arial" w:cs="Arial"/>
              </w:rPr>
              <w:t xml:space="preserve">and instead is currently </w:t>
            </w:r>
            <w:r w:rsidR="0067398D">
              <w:rPr>
                <w:rFonts w:ascii="Arial" w:hAnsi="Arial" w:cs="Arial"/>
              </w:rPr>
              <w:lastRenderedPageBreak/>
              <w:t>under construction for further housing.</w:t>
            </w:r>
            <w:r>
              <w:rPr>
                <w:rFonts w:ascii="Arial" w:hAnsi="Arial" w:cs="Arial"/>
              </w:rPr>
              <w:t xml:space="preserve"> </w:t>
            </w:r>
          </w:p>
        </w:tc>
      </w:tr>
      <w:tr w:rsidR="00D937B0" w14:paraId="2BAE78B2" w14:textId="77777777" w:rsidTr="00003345">
        <w:tc>
          <w:tcPr>
            <w:tcW w:w="2310" w:type="dxa"/>
          </w:tcPr>
          <w:p w14:paraId="4D02DBEB" w14:textId="5CFD73DB" w:rsidR="00D937B0" w:rsidRDefault="00D937B0" w:rsidP="00781426">
            <w:pPr>
              <w:pStyle w:val="ListParagraph"/>
              <w:ind w:left="0"/>
              <w:rPr>
                <w:rFonts w:ascii="Arial" w:hAnsi="Arial" w:cs="Arial"/>
              </w:rPr>
            </w:pPr>
            <w:r w:rsidRPr="006D6B75">
              <w:rPr>
                <w:rFonts w:ascii="Arial" w:hAnsi="Arial" w:cs="Arial"/>
              </w:rPr>
              <w:lastRenderedPageBreak/>
              <w:t>Wichelstowe</w:t>
            </w:r>
          </w:p>
        </w:tc>
        <w:tc>
          <w:tcPr>
            <w:tcW w:w="1995" w:type="dxa"/>
          </w:tcPr>
          <w:p w14:paraId="0101CD5A" w14:textId="7B86CCF2" w:rsidR="00D937B0" w:rsidRDefault="00D937B0" w:rsidP="00781426">
            <w:pPr>
              <w:pStyle w:val="ListParagraph"/>
              <w:ind w:left="0"/>
              <w:rPr>
                <w:rFonts w:ascii="Arial" w:hAnsi="Arial" w:cs="Arial"/>
              </w:rPr>
            </w:pPr>
            <w:r w:rsidRPr="006D6B75">
              <w:rPr>
                <w:rFonts w:ascii="Arial" w:hAnsi="Arial" w:cs="Arial"/>
              </w:rPr>
              <w:t>up to 4,500 homes</w:t>
            </w:r>
            <w:r>
              <w:rPr>
                <w:rFonts w:ascii="Arial" w:hAnsi="Arial" w:cs="Arial"/>
              </w:rPr>
              <w:t xml:space="preserve"> (partially build out)</w:t>
            </w:r>
          </w:p>
        </w:tc>
        <w:tc>
          <w:tcPr>
            <w:tcW w:w="1995" w:type="dxa"/>
          </w:tcPr>
          <w:p w14:paraId="01BBB68B" w14:textId="0C7F8A02" w:rsidR="00D937B0" w:rsidRDefault="00726E9D" w:rsidP="00781426">
            <w:pPr>
              <w:pStyle w:val="ListParagraph"/>
              <w:ind w:left="0"/>
              <w:rPr>
                <w:rFonts w:ascii="Arial" w:hAnsi="Arial" w:cs="Arial"/>
              </w:rPr>
            </w:pPr>
            <w:r>
              <w:rPr>
                <w:rFonts w:ascii="Arial" w:hAnsi="Arial" w:cs="Arial"/>
              </w:rPr>
              <w:t>12.5 ha</w:t>
            </w:r>
          </w:p>
        </w:tc>
        <w:tc>
          <w:tcPr>
            <w:tcW w:w="2189" w:type="dxa"/>
          </w:tcPr>
          <w:p w14:paraId="1956A2C1" w14:textId="1223578C" w:rsidR="00D937B0" w:rsidRDefault="0067398D" w:rsidP="00781426">
            <w:pPr>
              <w:pStyle w:val="ListParagraph"/>
              <w:ind w:left="0"/>
              <w:rPr>
                <w:rFonts w:ascii="Arial" w:hAnsi="Arial" w:cs="Arial"/>
              </w:rPr>
            </w:pPr>
            <w:r>
              <w:rPr>
                <w:rFonts w:ascii="Arial" w:hAnsi="Arial" w:cs="Arial"/>
              </w:rPr>
              <w:t>Housing partially built out.  Employment land not yet delivered.</w:t>
            </w:r>
          </w:p>
        </w:tc>
      </w:tr>
      <w:tr w:rsidR="00D937B0" w14:paraId="480B69DF" w14:textId="77777777" w:rsidTr="00003345">
        <w:tc>
          <w:tcPr>
            <w:tcW w:w="2310" w:type="dxa"/>
          </w:tcPr>
          <w:p w14:paraId="5F590015" w14:textId="7D5C1362" w:rsidR="00D937B0" w:rsidRDefault="00D937B0" w:rsidP="00781426">
            <w:pPr>
              <w:pStyle w:val="ListParagraph"/>
              <w:ind w:left="0"/>
              <w:rPr>
                <w:rFonts w:ascii="Arial" w:hAnsi="Arial" w:cs="Arial"/>
              </w:rPr>
            </w:pPr>
            <w:r w:rsidRPr="006D6B75">
              <w:rPr>
                <w:rFonts w:ascii="Arial" w:hAnsi="Arial" w:cs="Arial"/>
              </w:rPr>
              <w:t>Kingsdown</w:t>
            </w:r>
          </w:p>
        </w:tc>
        <w:tc>
          <w:tcPr>
            <w:tcW w:w="1995" w:type="dxa"/>
          </w:tcPr>
          <w:p w14:paraId="656911F6" w14:textId="09265E9A" w:rsidR="00D937B0" w:rsidRDefault="00D937B0" w:rsidP="00781426">
            <w:pPr>
              <w:pStyle w:val="ListParagraph"/>
              <w:ind w:left="0"/>
              <w:rPr>
                <w:rFonts w:ascii="Arial" w:hAnsi="Arial" w:cs="Arial"/>
              </w:rPr>
            </w:pPr>
            <w:r w:rsidRPr="006D6B75">
              <w:rPr>
                <w:rFonts w:ascii="Arial" w:hAnsi="Arial" w:cs="Arial"/>
              </w:rPr>
              <w:t>circa 1,650 homes</w:t>
            </w:r>
          </w:p>
        </w:tc>
        <w:tc>
          <w:tcPr>
            <w:tcW w:w="1995" w:type="dxa"/>
          </w:tcPr>
          <w:p w14:paraId="7465010A" w14:textId="300200C3" w:rsidR="00D937B0" w:rsidRDefault="0067398D" w:rsidP="00781426">
            <w:pPr>
              <w:pStyle w:val="ListParagraph"/>
              <w:ind w:left="0"/>
              <w:rPr>
                <w:rFonts w:ascii="Arial" w:hAnsi="Arial" w:cs="Arial"/>
              </w:rPr>
            </w:pPr>
            <w:r>
              <w:rPr>
                <w:rFonts w:ascii="Arial" w:hAnsi="Arial" w:cs="Arial"/>
              </w:rPr>
              <w:t>None.</w:t>
            </w:r>
          </w:p>
        </w:tc>
        <w:tc>
          <w:tcPr>
            <w:tcW w:w="2189" w:type="dxa"/>
          </w:tcPr>
          <w:p w14:paraId="61E5CD8C" w14:textId="6FC62A50" w:rsidR="00D937B0" w:rsidRDefault="0067398D" w:rsidP="0067398D">
            <w:pPr>
              <w:pStyle w:val="ListParagraph"/>
              <w:ind w:left="0"/>
              <w:rPr>
                <w:rFonts w:ascii="Arial" w:hAnsi="Arial" w:cs="Arial"/>
              </w:rPr>
            </w:pPr>
            <w:r>
              <w:rPr>
                <w:rFonts w:ascii="Arial" w:hAnsi="Arial" w:cs="Arial"/>
              </w:rPr>
              <w:t>Construction not started and no housing delivered</w:t>
            </w:r>
            <w:r w:rsidR="00537A89">
              <w:rPr>
                <w:rFonts w:ascii="Arial" w:hAnsi="Arial" w:cs="Arial"/>
              </w:rPr>
              <w:t xml:space="preserve"> to date.</w:t>
            </w:r>
          </w:p>
        </w:tc>
      </w:tr>
      <w:tr w:rsidR="00D937B0" w14:paraId="4FFE9FCA" w14:textId="77777777" w:rsidTr="00003345">
        <w:tc>
          <w:tcPr>
            <w:tcW w:w="2310" w:type="dxa"/>
          </w:tcPr>
          <w:p w14:paraId="4CDEECFE" w14:textId="64821470" w:rsidR="00D937B0" w:rsidRPr="006D6B75" w:rsidRDefault="00D937B0" w:rsidP="00781426">
            <w:pPr>
              <w:pStyle w:val="ListParagraph"/>
              <w:ind w:left="0"/>
              <w:rPr>
                <w:rFonts w:ascii="Arial" w:hAnsi="Arial" w:cs="Arial"/>
              </w:rPr>
            </w:pPr>
            <w:r w:rsidRPr="006D6B75">
              <w:rPr>
                <w:rFonts w:ascii="Arial" w:hAnsi="Arial" w:cs="Arial"/>
              </w:rPr>
              <w:t>New Eastern Villages</w:t>
            </w:r>
          </w:p>
        </w:tc>
        <w:tc>
          <w:tcPr>
            <w:tcW w:w="1995" w:type="dxa"/>
          </w:tcPr>
          <w:p w14:paraId="1F36B6F9" w14:textId="6BB0D653" w:rsidR="00D937B0" w:rsidRDefault="00D937B0" w:rsidP="00781426">
            <w:pPr>
              <w:pStyle w:val="ListParagraph"/>
              <w:ind w:left="0"/>
              <w:rPr>
                <w:rFonts w:ascii="Arial" w:hAnsi="Arial" w:cs="Arial"/>
              </w:rPr>
            </w:pPr>
            <w:r w:rsidRPr="006D6B75">
              <w:rPr>
                <w:rFonts w:ascii="Arial" w:hAnsi="Arial" w:cs="Arial"/>
              </w:rPr>
              <w:t>circa 8,000 homes</w:t>
            </w:r>
          </w:p>
        </w:tc>
        <w:tc>
          <w:tcPr>
            <w:tcW w:w="1995" w:type="dxa"/>
          </w:tcPr>
          <w:p w14:paraId="11163B1D" w14:textId="36174ECC" w:rsidR="00D937B0" w:rsidRDefault="0009626E" w:rsidP="00781426">
            <w:pPr>
              <w:pStyle w:val="ListParagraph"/>
              <w:ind w:left="0"/>
              <w:rPr>
                <w:rFonts w:ascii="Arial" w:hAnsi="Arial" w:cs="Arial"/>
              </w:rPr>
            </w:pPr>
            <w:r>
              <w:rPr>
                <w:rFonts w:ascii="Arial" w:hAnsi="Arial" w:cs="Arial"/>
              </w:rPr>
              <w:t>40 ha</w:t>
            </w:r>
          </w:p>
        </w:tc>
        <w:tc>
          <w:tcPr>
            <w:tcW w:w="2189" w:type="dxa"/>
          </w:tcPr>
          <w:p w14:paraId="1CE6740C" w14:textId="51EC6D7A" w:rsidR="00D937B0" w:rsidRDefault="0067398D" w:rsidP="00781426">
            <w:pPr>
              <w:pStyle w:val="ListParagraph"/>
              <w:ind w:left="0"/>
              <w:rPr>
                <w:rFonts w:ascii="Arial" w:hAnsi="Arial" w:cs="Arial"/>
              </w:rPr>
            </w:pPr>
            <w:r>
              <w:rPr>
                <w:rFonts w:ascii="Arial" w:hAnsi="Arial" w:cs="Arial"/>
              </w:rPr>
              <w:t>Housebuilding has started at Redlands.  Warehousing delivered on 37 ha symmetry park.</w:t>
            </w:r>
          </w:p>
        </w:tc>
      </w:tr>
      <w:tr w:rsidR="00DC667F" w14:paraId="25C358BC" w14:textId="77777777" w:rsidTr="00003345">
        <w:tc>
          <w:tcPr>
            <w:tcW w:w="2310" w:type="dxa"/>
          </w:tcPr>
          <w:p w14:paraId="60EFE5CB" w14:textId="3E0DEB66" w:rsidR="00DC667F" w:rsidRPr="006D6B75" w:rsidRDefault="00DC667F" w:rsidP="00781426">
            <w:pPr>
              <w:pStyle w:val="ListParagraph"/>
              <w:ind w:left="0"/>
              <w:rPr>
                <w:rFonts w:ascii="Arial" w:hAnsi="Arial" w:cs="Arial"/>
              </w:rPr>
            </w:pPr>
            <w:r>
              <w:rPr>
                <w:rFonts w:ascii="Arial" w:hAnsi="Arial" w:cs="Arial"/>
              </w:rPr>
              <w:t>Employment land allocated within strategic site allocations:</w:t>
            </w:r>
          </w:p>
        </w:tc>
        <w:tc>
          <w:tcPr>
            <w:tcW w:w="1995" w:type="dxa"/>
          </w:tcPr>
          <w:p w14:paraId="6E4F8113" w14:textId="77777777" w:rsidR="00DC667F" w:rsidRPr="006D6B75" w:rsidRDefault="00DC667F" w:rsidP="00781426">
            <w:pPr>
              <w:pStyle w:val="ListParagraph"/>
              <w:ind w:left="0"/>
              <w:rPr>
                <w:rFonts w:ascii="Arial" w:hAnsi="Arial" w:cs="Arial"/>
              </w:rPr>
            </w:pPr>
          </w:p>
        </w:tc>
        <w:tc>
          <w:tcPr>
            <w:tcW w:w="1995" w:type="dxa"/>
          </w:tcPr>
          <w:p w14:paraId="7B17980E" w14:textId="17B975BE" w:rsidR="00DC667F" w:rsidRDefault="00DC667F" w:rsidP="00781426">
            <w:pPr>
              <w:pStyle w:val="ListParagraph"/>
              <w:ind w:left="0"/>
              <w:rPr>
                <w:rFonts w:ascii="Arial" w:hAnsi="Arial" w:cs="Arial"/>
              </w:rPr>
            </w:pPr>
            <w:r>
              <w:rPr>
                <w:rFonts w:ascii="Arial" w:hAnsi="Arial" w:cs="Arial"/>
              </w:rPr>
              <w:t>72.5 ha</w:t>
            </w:r>
          </w:p>
        </w:tc>
        <w:tc>
          <w:tcPr>
            <w:tcW w:w="2189" w:type="dxa"/>
          </w:tcPr>
          <w:p w14:paraId="53314F7D" w14:textId="77777777" w:rsidR="00DC667F" w:rsidRDefault="00DC667F" w:rsidP="00781426">
            <w:pPr>
              <w:pStyle w:val="ListParagraph"/>
              <w:ind w:left="0"/>
              <w:rPr>
                <w:rFonts w:ascii="Arial" w:hAnsi="Arial" w:cs="Arial"/>
              </w:rPr>
            </w:pPr>
          </w:p>
        </w:tc>
      </w:tr>
    </w:tbl>
    <w:p w14:paraId="51D0E58A" w14:textId="4A0B0F5F" w:rsidR="00D937B0" w:rsidRDefault="00D937B0" w:rsidP="00781426">
      <w:pPr>
        <w:pStyle w:val="ListParagraph"/>
        <w:rPr>
          <w:rFonts w:ascii="Arial" w:hAnsi="Arial" w:cs="Arial"/>
        </w:rPr>
      </w:pPr>
    </w:p>
    <w:p w14:paraId="62B57C0E" w14:textId="3652EEE1" w:rsidR="00537A89" w:rsidRPr="00537A89" w:rsidRDefault="00DC667F" w:rsidP="00537A89">
      <w:pPr>
        <w:pStyle w:val="ListParagraph"/>
        <w:numPr>
          <w:ilvl w:val="0"/>
          <w:numId w:val="1"/>
        </w:numPr>
        <w:rPr>
          <w:rFonts w:ascii="Arial" w:hAnsi="Arial" w:cs="Arial"/>
        </w:rPr>
      </w:pPr>
      <w:r w:rsidRPr="00537A89">
        <w:rPr>
          <w:rFonts w:ascii="Arial" w:hAnsi="Arial" w:cs="Arial"/>
        </w:rPr>
        <w:t xml:space="preserve">Outside of strategic site allocations, </w:t>
      </w:r>
      <w:r w:rsidR="00EC7B75" w:rsidRPr="00537A89">
        <w:rPr>
          <w:rFonts w:ascii="Arial" w:hAnsi="Arial" w:cs="Arial"/>
        </w:rPr>
        <w:t xml:space="preserve">the Local Plan 2026 allocates </w:t>
      </w:r>
      <w:r w:rsidRPr="00537A89">
        <w:rPr>
          <w:rFonts w:ascii="Arial" w:hAnsi="Arial" w:cs="Arial"/>
        </w:rPr>
        <w:t xml:space="preserve">5 ha of employment land adjacent to the settlement boundary of Highworth and </w:t>
      </w:r>
      <w:r w:rsidR="00EC7B75" w:rsidRPr="00537A89">
        <w:rPr>
          <w:rFonts w:ascii="Arial" w:hAnsi="Arial" w:cs="Arial"/>
        </w:rPr>
        <w:t xml:space="preserve">makes </w:t>
      </w:r>
      <w:r w:rsidRPr="00537A89">
        <w:rPr>
          <w:rFonts w:ascii="Arial" w:hAnsi="Arial" w:cs="Arial"/>
        </w:rPr>
        <w:t xml:space="preserve">provision for 90,000m2 of </w:t>
      </w:r>
      <w:r w:rsidR="00EC7B75" w:rsidRPr="00537A89">
        <w:rPr>
          <w:rFonts w:ascii="Arial" w:hAnsi="Arial" w:cs="Arial"/>
        </w:rPr>
        <w:t xml:space="preserve">new </w:t>
      </w:r>
      <w:r w:rsidRPr="00537A89">
        <w:rPr>
          <w:rFonts w:ascii="Arial" w:hAnsi="Arial" w:cs="Arial"/>
        </w:rPr>
        <w:t xml:space="preserve">office floorspace within </w:t>
      </w:r>
      <w:r w:rsidR="00EC7B75" w:rsidRPr="00537A89">
        <w:rPr>
          <w:rFonts w:ascii="Arial" w:hAnsi="Arial" w:cs="Arial"/>
        </w:rPr>
        <w:t>‘Swindon Central Area’</w:t>
      </w:r>
      <w:r w:rsidRPr="00537A89">
        <w:rPr>
          <w:rFonts w:ascii="Arial" w:hAnsi="Arial" w:cs="Arial"/>
        </w:rPr>
        <w:t>.</w:t>
      </w:r>
      <w:r w:rsidR="00537A89">
        <w:rPr>
          <w:rFonts w:ascii="Arial" w:hAnsi="Arial" w:cs="Arial"/>
        </w:rPr>
        <w:t xml:space="preserve">  There are concerns that historically employment land associated with strategic site allocations has been poorly located, not directly accessible from the primary or secondary road network and insufficiently well differentiated and connected to housing areas.  In common with other parts of the country Swindon has also witnessed an erosion of office space through permitted development rights and conversions to residential.  </w:t>
      </w:r>
      <w:r w:rsidR="00E20BC7">
        <w:rPr>
          <w:rFonts w:ascii="Arial" w:hAnsi="Arial" w:cs="Arial"/>
        </w:rPr>
        <w:t xml:space="preserve">Some of the centres and out of town retail estates are also struggling with occupancy levels. </w:t>
      </w:r>
    </w:p>
    <w:p w14:paraId="6613378A" w14:textId="315FCCAD" w:rsidR="00470035" w:rsidRPr="00470035" w:rsidRDefault="00470035" w:rsidP="00470035">
      <w:pPr>
        <w:rPr>
          <w:rFonts w:ascii="Arial" w:hAnsi="Arial" w:cs="Arial"/>
          <w:b/>
        </w:rPr>
      </w:pPr>
      <w:r w:rsidRPr="00470035">
        <w:rPr>
          <w:rFonts w:ascii="Arial" w:hAnsi="Arial" w:cs="Arial"/>
          <w:b/>
        </w:rPr>
        <w:t xml:space="preserve">New Local Plan </w:t>
      </w:r>
    </w:p>
    <w:p w14:paraId="4F298FF9" w14:textId="6F4A0B94" w:rsidR="00470035" w:rsidRPr="00470035" w:rsidRDefault="00470035" w:rsidP="00470035">
      <w:pPr>
        <w:ind w:left="709" w:hanging="425"/>
        <w:rPr>
          <w:rFonts w:ascii="Arial" w:hAnsi="Arial" w:cs="Arial"/>
        </w:rPr>
      </w:pPr>
      <w:r w:rsidRPr="00470035">
        <w:rPr>
          <w:rFonts w:ascii="Arial" w:hAnsi="Arial" w:cs="Arial"/>
        </w:rPr>
        <w:t>1</w:t>
      </w:r>
      <w:r w:rsidR="00001904">
        <w:rPr>
          <w:rFonts w:ascii="Arial" w:hAnsi="Arial" w:cs="Arial"/>
        </w:rPr>
        <w:t>8</w:t>
      </w:r>
      <w:r w:rsidRPr="00470035">
        <w:rPr>
          <w:rFonts w:ascii="Arial" w:hAnsi="Arial" w:cs="Arial"/>
        </w:rPr>
        <w:t>.</w:t>
      </w:r>
      <w:r w:rsidRPr="00470035">
        <w:rPr>
          <w:rFonts w:ascii="Arial" w:hAnsi="Arial" w:cs="Arial"/>
        </w:rPr>
        <w:tab/>
        <w:t>Swindon Borough Council has been in the process of producing a Local Plan Review since 2015, and has undertaken multiple rounds of consultation.  This has included two Regulation 18 consultations in 2017 and 2019, and further to this the Council consulted on two separate Regulation 19 consultations in Dec 2019 and July 2021.</w:t>
      </w:r>
    </w:p>
    <w:p w14:paraId="7520C585" w14:textId="6D48561A" w:rsidR="00470035" w:rsidRDefault="00470035" w:rsidP="00470035">
      <w:pPr>
        <w:ind w:left="709" w:hanging="425"/>
        <w:rPr>
          <w:rFonts w:ascii="Arial" w:hAnsi="Arial" w:cs="Arial"/>
        </w:rPr>
      </w:pPr>
      <w:r w:rsidRPr="00470035">
        <w:rPr>
          <w:rFonts w:ascii="Arial" w:hAnsi="Arial" w:cs="Arial"/>
        </w:rPr>
        <w:t>1</w:t>
      </w:r>
      <w:r w:rsidR="00001904">
        <w:rPr>
          <w:rFonts w:ascii="Arial" w:hAnsi="Arial" w:cs="Arial"/>
        </w:rPr>
        <w:t>9</w:t>
      </w:r>
      <w:r w:rsidRPr="00470035">
        <w:rPr>
          <w:rFonts w:ascii="Arial" w:hAnsi="Arial" w:cs="Arial"/>
        </w:rPr>
        <w:t>.</w:t>
      </w:r>
      <w:r w:rsidRPr="00470035">
        <w:rPr>
          <w:rFonts w:ascii="Arial" w:hAnsi="Arial" w:cs="Arial"/>
        </w:rPr>
        <w:tab/>
        <w:t xml:space="preserve">However, following the 2021 Regulation 19 consultation, an important proposed allocation site was withdrawn at Full Council and the deliverability of other key strategic sites is under review.  Further internal and external review of work underpinning the plan has also been undertaken, which has identified the need to revisit supporting evidence including site allocation material and technical work on housing, employment land, retail and commercial leisure, transport modelling, sport and recreation, infrastructure planning and strategic flood risk analysis.  </w:t>
      </w:r>
    </w:p>
    <w:p w14:paraId="0A6FF5C1" w14:textId="209265DD" w:rsidR="001A1677" w:rsidRDefault="00001904" w:rsidP="00BD113E">
      <w:pPr>
        <w:ind w:left="709" w:hanging="425"/>
        <w:rPr>
          <w:rFonts w:ascii="Arial" w:hAnsi="Arial" w:cs="Arial"/>
        </w:rPr>
      </w:pPr>
      <w:r>
        <w:rPr>
          <w:rFonts w:ascii="Arial" w:hAnsi="Arial" w:cs="Arial"/>
        </w:rPr>
        <w:t>20</w:t>
      </w:r>
      <w:r w:rsidR="001A1677">
        <w:rPr>
          <w:rFonts w:ascii="Arial" w:hAnsi="Arial" w:cs="Arial"/>
        </w:rPr>
        <w:t>.</w:t>
      </w:r>
      <w:r w:rsidR="001A1677">
        <w:rPr>
          <w:rFonts w:ascii="Arial" w:hAnsi="Arial" w:cs="Arial"/>
        </w:rPr>
        <w:tab/>
        <w:t xml:space="preserve">The employment evidence base for the plan needs a move forward in terms of both breadth of vision but </w:t>
      </w:r>
      <w:r w:rsidR="00BD113E">
        <w:rPr>
          <w:rFonts w:ascii="Arial" w:hAnsi="Arial" w:cs="Arial"/>
        </w:rPr>
        <w:t xml:space="preserve">also the technical study period and related information with the new plan looking at a plan period of </w:t>
      </w:r>
      <w:r w:rsidR="00175BA2">
        <w:rPr>
          <w:rFonts w:ascii="Arial" w:hAnsi="Arial" w:cs="Arial"/>
        </w:rPr>
        <w:t xml:space="preserve">circa </w:t>
      </w:r>
      <w:r w:rsidR="00BD113E">
        <w:rPr>
          <w:rFonts w:ascii="Arial" w:hAnsi="Arial" w:cs="Arial"/>
        </w:rPr>
        <w:t>202</w:t>
      </w:r>
      <w:r w:rsidR="00175BA2">
        <w:rPr>
          <w:rFonts w:ascii="Arial" w:hAnsi="Arial" w:cs="Arial"/>
        </w:rPr>
        <w:t>3</w:t>
      </w:r>
      <w:r w:rsidR="00BD113E">
        <w:rPr>
          <w:rFonts w:ascii="Arial" w:hAnsi="Arial" w:cs="Arial"/>
        </w:rPr>
        <w:t xml:space="preserve">-42 with visioning to 2050 and beyond.  </w:t>
      </w:r>
    </w:p>
    <w:p w14:paraId="4FABAB7E" w14:textId="4B9C15E6" w:rsidR="00470035" w:rsidRPr="00B350DB" w:rsidRDefault="0080752D" w:rsidP="00470035">
      <w:pPr>
        <w:ind w:left="709" w:hanging="425"/>
        <w:rPr>
          <w:rFonts w:ascii="Arial" w:hAnsi="Arial" w:cs="Arial"/>
        </w:rPr>
      </w:pPr>
      <w:r>
        <w:rPr>
          <w:rFonts w:ascii="Arial" w:hAnsi="Arial" w:cs="Arial"/>
        </w:rPr>
        <w:t>2</w:t>
      </w:r>
      <w:r w:rsidR="00001904">
        <w:rPr>
          <w:rFonts w:ascii="Arial" w:hAnsi="Arial" w:cs="Arial"/>
        </w:rPr>
        <w:t>1</w:t>
      </w:r>
      <w:r w:rsidR="00470035" w:rsidRPr="00470035">
        <w:rPr>
          <w:rFonts w:ascii="Arial" w:hAnsi="Arial" w:cs="Arial"/>
        </w:rPr>
        <w:t>.</w:t>
      </w:r>
      <w:r w:rsidR="00470035" w:rsidRPr="00470035">
        <w:rPr>
          <w:rFonts w:ascii="Arial" w:hAnsi="Arial" w:cs="Arial"/>
        </w:rPr>
        <w:tab/>
        <w:t>Th</w:t>
      </w:r>
      <w:r w:rsidR="00BD113E">
        <w:rPr>
          <w:rFonts w:ascii="Arial" w:hAnsi="Arial" w:cs="Arial"/>
        </w:rPr>
        <w:t>e New Plan</w:t>
      </w:r>
      <w:r w:rsidR="00470035" w:rsidRPr="00470035">
        <w:rPr>
          <w:rFonts w:ascii="Arial" w:hAnsi="Arial" w:cs="Arial"/>
        </w:rPr>
        <w:t xml:space="preserve"> provides the opportunity to consider how </w:t>
      </w:r>
      <w:r w:rsidR="00EC7B75">
        <w:rPr>
          <w:rFonts w:ascii="Arial" w:hAnsi="Arial" w:cs="Arial"/>
        </w:rPr>
        <w:t>planning policies and strategies</w:t>
      </w:r>
      <w:r w:rsidR="00470035" w:rsidRPr="00470035">
        <w:rPr>
          <w:rFonts w:ascii="Arial" w:hAnsi="Arial" w:cs="Arial"/>
        </w:rPr>
        <w:t xml:space="preserve"> might be reimagined in a way that is more aligned with current Council priorities for the Borough. The regeneration of Swindon Town Centre is a particular area of focus for the Council at present which is not sufficiently explored in detail as </w:t>
      </w:r>
      <w:r w:rsidR="00470035" w:rsidRPr="00470035">
        <w:rPr>
          <w:rFonts w:ascii="Arial" w:hAnsi="Arial" w:cs="Arial"/>
        </w:rPr>
        <w:lastRenderedPageBreak/>
        <w:t xml:space="preserve">an option for growth.  Furthermore, it provides an opportunity to revisit the spatial strategy to better integrate housing and economic growth, as well as encourage sustainable transport and connectivity through the consideration of options focused </w:t>
      </w:r>
      <w:r w:rsidR="00470035" w:rsidRPr="00B350DB">
        <w:rPr>
          <w:rFonts w:ascii="Arial" w:hAnsi="Arial" w:cs="Arial"/>
        </w:rPr>
        <w:t xml:space="preserve">around public transport corridors and infrastructure hubs.  </w:t>
      </w:r>
    </w:p>
    <w:p w14:paraId="04D76180" w14:textId="717FA0B0" w:rsidR="00EC7B75" w:rsidRPr="00470035" w:rsidRDefault="00B350DB" w:rsidP="00470035">
      <w:pPr>
        <w:ind w:left="709" w:hanging="425"/>
        <w:rPr>
          <w:rFonts w:ascii="Arial" w:hAnsi="Arial" w:cs="Arial"/>
        </w:rPr>
      </w:pPr>
      <w:r w:rsidRPr="00B350DB">
        <w:rPr>
          <w:rFonts w:ascii="Arial" w:hAnsi="Arial" w:cs="Arial"/>
        </w:rPr>
        <w:t>22</w:t>
      </w:r>
      <w:r w:rsidR="00EC7B75" w:rsidRPr="00B350DB">
        <w:rPr>
          <w:rFonts w:ascii="Arial" w:hAnsi="Arial" w:cs="Arial"/>
        </w:rPr>
        <w:t>.</w:t>
      </w:r>
      <w:r w:rsidRPr="00B350DB">
        <w:rPr>
          <w:rFonts w:ascii="Arial" w:hAnsi="Arial" w:cs="Arial"/>
        </w:rPr>
        <w:tab/>
      </w:r>
      <w:r w:rsidR="00EC7B75" w:rsidRPr="00B350DB">
        <w:rPr>
          <w:rFonts w:ascii="Arial" w:hAnsi="Arial" w:cs="Arial"/>
        </w:rPr>
        <w:tab/>
        <w:t>The preparation of a New Local Plan is a key Council priority because of its role in supporting town centre regeneration, housing and economic growth and environmental improvements across the Borough, in providing homes and jobs in sustainable well-connected locations for a growing population and in responding to challenges posed by climate change.  It also has a key role in setting out policies and designations to protect the Borough’s environmental assets – its countryside, wildlife habitats and biodiversity, its parks, playing pitches and open spaces and its built heritage including its conservation areas and listed buildings.</w:t>
      </w:r>
    </w:p>
    <w:p w14:paraId="0E190C52" w14:textId="5B8D65E7" w:rsidR="00470035" w:rsidRDefault="00470035" w:rsidP="00470035">
      <w:pPr>
        <w:ind w:left="709" w:hanging="425"/>
        <w:rPr>
          <w:rFonts w:ascii="Arial" w:hAnsi="Arial" w:cs="Arial"/>
        </w:rPr>
      </w:pPr>
      <w:r w:rsidRPr="00470035">
        <w:rPr>
          <w:rFonts w:ascii="Arial" w:hAnsi="Arial" w:cs="Arial"/>
        </w:rPr>
        <w:t>2</w:t>
      </w:r>
      <w:r w:rsidR="00B350DB">
        <w:rPr>
          <w:rFonts w:ascii="Arial" w:hAnsi="Arial" w:cs="Arial"/>
        </w:rPr>
        <w:t>3</w:t>
      </w:r>
      <w:r w:rsidRPr="00470035">
        <w:rPr>
          <w:rFonts w:ascii="Arial" w:hAnsi="Arial" w:cs="Arial"/>
        </w:rPr>
        <w:t>.</w:t>
      </w:r>
      <w:r w:rsidRPr="00470035">
        <w:rPr>
          <w:rFonts w:ascii="Arial" w:hAnsi="Arial" w:cs="Arial"/>
        </w:rPr>
        <w:tab/>
        <w:t>There is also a need to refocus the Plan to ensure current local</w:t>
      </w:r>
      <w:r w:rsidR="000F4A13">
        <w:rPr>
          <w:rFonts w:ascii="Arial" w:hAnsi="Arial" w:cs="Arial"/>
        </w:rPr>
        <w:t xml:space="preserve">, </w:t>
      </w:r>
      <w:r w:rsidRPr="00470035">
        <w:rPr>
          <w:rFonts w:ascii="Arial" w:hAnsi="Arial" w:cs="Arial"/>
        </w:rPr>
        <w:t xml:space="preserve">national </w:t>
      </w:r>
      <w:r w:rsidR="000F4A13">
        <w:rPr>
          <w:rFonts w:ascii="Arial" w:hAnsi="Arial" w:cs="Arial"/>
        </w:rPr>
        <w:t xml:space="preserve">and global </w:t>
      </w:r>
      <w:r w:rsidRPr="00470035">
        <w:rPr>
          <w:rFonts w:ascii="Arial" w:hAnsi="Arial" w:cs="Arial"/>
        </w:rPr>
        <w:t xml:space="preserve">priorities such as climate change and achieving net zero emissions are central themes, both within policy and the consideration of spatial strategy and growth options.  </w:t>
      </w:r>
      <w:r w:rsidR="000D71EE">
        <w:rPr>
          <w:rFonts w:ascii="Arial" w:hAnsi="Arial" w:cs="Arial"/>
        </w:rPr>
        <w:t>R</w:t>
      </w:r>
      <w:r w:rsidR="00BD113E">
        <w:rPr>
          <w:rFonts w:ascii="Arial" w:hAnsi="Arial" w:cs="Arial"/>
        </w:rPr>
        <w:t>edefin</w:t>
      </w:r>
      <w:r w:rsidR="000D71EE">
        <w:rPr>
          <w:rFonts w:ascii="Arial" w:hAnsi="Arial" w:cs="Arial"/>
        </w:rPr>
        <w:t>ing</w:t>
      </w:r>
      <w:r w:rsidR="00BD113E">
        <w:rPr>
          <w:rFonts w:ascii="Arial" w:hAnsi="Arial" w:cs="Arial"/>
        </w:rPr>
        <w:t xml:space="preserve"> economic growth within the context of environmental constraints and </w:t>
      </w:r>
      <w:r w:rsidR="000D71EE">
        <w:rPr>
          <w:rFonts w:ascii="Arial" w:hAnsi="Arial" w:cs="Arial"/>
        </w:rPr>
        <w:t xml:space="preserve">new </w:t>
      </w:r>
      <w:r w:rsidR="00BD113E">
        <w:rPr>
          <w:rFonts w:ascii="Arial" w:hAnsi="Arial" w:cs="Arial"/>
        </w:rPr>
        <w:t>sectoral opportunities</w:t>
      </w:r>
      <w:r w:rsidR="00E31B04">
        <w:rPr>
          <w:rFonts w:ascii="Arial" w:hAnsi="Arial" w:cs="Arial"/>
        </w:rPr>
        <w:t xml:space="preserve"> is also central to this brief.</w:t>
      </w:r>
      <w:r w:rsidR="00BD113E">
        <w:rPr>
          <w:rFonts w:ascii="Arial" w:hAnsi="Arial" w:cs="Arial"/>
        </w:rPr>
        <w:t xml:space="preserve">  </w:t>
      </w:r>
      <w:r w:rsidR="000F4A13">
        <w:rPr>
          <w:rFonts w:ascii="Arial" w:hAnsi="Arial" w:cs="Arial"/>
        </w:rPr>
        <w:t>A future fit strategy will need to ensure that:</w:t>
      </w:r>
    </w:p>
    <w:p w14:paraId="04E88F02" w14:textId="3335FA0A" w:rsidR="000F4A13" w:rsidRDefault="000F4A13" w:rsidP="0093341A">
      <w:pPr>
        <w:pStyle w:val="ListParagraph"/>
        <w:numPr>
          <w:ilvl w:val="0"/>
          <w:numId w:val="7"/>
        </w:numPr>
        <w:rPr>
          <w:rFonts w:ascii="Arial" w:hAnsi="Arial" w:cs="Arial"/>
        </w:rPr>
      </w:pPr>
      <w:r>
        <w:rPr>
          <w:rFonts w:ascii="Arial" w:hAnsi="Arial" w:cs="Arial"/>
        </w:rPr>
        <w:t>A resilient approach is developed to effectively manage the impact of climate change, including the provision of new and improved infrastructure;</w:t>
      </w:r>
    </w:p>
    <w:p w14:paraId="38C61F1C" w14:textId="04F3D248" w:rsidR="000F4A13" w:rsidRDefault="000F4A13" w:rsidP="0093341A">
      <w:pPr>
        <w:pStyle w:val="ListParagraph"/>
        <w:numPr>
          <w:ilvl w:val="0"/>
          <w:numId w:val="7"/>
        </w:numPr>
        <w:rPr>
          <w:rFonts w:ascii="Arial" w:hAnsi="Arial" w:cs="Arial"/>
        </w:rPr>
      </w:pPr>
      <w:r>
        <w:rPr>
          <w:rFonts w:ascii="Arial" w:hAnsi="Arial" w:cs="Arial"/>
        </w:rPr>
        <w:t>Places and movement strategies evolve to sustain local services and facilities while minimising environmental impacts;</w:t>
      </w:r>
    </w:p>
    <w:p w14:paraId="18D6CA2F" w14:textId="17D6922F" w:rsidR="000F4A13" w:rsidRDefault="000F4A13" w:rsidP="0093341A">
      <w:pPr>
        <w:pStyle w:val="ListParagraph"/>
        <w:numPr>
          <w:ilvl w:val="0"/>
          <w:numId w:val="7"/>
        </w:numPr>
        <w:rPr>
          <w:rFonts w:ascii="Arial" w:hAnsi="Arial" w:cs="Arial"/>
        </w:rPr>
      </w:pPr>
      <w:r>
        <w:rPr>
          <w:rFonts w:ascii="Arial" w:hAnsi="Arial" w:cs="Arial"/>
        </w:rPr>
        <w:t>The protection and restoration of ecological systems is prioritised, and</w:t>
      </w:r>
    </w:p>
    <w:p w14:paraId="1DB2E1A7" w14:textId="24024390" w:rsidR="000F4A13" w:rsidRPr="000F4A13" w:rsidRDefault="000F4A13" w:rsidP="0093341A">
      <w:pPr>
        <w:pStyle w:val="ListParagraph"/>
        <w:numPr>
          <w:ilvl w:val="0"/>
          <w:numId w:val="7"/>
        </w:numPr>
        <w:rPr>
          <w:rFonts w:ascii="Arial" w:hAnsi="Arial" w:cs="Arial"/>
        </w:rPr>
      </w:pPr>
      <w:r>
        <w:rPr>
          <w:rFonts w:ascii="Arial" w:hAnsi="Arial" w:cs="Arial"/>
        </w:rPr>
        <w:t>Economic opportunities are re-defined in support of a transition to high value but low carbon econom</w:t>
      </w:r>
      <w:r w:rsidR="00A7662C">
        <w:rPr>
          <w:rFonts w:ascii="Arial" w:hAnsi="Arial" w:cs="Arial"/>
        </w:rPr>
        <w:t>y.</w:t>
      </w:r>
    </w:p>
    <w:p w14:paraId="2AC6C851" w14:textId="1DC4487F" w:rsidR="00470035" w:rsidRPr="00470035" w:rsidRDefault="00470035" w:rsidP="00470035">
      <w:pPr>
        <w:ind w:left="709" w:hanging="425"/>
        <w:rPr>
          <w:rFonts w:ascii="Arial" w:hAnsi="Arial" w:cs="Arial"/>
        </w:rPr>
      </w:pPr>
      <w:r w:rsidRPr="00470035">
        <w:rPr>
          <w:rFonts w:ascii="Arial" w:hAnsi="Arial" w:cs="Arial"/>
        </w:rPr>
        <w:t>2</w:t>
      </w:r>
      <w:r w:rsidR="00E20BC7">
        <w:rPr>
          <w:rFonts w:ascii="Arial" w:hAnsi="Arial" w:cs="Arial"/>
        </w:rPr>
        <w:t>4</w:t>
      </w:r>
      <w:r w:rsidRPr="00470035">
        <w:rPr>
          <w:rFonts w:ascii="Arial" w:hAnsi="Arial" w:cs="Arial"/>
        </w:rPr>
        <w:t>.</w:t>
      </w:r>
      <w:r w:rsidRPr="00470035">
        <w:rPr>
          <w:rFonts w:ascii="Arial" w:hAnsi="Arial" w:cs="Arial"/>
        </w:rPr>
        <w:tab/>
      </w:r>
      <w:r w:rsidRPr="00E20BC7">
        <w:rPr>
          <w:rFonts w:ascii="Arial" w:hAnsi="Arial" w:cs="Arial"/>
        </w:rPr>
        <w:t xml:space="preserve">The Borough also faces a number of challenges in relation to health and inequality, including: </w:t>
      </w:r>
      <w:r w:rsidR="00E31B04" w:rsidRPr="00E20BC7">
        <w:rPr>
          <w:rFonts w:ascii="Arial" w:hAnsi="Arial" w:cs="Arial"/>
        </w:rPr>
        <w:t>economic inequalities</w:t>
      </w:r>
      <w:r w:rsidR="003D45AD" w:rsidRPr="00E20BC7">
        <w:rPr>
          <w:rFonts w:ascii="Arial" w:hAnsi="Arial" w:cs="Arial"/>
        </w:rPr>
        <w:t xml:space="preserve">.  </w:t>
      </w:r>
      <w:r w:rsidR="00E20BC7" w:rsidRPr="00E20BC7">
        <w:rPr>
          <w:rFonts w:ascii="Arial" w:hAnsi="Arial" w:cs="Arial"/>
        </w:rPr>
        <w:t>A summary of key challenges in terms of the Levelling Up agenda has been set out in the Council most recent public health annual report</w:t>
      </w:r>
      <w:r w:rsidR="00E20BC7">
        <w:rPr>
          <w:rStyle w:val="FootnoteReference"/>
          <w:rFonts w:ascii="Arial" w:hAnsi="Arial" w:cs="Arial"/>
        </w:rPr>
        <w:footnoteReference w:id="5"/>
      </w:r>
      <w:r w:rsidR="00E20BC7" w:rsidRPr="00E20BC7">
        <w:rPr>
          <w:rFonts w:ascii="Arial" w:hAnsi="Arial" w:cs="Arial"/>
        </w:rPr>
        <w:t>.</w:t>
      </w:r>
    </w:p>
    <w:p w14:paraId="04CEC5C0" w14:textId="18730808" w:rsidR="00470035" w:rsidRDefault="00470035" w:rsidP="000D71EE">
      <w:pPr>
        <w:ind w:left="709" w:hanging="425"/>
        <w:rPr>
          <w:rFonts w:ascii="Arial" w:hAnsi="Arial" w:cs="Arial"/>
        </w:rPr>
      </w:pPr>
      <w:r w:rsidRPr="00470035">
        <w:rPr>
          <w:rFonts w:ascii="Arial" w:hAnsi="Arial" w:cs="Arial"/>
        </w:rPr>
        <w:t>2</w:t>
      </w:r>
      <w:r w:rsidR="00E20BC7">
        <w:rPr>
          <w:rFonts w:ascii="Arial" w:hAnsi="Arial" w:cs="Arial"/>
        </w:rPr>
        <w:t>5</w:t>
      </w:r>
      <w:r w:rsidRPr="00470035">
        <w:rPr>
          <w:rFonts w:ascii="Arial" w:hAnsi="Arial" w:cs="Arial"/>
        </w:rPr>
        <w:t>.</w:t>
      </w:r>
      <w:r w:rsidRPr="00470035">
        <w:rPr>
          <w:rFonts w:ascii="Arial" w:hAnsi="Arial" w:cs="Arial"/>
        </w:rPr>
        <w:tab/>
        <w:t xml:space="preserve">The Council’s programme for the production of the new Local Plan is set out in its Local Development Scheme (LDS) which is available to view on the Council’s </w:t>
      </w:r>
      <w:hyperlink r:id="rId10" w:history="1">
        <w:r w:rsidRPr="00D56AF3">
          <w:rPr>
            <w:rStyle w:val="Hyperlink"/>
            <w:rFonts w:ascii="Arial" w:hAnsi="Arial" w:cs="Arial"/>
          </w:rPr>
          <w:t>website</w:t>
        </w:r>
      </w:hyperlink>
      <w:r w:rsidR="00D56AF3">
        <w:rPr>
          <w:rFonts w:ascii="Arial" w:hAnsi="Arial" w:cs="Arial"/>
        </w:rPr>
        <w:t xml:space="preserve">. </w:t>
      </w:r>
      <w:r w:rsidRPr="00470035">
        <w:rPr>
          <w:rFonts w:ascii="Arial" w:hAnsi="Arial" w:cs="Arial"/>
        </w:rPr>
        <w:t xml:space="preserve">Under the latest LDS, key dates are </w:t>
      </w:r>
      <w:r w:rsidR="00D56AF3">
        <w:rPr>
          <w:rFonts w:ascii="Arial" w:hAnsi="Arial" w:cs="Arial"/>
        </w:rPr>
        <w:t>set out in Table 2 below.</w:t>
      </w:r>
    </w:p>
    <w:p w14:paraId="2EB89AE8" w14:textId="16D2F3C9" w:rsidR="00D56AF3" w:rsidRPr="00D56AF3" w:rsidRDefault="00D56AF3" w:rsidP="00D56AF3">
      <w:pPr>
        <w:pStyle w:val="ListParagraph"/>
        <w:rPr>
          <w:rFonts w:ascii="Arial" w:hAnsi="Arial" w:cs="Arial"/>
          <w:b/>
        </w:rPr>
      </w:pPr>
      <w:r w:rsidRPr="00D60D0F">
        <w:rPr>
          <w:rFonts w:ascii="Arial" w:hAnsi="Arial" w:cs="Arial"/>
          <w:b/>
        </w:rPr>
        <w:t xml:space="preserve">Table </w:t>
      </w:r>
      <w:r>
        <w:rPr>
          <w:rFonts w:ascii="Arial" w:hAnsi="Arial" w:cs="Arial"/>
          <w:b/>
        </w:rPr>
        <w:t>2</w:t>
      </w:r>
      <w:r w:rsidRPr="00D60D0F">
        <w:rPr>
          <w:rFonts w:ascii="Arial" w:hAnsi="Arial" w:cs="Arial"/>
          <w:b/>
        </w:rPr>
        <w:t>: Local Development Scheme – Key Stages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3864"/>
      </w:tblGrid>
      <w:tr w:rsidR="00470035" w:rsidRPr="00CE076C" w14:paraId="1CF80C55" w14:textId="77777777" w:rsidTr="00735B71">
        <w:trPr>
          <w:tblHeader/>
        </w:trPr>
        <w:tc>
          <w:tcPr>
            <w:tcW w:w="3949" w:type="dxa"/>
            <w:shd w:val="clear" w:color="auto" w:fill="D9D9D9"/>
          </w:tcPr>
          <w:p w14:paraId="02803C6B" w14:textId="77777777" w:rsidR="00470035" w:rsidRPr="00CE076C" w:rsidRDefault="00470035" w:rsidP="00735B71">
            <w:pPr>
              <w:tabs>
                <w:tab w:val="left" w:pos="720"/>
                <w:tab w:val="left" w:pos="6521"/>
              </w:tabs>
              <w:spacing w:before="100" w:beforeAutospacing="1" w:after="0" w:line="240" w:lineRule="auto"/>
              <w:rPr>
                <w:rFonts w:ascii="Arial" w:eastAsia="Times New Roman" w:hAnsi="Arial" w:cs="Arial"/>
                <w:b/>
                <w:color w:val="000000"/>
                <w:szCs w:val="24"/>
                <w:lang w:eastAsia="en-GB"/>
              </w:rPr>
            </w:pPr>
            <w:r w:rsidRPr="00CE076C">
              <w:rPr>
                <w:rFonts w:ascii="Arial" w:eastAsia="Times New Roman" w:hAnsi="Arial" w:cs="Arial"/>
                <w:b/>
                <w:color w:val="000000"/>
                <w:szCs w:val="24"/>
                <w:lang w:eastAsia="en-GB"/>
              </w:rPr>
              <w:t>Key Stage</w:t>
            </w:r>
          </w:p>
        </w:tc>
        <w:tc>
          <w:tcPr>
            <w:tcW w:w="3864" w:type="dxa"/>
            <w:shd w:val="clear" w:color="auto" w:fill="D9D9D9"/>
          </w:tcPr>
          <w:p w14:paraId="0C9A77F1" w14:textId="77777777" w:rsidR="00470035" w:rsidRPr="00CE076C" w:rsidRDefault="00470035" w:rsidP="00735B71">
            <w:pPr>
              <w:tabs>
                <w:tab w:val="left" w:pos="720"/>
                <w:tab w:val="left" w:pos="6521"/>
              </w:tabs>
              <w:spacing w:before="100" w:beforeAutospacing="1" w:after="0" w:line="240" w:lineRule="auto"/>
              <w:rPr>
                <w:rFonts w:ascii="Arial" w:eastAsia="Times New Roman" w:hAnsi="Arial" w:cs="Arial"/>
                <w:b/>
                <w:color w:val="000000"/>
                <w:szCs w:val="24"/>
                <w:lang w:eastAsia="en-GB"/>
              </w:rPr>
            </w:pPr>
            <w:r w:rsidRPr="00CE076C">
              <w:rPr>
                <w:rFonts w:ascii="Arial" w:eastAsia="Times New Roman" w:hAnsi="Arial" w:cs="Arial"/>
                <w:b/>
                <w:color w:val="000000"/>
                <w:szCs w:val="24"/>
                <w:lang w:eastAsia="en-GB"/>
              </w:rPr>
              <w:t>Dates</w:t>
            </w:r>
          </w:p>
        </w:tc>
      </w:tr>
      <w:tr w:rsidR="00470035" w:rsidRPr="00CE076C" w14:paraId="2C09BBD8" w14:textId="77777777" w:rsidTr="00735B71">
        <w:trPr>
          <w:tblHeader/>
        </w:trPr>
        <w:tc>
          <w:tcPr>
            <w:tcW w:w="3949" w:type="dxa"/>
            <w:shd w:val="clear" w:color="auto" w:fill="auto"/>
          </w:tcPr>
          <w:p w14:paraId="72FDD0B0" w14:textId="77777777" w:rsidR="00470035" w:rsidRPr="00CE076C" w:rsidRDefault="00470035" w:rsidP="00735B71">
            <w:pPr>
              <w:tabs>
                <w:tab w:val="left" w:pos="720"/>
                <w:tab w:val="left" w:pos="6521"/>
              </w:tabs>
              <w:spacing w:before="100" w:beforeAutospacing="1" w:after="0" w:line="240" w:lineRule="auto"/>
              <w:rPr>
                <w:rFonts w:ascii="Arial" w:eastAsia="Times New Roman" w:hAnsi="Arial" w:cs="Arial"/>
                <w:color w:val="000000"/>
                <w:szCs w:val="24"/>
                <w:lang w:eastAsia="en-GB"/>
              </w:rPr>
            </w:pPr>
            <w:r w:rsidRPr="00CE076C">
              <w:rPr>
                <w:rFonts w:ascii="Arial" w:eastAsia="Times New Roman" w:hAnsi="Arial" w:cs="Arial"/>
                <w:color w:val="000000"/>
                <w:szCs w:val="24"/>
                <w:lang w:eastAsia="en-GB"/>
              </w:rPr>
              <w:t>Public consultation on Regulation 18</w:t>
            </w:r>
          </w:p>
        </w:tc>
        <w:tc>
          <w:tcPr>
            <w:tcW w:w="3864" w:type="dxa"/>
            <w:shd w:val="clear" w:color="auto" w:fill="auto"/>
          </w:tcPr>
          <w:p w14:paraId="0E3BED42" w14:textId="77777777" w:rsidR="00470035" w:rsidRPr="00CE076C" w:rsidRDefault="00470035" w:rsidP="00735B71">
            <w:pPr>
              <w:tabs>
                <w:tab w:val="left" w:pos="720"/>
                <w:tab w:val="left" w:pos="6521"/>
              </w:tabs>
              <w:spacing w:before="100" w:beforeAutospacing="1" w:after="0" w:line="240" w:lineRule="auto"/>
              <w:rPr>
                <w:rFonts w:ascii="Arial" w:eastAsia="Times New Roman" w:hAnsi="Arial" w:cs="Arial"/>
                <w:color w:val="000000"/>
                <w:szCs w:val="24"/>
                <w:lang w:eastAsia="en-GB"/>
              </w:rPr>
            </w:pPr>
            <w:r w:rsidRPr="00CE076C">
              <w:rPr>
                <w:rFonts w:ascii="Arial" w:eastAsia="Times New Roman" w:hAnsi="Arial" w:cs="Arial"/>
                <w:color w:val="000000"/>
                <w:szCs w:val="24"/>
                <w:lang w:eastAsia="en-GB"/>
              </w:rPr>
              <w:t>Autumn 2023</w:t>
            </w:r>
          </w:p>
        </w:tc>
      </w:tr>
      <w:tr w:rsidR="00470035" w:rsidRPr="00CE076C" w14:paraId="1923ECB0" w14:textId="77777777" w:rsidTr="00735B71">
        <w:trPr>
          <w:tblHeader/>
        </w:trPr>
        <w:tc>
          <w:tcPr>
            <w:tcW w:w="3949" w:type="dxa"/>
            <w:shd w:val="clear" w:color="auto" w:fill="auto"/>
          </w:tcPr>
          <w:p w14:paraId="0C781029" w14:textId="77777777" w:rsidR="00470035" w:rsidRPr="00CE076C" w:rsidRDefault="00470035" w:rsidP="00735B71">
            <w:pPr>
              <w:tabs>
                <w:tab w:val="left" w:pos="720"/>
                <w:tab w:val="left" w:pos="6521"/>
              </w:tabs>
              <w:spacing w:before="100" w:beforeAutospacing="1" w:after="0" w:line="240" w:lineRule="auto"/>
              <w:rPr>
                <w:rFonts w:ascii="Arial" w:eastAsia="Times New Roman" w:hAnsi="Arial" w:cs="Arial"/>
                <w:color w:val="000000"/>
                <w:szCs w:val="24"/>
                <w:lang w:eastAsia="en-GB"/>
              </w:rPr>
            </w:pPr>
            <w:r w:rsidRPr="00CE076C">
              <w:rPr>
                <w:rFonts w:ascii="Arial" w:eastAsia="Times New Roman" w:hAnsi="Arial" w:cs="Arial"/>
                <w:color w:val="000000"/>
                <w:szCs w:val="24"/>
                <w:lang w:eastAsia="en-GB"/>
              </w:rPr>
              <w:t>Public consultation on Regulation 19</w:t>
            </w:r>
          </w:p>
        </w:tc>
        <w:tc>
          <w:tcPr>
            <w:tcW w:w="3864" w:type="dxa"/>
            <w:shd w:val="clear" w:color="auto" w:fill="auto"/>
          </w:tcPr>
          <w:p w14:paraId="75109B54" w14:textId="77777777" w:rsidR="00470035" w:rsidRPr="00CE076C" w:rsidRDefault="00470035" w:rsidP="00735B71">
            <w:pPr>
              <w:tabs>
                <w:tab w:val="left" w:pos="720"/>
                <w:tab w:val="left" w:pos="6521"/>
              </w:tabs>
              <w:spacing w:before="100" w:beforeAutospacing="1" w:after="0" w:line="240" w:lineRule="auto"/>
              <w:rPr>
                <w:rFonts w:ascii="Arial" w:eastAsia="Times New Roman" w:hAnsi="Arial" w:cs="Arial"/>
                <w:color w:val="000000"/>
                <w:szCs w:val="24"/>
                <w:lang w:eastAsia="en-GB"/>
              </w:rPr>
            </w:pPr>
            <w:r w:rsidRPr="00CE076C">
              <w:rPr>
                <w:rFonts w:ascii="Arial" w:eastAsia="Times New Roman" w:hAnsi="Arial" w:cs="Arial"/>
                <w:color w:val="000000"/>
                <w:szCs w:val="24"/>
                <w:lang w:eastAsia="en-GB"/>
              </w:rPr>
              <w:t>Summer 2024</w:t>
            </w:r>
          </w:p>
        </w:tc>
      </w:tr>
      <w:tr w:rsidR="00470035" w:rsidRPr="00CE076C" w14:paraId="08B99B0E" w14:textId="77777777" w:rsidTr="00735B71">
        <w:trPr>
          <w:tblHeader/>
        </w:trPr>
        <w:tc>
          <w:tcPr>
            <w:tcW w:w="3949" w:type="dxa"/>
            <w:shd w:val="clear" w:color="auto" w:fill="auto"/>
          </w:tcPr>
          <w:p w14:paraId="123BE97E" w14:textId="77777777" w:rsidR="00470035" w:rsidRPr="00CE076C" w:rsidRDefault="00470035" w:rsidP="00735B71">
            <w:pPr>
              <w:tabs>
                <w:tab w:val="left" w:pos="720"/>
                <w:tab w:val="left" w:pos="6521"/>
              </w:tabs>
              <w:spacing w:before="100" w:beforeAutospacing="1" w:after="0" w:line="240" w:lineRule="auto"/>
              <w:rPr>
                <w:rFonts w:ascii="Arial" w:eastAsia="Times New Roman" w:hAnsi="Arial" w:cs="Arial"/>
                <w:color w:val="000000"/>
                <w:szCs w:val="24"/>
                <w:lang w:eastAsia="en-GB"/>
              </w:rPr>
            </w:pPr>
            <w:r w:rsidRPr="00CE076C">
              <w:rPr>
                <w:rFonts w:ascii="Arial" w:eastAsia="Times New Roman" w:hAnsi="Arial" w:cs="Arial"/>
                <w:color w:val="000000"/>
                <w:szCs w:val="24"/>
                <w:lang w:eastAsia="en-GB"/>
              </w:rPr>
              <w:t>Submission to Secretary of State (Regulation 22)</w:t>
            </w:r>
          </w:p>
        </w:tc>
        <w:tc>
          <w:tcPr>
            <w:tcW w:w="3864" w:type="dxa"/>
            <w:shd w:val="clear" w:color="auto" w:fill="auto"/>
          </w:tcPr>
          <w:p w14:paraId="1F793A2D" w14:textId="77777777" w:rsidR="00470035" w:rsidRPr="00CE076C" w:rsidRDefault="00470035" w:rsidP="00735B71">
            <w:pPr>
              <w:tabs>
                <w:tab w:val="left" w:pos="720"/>
                <w:tab w:val="left" w:pos="6521"/>
              </w:tabs>
              <w:spacing w:before="100" w:beforeAutospacing="1" w:after="0" w:line="240" w:lineRule="auto"/>
              <w:rPr>
                <w:rFonts w:ascii="Arial" w:eastAsia="Times New Roman" w:hAnsi="Arial" w:cs="Arial"/>
                <w:color w:val="000000"/>
                <w:szCs w:val="24"/>
                <w:lang w:eastAsia="en-GB"/>
              </w:rPr>
            </w:pPr>
            <w:r w:rsidRPr="00CE076C">
              <w:rPr>
                <w:rFonts w:ascii="Arial" w:eastAsia="Times New Roman" w:hAnsi="Arial" w:cs="Arial"/>
                <w:color w:val="000000"/>
                <w:szCs w:val="24"/>
                <w:lang w:eastAsia="en-GB"/>
              </w:rPr>
              <w:t>Late 2024</w:t>
            </w:r>
          </w:p>
        </w:tc>
      </w:tr>
    </w:tbl>
    <w:p w14:paraId="1FFD70D5" w14:textId="77777777" w:rsidR="00470035" w:rsidRPr="00470035" w:rsidRDefault="00470035" w:rsidP="00470035">
      <w:pPr>
        <w:rPr>
          <w:rFonts w:ascii="Arial" w:hAnsi="Arial" w:cs="Arial"/>
        </w:rPr>
      </w:pPr>
    </w:p>
    <w:p w14:paraId="49D303DE" w14:textId="20E35758" w:rsidR="00E20BC7" w:rsidRPr="00C763B8" w:rsidRDefault="00470035" w:rsidP="00C763B8">
      <w:pPr>
        <w:ind w:left="709" w:hanging="425"/>
        <w:rPr>
          <w:rFonts w:ascii="Arial" w:hAnsi="Arial" w:cs="Arial"/>
        </w:rPr>
      </w:pPr>
      <w:r w:rsidRPr="00470035">
        <w:rPr>
          <w:rFonts w:ascii="Arial" w:hAnsi="Arial" w:cs="Arial"/>
        </w:rPr>
        <w:t>2</w:t>
      </w:r>
      <w:r w:rsidR="00E20BC7">
        <w:rPr>
          <w:rFonts w:ascii="Arial" w:hAnsi="Arial" w:cs="Arial"/>
        </w:rPr>
        <w:t>6</w:t>
      </w:r>
      <w:r w:rsidRPr="00470035">
        <w:rPr>
          <w:rFonts w:ascii="Arial" w:hAnsi="Arial" w:cs="Arial"/>
        </w:rPr>
        <w:t>.</w:t>
      </w:r>
      <w:r w:rsidRPr="00470035">
        <w:rPr>
          <w:rFonts w:ascii="Arial" w:hAnsi="Arial" w:cs="Arial"/>
        </w:rPr>
        <w:tab/>
        <w:t xml:space="preserve">Upon adoption, the Plan will supersede all saved policies in the Swindon Borough Local Plan 2026, and also in the Swindon Central Area Action Plan. </w:t>
      </w:r>
      <w:r w:rsidR="001A1677">
        <w:rPr>
          <w:rFonts w:ascii="Arial" w:hAnsi="Arial" w:cs="Arial"/>
        </w:rPr>
        <w:t xml:space="preserve">The Plan is also likely to supersede mineral and waste policies to form a single integrated plan. </w:t>
      </w:r>
    </w:p>
    <w:p w14:paraId="53B85240" w14:textId="77777777" w:rsidR="00415F51" w:rsidRDefault="00415F51" w:rsidP="002477AE">
      <w:pPr>
        <w:rPr>
          <w:rFonts w:ascii="Arial" w:hAnsi="Arial" w:cs="Arial"/>
          <w:b/>
        </w:rPr>
      </w:pPr>
    </w:p>
    <w:p w14:paraId="7C4F5006" w14:textId="4ABD1AC2" w:rsidR="00781426" w:rsidRPr="00781426" w:rsidRDefault="00781426" w:rsidP="002477AE">
      <w:pPr>
        <w:rPr>
          <w:rFonts w:ascii="Arial" w:hAnsi="Arial" w:cs="Arial"/>
          <w:b/>
        </w:rPr>
      </w:pPr>
      <w:r w:rsidRPr="00781426">
        <w:rPr>
          <w:rFonts w:ascii="Arial" w:hAnsi="Arial" w:cs="Arial"/>
          <w:b/>
        </w:rPr>
        <w:lastRenderedPageBreak/>
        <w:t>Evidence and Studies to Date</w:t>
      </w:r>
    </w:p>
    <w:p w14:paraId="3AE8B26C" w14:textId="5DE95E07" w:rsidR="0080752D" w:rsidRDefault="0080752D" w:rsidP="0080752D">
      <w:pPr>
        <w:ind w:left="709" w:hanging="425"/>
        <w:rPr>
          <w:rFonts w:ascii="Arial" w:hAnsi="Arial" w:cs="Arial"/>
        </w:rPr>
      </w:pPr>
      <w:r w:rsidRPr="00BC4EB2">
        <w:rPr>
          <w:rFonts w:ascii="Arial" w:hAnsi="Arial" w:cs="Arial"/>
        </w:rPr>
        <w:t>2</w:t>
      </w:r>
      <w:r w:rsidR="00E20BC7">
        <w:rPr>
          <w:rFonts w:ascii="Arial" w:hAnsi="Arial" w:cs="Arial"/>
        </w:rPr>
        <w:t>7</w:t>
      </w:r>
      <w:r w:rsidRPr="00BC4EB2">
        <w:rPr>
          <w:rFonts w:ascii="Arial" w:hAnsi="Arial" w:cs="Arial"/>
        </w:rPr>
        <w:t>.</w:t>
      </w:r>
      <w:r w:rsidRPr="00BC4EB2">
        <w:rPr>
          <w:rFonts w:ascii="Arial" w:hAnsi="Arial" w:cs="Arial"/>
        </w:rPr>
        <w:tab/>
        <w:t>T</w:t>
      </w:r>
      <w:r w:rsidR="00BC4EB2" w:rsidRPr="00BC4EB2">
        <w:rPr>
          <w:rFonts w:ascii="Arial" w:hAnsi="Arial" w:cs="Arial"/>
        </w:rPr>
        <w:t>he following information and background material will be available for this commission:</w:t>
      </w:r>
    </w:p>
    <w:p w14:paraId="5D4714D5" w14:textId="40D837B0" w:rsidR="00F922D2" w:rsidRDefault="00BC4EB2" w:rsidP="0093341A">
      <w:pPr>
        <w:pStyle w:val="ListParagraph"/>
        <w:numPr>
          <w:ilvl w:val="0"/>
          <w:numId w:val="9"/>
        </w:numPr>
        <w:ind w:firstLine="130"/>
        <w:rPr>
          <w:rFonts w:ascii="Arial" w:hAnsi="Arial" w:cs="Arial"/>
        </w:rPr>
      </w:pPr>
      <w:r>
        <w:rPr>
          <w:rFonts w:ascii="Arial" w:hAnsi="Arial" w:cs="Arial"/>
        </w:rPr>
        <w:t xml:space="preserve">Swindon Employment Land Review Final Report </w:t>
      </w:r>
      <w:r w:rsidR="00F922D2">
        <w:rPr>
          <w:rFonts w:ascii="Arial" w:hAnsi="Arial" w:cs="Arial"/>
        </w:rPr>
        <w:t>(</w:t>
      </w:r>
      <w:r>
        <w:rPr>
          <w:rFonts w:ascii="Arial" w:hAnsi="Arial" w:cs="Arial"/>
        </w:rPr>
        <w:t>SBC / Lichfield</w:t>
      </w:r>
      <w:r w:rsidR="00F922D2">
        <w:rPr>
          <w:rFonts w:ascii="Arial" w:hAnsi="Arial" w:cs="Arial"/>
        </w:rPr>
        <w:t xml:space="preserve">, </w:t>
      </w:r>
      <w:r>
        <w:rPr>
          <w:rFonts w:ascii="Arial" w:hAnsi="Arial" w:cs="Arial"/>
        </w:rPr>
        <w:t>2017)</w:t>
      </w:r>
      <w:r w:rsidR="00F922D2">
        <w:rPr>
          <w:rFonts w:ascii="Arial" w:hAnsi="Arial" w:cs="Arial"/>
        </w:rPr>
        <w:t>;</w:t>
      </w:r>
    </w:p>
    <w:p w14:paraId="30ABB631" w14:textId="53F10A74" w:rsidR="00171919" w:rsidRPr="00C763B8" w:rsidRDefault="00B61FF6" w:rsidP="00E20BC7">
      <w:pPr>
        <w:pStyle w:val="ListParagraph"/>
        <w:numPr>
          <w:ilvl w:val="0"/>
          <w:numId w:val="9"/>
        </w:numPr>
        <w:ind w:left="1418" w:hanging="284"/>
        <w:rPr>
          <w:rFonts w:ascii="Arial" w:hAnsi="Arial" w:cs="Arial"/>
        </w:rPr>
      </w:pPr>
      <w:r>
        <w:rPr>
          <w:rFonts w:ascii="Arial" w:hAnsi="Arial" w:cs="Arial"/>
        </w:rPr>
        <w:t xml:space="preserve">Swindon &amp; Wiltshire Functional Economic Market Area Assessment Report </w:t>
      </w:r>
      <w:r w:rsidRPr="00C763B8">
        <w:rPr>
          <w:rFonts w:ascii="Arial" w:hAnsi="Arial" w:cs="Arial"/>
        </w:rPr>
        <w:t>(</w:t>
      </w:r>
      <w:r w:rsidR="0067398D" w:rsidRPr="00C763B8">
        <w:rPr>
          <w:rFonts w:ascii="Arial" w:hAnsi="Arial" w:cs="Arial"/>
        </w:rPr>
        <w:t>Dec-2016</w:t>
      </w:r>
      <w:r w:rsidRPr="00C763B8">
        <w:rPr>
          <w:rFonts w:ascii="Arial" w:hAnsi="Arial" w:cs="Arial"/>
        </w:rPr>
        <w:t>)</w:t>
      </w:r>
      <w:r w:rsidR="00C763B8">
        <w:rPr>
          <w:rFonts w:ascii="Arial" w:hAnsi="Arial" w:cs="Arial"/>
        </w:rPr>
        <w:t>;</w:t>
      </w:r>
    </w:p>
    <w:p w14:paraId="34B29867" w14:textId="612AE3BF" w:rsidR="00845765" w:rsidRPr="00C763B8" w:rsidRDefault="00E20BC7" w:rsidP="00C763B8">
      <w:pPr>
        <w:pStyle w:val="ListParagraph"/>
        <w:numPr>
          <w:ilvl w:val="0"/>
          <w:numId w:val="9"/>
        </w:numPr>
        <w:ind w:left="1418" w:hanging="284"/>
        <w:rPr>
          <w:rFonts w:ascii="Arial" w:hAnsi="Arial" w:cs="Arial"/>
        </w:rPr>
      </w:pPr>
      <w:r w:rsidRPr="00C763B8">
        <w:rPr>
          <w:rFonts w:ascii="Arial" w:hAnsi="Arial" w:cs="Arial"/>
        </w:rPr>
        <w:t xml:space="preserve">Swindon Retail and </w:t>
      </w:r>
      <w:r w:rsidR="00C763B8" w:rsidRPr="00C763B8">
        <w:rPr>
          <w:rFonts w:ascii="Arial" w:hAnsi="Arial" w:cs="Arial"/>
        </w:rPr>
        <w:t>L</w:t>
      </w:r>
      <w:r w:rsidRPr="00C763B8">
        <w:rPr>
          <w:rFonts w:ascii="Arial" w:hAnsi="Arial" w:cs="Arial"/>
        </w:rPr>
        <w:t xml:space="preserve">eisure Needs Assessment </w:t>
      </w:r>
      <w:r w:rsidR="00C763B8" w:rsidRPr="00C763B8">
        <w:rPr>
          <w:rFonts w:ascii="Arial" w:hAnsi="Arial" w:cs="Arial"/>
        </w:rPr>
        <w:t xml:space="preserve">Final Report (SBC / </w:t>
      </w:r>
      <w:proofErr w:type="spellStart"/>
      <w:r w:rsidR="00C763B8" w:rsidRPr="00C763B8">
        <w:rPr>
          <w:rFonts w:ascii="Arial" w:hAnsi="Arial" w:cs="Arial"/>
        </w:rPr>
        <w:t>Lichfields</w:t>
      </w:r>
      <w:proofErr w:type="spellEnd"/>
      <w:r w:rsidR="00C763B8" w:rsidRPr="00C763B8">
        <w:rPr>
          <w:rFonts w:ascii="Arial" w:hAnsi="Arial" w:cs="Arial"/>
        </w:rPr>
        <w:t>, 2017)</w:t>
      </w:r>
      <w:r w:rsidR="00C763B8">
        <w:rPr>
          <w:rFonts w:ascii="Arial" w:hAnsi="Arial" w:cs="Arial"/>
        </w:rPr>
        <w:t>;</w:t>
      </w:r>
    </w:p>
    <w:p w14:paraId="1E5574B8" w14:textId="4A06745D" w:rsidR="00BC4EB2" w:rsidRDefault="00BC4EB2" w:rsidP="0093341A">
      <w:pPr>
        <w:pStyle w:val="ListParagraph"/>
        <w:numPr>
          <w:ilvl w:val="0"/>
          <w:numId w:val="9"/>
        </w:numPr>
        <w:ind w:firstLine="130"/>
        <w:rPr>
          <w:rFonts w:ascii="Arial" w:hAnsi="Arial" w:cs="Arial"/>
        </w:rPr>
      </w:pPr>
      <w:r>
        <w:rPr>
          <w:rFonts w:ascii="Arial" w:hAnsi="Arial" w:cs="Arial"/>
        </w:rPr>
        <w:t xml:space="preserve">Swindon Economic Strategy – </w:t>
      </w:r>
      <w:r w:rsidR="0067398D">
        <w:rPr>
          <w:rFonts w:ascii="Arial" w:hAnsi="Arial" w:cs="Arial"/>
        </w:rPr>
        <w:t xml:space="preserve">2021 </w:t>
      </w:r>
      <w:r>
        <w:rPr>
          <w:rFonts w:ascii="Arial" w:hAnsi="Arial" w:cs="Arial"/>
        </w:rPr>
        <w:t>to 2026</w:t>
      </w:r>
      <w:r w:rsidR="00F922D2">
        <w:rPr>
          <w:rFonts w:ascii="Arial" w:hAnsi="Arial" w:cs="Arial"/>
        </w:rPr>
        <w:t>;</w:t>
      </w:r>
    </w:p>
    <w:p w14:paraId="5C59357D" w14:textId="4A59F423" w:rsidR="00BC4EB2" w:rsidRDefault="00BC4EB2" w:rsidP="0093341A">
      <w:pPr>
        <w:pStyle w:val="ListParagraph"/>
        <w:numPr>
          <w:ilvl w:val="0"/>
          <w:numId w:val="9"/>
        </w:numPr>
        <w:ind w:left="1418" w:hanging="284"/>
        <w:rPr>
          <w:rFonts w:ascii="Arial" w:hAnsi="Arial" w:cs="Arial"/>
        </w:rPr>
      </w:pPr>
      <w:r>
        <w:rPr>
          <w:rFonts w:ascii="Arial" w:hAnsi="Arial" w:cs="Arial"/>
        </w:rPr>
        <w:t xml:space="preserve">Swindon – Town Investment Plan </w:t>
      </w:r>
      <w:r w:rsidR="00F922D2">
        <w:rPr>
          <w:rFonts w:ascii="Arial" w:hAnsi="Arial" w:cs="Arial"/>
        </w:rPr>
        <w:t>(Swindon Town Deal Board / Stantec) and supporting material;</w:t>
      </w:r>
    </w:p>
    <w:p w14:paraId="6C5881FA" w14:textId="358DB1B6" w:rsidR="00F922D2" w:rsidRDefault="00C763B8" w:rsidP="0093341A">
      <w:pPr>
        <w:pStyle w:val="ListParagraph"/>
        <w:numPr>
          <w:ilvl w:val="0"/>
          <w:numId w:val="9"/>
        </w:numPr>
        <w:ind w:left="1418" w:hanging="284"/>
        <w:rPr>
          <w:rFonts w:ascii="Arial" w:hAnsi="Arial" w:cs="Arial"/>
        </w:rPr>
      </w:pPr>
      <w:r>
        <w:rPr>
          <w:rFonts w:ascii="Arial" w:hAnsi="Arial" w:cs="Arial"/>
        </w:rPr>
        <w:t>c</w:t>
      </w:r>
      <w:r w:rsidR="00F922D2">
        <w:rPr>
          <w:rFonts w:ascii="Arial" w:hAnsi="Arial" w:cs="Arial"/>
        </w:rPr>
        <w:t>ollated set of regeneration site information</w:t>
      </w:r>
      <w:r>
        <w:rPr>
          <w:rFonts w:ascii="Arial" w:hAnsi="Arial" w:cs="Arial"/>
        </w:rPr>
        <w:t xml:space="preserve">; </w:t>
      </w:r>
      <w:r w:rsidR="00F922D2">
        <w:rPr>
          <w:rFonts w:ascii="Arial" w:hAnsi="Arial" w:cs="Arial"/>
        </w:rPr>
        <w:t xml:space="preserve"> </w:t>
      </w:r>
    </w:p>
    <w:p w14:paraId="5BABB0CF" w14:textId="2320D221" w:rsidR="00F922D2" w:rsidRDefault="00C763B8" w:rsidP="0093341A">
      <w:pPr>
        <w:pStyle w:val="ListParagraph"/>
        <w:numPr>
          <w:ilvl w:val="0"/>
          <w:numId w:val="9"/>
        </w:numPr>
        <w:ind w:firstLine="130"/>
        <w:rPr>
          <w:rFonts w:ascii="Arial" w:hAnsi="Arial" w:cs="Arial"/>
        </w:rPr>
      </w:pPr>
      <w:r>
        <w:rPr>
          <w:rFonts w:ascii="Arial" w:hAnsi="Arial" w:cs="Arial"/>
        </w:rPr>
        <w:t>s</w:t>
      </w:r>
      <w:r w:rsidR="00F922D2">
        <w:rPr>
          <w:rFonts w:ascii="Arial" w:hAnsi="Arial" w:cs="Arial"/>
        </w:rPr>
        <w:t>pecialist sector reports</w:t>
      </w:r>
      <w:r>
        <w:rPr>
          <w:rFonts w:ascii="Arial" w:hAnsi="Arial" w:cs="Arial"/>
        </w:rPr>
        <w:t>, and</w:t>
      </w:r>
      <w:r w:rsidR="00F922D2">
        <w:rPr>
          <w:rFonts w:ascii="Arial" w:hAnsi="Arial" w:cs="Arial"/>
        </w:rPr>
        <w:t xml:space="preserve"> </w:t>
      </w:r>
    </w:p>
    <w:p w14:paraId="4EEDCB7E" w14:textId="0DC02F4D" w:rsidR="00130636" w:rsidRPr="00130636" w:rsidRDefault="00C763B8" w:rsidP="0093341A">
      <w:pPr>
        <w:pStyle w:val="ListParagraph"/>
        <w:numPr>
          <w:ilvl w:val="0"/>
          <w:numId w:val="9"/>
        </w:numPr>
        <w:ind w:firstLine="130"/>
        <w:rPr>
          <w:rFonts w:ascii="Arial" w:hAnsi="Arial" w:cs="Arial"/>
        </w:rPr>
      </w:pPr>
      <w:r>
        <w:rPr>
          <w:rFonts w:ascii="Arial" w:hAnsi="Arial" w:cs="Arial"/>
        </w:rPr>
        <w:t>e</w:t>
      </w:r>
      <w:r w:rsidR="00F922D2">
        <w:rPr>
          <w:rFonts w:ascii="Arial" w:hAnsi="Arial" w:cs="Arial"/>
        </w:rPr>
        <w:t>mployment site database accurate to circa January 202</w:t>
      </w:r>
      <w:r w:rsidR="00130636">
        <w:rPr>
          <w:rFonts w:ascii="Arial" w:hAnsi="Arial" w:cs="Arial"/>
        </w:rPr>
        <w:t>1.</w:t>
      </w:r>
    </w:p>
    <w:p w14:paraId="44A58A6B" w14:textId="77777777" w:rsidR="00F932CF" w:rsidRPr="00781426" w:rsidRDefault="00F932CF" w:rsidP="00F932CF">
      <w:pPr>
        <w:rPr>
          <w:rFonts w:ascii="Arial" w:hAnsi="Arial" w:cs="Arial"/>
          <w:b/>
        </w:rPr>
      </w:pPr>
      <w:r w:rsidRPr="00781426">
        <w:rPr>
          <w:rFonts w:ascii="Arial" w:hAnsi="Arial" w:cs="Arial"/>
          <w:b/>
        </w:rPr>
        <w:t>Approach to Working</w:t>
      </w:r>
    </w:p>
    <w:p w14:paraId="1DBC1738" w14:textId="19310D54" w:rsidR="00F932CF" w:rsidRPr="00C763B8" w:rsidRDefault="0047271F" w:rsidP="00C763B8">
      <w:pPr>
        <w:pStyle w:val="ListParagraph"/>
        <w:numPr>
          <w:ilvl w:val="0"/>
          <w:numId w:val="10"/>
        </w:numPr>
        <w:ind w:left="709" w:hanging="425"/>
        <w:rPr>
          <w:rFonts w:ascii="Arial" w:hAnsi="Arial" w:cs="Arial"/>
        </w:rPr>
      </w:pPr>
      <w:r w:rsidRPr="00C763B8">
        <w:rPr>
          <w:rFonts w:ascii="Arial" w:hAnsi="Arial" w:cs="Arial"/>
        </w:rPr>
        <w:t>It is expected that the commissioned consultants will work collaboratively with Council Officers</w:t>
      </w:r>
      <w:r w:rsidR="00537C29" w:rsidRPr="00C763B8">
        <w:rPr>
          <w:rFonts w:ascii="Arial" w:hAnsi="Arial" w:cs="Arial"/>
        </w:rPr>
        <w:t xml:space="preserve">, </w:t>
      </w:r>
      <w:r w:rsidR="00B26DE4" w:rsidRPr="00C763B8">
        <w:rPr>
          <w:rFonts w:ascii="Arial" w:hAnsi="Arial" w:cs="Arial"/>
        </w:rPr>
        <w:t>key stakeholders</w:t>
      </w:r>
      <w:r w:rsidR="00537C29" w:rsidRPr="00C763B8">
        <w:rPr>
          <w:rFonts w:ascii="Arial" w:hAnsi="Arial" w:cs="Arial"/>
        </w:rPr>
        <w:t xml:space="preserve"> and other consultants t</w:t>
      </w:r>
      <w:r w:rsidRPr="00C763B8">
        <w:rPr>
          <w:rFonts w:ascii="Arial" w:hAnsi="Arial" w:cs="Arial"/>
        </w:rPr>
        <w:t xml:space="preserve">o co-develop the </w:t>
      </w:r>
      <w:r w:rsidR="00C763B8">
        <w:rPr>
          <w:rFonts w:ascii="Arial" w:hAnsi="Arial" w:cs="Arial"/>
        </w:rPr>
        <w:t xml:space="preserve">different aspects of the </w:t>
      </w:r>
      <w:r w:rsidR="00B26DE4" w:rsidRPr="00C763B8">
        <w:rPr>
          <w:rFonts w:ascii="Arial" w:hAnsi="Arial" w:cs="Arial"/>
        </w:rPr>
        <w:t>employment commission</w:t>
      </w:r>
      <w:r w:rsidRPr="00C763B8">
        <w:rPr>
          <w:rFonts w:ascii="Arial" w:hAnsi="Arial" w:cs="Arial"/>
        </w:rPr>
        <w:t xml:space="preserve"> in order to facilitate the sharing of knowledge and skills.  Bidders will be expected to outline their methodology for co-development and approach to maximising learning and development opportunities as part of their submission.</w:t>
      </w:r>
    </w:p>
    <w:p w14:paraId="0AE27A31" w14:textId="77777777" w:rsidR="0080752D" w:rsidRDefault="0080752D" w:rsidP="0080752D">
      <w:pPr>
        <w:pStyle w:val="ListParagraph"/>
        <w:ind w:left="1418"/>
        <w:rPr>
          <w:rFonts w:ascii="Arial" w:hAnsi="Arial" w:cs="Arial"/>
        </w:rPr>
      </w:pPr>
    </w:p>
    <w:p w14:paraId="75A692E1" w14:textId="4B40EB85" w:rsidR="005F5FF3" w:rsidRPr="005856B4" w:rsidRDefault="00537C29" w:rsidP="0093341A">
      <w:pPr>
        <w:pStyle w:val="ListParagraph"/>
        <w:numPr>
          <w:ilvl w:val="0"/>
          <w:numId w:val="10"/>
        </w:numPr>
        <w:ind w:left="709" w:hanging="425"/>
        <w:rPr>
          <w:rFonts w:ascii="Arial" w:hAnsi="Arial" w:cs="Arial"/>
        </w:rPr>
      </w:pPr>
      <w:r w:rsidRPr="00130636">
        <w:rPr>
          <w:rFonts w:ascii="Arial" w:hAnsi="Arial" w:cs="Arial"/>
        </w:rPr>
        <w:t>Core r</w:t>
      </w:r>
      <w:r w:rsidR="0080752D" w:rsidRPr="00130636">
        <w:rPr>
          <w:rFonts w:ascii="Arial" w:hAnsi="Arial" w:cs="Arial"/>
        </w:rPr>
        <w:t>eport</w:t>
      </w:r>
      <w:r w:rsidR="00155237" w:rsidRPr="00130636">
        <w:rPr>
          <w:rFonts w:ascii="Arial" w:hAnsi="Arial" w:cs="Arial"/>
        </w:rPr>
        <w:t>ing</w:t>
      </w:r>
      <w:r w:rsidR="0080752D" w:rsidRPr="00130636">
        <w:rPr>
          <w:rFonts w:ascii="Arial" w:hAnsi="Arial" w:cs="Arial"/>
        </w:rPr>
        <w:t xml:space="preserve"> outputs</w:t>
      </w:r>
      <w:r w:rsidRPr="00130636">
        <w:rPr>
          <w:rFonts w:ascii="Arial" w:hAnsi="Arial" w:cs="Arial"/>
        </w:rPr>
        <w:t xml:space="preserve"> </w:t>
      </w:r>
      <w:r w:rsidR="005856B4">
        <w:rPr>
          <w:rFonts w:ascii="Arial" w:hAnsi="Arial" w:cs="Arial"/>
        </w:rPr>
        <w:t xml:space="preserve">are included within </w:t>
      </w:r>
      <w:r w:rsidR="00C763B8">
        <w:rPr>
          <w:rFonts w:ascii="Arial" w:hAnsi="Arial" w:cs="Arial"/>
        </w:rPr>
        <w:t>the relevant tables under the Lot information.</w:t>
      </w:r>
    </w:p>
    <w:p w14:paraId="7D3F4D52" w14:textId="77777777" w:rsidR="00130636" w:rsidRPr="005310FE" w:rsidRDefault="00130636" w:rsidP="00130636">
      <w:pPr>
        <w:pStyle w:val="ListParagraph"/>
        <w:ind w:left="1429"/>
        <w:rPr>
          <w:rFonts w:ascii="Arial" w:hAnsi="Arial" w:cs="Arial"/>
        </w:rPr>
      </w:pPr>
    </w:p>
    <w:p w14:paraId="369E6489" w14:textId="75BA8AF8" w:rsidR="00C95A41" w:rsidRPr="002559F9" w:rsidRDefault="00C95A41" w:rsidP="00C95A41">
      <w:pPr>
        <w:tabs>
          <w:tab w:val="left" w:pos="6790"/>
        </w:tabs>
        <w:rPr>
          <w:rFonts w:ascii="Arial" w:hAnsi="Arial" w:cs="Arial"/>
          <w:b/>
          <w:sz w:val="20"/>
        </w:rPr>
      </w:pPr>
      <w:r w:rsidRPr="002559F9">
        <w:rPr>
          <w:rFonts w:ascii="Arial" w:hAnsi="Arial" w:cs="Arial"/>
          <w:b/>
          <w:sz w:val="24"/>
        </w:rPr>
        <w:t>L</w:t>
      </w:r>
      <w:r w:rsidR="00E31B04">
        <w:rPr>
          <w:rFonts w:ascii="Arial" w:hAnsi="Arial" w:cs="Arial"/>
          <w:b/>
          <w:sz w:val="24"/>
        </w:rPr>
        <w:t>OT DETAILS</w:t>
      </w:r>
      <w:r w:rsidR="00E31B04">
        <w:rPr>
          <w:rFonts w:ascii="Arial" w:hAnsi="Arial" w:cs="Arial"/>
          <w:b/>
          <w:sz w:val="24"/>
        </w:rPr>
        <w:tab/>
      </w:r>
    </w:p>
    <w:p w14:paraId="7583B89A" w14:textId="2B3DB900" w:rsidR="00C95A41" w:rsidRDefault="00C95A41" w:rsidP="0093341A">
      <w:pPr>
        <w:pStyle w:val="ListParagraph"/>
        <w:numPr>
          <w:ilvl w:val="0"/>
          <w:numId w:val="10"/>
        </w:numPr>
        <w:ind w:left="709" w:hanging="425"/>
        <w:rPr>
          <w:rFonts w:ascii="Arial" w:hAnsi="Arial" w:cs="Arial"/>
        </w:rPr>
      </w:pPr>
      <w:r w:rsidRPr="002559F9">
        <w:rPr>
          <w:rFonts w:ascii="Arial" w:hAnsi="Arial" w:cs="Arial"/>
        </w:rPr>
        <w:t xml:space="preserve">This contract is to be treated as </w:t>
      </w:r>
      <w:r w:rsidR="008B41AF">
        <w:rPr>
          <w:rFonts w:ascii="Arial" w:hAnsi="Arial" w:cs="Arial"/>
        </w:rPr>
        <w:t>t</w:t>
      </w:r>
      <w:r w:rsidR="00A43CFA">
        <w:rPr>
          <w:rFonts w:ascii="Arial" w:hAnsi="Arial" w:cs="Arial"/>
        </w:rPr>
        <w:t>hree</w:t>
      </w:r>
      <w:r w:rsidR="008B41AF">
        <w:rPr>
          <w:rFonts w:ascii="Arial" w:hAnsi="Arial" w:cs="Arial"/>
        </w:rPr>
        <w:t xml:space="preserve"> lot</w:t>
      </w:r>
      <w:r w:rsidR="006067A3">
        <w:rPr>
          <w:rFonts w:ascii="Arial" w:hAnsi="Arial" w:cs="Arial"/>
        </w:rPr>
        <w:t>s:</w:t>
      </w:r>
    </w:p>
    <w:p w14:paraId="4D8457A5" w14:textId="692334C6" w:rsidR="006067A3" w:rsidRDefault="006067A3" w:rsidP="006067A3">
      <w:pPr>
        <w:pStyle w:val="ListParagraph"/>
        <w:ind w:left="709"/>
        <w:rPr>
          <w:rFonts w:ascii="Arial" w:hAnsi="Arial" w:cs="Arial"/>
        </w:rPr>
      </w:pPr>
    </w:p>
    <w:p w14:paraId="06AC75FC" w14:textId="4F487030" w:rsidR="006067A3" w:rsidRDefault="006067A3" w:rsidP="006067A3">
      <w:pPr>
        <w:pStyle w:val="ListParagraph"/>
        <w:ind w:left="709"/>
        <w:rPr>
          <w:rFonts w:ascii="Arial" w:hAnsi="Arial" w:cs="Arial"/>
        </w:rPr>
      </w:pPr>
      <w:r>
        <w:rPr>
          <w:rFonts w:ascii="Arial" w:hAnsi="Arial" w:cs="Arial"/>
        </w:rPr>
        <w:t xml:space="preserve">Lot </w:t>
      </w:r>
      <w:r w:rsidR="00705B37">
        <w:rPr>
          <w:rFonts w:ascii="Arial" w:hAnsi="Arial" w:cs="Arial"/>
        </w:rPr>
        <w:t>A</w:t>
      </w:r>
      <w:r>
        <w:rPr>
          <w:rFonts w:ascii="Arial" w:hAnsi="Arial" w:cs="Arial"/>
        </w:rPr>
        <w:t xml:space="preserve"> – Employment Needs and Land Supply Study</w:t>
      </w:r>
    </w:p>
    <w:p w14:paraId="4F069CB5" w14:textId="35270940" w:rsidR="00676ED8" w:rsidRDefault="006067A3" w:rsidP="006067A3">
      <w:pPr>
        <w:pStyle w:val="ListParagraph"/>
        <w:ind w:left="709"/>
        <w:rPr>
          <w:rFonts w:ascii="Arial" w:hAnsi="Arial" w:cs="Arial"/>
        </w:rPr>
      </w:pPr>
      <w:r>
        <w:rPr>
          <w:rFonts w:ascii="Arial" w:hAnsi="Arial" w:cs="Arial"/>
        </w:rPr>
        <w:t xml:space="preserve">Lot </w:t>
      </w:r>
      <w:r w:rsidR="00705B37">
        <w:rPr>
          <w:rFonts w:ascii="Arial" w:hAnsi="Arial" w:cs="Arial"/>
        </w:rPr>
        <w:t>B</w:t>
      </w:r>
      <w:r>
        <w:rPr>
          <w:rFonts w:ascii="Arial" w:hAnsi="Arial" w:cs="Arial"/>
        </w:rPr>
        <w:t xml:space="preserve"> – Retail and </w:t>
      </w:r>
      <w:r w:rsidR="00A43CFA">
        <w:rPr>
          <w:rFonts w:ascii="Arial" w:hAnsi="Arial" w:cs="Arial"/>
        </w:rPr>
        <w:t xml:space="preserve">Main Town Centre Uses </w:t>
      </w:r>
      <w:r>
        <w:rPr>
          <w:rFonts w:ascii="Arial" w:hAnsi="Arial" w:cs="Arial"/>
        </w:rPr>
        <w:t>Needs Study</w:t>
      </w:r>
    </w:p>
    <w:p w14:paraId="5E1CD932" w14:textId="239541CF" w:rsidR="00A43CFA" w:rsidRDefault="00A43CFA" w:rsidP="006067A3">
      <w:pPr>
        <w:pStyle w:val="ListParagraph"/>
        <w:ind w:left="709"/>
        <w:rPr>
          <w:rFonts w:ascii="Arial" w:hAnsi="Arial" w:cs="Arial"/>
        </w:rPr>
      </w:pPr>
      <w:r>
        <w:rPr>
          <w:rFonts w:ascii="Arial" w:hAnsi="Arial" w:cs="Arial"/>
        </w:rPr>
        <w:t xml:space="preserve">Lot </w:t>
      </w:r>
      <w:r w:rsidR="00705B37">
        <w:rPr>
          <w:rFonts w:ascii="Arial" w:hAnsi="Arial" w:cs="Arial"/>
        </w:rPr>
        <w:t>C</w:t>
      </w:r>
      <w:r>
        <w:rPr>
          <w:rFonts w:ascii="Arial" w:hAnsi="Arial" w:cs="Arial"/>
        </w:rPr>
        <w:t xml:space="preserve"> – Packaged Lot of both Lot </w:t>
      </w:r>
      <w:r w:rsidR="00645448">
        <w:rPr>
          <w:rFonts w:ascii="Arial" w:hAnsi="Arial" w:cs="Arial"/>
        </w:rPr>
        <w:t>A</w:t>
      </w:r>
      <w:r>
        <w:rPr>
          <w:rFonts w:ascii="Arial" w:hAnsi="Arial" w:cs="Arial"/>
        </w:rPr>
        <w:t xml:space="preserve"> and </w:t>
      </w:r>
      <w:r w:rsidR="00645448">
        <w:rPr>
          <w:rFonts w:ascii="Arial" w:hAnsi="Arial" w:cs="Arial"/>
        </w:rPr>
        <w:t>B</w:t>
      </w:r>
      <w:r>
        <w:rPr>
          <w:rFonts w:ascii="Arial" w:hAnsi="Arial" w:cs="Arial"/>
        </w:rPr>
        <w:t>.</w:t>
      </w:r>
    </w:p>
    <w:p w14:paraId="6CD93B94" w14:textId="77777777" w:rsidR="005856B4" w:rsidRDefault="005856B4" w:rsidP="006067A3">
      <w:pPr>
        <w:pStyle w:val="ListParagraph"/>
        <w:ind w:left="709"/>
        <w:rPr>
          <w:rFonts w:ascii="Arial" w:hAnsi="Arial" w:cs="Arial"/>
        </w:rPr>
      </w:pPr>
    </w:p>
    <w:p w14:paraId="05584733" w14:textId="71BE6CBF" w:rsidR="006067A3" w:rsidRDefault="006067A3" w:rsidP="006067A3">
      <w:pPr>
        <w:pStyle w:val="ListParagraph"/>
        <w:ind w:left="709"/>
        <w:rPr>
          <w:rFonts w:ascii="Arial" w:hAnsi="Arial" w:cs="Arial"/>
        </w:rPr>
      </w:pPr>
      <w:r>
        <w:rPr>
          <w:rFonts w:ascii="Arial" w:hAnsi="Arial" w:cs="Arial"/>
        </w:rPr>
        <w:t xml:space="preserve">If bidding for one lot only and successfully appointed there </w:t>
      </w:r>
      <w:r w:rsidR="00A43CFA">
        <w:rPr>
          <w:rFonts w:ascii="Arial" w:hAnsi="Arial" w:cs="Arial"/>
        </w:rPr>
        <w:t>will be</w:t>
      </w:r>
      <w:r>
        <w:rPr>
          <w:rFonts w:ascii="Arial" w:hAnsi="Arial" w:cs="Arial"/>
        </w:rPr>
        <w:t xml:space="preserve"> an expectation to work closely with other consultants appointed on the other lot. </w:t>
      </w:r>
      <w:r w:rsidR="0095386F">
        <w:rPr>
          <w:rFonts w:ascii="Arial" w:hAnsi="Arial" w:cs="Arial"/>
        </w:rPr>
        <w:t xml:space="preserve"> The Lots have been included as technically separable and contain distinct work tasks of an </w:t>
      </w:r>
      <w:r w:rsidR="0084065A">
        <w:rPr>
          <w:rFonts w:ascii="Arial" w:hAnsi="Arial" w:cs="Arial"/>
        </w:rPr>
        <w:t>e</w:t>
      </w:r>
      <w:r w:rsidR="0095386F">
        <w:rPr>
          <w:rFonts w:ascii="Arial" w:hAnsi="Arial" w:cs="Arial"/>
        </w:rPr>
        <w:t xml:space="preserve">volving nature. </w:t>
      </w:r>
    </w:p>
    <w:p w14:paraId="6A4E1E25" w14:textId="77777777" w:rsidR="002D3689" w:rsidRDefault="002D3689" w:rsidP="006067A3">
      <w:pPr>
        <w:pStyle w:val="ListParagraph"/>
        <w:ind w:left="709"/>
        <w:rPr>
          <w:rFonts w:ascii="Arial" w:hAnsi="Arial" w:cs="Arial"/>
        </w:rPr>
      </w:pPr>
    </w:p>
    <w:p w14:paraId="0536431F" w14:textId="4EFE074D" w:rsidR="002D3689" w:rsidRDefault="00A43CFA" w:rsidP="002D3689">
      <w:pPr>
        <w:pStyle w:val="ListParagraph"/>
        <w:numPr>
          <w:ilvl w:val="0"/>
          <w:numId w:val="10"/>
        </w:numPr>
        <w:ind w:left="709" w:hanging="425"/>
        <w:rPr>
          <w:rFonts w:ascii="Arial" w:hAnsi="Arial" w:cs="Arial"/>
        </w:rPr>
      </w:pPr>
      <w:r>
        <w:rPr>
          <w:rFonts w:ascii="Arial" w:hAnsi="Arial" w:cs="Arial"/>
        </w:rPr>
        <w:t xml:space="preserve">In the evaluation of Lot </w:t>
      </w:r>
      <w:r w:rsidR="00705B37">
        <w:rPr>
          <w:rFonts w:ascii="Arial" w:hAnsi="Arial" w:cs="Arial"/>
        </w:rPr>
        <w:t>C</w:t>
      </w:r>
      <w:r>
        <w:rPr>
          <w:rFonts w:ascii="Arial" w:hAnsi="Arial" w:cs="Arial"/>
        </w:rPr>
        <w:t xml:space="preserve">, the tender submission will be evaluated </w:t>
      </w:r>
      <w:r w:rsidR="00705B37">
        <w:rPr>
          <w:rFonts w:ascii="Arial" w:hAnsi="Arial" w:cs="Arial"/>
        </w:rPr>
        <w:t xml:space="preserve">noting any </w:t>
      </w:r>
      <w:r>
        <w:rPr>
          <w:rFonts w:ascii="Arial" w:hAnsi="Arial" w:cs="Arial"/>
        </w:rPr>
        <w:t xml:space="preserve">delivery efficiencies identified.  </w:t>
      </w:r>
      <w:r w:rsidR="00705B37">
        <w:rPr>
          <w:rFonts w:ascii="Arial" w:hAnsi="Arial" w:cs="Arial"/>
        </w:rPr>
        <w:t>The overall assessment process will consist of the following:</w:t>
      </w:r>
    </w:p>
    <w:p w14:paraId="627856E9" w14:textId="77777777" w:rsidR="00705B37" w:rsidRDefault="00705B37" w:rsidP="00705B37">
      <w:pPr>
        <w:pStyle w:val="ListParagraph"/>
        <w:ind w:left="709"/>
        <w:rPr>
          <w:rFonts w:ascii="Arial" w:hAnsi="Arial" w:cs="Arial"/>
        </w:rPr>
      </w:pPr>
    </w:p>
    <w:p w14:paraId="69117F0E" w14:textId="25167A33" w:rsidR="00705B37" w:rsidRDefault="00705B37" w:rsidP="00705B37">
      <w:pPr>
        <w:pStyle w:val="ListParagraph"/>
        <w:numPr>
          <w:ilvl w:val="0"/>
          <w:numId w:val="28"/>
        </w:numPr>
        <w:rPr>
          <w:rFonts w:ascii="Arial" w:hAnsi="Arial" w:cs="Arial"/>
        </w:rPr>
      </w:pPr>
      <w:r>
        <w:rPr>
          <w:rFonts w:ascii="Arial" w:hAnsi="Arial" w:cs="Arial"/>
        </w:rPr>
        <w:t>Lot A tender submissions evaluated and the preferred bidder identified.</w:t>
      </w:r>
    </w:p>
    <w:p w14:paraId="61D25365" w14:textId="680A0E0D" w:rsidR="00705B37" w:rsidRDefault="00705B37" w:rsidP="00705B37">
      <w:pPr>
        <w:pStyle w:val="ListParagraph"/>
        <w:numPr>
          <w:ilvl w:val="0"/>
          <w:numId w:val="28"/>
        </w:numPr>
        <w:rPr>
          <w:rFonts w:ascii="Arial" w:hAnsi="Arial" w:cs="Arial"/>
        </w:rPr>
      </w:pPr>
      <w:r>
        <w:rPr>
          <w:rFonts w:ascii="Arial" w:hAnsi="Arial" w:cs="Arial"/>
        </w:rPr>
        <w:t>Lot B tender submissions evaluated and the preferred bidder identified.</w:t>
      </w:r>
    </w:p>
    <w:p w14:paraId="64C9F032" w14:textId="6F0BAE11" w:rsidR="00705B37" w:rsidRDefault="00705B37" w:rsidP="00705B37">
      <w:pPr>
        <w:pStyle w:val="ListParagraph"/>
        <w:numPr>
          <w:ilvl w:val="0"/>
          <w:numId w:val="28"/>
        </w:numPr>
        <w:rPr>
          <w:rFonts w:ascii="Arial" w:hAnsi="Arial" w:cs="Arial"/>
        </w:rPr>
      </w:pPr>
      <w:r>
        <w:rPr>
          <w:rFonts w:ascii="Arial" w:hAnsi="Arial" w:cs="Arial"/>
        </w:rPr>
        <w:t>Lot C (packaged Lot) preferred bidder identified.</w:t>
      </w:r>
    </w:p>
    <w:p w14:paraId="2E21BFAF" w14:textId="5451CAD1" w:rsidR="00705B37" w:rsidRPr="00705B37" w:rsidRDefault="00705B37" w:rsidP="00705B37">
      <w:pPr>
        <w:pStyle w:val="ListParagraph"/>
        <w:numPr>
          <w:ilvl w:val="0"/>
          <w:numId w:val="28"/>
        </w:numPr>
        <w:rPr>
          <w:rFonts w:ascii="Arial" w:hAnsi="Arial" w:cs="Arial"/>
        </w:rPr>
      </w:pPr>
      <w:r>
        <w:rPr>
          <w:rFonts w:ascii="Arial" w:hAnsi="Arial" w:cs="Arial"/>
        </w:rPr>
        <w:t xml:space="preserve">Preferred Bidder from Lot A and B combined scoring evaluated against Lot C (packaged Lot) preferred bidder scoring. </w:t>
      </w:r>
    </w:p>
    <w:p w14:paraId="4B6348FD" w14:textId="77777777" w:rsidR="00D56AF3" w:rsidRDefault="00D56AF3" w:rsidP="002559F9">
      <w:pPr>
        <w:tabs>
          <w:tab w:val="left" w:pos="6790"/>
        </w:tabs>
        <w:rPr>
          <w:rFonts w:ascii="Arial" w:hAnsi="Arial" w:cs="Arial"/>
          <w:b/>
          <w:sz w:val="24"/>
        </w:rPr>
      </w:pPr>
    </w:p>
    <w:p w14:paraId="4AE3A241" w14:textId="60DEA36B" w:rsidR="002559F9" w:rsidRDefault="00C95A41" w:rsidP="002559F9">
      <w:pPr>
        <w:tabs>
          <w:tab w:val="left" w:pos="6790"/>
        </w:tabs>
        <w:rPr>
          <w:rFonts w:ascii="Arial" w:hAnsi="Arial" w:cs="Arial"/>
          <w:b/>
          <w:sz w:val="20"/>
        </w:rPr>
      </w:pPr>
      <w:r w:rsidRPr="002559F9">
        <w:rPr>
          <w:rFonts w:ascii="Arial" w:hAnsi="Arial" w:cs="Arial"/>
          <w:b/>
          <w:sz w:val="24"/>
        </w:rPr>
        <w:lastRenderedPageBreak/>
        <w:t>L</w:t>
      </w:r>
      <w:r w:rsidR="00E31B04">
        <w:rPr>
          <w:rFonts w:ascii="Arial" w:hAnsi="Arial" w:cs="Arial"/>
          <w:b/>
          <w:sz w:val="24"/>
        </w:rPr>
        <w:t>ENGTH OF CONTRACT</w:t>
      </w:r>
    </w:p>
    <w:p w14:paraId="4E22CB0D" w14:textId="5A1F3D02" w:rsidR="00B12A97" w:rsidRPr="00CA2A16" w:rsidRDefault="002559F9" w:rsidP="0093341A">
      <w:pPr>
        <w:pStyle w:val="ListParagraph"/>
        <w:numPr>
          <w:ilvl w:val="0"/>
          <w:numId w:val="10"/>
        </w:numPr>
        <w:ind w:left="709" w:hanging="425"/>
        <w:rPr>
          <w:rFonts w:ascii="Arial" w:hAnsi="Arial" w:cs="Arial"/>
          <w:b/>
          <w:sz w:val="20"/>
        </w:rPr>
      </w:pPr>
      <w:r w:rsidRPr="002559F9">
        <w:rPr>
          <w:rFonts w:ascii="Arial" w:hAnsi="Arial" w:cs="Arial"/>
        </w:rPr>
        <w:t xml:space="preserve">It </w:t>
      </w:r>
      <w:r w:rsidR="00C95A41" w:rsidRPr="002559F9">
        <w:rPr>
          <w:rFonts w:ascii="Arial" w:hAnsi="Arial" w:cs="Arial"/>
        </w:rPr>
        <w:t>is anticipated that the contract will cover the period to</w:t>
      </w:r>
      <w:r w:rsidR="00726198" w:rsidRPr="002559F9">
        <w:rPr>
          <w:rFonts w:ascii="Arial" w:hAnsi="Arial" w:cs="Arial"/>
        </w:rPr>
        <w:t xml:space="preserve"> </w:t>
      </w:r>
      <w:r w:rsidR="00C763B8">
        <w:rPr>
          <w:rFonts w:ascii="Arial" w:hAnsi="Arial" w:cs="Arial"/>
        </w:rPr>
        <w:t>February</w:t>
      </w:r>
      <w:r w:rsidR="00A836E4" w:rsidRPr="002559F9">
        <w:rPr>
          <w:rFonts w:ascii="Arial" w:hAnsi="Arial" w:cs="Arial"/>
        </w:rPr>
        <w:t xml:space="preserve"> 2024.  Any extension will be agreed by both parties.</w:t>
      </w:r>
    </w:p>
    <w:p w14:paraId="21B2B133" w14:textId="64472E7A" w:rsidR="00B12A97" w:rsidRPr="00FF0C97" w:rsidRDefault="00CE076C" w:rsidP="00FF0C97">
      <w:pPr>
        <w:tabs>
          <w:tab w:val="left" w:pos="6790"/>
        </w:tabs>
        <w:rPr>
          <w:rFonts w:ascii="Arial" w:hAnsi="Arial" w:cs="Arial"/>
          <w:b/>
          <w:sz w:val="24"/>
        </w:rPr>
      </w:pPr>
      <w:r w:rsidRPr="009E4798">
        <w:rPr>
          <w:rFonts w:ascii="Arial" w:hAnsi="Arial" w:cs="Arial"/>
          <w:b/>
          <w:sz w:val="24"/>
        </w:rPr>
        <w:t>O</w:t>
      </w:r>
      <w:r w:rsidR="00E31B04">
        <w:rPr>
          <w:rFonts w:ascii="Arial" w:hAnsi="Arial" w:cs="Arial"/>
          <w:b/>
          <w:sz w:val="24"/>
        </w:rPr>
        <w:t>BJECTIVES AND REQUIREMENTS</w:t>
      </w:r>
    </w:p>
    <w:p w14:paraId="48C57FCE" w14:textId="395EDFF5" w:rsidR="00A62F0D" w:rsidRDefault="00735B71" w:rsidP="0093341A">
      <w:pPr>
        <w:pStyle w:val="ListParagraph"/>
        <w:numPr>
          <w:ilvl w:val="0"/>
          <w:numId w:val="10"/>
        </w:numPr>
        <w:ind w:left="709" w:hanging="425"/>
        <w:rPr>
          <w:rFonts w:ascii="Arial" w:hAnsi="Arial" w:cs="Arial"/>
        </w:rPr>
      </w:pPr>
      <w:r w:rsidRPr="00FD31A0">
        <w:rPr>
          <w:rFonts w:ascii="Arial" w:hAnsi="Arial" w:cs="Arial"/>
        </w:rPr>
        <w:t xml:space="preserve">The overall </w:t>
      </w:r>
      <w:r w:rsidR="005A27F8">
        <w:rPr>
          <w:rFonts w:ascii="Arial" w:hAnsi="Arial" w:cs="Arial"/>
        </w:rPr>
        <w:t xml:space="preserve">technical </w:t>
      </w:r>
      <w:r w:rsidRPr="00FD31A0">
        <w:rPr>
          <w:rFonts w:ascii="Arial" w:hAnsi="Arial" w:cs="Arial"/>
        </w:rPr>
        <w:t>components of the brief</w:t>
      </w:r>
      <w:r w:rsidR="00FF0C97">
        <w:rPr>
          <w:rFonts w:ascii="Arial" w:hAnsi="Arial" w:cs="Arial"/>
        </w:rPr>
        <w:t>s</w:t>
      </w:r>
      <w:r w:rsidRPr="00FD31A0">
        <w:rPr>
          <w:rFonts w:ascii="Arial" w:hAnsi="Arial" w:cs="Arial"/>
        </w:rPr>
        <w:t xml:space="preserve"> </w:t>
      </w:r>
      <w:r w:rsidR="00CE0C72">
        <w:rPr>
          <w:rFonts w:ascii="Arial" w:hAnsi="Arial" w:cs="Arial"/>
        </w:rPr>
        <w:t>are</w:t>
      </w:r>
      <w:r w:rsidRPr="00FD31A0">
        <w:rPr>
          <w:rFonts w:ascii="Arial" w:hAnsi="Arial" w:cs="Arial"/>
        </w:rPr>
        <w:t xml:space="preserve"> set out below </w:t>
      </w:r>
      <w:r w:rsidR="00D56AF3">
        <w:rPr>
          <w:rFonts w:ascii="Arial" w:hAnsi="Arial" w:cs="Arial"/>
        </w:rPr>
        <w:t xml:space="preserve">in Table 3 and </w:t>
      </w:r>
      <w:r w:rsidR="00FF0C97">
        <w:rPr>
          <w:rFonts w:ascii="Arial" w:hAnsi="Arial" w:cs="Arial"/>
        </w:rPr>
        <w:t xml:space="preserve">within the individual Lots.  At a headline level the commissioning group is </w:t>
      </w:r>
      <w:r w:rsidR="00D56AF3">
        <w:rPr>
          <w:rFonts w:ascii="Arial" w:hAnsi="Arial" w:cs="Arial"/>
        </w:rPr>
        <w:t xml:space="preserve">also </w:t>
      </w:r>
      <w:r w:rsidR="00FF0C97">
        <w:rPr>
          <w:rFonts w:ascii="Arial" w:hAnsi="Arial" w:cs="Arial"/>
        </w:rPr>
        <w:t xml:space="preserve">keen </w:t>
      </w:r>
      <w:r w:rsidR="00F80D62">
        <w:rPr>
          <w:rFonts w:ascii="Arial" w:hAnsi="Arial" w:cs="Arial"/>
        </w:rPr>
        <w:t>for this work to deliver:</w:t>
      </w:r>
    </w:p>
    <w:p w14:paraId="54B8B4CD" w14:textId="4CFD02C0" w:rsidR="00FF0C97" w:rsidRDefault="00FF0C97" w:rsidP="00FF0C97">
      <w:pPr>
        <w:pStyle w:val="ListParagraph"/>
        <w:ind w:left="709"/>
        <w:rPr>
          <w:rFonts w:ascii="Arial" w:hAnsi="Arial" w:cs="Arial"/>
        </w:rPr>
      </w:pPr>
    </w:p>
    <w:p w14:paraId="1EC5AFE1" w14:textId="315ECDCE" w:rsidR="003B2521" w:rsidRPr="004620EA" w:rsidRDefault="003B2521" w:rsidP="00FF0C97">
      <w:pPr>
        <w:pStyle w:val="ListParagraph"/>
        <w:numPr>
          <w:ilvl w:val="0"/>
          <w:numId w:val="29"/>
        </w:numPr>
        <w:rPr>
          <w:rFonts w:ascii="Arial" w:hAnsi="Arial" w:cs="Arial"/>
        </w:rPr>
      </w:pPr>
      <w:r>
        <w:rPr>
          <w:rFonts w:ascii="Arial" w:hAnsi="Arial" w:cs="Arial"/>
        </w:rPr>
        <w:t xml:space="preserve">Fundamentally a robust set of research and analysis to inform sound policy </w:t>
      </w:r>
      <w:r w:rsidRPr="004620EA">
        <w:rPr>
          <w:rFonts w:ascii="Arial" w:hAnsi="Arial" w:cs="Arial"/>
        </w:rPr>
        <w:t xml:space="preserve">recommendations </w:t>
      </w:r>
      <w:r w:rsidR="0084065A">
        <w:rPr>
          <w:rFonts w:ascii="Arial" w:hAnsi="Arial" w:cs="Arial"/>
        </w:rPr>
        <w:t>for</w:t>
      </w:r>
      <w:r w:rsidRPr="004620EA">
        <w:rPr>
          <w:rFonts w:ascii="Arial" w:hAnsi="Arial" w:cs="Arial"/>
        </w:rPr>
        <w:t xml:space="preserve"> the new Local Plan. </w:t>
      </w:r>
    </w:p>
    <w:p w14:paraId="215F5745" w14:textId="31A8F303" w:rsidR="00FF0C97" w:rsidRPr="004620EA" w:rsidRDefault="00D56AF3" w:rsidP="00FF0C97">
      <w:pPr>
        <w:pStyle w:val="ListParagraph"/>
        <w:numPr>
          <w:ilvl w:val="0"/>
          <w:numId w:val="29"/>
        </w:numPr>
        <w:rPr>
          <w:rFonts w:ascii="Arial" w:hAnsi="Arial" w:cs="Arial"/>
        </w:rPr>
      </w:pPr>
      <w:r w:rsidRPr="004620EA">
        <w:rPr>
          <w:rFonts w:ascii="Arial" w:hAnsi="Arial" w:cs="Arial"/>
        </w:rPr>
        <w:t>A defined</w:t>
      </w:r>
      <w:r w:rsidR="00FF0C97" w:rsidRPr="004620EA">
        <w:rPr>
          <w:rFonts w:ascii="Arial" w:hAnsi="Arial" w:cs="Arial"/>
        </w:rPr>
        <w:t xml:space="preserve"> robust network of </w:t>
      </w:r>
      <w:r w:rsidR="00332660" w:rsidRPr="004620EA">
        <w:rPr>
          <w:rFonts w:ascii="Arial" w:hAnsi="Arial" w:cs="Arial"/>
        </w:rPr>
        <w:t xml:space="preserve">‘town’ </w:t>
      </w:r>
      <w:r w:rsidR="00FF0C97" w:rsidRPr="004620EA">
        <w:rPr>
          <w:rFonts w:ascii="Arial" w:hAnsi="Arial" w:cs="Arial"/>
        </w:rPr>
        <w:t>centres</w:t>
      </w:r>
      <w:r w:rsidR="00332660" w:rsidRPr="004620EA">
        <w:rPr>
          <w:rFonts w:ascii="Arial" w:hAnsi="Arial" w:cs="Arial"/>
        </w:rPr>
        <w:t xml:space="preserve">, </w:t>
      </w:r>
      <w:r w:rsidR="00FF0C97" w:rsidRPr="004620EA">
        <w:rPr>
          <w:rFonts w:ascii="Arial" w:hAnsi="Arial" w:cs="Arial"/>
        </w:rPr>
        <w:t xml:space="preserve">with some reflection </w:t>
      </w:r>
      <w:r w:rsidR="00332660" w:rsidRPr="004620EA">
        <w:rPr>
          <w:rFonts w:ascii="Arial" w:hAnsi="Arial" w:cs="Arial"/>
        </w:rPr>
        <w:t xml:space="preserve">on </w:t>
      </w:r>
      <w:r w:rsidR="00FF0C97" w:rsidRPr="004620EA">
        <w:rPr>
          <w:rFonts w:ascii="Arial" w:hAnsi="Arial" w:cs="Arial"/>
        </w:rPr>
        <w:t>how the current</w:t>
      </w:r>
      <w:r w:rsidR="003B2521" w:rsidRPr="004620EA">
        <w:rPr>
          <w:rFonts w:ascii="Arial" w:hAnsi="Arial" w:cs="Arial"/>
        </w:rPr>
        <w:t>ly</w:t>
      </w:r>
      <w:r w:rsidR="00FF0C97" w:rsidRPr="004620EA">
        <w:rPr>
          <w:rFonts w:ascii="Arial" w:hAnsi="Arial" w:cs="Arial"/>
        </w:rPr>
        <w:t xml:space="preserve"> adopted spatial strategy, with its emphasis on </w:t>
      </w:r>
      <w:r w:rsidR="00332660" w:rsidRPr="004620EA">
        <w:rPr>
          <w:rFonts w:ascii="Arial" w:hAnsi="Arial" w:cs="Arial"/>
        </w:rPr>
        <w:t>urban extensions and new settlement</w:t>
      </w:r>
      <w:r w:rsidR="00FF0C97" w:rsidRPr="004620EA">
        <w:rPr>
          <w:rFonts w:ascii="Arial" w:hAnsi="Arial" w:cs="Arial"/>
        </w:rPr>
        <w:t xml:space="preserve"> growth, might affect the vitality and viability of the established network.</w:t>
      </w:r>
    </w:p>
    <w:p w14:paraId="264D1FE4" w14:textId="308B36A6" w:rsidR="00332660" w:rsidRPr="004620EA" w:rsidRDefault="00D56AF3" w:rsidP="00FF0C97">
      <w:pPr>
        <w:pStyle w:val="ListParagraph"/>
        <w:numPr>
          <w:ilvl w:val="0"/>
          <w:numId w:val="29"/>
        </w:numPr>
        <w:rPr>
          <w:rFonts w:ascii="Arial" w:hAnsi="Arial" w:cs="Arial"/>
        </w:rPr>
      </w:pPr>
      <w:r w:rsidRPr="004620EA">
        <w:rPr>
          <w:rFonts w:ascii="Arial" w:hAnsi="Arial" w:cs="Arial"/>
        </w:rPr>
        <w:t>Analysis and recommendations on t</w:t>
      </w:r>
      <w:r w:rsidR="00332660" w:rsidRPr="004620EA">
        <w:rPr>
          <w:rFonts w:ascii="Arial" w:hAnsi="Arial" w:cs="Arial"/>
        </w:rPr>
        <w:t xml:space="preserve">he scale and </w:t>
      </w:r>
      <w:r w:rsidR="003B2521" w:rsidRPr="004620EA">
        <w:rPr>
          <w:rFonts w:ascii="Arial" w:hAnsi="Arial" w:cs="Arial"/>
        </w:rPr>
        <w:t xml:space="preserve">more fine-grained </w:t>
      </w:r>
      <w:r w:rsidR="007E041C" w:rsidRPr="004620EA">
        <w:rPr>
          <w:rFonts w:ascii="Arial" w:hAnsi="Arial" w:cs="Arial"/>
        </w:rPr>
        <w:t>detail</w:t>
      </w:r>
      <w:r w:rsidR="00332660" w:rsidRPr="004620EA">
        <w:rPr>
          <w:rFonts w:ascii="Arial" w:hAnsi="Arial" w:cs="Arial"/>
        </w:rPr>
        <w:t xml:space="preserve"> of change in Swindon Town Centre that can be supported through the new Local Plan process recognising a need to balance economic and housing growth</w:t>
      </w:r>
      <w:r w:rsidR="007E041C" w:rsidRPr="004620EA">
        <w:rPr>
          <w:rFonts w:ascii="Arial" w:hAnsi="Arial" w:cs="Arial"/>
        </w:rPr>
        <w:t>, in their various forms</w:t>
      </w:r>
      <w:r w:rsidR="003B2521" w:rsidRPr="004620EA">
        <w:rPr>
          <w:rFonts w:ascii="Arial" w:hAnsi="Arial" w:cs="Arial"/>
        </w:rPr>
        <w:t>.</w:t>
      </w:r>
      <w:r w:rsidR="00332660" w:rsidRPr="004620EA">
        <w:rPr>
          <w:rFonts w:ascii="Arial" w:hAnsi="Arial" w:cs="Arial"/>
        </w:rPr>
        <w:t xml:space="preserve"> </w:t>
      </w:r>
    </w:p>
    <w:p w14:paraId="61743960" w14:textId="290E4D7B" w:rsidR="007E041C" w:rsidRPr="004620EA" w:rsidRDefault="00D56AF3" w:rsidP="00FF0C97">
      <w:pPr>
        <w:pStyle w:val="ListParagraph"/>
        <w:numPr>
          <w:ilvl w:val="0"/>
          <w:numId w:val="29"/>
        </w:numPr>
        <w:rPr>
          <w:rFonts w:ascii="Arial" w:hAnsi="Arial" w:cs="Arial"/>
        </w:rPr>
      </w:pPr>
      <w:r w:rsidRPr="004620EA">
        <w:rPr>
          <w:rFonts w:ascii="Arial" w:hAnsi="Arial" w:cs="Arial"/>
        </w:rPr>
        <w:t xml:space="preserve">A review of the </w:t>
      </w:r>
      <w:r w:rsidR="007E041C" w:rsidRPr="004620EA">
        <w:rPr>
          <w:rFonts w:ascii="Arial" w:hAnsi="Arial" w:cs="Arial"/>
        </w:rPr>
        <w:t xml:space="preserve">continued implications of hybrid and flexible working on residential areas and in </w:t>
      </w:r>
      <w:r w:rsidR="003B2521" w:rsidRPr="004620EA">
        <w:rPr>
          <w:rFonts w:ascii="Arial" w:hAnsi="Arial" w:cs="Arial"/>
        </w:rPr>
        <w:t xml:space="preserve">housing </w:t>
      </w:r>
      <w:r w:rsidR="007E041C" w:rsidRPr="004620EA">
        <w:rPr>
          <w:rFonts w:ascii="Arial" w:hAnsi="Arial" w:cs="Arial"/>
        </w:rPr>
        <w:t>design together with the potential need to refresh commercial office design and urban places to offer more than places of work.</w:t>
      </w:r>
    </w:p>
    <w:p w14:paraId="2B4A492B" w14:textId="277D356C" w:rsidR="00332660" w:rsidRPr="004620EA" w:rsidRDefault="00D56AF3" w:rsidP="00332660">
      <w:pPr>
        <w:pStyle w:val="ListParagraph"/>
        <w:numPr>
          <w:ilvl w:val="0"/>
          <w:numId w:val="29"/>
        </w:numPr>
        <w:rPr>
          <w:rFonts w:ascii="Arial" w:hAnsi="Arial" w:cs="Arial"/>
        </w:rPr>
      </w:pPr>
      <w:r w:rsidRPr="004620EA">
        <w:rPr>
          <w:rFonts w:ascii="Arial" w:hAnsi="Arial" w:cs="Arial"/>
        </w:rPr>
        <w:t>A b</w:t>
      </w:r>
      <w:r w:rsidR="00332660" w:rsidRPr="004620EA">
        <w:rPr>
          <w:rFonts w:ascii="Arial" w:hAnsi="Arial" w:cs="Arial"/>
        </w:rPr>
        <w:t>etter understanding</w:t>
      </w:r>
      <w:r w:rsidR="00B2519C">
        <w:rPr>
          <w:rFonts w:ascii="Arial" w:hAnsi="Arial" w:cs="Arial"/>
        </w:rPr>
        <w:t xml:space="preserve"> </w:t>
      </w:r>
      <w:r w:rsidR="0084065A">
        <w:rPr>
          <w:rFonts w:ascii="Arial" w:hAnsi="Arial" w:cs="Arial"/>
        </w:rPr>
        <w:t>of</w:t>
      </w:r>
      <w:r w:rsidR="00332660" w:rsidRPr="004620EA">
        <w:rPr>
          <w:rFonts w:ascii="Arial" w:hAnsi="Arial" w:cs="Arial"/>
        </w:rPr>
        <w:t xml:space="preserve"> which employment sectors want to grow in the Borough and Swindon’s sub-region but can’t due to lack of the right land in the right location. </w:t>
      </w:r>
    </w:p>
    <w:p w14:paraId="6CDB1DA4" w14:textId="272EC09A" w:rsidR="00332660" w:rsidRPr="004620EA" w:rsidRDefault="00C56F7B" w:rsidP="00332660">
      <w:pPr>
        <w:pStyle w:val="ListParagraph"/>
        <w:numPr>
          <w:ilvl w:val="0"/>
          <w:numId w:val="29"/>
        </w:numPr>
        <w:rPr>
          <w:rFonts w:ascii="Arial" w:hAnsi="Arial" w:cs="Arial"/>
        </w:rPr>
      </w:pPr>
      <w:r w:rsidRPr="004620EA">
        <w:rPr>
          <w:rFonts w:ascii="Arial" w:hAnsi="Arial" w:cs="Arial"/>
        </w:rPr>
        <w:t>Consider</w:t>
      </w:r>
      <w:r w:rsidR="00D56AF3" w:rsidRPr="004620EA">
        <w:rPr>
          <w:rFonts w:ascii="Arial" w:hAnsi="Arial" w:cs="Arial"/>
        </w:rPr>
        <w:t xml:space="preserve">ation as to </w:t>
      </w:r>
      <w:r w:rsidR="00332660" w:rsidRPr="004620EA">
        <w:rPr>
          <w:rFonts w:ascii="Arial" w:hAnsi="Arial" w:cs="Arial"/>
        </w:rPr>
        <w:t>how Swindon can best utilise its land to attract knowledge econom</w:t>
      </w:r>
      <w:r w:rsidR="007E041C" w:rsidRPr="004620EA">
        <w:rPr>
          <w:rFonts w:ascii="Arial" w:hAnsi="Arial" w:cs="Arial"/>
        </w:rPr>
        <w:t xml:space="preserve">y </w:t>
      </w:r>
      <w:r w:rsidR="00332660" w:rsidRPr="004620EA">
        <w:rPr>
          <w:rFonts w:ascii="Arial" w:hAnsi="Arial" w:cs="Arial"/>
        </w:rPr>
        <w:t>sectors prevalent in the Oxford area</w:t>
      </w:r>
      <w:r w:rsidR="007E041C" w:rsidRPr="004620EA">
        <w:rPr>
          <w:rFonts w:ascii="Arial" w:hAnsi="Arial" w:cs="Arial"/>
        </w:rPr>
        <w:t xml:space="preserve"> and support the creation of </w:t>
      </w:r>
    </w:p>
    <w:p w14:paraId="2D0D0ACD" w14:textId="0833F293" w:rsidR="00332660" w:rsidRPr="004620EA" w:rsidRDefault="007E041C" w:rsidP="007E041C">
      <w:pPr>
        <w:pStyle w:val="ListParagraph"/>
        <w:ind w:left="1429"/>
        <w:rPr>
          <w:rFonts w:ascii="Arial" w:hAnsi="Arial" w:cs="Arial"/>
        </w:rPr>
      </w:pPr>
      <w:r w:rsidRPr="004620EA">
        <w:rPr>
          <w:rFonts w:ascii="Arial" w:hAnsi="Arial" w:cs="Arial"/>
        </w:rPr>
        <w:t>s</w:t>
      </w:r>
      <w:r w:rsidR="00332660" w:rsidRPr="004620EA">
        <w:rPr>
          <w:rFonts w:ascii="Arial" w:hAnsi="Arial" w:cs="Arial"/>
        </w:rPr>
        <w:t>ector specific clusters through its Local Plan</w:t>
      </w:r>
      <w:r w:rsidRPr="004620EA">
        <w:rPr>
          <w:rFonts w:ascii="Arial" w:hAnsi="Arial" w:cs="Arial"/>
        </w:rPr>
        <w:t>.</w:t>
      </w:r>
    </w:p>
    <w:p w14:paraId="68641570" w14:textId="4DF10A60" w:rsidR="00332660" w:rsidRPr="004620EA" w:rsidRDefault="003B2521" w:rsidP="00332660">
      <w:pPr>
        <w:pStyle w:val="ListParagraph"/>
        <w:numPr>
          <w:ilvl w:val="0"/>
          <w:numId w:val="29"/>
        </w:numPr>
        <w:rPr>
          <w:rFonts w:ascii="Arial" w:hAnsi="Arial" w:cs="Arial"/>
        </w:rPr>
      </w:pPr>
      <w:r w:rsidRPr="004620EA">
        <w:rPr>
          <w:rFonts w:ascii="Arial" w:hAnsi="Arial" w:cs="Arial"/>
        </w:rPr>
        <w:t>G</w:t>
      </w:r>
      <w:r w:rsidR="00332660" w:rsidRPr="004620EA">
        <w:rPr>
          <w:rFonts w:ascii="Arial" w:hAnsi="Arial" w:cs="Arial"/>
        </w:rPr>
        <w:t>uidance on how the Borough can support the creation of a knowledge cluster in Central Swindon through its Local Plan</w:t>
      </w:r>
      <w:r w:rsidR="007E041C" w:rsidRPr="004620EA">
        <w:rPr>
          <w:rFonts w:ascii="Arial" w:hAnsi="Arial" w:cs="Arial"/>
        </w:rPr>
        <w:t>.</w:t>
      </w:r>
    </w:p>
    <w:p w14:paraId="689A7903" w14:textId="2B928C24" w:rsidR="007E041C" w:rsidRPr="004620EA" w:rsidRDefault="00332660" w:rsidP="003B2521">
      <w:pPr>
        <w:pStyle w:val="ListParagraph"/>
        <w:numPr>
          <w:ilvl w:val="0"/>
          <w:numId w:val="29"/>
        </w:numPr>
        <w:rPr>
          <w:rFonts w:ascii="Arial" w:hAnsi="Arial" w:cs="Arial"/>
        </w:rPr>
      </w:pPr>
      <w:r w:rsidRPr="004620EA">
        <w:rPr>
          <w:rFonts w:ascii="Arial" w:hAnsi="Arial" w:cs="Arial"/>
        </w:rPr>
        <w:t xml:space="preserve">Consideration of independent businesses that want to grow themselves </w:t>
      </w:r>
      <w:r w:rsidR="003B2521" w:rsidRPr="004620EA">
        <w:rPr>
          <w:rFonts w:ascii="Arial" w:hAnsi="Arial" w:cs="Arial"/>
        </w:rPr>
        <w:t xml:space="preserve">through asset ownership models and </w:t>
      </w:r>
      <w:r w:rsidRPr="004620EA">
        <w:rPr>
          <w:rFonts w:ascii="Arial" w:hAnsi="Arial" w:cs="Arial"/>
        </w:rPr>
        <w:t xml:space="preserve">not rent from a conglomerate </w:t>
      </w:r>
      <w:r w:rsidR="003B2521" w:rsidRPr="004620EA">
        <w:rPr>
          <w:rFonts w:ascii="Arial" w:hAnsi="Arial" w:cs="Arial"/>
        </w:rPr>
        <w:t>and further</w:t>
      </w:r>
      <w:r w:rsidRPr="004620EA">
        <w:rPr>
          <w:rFonts w:ascii="Arial" w:hAnsi="Arial" w:cs="Arial"/>
        </w:rPr>
        <w:t xml:space="preserve"> support independent expansions</w:t>
      </w:r>
      <w:r w:rsidR="007E041C" w:rsidRPr="004620EA">
        <w:rPr>
          <w:rFonts w:ascii="Arial" w:hAnsi="Arial" w:cs="Arial"/>
        </w:rPr>
        <w:t>.</w:t>
      </w:r>
    </w:p>
    <w:p w14:paraId="325497FC" w14:textId="14C90902" w:rsidR="00332660" w:rsidRPr="004620EA" w:rsidRDefault="003B2521" w:rsidP="003B2521">
      <w:pPr>
        <w:pStyle w:val="ListParagraph"/>
        <w:numPr>
          <w:ilvl w:val="0"/>
          <w:numId w:val="29"/>
        </w:numPr>
        <w:rPr>
          <w:rFonts w:ascii="Arial" w:hAnsi="Arial" w:cs="Arial"/>
        </w:rPr>
      </w:pPr>
      <w:r w:rsidRPr="004620EA">
        <w:rPr>
          <w:rFonts w:ascii="Arial" w:hAnsi="Arial" w:cs="Arial"/>
        </w:rPr>
        <w:t xml:space="preserve">The extent of </w:t>
      </w:r>
      <w:r w:rsidR="00D56AF3" w:rsidRPr="004620EA">
        <w:rPr>
          <w:rFonts w:ascii="Arial" w:hAnsi="Arial" w:cs="Arial"/>
        </w:rPr>
        <w:t xml:space="preserve">supporting or ancillary </w:t>
      </w:r>
      <w:r w:rsidRPr="004620EA">
        <w:rPr>
          <w:rFonts w:ascii="Arial" w:hAnsi="Arial" w:cs="Arial"/>
        </w:rPr>
        <w:t>facilities required to support specific areas of employment growth, particularly within logistics and distribution - l</w:t>
      </w:r>
      <w:r w:rsidR="00332660" w:rsidRPr="004620EA">
        <w:rPr>
          <w:rFonts w:ascii="Arial" w:hAnsi="Arial" w:cs="Arial"/>
        </w:rPr>
        <w:t xml:space="preserve">orry </w:t>
      </w:r>
      <w:r w:rsidRPr="004620EA">
        <w:rPr>
          <w:rFonts w:ascii="Arial" w:hAnsi="Arial" w:cs="Arial"/>
        </w:rPr>
        <w:t>p</w:t>
      </w:r>
      <w:r w:rsidR="00332660" w:rsidRPr="004620EA">
        <w:rPr>
          <w:rFonts w:ascii="Arial" w:hAnsi="Arial" w:cs="Arial"/>
        </w:rPr>
        <w:t>arks, restaurant</w:t>
      </w:r>
      <w:r w:rsidRPr="004620EA">
        <w:rPr>
          <w:rFonts w:ascii="Arial" w:hAnsi="Arial" w:cs="Arial"/>
        </w:rPr>
        <w:t>s</w:t>
      </w:r>
      <w:r w:rsidR="00332660" w:rsidRPr="004620EA">
        <w:rPr>
          <w:rFonts w:ascii="Arial" w:hAnsi="Arial" w:cs="Arial"/>
        </w:rPr>
        <w:t xml:space="preserve">, bathing and refuelling facilities </w:t>
      </w:r>
      <w:r w:rsidRPr="004620EA">
        <w:rPr>
          <w:rFonts w:ascii="Arial" w:hAnsi="Arial" w:cs="Arial"/>
        </w:rPr>
        <w:t xml:space="preserve">plus </w:t>
      </w:r>
      <w:r w:rsidR="00332660" w:rsidRPr="004620EA">
        <w:rPr>
          <w:rFonts w:ascii="Arial" w:hAnsi="Arial" w:cs="Arial"/>
        </w:rPr>
        <w:t>overnight stops</w:t>
      </w:r>
      <w:r w:rsidRPr="004620EA">
        <w:rPr>
          <w:rFonts w:ascii="Arial" w:hAnsi="Arial" w:cs="Arial"/>
        </w:rPr>
        <w:t xml:space="preserve">.  </w:t>
      </w:r>
    </w:p>
    <w:p w14:paraId="5EF88CD2" w14:textId="67CBEACF" w:rsidR="00FF0C97" w:rsidRDefault="00FF0C97" w:rsidP="00FF0C97">
      <w:pPr>
        <w:pStyle w:val="ListParagraph"/>
        <w:ind w:left="709"/>
        <w:rPr>
          <w:rFonts w:ascii="Arial" w:hAnsi="Arial" w:cs="Arial"/>
        </w:rPr>
      </w:pPr>
    </w:p>
    <w:p w14:paraId="14FBE876" w14:textId="1A2CD541" w:rsidR="00F80D62" w:rsidRDefault="00D56AF3" w:rsidP="00F80D62">
      <w:pPr>
        <w:pStyle w:val="ListParagraph"/>
        <w:numPr>
          <w:ilvl w:val="0"/>
          <w:numId w:val="10"/>
        </w:numPr>
        <w:ind w:left="851" w:hanging="425"/>
        <w:rPr>
          <w:rFonts w:ascii="Arial" w:hAnsi="Arial" w:cs="Arial"/>
        </w:rPr>
      </w:pPr>
      <w:r>
        <w:rPr>
          <w:rFonts w:ascii="Arial" w:hAnsi="Arial" w:cs="Arial"/>
        </w:rPr>
        <w:t xml:space="preserve">A summary of the core detailed requirements of the commission </w:t>
      </w:r>
      <w:r w:rsidR="00FA6037">
        <w:rPr>
          <w:rFonts w:ascii="Arial" w:hAnsi="Arial" w:cs="Arial"/>
        </w:rPr>
        <w:t xml:space="preserve">by Lot </w:t>
      </w:r>
      <w:r>
        <w:rPr>
          <w:rFonts w:ascii="Arial" w:hAnsi="Arial" w:cs="Arial"/>
        </w:rPr>
        <w:t>is also outlined below in Table 3</w:t>
      </w:r>
      <w:r w:rsidR="00FA6037">
        <w:rPr>
          <w:rFonts w:ascii="Arial" w:hAnsi="Arial" w:cs="Arial"/>
        </w:rPr>
        <w:t xml:space="preserve"> and explored in detail within the relevant sections of the specification. </w:t>
      </w:r>
    </w:p>
    <w:p w14:paraId="488D1783" w14:textId="57C3312B" w:rsidR="00F80D62" w:rsidRPr="00D56AF3" w:rsidRDefault="00D56AF3" w:rsidP="00D56AF3">
      <w:pPr>
        <w:ind w:left="851"/>
        <w:rPr>
          <w:rFonts w:ascii="Arial" w:hAnsi="Arial" w:cs="Arial"/>
          <w:b/>
        </w:rPr>
      </w:pPr>
      <w:r w:rsidRPr="00D56AF3">
        <w:rPr>
          <w:rFonts w:ascii="Arial" w:hAnsi="Arial" w:cs="Arial"/>
          <w:b/>
        </w:rPr>
        <w:t>Table 3: Technical Requirements</w:t>
      </w:r>
    </w:p>
    <w:tbl>
      <w:tblPr>
        <w:tblStyle w:val="TableGrid"/>
        <w:tblW w:w="0" w:type="auto"/>
        <w:tblLook w:val="04A0" w:firstRow="1" w:lastRow="0" w:firstColumn="1" w:lastColumn="0" w:noHBand="0" w:noVBand="1"/>
      </w:tblPr>
      <w:tblGrid>
        <w:gridCol w:w="846"/>
        <w:gridCol w:w="3662"/>
        <w:gridCol w:w="4276"/>
        <w:gridCol w:w="232"/>
      </w:tblGrid>
      <w:tr w:rsidR="00D56AF3" w14:paraId="5452554E" w14:textId="77777777" w:rsidTr="00C231C0">
        <w:trPr>
          <w:gridBefore w:val="1"/>
          <w:gridAfter w:val="1"/>
          <w:wBefore w:w="846" w:type="dxa"/>
          <w:wAfter w:w="232" w:type="dxa"/>
        </w:trPr>
        <w:tc>
          <w:tcPr>
            <w:tcW w:w="3662" w:type="dxa"/>
            <w:shd w:val="clear" w:color="auto" w:fill="D9D9D9" w:themeFill="background1" w:themeFillShade="D9"/>
          </w:tcPr>
          <w:p w14:paraId="3C00C93C" w14:textId="39FAD0E6" w:rsidR="00D56AF3" w:rsidRPr="00D56AF3" w:rsidRDefault="00D56AF3" w:rsidP="00CE076C">
            <w:pPr>
              <w:tabs>
                <w:tab w:val="left" w:pos="6790"/>
              </w:tabs>
              <w:rPr>
                <w:rFonts w:ascii="Arial" w:hAnsi="Arial" w:cs="Arial"/>
                <w:b/>
              </w:rPr>
            </w:pPr>
            <w:bookmarkStart w:id="0" w:name="_Hlk135062012"/>
            <w:r w:rsidRPr="00D56AF3">
              <w:rPr>
                <w:rFonts w:ascii="Arial" w:hAnsi="Arial" w:cs="Arial"/>
                <w:b/>
              </w:rPr>
              <w:t>Area</w:t>
            </w:r>
          </w:p>
        </w:tc>
        <w:tc>
          <w:tcPr>
            <w:tcW w:w="4276" w:type="dxa"/>
            <w:shd w:val="clear" w:color="auto" w:fill="D9D9D9" w:themeFill="background1" w:themeFillShade="D9"/>
          </w:tcPr>
          <w:p w14:paraId="0534C410" w14:textId="5BC2CC48" w:rsidR="00D56AF3" w:rsidRPr="00D56AF3" w:rsidRDefault="007E4F83" w:rsidP="00CE076C">
            <w:pPr>
              <w:tabs>
                <w:tab w:val="left" w:pos="6790"/>
              </w:tabs>
              <w:rPr>
                <w:rFonts w:ascii="Arial" w:hAnsi="Arial" w:cs="Arial"/>
                <w:b/>
              </w:rPr>
            </w:pPr>
            <w:r>
              <w:rPr>
                <w:rFonts w:ascii="Arial" w:hAnsi="Arial" w:cs="Arial"/>
                <w:b/>
              </w:rPr>
              <w:t xml:space="preserve">Requirement </w:t>
            </w:r>
            <w:r w:rsidR="00D56AF3" w:rsidRPr="00D56AF3">
              <w:rPr>
                <w:rFonts w:ascii="Arial" w:hAnsi="Arial" w:cs="Arial"/>
                <w:b/>
              </w:rPr>
              <w:t>Detail</w:t>
            </w:r>
            <w:r>
              <w:rPr>
                <w:rFonts w:ascii="Arial" w:hAnsi="Arial" w:cs="Arial"/>
                <w:b/>
              </w:rPr>
              <w:t>s</w:t>
            </w:r>
          </w:p>
        </w:tc>
      </w:tr>
      <w:tr w:rsidR="007E4F83" w14:paraId="038BE784" w14:textId="77777777" w:rsidTr="00C231C0">
        <w:trPr>
          <w:gridBefore w:val="1"/>
          <w:gridAfter w:val="1"/>
          <w:wBefore w:w="846" w:type="dxa"/>
          <w:wAfter w:w="232" w:type="dxa"/>
        </w:trPr>
        <w:tc>
          <w:tcPr>
            <w:tcW w:w="7938" w:type="dxa"/>
            <w:gridSpan w:val="2"/>
            <w:shd w:val="clear" w:color="auto" w:fill="D9D9D9" w:themeFill="background1" w:themeFillShade="D9"/>
          </w:tcPr>
          <w:p w14:paraId="4B5E811C" w14:textId="52F3310F" w:rsidR="007E4F83" w:rsidRPr="007E4F83" w:rsidRDefault="007E4F83" w:rsidP="00CE076C">
            <w:pPr>
              <w:tabs>
                <w:tab w:val="left" w:pos="6790"/>
              </w:tabs>
              <w:rPr>
                <w:rFonts w:ascii="Arial" w:hAnsi="Arial" w:cs="Arial"/>
                <w:b/>
              </w:rPr>
            </w:pPr>
            <w:r w:rsidRPr="007E4F83">
              <w:rPr>
                <w:rFonts w:ascii="Arial" w:hAnsi="Arial" w:cs="Arial"/>
                <w:b/>
              </w:rPr>
              <w:t>Lot A – Employment Needs and Land Supply Study</w:t>
            </w:r>
          </w:p>
        </w:tc>
      </w:tr>
      <w:tr w:rsidR="00D56AF3" w14:paraId="543FFB43" w14:textId="77777777" w:rsidTr="00C231C0">
        <w:trPr>
          <w:gridBefore w:val="1"/>
          <w:gridAfter w:val="1"/>
          <w:wBefore w:w="846" w:type="dxa"/>
          <w:wAfter w:w="232" w:type="dxa"/>
        </w:trPr>
        <w:tc>
          <w:tcPr>
            <w:tcW w:w="3662" w:type="dxa"/>
          </w:tcPr>
          <w:p w14:paraId="1788EBA1" w14:textId="5B4EAA8E" w:rsidR="00D56AF3" w:rsidRDefault="007E4F83" w:rsidP="0062449A">
            <w:pPr>
              <w:tabs>
                <w:tab w:val="left" w:pos="6790"/>
              </w:tabs>
              <w:rPr>
                <w:rFonts w:ascii="Arial" w:hAnsi="Arial" w:cs="Arial"/>
              </w:rPr>
            </w:pPr>
            <w:r>
              <w:rPr>
                <w:rFonts w:ascii="Arial" w:hAnsi="Arial" w:cs="Arial"/>
              </w:rPr>
              <w:t>Part A – Economic Profile and Functional Economic Market Area</w:t>
            </w:r>
          </w:p>
        </w:tc>
        <w:tc>
          <w:tcPr>
            <w:tcW w:w="4276" w:type="dxa"/>
          </w:tcPr>
          <w:p w14:paraId="7D1CFB8D" w14:textId="77777777" w:rsidR="00D56AF3" w:rsidRPr="007E4F83" w:rsidRDefault="007E4F83" w:rsidP="007E4F83">
            <w:pPr>
              <w:pStyle w:val="ListParagraph"/>
              <w:numPr>
                <w:ilvl w:val="0"/>
                <w:numId w:val="30"/>
              </w:numPr>
              <w:tabs>
                <w:tab w:val="left" w:pos="6790"/>
              </w:tabs>
              <w:ind w:left="343" w:hanging="284"/>
              <w:rPr>
                <w:rFonts w:ascii="Arial" w:hAnsi="Arial" w:cs="Arial"/>
              </w:rPr>
            </w:pPr>
            <w:r w:rsidRPr="007E4F83">
              <w:rPr>
                <w:rFonts w:ascii="Arial" w:hAnsi="Arial" w:cs="Arial"/>
              </w:rPr>
              <w:t>Updated economic profile with scorecard and set of indicators.</w:t>
            </w:r>
          </w:p>
          <w:p w14:paraId="6E313A9B" w14:textId="77777777" w:rsidR="007E4F83" w:rsidRDefault="007E4F83" w:rsidP="00CE076C">
            <w:pPr>
              <w:tabs>
                <w:tab w:val="left" w:pos="6790"/>
              </w:tabs>
              <w:rPr>
                <w:rFonts w:ascii="Arial" w:hAnsi="Arial" w:cs="Arial"/>
              </w:rPr>
            </w:pPr>
          </w:p>
          <w:p w14:paraId="0CCA20CB" w14:textId="77777777" w:rsidR="007E4F83" w:rsidRDefault="007E4F83" w:rsidP="007E4F83">
            <w:pPr>
              <w:pStyle w:val="ListParagraph"/>
              <w:numPr>
                <w:ilvl w:val="0"/>
                <w:numId w:val="30"/>
              </w:numPr>
              <w:tabs>
                <w:tab w:val="left" w:pos="6790"/>
              </w:tabs>
              <w:ind w:left="343" w:hanging="284"/>
              <w:rPr>
                <w:rFonts w:ascii="Arial" w:hAnsi="Arial" w:cs="Arial"/>
              </w:rPr>
            </w:pPr>
            <w:r w:rsidRPr="007E4F83">
              <w:rPr>
                <w:rFonts w:ascii="Arial" w:hAnsi="Arial" w:cs="Arial"/>
              </w:rPr>
              <w:lastRenderedPageBreak/>
              <w:t xml:space="preserve">Updated Functional Economic Market Area </w:t>
            </w:r>
          </w:p>
          <w:p w14:paraId="7AC4355C" w14:textId="1E751598" w:rsidR="00DE7F93" w:rsidRPr="00DE7F93" w:rsidRDefault="00DE7F93" w:rsidP="00DE7F93">
            <w:pPr>
              <w:tabs>
                <w:tab w:val="left" w:pos="6790"/>
              </w:tabs>
              <w:rPr>
                <w:rFonts w:ascii="Arial" w:hAnsi="Arial" w:cs="Arial"/>
              </w:rPr>
            </w:pPr>
          </w:p>
        </w:tc>
      </w:tr>
      <w:tr w:rsidR="00D56AF3" w14:paraId="7830DE6E" w14:textId="77777777" w:rsidTr="00C231C0">
        <w:trPr>
          <w:gridBefore w:val="1"/>
          <w:gridAfter w:val="1"/>
          <w:wBefore w:w="846" w:type="dxa"/>
          <w:wAfter w:w="232" w:type="dxa"/>
        </w:trPr>
        <w:tc>
          <w:tcPr>
            <w:tcW w:w="3662" w:type="dxa"/>
          </w:tcPr>
          <w:p w14:paraId="513BA2C6" w14:textId="0B4BE0F6" w:rsidR="00D56AF3" w:rsidRDefault="007E4F83" w:rsidP="0062449A">
            <w:pPr>
              <w:tabs>
                <w:tab w:val="left" w:pos="6790"/>
              </w:tabs>
              <w:rPr>
                <w:rFonts w:ascii="Arial" w:hAnsi="Arial" w:cs="Arial"/>
              </w:rPr>
            </w:pPr>
            <w:r>
              <w:rPr>
                <w:rFonts w:ascii="Arial" w:hAnsi="Arial" w:cs="Arial"/>
              </w:rPr>
              <w:lastRenderedPageBreak/>
              <w:t>Part B – Employment Needs and Space Requirements</w:t>
            </w:r>
          </w:p>
        </w:tc>
        <w:tc>
          <w:tcPr>
            <w:tcW w:w="4276" w:type="dxa"/>
          </w:tcPr>
          <w:p w14:paraId="7D9C504D" w14:textId="77777777" w:rsidR="00D56AF3" w:rsidRDefault="007E4F83" w:rsidP="007E4F83">
            <w:pPr>
              <w:pStyle w:val="ListParagraph"/>
              <w:numPr>
                <w:ilvl w:val="0"/>
                <w:numId w:val="31"/>
              </w:numPr>
              <w:tabs>
                <w:tab w:val="left" w:pos="6790"/>
              </w:tabs>
              <w:ind w:left="343" w:hanging="284"/>
              <w:rPr>
                <w:rFonts w:ascii="Arial" w:hAnsi="Arial" w:cs="Arial"/>
              </w:rPr>
            </w:pPr>
            <w:r>
              <w:rPr>
                <w:rFonts w:ascii="Arial" w:hAnsi="Arial" w:cs="Arial"/>
              </w:rPr>
              <w:t>Methodology Paper</w:t>
            </w:r>
          </w:p>
          <w:p w14:paraId="6BBE7C2F" w14:textId="77777777" w:rsidR="007E4F83" w:rsidRDefault="00344A90" w:rsidP="007E4F83">
            <w:pPr>
              <w:pStyle w:val="ListParagraph"/>
              <w:numPr>
                <w:ilvl w:val="0"/>
                <w:numId w:val="31"/>
              </w:numPr>
              <w:tabs>
                <w:tab w:val="left" w:pos="6790"/>
              </w:tabs>
              <w:ind w:left="343" w:hanging="284"/>
              <w:rPr>
                <w:rFonts w:ascii="Arial" w:hAnsi="Arial" w:cs="Arial"/>
              </w:rPr>
            </w:pPr>
            <w:r>
              <w:rPr>
                <w:rFonts w:ascii="Arial" w:hAnsi="Arial" w:cs="Arial"/>
              </w:rPr>
              <w:t>Econometrical Forecasts x 3</w:t>
            </w:r>
          </w:p>
          <w:p w14:paraId="045EE187" w14:textId="77777777" w:rsidR="00344A90" w:rsidRDefault="00344A90" w:rsidP="007E4F83">
            <w:pPr>
              <w:pStyle w:val="ListParagraph"/>
              <w:numPr>
                <w:ilvl w:val="0"/>
                <w:numId w:val="31"/>
              </w:numPr>
              <w:tabs>
                <w:tab w:val="left" w:pos="6790"/>
              </w:tabs>
              <w:ind w:left="343" w:hanging="284"/>
              <w:rPr>
                <w:rFonts w:ascii="Arial" w:hAnsi="Arial" w:cs="Arial"/>
              </w:rPr>
            </w:pPr>
            <w:r>
              <w:rPr>
                <w:rFonts w:ascii="Arial" w:hAnsi="Arial" w:cs="Arial"/>
              </w:rPr>
              <w:t xml:space="preserve">Adjusted ‘policy on’ forecasts </w:t>
            </w:r>
          </w:p>
          <w:p w14:paraId="79E7AC1D" w14:textId="77777777" w:rsidR="00344A90" w:rsidRDefault="00344A90" w:rsidP="007E4F83">
            <w:pPr>
              <w:pStyle w:val="ListParagraph"/>
              <w:numPr>
                <w:ilvl w:val="0"/>
                <w:numId w:val="31"/>
              </w:numPr>
              <w:tabs>
                <w:tab w:val="left" w:pos="6790"/>
              </w:tabs>
              <w:ind w:left="343" w:hanging="284"/>
              <w:rPr>
                <w:rFonts w:ascii="Arial" w:hAnsi="Arial" w:cs="Arial"/>
              </w:rPr>
            </w:pPr>
            <w:r>
              <w:rPr>
                <w:rFonts w:ascii="Arial" w:hAnsi="Arial" w:cs="Arial"/>
              </w:rPr>
              <w:t xml:space="preserve">Review of past employment delivery and </w:t>
            </w:r>
            <w:r w:rsidR="00341F0B">
              <w:rPr>
                <w:rFonts w:ascii="Arial" w:hAnsi="Arial" w:cs="Arial"/>
              </w:rPr>
              <w:t xml:space="preserve">permission </w:t>
            </w:r>
            <w:r>
              <w:rPr>
                <w:rFonts w:ascii="Arial" w:hAnsi="Arial" w:cs="Arial"/>
              </w:rPr>
              <w:t>pipeline.</w:t>
            </w:r>
          </w:p>
          <w:p w14:paraId="2584CAE2" w14:textId="0152FA07" w:rsidR="00341F0B" w:rsidRDefault="00341F0B" w:rsidP="007E4F83">
            <w:pPr>
              <w:pStyle w:val="ListParagraph"/>
              <w:numPr>
                <w:ilvl w:val="0"/>
                <w:numId w:val="31"/>
              </w:numPr>
              <w:tabs>
                <w:tab w:val="left" w:pos="6790"/>
              </w:tabs>
              <w:ind w:left="343" w:hanging="284"/>
              <w:rPr>
                <w:rFonts w:ascii="Arial" w:hAnsi="Arial" w:cs="Arial"/>
              </w:rPr>
            </w:pPr>
            <w:r>
              <w:rPr>
                <w:rFonts w:ascii="Arial" w:hAnsi="Arial" w:cs="Arial"/>
              </w:rPr>
              <w:t xml:space="preserve">Define inputs for the Swindon Housing Study </w:t>
            </w:r>
          </w:p>
          <w:p w14:paraId="674E7EE9" w14:textId="2BC416E0" w:rsidR="00341F0B" w:rsidRDefault="00341F0B" w:rsidP="007E4F83">
            <w:pPr>
              <w:pStyle w:val="ListParagraph"/>
              <w:numPr>
                <w:ilvl w:val="0"/>
                <w:numId w:val="31"/>
              </w:numPr>
              <w:tabs>
                <w:tab w:val="left" w:pos="6790"/>
              </w:tabs>
              <w:ind w:left="343" w:hanging="284"/>
              <w:rPr>
                <w:rFonts w:ascii="Arial" w:hAnsi="Arial" w:cs="Arial"/>
              </w:rPr>
            </w:pPr>
            <w:r>
              <w:rPr>
                <w:rFonts w:ascii="Arial" w:hAnsi="Arial" w:cs="Arial"/>
              </w:rPr>
              <w:t>Case studies and best practice regarding town centre regeneration and growth.</w:t>
            </w:r>
          </w:p>
          <w:p w14:paraId="2FAE4833" w14:textId="15FCE9E2" w:rsidR="00341F0B" w:rsidRDefault="00341F0B" w:rsidP="007E4F83">
            <w:pPr>
              <w:pStyle w:val="ListParagraph"/>
              <w:numPr>
                <w:ilvl w:val="0"/>
                <w:numId w:val="31"/>
              </w:numPr>
              <w:tabs>
                <w:tab w:val="left" w:pos="6790"/>
              </w:tabs>
              <w:ind w:left="343" w:hanging="284"/>
              <w:rPr>
                <w:rFonts w:ascii="Arial" w:hAnsi="Arial" w:cs="Arial"/>
              </w:rPr>
            </w:pPr>
            <w:r>
              <w:rPr>
                <w:rFonts w:ascii="Arial" w:hAnsi="Arial" w:cs="Arial"/>
              </w:rPr>
              <w:t xml:space="preserve">Various areas of trend </w:t>
            </w:r>
            <w:r w:rsidR="002729E3">
              <w:rPr>
                <w:rFonts w:ascii="Arial" w:hAnsi="Arial" w:cs="Arial"/>
              </w:rPr>
              <w:t xml:space="preserve">and opportunity </w:t>
            </w:r>
            <w:r>
              <w:rPr>
                <w:rFonts w:ascii="Arial" w:hAnsi="Arial" w:cs="Arial"/>
              </w:rPr>
              <w:t>analysis</w:t>
            </w:r>
            <w:r w:rsidR="007A24A3">
              <w:rPr>
                <w:rFonts w:ascii="Arial" w:hAnsi="Arial" w:cs="Arial"/>
              </w:rPr>
              <w:t>.</w:t>
            </w:r>
          </w:p>
          <w:p w14:paraId="14309663" w14:textId="77777777" w:rsidR="00A51328" w:rsidRDefault="00A51328" w:rsidP="007E4F83">
            <w:pPr>
              <w:pStyle w:val="ListParagraph"/>
              <w:numPr>
                <w:ilvl w:val="0"/>
                <w:numId w:val="31"/>
              </w:numPr>
              <w:tabs>
                <w:tab w:val="left" w:pos="6790"/>
              </w:tabs>
              <w:ind w:left="343" w:hanging="284"/>
              <w:rPr>
                <w:rFonts w:ascii="Arial" w:hAnsi="Arial" w:cs="Arial"/>
              </w:rPr>
            </w:pPr>
            <w:r>
              <w:rPr>
                <w:rFonts w:ascii="Arial" w:hAnsi="Arial" w:cs="Arial"/>
              </w:rPr>
              <w:t>Practically applied methodology and conversion of employment forecasts to land requirements.</w:t>
            </w:r>
          </w:p>
          <w:p w14:paraId="77E06FE0" w14:textId="68A16F1D" w:rsidR="00DE7F93" w:rsidRPr="007E4F83" w:rsidRDefault="00DE7F93" w:rsidP="00DE7F93">
            <w:pPr>
              <w:pStyle w:val="ListParagraph"/>
              <w:tabs>
                <w:tab w:val="left" w:pos="6790"/>
              </w:tabs>
              <w:ind w:left="343"/>
              <w:rPr>
                <w:rFonts w:ascii="Arial" w:hAnsi="Arial" w:cs="Arial"/>
              </w:rPr>
            </w:pPr>
          </w:p>
        </w:tc>
      </w:tr>
      <w:tr w:rsidR="00415F51" w14:paraId="541CD4A3" w14:textId="77777777" w:rsidTr="00C231C0">
        <w:trPr>
          <w:gridBefore w:val="1"/>
          <w:gridAfter w:val="1"/>
          <w:wBefore w:w="846" w:type="dxa"/>
          <w:wAfter w:w="232" w:type="dxa"/>
        </w:trPr>
        <w:tc>
          <w:tcPr>
            <w:tcW w:w="3662" w:type="dxa"/>
          </w:tcPr>
          <w:p w14:paraId="591E66B1" w14:textId="6CE08A05" w:rsidR="00415F51" w:rsidRDefault="004E2BC8" w:rsidP="0062449A">
            <w:pPr>
              <w:tabs>
                <w:tab w:val="left" w:pos="6790"/>
              </w:tabs>
              <w:rPr>
                <w:rFonts w:ascii="Arial" w:hAnsi="Arial" w:cs="Arial"/>
              </w:rPr>
            </w:pPr>
            <w:r>
              <w:rPr>
                <w:rFonts w:ascii="Arial" w:hAnsi="Arial" w:cs="Arial"/>
              </w:rPr>
              <w:t xml:space="preserve">Part C – Land, Premises </w:t>
            </w:r>
            <w:r w:rsidR="00C7591E">
              <w:rPr>
                <w:rFonts w:ascii="Arial" w:hAnsi="Arial" w:cs="Arial"/>
              </w:rPr>
              <w:t>and Spaces</w:t>
            </w:r>
          </w:p>
        </w:tc>
        <w:tc>
          <w:tcPr>
            <w:tcW w:w="4276" w:type="dxa"/>
          </w:tcPr>
          <w:p w14:paraId="5E54D3C9" w14:textId="4A3608D0" w:rsidR="00415F51" w:rsidRDefault="007A24A3" w:rsidP="004E2BC8">
            <w:pPr>
              <w:pStyle w:val="ListParagraph"/>
              <w:numPr>
                <w:ilvl w:val="0"/>
                <w:numId w:val="31"/>
              </w:numPr>
              <w:tabs>
                <w:tab w:val="left" w:pos="6790"/>
              </w:tabs>
              <w:ind w:left="343" w:hanging="284"/>
              <w:rPr>
                <w:rFonts w:ascii="Arial" w:hAnsi="Arial" w:cs="Arial"/>
              </w:rPr>
            </w:pPr>
            <w:r>
              <w:rPr>
                <w:rFonts w:ascii="Arial" w:hAnsi="Arial" w:cs="Arial"/>
              </w:rPr>
              <w:t>Updated a</w:t>
            </w:r>
            <w:r w:rsidR="004E2BC8">
              <w:rPr>
                <w:rFonts w:ascii="Arial" w:hAnsi="Arial" w:cs="Arial"/>
              </w:rPr>
              <w:t>nalysis of employment floorspace within the Borough</w:t>
            </w:r>
            <w:r>
              <w:rPr>
                <w:rFonts w:ascii="Arial" w:hAnsi="Arial" w:cs="Arial"/>
              </w:rPr>
              <w:t xml:space="preserve"> and spatial distribution.</w:t>
            </w:r>
          </w:p>
          <w:p w14:paraId="68824B4C" w14:textId="42789D15" w:rsidR="007A24A3" w:rsidRDefault="007A24A3" w:rsidP="004E2BC8">
            <w:pPr>
              <w:pStyle w:val="ListParagraph"/>
              <w:numPr>
                <w:ilvl w:val="0"/>
                <w:numId w:val="31"/>
              </w:numPr>
              <w:tabs>
                <w:tab w:val="left" w:pos="6790"/>
              </w:tabs>
              <w:ind w:left="343" w:hanging="284"/>
              <w:rPr>
                <w:rFonts w:ascii="Arial" w:hAnsi="Arial" w:cs="Arial"/>
              </w:rPr>
            </w:pPr>
            <w:r>
              <w:rPr>
                <w:rFonts w:ascii="Arial" w:hAnsi="Arial" w:cs="Arial"/>
              </w:rPr>
              <w:t>Advice on an improved employment land database.</w:t>
            </w:r>
          </w:p>
          <w:p w14:paraId="3CFB15F0" w14:textId="77777777" w:rsidR="007A24A3" w:rsidRDefault="007A24A3" w:rsidP="004E2BC8">
            <w:pPr>
              <w:pStyle w:val="ListParagraph"/>
              <w:numPr>
                <w:ilvl w:val="0"/>
                <w:numId w:val="31"/>
              </w:numPr>
              <w:tabs>
                <w:tab w:val="left" w:pos="6790"/>
              </w:tabs>
              <w:ind w:left="343" w:hanging="284"/>
              <w:rPr>
                <w:rFonts w:ascii="Arial" w:hAnsi="Arial" w:cs="Arial"/>
              </w:rPr>
            </w:pPr>
            <w:r>
              <w:rPr>
                <w:rFonts w:ascii="Arial" w:hAnsi="Arial" w:cs="Arial"/>
              </w:rPr>
              <w:t>Review and analysis of</w:t>
            </w:r>
            <w:r w:rsidR="00C3642D">
              <w:rPr>
                <w:rFonts w:ascii="Arial" w:hAnsi="Arial" w:cs="Arial"/>
              </w:rPr>
              <w:t xml:space="preserve"> employment land / floorspace losses and gains.</w:t>
            </w:r>
          </w:p>
          <w:p w14:paraId="0CEFFB2E" w14:textId="0E8958DA" w:rsidR="00C3642D" w:rsidRDefault="00C3642D" w:rsidP="004E2BC8">
            <w:pPr>
              <w:pStyle w:val="ListParagraph"/>
              <w:numPr>
                <w:ilvl w:val="0"/>
                <w:numId w:val="31"/>
              </w:numPr>
              <w:tabs>
                <w:tab w:val="left" w:pos="6790"/>
              </w:tabs>
              <w:ind w:left="343" w:hanging="284"/>
              <w:rPr>
                <w:rFonts w:ascii="Arial" w:hAnsi="Arial" w:cs="Arial"/>
              </w:rPr>
            </w:pPr>
            <w:r>
              <w:rPr>
                <w:rFonts w:ascii="Arial" w:hAnsi="Arial" w:cs="Arial"/>
              </w:rPr>
              <w:t>Commercial agent property market review and interviews.</w:t>
            </w:r>
          </w:p>
          <w:p w14:paraId="2D750A6E" w14:textId="77777777" w:rsidR="00746EE1" w:rsidRDefault="00E619B9" w:rsidP="00746EE1">
            <w:pPr>
              <w:pStyle w:val="ListParagraph"/>
              <w:numPr>
                <w:ilvl w:val="0"/>
                <w:numId w:val="31"/>
              </w:numPr>
              <w:tabs>
                <w:tab w:val="left" w:pos="6790"/>
              </w:tabs>
              <w:ind w:left="343" w:hanging="284"/>
              <w:rPr>
                <w:rFonts w:ascii="Arial" w:hAnsi="Arial" w:cs="Arial"/>
              </w:rPr>
            </w:pPr>
            <w:r>
              <w:rPr>
                <w:rFonts w:ascii="Arial" w:hAnsi="Arial" w:cs="Arial"/>
              </w:rPr>
              <w:t>Detailed employment sites assessment with an agreed methodology.</w:t>
            </w:r>
          </w:p>
          <w:p w14:paraId="7E566991" w14:textId="27060831" w:rsidR="00DE7F93" w:rsidRPr="00DE7F93" w:rsidRDefault="00DE7F93" w:rsidP="00DE7F93">
            <w:pPr>
              <w:pStyle w:val="ListParagraph"/>
              <w:tabs>
                <w:tab w:val="left" w:pos="6790"/>
              </w:tabs>
              <w:ind w:left="343"/>
              <w:rPr>
                <w:rFonts w:ascii="Arial" w:hAnsi="Arial" w:cs="Arial"/>
              </w:rPr>
            </w:pPr>
          </w:p>
        </w:tc>
      </w:tr>
      <w:tr w:rsidR="00DE7F93" w14:paraId="3960753B" w14:textId="77777777" w:rsidTr="00C231C0">
        <w:trPr>
          <w:gridBefore w:val="1"/>
          <w:gridAfter w:val="1"/>
          <w:wBefore w:w="846" w:type="dxa"/>
          <w:wAfter w:w="232" w:type="dxa"/>
        </w:trPr>
        <w:tc>
          <w:tcPr>
            <w:tcW w:w="3662" w:type="dxa"/>
          </w:tcPr>
          <w:p w14:paraId="4B6800F0" w14:textId="6CEFD883" w:rsidR="00DE7F93" w:rsidRDefault="00DE7F93" w:rsidP="0062449A">
            <w:pPr>
              <w:tabs>
                <w:tab w:val="left" w:pos="6790"/>
              </w:tabs>
              <w:rPr>
                <w:rFonts w:ascii="Arial" w:hAnsi="Arial" w:cs="Arial"/>
              </w:rPr>
            </w:pPr>
            <w:r>
              <w:rPr>
                <w:rFonts w:ascii="Arial" w:hAnsi="Arial" w:cs="Arial"/>
              </w:rPr>
              <w:t>Part D – Demand and Supply Balance</w:t>
            </w:r>
          </w:p>
        </w:tc>
        <w:tc>
          <w:tcPr>
            <w:tcW w:w="4276" w:type="dxa"/>
          </w:tcPr>
          <w:p w14:paraId="38C1578B" w14:textId="77777777" w:rsidR="00DE7F93" w:rsidRDefault="00DE7F93" w:rsidP="00DE7F93">
            <w:pPr>
              <w:pStyle w:val="ListParagraph"/>
              <w:numPr>
                <w:ilvl w:val="0"/>
                <w:numId w:val="31"/>
              </w:numPr>
              <w:tabs>
                <w:tab w:val="left" w:pos="6790"/>
              </w:tabs>
              <w:ind w:left="343" w:hanging="284"/>
              <w:rPr>
                <w:rFonts w:ascii="Arial" w:hAnsi="Arial" w:cs="Arial"/>
              </w:rPr>
            </w:pPr>
            <w:r>
              <w:rPr>
                <w:rFonts w:ascii="Arial" w:hAnsi="Arial" w:cs="Arial"/>
              </w:rPr>
              <w:t>Employment land supply and need balance / equilibrium assessment</w:t>
            </w:r>
          </w:p>
          <w:p w14:paraId="6FF8DDC3" w14:textId="77777777" w:rsidR="00DE7F93" w:rsidRPr="00DE7F93" w:rsidRDefault="00DE7F93" w:rsidP="00DE7F93">
            <w:pPr>
              <w:tabs>
                <w:tab w:val="left" w:pos="6790"/>
              </w:tabs>
              <w:rPr>
                <w:rFonts w:ascii="Arial" w:hAnsi="Arial" w:cs="Arial"/>
              </w:rPr>
            </w:pPr>
          </w:p>
        </w:tc>
      </w:tr>
      <w:tr w:rsidR="00DE7F93" w14:paraId="3D3A88E5" w14:textId="77777777" w:rsidTr="00C231C0">
        <w:trPr>
          <w:gridBefore w:val="1"/>
          <w:gridAfter w:val="1"/>
          <w:wBefore w:w="846" w:type="dxa"/>
          <w:wAfter w:w="232" w:type="dxa"/>
        </w:trPr>
        <w:tc>
          <w:tcPr>
            <w:tcW w:w="3662" w:type="dxa"/>
          </w:tcPr>
          <w:p w14:paraId="357C1706" w14:textId="777EB99A" w:rsidR="00DE7F93" w:rsidRDefault="00DE7F93" w:rsidP="0062449A">
            <w:pPr>
              <w:tabs>
                <w:tab w:val="left" w:pos="6790"/>
              </w:tabs>
              <w:rPr>
                <w:rFonts w:ascii="Arial" w:hAnsi="Arial" w:cs="Arial"/>
              </w:rPr>
            </w:pPr>
            <w:r>
              <w:rPr>
                <w:rFonts w:ascii="Arial" w:hAnsi="Arial" w:cs="Arial"/>
              </w:rPr>
              <w:t>Part E – Skills Base and Future Requirements</w:t>
            </w:r>
          </w:p>
        </w:tc>
        <w:tc>
          <w:tcPr>
            <w:tcW w:w="4276" w:type="dxa"/>
          </w:tcPr>
          <w:p w14:paraId="5E39CAD5" w14:textId="77777777" w:rsidR="00DE7F93" w:rsidRDefault="00DE7F93" w:rsidP="00DE7F93">
            <w:pPr>
              <w:pStyle w:val="ListParagraph"/>
              <w:numPr>
                <w:ilvl w:val="0"/>
                <w:numId w:val="31"/>
              </w:numPr>
              <w:tabs>
                <w:tab w:val="left" w:pos="6790"/>
              </w:tabs>
              <w:ind w:left="343" w:hanging="284"/>
              <w:rPr>
                <w:rFonts w:ascii="Arial" w:hAnsi="Arial" w:cs="Arial"/>
              </w:rPr>
            </w:pPr>
            <w:r>
              <w:rPr>
                <w:rFonts w:ascii="Arial" w:hAnsi="Arial" w:cs="Arial"/>
              </w:rPr>
              <w:t xml:space="preserve">Recommendations on </w:t>
            </w:r>
            <w:r w:rsidRPr="00DE7F93">
              <w:rPr>
                <w:rFonts w:ascii="Arial" w:hAnsi="Arial" w:cs="Arial"/>
              </w:rPr>
              <w:t>skills and training pathways to support growth and meeting requirements</w:t>
            </w:r>
            <w:r>
              <w:rPr>
                <w:rFonts w:ascii="Arial" w:hAnsi="Arial" w:cs="Arial"/>
              </w:rPr>
              <w:t>.</w:t>
            </w:r>
          </w:p>
          <w:p w14:paraId="748C1625" w14:textId="7E1DF480" w:rsidR="00DE7F93" w:rsidRPr="00DE7F93" w:rsidRDefault="00DE7F93" w:rsidP="00DE7F93">
            <w:pPr>
              <w:pStyle w:val="ListParagraph"/>
              <w:tabs>
                <w:tab w:val="left" w:pos="6790"/>
              </w:tabs>
              <w:ind w:left="343"/>
              <w:rPr>
                <w:rFonts w:ascii="Arial" w:hAnsi="Arial" w:cs="Arial"/>
              </w:rPr>
            </w:pPr>
          </w:p>
        </w:tc>
      </w:tr>
      <w:tr w:rsidR="00FA6037" w14:paraId="3647FF41" w14:textId="77777777" w:rsidTr="00C231C0">
        <w:trPr>
          <w:gridBefore w:val="1"/>
          <w:gridAfter w:val="1"/>
          <w:wBefore w:w="846" w:type="dxa"/>
          <w:wAfter w:w="232" w:type="dxa"/>
        </w:trPr>
        <w:tc>
          <w:tcPr>
            <w:tcW w:w="3662" w:type="dxa"/>
          </w:tcPr>
          <w:p w14:paraId="331589FC" w14:textId="1643A7F2" w:rsidR="00FA6037" w:rsidRDefault="00FA6037" w:rsidP="0062449A">
            <w:pPr>
              <w:tabs>
                <w:tab w:val="left" w:pos="6790"/>
              </w:tabs>
              <w:rPr>
                <w:rFonts w:ascii="Arial" w:hAnsi="Arial" w:cs="Arial"/>
              </w:rPr>
            </w:pPr>
            <w:r>
              <w:rPr>
                <w:rFonts w:ascii="Arial" w:hAnsi="Arial" w:cs="Arial"/>
              </w:rPr>
              <w:t>Part F – Conclusions and Recommendations</w:t>
            </w:r>
          </w:p>
        </w:tc>
        <w:tc>
          <w:tcPr>
            <w:tcW w:w="4276" w:type="dxa"/>
          </w:tcPr>
          <w:p w14:paraId="5C5B513A" w14:textId="51FEE999" w:rsidR="00FA6037" w:rsidRDefault="00EE674D" w:rsidP="00DE7F93">
            <w:pPr>
              <w:pStyle w:val="ListParagraph"/>
              <w:numPr>
                <w:ilvl w:val="0"/>
                <w:numId w:val="31"/>
              </w:numPr>
              <w:tabs>
                <w:tab w:val="left" w:pos="6790"/>
              </w:tabs>
              <w:ind w:left="343" w:hanging="284"/>
              <w:rPr>
                <w:rFonts w:ascii="Arial" w:hAnsi="Arial" w:cs="Arial"/>
              </w:rPr>
            </w:pPr>
            <w:r>
              <w:rPr>
                <w:rFonts w:ascii="Arial" w:hAnsi="Arial" w:cs="Arial"/>
              </w:rPr>
              <w:t>A</w:t>
            </w:r>
            <w:r w:rsidR="00FA6037" w:rsidRPr="00B177C0">
              <w:rPr>
                <w:rFonts w:ascii="Arial" w:hAnsi="Arial" w:cs="Arial"/>
              </w:rPr>
              <w:t xml:space="preserve"> series of conclusions together with policy and site / spatial </w:t>
            </w:r>
            <w:r w:rsidR="00FA6037">
              <w:rPr>
                <w:rFonts w:ascii="Arial" w:hAnsi="Arial" w:cs="Arial"/>
              </w:rPr>
              <w:t xml:space="preserve">/ skills </w:t>
            </w:r>
            <w:r w:rsidR="00FA6037" w:rsidRPr="00B177C0">
              <w:rPr>
                <w:rFonts w:ascii="Arial" w:hAnsi="Arial" w:cs="Arial"/>
              </w:rPr>
              <w:t>recommendations.</w:t>
            </w:r>
          </w:p>
        </w:tc>
      </w:tr>
      <w:tr w:rsidR="007E4F83" w14:paraId="2575DC9B" w14:textId="77777777" w:rsidTr="00C231C0">
        <w:trPr>
          <w:gridBefore w:val="1"/>
          <w:gridAfter w:val="1"/>
          <w:wBefore w:w="846" w:type="dxa"/>
          <w:wAfter w:w="232" w:type="dxa"/>
        </w:trPr>
        <w:tc>
          <w:tcPr>
            <w:tcW w:w="7938" w:type="dxa"/>
            <w:gridSpan w:val="2"/>
            <w:shd w:val="clear" w:color="auto" w:fill="D9D9D9" w:themeFill="background1" w:themeFillShade="D9"/>
          </w:tcPr>
          <w:p w14:paraId="3472716B" w14:textId="65CD54EC" w:rsidR="007E4F83" w:rsidRPr="007E4F83" w:rsidRDefault="007E4F83" w:rsidP="00CE076C">
            <w:pPr>
              <w:tabs>
                <w:tab w:val="left" w:pos="6790"/>
              </w:tabs>
              <w:rPr>
                <w:rFonts w:ascii="Arial" w:hAnsi="Arial" w:cs="Arial"/>
                <w:b/>
              </w:rPr>
            </w:pPr>
            <w:r w:rsidRPr="007E4F83">
              <w:rPr>
                <w:rFonts w:ascii="Arial" w:hAnsi="Arial" w:cs="Arial"/>
                <w:b/>
              </w:rPr>
              <w:t>Lot B – Retail and Main Town Centre Uses Needs Study</w:t>
            </w:r>
          </w:p>
        </w:tc>
      </w:tr>
      <w:tr w:rsidR="006F2C9D" w14:paraId="06BF3674" w14:textId="77777777" w:rsidTr="00C231C0">
        <w:trPr>
          <w:gridBefore w:val="1"/>
          <w:gridAfter w:val="1"/>
          <w:wBefore w:w="846" w:type="dxa"/>
          <w:wAfter w:w="232" w:type="dxa"/>
        </w:trPr>
        <w:tc>
          <w:tcPr>
            <w:tcW w:w="3662" w:type="dxa"/>
          </w:tcPr>
          <w:p w14:paraId="3F686DD4" w14:textId="77777777" w:rsidR="006F2C9D" w:rsidRPr="007F510A" w:rsidRDefault="002C074E" w:rsidP="002C074E">
            <w:pPr>
              <w:pStyle w:val="Default"/>
              <w:rPr>
                <w:sz w:val="22"/>
                <w:szCs w:val="22"/>
              </w:rPr>
            </w:pPr>
            <w:r w:rsidRPr="007F510A">
              <w:rPr>
                <w:sz w:val="22"/>
                <w:szCs w:val="22"/>
              </w:rPr>
              <w:t>Part A – Retail Changes and Hierarchy of Centres</w:t>
            </w:r>
          </w:p>
          <w:p w14:paraId="359CEBC5" w14:textId="07D2DCAC" w:rsidR="002C074E" w:rsidRPr="007F510A" w:rsidRDefault="002C074E" w:rsidP="002C074E">
            <w:pPr>
              <w:pStyle w:val="Default"/>
              <w:rPr>
                <w:sz w:val="22"/>
                <w:szCs w:val="22"/>
              </w:rPr>
            </w:pPr>
          </w:p>
        </w:tc>
        <w:tc>
          <w:tcPr>
            <w:tcW w:w="4276" w:type="dxa"/>
          </w:tcPr>
          <w:p w14:paraId="7A36F107" w14:textId="33BE3155" w:rsidR="008B7C15" w:rsidRPr="007F510A" w:rsidRDefault="00EE674D" w:rsidP="00EE674D">
            <w:pPr>
              <w:pStyle w:val="ListParagraph"/>
              <w:numPr>
                <w:ilvl w:val="0"/>
                <w:numId w:val="31"/>
              </w:numPr>
              <w:tabs>
                <w:tab w:val="left" w:pos="6790"/>
              </w:tabs>
              <w:ind w:left="343" w:hanging="284"/>
              <w:rPr>
                <w:rFonts w:ascii="Arial" w:hAnsi="Arial" w:cs="Arial"/>
              </w:rPr>
            </w:pPr>
            <w:r w:rsidRPr="007F510A">
              <w:rPr>
                <w:rFonts w:ascii="Arial" w:hAnsi="Arial" w:cs="Arial"/>
              </w:rPr>
              <w:t xml:space="preserve">Strategic overview </w:t>
            </w:r>
            <w:r w:rsidR="006E4CEA" w:rsidRPr="007F510A">
              <w:rPr>
                <w:rFonts w:ascii="Arial" w:hAnsi="Arial" w:cs="Arial"/>
              </w:rPr>
              <w:t xml:space="preserve">of town centre issues </w:t>
            </w:r>
            <w:r w:rsidRPr="007F510A">
              <w:rPr>
                <w:rFonts w:ascii="Arial" w:hAnsi="Arial" w:cs="Arial"/>
              </w:rPr>
              <w:t xml:space="preserve">covering macro trends, </w:t>
            </w:r>
            <w:r w:rsidR="006E4CEA" w:rsidRPr="007F510A">
              <w:rPr>
                <w:rFonts w:ascii="Arial" w:hAnsi="Arial" w:cs="Arial"/>
              </w:rPr>
              <w:t xml:space="preserve">policy context and change, local priorities and directions. </w:t>
            </w:r>
          </w:p>
          <w:p w14:paraId="227764EB" w14:textId="77273FB2" w:rsidR="00355F01" w:rsidRPr="007F510A" w:rsidRDefault="00355F01" w:rsidP="00EE674D">
            <w:pPr>
              <w:pStyle w:val="ListParagraph"/>
              <w:numPr>
                <w:ilvl w:val="0"/>
                <w:numId w:val="31"/>
              </w:numPr>
              <w:tabs>
                <w:tab w:val="left" w:pos="6790"/>
              </w:tabs>
              <w:ind w:left="343" w:hanging="284"/>
              <w:rPr>
                <w:rFonts w:ascii="Arial" w:hAnsi="Arial" w:cs="Arial"/>
              </w:rPr>
            </w:pPr>
            <w:r w:rsidRPr="007F510A">
              <w:rPr>
                <w:rFonts w:ascii="Arial" w:hAnsi="Arial" w:cs="Arial"/>
                <w:color w:val="000000"/>
              </w:rPr>
              <w:t>Update of the retail destination assessment using an appropriate comparative matrix and catchment area.</w:t>
            </w:r>
          </w:p>
          <w:p w14:paraId="600DA6A7" w14:textId="188E04E6" w:rsidR="006E4CEA" w:rsidRPr="007F510A" w:rsidRDefault="00A50B77" w:rsidP="008A1725">
            <w:pPr>
              <w:pStyle w:val="ListParagraph"/>
              <w:numPr>
                <w:ilvl w:val="0"/>
                <w:numId w:val="31"/>
              </w:numPr>
              <w:tabs>
                <w:tab w:val="left" w:pos="6790"/>
              </w:tabs>
              <w:ind w:left="343" w:hanging="284"/>
              <w:rPr>
                <w:rFonts w:ascii="Arial" w:hAnsi="Arial" w:cs="Arial"/>
              </w:rPr>
            </w:pPr>
            <w:r w:rsidRPr="007F510A">
              <w:rPr>
                <w:rFonts w:ascii="Arial" w:hAnsi="Arial" w:cs="Arial"/>
              </w:rPr>
              <w:t xml:space="preserve">Hierarchy of centres </w:t>
            </w:r>
            <w:r w:rsidR="003864B3" w:rsidRPr="007F510A">
              <w:rPr>
                <w:rFonts w:ascii="Arial" w:hAnsi="Arial" w:cs="Arial"/>
              </w:rPr>
              <w:t>– review and sense check.</w:t>
            </w:r>
          </w:p>
        </w:tc>
      </w:tr>
      <w:tr w:rsidR="002C074E" w14:paraId="3444321D" w14:textId="77777777" w:rsidTr="00C231C0">
        <w:trPr>
          <w:gridBefore w:val="1"/>
          <w:gridAfter w:val="1"/>
          <w:wBefore w:w="846" w:type="dxa"/>
          <w:wAfter w:w="232" w:type="dxa"/>
        </w:trPr>
        <w:tc>
          <w:tcPr>
            <w:tcW w:w="3662" w:type="dxa"/>
          </w:tcPr>
          <w:p w14:paraId="192C9B4A" w14:textId="77777777" w:rsidR="008A1725" w:rsidRPr="007F510A" w:rsidRDefault="008A1725" w:rsidP="008A1725">
            <w:pPr>
              <w:pStyle w:val="Default"/>
              <w:rPr>
                <w:sz w:val="22"/>
                <w:szCs w:val="22"/>
              </w:rPr>
            </w:pPr>
            <w:r w:rsidRPr="007F510A">
              <w:rPr>
                <w:sz w:val="22"/>
                <w:szCs w:val="22"/>
              </w:rPr>
              <w:lastRenderedPageBreak/>
              <w:t>Part B – Retail and Service Provision: Centre Health Checks</w:t>
            </w:r>
          </w:p>
          <w:p w14:paraId="68A0025D" w14:textId="77777777" w:rsidR="002C074E" w:rsidRPr="007F510A" w:rsidRDefault="002C074E" w:rsidP="00CE076C">
            <w:pPr>
              <w:tabs>
                <w:tab w:val="left" w:pos="6790"/>
              </w:tabs>
              <w:rPr>
                <w:rFonts w:ascii="Arial" w:hAnsi="Arial" w:cs="Arial"/>
              </w:rPr>
            </w:pPr>
          </w:p>
        </w:tc>
        <w:tc>
          <w:tcPr>
            <w:tcW w:w="4276" w:type="dxa"/>
          </w:tcPr>
          <w:p w14:paraId="453B3014" w14:textId="3515C8D5" w:rsidR="007F510A" w:rsidRPr="007F510A" w:rsidRDefault="007F510A" w:rsidP="007F510A">
            <w:pPr>
              <w:pStyle w:val="ListParagraph"/>
              <w:numPr>
                <w:ilvl w:val="0"/>
                <w:numId w:val="31"/>
              </w:numPr>
              <w:ind w:left="343" w:hanging="284"/>
              <w:rPr>
                <w:rFonts w:ascii="Arial" w:hAnsi="Arial" w:cs="Arial"/>
              </w:rPr>
            </w:pPr>
            <w:r w:rsidRPr="007F510A">
              <w:rPr>
                <w:rFonts w:ascii="Arial" w:hAnsi="Arial" w:cs="Arial"/>
              </w:rPr>
              <w:t>Health Check methodology.</w:t>
            </w:r>
          </w:p>
          <w:p w14:paraId="29CCE50E" w14:textId="0631F2C5" w:rsidR="007F510A" w:rsidRPr="007F510A" w:rsidRDefault="007F510A" w:rsidP="007F510A">
            <w:pPr>
              <w:pStyle w:val="ListParagraph"/>
              <w:numPr>
                <w:ilvl w:val="0"/>
                <w:numId w:val="31"/>
              </w:numPr>
              <w:tabs>
                <w:tab w:val="left" w:pos="6790"/>
              </w:tabs>
              <w:ind w:left="343" w:hanging="284"/>
              <w:rPr>
                <w:rFonts w:ascii="Arial" w:hAnsi="Arial" w:cs="Arial"/>
              </w:rPr>
            </w:pPr>
            <w:r w:rsidRPr="007F510A">
              <w:rPr>
                <w:rFonts w:ascii="Arial" w:hAnsi="Arial" w:cs="Arial"/>
              </w:rPr>
              <w:t xml:space="preserve">Population profile. </w:t>
            </w:r>
          </w:p>
          <w:p w14:paraId="347C05CE" w14:textId="77777777" w:rsidR="007F510A" w:rsidRPr="007F510A" w:rsidRDefault="007F510A" w:rsidP="007F510A">
            <w:pPr>
              <w:pStyle w:val="ListParagraph"/>
              <w:numPr>
                <w:ilvl w:val="0"/>
                <w:numId w:val="31"/>
              </w:numPr>
              <w:tabs>
                <w:tab w:val="left" w:pos="6790"/>
              </w:tabs>
              <w:ind w:left="343" w:hanging="284"/>
              <w:rPr>
                <w:rFonts w:ascii="Arial" w:hAnsi="Arial" w:cs="Arial"/>
              </w:rPr>
            </w:pPr>
            <w:r w:rsidRPr="007F510A">
              <w:rPr>
                <w:rFonts w:ascii="Arial" w:hAnsi="Arial" w:cs="Arial"/>
              </w:rPr>
              <w:t>Trend and comparative analysis of mix of retailers and occupancy including vacancy rates.</w:t>
            </w:r>
          </w:p>
          <w:p w14:paraId="14F780C3" w14:textId="77777777" w:rsidR="007F510A" w:rsidRPr="007F510A" w:rsidRDefault="007F510A" w:rsidP="007F510A">
            <w:pPr>
              <w:pStyle w:val="ListParagraph"/>
              <w:numPr>
                <w:ilvl w:val="0"/>
                <w:numId w:val="31"/>
              </w:numPr>
              <w:tabs>
                <w:tab w:val="left" w:pos="6790"/>
              </w:tabs>
              <w:ind w:left="343" w:hanging="284"/>
              <w:rPr>
                <w:rFonts w:ascii="Arial" w:hAnsi="Arial" w:cs="Arial"/>
              </w:rPr>
            </w:pPr>
            <w:r w:rsidRPr="007F510A">
              <w:rPr>
                <w:rFonts w:ascii="Arial" w:hAnsi="Arial" w:cs="Arial"/>
              </w:rPr>
              <w:t>Breakdown, summary and comparative analysis of retailer representation.</w:t>
            </w:r>
          </w:p>
          <w:p w14:paraId="761372E8" w14:textId="77777777" w:rsidR="007F510A" w:rsidRPr="007F510A" w:rsidRDefault="007F510A" w:rsidP="007F510A">
            <w:pPr>
              <w:pStyle w:val="ListParagraph"/>
              <w:numPr>
                <w:ilvl w:val="0"/>
                <w:numId w:val="31"/>
              </w:numPr>
              <w:tabs>
                <w:tab w:val="left" w:pos="6790"/>
              </w:tabs>
              <w:ind w:left="343" w:hanging="284"/>
              <w:rPr>
                <w:rFonts w:ascii="Arial" w:hAnsi="Arial" w:cs="Arial"/>
              </w:rPr>
            </w:pPr>
            <w:r w:rsidRPr="007F510A">
              <w:rPr>
                <w:rFonts w:ascii="Arial" w:hAnsi="Arial" w:cs="Arial"/>
              </w:rPr>
              <w:t>Breakdown, summary and comparative analysis of non-retailer representation.</w:t>
            </w:r>
          </w:p>
          <w:p w14:paraId="632C25B7" w14:textId="77777777" w:rsidR="007F510A" w:rsidRPr="007F510A" w:rsidRDefault="007F510A" w:rsidP="007F510A">
            <w:pPr>
              <w:pStyle w:val="ListParagraph"/>
              <w:numPr>
                <w:ilvl w:val="0"/>
                <w:numId w:val="31"/>
              </w:numPr>
              <w:tabs>
                <w:tab w:val="left" w:pos="6790"/>
              </w:tabs>
              <w:ind w:left="343" w:hanging="284"/>
              <w:rPr>
                <w:rFonts w:ascii="Arial" w:hAnsi="Arial" w:cs="Arial"/>
              </w:rPr>
            </w:pPr>
            <w:r w:rsidRPr="007F510A">
              <w:rPr>
                <w:rFonts w:ascii="Arial" w:hAnsi="Arial" w:cs="Arial"/>
              </w:rPr>
              <w:t>Audit of the centres according to agreed criteria with Council support.</w:t>
            </w:r>
          </w:p>
          <w:p w14:paraId="23E07D65" w14:textId="5329B4BF" w:rsidR="007F510A" w:rsidRPr="007F510A" w:rsidRDefault="007F510A" w:rsidP="007F510A">
            <w:pPr>
              <w:pStyle w:val="ListParagraph"/>
              <w:numPr>
                <w:ilvl w:val="0"/>
                <w:numId w:val="31"/>
              </w:numPr>
              <w:tabs>
                <w:tab w:val="left" w:pos="6790"/>
              </w:tabs>
              <w:ind w:left="343" w:hanging="284"/>
              <w:rPr>
                <w:rFonts w:ascii="Arial" w:hAnsi="Arial" w:cs="Arial"/>
              </w:rPr>
            </w:pPr>
            <w:r w:rsidRPr="007F510A">
              <w:rPr>
                <w:rFonts w:ascii="Arial" w:hAnsi="Arial" w:cs="Arial"/>
              </w:rPr>
              <w:t>Household survey – questionnaire to be agreed with the Council.</w:t>
            </w:r>
          </w:p>
          <w:p w14:paraId="6AB7A1C2" w14:textId="3408A861" w:rsidR="007F510A" w:rsidRPr="007F510A" w:rsidRDefault="007F510A" w:rsidP="007F510A">
            <w:pPr>
              <w:pStyle w:val="ListParagraph"/>
              <w:numPr>
                <w:ilvl w:val="0"/>
                <w:numId w:val="31"/>
              </w:numPr>
              <w:tabs>
                <w:tab w:val="left" w:pos="6790"/>
              </w:tabs>
              <w:ind w:left="343" w:hanging="284"/>
              <w:rPr>
                <w:rFonts w:ascii="Arial" w:hAnsi="Arial" w:cs="Arial"/>
              </w:rPr>
            </w:pPr>
            <w:r>
              <w:rPr>
                <w:rFonts w:ascii="Arial" w:hAnsi="Arial" w:cs="Arial"/>
              </w:rPr>
              <w:t>P</w:t>
            </w:r>
            <w:r w:rsidR="001213D5" w:rsidRPr="007F510A">
              <w:rPr>
                <w:rFonts w:ascii="Arial" w:hAnsi="Arial" w:cs="Arial"/>
              </w:rPr>
              <w:t>otential shopper street survey.</w:t>
            </w:r>
          </w:p>
          <w:p w14:paraId="5D878D4A" w14:textId="38FBE026" w:rsidR="00E71B2C" w:rsidRPr="007F510A" w:rsidRDefault="001213D5" w:rsidP="00E71B2C">
            <w:pPr>
              <w:pStyle w:val="ListParagraph"/>
              <w:numPr>
                <w:ilvl w:val="0"/>
                <w:numId w:val="31"/>
              </w:numPr>
              <w:tabs>
                <w:tab w:val="left" w:pos="6790"/>
              </w:tabs>
              <w:ind w:left="343" w:hanging="284"/>
              <w:rPr>
                <w:rFonts w:ascii="Arial" w:hAnsi="Arial" w:cs="Arial"/>
              </w:rPr>
            </w:pPr>
            <w:r w:rsidRPr="007F510A">
              <w:rPr>
                <w:rFonts w:ascii="Arial" w:hAnsi="Arial" w:cs="Arial"/>
              </w:rPr>
              <w:t xml:space="preserve">Commercial information </w:t>
            </w:r>
            <w:r w:rsidR="007F510A">
              <w:rPr>
                <w:rFonts w:ascii="Arial" w:hAnsi="Arial" w:cs="Arial"/>
              </w:rPr>
              <w:t xml:space="preserve">and local </w:t>
            </w:r>
            <w:r w:rsidRPr="007F510A">
              <w:rPr>
                <w:rFonts w:ascii="Arial" w:hAnsi="Arial" w:cs="Arial"/>
              </w:rPr>
              <w:t>agents</w:t>
            </w:r>
            <w:r w:rsidR="007F510A">
              <w:rPr>
                <w:rFonts w:ascii="Arial" w:hAnsi="Arial" w:cs="Arial"/>
              </w:rPr>
              <w:t>’</w:t>
            </w:r>
            <w:r w:rsidRPr="007F510A">
              <w:rPr>
                <w:rFonts w:ascii="Arial" w:hAnsi="Arial" w:cs="Arial"/>
              </w:rPr>
              <w:t xml:space="preserve"> interviews.</w:t>
            </w:r>
          </w:p>
        </w:tc>
      </w:tr>
      <w:tr w:rsidR="001213D5" w14:paraId="3823BD45" w14:textId="77777777" w:rsidTr="00C231C0">
        <w:trPr>
          <w:gridBefore w:val="1"/>
          <w:gridAfter w:val="1"/>
          <w:wBefore w:w="846" w:type="dxa"/>
          <w:wAfter w:w="232" w:type="dxa"/>
        </w:trPr>
        <w:tc>
          <w:tcPr>
            <w:tcW w:w="3662" w:type="dxa"/>
          </w:tcPr>
          <w:p w14:paraId="66E9E6DF" w14:textId="42EC5F83" w:rsidR="001213D5" w:rsidRPr="007F510A" w:rsidRDefault="00491B65" w:rsidP="008A1725">
            <w:pPr>
              <w:pStyle w:val="Default"/>
              <w:rPr>
                <w:sz w:val="22"/>
                <w:szCs w:val="22"/>
              </w:rPr>
            </w:pPr>
            <w:r w:rsidRPr="007F510A">
              <w:rPr>
                <w:sz w:val="22"/>
                <w:szCs w:val="22"/>
              </w:rPr>
              <w:t>Part C – Establishing Future Needs</w:t>
            </w:r>
          </w:p>
          <w:p w14:paraId="7561637C" w14:textId="77777777" w:rsidR="001213D5" w:rsidRPr="007F510A" w:rsidRDefault="001213D5" w:rsidP="008A1725">
            <w:pPr>
              <w:pStyle w:val="Default"/>
              <w:rPr>
                <w:sz w:val="22"/>
                <w:szCs w:val="22"/>
              </w:rPr>
            </w:pPr>
          </w:p>
          <w:p w14:paraId="125AE3A7" w14:textId="77777777" w:rsidR="001213D5" w:rsidRPr="007F510A" w:rsidRDefault="001213D5" w:rsidP="008A1725">
            <w:pPr>
              <w:pStyle w:val="Default"/>
              <w:rPr>
                <w:sz w:val="22"/>
                <w:szCs w:val="22"/>
              </w:rPr>
            </w:pPr>
          </w:p>
          <w:p w14:paraId="72503EDC" w14:textId="77777777" w:rsidR="001213D5" w:rsidRPr="007F510A" w:rsidRDefault="001213D5" w:rsidP="008A1725">
            <w:pPr>
              <w:pStyle w:val="Default"/>
              <w:rPr>
                <w:sz w:val="22"/>
                <w:szCs w:val="22"/>
              </w:rPr>
            </w:pPr>
          </w:p>
          <w:p w14:paraId="0C4D5AF8" w14:textId="77777777" w:rsidR="001213D5" w:rsidRPr="007F510A" w:rsidRDefault="001213D5" w:rsidP="008A1725">
            <w:pPr>
              <w:pStyle w:val="Default"/>
              <w:rPr>
                <w:sz w:val="22"/>
                <w:szCs w:val="22"/>
              </w:rPr>
            </w:pPr>
          </w:p>
          <w:p w14:paraId="0AF73D7A" w14:textId="0B88706A" w:rsidR="001213D5" w:rsidRPr="007F510A" w:rsidRDefault="001213D5" w:rsidP="008A1725">
            <w:pPr>
              <w:pStyle w:val="Default"/>
              <w:rPr>
                <w:sz w:val="22"/>
                <w:szCs w:val="22"/>
              </w:rPr>
            </w:pPr>
          </w:p>
        </w:tc>
        <w:tc>
          <w:tcPr>
            <w:tcW w:w="4276" w:type="dxa"/>
          </w:tcPr>
          <w:p w14:paraId="37D1D2CD" w14:textId="34B0B4E7" w:rsidR="00B26C62" w:rsidRPr="00B556FC" w:rsidRDefault="00B26C62" w:rsidP="00E71B2C">
            <w:pPr>
              <w:pStyle w:val="ListParagraph"/>
              <w:numPr>
                <w:ilvl w:val="0"/>
                <w:numId w:val="34"/>
              </w:numPr>
              <w:tabs>
                <w:tab w:val="left" w:pos="6790"/>
              </w:tabs>
              <w:ind w:left="343" w:hanging="284"/>
              <w:rPr>
                <w:rFonts w:ascii="Arial" w:hAnsi="Arial" w:cs="Arial"/>
              </w:rPr>
            </w:pPr>
            <w:r w:rsidRPr="00B556FC">
              <w:rPr>
                <w:rFonts w:ascii="Arial" w:hAnsi="Arial" w:cs="Arial"/>
              </w:rPr>
              <w:t>Methodology – retail floorspace forec</w:t>
            </w:r>
            <w:r w:rsidR="000070C7" w:rsidRPr="00B556FC">
              <w:rPr>
                <w:rFonts w:ascii="Arial" w:hAnsi="Arial" w:cs="Arial"/>
              </w:rPr>
              <w:t>asting.</w:t>
            </w:r>
          </w:p>
          <w:p w14:paraId="3AC02BB8" w14:textId="1A408242" w:rsidR="001213D5" w:rsidRPr="00B556FC" w:rsidRDefault="00E71B2C" w:rsidP="00E71B2C">
            <w:pPr>
              <w:pStyle w:val="ListParagraph"/>
              <w:numPr>
                <w:ilvl w:val="0"/>
                <w:numId w:val="34"/>
              </w:numPr>
              <w:tabs>
                <w:tab w:val="left" w:pos="6790"/>
              </w:tabs>
              <w:ind w:left="343" w:hanging="284"/>
              <w:rPr>
                <w:rFonts w:ascii="Arial" w:hAnsi="Arial" w:cs="Arial"/>
              </w:rPr>
            </w:pPr>
            <w:r w:rsidRPr="00B556FC">
              <w:rPr>
                <w:rFonts w:ascii="Arial" w:hAnsi="Arial" w:cs="Arial"/>
              </w:rPr>
              <w:t>High-level assessment of retail trends.</w:t>
            </w:r>
          </w:p>
          <w:p w14:paraId="6DB8ABB9" w14:textId="460AA573" w:rsidR="00E71B2C" w:rsidRPr="00B556FC" w:rsidRDefault="00E71B2C" w:rsidP="00E71B2C">
            <w:pPr>
              <w:pStyle w:val="ListParagraph"/>
              <w:numPr>
                <w:ilvl w:val="0"/>
                <w:numId w:val="34"/>
              </w:numPr>
              <w:tabs>
                <w:tab w:val="left" w:pos="6790"/>
              </w:tabs>
              <w:ind w:left="343" w:hanging="284"/>
              <w:rPr>
                <w:rFonts w:ascii="Arial" w:hAnsi="Arial" w:cs="Arial"/>
              </w:rPr>
            </w:pPr>
            <w:r w:rsidRPr="00B556FC">
              <w:rPr>
                <w:rFonts w:ascii="Arial" w:hAnsi="Arial" w:cs="Arial"/>
              </w:rPr>
              <w:t>Population and expenditure forecasts.</w:t>
            </w:r>
          </w:p>
          <w:p w14:paraId="2C8F6440" w14:textId="76C0C705" w:rsidR="00E71B2C" w:rsidRPr="00B556FC" w:rsidRDefault="000070C7" w:rsidP="000070C7">
            <w:pPr>
              <w:pStyle w:val="ListParagraph"/>
              <w:numPr>
                <w:ilvl w:val="0"/>
                <w:numId w:val="34"/>
              </w:numPr>
              <w:ind w:left="343" w:hanging="284"/>
              <w:rPr>
                <w:rFonts w:ascii="Arial" w:hAnsi="Arial" w:cs="Arial"/>
              </w:rPr>
            </w:pPr>
            <w:r w:rsidRPr="00B556FC">
              <w:rPr>
                <w:rFonts w:ascii="Arial" w:hAnsi="Arial" w:cs="Arial"/>
              </w:rPr>
              <w:t>Borough quantitative and qualitative forecasts for comparison and convenience floorspace.</w:t>
            </w:r>
          </w:p>
          <w:p w14:paraId="10796099" w14:textId="33485770" w:rsidR="00E71B2C" w:rsidRPr="00B556FC" w:rsidRDefault="00E71B2C" w:rsidP="00E71B2C">
            <w:pPr>
              <w:pStyle w:val="ListParagraph"/>
              <w:numPr>
                <w:ilvl w:val="0"/>
                <w:numId w:val="34"/>
              </w:numPr>
              <w:tabs>
                <w:tab w:val="left" w:pos="6790"/>
              </w:tabs>
              <w:ind w:left="343" w:hanging="284"/>
              <w:rPr>
                <w:rFonts w:ascii="Arial" w:hAnsi="Arial" w:cs="Arial"/>
              </w:rPr>
            </w:pPr>
            <w:r w:rsidRPr="00B556FC">
              <w:rPr>
                <w:rFonts w:ascii="Arial" w:hAnsi="Arial" w:cs="Arial"/>
              </w:rPr>
              <w:t xml:space="preserve">Town centre </w:t>
            </w:r>
            <w:r w:rsidR="000070C7" w:rsidRPr="00B556FC">
              <w:rPr>
                <w:rFonts w:ascii="Arial" w:hAnsi="Arial" w:cs="Arial"/>
              </w:rPr>
              <w:t xml:space="preserve">and other centres </w:t>
            </w:r>
            <w:r w:rsidRPr="00B556FC">
              <w:rPr>
                <w:rFonts w:ascii="Arial" w:hAnsi="Arial" w:cs="Arial"/>
              </w:rPr>
              <w:t>position statement</w:t>
            </w:r>
            <w:r w:rsidR="000070C7" w:rsidRPr="00B556FC">
              <w:rPr>
                <w:rFonts w:ascii="Arial" w:hAnsi="Arial" w:cs="Arial"/>
              </w:rPr>
              <w:t>(s).</w:t>
            </w:r>
          </w:p>
          <w:p w14:paraId="794F26AC" w14:textId="3549FF07" w:rsidR="000070C7" w:rsidRDefault="000070C7" w:rsidP="00E71B2C">
            <w:pPr>
              <w:pStyle w:val="ListParagraph"/>
              <w:numPr>
                <w:ilvl w:val="0"/>
                <w:numId w:val="34"/>
              </w:numPr>
              <w:tabs>
                <w:tab w:val="left" w:pos="6790"/>
              </w:tabs>
              <w:ind w:left="343" w:hanging="284"/>
              <w:rPr>
                <w:rFonts w:ascii="Arial" w:hAnsi="Arial" w:cs="Arial"/>
              </w:rPr>
            </w:pPr>
            <w:r w:rsidRPr="00B556FC">
              <w:rPr>
                <w:rFonts w:ascii="Arial" w:hAnsi="Arial" w:cs="Arial"/>
              </w:rPr>
              <w:t xml:space="preserve">Online retail and distribution – futures paper. </w:t>
            </w:r>
          </w:p>
          <w:p w14:paraId="72C97A18" w14:textId="44BA770B" w:rsidR="00437513" w:rsidRPr="00B556FC" w:rsidRDefault="00437513" w:rsidP="00E71B2C">
            <w:pPr>
              <w:pStyle w:val="ListParagraph"/>
              <w:numPr>
                <w:ilvl w:val="0"/>
                <w:numId w:val="34"/>
              </w:numPr>
              <w:tabs>
                <w:tab w:val="left" w:pos="6790"/>
              </w:tabs>
              <w:ind w:left="343" w:hanging="284"/>
              <w:rPr>
                <w:rFonts w:ascii="Arial" w:hAnsi="Arial" w:cs="Arial"/>
              </w:rPr>
            </w:pPr>
            <w:r>
              <w:rPr>
                <w:rFonts w:ascii="Arial" w:hAnsi="Arial" w:cs="Arial"/>
              </w:rPr>
              <w:t>Recommendations concerning town centre strategy, reducing vacancy levels</w:t>
            </w:r>
            <w:r w:rsidR="00DA4E75">
              <w:rPr>
                <w:rFonts w:ascii="Arial" w:hAnsi="Arial" w:cs="Arial"/>
              </w:rPr>
              <w:t>, lower grade town centre uses</w:t>
            </w:r>
            <w:r>
              <w:rPr>
                <w:rFonts w:ascii="Arial" w:hAnsi="Arial" w:cs="Arial"/>
              </w:rPr>
              <w:t xml:space="preserve"> and areas of future risk.</w:t>
            </w:r>
          </w:p>
          <w:p w14:paraId="49FE3428" w14:textId="1EB8D176" w:rsidR="000070C7" w:rsidRPr="000070C7" w:rsidRDefault="00BA74F3" w:rsidP="000070C7">
            <w:pPr>
              <w:pStyle w:val="ListParagraph"/>
              <w:numPr>
                <w:ilvl w:val="0"/>
                <w:numId w:val="34"/>
              </w:numPr>
              <w:tabs>
                <w:tab w:val="left" w:pos="6790"/>
              </w:tabs>
              <w:ind w:left="343" w:hanging="284"/>
              <w:rPr>
                <w:rFonts w:ascii="Arial" w:hAnsi="Arial" w:cs="Arial"/>
              </w:rPr>
            </w:pPr>
            <w:r w:rsidRPr="007F510A">
              <w:rPr>
                <w:rFonts w:ascii="Arial" w:hAnsi="Arial" w:cs="Arial"/>
              </w:rPr>
              <w:t>Stakeholder workshop</w:t>
            </w:r>
          </w:p>
        </w:tc>
      </w:tr>
      <w:tr w:rsidR="002C074E" w14:paraId="5095B6CB" w14:textId="77777777" w:rsidTr="00C231C0">
        <w:trPr>
          <w:gridBefore w:val="1"/>
          <w:gridAfter w:val="1"/>
          <w:wBefore w:w="846" w:type="dxa"/>
          <w:wAfter w:w="232" w:type="dxa"/>
        </w:trPr>
        <w:tc>
          <w:tcPr>
            <w:tcW w:w="3662" w:type="dxa"/>
          </w:tcPr>
          <w:p w14:paraId="1CF8AAED" w14:textId="420F819A" w:rsidR="002C074E" w:rsidRPr="007F510A" w:rsidRDefault="00E666B1" w:rsidP="00CE076C">
            <w:pPr>
              <w:tabs>
                <w:tab w:val="left" w:pos="6790"/>
              </w:tabs>
              <w:rPr>
                <w:rFonts w:ascii="Arial" w:hAnsi="Arial" w:cs="Arial"/>
              </w:rPr>
            </w:pPr>
            <w:r w:rsidRPr="007F510A">
              <w:rPr>
                <w:rFonts w:ascii="Arial" w:hAnsi="Arial" w:cs="Arial"/>
              </w:rPr>
              <w:t xml:space="preserve">Part D – Defining Policies and Parameters </w:t>
            </w:r>
          </w:p>
        </w:tc>
        <w:tc>
          <w:tcPr>
            <w:tcW w:w="4276" w:type="dxa"/>
          </w:tcPr>
          <w:p w14:paraId="76E8DE83" w14:textId="7816E69F" w:rsidR="00E666B1" w:rsidRPr="007F510A" w:rsidRDefault="00E666B1" w:rsidP="00E666B1">
            <w:pPr>
              <w:pStyle w:val="Default"/>
              <w:numPr>
                <w:ilvl w:val="0"/>
                <w:numId w:val="26"/>
              </w:numPr>
              <w:ind w:left="343" w:hanging="284"/>
              <w:rPr>
                <w:sz w:val="22"/>
                <w:szCs w:val="22"/>
              </w:rPr>
            </w:pPr>
            <w:r w:rsidRPr="007F510A">
              <w:rPr>
                <w:sz w:val="22"/>
                <w:szCs w:val="22"/>
              </w:rPr>
              <w:t>Define a robust network and hierarchy of town centres.</w:t>
            </w:r>
          </w:p>
          <w:p w14:paraId="441E5B28" w14:textId="47FEE16C" w:rsidR="000070C7" w:rsidRDefault="00E666B1" w:rsidP="000070C7">
            <w:pPr>
              <w:pStyle w:val="Default"/>
              <w:numPr>
                <w:ilvl w:val="0"/>
                <w:numId w:val="26"/>
              </w:numPr>
              <w:ind w:left="343" w:hanging="284"/>
              <w:rPr>
                <w:sz w:val="22"/>
                <w:szCs w:val="22"/>
              </w:rPr>
            </w:pPr>
            <w:r w:rsidRPr="007F510A">
              <w:rPr>
                <w:sz w:val="22"/>
                <w:szCs w:val="22"/>
              </w:rPr>
              <w:t xml:space="preserve">Defining the extent of town centres </w:t>
            </w:r>
            <w:r w:rsidR="000070C7">
              <w:rPr>
                <w:sz w:val="22"/>
                <w:szCs w:val="22"/>
              </w:rPr>
              <w:t>including</w:t>
            </w:r>
            <w:r w:rsidRPr="007F510A">
              <w:rPr>
                <w:sz w:val="22"/>
                <w:szCs w:val="22"/>
              </w:rPr>
              <w:t xml:space="preserve"> primary shopping areas, and make clear the range of uses permitted in such locations. </w:t>
            </w:r>
          </w:p>
          <w:p w14:paraId="181AB668" w14:textId="1412ED4F" w:rsidR="00B826F6" w:rsidRPr="00B826F6" w:rsidRDefault="00B826F6" w:rsidP="00B826F6">
            <w:pPr>
              <w:pStyle w:val="ListParagraph"/>
              <w:numPr>
                <w:ilvl w:val="0"/>
                <w:numId w:val="26"/>
              </w:numPr>
              <w:ind w:left="343" w:hanging="284"/>
              <w:rPr>
                <w:rFonts w:ascii="Arial" w:hAnsi="Arial" w:cs="Arial"/>
                <w:color w:val="000000"/>
              </w:rPr>
            </w:pPr>
            <w:r w:rsidRPr="00B826F6">
              <w:rPr>
                <w:rFonts w:ascii="Arial" w:hAnsi="Arial" w:cs="Arial"/>
                <w:color w:val="000000"/>
              </w:rPr>
              <w:t>Setting the broad scale, range and type of twin centre use development likely to be needed.</w:t>
            </w:r>
          </w:p>
          <w:p w14:paraId="58112EC4" w14:textId="3B736694" w:rsidR="000070C7" w:rsidRPr="00B2519C" w:rsidRDefault="000070C7" w:rsidP="000070C7">
            <w:pPr>
              <w:pStyle w:val="Default"/>
              <w:numPr>
                <w:ilvl w:val="0"/>
                <w:numId w:val="26"/>
              </w:numPr>
              <w:ind w:left="343" w:hanging="284"/>
              <w:rPr>
                <w:sz w:val="20"/>
              </w:rPr>
            </w:pPr>
            <w:r w:rsidRPr="00B2519C">
              <w:rPr>
                <w:sz w:val="22"/>
              </w:rPr>
              <w:t>Establish a locally set floorspace threshold for applications for retail and leisure development for which above the threshold floorspace level impact assessments will be required.</w:t>
            </w:r>
          </w:p>
          <w:p w14:paraId="0AC20710" w14:textId="5D5A3E98" w:rsidR="002C074E" w:rsidRPr="00B826F6" w:rsidRDefault="000070C7" w:rsidP="00B826F6">
            <w:pPr>
              <w:pStyle w:val="Default"/>
              <w:numPr>
                <w:ilvl w:val="0"/>
                <w:numId w:val="26"/>
              </w:numPr>
              <w:ind w:left="343" w:hanging="284"/>
              <w:rPr>
                <w:sz w:val="22"/>
                <w:szCs w:val="22"/>
              </w:rPr>
            </w:pPr>
            <w:r w:rsidRPr="00B826F6">
              <w:rPr>
                <w:sz w:val="22"/>
                <w:szCs w:val="22"/>
              </w:rPr>
              <w:t>Scoping the extent of a sequential test framework</w:t>
            </w:r>
            <w:r w:rsidR="00B826F6">
              <w:rPr>
                <w:sz w:val="22"/>
                <w:szCs w:val="22"/>
              </w:rPr>
              <w:t>.</w:t>
            </w:r>
          </w:p>
        </w:tc>
      </w:tr>
      <w:tr w:rsidR="006F2C9D" w14:paraId="1EFDE9B6" w14:textId="77777777" w:rsidTr="00C231C0">
        <w:trPr>
          <w:gridBefore w:val="1"/>
          <w:gridAfter w:val="1"/>
          <w:wBefore w:w="846" w:type="dxa"/>
          <w:wAfter w:w="232" w:type="dxa"/>
        </w:trPr>
        <w:tc>
          <w:tcPr>
            <w:tcW w:w="3662" w:type="dxa"/>
          </w:tcPr>
          <w:p w14:paraId="7098B530" w14:textId="0918F4CB" w:rsidR="006F2C9D" w:rsidRPr="007F510A" w:rsidRDefault="007F510A" w:rsidP="00CE076C">
            <w:pPr>
              <w:tabs>
                <w:tab w:val="left" w:pos="6790"/>
              </w:tabs>
              <w:rPr>
                <w:rFonts w:ascii="Arial" w:hAnsi="Arial" w:cs="Arial"/>
              </w:rPr>
            </w:pPr>
            <w:r w:rsidRPr="007F510A">
              <w:rPr>
                <w:rFonts w:ascii="Arial" w:hAnsi="Arial" w:cs="Arial"/>
              </w:rPr>
              <w:lastRenderedPageBreak/>
              <w:t>Part E – Conclusions and Recommendations</w:t>
            </w:r>
          </w:p>
        </w:tc>
        <w:tc>
          <w:tcPr>
            <w:tcW w:w="4276" w:type="dxa"/>
          </w:tcPr>
          <w:p w14:paraId="2D6BE35B" w14:textId="15B79BAA" w:rsidR="008E277F" w:rsidRPr="007F510A" w:rsidRDefault="007F510A" w:rsidP="007F510A">
            <w:pPr>
              <w:pStyle w:val="ListParagraph"/>
              <w:numPr>
                <w:ilvl w:val="0"/>
                <w:numId w:val="26"/>
              </w:numPr>
              <w:tabs>
                <w:tab w:val="left" w:pos="6790"/>
              </w:tabs>
              <w:ind w:left="343" w:hanging="284"/>
              <w:rPr>
                <w:rFonts w:ascii="Arial" w:hAnsi="Arial" w:cs="Arial"/>
              </w:rPr>
            </w:pPr>
            <w:r w:rsidRPr="007F510A">
              <w:rPr>
                <w:rFonts w:ascii="Arial" w:hAnsi="Arial" w:cs="Arial"/>
              </w:rPr>
              <w:t xml:space="preserve">A series of conclusions together with policy and site / spatial recommendations.  </w:t>
            </w:r>
          </w:p>
        </w:tc>
      </w:tr>
      <w:bookmarkEnd w:id="0"/>
      <w:tr w:rsidR="00860A55" w14:paraId="2DC02B89" w14:textId="77777777" w:rsidTr="00C231C0">
        <w:tc>
          <w:tcPr>
            <w:tcW w:w="9016" w:type="dxa"/>
            <w:gridSpan w:val="4"/>
            <w:shd w:val="clear" w:color="auto" w:fill="D9D9D9" w:themeFill="background1" w:themeFillShade="D9"/>
          </w:tcPr>
          <w:p w14:paraId="7E44BAD3" w14:textId="50D74FFE" w:rsidR="00860A55" w:rsidRDefault="00860A55" w:rsidP="00CE076C">
            <w:pPr>
              <w:tabs>
                <w:tab w:val="left" w:pos="6790"/>
              </w:tabs>
              <w:rPr>
                <w:rFonts w:ascii="Arial" w:hAnsi="Arial" w:cs="Arial"/>
                <w:b/>
                <w:sz w:val="24"/>
                <w:szCs w:val="24"/>
              </w:rPr>
            </w:pPr>
            <w:r>
              <w:rPr>
                <w:rFonts w:ascii="Arial" w:hAnsi="Arial" w:cs="Arial"/>
                <w:b/>
                <w:sz w:val="24"/>
                <w:szCs w:val="24"/>
              </w:rPr>
              <w:t xml:space="preserve">LOT </w:t>
            </w:r>
            <w:r w:rsidR="002D3E54">
              <w:rPr>
                <w:rFonts w:ascii="Arial" w:hAnsi="Arial" w:cs="Arial"/>
                <w:b/>
                <w:sz w:val="24"/>
                <w:szCs w:val="24"/>
              </w:rPr>
              <w:t>A</w:t>
            </w:r>
            <w:r>
              <w:rPr>
                <w:rFonts w:ascii="Arial" w:hAnsi="Arial" w:cs="Arial"/>
                <w:b/>
                <w:sz w:val="24"/>
                <w:szCs w:val="24"/>
              </w:rPr>
              <w:t xml:space="preserve"> – EMPLOYMENT NEEDS AND LAND SUPPLY</w:t>
            </w:r>
            <w:r w:rsidR="006067A3">
              <w:rPr>
                <w:rFonts w:ascii="Arial" w:hAnsi="Arial" w:cs="Arial"/>
                <w:b/>
                <w:sz w:val="24"/>
                <w:szCs w:val="24"/>
              </w:rPr>
              <w:t xml:space="preserve"> STUDY</w:t>
            </w:r>
          </w:p>
        </w:tc>
      </w:tr>
    </w:tbl>
    <w:p w14:paraId="7336D417" w14:textId="77777777" w:rsidR="00860A55" w:rsidRDefault="00860A55" w:rsidP="00CE076C">
      <w:pPr>
        <w:tabs>
          <w:tab w:val="left" w:pos="6790"/>
        </w:tabs>
        <w:rPr>
          <w:rFonts w:ascii="Arial" w:hAnsi="Arial" w:cs="Arial"/>
          <w:b/>
          <w:sz w:val="24"/>
          <w:szCs w:val="24"/>
        </w:rPr>
      </w:pPr>
    </w:p>
    <w:p w14:paraId="1776D561" w14:textId="386387C1" w:rsidR="00A62F0D" w:rsidRDefault="00A62F0D" w:rsidP="00CE076C">
      <w:pPr>
        <w:tabs>
          <w:tab w:val="left" w:pos="6790"/>
        </w:tabs>
        <w:rPr>
          <w:rFonts w:ascii="Arial" w:hAnsi="Arial" w:cs="Arial"/>
          <w:b/>
          <w:sz w:val="24"/>
          <w:szCs w:val="24"/>
        </w:rPr>
      </w:pPr>
      <w:r w:rsidRPr="00BB42BF">
        <w:rPr>
          <w:rFonts w:ascii="Arial" w:hAnsi="Arial" w:cs="Arial"/>
          <w:b/>
          <w:sz w:val="24"/>
          <w:szCs w:val="24"/>
        </w:rPr>
        <w:t xml:space="preserve">Part A </w:t>
      </w:r>
      <w:r w:rsidR="00130636">
        <w:rPr>
          <w:rFonts w:ascii="Arial" w:hAnsi="Arial" w:cs="Arial"/>
          <w:b/>
          <w:sz w:val="24"/>
          <w:szCs w:val="24"/>
        </w:rPr>
        <w:t>–</w:t>
      </w:r>
      <w:r w:rsidRPr="00BB42BF">
        <w:rPr>
          <w:rFonts w:ascii="Arial" w:hAnsi="Arial" w:cs="Arial"/>
          <w:b/>
          <w:sz w:val="24"/>
          <w:szCs w:val="24"/>
        </w:rPr>
        <w:t xml:space="preserve"> </w:t>
      </w:r>
      <w:r w:rsidR="00171919">
        <w:rPr>
          <w:rFonts w:ascii="Arial" w:hAnsi="Arial" w:cs="Arial"/>
          <w:b/>
          <w:sz w:val="24"/>
          <w:szCs w:val="24"/>
        </w:rPr>
        <w:t>Economic Profile and Functional Economic Market Area</w:t>
      </w:r>
      <w:r w:rsidR="00B61FF6">
        <w:rPr>
          <w:rFonts w:ascii="Arial" w:hAnsi="Arial" w:cs="Arial"/>
          <w:b/>
          <w:sz w:val="24"/>
          <w:szCs w:val="24"/>
        </w:rPr>
        <w:t xml:space="preserve"> (FEMA)</w:t>
      </w:r>
    </w:p>
    <w:p w14:paraId="5DF0B225" w14:textId="3C4CB7EC" w:rsidR="00130636" w:rsidRDefault="00B12A97" w:rsidP="0093341A">
      <w:pPr>
        <w:pStyle w:val="ListParagraph"/>
        <w:numPr>
          <w:ilvl w:val="0"/>
          <w:numId w:val="10"/>
        </w:numPr>
        <w:tabs>
          <w:tab w:val="left" w:pos="6790"/>
        </w:tabs>
        <w:ind w:left="709" w:hanging="425"/>
        <w:rPr>
          <w:rFonts w:ascii="Arial" w:hAnsi="Arial" w:cs="Arial"/>
        </w:rPr>
      </w:pPr>
      <w:r w:rsidRPr="00B12A97">
        <w:rPr>
          <w:rFonts w:ascii="Arial" w:hAnsi="Arial" w:cs="Arial"/>
        </w:rPr>
        <w:t xml:space="preserve">The Council is working with a series of strategic partners on the development of a long range and transformational economic </w:t>
      </w:r>
      <w:r w:rsidR="00691188">
        <w:rPr>
          <w:rFonts w:ascii="Arial" w:hAnsi="Arial" w:cs="Arial"/>
        </w:rPr>
        <w:t xml:space="preserve">‘growth </w:t>
      </w:r>
      <w:r w:rsidRPr="00B12A97">
        <w:rPr>
          <w:rFonts w:ascii="Arial" w:hAnsi="Arial" w:cs="Arial"/>
        </w:rPr>
        <w:t>vision</w:t>
      </w:r>
      <w:r w:rsidR="00691188">
        <w:rPr>
          <w:rFonts w:ascii="Arial" w:hAnsi="Arial" w:cs="Arial"/>
        </w:rPr>
        <w:t>’</w:t>
      </w:r>
      <w:r w:rsidRPr="00B12A97">
        <w:rPr>
          <w:rFonts w:ascii="Arial" w:hAnsi="Arial" w:cs="Arial"/>
        </w:rPr>
        <w:t xml:space="preserve"> and programme </w:t>
      </w:r>
      <w:r w:rsidR="00691188">
        <w:rPr>
          <w:rFonts w:ascii="Arial" w:hAnsi="Arial" w:cs="Arial"/>
        </w:rPr>
        <w:t>of inte</w:t>
      </w:r>
      <w:r w:rsidR="00171919">
        <w:rPr>
          <w:rFonts w:ascii="Arial" w:hAnsi="Arial" w:cs="Arial"/>
        </w:rPr>
        <w:t xml:space="preserve">rventions </w:t>
      </w:r>
      <w:r w:rsidRPr="00B12A97">
        <w:rPr>
          <w:rFonts w:ascii="Arial" w:hAnsi="Arial" w:cs="Arial"/>
        </w:rPr>
        <w:t xml:space="preserve">for the Swindon economy.  </w:t>
      </w:r>
      <w:r w:rsidR="004B0645">
        <w:rPr>
          <w:rFonts w:ascii="Arial" w:hAnsi="Arial" w:cs="Arial"/>
        </w:rPr>
        <w:t xml:space="preserve">Partners include: </w:t>
      </w:r>
      <w:r w:rsidR="004B0645" w:rsidRPr="004B0645">
        <w:rPr>
          <w:rFonts w:ascii="Arial" w:hAnsi="Arial" w:cs="Arial"/>
        </w:rPr>
        <w:t xml:space="preserve">Business West, Swindon Chamber of Commerce, </w:t>
      </w:r>
      <w:r w:rsidR="004B0645" w:rsidRPr="00FE4F6C">
        <w:rPr>
          <w:rFonts w:ascii="Arial" w:hAnsi="Arial" w:cs="Arial"/>
        </w:rPr>
        <w:t xml:space="preserve">University of </w:t>
      </w:r>
      <w:r w:rsidR="00FE4F6C" w:rsidRPr="00FE4F6C">
        <w:rPr>
          <w:rFonts w:ascii="Arial" w:hAnsi="Arial" w:cs="Arial"/>
        </w:rPr>
        <w:t>West of England</w:t>
      </w:r>
      <w:r w:rsidR="004B0645" w:rsidRPr="004B0645">
        <w:rPr>
          <w:rFonts w:ascii="Arial" w:hAnsi="Arial" w:cs="Arial"/>
        </w:rPr>
        <w:t xml:space="preserve"> and Swindon and Wiltshire Local Enterprise Partnership</w:t>
      </w:r>
      <w:r w:rsidR="00691188">
        <w:rPr>
          <w:rFonts w:ascii="Arial" w:hAnsi="Arial" w:cs="Arial"/>
        </w:rPr>
        <w:t xml:space="preserve">.  This work will need to feed into this current commission and is likely to focus upon skills, infrastructure and sectoral opportunities and strengths.  These may include the green and circular economy; knowledge economy; rail infrastructure and logistics strengths. </w:t>
      </w:r>
    </w:p>
    <w:p w14:paraId="6638B2A5" w14:textId="282A62F2" w:rsidR="00E06F43" w:rsidRDefault="00E06F43" w:rsidP="00E06F43">
      <w:pPr>
        <w:pStyle w:val="ListParagraph"/>
        <w:tabs>
          <w:tab w:val="left" w:pos="6790"/>
        </w:tabs>
        <w:ind w:left="709"/>
        <w:rPr>
          <w:rFonts w:ascii="Arial" w:hAnsi="Arial" w:cs="Arial"/>
        </w:rPr>
      </w:pPr>
    </w:p>
    <w:p w14:paraId="7D22B32E" w14:textId="1E70EB91" w:rsidR="00E06F43" w:rsidRPr="00E06F43" w:rsidRDefault="00E06F43" w:rsidP="00E06F43">
      <w:pPr>
        <w:pStyle w:val="ListParagraph"/>
        <w:tabs>
          <w:tab w:val="left" w:pos="6790"/>
        </w:tabs>
        <w:ind w:left="709"/>
        <w:rPr>
          <w:rFonts w:ascii="Arial" w:hAnsi="Arial" w:cs="Arial"/>
          <w:u w:val="single"/>
        </w:rPr>
      </w:pPr>
      <w:r w:rsidRPr="00E06F43">
        <w:rPr>
          <w:rFonts w:ascii="Arial" w:hAnsi="Arial" w:cs="Arial"/>
          <w:u w:val="single"/>
        </w:rPr>
        <w:t>Economic Profile</w:t>
      </w:r>
    </w:p>
    <w:p w14:paraId="6A057C41" w14:textId="77777777" w:rsidR="00691188" w:rsidRDefault="00691188" w:rsidP="00691188">
      <w:pPr>
        <w:pStyle w:val="ListParagraph"/>
        <w:tabs>
          <w:tab w:val="left" w:pos="6790"/>
        </w:tabs>
        <w:ind w:left="709"/>
        <w:rPr>
          <w:rFonts w:ascii="Arial" w:hAnsi="Arial" w:cs="Arial"/>
        </w:rPr>
      </w:pPr>
    </w:p>
    <w:p w14:paraId="3E9957E7" w14:textId="660A8D56" w:rsidR="006D1610" w:rsidRPr="006D1610" w:rsidRDefault="00171919" w:rsidP="0093341A">
      <w:pPr>
        <w:pStyle w:val="ListParagraph"/>
        <w:numPr>
          <w:ilvl w:val="0"/>
          <w:numId w:val="10"/>
        </w:numPr>
        <w:tabs>
          <w:tab w:val="left" w:pos="6790"/>
        </w:tabs>
        <w:ind w:left="709" w:hanging="425"/>
        <w:rPr>
          <w:rFonts w:ascii="Arial" w:hAnsi="Arial" w:cs="Arial"/>
        </w:rPr>
      </w:pPr>
      <w:r>
        <w:rPr>
          <w:rFonts w:ascii="Arial" w:hAnsi="Arial" w:cs="Arial"/>
        </w:rPr>
        <w:t xml:space="preserve">The first part of the commission will involve </w:t>
      </w:r>
      <w:r w:rsidR="008E786E">
        <w:rPr>
          <w:rFonts w:ascii="Arial" w:hAnsi="Arial" w:cs="Arial"/>
        </w:rPr>
        <w:t xml:space="preserve">updating and </w:t>
      </w:r>
      <w:r>
        <w:rPr>
          <w:rFonts w:ascii="Arial" w:hAnsi="Arial" w:cs="Arial"/>
        </w:rPr>
        <w:t xml:space="preserve">developing an economic profile </w:t>
      </w:r>
      <w:r w:rsidR="00B61FF6">
        <w:rPr>
          <w:rFonts w:ascii="Arial" w:hAnsi="Arial" w:cs="Arial"/>
        </w:rPr>
        <w:t>together with a headline</w:t>
      </w:r>
      <w:r>
        <w:rPr>
          <w:rFonts w:ascii="Arial" w:hAnsi="Arial" w:cs="Arial"/>
        </w:rPr>
        <w:t xml:space="preserve"> review of the functional economic market area.  Key technical components of th</w:t>
      </w:r>
      <w:r w:rsidR="006754CA">
        <w:rPr>
          <w:rFonts w:ascii="Arial" w:hAnsi="Arial" w:cs="Arial"/>
        </w:rPr>
        <w:t>e economic profile could include:</w:t>
      </w:r>
    </w:p>
    <w:p w14:paraId="095936D6" w14:textId="77777777" w:rsidR="006D1610" w:rsidRPr="006D1610" w:rsidRDefault="006D1610" w:rsidP="006D1610">
      <w:pPr>
        <w:pStyle w:val="ListParagraph"/>
        <w:tabs>
          <w:tab w:val="left" w:pos="6790"/>
        </w:tabs>
        <w:ind w:left="709"/>
        <w:rPr>
          <w:rFonts w:ascii="Arial" w:hAnsi="Arial" w:cs="Arial"/>
        </w:rPr>
      </w:pPr>
    </w:p>
    <w:p w14:paraId="22297364" w14:textId="5A481E16" w:rsidR="00171919" w:rsidRPr="00B61FF6" w:rsidRDefault="00171919" w:rsidP="0093341A">
      <w:pPr>
        <w:pStyle w:val="ListParagraph"/>
        <w:numPr>
          <w:ilvl w:val="0"/>
          <w:numId w:val="11"/>
        </w:numPr>
        <w:tabs>
          <w:tab w:val="left" w:pos="6790"/>
        </w:tabs>
        <w:rPr>
          <w:rFonts w:ascii="Arial" w:hAnsi="Arial" w:cs="Arial"/>
        </w:rPr>
      </w:pPr>
      <w:r>
        <w:rPr>
          <w:rFonts w:ascii="Arial" w:hAnsi="Arial" w:cs="Arial"/>
        </w:rPr>
        <w:t xml:space="preserve">Review of </w:t>
      </w:r>
      <w:r w:rsidR="006D1610">
        <w:rPr>
          <w:rFonts w:ascii="Arial" w:hAnsi="Arial" w:cs="Arial"/>
        </w:rPr>
        <w:t>jobs and employment</w:t>
      </w:r>
    </w:p>
    <w:p w14:paraId="409B5335" w14:textId="5D21F1F4" w:rsidR="006D1610" w:rsidRPr="006D1610" w:rsidRDefault="006D1610" w:rsidP="0093341A">
      <w:pPr>
        <w:pStyle w:val="ListParagraph"/>
        <w:numPr>
          <w:ilvl w:val="0"/>
          <w:numId w:val="11"/>
        </w:numPr>
        <w:tabs>
          <w:tab w:val="left" w:pos="6790"/>
        </w:tabs>
        <w:rPr>
          <w:rFonts w:ascii="Arial" w:hAnsi="Arial" w:cs="Arial"/>
        </w:rPr>
      </w:pPr>
      <w:r>
        <w:rPr>
          <w:rFonts w:ascii="Arial" w:hAnsi="Arial" w:cs="Arial"/>
        </w:rPr>
        <w:t>Sectoral structure analysis</w:t>
      </w:r>
    </w:p>
    <w:p w14:paraId="55D963C9" w14:textId="7A4C0051" w:rsidR="00171919" w:rsidRDefault="00171919" w:rsidP="0093341A">
      <w:pPr>
        <w:pStyle w:val="ListParagraph"/>
        <w:numPr>
          <w:ilvl w:val="0"/>
          <w:numId w:val="11"/>
        </w:numPr>
        <w:tabs>
          <w:tab w:val="left" w:pos="6790"/>
        </w:tabs>
        <w:rPr>
          <w:rFonts w:ascii="Arial" w:hAnsi="Arial" w:cs="Arial"/>
        </w:rPr>
      </w:pPr>
      <w:r>
        <w:rPr>
          <w:rFonts w:ascii="Arial" w:hAnsi="Arial" w:cs="Arial"/>
        </w:rPr>
        <w:t>Labour ma</w:t>
      </w:r>
      <w:r w:rsidR="006D1610">
        <w:rPr>
          <w:rFonts w:ascii="Arial" w:hAnsi="Arial" w:cs="Arial"/>
        </w:rPr>
        <w:t>rket – skills, wages and inequality</w:t>
      </w:r>
    </w:p>
    <w:p w14:paraId="50B52C18" w14:textId="0FCBE4DA" w:rsidR="006D1610" w:rsidRDefault="006D1610" w:rsidP="0093341A">
      <w:pPr>
        <w:pStyle w:val="ListParagraph"/>
        <w:numPr>
          <w:ilvl w:val="0"/>
          <w:numId w:val="11"/>
        </w:numPr>
        <w:tabs>
          <w:tab w:val="left" w:pos="6790"/>
        </w:tabs>
        <w:rPr>
          <w:rFonts w:ascii="Arial" w:hAnsi="Arial" w:cs="Arial"/>
        </w:rPr>
      </w:pPr>
      <w:r>
        <w:rPr>
          <w:rFonts w:ascii="Arial" w:hAnsi="Arial" w:cs="Arial"/>
        </w:rPr>
        <w:t>Economic indicators of business innovation</w:t>
      </w:r>
      <w:r w:rsidR="00E06F43">
        <w:rPr>
          <w:rFonts w:ascii="Arial" w:hAnsi="Arial" w:cs="Arial"/>
        </w:rPr>
        <w:t xml:space="preserve"> / green economy</w:t>
      </w:r>
    </w:p>
    <w:p w14:paraId="559A9314" w14:textId="0E129EA6" w:rsidR="006D1610" w:rsidRDefault="00CE1544" w:rsidP="0093341A">
      <w:pPr>
        <w:pStyle w:val="ListParagraph"/>
        <w:numPr>
          <w:ilvl w:val="0"/>
          <w:numId w:val="11"/>
        </w:numPr>
        <w:tabs>
          <w:tab w:val="left" w:pos="6790"/>
        </w:tabs>
        <w:rPr>
          <w:rFonts w:ascii="Arial" w:hAnsi="Arial" w:cs="Arial"/>
        </w:rPr>
      </w:pPr>
      <w:r>
        <w:rPr>
          <w:rFonts w:ascii="Arial" w:hAnsi="Arial" w:cs="Arial"/>
        </w:rPr>
        <w:t>Overall s</w:t>
      </w:r>
      <w:r w:rsidR="006D1610">
        <w:rPr>
          <w:rFonts w:ascii="Arial" w:hAnsi="Arial" w:cs="Arial"/>
        </w:rPr>
        <w:t>ize of the economy</w:t>
      </w:r>
    </w:p>
    <w:p w14:paraId="54F55376" w14:textId="77777777" w:rsidR="006754CA" w:rsidRDefault="006754CA" w:rsidP="006754CA">
      <w:pPr>
        <w:pStyle w:val="ListParagraph"/>
        <w:tabs>
          <w:tab w:val="left" w:pos="6790"/>
        </w:tabs>
        <w:ind w:left="1429"/>
        <w:rPr>
          <w:rFonts w:ascii="Arial" w:hAnsi="Arial" w:cs="Arial"/>
        </w:rPr>
      </w:pPr>
    </w:p>
    <w:p w14:paraId="61DB061B" w14:textId="47EE9179" w:rsidR="00B61FF6" w:rsidRDefault="006754CA" w:rsidP="0093341A">
      <w:pPr>
        <w:pStyle w:val="ListParagraph"/>
        <w:numPr>
          <w:ilvl w:val="0"/>
          <w:numId w:val="10"/>
        </w:numPr>
        <w:tabs>
          <w:tab w:val="left" w:pos="6790"/>
        </w:tabs>
        <w:ind w:left="709" w:hanging="425"/>
        <w:rPr>
          <w:rFonts w:ascii="Arial" w:hAnsi="Arial" w:cs="Arial"/>
        </w:rPr>
      </w:pPr>
      <w:r>
        <w:rPr>
          <w:rFonts w:ascii="Arial" w:hAnsi="Arial" w:cs="Arial"/>
        </w:rPr>
        <w:t xml:space="preserve">The Council is keen to </w:t>
      </w:r>
      <w:r w:rsidR="0004242E">
        <w:rPr>
          <w:rFonts w:ascii="Arial" w:hAnsi="Arial" w:cs="Arial"/>
        </w:rPr>
        <w:t>establish</w:t>
      </w:r>
      <w:r>
        <w:rPr>
          <w:rFonts w:ascii="Arial" w:hAnsi="Arial" w:cs="Arial"/>
        </w:rPr>
        <w:t xml:space="preserve"> a refreshed set of indicators or a data scorecard to benchmark economic performance.  </w:t>
      </w:r>
      <w:r w:rsidR="0004242E">
        <w:rPr>
          <w:rFonts w:ascii="Arial" w:hAnsi="Arial" w:cs="Arial"/>
        </w:rPr>
        <w:t xml:space="preserve">This will also </w:t>
      </w:r>
      <w:r w:rsidR="007E4F83">
        <w:rPr>
          <w:rFonts w:ascii="Arial" w:hAnsi="Arial" w:cs="Arial"/>
        </w:rPr>
        <w:t xml:space="preserve">eventually </w:t>
      </w:r>
      <w:r w:rsidR="0004242E">
        <w:rPr>
          <w:rFonts w:ascii="Arial" w:hAnsi="Arial" w:cs="Arial"/>
        </w:rPr>
        <w:t xml:space="preserve">form part of an update to the Council’s Authority Monitoring Report (AMR) and monitoring framework to the new Local Plan. </w:t>
      </w:r>
    </w:p>
    <w:p w14:paraId="2FCA77E8" w14:textId="34B233B4" w:rsidR="00E06F43" w:rsidRPr="00E06F43" w:rsidRDefault="00E06F43" w:rsidP="00E06F43">
      <w:pPr>
        <w:tabs>
          <w:tab w:val="left" w:pos="6790"/>
        </w:tabs>
        <w:ind w:left="709"/>
        <w:rPr>
          <w:rFonts w:ascii="Arial" w:hAnsi="Arial" w:cs="Arial"/>
          <w:u w:val="single"/>
        </w:rPr>
      </w:pPr>
      <w:r w:rsidRPr="00E06F43">
        <w:rPr>
          <w:rFonts w:ascii="Arial" w:hAnsi="Arial" w:cs="Arial"/>
          <w:u w:val="single"/>
        </w:rPr>
        <w:t>Function</w:t>
      </w:r>
      <w:r w:rsidR="006067A3">
        <w:rPr>
          <w:rFonts w:ascii="Arial" w:hAnsi="Arial" w:cs="Arial"/>
          <w:u w:val="single"/>
        </w:rPr>
        <w:t>al</w:t>
      </w:r>
      <w:r w:rsidRPr="00E06F43">
        <w:rPr>
          <w:rFonts w:ascii="Arial" w:hAnsi="Arial" w:cs="Arial"/>
          <w:u w:val="single"/>
        </w:rPr>
        <w:t xml:space="preserve"> Economic Marke</w:t>
      </w:r>
      <w:r>
        <w:rPr>
          <w:rFonts w:ascii="Arial" w:hAnsi="Arial" w:cs="Arial"/>
          <w:u w:val="single"/>
        </w:rPr>
        <w:t>t</w:t>
      </w:r>
      <w:r w:rsidRPr="00E06F43">
        <w:rPr>
          <w:rFonts w:ascii="Arial" w:hAnsi="Arial" w:cs="Arial"/>
          <w:u w:val="single"/>
        </w:rPr>
        <w:t xml:space="preserve"> Area</w:t>
      </w:r>
    </w:p>
    <w:p w14:paraId="3FE5CDEB" w14:textId="77777777" w:rsidR="0004242E" w:rsidRPr="0004242E" w:rsidRDefault="0004242E" w:rsidP="0004242E">
      <w:pPr>
        <w:pStyle w:val="ListParagraph"/>
        <w:tabs>
          <w:tab w:val="left" w:pos="6790"/>
        </w:tabs>
        <w:ind w:left="709"/>
        <w:rPr>
          <w:rFonts w:ascii="Arial" w:hAnsi="Arial" w:cs="Arial"/>
        </w:rPr>
      </w:pPr>
    </w:p>
    <w:p w14:paraId="1C833215" w14:textId="33764327" w:rsidR="00E06F43" w:rsidRDefault="00B61FF6" w:rsidP="0093341A">
      <w:pPr>
        <w:pStyle w:val="ListParagraph"/>
        <w:numPr>
          <w:ilvl w:val="0"/>
          <w:numId w:val="10"/>
        </w:numPr>
        <w:tabs>
          <w:tab w:val="left" w:pos="6790"/>
        </w:tabs>
        <w:ind w:left="709" w:hanging="425"/>
        <w:rPr>
          <w:rFonts w:ascii="Arial" w:hAnsi="Arial" w:cs="Arial"/>
        </w:rPr>
      </w:pPr>
      <w:r>
        <w:rPr>
          <w:rFonts w:ascii="Arial" w:hAnsi="Arial" w:cs="Arial"/>
        </w:rPr>
        <w:t xml:space="preserve">The Swindon FEMA has historically been defined as having a relatively strong eastwards focus towards the Thames Valley and Oxfordshire reflective of automotive connections in part.  </w:t>
      </w:r>
      <w:r w:rsidR="00314F7C">
        <w:rPr>
          <w:rFonts w:ascii="Arial" w:hAnsi="Arial" w:cs="Arial"/>
        </w:rPr>
        <w:t xml:space="preserve">It will be important to review the FEMA and </w:t>
      </w:r>
      <w:r w:rsidR="00CA2A16">
        <w:rPr>
          <w:rFonts w:ascii="Arial" w:hAnsi="Arial" w:cs="Arial"/>
        </w:rPr>
        <w:t xml:space="preserve">whether relationships are changing.  </w:t>
      </w:r>
      <w:r w:rsidR="00E06F43">
        <w:rPr>
          <w:rFonts w:ascii="Arial" w:hAnsi="Arial" w:cs="Arial"/>
        </w:rPr>
        <w:t>I</w:t>
      </w:r>
      <w:r w:rsidR="00CA2A16">
        <w:rPr>
          <w:rFonts w:ascii="Arial" w:hAnsi="Arial" w:cs="Arial"/>
        </w:rPr>
        <w:t>mportant consideration</w:t>
      </w:r>
      <w:r w:rsidR="00E06F43">
        <w:rPr>
          <w:rFonts w:ascii="Arial" w:hAnsi="Arial" w:cs="Arial"/>
        </w:rPr>
        <w:t>s</w:t>
      </w:r>
      <w:r w:rsidR="00CA2A16">
        <w:rPr>
          <w:rFonts w:ascii="Arial" w:hAnsi="Arial" w:cs="Arial"/>
        </w:rPr>
        <w:t xml:space="preserve"> </w:t>
      </w:r>
      <w:r w:rsidR="00E06F43">
        <w:rPr>
          <w:rFonts w:ascii="Arial" w:hAnsi="Arial" w:cs="Arial"/>
        </w:rPr>
        <w:t>are</w:t>
      </w:r>
      <w:r w:rsidR="00CA2A16">
        <w:rPr>
          <w:rFonts w:ascii="Arial" w:hAnsi="Arial" w:cs="Arial"/>
        </w:rPr>
        <w:t xml:space="preserve"> likely to </w:t>
      </w:r>
      <w:r w:rsidR="00E06F43">
        <w:rPr>
          <w:rFonts w:ascii="Arial" w:hAnsi="Arial" w:cs="Arial"/>
        </w:rPr>
        <w:t>include</w:t>
      </w:r>
      <w:r w:rsidR="00CA2A16">
        <w:rPr>
          <w:rFonts w:ascii="Arial" w:hAnsi="Arial" w:cs="Arial"/>
        </w:rPr>
        <w:t xml:space="preserve"> </w:t>
      </w:r>
      <w:r w:rsidR="00E06F43">
        <w:rPr>
          <w:rFonts w:ascii="Arial" w:hAnsi="Arial" w:cs="Arial"/>
        </w:rPr>
        <w:t xml:space="preserve">any changing </w:t>
      </w:r>
      <w:r w:rsidR="00CA2A16">
        <w:rPr>
          <w:rFonts w:ascii="Arial" w:hAnsi="Arial" w:cs="Arial"/>
        </w:rPr>
        <w:t xml:space="preserve">travel to work patterns and </w:t>
      </w:r>
      <w:r w:rsidR="00E06F43">
        <w:rPr>
          <w:rFonts w:ascii="Arial" w:hAnsi="Arial" w:cs="Arial"/>
        </w:rPr>
        <w:t xml:space="preserve">the </w:t>
      </w:r>
      <w:r w:rsidR="00CA2A16">
        <w:rPr>
          <w:rFonts w:ascii="Arial" w:hAnsi="Arial" w:cs="Arial"/>
        </w:rPr>
        <w:t xml:space="preserve">import / export of labour.  The physical scale of the FEMA will also be useful to review within the context of Duty to Cooperate discussions and growth pressures and demands outside the administrative boundary of the LPA.  </w:t>
      </w:r>
      <w:r w:rsidR="00E06F43">
        <w:rPr>
          <w:rFonts w:ascii="Arial" w:hAnsi="Arial" w:cs="Arial"/>
        </w:rPr>
        <w:t>Core elements of the work are likely to include:</w:t>
      </w:r>
    </w:p>
    <w:p w14:paraId="5AFB02F0" w14:textId="77777777" w:rsidR="006067A3" w:rsidRDefault="006067A3" w:rsidP="006067A3">
      <w:pPr>
        <w:pStyle w:val="ListParagraph"/>
        <w:tabs>
          <w:tab w:val="left" w:pos="6790"/>
        </w:tabs>
        <w:ind w:left="709"/>
        <w:rPr>
          <w:rFonts w:ascii="Arial" w:hAnsi="Arial" w:cs="Arial"/>
        </w:rPr>
      </w:pPr>
    </w:p>
    <w:p w14:paraId="75BD6E4B" w14:textId="34824D8C" w:rsidR="00FE4F6C" w:rsidRDefault="00E06F43" w:rsidP="0093341A">
      <w:pPr>
        <w:pStyle w:val="ListParagraph"/>
        <w:numPr>
          <w:ilvl w:val="0"/>
          <w:numId w:val="12"/>
        </w:numPr>
        <w:tabs>
          <w:tab w:val="left" w:pos="1418"/>
        </w:tabs>
        <w:ind w:hanging="6381"/>
        <w:rPr>
          <w:rFonts w:ascii="Arial" w:hAnsi="Arial" w:cs="Arial"/>
        </w:rPr>
      </w:pPr>
      <w:r>
        <w:rPr>
          <w:rFonts w:ascii="Arial" w:hAnsi="Arial" w:cs="Arial"/>
        </w:rPr>
        <w:t>a review of previous FEMA research;</w:t>
      </w:r>
    </w:p>
    <w:p w14:paraId="6607DFF7" w14:textId="183F3BCB" w:rsidR="00E06F43" w:rsidRDefault="00E06F43" w:rsidP="0093341A">
      <w:pPr>
        <w:pStyle w:val="ListParagraph"/>
        <w:numPr>
          <w:ilvl w:val="0"/>
          <w:numId w:val="12"/>
        </w:numPr>
        <w:tabs>
          <w:tab w:val="left" w:pos="1418"/>
        </w:tabs>
        <w:ind w:hanging="6381"/>
        <w:rPr>
          <w:rFonts w:ascii="Arial" w:hAnsi="Arial" w:cs="Arial"/>
        </w:rPr>
      </w:pPr>
      <w:r>
        <w:rPr>
          <w:rFonts w:ascii="Arial" w:hAnsi="Arial" w:cs="Arial"/>
        </w:rPr>
        <w:t>travel to work and housing market area evidence</w:t>
      </w:r>
      <w:r w:rsidR="007E4F83">
        <w:rPr>
          <w:rFonts w:ascii="Arial" w:hAnsi="Arial" w:cs="Arial"/>
        </w:rPr>
        <w:t>, and</w:t>
      </w:r>
    </w:p>
    <w:p w14:paraId="3F76CCB7" w14:textId="0EA4942F" w:rsidR="00E06F43" w:rsidRDefault="007E4F83" w:rsidP="0093341A">
      <w:pPr>
        <w:pStyle w:val="ListParagraph"/>
        <w:numPr>
          <w:ilvl w:val="0"/>
          <w:numId w:val="12"/>
        </w:numPr>
        <w:tabs>
          <w:tab w:val="left" w:pos="1418"/>
        </w:tabs>
        <w:ind w:left="1418" w:hanging="284"/>
        <w:rPr>
          <w:rFonts w:ascii="Arial" w:hAnsi="Arial" w:cs="Arial"/>
        </w:rPr>
      </w:pPr>
      <w:r>
        <w:rPr>
          <w:rFonts w:ascii="Arial" w:hAnsi="Arial" w:cs="Arial"/>
        </w:rPr>
        <w:t xml:space="preserve">an </w:t>
      </w:r>
      <w:r w:rsidR="0013095C">
        <w:rPr>
          <w:rFonts w:ascii="Arial" w:hAnsi="Arial" w:cs="Arial"/>
        </w:rPr>
        <w:t>analysis of population profiles, health service geographies and media catchments</w:t>
      </w:r>
    </w:p>
    <w:p w14:paraId="69CED5D1" w14:textId="77777777" w:rsidR="00FE4F6C" w:rsidRDefault="00FE4F6C" w:rsidP="00FE4F6C">
      <w:pPr>
        <w:pStyle w:val="ListParagraph"/>
        <w:tabs>
          <w:tab w:val="left" w:pos="6790"/>
        </w:tabs>
        <w:ind w:left="709"/>
        <w:rPr>
          <w:rFonts w:ascii="Arial" w:hAnsi="Arial" w:cs="Arial"/>
        </w:rPr>
      </w:pPr>
    </w:p>
    <w:p w14:paraId="3745F1BD" w14:textId="2690767B" w:rsidR="00171919" w:rsidRPr="005A27F8" w:rsidRDefault="00FE4F6C" w:rsidP="0093341A">
      <w:pPr>
        <w:pStyle w:val="ListParagraph"/>
        <w:numPr>
          <w:ilvl w:val="0"/>
          <w:numId w:val="10"/>
        </w:numPr>
        <w:tabs>
          <w:tab w:val="left" w:pos="6790"/>
        </w:tabs>
        <w:ind w:left="709" w:hanging="425"/>
        <w:rPr>
          <w:rFonts w:ascii="Arial" w:hAnsi="Arial" w:cs="Arial"/>
        </w:rPr>
      </w:pPr>
      <w:r w:rsidRPr="00FE4F6C">
        <w:rPr>
          <w:rFonts w:ascii="Arial" w:hAnsi="Arial" w:cs="Arial"/>
        </w:rPr>
        <w:lastRenderedPageBreak/>
        <w:t>The location grade of Swindon Town as a retail</w:t>
      </w:r>
      <w:r w:rsidR="00AF225E">
        <w:rPr>
          <w:rFonts w:ascii="Arial" w:hAnsi="Arial" w:cs="Arial"/>
        </w:rPr>
        <w:t>, business</w:t>
      </w:r>
      <w:r w:rsidRPr="00FE4F6C">
        <w:rPr>
          <w:rFonts w:ascii="Arial" w:hAnsi="Arial" w:cs="Arial"/>
        </w:rPr>
        <w:t xml:space="preserve"> and visitor destination will also need to form part of the thinking in analysing the economic market area and catchment distance of visitors.   </w:t>
      </w:r>
      <w:r w:rsidR="00171919" w:rsidRPr="005A27F8">
        <w:rPr>
          <w:rFonts w:ascii="Arial" w:hAnsi="Arial" w:cs="Arial"/>
        </w:rPr>
        <w:tab/>
      </w:r>
    </w:p>
    <w:p w14:paraId="6ED8B7CF" w14:textId="626E0127" w:rsidR="000024BF" w:rsidRPr="00175BA2" w:rsidRDefault="000024BF" w:rsidP="000024BF">
      <w:pPr>
        <w:tabs>
          <w:tab w:val="left" w:pos="6790"/>
        </w:tabs>
        <w:rPr>
          <w:rFonts w:ascii="Arial" w:hAnsi="Arial" w:cs="Arial"/>
          <w:b/>
          <w:sz w:val="24"/>
          <w:szCs w:val="24"/>
        </w:rPr>
      </w:pPr>
      <w:r w:rsidRPr="00175BA2">
        <w:rPr>
          <w:rFonts w:ascii="Arial" w:hAnsi="Arial" w:cs="Arial"/>
          <w:b/>
          <w:sz w:val="24"/>
          <w:szCs w:val="24"/>
        </w:rPr>
        <w:t xml:space="preserve">Part B – Employment Needs </w:t>
      </w:r>
      <w:r w:rsidR="004875EC">
        <w:rPr>
          <w:rFonts w:ascii="Arial" w:hAnsi="Arial" w:cs="Arial"/>
          <w:b/>
          <w:sz w:val="24"/>
          <w:szCs w:val="24"/>
        </w:rPr>
        <w:t xml:space="preserve">and </w:t>
      </w:r>
      <w:r w:rsidR="00CA3A5C">
        <w:rPr>
          <w:rFonts w:ascii="Arial" w:hAnsi="Arial" w:cs="Arial"/>
          <w:b/>
          <w:sz w:val="24"/>
          <w:szCs w:val="24"/>
        </w:rPr>
        <w:t>Space Requirements</w:t>
      </w:r>
    </w:p>
    <w:p w14:paraId="5EDCC1A4" w14:textId="1A6B27EC" w:rsidR="000024BF" w:rsidRPr="00175BA2" w:rsidRDefault="000024BF" w:rsidP="00175BA2">
      <w:pPr>
        <w:pStyle w:val="Default"/>
        <w:ind w:left="709"/>
        <w:rPr>
          <w:sz w:val="22"/>
          <w:szCs w:val="22"/>
          <w:u w:val="single"/>
        </w:rPr>
      </w:pPr>
      <w:bookmarkStart w:id="1" w:name="_Hlk126151488"/>
      <w:r w:rsidRPr="00175BA2">
        <w:rPr>
          <w:sz w:val="22"/>
          <w:szCs w:val="22"/>
          <w:u w:val="single"/>
        </w:rPr>
        <w:t>Methodology and Practical Approach</w:t>
      </w:r>
    </w:p>
    <w:p w14:paraId="11407E5D" w14:textId="0613B3C6" w:rsidR="00175BA2" w:rsidRPr="00175BA2" w:rsidRDefault="00175BA2" w:rsidP="00175BA2">
      <w:pPr>
        <w:pStyle w:val="Default"/>
        <w:ind w:left="1004"/>
        <w:rPr>
          <w:b/>
          <w:i/>
          <w:sz w:val="22"/>
          <w:szCs w:val="22"/>
        </w:rPr>
      </w:pPr>
    </w:p>
    <w:p w14:paraId="3CE45BB1" w14:textId="0F82E232" w:rsidR="00175BA2" w:rsidRDefault="006067A3" w:rsidP="0093341A">
      <w:pPr>
        <w:pStyle w:val="Default"/>
        <w:numPr>
          <w:ilvl w:val="0"/>
          <w:numId w:val="10"/>
        </w:numPr>
        <w:ind w:left="709" w:hanging="425"/>
        <w:rPr>
          <w:sz w:val="22"/>
          <w:szCs w:val="22"/>
        </w:rPr>
      </w:pPr>
      <w:r>
        <w:rPr>
          <w:sz w:val="22"/>
          <w:szCs w:val="22"/>
        </w:rPr>
        <w:t xml:space="preserve">One of the </w:t>
      </w:r>
      <w:r w:rsidR="00175BA2">
        <w:rPr>
          <w:sz w:val="22"/>
          <w:szCs w:val="22"/>
        </w:rPr>
        <w:t>core component</w:t>
      </w:r>
      <w:r>
        <w:rPr>
          <w:sz w:val="22"/>
          <w:szCs w:val="22"/>
        </w:rPr>
        <w:t>s</w:t>
      </w:r>
      <w:r w:rsidR="00175BA2">
        <w:rPr>
          <w:sz w:val="22"/>
          <w:szCs w:val="22"/>
        </w:rPr>
        <w:t xml:space="preserve"> of this commission is an updated assessment of future requirements for employment space through the plan period. It will be important for the methodology developed to consider the extent of recent macro-economic events and to structure an approach which reads across various sources and approaches to forecasting.  </w:t>
      </w:r>
    </w:p>
    <w:p w14:paraId="73041178" w14:textId="77777777" w:rsidR="004408B9" w:rsidRDefault="004408B9" w:rsidP="004408B9">
      <w:pPr>
        <w:pStyle w:val="Default"/>
        <w:ind w:left="709"/>
        <w:rPr>
          <w:sz w:val="22"/>
          <w:szCs w:val="22"/>
        </w:rPr>
      </w:pPr>
    </w:p>
    <w:p w14:paraId="76D71E98" w14:textId="608F6E67" w:rsidR="008E786E" w:rsidRPr="008E786E" w:rsidRDefault="004408B9" w:rsidP="0093341A">
      <w:pPr>
        <w:pStyle w:val="Default"/>
        <w:numPr>
          <w:ilvl w:val="0"/>
          <w:numId w:val="10"/>
        </w:numPr>
        <w:ind w:left="709" w:hanging="425"/>
        <w:rPr>
          <w:sz w:val="22"/>
          <w:szCs w:val="22"/>
        </w:rPr>
      </w:pPr>
      <w:r>
        <w:rPr>
          <w:sz w:val="22"/>
          <w:szCs w:val="22"/>
        </w:rPr>
        <w:t xml:space="preserve">This study is also taking an integrated approach to understanding town centre </w:t>
      </w:r>
      <w:r w:rsidR="00AF325B">
        <w:rPr>
          <w:sz w:val="22"/>
          <w:szCs w:val="22"/>
        </w:rPr>
        <w:t xml:space="preserve">and other </w:t>
      </w:r>
      <w:r>
        <w:rPr>
          <w:sz w:val="22"/>
          <w:szCs w:val="22"/>
        </w:rPr>
        <w:t>uses and future demand / needs and the overall methodology will need to consider the extended breadth of the study.</w:t>
      </w:r>
    </w:p>
    <w:p w14:paraId="5559BD07" w14:textId="77777777" w:rsidR="004875EC" w:rsidRPr="004875EC" w:rsidRDefault="004875EC" w:rsidP="004875EC">
      <w:pPr>
        <w:pStyle w:val="Default"/>
        <w:rPr>
          <w:sz w:val="22"/>
          <w:szCs w:val="22"/>
        </w:rPr>
      </w:pPr>
    </w:p>
    <w:p w14:paraId="35BDA10F" w14:textId="66631798" w:rsidR="008E786E" w:rsidRPr="008E786E" w:rsidRDefault="004875EC" w:rsidP="0093341A">
      <w:pPr>
        <w:pStyle w:val="Default"/>
        <w:numPr>
          <w:ilvl w:val="0"/>
          <w:numId w:val="10"/>
        </w:numPr>
        <w:ind w:left="709" w:hanging="425"/>
        <w:rPr>
          <w:sz w:val="22"/>
          <w:szCs w:val="22"/>
        </w:rPr>
      </w:pPr>
      <w:r>
        <w:rPr>
          <w:sz w:val="22"/>
          <w:szCs w:val="22"/>
        </w:rPr>
        <w:t xml:space="preserve">A requirement of the study will be to set out a clear methodology and stepped process for converting employment projections to floorspace </w:t>
      </w:r>
      <w:r w:rsidR="00CA3A5C">
        <w:rPr>
          <w:sz w:val="22"/>
          <w:szCs w:val="22"/>
        </w:rPr>
        <w:t xml:space="preserve">and land </w:t>
      </w:r>
      <w:r>
        <w:rPr>
          <w:sz w:val="22"/>
          <w:szCs w:val="22"/>
        </w:rPr>
        <w:t xml:space="preserve">requirements.   </w:t>
      </w:r>
      <w:bookmarkEnd w:id="1"/>
    </w:p>
    <w:p w14:paraId="6783B489" w14:textId="3488F4FD" w:rsidR="0078726D" w:rsidRDefault="0078726D" w:rsidP="004408B9">
      <w:pPr>
        <w:pStyle w:val="Default"/>
        <w:rPr>
          <w:b/>
          <w:highlight w:val="yellow"/>
        </w:rPr>
      </w:pPr>
    </w:p>
    <w:p w14:paraId="052B60C9" w14:textId="2B341A01" w:rsidR="004408B9" w:rsidRPr="008D7D49" w:rsidRDefault="004408B9" w:rsidP="004408B9">
      <w:pPr>
        <w:pStyle w:val="Default"/>
        <w:ind w:left="709"/>
        <w:rPr>
          <w:sz w:val="22"/>
          <w:szCs w:val="22"/>
          <w:u w:val="single"/>
        </w:rPr>
      </w:pPr>
      <w:r w:rsidRPr="008D7D49">
        <w:rPr>
          <w:sz w:val="22"/>
          <w:szCs w:val="22"/>
          <w:u w:val="single"/>
        </w:rPr>
        <w:t>Base</w:t>
      </w:r>
      <w:r w:rsidR="008D7D49">
        <w:rPr>
          <w:sz w:val="22"/>
          <w:szCs w:val="22"/>
          <w:u w:val="single"/>
        </w:rPr>
        <w:t xml:space="preserve">line </w:t>
      </w:r>
      <w:r w:rsidR="00FC0F5B">
        <w:rPr>
          <w:sz w:val="22"/>
          <w:szCs w:val="22"/>
          <w:u w:val="single"/>
        </w:rPr>
        <w:t xml:space="preserve">and Adjusted </w:t>
      </w:r>
      <w:r w:rsidR="008D7D49">
        <w:rPr>
          <w:sz w:val="22"/>
          <w:szCs w:val="22"/>
          <w:u w:val="single"/>
        </w:rPr>
        <w:t>Forecasts – Employment Growth</w:t>
      </w:r>
    </w:p>
    <w:p w14:paraId="1D4739C9" w14:textId="508090B6" w:rsidR="004408B9" w:rsidRPr="008D7D49" w:rsidRDefault="004408B9" w:rsidP="004408B9">
      <w:pPr>
        <w:pStyle w:val="Default"/>
        <w:ind w:left="709"/>
        <w:rPr>
          <w:b/>
          <w:sz w:val="22"/>
          <w:szCs w:val="22"/>
          <w:highlight w:val="yellow"/>
        </w:rPr>
      </w:pPr>
    </w:p>
    <w:p w14:paraId="6F3C74E6" w14:textId="4D2EF8B0" w:rsidR="004408B9" w:rsidRDefault="008D7D49" w:rsidP="0093341A">
      <w:pPr>
        <w:pStyle w:val="Default"/>
        <w:numPr>
          <w:ilvl w:val="0"/>
          <w:numId w:val="10"/>
        </w:numPr>
        <w:ind w:left="709" w:hanging="425"/>
        <w:rPr>
          <w:sz w:val="22"/>
          <w:szCs w:val="22"/>
        </w:rPr>
      </w:pPr>
      <w:r w:rsidRPr="008D7D49">
        <w:rPr>
          <w:sz w:val="22"/>
          <w:szCs w:val="22"/>
        </w:rPr>
        <w:t xml:space="preserve">The commissioning team is keen to update forecast </w:t>
      </w:r>
      <w:r w:rsidR="00FC0F5B">
        <w:rPr>
          <w:sz w:val="22"/>
          <w:szCs w:val="22"/>
        </w:rPr>
        <w:t xml:space="preserve">sector and related </w:t>
      </w:r>
      <w:r w:rsidRPr="008D7D49">
        <w:rPr>
          <w:sz w:val="22"/>
          <w:szCs w:val="22"/>
        </w:rPr>
        <w:t xml:space="preserve">jobs growth using the main econometrical forecasting houses – Cambridge, Oxford and Experian.  </w:t>
      </w:r>
      <w:r>
        <w:rPr>
          <w:sz w:val="22"/>
          <w:szCs w:val="22"/>
        </w:rPr>
        <w:t xml:space="preserve">This will provide a range of </w:t>
      </w:r>
      <w:r w:rsidR="00FC0F5B">
        <w:rPr>
          <w:sz w:val="22"/>
          <w:szCs w:val="22"/>
        </w:rPr>
        <w:t xml:space="preserve">initial employment sector base outputs.  The previous work undertaken by </w:t>
      </w:r>
      <w:proofErr w:type="spellStart"/>
      <w:r w:rsidR="00FC0F5B">
        <w:rPr>
          <w:sz w:val="22"/>
          <w:szCs w:val="22"/>
        </w:rPr>
        <w:t>Lichfields</w:t>
      </w:r>
      <w:proofErr w:type="spellEnd"/>
      <w:r w:rsidR="0095386F">
        <w:rPr>
          <w:rStyle w:val="FootnoteReference"/>
          <w:sz w:val="22"/>
          <w:szCs w:val="22"/>
        </w:rPr>
        <w:footnoteReference w:id="6"/>
      </w:r>
      <w:r w:rsidR="00FC0F5B">
        <w:rPr>
          <w:sz w:val="22"/>
          <w:szCs w:val="22"/>
        </w:rPr>
        <w:t xml:space="preserve"> considered baseline labour demand using Cambridge and Oxford with additional averaged figures.</w:t>
      </w:r>
    </w:p>
    <w:p w14:paraId="12F783A9" w14:textId="3C82A2AB" w:rsidR="00FC0F5B" w:rsidRDefault="00FC0F5B" w:rsidP="00FC0F5B">
      <w:pPr>
        <w:pStyle w:val="Default"/>
        <w:ind w:left="709"/>
        <w:rPr>
          <w:sz w:val="22"/>
          <w:szCs w:val="22"/>
        </w:rPr>
      </w:pPr>
    </w:p>
    <w:p w14:paraId="46D88F65" w14:textId="65E4CE43" w:rsidR="008E786E" w:rsidRPr="008A6F90" w:rsidRDefault="00FC0F5B" w:rsidP="0093341A">
      <w:pPr>
        <w:pStyle w:val="Default"/>
        <w:numPr>
          <w:ilvl w:val="0"/>
          <w:numId w:val="10"/>
        </w:numPr>
        <w:ind w:left="709" w:hanging="425"/>
        <w:rPr>
          <w:sz w:val="22"/>
          <w:szCs w:val="22"/>
        </w:rPr>
      </w:pPr>
      <w:r>
        <w:rPr>
          <w:sz w:val="22"/>
          <w:szCs w:val="22"/>
        </w:rPr>
        <w:t xml:space="preserve">Work will also need to be undertaken on </w:t>
      </w:r>
      <w:r w:rsidR="00E53BD2">
        <w:rPr>
          <w:sz w:val="22"/>
          <w:szCs w:val="22"/>
        </w:rPr>
        <w:t xml:space="preserve">adjusted or ‘policy on’ labour demand </w:t>
      </w:r>
      <w:r w:rsidR="00482637">
        <w:rPr>
          <w:sz w:val="22"/>
          <w:szCs w:val="22"/>
        </w:rPr>
        <w:t>– this may take the form of various growth scenarios.  It will be important to work closely with the consultants and stakeholders developing the overall economic growth vision to ensure that the scenario work reflects priorities but can also be translated in practical application through the forecasting.</w:t>
      </w:r>
    </w:p>
    <w:p w14:paraId="1C5579C8" w14:textId="77777777" w:rsidR="00482637" w:rsidRPr="00482637" w:rsidRDefault="00482637" w:rsidP="00482637">
      <w:pPr>
        <w:pStyle w:val="Default"/>
        <w:rPr>
          <w:sz w:val="22"/>
          <w:szCs w:val="22"/>
        </w:rPr>
      </w:pPr>
    </w:p>
    <w:p w14:paraId="7D01F273" w14:textId="2676A691" w:rsidR="008E786E" w:rsidRPr="008A6F90" w:rsidRDefault="00482637" w:rsidP="0093341A">
      <w:pPr>
        <w:pStyle w:val="Default"/>
        <w:numPr>
          <w:ilvl w:val="0"/>
          <w:numId w:val="10"/>
        </w:numPr>
        <w:ind w:left="709" w:hanging="425"/>
        <w:rPr>
          <w:sz w:val="22"/>
          <w:szCs w:val="22"/>
        </w:rPr>
      </w:pPr>
      <w:r>
        <w:rPr>
          <w:sz w:val="22"/>
          <w:szCs w:val="22"/>
        </w:rPr>
        <w:t xml:space="preserve">In line with previous commissioning and standards for undertaking similar work there will also need to be a review of past trends in completion of employment space.  The Council is currently collating the data to better inform this work plus complete a series of </w:t>
      </w:r>
      <w:r w:rsidR="0095386F">
        <w:rPr>
          <w:sz w:val="22"/>
          <w:szCs w:val="22"/>
        </w:rPr>
        <w:t xml:space="preserve">end of year </w:t>
      </w:r>
      <w:r>
        <w:rPr>
          <w:sz w:val="22"/>
          <w:szCs w:val="22"/>
        </w:rPr>
        <w:t xml:space="preserve">site monitoring assessments.  </w:t>
      </w:r>
      <w:r w:rsidR="00344A90">
        <w:rPr>
          <w:sz w:val="22"/>
          <w:szCs w:val="22"/>
        </w:rPr>
        <w:t xml:space="preserve">This work will also include establishing current pipeline supply (extant planning permissions) for inclusion in the report analysis. </w:t>
      </w:r>
    </w:p>
    <w:p w14:paraId="133543C2" w14:textId="77777777" w:rsidR="007342C4" w:rsidRPr="007342C4" w:rsidRDefault="007342C4" w:rsidP="007342C4">
      <w:pPr>
        <w:pStyle w:val="Default"/>
        <w:rPr>
          <w:sz w:val="22"/>
          <w:szCs w:val="22"/>
        </w:rPr>
      </w:pPr>
    </w:p>
    <w:p w14:paraId="4EBF2109" w14:textId="5739AF65" w:rsidR="008E786E" w:rsidRPr="008A6F90" w:rsidRDefault="00AE1DE4" w:rsidP="0093341A">
      <w:pPr>
        <w:pStyle w:val="Default"/>
        <w:numPr>
          <w:ilvl w:val="0"/>
          <w:numId w:val="10"/>
        </w:numPr>
        <w:ind w:left="709" w:hanging="425"/>
        <w:rPr>
          <w:sz w:val="22"/>
          <w:szCs w:val="22"/>
        </w:rPr>
      </w:pPr>
      <w:r>
        <w:rPr>
          <w:sz w:val="22"/>
          <w:szCs w:val="22"/>
        </w:rPr>
        <w:t xml:space="preserve">The Council is commissioning separate work on a Swindon Housing Study to include reviewing the Government’s Standard Method housing outputs for Swindon Borough.  Part of this review involves analysing whether </w:t>
      </w:r>
      <w:r w:rsidRPr="00AE1DE4">
        <w:rPr>
          <w:sz w:val="22"/>
          <w:szCs w:val="22"/>
        </w:rPr>
        <w:t>exceptional circumstances justify</w:t>
      </w:r>
      <w:r>
        <w:rPr>
          <w:sz w:val="22"/>
          <w:szCs w:val="22"/>
        </w:rPr>
        <w:t xml:space="preserve"> </w:t>
      </w:r>
      <w:r w:rsidRPr="00AE1DE4">
        <w:rPr>
          <w:sz w:val="22"/>
          <w:szCs w:val="22"/>
        </w:rPr>
        <w:t>an alternative approach which also reflects current and future demographic trends</w:t>
      </w:r>
      <w:r>
        <w:rPr>
          <w:sz w:val="22"/>
          <w:szCs w:val="22"/>
        </w:rPr>
        <w:t xml:space="preserve"> </w:t>
      </w:r>
      <w:r w:rsidRPr="00AE1DE4">
        <w:rPr>
          <w:sz w:val="22"/>
          <w:szCs w:val="22"/>
        </w:rPr>
        <w:t>and market signals.</w:t>
      </w:r>
      <w:r>
        <w:rPr>
          <w:sz w:val="22"/>
          <w:szCs w:val="22"/>
        </w:rPr>
        <w:t xml:space="preserve">  This commission will </w:t>
      </w:r>
      <w:r w:rsidR="003F725A">
        <w:rPr>
          <w:sz w:val="22"/>
          <w:szCs w:val="22"/>
        </w:rPr>
        <w:t xml:space="preserve">need </w:t>
      </w:r>
      <w:r>
        <w:rPr>
          <w:sz w:val="22"/>
          <w:szCs w:val="22"/>
        </w:rPr>
        <w:t>to:</w:t>
      </w:r>
    </w:p>
    <w:p w14:paraId="1B912828" w14:textId="77777777" w:rsidR="00AE1DE4" w:rsidRPr="00AE1DE4" w:rsidRDefault="00AE1DE4" w:rsidP="00AE1DE4">
      <w:pPr>
        <w:pStyle w:val="Default"/>
        <w:rPr>
          <w:sz w:val="22"/>
          <w:szCs w:val="22"/>
        </w:rPr>
      </w:pPr>
    </w:p>
    <w:p w14:paraId="500434D0" w14:textId="0E37E675" w:rsidR="00482637" w:rsidRDefault="00AE1DE4" w:rsidP="0093341A">
      <w:pPr>
        <w:pStyle w:val="Default"/>
        <w:numPr>
          <w:ilvl w:val="0"/>
          <w:numId w:val="13"/>
        </w:numPr>
        <w:rPr>
          <w:sz w:val="22"/>
          <w:szCs w:val="22"/>
        </w:rPr>
      </w:pPr>
      <w:r>
        <w:rPr>
          <w:sz w:val="22"/>
          <w:szCs w:val="22"/>
        </w:rPr>
        <w:t>review and refer to estimates of future growth of the labour supply drawing upon population forecast developed in the Swindon Housing Study</w:t>
      </w:r>
      <w:r w:rsidR="003F725A">
        <w:rPr>
          <w:sz w:val="22"/>
          <w:szCs w:val="22"/>
        </w:rPr>
        <w:t>, and also</w:t>
      </w:r>
    </w:p>
    <w:p w14:paraId="1190E1F6" w14:textId="77777777" w:rsidR="003F725A" w:rsidRDefault="003F725A" w:rsidP="003F725A">
      <w:pPr>
        <w:pStyle w:val="Default"/>
        <w:ind w:left="1485"/>
        <w:rPr>
          <w:sz w:val="22"/>
          <w:szCs w:val="22"/>
        </w:rPr>
      </w:pPr>
    </w:p>
    <w:p w14:paraId="15632878" w14:textId="117BE2AC" w:rsidR="008E786E" w:rsidRPr="008A6F90" w:rsidRDefault="003F725A" w:rsidP="0093341A">
      <w:pPr>
        <w:pStyle w:val="Default"/>
        <w:numPr>
          <w:ilvl w:val="0"/>
          <w:numId w:val="13"/>
        </w:numPr>
        <w:rPr>
          <w:sz w:val="22"/>
          <w:szCs w:val="22"/>
        </w:rPr>
      </w:pPr>
      <w:r>
        <w:rPr>
          <w:sz w:val="22"/>
          <w:szCs w:val="22"/>
        </w:rPr>
        <w:t xml:space="preserve">produce employment-led demographic scenarios that can be utilised within the Swindon Housing Study. </w:t>
      </w:r>
    </w:p>
    <w:p w14:paraId="6DADC911" w14:textId="653E6919" w:rsidR="00C65352" w:rsidRDefault="00C65352" w:rsidP="00C65352">
      <w:pPr>
        <w:pStyle w:val="Default"/>
        <w:rPr>
          <w:sz w:val="22"/>
          <w:szCs w:val="22"/>
        </w:rPr>
      </w:pPr>
    </w:p>
    <w:p w14:paraId="2652E39D" w14:textId="4EE2DEB2" w:rsidR="0088062D" w:rsidRDefault="0088062D" w:rsidP="0093341A">
      <w:pPr>
        <w:pStyle w:val="Default"/>
        <w:numPr>
          <w:ilvl w:val="0"/>
          <w:numId w:val="10"/>
        </w:numPr>
        <w:ind w:left="709" w:hanging="425"/>
        <w:rPr>
          <w:sz w:val="22"/>
          <w:szCs w:val="22"/>
        </w:rPr>
      </w:pPr>
      <w:r>
        <w:rPr>
          <w:sz w:val="22"/>
          <w:szCs w:val="22"/>
        </w:rPr>
        <w:t xml:space="preserve">It is also expected that this part of the employment study with also </w:t>
      </w:r>
      <w:r w:rsidR="0095386F">
        <w:rPr>
          <w:sz w:val="22"/>
          <w:szCs w:val="22"/>
        </w:rPr>
        <w:t xml:space="preserve">consider </w:t>
      </w:r>
      <w:r>
        <w:rPr>
          <w:sz w:val="22"/>
          <w:szCs w:val="22"/>
        </w:rPr>
        <w:t xml:space="preserve">such matters as ‘double jobbing’ and changes in the labour market. </w:t>
      </w:r>
      <w:r w:rsidR="00AA156A">
        <w:rPr>
          <w:sz w:val="22"/>
          <w:szCs w:val="22"/>
        </w:rPr>
        <w:t xml:space="preserve"> If we reflect on changes to the labour market over the last 20-30 years, there is a clear need to </w:t>
      </w:r>
      <w:r w:rsidR="00341F0B">
        <w:rPr>
          <w:sz w:val="22"/>
          <w:szCs w:val="22"/>
        </w:rPr>
        <w:t xml:space="preserve">think </w:t>
      </w:r>
      <w:r w:rsidR="00AA156A">
        <w:rPr>
          <w:sz w:val="22"/>
          <w:szCs w:val="22"/>
        </w:rPr>
        <w:t xml:space="preserve">about </w:t>
      </w:r>
      <w:r w:rsidR="00341F0B">
        <w:rPr>
          <w:sz w:val="22"/>
          <w:szCs w:val="22"/>
        </w:rPr>
        <w:t xml:space="preserve">the </w:t>
      </w:r>
      <w:r w:rsidR="00AA156A">
        <w:rPr>
          <w:sz w:val="22"/>
          <w:szCs w:val="22"/>
        </w:rPr>
        <w:t>future directions of work – particularly given the long</w:t>
      </w:r>
      <w:r w:rsidR="00341F0B">
        <w:rPr>
          <w:sz w:val="22"/>
          <w:szCs w:val="22"/>
        </w:rPr>
        <w:t>-</w:t>
      </w:r>
      <w:r w:rsidR="00AA156A">
        <w:rPr>
          <w:sz w:val="22"/>
          <w:szCs w:val="22"/>
        </w:rPr>
        <w:t xml:space="preserve">range </w:t>
      </w:r>
      <w:r w:rsidR="00341F0B">
        <w:rPr>
          <w:sz w:val="22"/>
          <w:szCs w:val="22"/>
        </w:rPr>
        <w:t xml:space="preserve">nature </w:t>
      </w:r>
      <w:r w:rsidR="00AA156A">
        <w:rPr>
          <w:sz w:val="22"/>
          <w:szCs w:val="22"/>
        </w:rPr>
        <w:t>of the local plan both in terms of technical deliverability and also vision.</w:t>
      </w:r>
    </w:p>
    <w:p w14:paraId="0CBD5A12" w14:textId="77777777" w:rsidR="008B41AF" w:rsidRDefault="008B41AF" w:rsidP="008B41AF">
      <w:pPr>
        <w:pStyle w:val="Default"/>
        <w:ind w:left="709"/>
        <w:rPr>
          <w:sz w:val="22"/>
          <w:szCs w:val="22"/>
        </w:rPr>
      </w:pPr>
    </w:p>
    <w:p w14:paraId="1814410A" w14:textId="6348F7B0" w:rsidR="008E786E" w:rsidRPr="008A6F90" w:rsidRDefault="005967CE" w:rsidP="0093341A">
      <w:pPr>
        <w:pStyle w:val="Default"/>
        <w:numPr>
          <w:ilvl w:val="0"/>
          <w:numId w:val="10"/>
        </w:numPr>
        <w:ind w:left="709" w:hanging="425"/>
        <w:rPr>
          <w:sz w:val="22"/>
          <w:szCs w:val="22"/>
        </w:rPr>
      </w:pPr>
      <w:r w:rsidRPr="005967CE">
        <w:rPr>
          <w:sz w:val="22"/>
          <w:szCs w:val="22"/>
        </w:rPr>
        <w:t xml:space="preserve">A key focus for this commission is </w:t>
      </w:r>
      <w:r w:rsidR="00203335">
        <w:rPr>
          <w:sz w:val="22"/>
          <w:szCs w:val="22"/>
        </w:rPr>
        <w:t xml:space="preserve">a broader and more </w:t>
      </w:r>
      <w:r w:rsidRPr="005967CE">
        <w:rPr>
          <w:sz w:val="22"/>
          <w:szCs w:val="22"/>
        </w:rPr>
        <w:t xml:space="preserve">integrated approach to employment growth and uses.  This includes reading across not only traditional ‘b uses’ but </w:t>
      </w:r>
      <w:r w:rsidR="00203335">
        <w:rPr>
          <w:sz w:val="22"/>
          <w:szCs w:val="22"/>
        </w:rPr>
        <w:t xml:space="preserve">also town centre uses and flexibilities.  </w:t>
      </w:r>
      <w:r w:rsidRPr="00203335">
        <w:rPr>
          <w:sz w:val="22"/>
          <w:szCs w:val="22"/>
        </w:rPr>
        <w:t xml:space="preserve">Further developing a clear vision and direction for Swindon Town Centre is both a challenge and opportunity and is a very significant focus for investment and regeneration.  This necessitates a holistic and possibly more fine-grained approach to employment use analysis together with a review of </w:t>
      </w:r>
      <w:r w:rsidR="0095386F">
        <w:rPr>
          <w:sz w:val="22"/>
          <w:szCs w:val="22"/>
        </w:rPr>
        <w:t xml:space="preserve">spatial and </w:t>
      </w:r>
      <w:r w:rsidRPr="00203335">
        <w:rPr>
          <w:sz w:val="22"/>
          <w:szCs w:val="22"/>
        </w:rPr>
        <w:t xml:space="preserve">design-led solutions.  </w:t>
      </w:r>
      <w:r w:rsidR="00341F0B">
        <w:rPr>
          <w:sz w:val="22"/>
          <w:szCs w:val="22"/>
        </w:rPr>
        <w:t xml:space="preserve">Review of best practice case studies could help inform directions. </w:t>
      </w:r>
    </w:p>
    <w:p w14:paraId="492BD60A" w14:textId="1E4AF108" w:rsidR="008B41AF" w:rsidRDefault="008B41AF" w:rsidP="00203335">
      <w:pPr>
        <w:pStyle w:val="Default"/>
        <w:ind w:left="709"/>
        <w:rPr>
          <w:sz w:val="22"/>
          <w:szCs w:val="22"/>
          <w:highlight w:val="yellow"/>
        </w:rPr>
      </w:pPr>
    </w:p>
    <w:p w14:paraId="7848D849" w14:textId="6262BC58" w:rsidR="00203335" w:rsidRPr="00E172DE" w:rsidRDefault="00341F0B" w:rsidP="0093341A">
      <w:pPr>
        <w:pStyle w:val="Default"/>
        <w:numPr>
          <w:ilvl w:val="0"/>
          <w:numId w:val="10"/>
        </w:numPr>
        <w:ind w:left="709" w:hanging="425"/>
        <w:rPr>
          <w:sz w:val="22"/>
          <w:szCs w:val="22"/>
        </w:rPr>
      </w:pPr>
      <w:r>
        <w:rPr>
          <w:sz w:val="22"/>
          <w:szCs w:val="22"/>
        </w:rPr>
        <w:t xml:space="preserve">The study will also need to focus upon trend </w:t>
      </w:r>
      <w:r w:rsidR="002729E3">
        <w:rPr>
          <w:sz w:val="22"/>
          <w:szCs w:val="22"/>
        </w:rPr>
        <w:t xml:space="preserve">and opportunity </w:t>
      </w:r>
      <w:r>
        <w:rPr>
          <w:sz w:val="22"/>
          <w:szCs w:val="22"/>
        </w:rPr>
        <w:t xml:space="preserve">analysis concerning: </w:t>
      </w:r>
    </w:p>
    <w:p w14:paraId="1D9E553E" w14:textId="77777777" w:rsidR="00203335" w:rsidRDefault="00203335" w:rsidP="008A6F90">
      <w:pPr>
        <w:pStyle w:val="Default"/>
        <w:rPr>
          <w:sz w:val="22"/>
          <w:szCs w:val="22"/>
        </w:rPr>
      </w:pPr>
    </w:p>
    <w:p w14:paraId="5E38F494" w14:textId="208CAA39" w:rsidR="00203335" w:rsidRPr="004620EA" w:rsidRDefault="00341F0B" w:rsidP="0093341A">
      <w:pPr>
        <w:pStyle w:val="Default"/>
        <w:numPr>
          <w:ilvl w:val="0"/>
          <w:numId w:val="14"/>
        </w:numPr>
        <w:rPr>
          <w:sz w:val="22"/>
          <w:szCs w:val="22"/>
        </w:rPr>
      </w:pPr>
      <w:r w:rsidRPr="004620EA">
        <w:rPr>
          <w:sz w:val="22"/>
          <w:szCs w:val="22"/>
        </w:rPr>
        <w:t xml:space="preserve">home-working and </w:t>
      </w:r>
      <w:r w:rsidR="00203335" w:rsidRPr="004620EA">
        <w:rPr>
          <w:sz w:val="22"/>
          <w:szCs w:val="22"/>
        </w:rPr>
        <w:t>office trends and new directions – particularly reflective of post-</w:t>
      </w:r>
      <w:proofErr w:type="spellStart"/>
      <w:r w:rsidR="00203335" w:rsidRPr="004620EA">
        <w:rPr>
          <w:sz w:val="22"/>
          <w:szCs w:val="22"/>
        </w:rPr>
        <w:t>Covid</w:t>
      </w:r>
      <w:proofErr w:type="spellEnd"/>
      <w:r w:rsidR="00203335" w:rsidRPr="004620EA">
        <w:rPr>
          <w:sz w:val="22"/>
          <w:szCs w:val="22"/>
        </w:rPr>
        <w:t xml:space="preserve"> demand implications;</w:t>
      </w:r>
    </w:p>
    <w:p w14:paraId="4A0BAF6D" w14:textId="77777777" w:rsidR="00203335" w:rsidRPr="004620EA" w:rsidRDefault="00203335" w:rsidP="00203335">
      <w:pPr>
        <w:pStyle w:val="Default"/>
        <w:rPr>
          <w:sz w:val="22"/>
          <w:szCs w:val="22"/>
        </w:rPr>
      </w:pPr>
    </w:p>
    <w:p w14:paraId="3D55C463" w14:textId="0C58C38B" w:rsidR="00203335" w:rsidRPr="004620EA" w:rsidRDefault="00203335" w:rsidP="0093341A">
      <w:pPr>
        <w:pStyle w:val="Default"/>
        <w:numPr>
          <w:ilvl w:val="0"/>
          <w:numId w:val="14"/>
        </w:numPr>
        <w:rPr>
          <w:sz w:val="22"/>
          <w:szCs w:val="22"/>
        </w:rPr>
      </w:pPr>
      <w:r w:rsidRPr="004620EA">
        <w:rPr>
          <w:sz w:val="22"/>
          <w:szCs w:val="22"/>
        </w:rPr>
        <w:t xml:space="preserve">the changing nature and characteristics of logistic, movement and industrial / warehouse needs – emergence of dark warehouses, seasonal fluxes in expansion demand, </w:t>
      </w:r>
      <w:r w:rsidR="00ED26DD" w:rsidRPr="004620EA">
        <w:rPr>
          <w:sz w:val="22"/>
          <w:szCs w:val="22"/>
        </w:rPr>
        <w:t xml:space="preserve">employment building </w:t>
      </w:r>
      <w:r w:rsidRPr="004620EA">
        <w:rPr>
          <w:sz w:val="22"/>
          <w:szCs w:val="22"/>
        </w:rPr>
        <w:t>density and intensification of employment needs</w:t>
      </w:r>
      <w:r w:rsidR="00ED26DD" w:rsidRPr="004620EA">
        <w:rPr>
          <w:sz w:val="22"/>
          <w:szCs w:val="22"/>
        </w:rPr>
        <w:t xml:space="preserve">, together with the infrastructure and ancillary uses to support distribution uses; </w:t>
      </w:r>
    </w:p>
    <w:p w14:paraId="60D1AD0F" w14:textId="77777777" w:rsidR="00203335" w:rsidRPr="004620EA" w:rsidRDefault="00203335" w:rsidP="00203335">
      <w:pPr>
        <w:pStyle w:val="Default"/>
        <w:rPr>
          <w:sz w:val="22"/>
          <w:szCs w:val="22"/>
        </w:rPr>
      </w:pPr>
    </w:p>
    <w:p w14:paraId="66E8FBBA" w14:textId="35D22FD3" w:rsidR="00203335" w:rsidRPr="004620EA" w:rsidRDefault="00203335" w:rsidP="0093341A">
      <w:pPr>
        <w:pStyle w:val="Default"/>
        <w:numPr>
          <w:ilvl w:val="0"/>
          <w:numId w:val="14"/>
        </w:numPr>
        <w:rPr>
          <w:sz w:val="22"/>
          <w:szCs w:val="22"/>
        </w:rPr>
      </w:pPr>
      <w:r w:rsidRPr="004620EA">
        <w:rPr>
          <w:sz w:val="22"/>
          <w:szCs w:val="22"/>
        </w:rPr>
        <w:t xml:space="preserve">an analysis of strategic growth areas, including New Eastern Villages – </w:t>
      </w:r>
      <w:r w:rsidR="002729E3" w:rsidRPr="004620EA">
        <w:rPr>
          <w:sz w:val="22"/>
          <w:szCs w:val="22"/>
        </w:rPr>
        <w:t xml:space="preserve">employment land designations within strategic sites </w:t>
      </w:r>
      <w:r w:rsidR="007903FA">
        <w:rPr>
          <w:sz w:val="22"/>
          <w:szCs w:val="22"/>
        </w:rPr>
        <w:t xml:space="preserve">which </w:t>
      </w:r>
      <w:r w:rsidR="002729E3" w:rsidRPr="004620EA">
        <w:rPr>
          <w:sz w:val="22"/>
          <w:szCs w:val="22"/>
        </w:rPr>
        <w:t>has generally not been delivered</w:t>
      </w:r>
      <w:r w:rsidR="007903FA">
        <w:rPr>
          <w:sz w:val="22"/>
          <w:szCs w:val="22"/>
        </w:rPr>
        <w:t>,</w:t>
      </w:r>
      <w:r w:rsidR="002729E3" w:rsidRPr="004620EA">
        <w:rPr>
          <w:sz w:val="22"/>
          <w:szCs w:val="22"/>
        </w:rPr>
        <w:t xml:space="preserve"> apart from Symmetry Park (NEV) and the vision / delivery of local centres is in some cases uncertain</w:t>
      </w:r>
      <w:r w:rsidR="004620EA" w:rsidRPr="004620EA">
        <w:rPr>
          <w:sz w:val="22"/>
          <w:szCs w:val="22"/>
        </w:rPr>
        <w:t xml:space="preserve"> – consideration also in light of retaining a strong commercial core around the town centre</w:t>
      </w:r>
      <w:r w:rsidR="002A1EF5" w:rsidRPr="004620EA">
        <w:rPr>
          <w:sz w:val="22"/>
          <w:szCs w:val="22"/>
        </w:rPr>
        <w:t>;</w:t>
      </w:r>
    </w:p>
    <w:p w14:paraId="130E0243" w14:textId="77777777" w:rsidR="00203335" w:rsidRPr="004620EA" w:rsidRDefault="00203335" w:rsidP="008A6F90">
      <w:pPr>
        <w:pStyle w:val="Default"/>
        <w:rPr>
          <w:sz w:val="22"/>
          <w:szCs w:val="22"/>
        </w:rPr>
      </w:pPr>
    </w:p>
    <w:p w14:paraId="1B798934" w14:textId="242E6357" w:rsidR="00203335" w:rsidRPr="004620EA" w:rsidRDefault="00203335" w:rsidP="0093341A">
      <w:pPr>
        <w:pStyle w:val="Default"/>
        <w:numPr>
          <w:ilvl w:val="0"/>
          <w:numId w:val="14"/>
        </w:numPr>
        <w:rPr>
          <w:sz w:val="22"/>
          <w:szCs w:val="22"/>
        </w:rPr>
      </w:pPr>
      <w:r w:rsidRPr="004620EA">
        <w:rPr>
          <w:sz w:val="22"/>
          <w:szCs w:val="22"/>
        </w:rPr>
        <w:t xml:space="preserve">a sectoral analysis of smaller scale employment uses </w:t>
      </w:r>
      <w:r w:rsidR="004620EA" w:rsidRPr="004620EA">
        <w:rPr>
          <w:sz w:val="22"/>
          <w:szCs w:val="22"/>
        </w:rPr>
        <w:t xml:space="preserve">and occupiers </w:t>
      </w:r>
      <w:r w:rsidRPr="004620EA">
        <w:rPr>
          <w:sz w:val="22"/>
          <w:szCs w:val="22"/>
        </w:rPr>
        <w:t xml:space="preserve">which are more compatible with urban and town centres, </w:t>
      </w:r>
      <w:r w:rsidR="004620EA" w:rsidRPr="004620EA">
        <w:rPr>
          <w:sz w:val="22"/>
          <w:szCs w:val="22"/>
        </w:rPr>
        <w:t>providing the opportunity to support regeneration;</w:t>
      </w:r>
    </w:p>
    <w:p w14:paraId="20914099" w14:textId="77777777" w:rsidR="00203335" w:rsidRPr="004620EA" w:rsidRDefault="00203335" w:rsidP="00203335">
      <w:pPr>
        <w:pStyle w:val="Default"/>
        <w:rPr>
          <w:sz w:val="22"/>
          <w:szCs w:val="22"/>
        </w:rPr>
      </w:pPr>
    </w:p>
    <w:p w14:paraId="5DE63B8C" w14:textId="3EBFF08E" w:rsidR="004620EA" w:rsidRDefault="00203335" w:rsidP="004620EA">
      <w:pPr>
        <w:pStyle w:val="Default"/>
        <w:numPr>
          <w:ilvl w:val="0"/>
          <w:numId w:val="14"/>
        </w:numPr>
        <w:rPr>
          <w:sz w:val="22"/>
          <w:szCs w:val="22"/>
        </w:rPr>
      </w:pPr>
      <w:r w:rsidRPr="004620EA">
        <w:rPr>
          <w:sz w:val="22"/>
          <w:szCs w:val="22"/>
        </w:rPr>
        <w:t>an analysis of the employment needs of other identified priority growth sectors – for example gree</w:t>
      </w:r>
      <w:r w:rsidR="004620EA" w:rsidRPr="004620EA">
        <w:rPr>
          <w:sz w:val="22"/>
          <w:szCs w:val="22"/>
        </w:rPr>
        <w:t xml:space="preserve">n and knowledge economies and opportunities to support growth within Swindon, and  </w:t>
      </w:r>
    </w:p>
    <w:p w14:paraId="647C3B3F" w14:textId="77777777" w:rsidR="004620EA" w:rsidRPr="004620EA" w:rsidRDefault="004620EA" w:rsidP="004620EA">
      <w:pPr>
        <w:pStyle w:val="Default"/>
        <w:rPr>
          <w:sz w:val="22"/>
          <w:szCs w:val="22"/>
        </w:rPr>
      </w:pPr>
    </w:p>
    <w:p w14:paraId="72D48459" w14:textId="12B5D56E" w:rsidR="004620EA" w:rsidRPr="004620EA" w:rsidRDefault="004620EA" w:rsidP="0093341A">
      <w:pPr>
        <w:pStyle w:val="Default"/>
        <w:numPr>
          <w:ilvl w:val="0"/>
          <w:numId w:val="14"/>
        </w:numPr>
        <w:rPr>
          <w:sz w:val="22"/>
          <w:szCs w:val="22"/>
        </w:rPr>
      </w:pPr>
      <w:r w:rsidRPr="004620EA">
        <w:rPr>
          <w:sz w:val="22"/>
          <w:szCs w:val="22"/>
        </w:rPr>
        <w:t xml:space="preserve">gap and barriers to growth – </w:t>
      </w:r>
      <w:r w:rsidR="00A51328">
        <w:rPr>
          <w:sz w:val="22"/>
          <w:szCs w:val="22"/>
        </w:rPr>
        <w:t xml:space="preserve">an analysis of </w:t>
      </w:r>
      <w:r w:rsidRPr="004620EA">
        <w:rPr>
          <w:sz w:val="22"/>
          <w:szCs w:val="22"/>
        </w:rPr>
        <w:t>employment needs in sectors which may be looking to expand but can’t currently</w:t>
      </w:r>
      <w:r w:rsidR="00A51328">
        <w:rPr>
          <w:sz w:val="22"/>
          <w:szCs w:val="22"/>
        </w:rPr>
        <w:t>, including demand for certain types of buildings / premises.</w:t>
      </w:r>
      <w:r w:rsidRPr="004620EA">
        <w:rPr>
          <w:sz w:val="22"/>
          <w:szCs w:val="22"/>
        </w:rPr>
        <w:t xml:space="preserve"> </w:t>
      </w:r>
    </w:p>
    <w:p w14:paraId="4F9389B9" w14:textId="77777777" w:rsidR="00203335" w:rsidRPr="00B77EAD" w:rsidRDefault="00203335" w:rsidP="00203335">
      <w:pPr>
        <w:pStyle w:val="Default"/>
        <w:rPr>
          <w:sz w:val="22"/>
          <w:szCs w:val="22"/>
        </w:rPr>
      </w:pPr>
    </w:p>
    <w:p w14:paraId="25A8E32B" w14:textId="52AD0824" w:rsidR="008B41AF" w:rsidRPr="00203335" w:rsidRDefault="00203335" w:rsidP="00203335">
      <w:pPr>
        <w:pStyle w:val="Default"/>
        <w:ind w:left="709"/>
        <w:rPr>
          <w:sz w:val="22"/>
          <w:szCs w:val="22"/>
        </w:rPr>
      </w:pPr>
      <w:r>
        <w:rPr>
          <w:sz w:val="22"/>
          <w:szCs w:val="22"/>
        </w:rPr>
        <w:t>Some of this commission focus will obviously connect to land, premises and spaces section of the brief, as well as demand considerations.</w:t>
      </w:r>
    </w:p>
    <w:p w14:paraId="6788F32F" w14:textId="0BE62D6A" w:rsidR="008B41AF" w:rsidRDefault="008B41AF" w:rsidP="008B41AF">
      <w:pPr>
        <w:pStyle w:val="Default"/>
        <w:rPr>
          <w:sz w:val="22"/>
          <w:szCs w:val="22"/>
          <w:highlight w:val="yellow"/>
        </w:rPr>
      </w:pPr>
    </w:p>
    <w:p w14:paraId="6DF7CEC5" w14:textId="4A0C2CC7" w:rsidR="008B41AF" w:rsidRPr="008B41AF" w:rsidRDefault="008B41AF" w:rsidP="008B41AF">
      <w:pPr>
        <w:pStyle w:val="Default"/>
        <w:ind w:firstLine="709"/>
        <w:rPr>
          <w:sz w:val="22"/>
          <w:szCs w:val="22"/>
          <w:u w:val="single"/>
        </w:rPr>
      </w:pPr>
      <w:r w:rsidRPr="008B41AF">
        <w:rPr>
          <w:sz w:val="22"/>
          <w:szCs w:val="22"/>
          <w:u w:val="single"/>
        </w:rPr>
        <w:t xml:space="preserve">Employment Floorspace </w:t>
      </w:r>
      <w:r w:rsidR="008111F0">
        <w:rPr>
          <w:sz w:val="22"/>
          <w:szCs w:val="22"/>
          <w:u w:val="single"/>
        </w:rPr>
        <w:t xml:space="preserve">and Hectare </w:t>
      </w:r>
      <w:r w:rsidRPr="008B41AF">
        <w:rPr>
          <w:sz w:val="22"/>
          <w:szCs w:val="22"/>
          <w:u w:val="single"/>
        </w:rPr>
        <w:t>Assessment</w:t>
      </w:r>
    </w:p>
    <w:p w14:paraId="56C440F1" w14:textId="77777777" w:rsidR="008B41AF" w:rsidRPr="008B41AF" w:rsidRDefault="008B41AF" w:rsidP="008B41AF">
      <w:pPr>
        <w:pStyle w:val="Default"/>
        <w:rPr>
          <w:sz w:val="22"/>
          <w:szCs w:val="22"/>
        </w:rPr>
      </w:pPr>
    </w:p>
    <w:p w14:paraId="1868FF19" w14:textId="41B110F3" w:rsidR="008B41AF" w:rsidRDefault="008B41AF" w:rsidP="0093341A">
      <w:pPr>
        <w:pStyle w:val="Default"/>
        <w:numPr>
          <w:ilvl w:val="0"/>
          <w:numId w:val="10"/>
        </w:numPr>
        <w:ind w:left="709" w:hanging="425"/>
        <w:rPr>
          <w:sz w:val="22"/>
          <w:szCs w:val="22"/>
        </w:rPr>
      </w:pPr>
      <w:r w:rsidRPr="008B41AF">
        <w:rPr>
          <w:sz w:val="22"/>
          <w:szCs w:val="22"/>
        </w:rPr>
        <w:t xml:space="preserve">The study will need to develop a clear methodology for the conversion of employment forecasts to net employment space requirements and then to gross employment space requirements recognising the potential need to apply an allowance factor (safety margin); future losses and replacement considerations for more traditional </w:t>
      </w:r>
      <w:r w:rsidRPr="008B41AF">
        <w:rPr>
          <w:sz w:val="22"/>
          <w:szCs w:val="22"/>
        </w:rPr>
        <w:lastRenderedPageBreak/>
        <w:t xml:space="preserve">employment uses and also the integrated nature of the study in terms of employment and retail / leisure and town centre uses.  </w:t>
      </w:r>
    </w:p>
    <w:p w14:paraId="40E423DA" w14:textId="77777777" w:rsidR="00355F01" w:rsidRDefault="00355F01" w:rsidP="00355F01">
      <w:pPr>
        <w:pStyle w:val="Default"/>
        <w:ind w:left="709"/>
        <w:rPr>
          <w:sz w:val="22"/>
          <w:szCs w:val="22"/>
        </w:rPr>
      </w:pPr>
    </w:p>
    <w:p w14:paraId="5090DE34" w14:textId="77777777" w:rsidR="005967CE" w:rsidRPr="00CA2A16" w:rsidRDefault="005967CE" w:rsidP="005967CE">
      <w:pPr>
        <w:pStyle w:val="Default"/>
        <w:rPr>
          <w:sz w:val="22"/>
          <w:szCs w:val="22"/>
          <w:highlight w:val="yellow"/>
        </w:rPr>
      </w:pPr>
    </w:p>
    <w:p w14:paraId="73802F66" w14:textId="0828934C" w:rsidR="00203335" w:rsidRPr="00860A55" w:rsidRDefault="005967CE" w:rsidP="00860A55">
      <w:pPr>
        <w:tabs>
          <w:tab w:val="left" w:pos="6790"/>
        </w:tabs>
        <w:rPr>
          <w:rFonts w:ascii="Arial" w:hAnsi="Arial" w:cs="Arial"/>
          <w:b/>
          <w:sz w:val="24"/>
          <w:szCs w:val="24"/>
        </w:rPr>
      </w:pPr>
      <w:r w:rsidRPr="00845765">
        <w:rPr>
          <w:rFonts w:ascii="Arial" w:hAnsi="Arial" w:cs="Arial"/>
          <w:b/>
          <w:sz w:val="24"/>
          <w:szCs w:val="24"/>
        </w:rPr>
        <w:t>Part C – Land, Premises and Spaces</w:t>
      </w:r>
    </w:p>
    <w:p w14:paraId="06411321" w14:textId="53B6AD90" w:rsidR="00203335" w:rsidRPr="0095386F" w:rsidRDefault="0095386F" w:rsidP="0095386F">
      <w:pPr>
        <w:pStyle w:val="Default"/>
        <w:ind w:firstLine="720"/>
        <w:rPr>
          <w:sz w:val="22"/>
          <w:szCs w:val="22"/>
          <w:u w:val="single"/>
        </w:rPr>
      </w:pPr>
      <w:r w:rsidRPr="0095386F">
        <w:rPr>
          <w:sz w:val="22"/>
          <w:szCs w:val="22"/>
          <w:u w:val="single"/>
        </w:rPr>
        <w:t>Overview</w:t>
      </w:r>
    </w:p>
    <w:p w14:paraId="4BDA42BF" w14:textId="0F3F8A02" w:rsidR="0095386F" w:rsidRPr="0095386F" w:rsidRDefault="0095386F" w:rsidP="005967CE">
      <w:pPr>
        <w:pStyle w:val="Default"/>
        <w:rPr>
          <w:b/>
          <w:i/>
          <w:sz w:val="22"/>
          <w:szCs w:val="22"/>
        </w:rPr>
      </w:pPr>
    </w:p>
    <w:p w14:paraId="139E226E" w14:textId="3CC4E220" w:rsidR="0095386F" w:rsidRDefault="007850E1" w:rsidP="0093341A">
      <w:pPr>
        <w:pStyle w:val="Default"/>
        <w:numPr>
          <w:ilvl w:val="0"/>
          <w:numId w:val="10"/>
        </w:numPr>
        <w:ind w:left="709" w:hanging="425"/>
        <w:rPr>
          <w:sz w:val="22"/>
          <w:szCs w:val="22"/>
        </w:rPr>
      </w:pPr>
      <w:r>
        <w:rPr>
          <w:sz w:val="22"/>
          <w:szCs w:val="22"/>
        </w:rPr>
        <w:t xml:space="preserve">The last set of </w:t>
      </w:r>
      <w:r w:rsidR="002E470E">
        <w:rPr>
          <w:sz w:val="22"/>
          <w:szCs w:val="22"/>
        </w:rPr>
        <w:t xml:space="preserve">plan </w:t>
      </w:r>
      <w:r>
        <w:rPr>
          <w:sz w:val="22"/>
          <w:szCs w:val="22"/>
        </w:rPr>
        <w:t xml:space="preserve">evidence work on Swindon’s employment land status was undertaken in 2017 and the Council maintained a database of </w:t>
      </w:r>
      <w:r w:rsidR="00F01F55">
        <w:rPr>
          <w:sz w:val="22"/>
          <w:szCs w:val="22"/>
        </w:rPr>
        <w:t xml:space="preserve">employment </w:t>
      </w:r>
      <w:r>
        <w:rPr>
          <w:sz w:val="22"/>
          <w:szCs w:val="22"/>
        </w:rPr>
        <w:t xml:space="preserve">estates and </w:t>
      </w:r>
      <w:r w:rsidR="00F01F55">
        <w:rPr>
          <w:sz w:val="22"/>
          <w:szCs w:val="22"/>
        </w:rPr>
        <w:t>occupier</w:t>
      </w:r>
      <w:r>
        <w:rPr>
          <w:sz w:val="22"/>
          <w:szCs w:val="22"/>
        </w:rPr>
        <w:t xml:space="preserve"> information to 2021.  This database </w:t>
      </w:r>
      <w:r w:rsidR="000F7241">
        <w:rPr>
          <w:sz w:val="22"/>
          <w:szCs w:val="22"/>
        </w:rPr>
        <w:t xml:space="preserve">is searchable </w:t>
      </w:r>
      <w:r w:rsidR="00AF1721">
        <w:rPr>
          <w:sz w:val="22"/>
          <w:szCs w:val="22"/>
        </w:rPr>
        <w:t xml:space="preserve">(includes over 1300 entries) </w:t>
      </w:r>
      <w:r w:rsidR="000F7241">
        <w:rPr>
          <w:sz w:val="22"/>
          <w:szCs w:val="22"/>
        </w:rPr>
        <w:t xml:space="preserve">by employment area / zone, business address, business trading category and occupancy.  </w:t>
      </w:r>
      <w:r w:rsidR="00F01F55">
        <w:rPr>
          <w:sz w:val="22"/>
          <w:szCs w:val="22"/>
        </w:rPr>
        <w:t>This information will be available for this commission but the Council is seeking advice through this tendering process to create a smarter and less resource intensive platform to assist in occupier monitoring and employment data and intelligence</w:t>
      </w:r>
      <w:r w:rsidR="003F66D9">
        <w:rPr>
          <w:sz w:val="22"/>
          <w:szCs w:val="22"/>
        </w:rPr>
        <w:t xml:space="preserve"> collection.</w:t>
      </w:r>
    </w:p>
    <w:p w14:paraId="0C74F7A0" w14:textId="77777777" w:rsidR="007850E1" w:rsidRDefault="007850E1" w:rsidP="007850E1">
      <w:pPr>
        <w:pStyle w:val="Default"/>
        <w:ind w:left="709"/>
        <w:rPr>
          <w:sz w:val="22"/>
          <w:szCs w:val="22"/>
        </w:rPr>
      </w:pPr>
    </w:p>
    <w:p w14:paraId="6F70EEA8" w14:textId="63E0D0E9" w:rsidR="008467C4" w:rsidRDefault="000F7241" w:rsidP="0093341A">
      <w:pPr>
        <w:pStyle w:val="Default"/>
        <w:numPr>
          <w:ilvl w:val="0"/>
          <w:numId w:val="10"/>
        </w:numPr>
        <w:ind w:left="709" w:hanging="425"/>
        <w:rPr>
          <w:sz w:val="22"/>
          <w:szCs w:val="22"/>
        </w:rPr>
      </w:pPr>
      <w:r>
        <w:rPr>
          <w:sz w:val="22"/>
          <w:szCs w:val="22"/>
        </w:rPr>
        <w:t xml:space="preserve">The Council is updating vacant / undeveloped land within existing employment areas / zones as part of new annual monitoring work programming.  Work has also commenced on reviewing employment </w:t>
      </w:r>
      <w:r w:rsidR="00472B7A">
        <w:rPr>
          <w:sz w:val="22"/>
          <w:szCs w:val="22"/>
        </w:rPr>
        <w:t xml:space="preserve">losses and </w:t>
      </w:r>
      <w:r>
        <w:rPr>
          <w:sz w:val="22"/>
          <w:szCs w:val="22"/>
        </w:rPr>
        <w:t xml:space="preserve">take-up levels following a review of planning applications </w:t>
      </w:r>
      <w:r w:rsidR="00472B7A">
        <w:rPr>
          <w:sz w:val="22"/>
          <w:szCs w:val="22"/>
        </w:rPr>
        <w:t xml:space="preserve">and delivery </w:t>
      </w:r>
      <w:r>
        <w:rPr>
          <w:sz w:val="22"/>
          <w:szCs w:val="22"/>
        </w:rPr>
        <w:t xml:space="preserve">taken forward from 2014 </w:t>
      </w:r>
      <w:r w:rsidR="008467C4">
        <w:rPr>
          <w:sz w:val="22"/>
          <w:szCs w:val="22"/>
        </w:rPr>
        <w:t xml:space="preserve">which tends to be the cut off point for the data sources for the 2017 </w:t>
      </w:r>
      <w:proofErr w:type="spellStart"/>
      <w:r w:rsidR="008467C4">
        <w:rPr>
          <w:sz w:val="22"/>
          <w:szCs w:val="22"/>
        </w:rPr>
        <w:t>Lichfields</w:t>
      </w:r>
      <w:proofErr w:type="spellEnd"/>
      <w:r w:rsidR="008467C4">
        <w:rPr>
          <w:sz w:val="22"/>
          <w:szCs w:val="22"/>
        </w:rPr>
        <w:t xml:space="preserve"> Report on Employment Land referenced previously.</w:t>
      </w:r>
    </w:p>
    <w:p w14:paraId="4A178035" w14:textId="77777777" w:rsidR="00157D27" w:rsidRPr="00157D27" w:rsidRDefault="00157D27" w:rsidP="00157D27">
      <w:pPr>
        <w:pStyle w:val="Default"/>
        <w:rPr>
          <w:sz w:val="22"/>
          <w:szCs w:val="22"/>
        </w:rPr>
      </w:pPr>
    </w:p>
    <w:p w14:paraId="7ABEF686" w14:textId="753FD7F9" w:rsidR="008E786E" w:rsidRPr="00CE14C2" w:rsidRDefault="00157D27" w:rsidP="0093341A">
      <w:pPr>
        <w:pStyle w:val="Default"/>
        <w:numPr>
          <w:ilvl w:val="0"/>
          <w:numId w:val="10"/>
        </w:numPr>
        <w:ind w:left="709" w:hanging="425"/>
        <w:rPr>
          <w:sz w:val="22"/>
          <w:szCs w:val="22"/>
        </w:rPr>
      </w:pPr>
      <w:r>
        <w:rPr>
          <w:sz w:val="22"/>
          <w:szCs w:val="22"/>
        </w:rPr>
        <w:t xml:space="preserve">The Council has also recently concluded a new call for sites exercise and there may be other employment sites of note </w:t>
      </w:r>
      <w:r w:rsidR="00F01F55">
        <w:rPr>
          <w:sz w:val="22"/>
          <w:szCs w:val="22"/>
        </w:rPr>
        <w:t xml:space="preserve">(not necessary defined as designated employment land) </w:t>
      </w:r>
      <w:r>
        <w:rPr>
          <w:sz w:val="22"/>
          <w:szCs w:val="22"/>
        </w:rPr>
        <w:t>in developing the overall base set of information.</w:t>
      </w:r>
    </w:p>
    <w:p w14:paraId="4FDD0960" w14:textId="6DBD7739" w:rsidR="0095386F" w:rsidRPr="0095386F" w:rsidRDefault="0095386F" w:rsidP="005967CE">
      <w:pPr>
        <w:pStyle w:val="Default"/>
        <w:rPr>
          <w:b/>
          <w:i/>
          <w:sz w:val="22"/>
          <w:szCs w:val="22"/>
        </w:rPr>
      </w:pPr>
    </w:p>
    <w:p w14:paraId="053683B3" w14:textId="054595AB" w:rsidR="00472B7A" w:rsidRPr="00472B7A" w:rsidRDefault="00472B7A" w:rsidP="00472B7A">
      <w:pPr>
        <w:pStyle w:val="Default"/>
        <w:ind w:left="709"/>
        <w:rPr>
          <w:sz w:val="22"/>
          <w:szCs w:val="22"/>
          <w:u w:val="single"/>
        </w:rPr>
      </w:pPr>
      <w:r w:rsidRPr="00472B7A">
        <w:rPr>
          <w:sz w:val="22"/>
          <w:szCs w:val="22"/>
          <w:u w:val="single"/>
        </w:rPr>
        <w:t>Employment Land and Spaces</w:t>
      </w:r>
    </w:p>
    <w:p w14:paraId="07838C90" w14:textId="77777777" w:rsidR="00472B7A" w:rsidRPr="00F01F55" w:rsidRDefault="00472B7A" w:rsidP="00434739">
      <w:pPr>
        <w:pStyle w:val="Default"/>
        <w:rPr>
          <w:sz w:val="22"/>
          <w:szCs w:val="22"/>
        </w:rPr>
      </w:pPr>
    </w:p>
    <w:p w14:paraId="1893AD43" w14:textId="4B0C77B8" w:rsidR="0095386F" w:rsidRPr="00F01F55" w:rsidRDefault="008F23BD" w:rsidP="0093341A">
      <w:pPr>
        <w:pStyle w:val="Default"/>
        <w:numPr>
          <w:ilvl w:val="0"/>
          <w:numId w:val="10"/>
        </w:numPr>
        <w:ind w:left="709" w:hanging="425"/>
        <w:rPr>
          <w:sz w:val="22"/>
          <w:szCs w:val="22"/>
        </w:rPr>
      </w:pPr>
      <w:r>
        <w:rPr>
          <w:sz w:val="22"/>
          <w:szCs w:val="22"/>
        </w:rPr>
        <w:t xml:space="preserve">The Council requires an update to employment floorspace (by broad type) within the Borough and an analysis of spatial distribution.  This </w:t>
      </w:r>
      <w:r w:rsidR="00B25917">
        <w:rPr>
          <w:sz w:val="22"/>
          <w:szCs w:val="22"/>
        </w:rPr>
        <w:t xml:space="preserve">part of the commission </w:t>
      </w:r>
      <w:r w:rsidR="003F66D9">
        <w:rPr>
          <w:sz w:val="22"/>
          <w:szCs w:val="22"/>
        </w:rPr>
        <w:t>sh</w:t>
      </w:r>
      <w:r w:rsidR="00B25917">
        <w:rPr>
          <w:sz w:val="22"/>
          <w:szCs w:val="22"/>
        </w:rPr>
        <w:t>ould include comparative and time-period analysis.</w:t>
      </w:r>
    </w:p>
    <w:p w14:paraId="3ABB4FC6" w14:textId="3EF031BA" w:rsidR="00472B7A" w:rsidRPr="00F01F55" w:rsidRDefault="00472B7A" w:rsidP="00472B7A">
      <w:pPr>
        <w:pStyle w:val="Default"/>
        <w:ind w:left="709"/>
        <w:rPr>
          <w:sz w:val="22"/>
          <w:szCs w:val="22"/>
        </w:rPr>
      </w:pPr>
    </w:p>
    <w:p w14:paraId="0B0463C0" w14:textId="20B97DEC" w:rsidR="008E786E" w:rsidRPr="00CE14C2" w:rsidRDefault="00B25917" w:rsidP="0093341A">
      <w:pPr>
        <w:pStyle w:val="Default"/>
        <w:numPr>
          <w:ilvl w:val="0"/>
          <w:numId w:val="10"/>
        </w:numPr>
        <w:ind w:left="709" w:hanging="425"/>
        <w:rPr>
          <w:sz w:val="22"/>
          <w:szCs w:val="22"/>
        </w:rPr>
      </w:pPr>
      <w:r>
        <w:rPr>
          <w:sz w:val="22"/>
          <w:szCs w:val="22"/>
        </w:rPr>
        <w:t>Historic and more recent information supplied by the Council on gross employment completions and employment space losses will help i</w:t>
      </w:r>
      <w:r w:rsidR="00772E07">
        <w:rPr>
          <w:sz w:val="22"/>
          <w:szCs w:val="22"/>
        </w:rPr>
        <w:t>n</w:t>
      </w:r>
      <w:r>
        <w:rPr>
          <w:sz w:val="22"/>
          <w:szCs w:val="22"/>
        </w:rPr>
        <w:t xml:space="preserve"> determining net completion levels and an overview of historic development rates which forms part of th</w:t>
      </w:r>
      <w:r w:rsidR="007A24A3">
        <w:rPr>
          <w:sz w:val="22"/>
          <w:szCs w:val="22"/>
        </w:rPr>
        <w:t>is</w:t>
      </w:r>
      <w:r>
        <w:rPr>
          <w:sz w:val="22"/>
          <w:szCs w:val="22"/>
        </w:rPr>
        <w:t xml:space="preserve"> commission</w:t>
      </w:r>
      <w:r w:rsidR="00772E07">
        <w:rPr>
          <w:sz w:val="22"/>
          <w:szCs w:val="22"/>
        </w:rPr>
        <w:t>’s</w:t>
      </w:r>
      <w:r>
        <w:rPr>
          <w:sz w:val="22"/>
          <w:szCs w:val="22"/>
        </w:rPr>
        <w:t xml:space="preserve"> outputs.  Information will also be supplied by the Council on Prior Approval housing monitoring (mainly office to residential) and resultant impacts.  This material will need to be reviewed </w:t>
      </w:r>
      <w:r w:rsidR="003F66D9">
        <w:rPr>
          <w:sz w:val="22"/>
          <w:szCs w:val="22"/>
        </w:rPr>
        <w:t xml:space="preserve">or sense checked </w:t>
      </w:r>
      <w:r>
        <w:rPr>
          <w:sz w:val="22"/>
          <w:szCs w:val="22"/>
        </w:rPr>
        <w:t>as part of the commission.</w:t>
      </w:r>
    </w:p>
    <w:p w14:paraId="735F26AD" w14:textId="245BA0AD" w:rsidR="00472B7A" w:rsidRPr="00B25917" w:rsidRDefault="00472B7A" w:rsidP="00B25917">
      <w:pPr>
        <w:pStyle w:val="Default"/>
        <w:rPr>
          <w:sz w:val="22"/>
          <w:szCs w:val="22"/>
        </w:rPr>
      </w:pPr>
    </w:p>
    <w:p w14:paraId="6A2FE0FD" w14:textId="4F5A757A" w:rsidR="00472B7A" w:rsidRPr="002E13FB" w:rsidRDefault="002E13FB" w:rsidP="00472B7A">
      <w:pPr>
        <w:pStyle w:val="Default"/>
        <w:ind w:left="709"/>
        <w:rPr>
          <w:sz w:val="22"/>
          <w:szCs w:val="22"/>
          <w:u w:val="single"/>
        </w:rPr>
      </w:pPr>
      <w:r w:rsidRPr="002E13FB">
        <w:rPr>
          <w:sz w:val="22"/>
          <w:szCs w:val="22"/>
          <w:u w:val="single"/>
        </w:rPr>
        <w:t>Commercial Property Market Intelligence</w:t>
      </w:r>
    </w:p>
    <w:p w14:paraId="2D93DD89" w14:textId="1CA6A092" w:rsidR="002E13FB" w:rsidRPr="00102621" w:rsidRDefault="002E13FB" w:rsidP="00472B7A">
      <w:pPr>
        <w:pStyle w:val="Default"/>
        <w:ind w:left="709"/>
        <w:rPr>
          <w:sz w:val="22"/>
          <w:szCs w:val="22"/>
        </w:rPr>
      </w:pPr>
    </w:p>
    <w:p w14:paraId="3F6AC5AC" w14:textId="64DCAC1A" w:rsidR="002E13FB" w:rsidRDefault="00102621" w:rsidP="0093341A">
      <w:pPr>
        <w:pStyle w:val="Default"/>
        <w:numPr>
          <w:ilvl w:val="0"/>
          <w:numId w:val="10"/>
        </w:numPr>
        <w:ind w:left="709" w:hanging="425"/>
        <w:rPr>
          <w:sz w:val="22"/>
          <w:szCs w:val="22"/>
        </w:rPr>
      </w:pPr>
      <w:r>
        <w:rPr>
          <w:sz w:val="22"/>
          <w:szCs w:val="22"/>
        </w:rPr>
        <w:t xml:space="preserve">The study will also need to integrate an update to the commercial market review for Swindon, which was last analysed in 2017.  </w:t>
      </w:r>
      <w:r w:rsidR="00F12F62">
        <w:rPr>
          <w:sz w:val="22"/>
          <w:szCs w:val="22"/>
        </w:rPr>
        <w:t>Key aspects of this part of the commission to include:</w:t>
      </w:r>
    </w:p>
    <w:p w14:paraId="27942705" w14:textId="79A9AD20" w:rsidR="00F12F62" w:rsidRDefault="00F12F62" w:rsidP="00F12F62">
      <w:pPr>
        <w:pStyle w:val="Default"/>
        <w:ind w:left="709"/>
        <w:rPr>
          <w:sz w:val="22"/>
          <w:szCs w:val="22"/>
        </w:rPr>
      </w:pPr>
    </w:p>
    <w:p w14:paraId="7D639B4F" w14:textId="59BC881C" w:rsidR="00F12F62" w:rsidRDefault="00F12F62" w:rsidP="0093341A">
      <w:pPr>
        <w:pStyle w:val="Default"/>
        <w:numPr>
          <w:ilvl w:val="0"/>
          <w:numId w:val="15"/>
        </w:numPr>
        <w:rPr>
          <w:sz w:val="22"/>
          <w:szCs w:val="22"/>
        </w:rPr>
      </w:pPr>
      <w:r>
        <w:rPr>
          <w:sz w:val="22"/>
          <w:szCs w:val="22"/>
        </w:rPr>
        <w:t xml:space="preserve">Review of market geography </w:t>
      </w:r>
    </w:p>
    <w:p w14:paraId="30BE81B9" w14:textId="218AA8FA" w:rsidR="00F12F62" w:rsidRDefault="00F12F62" w:rsidP="0093341A">
      <w:pPr>
        <w:pStyle w:val="Default"/>
        <w:numPr>
          <w:ilvl w:val="0"/>
          <w:numId w:val="15"/>
        </w:numPr>
        <w:rPr>
          <w:sz w:val="22"/>
          <w:szCs w:val="22"/>
        </w:rPr>
      </w:pPr>
      <w:r>
        <w:rPr>
          <w:sz w:val="22"/>
          <w:szCs w:val="22"/>
        </w:rPr>
        <w:t xml:space="preserve">Commercial market segments – offices and industrial </w:t>
      </w:r>
    </w:p>
    <w:p w14:paraId="11E315ED" w14:textId="1B9AB52E" w:rsidR="00F12F62" w:rsidRDefault="00F12F62" w:rsidP="0093341A">
      <w:pPr>
        <w:pStyle w:val="Default"/>
        <w:numPr>
          <w:ilvl w:val="0"/>
          <w:numId w:val="15"/>
        </w:numPr>
        <w:rPr>
          <w:sz w:val="22"/>
          <w:szCs w:val="22"/>
        </w:rPr>
      </w:pPr>
      <w:r>
        <w:rPr>
          <w:sz w:val="22"/>
          <w:szCs w:val="22"/>
        </w:rPr>
        <w:t>Key changes / variables since 2017.</w:t>
      </w:r>
    </w:p>
    <w:p w14:paraId="1925628E" w14:textId="4A42A7F1" w:rsidR="00F12F62" w:rsidRDefault="00F12F62" w:rsidP="00F12F62">
      <w:pPr>
        <w:pStyle w:val="Default"/>
        <w:rPr>
          <w:sz w:val="22"/>
          <w:szCs w:val="22"/>
        </w:rPr>
      </w:pPr>
    </w:p>
    <w:p w14:paraId="66A59FCD" w14:textId="564AFD0B" w:rsidR="00706A42" w:rsidRPr="00102621" w:rsidRDefault="00F12F62" w:rsidP="00706A42">
      <w:pPr>
        <w:pStyle w:val="Default"/>
        <w:ind w:left="709"/>
        <w:rPr>
          <w:sz w:val="22"/>
          <w:szCs w:val="22"/>
        </w:rPr>
      </w:pPr>
      <w:r>
        <w:rPr>
          <w:sz w:val="22"/>
          <w:szCs w:val="22"/>
        </w:rPr>
        <w:t xml:space="preserve">Attention will need to be paid to the findings from this part of the study and any implications for the FEMA.  </w:t>
      </w:r>
      <w:r w:rsidR="00706A42">
        <w:rPr>
          <w:sz w:val="22"/>
          <w:szCs w:val="22"/>
        </w:rPr>
        <w:t xml:space="preserve">The Council will work with the consultant team to finalise the set of commercial </w:t>
      </w:r>
      <w:r w:rsidR="00C3642D">
        <w:rPr>
          <w:sz w:val="22"/>
          <w:szCs w:val="22"/>
        </w:rPr>
        <w:t xml:space="preserve">agent </w:t>
      </w:r>
      <w:r w:rsidR="00706A42">
        <w:rPr>
          <w:sz w:val="22"/>
          <w:szCs w:val="22"/>
        </w:rPr>
        <w:t>property interview questions.</w:t>
      </w:r>
    </w:p>
    <w:p w14:paraId="28A66CFD" w14:textId="13AFF63C" w:rsidR="002E13FB" w:rsidRDefault="002E13FB" w:rsidP="00472B7A">
      <w:pPr>
        <w:pStyle w:val="Default"/>
        <w:ind w:left="709"/>
        <w:rPr>
          <w:sz w:val="22"/>
          <w:szCs w:val="22"/>
          <w:highlight w:val="yellow"/>
        </w:rPr>
      </w:pPr>
    </w:p>
    <w:p w14:paraId="60862AD8" w14:textId="14E78AF6" w:rsidR="002E13FB" w:rsidRPr="002E13FB" w:rsidRDefault="002E13FB" w:rsidP="00B25917">
      <w:pPr>
        <w:pStyle w:val="Default"/>
        <w:ind w:firstLine="709"/>
        <w:rPr>
          <w:sz w:val="22"/>
          <w:szCs w:val="22"/>
          <w:u w:val="single"/>
        </w:rPr>
      </w:pPr>
      <w:r w:rsidRPr="002E13FB">
        <w:rPr>
          <w:sz w:val="22"/>
          <w:szCs w:val="22"/>
          <w:u w:val="single"/>
        </w:rPr>
        <w:lastRenderedPageBreak/>
        <w:t xml:space="preserve">Review </w:t>
      </w:r>
      <w:r w:rsidR="00CE14C2">
        <w:rPr>
          <w:sz w:val="22"/>
          <w:szCs w:val="22"/>
          <w:u w:val="single"/>
        </w:rPr>
        <w:t xml:space="preserve">and Evaluation </w:t>
      </w:r>
      <w:r w:rsidRPr="002E13FB">
        <w:rPr>
          <w:sz w:val="22"/>
          <w:szCs w:val="22"/>
          <w:u w:val="single"/>
        </w:rPr>
        <w:t>of Employment Sites Portfolio</w:t>
      </w:r>
    </w:p>
    <w:p w14:paraId="3770D9D7" w14:textId="7F61CFF0" w:rsidR="002E13FB" w:rsidRPr="003F66D9" w:rsidRDefault="002E13FB" w:rsidP="00472B7A">
      <w:pPr>
        <w:pStyle w:val="Default"/>
        <w:ind w:left="709"/>
        <w:rPr>
          <w:sz w:val="22"/>
          <w:szCs w:val="22"/>
        </w:rPr>
      </w:pPr>
    </w:p>
    <w:p w14:paraId="765E36A4" w14:textId="33B9FF86" w:rsidR="0072361D" w:rsidRDefault="00CA0F42" w:rsidP="0093341A">
      <w:pPr>
        <w:pStyle w:val="Default"/>
        <w:numPr>
          <w:ilvl w:val="0"/>
          <w:numId w:val="10"/>
        </w:numPr>
        <w:ind w:left="709" w:hanging="425"/>
        <w:rPr>
          <w:sz w:val="22"/>
          <w:szCs w:val="22"/>
        </w:rPr>
      </w:pPr>
      <w:r>
        <w:rPr>
          <w:sz w:val="22"/>
          <w:szCs w:val="22"/>
        </w:rPr>
        <w:t xml:space="preserve">The commissioning team is looking </w:t>
      </w:r>
      <w:r w:rsidR="0072361D">
        <w:rPr>
          <w:sz w:val="22"/>
          <w:szCs w:val="22"/>
        </w:rPr>
        <w:t>for a review and update to the Borough wide employment sites portfolio last undertaken in 2017.  This will involve circa 40 employment areas / sites which equates to a land take of about 1000 ha</w:t>
      </w:r>
      <w:r w:rsidR="00C3353F">
        <w:rPr>
          <w:sz w:val="22"/>
          <w:szCs w:val="22"/>
        </w:rPr>
        <w:t xml:space="preserve">, including sites submitted under the recent Call </w:t>
      </w:r>
      <w:r w:rsidR="00706A42">
        <w:rPr>
          <w:sz w:val="22"/>
          <w:szCs w:val="22"/>
        </w:rPr>
        <w:t>for</w:t>
      </w:r>
      <w:r w:rsidR="00C3353F">
        <w:rPr>
          <w:sz w:val="22"/>
          <w:szCs w:val="22"/>
        </w:rPr>
        <w:t xml:space="preserve"> Sites exercise</w:t>
      </w:r>
      <w:r w:rsidR="0072361D">
        <w:rPr>
          <w:sz w:val="22"/>
          <w:szCs w:val="22"/>
        </w:rPr>
        <w:t xml:space="preserve">.  There have been some changes at a strategic level in the employment portfolio </w:t>
      </w:r>
      <w:r w:rsidR="00C3642D">
        <w:rPr>
          <w:sz w:val="22"/>
          <w:szCs w:val="22"/>
        </w:rPr>
        <w:t xml:space="preserve">including the New Eastern Villages employment hub sites and </w:t>
      </w:r>
      <w:r w:rsidR="0072361D">
        <w:rPr>
          <w:sz w:val="22"/>
          <w:szCs w:val="22"/>
        </w:rPr>
        <w:t>with a planning application to redevelop the former Honda site at South Marston to create a logistics and manufacturing centres (mixture of employment uses including light industrial, storage and distribution, general industrial and manufacturing uses) on the 145</w:t>
      </w:r>
      <w:r w:rsidR="009428AC">
        <w:rPr>
          <w:sz w:val="22"/>
          <w:szCs w:val="22"/>
        </w:rPr>
        <w:t>-</w:t>
      </w:r>
      <w:r w:rsidR="0072361D">
        <w:rPr>
          <w:sz w:val="22"/>
          <w:szCs w:val="22"/>
        </w:rPr>
        <w:t xml:space="preserve">hectare site.  </w:t>
      </w:r>
    </w:p>
    <w:p w14:paraId="08147836" w14:textId="77777777" w:rsidR="009428AC" w:rsidRDefault="009428AC" w:rsidP="009428AC">
      <w:pPr>
        <w:pStyle w:val="Default"/>
        <w:ind w:left="709"/>
        <w:rPr>
          <w:sz w:val="22"/>
          <w:szCs w:val="22"/>
        </w:rPr>
      </w:pPr>
    </w:p>
    <w:p w14:paraId="2FEFB63D" w14:textId="7491391D" w:rsidR="007937DB" w:rsidRDefault="009428AC" w:rsidP="00A51328">
      <w:pPr>
        <w:pStyle w:val="Default"/>
        <w:numPr>
          <w:ilvl w:val="0"/>
          <w:numId w:val="10"/>
        </w:numPr>
        <w:ind w:left="709" w:hanging="425"/>
        <w:rPr>
          <w:sz w:val="22"/>
          <w:szCs w:val="22"/>
        </w:rPr>
      </w:pPr>
      <w:r>
        <w:rPr>
          <w:sz w:val="22"/>
          <w:szCs w:val="22"/>
        </w:rPr>
        <w:t xml:space="preserve">The Council will work with the appointed consultants to finalise the list of areas / sites for review and the exact methodology for assessment. </w:t>
      </w:r>
      <w:r w:rsidR="007937DB">
        <w:rPr>
          <w:sz w:val="22"/>
          <w:szCs w:val="22"/>
        </w:rPr>
        <w:t>As a guide the previous study included the following information:</w:t>
      </w:r>
    </w:p>
    <w:p w14:paraId="02490B1E" w14:textId="77777777" w:rsidR="00A51328" w:rsidRPr="00A51328" w:rsidRDefault="00A51328" w:rsidP="00A51328">
      <w:pPr>
        <w:pStyle w:val="Default"/>
        <w:rPr>
          <w:sz w:val="22"/>
          <w:szCs w:val="22"/>
        </w:rPr>
      </w:pPr>
    </w:p>
    <w:p w14:paraId="298A1432" w14:textId="4707858F" w:rsidR="00AA2E1D" w:rsidRPr="00883FBB" w:rsidRDefault="00AA2E1D" w:rsidP="00AA2E1D">
      <w:pPr>
        <w:pStyle w:val="ListParagraph"/>
        <w:ind w:left="709"/>
        <w:rPr>
          <w:rFonts w:ascii="Arial" w:hAnsi="Arial" w:cs="Arial"/>
          <w:u w:val="single"/>
        </w:rPr>
      </w:pPr>
      <w:r w:rsidRPr="00883FBB">
        <w:rPr>
          <w:rFonts w:ascii="Arial" w:hAnsi="Arial" w:cs="Arial"/>
          <w:u w:val="single"/>
        </w:rPr>
        <w:t>General</w:t>
      </w:r>
      <w:r w:rsidR="00706A42" w:rsidRPr="00883FBB">
        <w:rPr>
          <w:rFonts w:ascii="Arial" w:hAnsi="Arial" w:cs="Arial"/>
          <w:u w:val="single"/>
        </w:rPr>
        <w:t xml:space="preserve"> Information</w:t>
      </w:r>
      <w:r w:rsidRPr="00883FBB">
        <w:rPr>
          <w:rFonts w:ascii="Arial" w:hAnsi="Arial" w:cs="Arial"/>
          <w:u w:val="single"/>
        </w:rPr>
        <w:t xml:space="preserve"> </w:t>
      </w:r>
    </w:p>
    <w:p w14:paraId="7A410553" w14:textId="77777777" w:rsidR="00AA2E1D" w:rsidRPr="00883FBB" w:rsidRDefault="00AA2E1D" w:rsidP="00AA2E1D">
      <w:pPr>
        <w:pStyle w:val="ListParagraph"/>
        <w:ind w:left="709"/>
        <w:rPr>
          <w:rFonts w:ascii="Arial" w:hAnsi="Arial" w:cs="Arial"/>
        </w:rPr>
      </w:pPr>
    </w:p>
    <w:p w14:paraId="5EF26DAE" w14:textId="302A0441" w:rsidR="00AA2E1D" w:rsidRPr="00883FBB" w:rsidRDefault="00AA2E1D" w:rsidP="0093341A">
      <w:pPr>
        <w:pStyle w:val="ListParagraph"/>
        <w:numPr>
          <w:ilvl w:val="0"/>
          <w:numId w:val="16"/>
        </w:numPr>
        <w:rPr>
          <w:rFonts w:ascii="Arial" w:hAnsi="Arial" w:cs="Arial"/>
        </w:rPr>
      </w:pPr>
      <w:r w:rsidRPr="00883FBB">
        <w:rPr>
          <w:rFonts w:ascii="Arial" w:hAnsi="Arial" w:cs="Arial"/>
        </w:rPr>
        <w:t>Total site area</w:t>
      </w:r>
    </w:p>
    <w:p w14:paraId="56F1ECE1" w14:textId="5E4C1717" w:rsidR="00AA2E1D" w:rsidRPr="00883FBB" w:rsidRDefault="00AA2E1D" w:rsidP="0093341A">
      <w:pPr>
        <w:pStyle w:val="ListParagraph"/>
        <w:numPr>
          <w:ilvl w:val="0"/>
          <w:numId w:val="16"/>
        </w:numPr>
        <w:rPr>
          <w:rFonts w:ascii="Arial" w:hAnsi="Arial" w:cs="Arial"/>
        </w:rPr>
      </w:pPr>
      <w:r w:rsidRPr="00883FBB">
        <w:rPr>
          <w:rFonts w:ascii="Arial" w:hAnsi="Arial" w:cs="Arial"/>
        </w:rPr>
        <w:t>Estimate of undeveloped land</w:t>
      </w:r>
    </w:p>
    <w:p w14:paraId="4D8C177B" w14:textId="12FF5B89" w:rsidR="00AA2E1D" w:rsidRPr="00883FBB" w:rsidRDefault="00AA2E1D" w:rsidP="0093341A">
      <w:pPr>
        <w:pStyle w:val="ListParagraph"/>
        <w:numPr>
          <w:ilvl w:val="0"/>
          <w:numId w:val="16"/>
        </w:numPr>
        <w:rPr>
          <w:rFonts w:ascii="Arial" w:hAnsi="Arial" w:cs="Arial"/>
        </w:rPr>
      </w:pPr>
      <w:r w:rsidRPr="00883FBB">
        <w:rPr>
          <w:rFonts w:ascii="Arial" w:hAnsi="Arial" w:cs="Arial"/>
        </w:rPr>
        <w:t>Current policy status</w:t>
      </w:r>
    </w:p>
    <w:p w14:paraId="6967649E" w14:textId="11B7820E" w:rsidR="00AA2E1D" w:rsidRPr="00883FBB" w:rsidRDefault="00AA2E1D" w:rsidP="0093341A">
      <w:pPr>
        <w:pStyle w:val="ListParagraph"/>
        <w:numPr>
          <w:ilvl w:val="0"/>
          <w:numId w:val="16"/>
        </w:numPr>
        <w:rPr>
          <w:rFonts w:ascii="Arial" w:hAnsi="Arial" w:cs="Arial"/>
        </w:rPr>
      </w:pPr>
      <w:r w:rsidRPr="00883FBB">
        <w:rPr>
          <w:rFonts w:ascii="Arial" w:hAnsi="Arial" w:cs="Arial"/>
        </w:rPr>
        <w:t>Current mix of uses</w:t>
      </w:r>
    </w:p>
    <w:p w14:paraId="4805048A" w14:textId="2716957B" w:rsidR="00AA2E1D" w:rsidRPr="00883FBB" w:rsidRDefault="00AA2E1D" w:rsidP="0093341A">
      <w:pPr>
        <w:pStyle w:val="ListParagraph"/>
        <w:numPr>
          <w:ilvl w:val="0"/>
          <w:numId w:val="16"/>
        </w:numPr>
        <w:rPr>
          <w:rFonts w:ascii="Arial" w:hAnsi="Arial" w:cs="Arial"/>
        </w:rPr>
      </w:pPr>
      <w:r w:rsidRPr="00883FBB">
        <w:rPr>
          <w:rFonts w:ascii="Arial" w:hAnsi="Arial" w:cs="Arial"/>
        </w:rPr>
        <w:t>Sequential status (out of town for example)</w:t>
      </w:r>
    </w:p>
    <w:p w14:paraId="61F36F27" w14:textId="6B154F7B" w:rsidR="00AA2E1D" w:rsidRPr="00883FBB" w:rsidRDefault="00AA2E1D" w:rsidP="0093341A">
      <w:pPr>
        <w:pStyle w:val="ListParagraph"/>
        <w:numPr>
          <w:ilvl w:val="0"/>
          <w:numId w:val="16"/>
        </w:numPr>
        <w:rPr>
          <w:rFonts w:ascii="Arial" w:hAnsi="Arial" w:cs="Arial"/>
        </w:rPr>
      </w:pPr>
      <w:r w:rsidRPr="00883FBB">
        <w:rPr>
          <w:rFonts w:ascii="Arial" w:hAnsi="Arial" w:cs="Arial"/>
        </w:rPr>
        <w:t>Site density</w:t>
      </w:r>
    </w:p>
    <w:p w14:paraId="2B971958" w14:textId="010D7DA3" w:rsidR="00AA2E1D" w:rsidRPr="00883FBB" w:rsidRDefault="00AA2E1D" w:rsidP="00AA2E1D">
      <w:pPr>
        <w:ind w:left="720"/>
        <w:rPr>
          <w:rFonts w:ascii="Arial" w:hAnsi="Arial" w:cs="Arial"/>
          <w:u w:val="single"/>
        </w:rPr>
      </w:pPr>
      <w:r w:rsidRPr="00883FBB">
        <w:rPr>
          <w:rFonts w:ascii="Arial" w:hAnsi="Arial" w:cs="Arial"/>
          <w:u w:val="single"/>
        </w:rPr>
        <w:t>Site Assessment Criteria</w:t>
      </w:r>
    </w:p>
    <w:p w14:paraId="7D9987F7" w14:textId="346539E8" w:rsidR="00AA2E1D" w:rsidRPr="00883FBB" w:rsidRDefault="00AA2E1D" w:rsidP="0093341A">
      <w:pPr>
        <w:pStyle w:val="ListParagraph"/>
        <w:numPr>
          <w:ilvl w:val="0"/>
          <w:numId w:val="17"/>
        </w:numPr>
        <w:rPr>
          <w:rFonts w:ascii="Arial" w:hAnsi="Arial" w:cs="Arial"/>
        </w:rPr>
      </w:pPr>
      <w:r w:rsidRPr="00883FBB">
        <w:rPr>
          <w:rFonts w:ascii="Arial" w:hAnsi="Arial" w:cs="Arial"/>
        </w:rPr>
        <w:t>Strategic road access</w:t>
      </w:r>
    </w:p>
    <w:p w14:paraId="2A6B3740" w14:textId="12F61C30" w:rsidR="00AA2E1D" w:rsidRPr="00883FBB" w:rsidRDefault="00DE2A0E" w:rsidP="0093341A">
      <w:pPr>
        <w:pStyle w:val="ListParagraph"/>
        <w:numPr>
          <w:ilvl w:val="0"/>
          <w:numId w:val="17"/>
        </w:numPr>
        <w:rPr>
          <w:rFonts w:ascii="Arial" w:hAnsi="Arial" w:cs="Arial"/>
        </w:rPr>
      </w:pPr>
      <w:r w:rsidRPr="00883FBB">
        <w:rPr>
          <w:rFonts w:ascii="Arial" w:hAnsi="Arial" w:cs="Arial"/>
        </w:rPr>
        <w:t>Local accessibility</w:t>
      </w:r>
    </w:p>
    <w:p w14:paraId="06A41C4E" w14:textId="36B0348A" w:rsidR="00DE2A0E" w:rsidRPr="00883FBB" w:rsidRDefault="00DE2A0E" w:rsidP="0093341A">
      <w:pPr>
        <w:pStyle w:val="ListParagraph"/>
        <w:numPr>
          <w:ilvl w:val="0"/>
          <w:numId w:val="17"/>
        </w:numPr>
        <w:rPr>
          <w:rFonts w:ascii="Arial" w:hAnsi="Arial" w:cs="Arial"/>
        </w:rPr>
      </w:pPr>
      <w:r w:rsidRPr="00883FBB">
        <w:rPr>
          <w:rFonts w:ascii="Arial" w:hAnsi="Arial" w:cs="Arial"/>
        </w:rPr>
        <w:t>Proximity to Urban Areas and Access to Labour and Services</w:t>
      </w:r>
    </w:p>
    <w:p w14:paraId="20DC5D10" w14:textId="68830A85" w:rsidR="00DE2A0E" w:rsidRPr="00883FBB" w:rsidRDefault="00DE2A0E" w:rsidP="0093341A">
      <w:pPr>
        <w:pStyle w:val="ListParagraph"/>
        <w:numPr>
          <w:ilvl w:val="0"/>
          <w:numId w:val="17"/>
        </w:numPr>
        <w:rPr>
          <w:rFonts w:ascii="Arial" w:hAnsi="Arial" w:cs="Arial"/>
        </w:rPr>
      </w:pPr>
      <w:r w:rsidRPr="00883FBB">
        <w:rPr>
          <w:rFonts w:ascii="Arial" w:hAnsi="Arial" w:cs="Arial"/>
        </w:rPr>
        <w:t>Proximity to Incompatible Uses</w:t>
      </w:r>
    </w:p>
    <w:p w14:paraId="6EC3C044" w14:textId="09674BE8" w:rsidR="00DE2A0E" w:rsidRPr="00883FBB" w:rsidRDefault="00DE2A0E" w:rsidP="0093341A">
      <w:pPr>
        <w:pStyle w:val="ListParagraph"/>
        <w:numPr>
          <w:ilvl w:val="0"/>
          <w:numId w:val="17"/>
        </w:numPr>
        <w:rPr>
          <w:rFonts w:ascii="Arial" w:hAnsi="Arial" w:cs="Arial"/>
        </w:rPr>
      </w:pPr>
      <w:r w:rsidRPr="00883FBB">
        <w:rPr>
          <w:rFonts w:ascii="Arial" w:hAnsi="Arial" w:cs="Arial"/>
        </w:rPr>
        <w:t>Site Characteristics and Development Constraints</w:t>
      </w:r>
    </w:p>
    <w:p w14:paraId="5AD7B5A2" w14:textId="32418DC1" w:rsidR="00DE2A0E" w:rsidRPr="00883FBB" w:rsidRDefault="00DE2A0E" w:rsidP="0093341A">
      <w:pPr>
        <w:pStyle w:val="ListParagraph"/>
        <w:numPr>
          <w:ilvl w:val="0"/>
          <w:numId w:val="17"/>
        </w:numPr>
        <w:rPr>
          <w:rFonts w:ascii="Arial" w:hAnsi="Arial" w:cs="Arial"/>
        </w:rPr>
      </w:pPr>
      <w:r w:rsidRPr="00883FBB">
        <w:rPr>
          <w:rFonts w:ascii="Arial" w:hAnsi="Arial" w:cs="Arial"/>
        </w:rPr>
        <w:t>Market Attractiveness</w:t>
      </w:r>
    </w:p>
    <w:p w14:paraId="17E7F1FE" w14:textId="1FE836A1" w:rsidR="00DE2A0E" w:rsidRPr="00883FBB" w:rsidRDefault="00DE2A0E" w:rsidP="0093341A">
      <w:pPr>
        <w:pStyle w:val="ListParagraph"/>
        <w:numPr>
          <w:ilvl w:val="0"/>
          <w:numId w:val="17"/>
        </w:numPr>
        <w:rPr>
          <w:rFonts w:ascii="Arial" w:hAnsi="Arial" w:cs="Arial"/>
        </w:rPr>
      </w:pPr>
      <w:r w:rsidRPr="00883FBB">
        <w:rPr>
          <w:rFonts w:ascii="Arial" w:hAnsi="Arial" w:cs="Arial"/>
        </w:rPr>
        <w:t xml:space="preserve">Planning </w:t>
      </w:r>
      <w:r w:rsidR="00C149A2" w:rsidRPr="00883FBB">
        <w:rPr>
          <w:rFonts w:ascii="Arial" w:hAnsi="Arial" w:cs="Arial"/>
        </w:rPr>
        <w:t>Factors</w:t>
      </w:r>
    </w:p>
    <w:p w14:paraId="2A84940F" w14:textId="0A55DD9C" w:rsidR="00C149A2" w:rsidRPr="00883FBB" w:rsidRDefault="00C149A2" w:rsidP="0093341A">
      <w:pPr>
        <w:pStyle w:val="ListParagraph"/>
        <w:numPr>
          <w:ilvl w:val="0"/>
          <w:numId w:val="17"/>
        </w:numPr>
        <w:rPr>
          <w:rFonts w:ascii="Arial" w:hAnsi="Arial" w:cs="Arial"/>
        </w:rPr>
      </w:pPr>
      <w:r w:rsidRPr="00883FBB">
        <w:rPr>
          <w:rFonts w:ascii="Arial" w:hAnsi="Arial" w:cs="Arial"/>
        </w:rPr>
        <w:t>Barriers to Delivery</w:t>
      </w:r>
    </w:p>
    <w:p w14:paraId="2A1A57EC" w14:textId="7215B451" w:rsidR="00E619B9" w:rsidRPr="00E619B9" w:rsidRDefault="00C149A2" w:rsidP="00E619B9">
      <w:pPr>
        <w:pStyle w:val="ListParagraph"/>
        <w:numPr>
          <w:ilvl w:val="0"/>
          <w:numId w:val="17"/>
        </w:numPr>
        <w:rPr>
          <w:rFonts w:ascii="Arial" w:hAnsi="Arial" w:cs="Arial"/>
        </w:rPr>
      </w:pPr>
      <w:r w:rsidRPr="00883FBB">
        <w:rPr>
          <w:rFonts w:ascii="Arial" w:hAnsi="Arial" w:cs="Arial"/>
        </w:rPr>
        <w:t>Potential Employment Uses</w:t>
      </w:r>
    </w:p>
    <w:p w14:paraId="24A1234C" w14:textId="158DC7BB" w:rsidR="00C149A2" w:rsidRPr="00883FBB" w:rsidRDefault="00C149A2" w:rsidP="0093341A">
      <w:pPr>
        <w:pStyle w:val="ListParagraph"/>
        <w:numPr>
          <w:ilvl w:val="0"/>
          <w:numId w:val="17"/>
        </w:numPr>
        <w:rPr>
          <w:rFonts w:ascii="Arial" w:hAnsi="Arial" w:cs="Arial"/>
        </w:rPr>
      </w:pPr>
      <w:r w:rsidRPr="00883FBB">
        <w:rPr>
          <w:rFonts w:ascii="Arial" w:hAnsi="Arial" w:cs="Arial"/>
        </w:rPr>
        <w:t>Timescale / Availability</w:t>
      </w:r>
    </w:p>
    <w:p w14:paraId="7B340DEC" w14:textId="77777777" w:rsidR="008C1951" w:rsidRDefault="008C1951" w:rsidP="008C1951">
      <w:pPr>
        <w:pStyle w:val="ListParagraph"/>
        <w:ind w:left="1440"/>
      </w:pPr>
    </w:p>
    <w:p w14:paraId="395D52F3" w14:textId="23592AF3" w:rsidR="00706A42" w:rsidRPr="00883FBB" w:rsidRDefault="008C1951" w:rsidP="0093341A">
      <w:pPr>
        <w:pStyle w:val="ListParagraph"/>
        <w:numPr>
          <w:ilvl w:val="0"/>
          <w:numId w:val="10"/>
        </w:numPr>
        <w:ind w:left="709" w:hanging="425"/>
        <w:rPr>
          <w:rFonts w:ascii="Arial" w:hAnsi="Arial" w:cs="Arial"/>
        </w:rPr>
      </w:pPr>
      <w:r w:rsidRPr="00883FBB">
        <w:rPr>
          <w:rFonts w:ascii="Arial" w:hAnsi="Arial" w:cs="Arial"/>
        </w:rPr>
        <w:t>As part of the</w:t>
      </w:r>
      <w:r w:rsidR="00A64287" w:rsidRPr="00883FBB">
        <w:rPr>
          <w:rFonts w:ascii="Arial" w:hAnsi="Arial" w:cs="Arial"/>
        </w:rPr>
        <w:t xml:space="preserve"> employment site evaluation criteria attention will also need to be paid to the quality of transport connections </w:t>
      </w:r>
      <w:r w:rsidR="008E786E">
        <w:rPr>
          <w:rFonts w:ascii="Arial" w:hAnsi="Arial" w:cs="Arial"/>
        </w:rPr>
        <w:t>–</w:t>
      </w:r>
      <w:r w:rsidR="00A64287" w:rsidRPr="00883FBB">
        <w:rPr>
          <w:rFonts w:ascii="Arial" w:hAnsi="Arial" w:cs="Arial"/>
        </w:rPr>
        <w:t xml:space="preserve"> particularly active travel and bus connections and scope to introduce services / infrastructure.  This forms part of wider thinking about carbon profiling for employment areas and the consultants are expected to consider with the evaluation criteria options to off-set or reduce carbon outputs including opportunities to introduce green infrastructure and bio-diversity improvements.  </w:t>
      </w:r>
    </w:p>
    <w:p w14:paraId="3230435A" w14:textId="77777777" w:rsidR="00A64287" w:rsidRPr="00883FBB" w:rsidRDefault="00A64287" w:rsidP="00A64287">
      <w:pPr>
        <w:pStyle w:val="ListParagraph"/>
        <w:ind w:left="709"/>
        <w:rPr>
          <w:rFonts w:ascii="Arial" w:hAnsi="Arial" w:cs="Arial"/>
        </w:rPr>
      </w:pPr>
    </w:p>
    <w:p w14:paraId="48D7AC50" w14:textId="3E2F76CE" w:rsidR="00DC4F9C" w:rsidRDefault="00A64287" w:rsidP="0093341A">
      <w:pPr>
        <w:pStyle w:val="ListParagraph"/>
        <w:numPr>
          <w:ilvl w:val="0"/>
          <w:numId w:val="10"/>
        </w:numPr>
        <w:ind w:left="709" w:hanging="425"/>
        <w:rPr>
          <w:rFonts w:ascii="Arial" w:hAnsi="Arial" w:cs="Arial"/>
        </w:rPr>
      </w:pPr>
      <w:r w:rsidRPr="00883FBB">
        <w:rPr>
          <w:rFonts w:ascii="Arial" w:hAnsi="Arial" w:cs="Arial"/>
        </w:rPr>
        <w:t xml:space="preserve">The Council is looking to take an integrated approach to </w:t>
      </w:r>
      <w:r w:rsidR="00855750" w:rsidRPr="00883FBB">
        <w:rPr>
          <w:rFonts w:ascii="Arial" w:hAnsi="Arial" w:cs="Arial"/>
        </w:rPr>
        <w:t xml:space="preserve">development planning </w:t>
      </w:r>
      <w:r w:rsidR="00220E04" w:rsidRPr="00883FBB">
        <w:rPr>
          <w:rFonts w:ascii="Arial" w:hAnsi="Arial" w:cs="Arial"/>
        </w:rPr>
        <w:t>and the employment sites work will also need to consider options to integrate appropriate employment uses within Swindon Town centre as part of diversification of the economic base and possible replacement</w:t>
      </w:r>
      <w:r w:rsidR="00C3353F" w:rsidRPr="00883FBB">
        <w:rPr>
          <w:rFonts w:ascii="Arial" w:hAnsi="Arial" w:cs="Arial"/>
        </w:rPr>
        <w:t>s</w:t>
      </w:r>
      <w:r w:rsidR="00220E04" w:rsidRPr="00883FBB">
        <w:rPr>
          <w:rFonts w:ascii="Arial" w:hAnsi="Arial" w:cs="Arial"/>
        </w:rPr>
        <w:t xml:space="preserve"> for areas where retail / commercial leisure uses are failing or need support. Th</w:t>
      </w:r>
      <w:r w:rsidR="00DC4F9C">
        <w:rPr>
          <w:rFonts w:ascii="Arial" w:hAnsi="Arial" w:cs="Arial"/>
        </w:rPr>
        <w:t xml:space="preserve">ere </w:t>
      </w:r>
      <w:r w:rsidR="00220E04" w:rsidRPr="00883FBB">
        <w:rPr>
          <w:rFonts w:ascii="Arial" w:hAnsi="Arial" w:cs="Arial"/>
        </w:rPr>
        <w:t xml:space="preserve">might be for example an opportunity to </w:t>
      </w:r>
      <w:r w:rsidR="00220E04" w:rsidRPr="00883FBB">
        <w:rPr>
          <w:rFonts w:ascii="Arial" w:hAnsi="Arial" w:cs="Arial"/>
        </w:rPr>
        <w:lastRenderedPageBreak/>
        <w:t xml:space="preserve">explore </w:t>
      </w:r>
      <w:r w:rsidR="005856B4">
        <w:rPr>
          <w:rFonts w:ascii="Arial" w:hAnsi="Arial" w:cs="Arial"/>
        </w:rPr>
        <w:t xml:space="preserve">mixed use </w:t>
      </w:r>
      <w:r w:rsidR="00220E04" w:rsidRPr="00883FBB">
        <w:rPr>
          <w:rFonts w:ascii="Arial" w:hAnsi="Arial" w:cs="Arial"/>
        </w:rPr>
        <w:t>light industrial or research and design / technology type occupiers</w:t>
      </w:r>
      <w:r w:rsidR="00DC4F9C">
        <w:rPr>
          <w:rFonts w:ascii="Arial" w:hAnsi="Arial" w:cs="Arial"/>
        </w:rPr>
        <w:t xml:space="preserve"> for small business occupiers </w:t>
      </w:r>
      <w:r w:rsidR="00220E04" w:rsidRPr="00883FBB">
        <w:rPr>
          <w:rFonts w:ascii="Arial" w:hAnsi="Arial" w:cs="Arial"/>
        </w:rPr>
        <w:t xml:space="preserve">in addition to offices and professional services.  </w:t>
      </w:r>
    </w:p>
    <w:p w14:paraId="14FA56F3" w14:textId="77777777" w:rsidR="00DC4F9C" w:rsidRPr="00DC4F9C" w:rsidRDefault="00DC4F9C" w:rsidP="00DC4F9C">
      <w:pPr>
        <w:pStyle w:val="ListParagraph"/>
        <w:rPr>
          <w:rFonts w:ascii="Arial" w:hAnsi="Arial" w:cs="Arial"/>
        </w:rPr>
      </w:pPr>
    </w:p>
    <w:p w14:paraId="6C2486E6" w14:textId="05DB4AF7" w:rsidR="00706A42" w:rsidRDefault="00DC4F9C" w:rsidP="0093341A">
      <w:pPr>
        <w:pStyle w:val="ListParagraph"/>
        <w:numPr>
          <w:ilvl w:val="0"/>
          <w:numId w:val="10"/>
        </w:numPr>
        <w:ind w:left="709" w:hanging="425"/>
        <w:rPr>
          <w:rFonts w:ascii="Arial" w:hAnsi="Arial" w:cs="Arial"/>
        </w:rPr>
      </w:pPr>
      <w:r>
        <w:rPr>
          <w:rFonts w:ascii="Arial" w:hAnsi="Arial" w:cs="Arial"/>
        </w:rPr>
        <w:t xml:space="preserve">Consideration of options for the protection of key employment locations (including town centre offices) should also form part of this study.  </w:t>
      </w:r>
      <w:r w:rsidR="00220E04" w:rsidRPr="00883FBB">
        <w:rPr>
          <w:rFonts w:ascii="Arial" w:hAnsi="Arial" w:cs="Arial"/>
        </w:rPr>
        <w:t xml:space="preserve">Conversely the Council is keen to better understand the possible future of more poorly performing </w:t>
      </w:r>
      <w:r>
        <w:rPr>
          <w:rFonts w:ascii="Arial" w:hAnsi="Arial" w:cs="Arial"/>
        </w:rPr>
        <w:t xml:space="preserve">retail and </w:t>
      </w:r>
      <w:r w:rsidR="00220E04" w:rsidRPr="00883FBB">
        <w:rPr>
          <w:rFonts w:ascii="Arial" w:hAnsi="Arial" w:cs="Arial"/>
        </w:rPr>
        <w:t xml:space="preserve">employment areas and in some cases edge of town centre locations and scope to enhance or introduce other types of uses including residential. </w:t>
      </w:r>
    </w:p>
    <w:p w14:paraId="5EEB9E16" w14:textId="77777777" w:rsidR="00BD4166" w:rsidRPr="00BD4166" w:rsidRDefault="00BD4166" w:rsidP="00BD4166">
      <w:pPr>
        <w:pStyle w:val="ListParagraph"/>
        <w:rPr>
          <w:rFonts w:ascii="Arial" w:hAnsi="Arial" w:cs="Arial"/>
        </w:rPr>
      </w:pPr>
    </w:p>
    <w:p w14:paraId="1F24B976" w14:textId="574DB8C4" w:rsidR="00BD4166" w:rsidRPr="00DC4F9C" w:rsidRDefault="00DC4F9C" w:rsidP="0093341A">
      <w:pPr>
        <w:pStyle w:val="ListParagraph"/>
        <w:numPr>
          <w:ilvl w:val="0"/>
          <w:numId w:val="10"/>
        </w:numPr>
        <w:ind w:left="709" w:hanging="425"/>
        <w:rPr>
          <w:rFonts w:ascii="Arial" w:hAnsi="Arial" w:cs="Arial"/>
        </w:rPr>
      </w:pPr>
      <w:r>
        <w:rPr>
          <w:rFonts w:ascii="Arial" w:hAnsi="Arial" w:cs="Arial"/>
        </w:rPr>
        <w:t xml:space="preserve">Part of the commission should also evaluate </w:t>
      </w:r>
      <w:r w:rsidR="00E619B9">
        <w:rPr>
          <w:rFonts w:ascii="Arial" w:hAnsi="Arial" w:cs="Arial"/>
        </w:rPr>
        <w:t xml:space="preserve">the extent and </w:t>
      </w:r>
      <w:r>
        <w:rPr>
          <w:rFonts w:ascii="Arial" w:hAnsi="Arial" w:cs="Arial"/>
        </w:rPr>
        <w:t xml:space="preserve">options to make better use of existing and new employment areas through </w:t>
      </w:r>
      <w:r w:rsidR="00E619B9">
        <w:rPr>
          <w:rFonts w:ascii="Arial" w:hAnsi="Arial" w:cs="Arial"/>
        </w:rPr>
        <w:t xml:space="preserve">industrial intensification and co-location of uses and </w:t>
      </w:r>
      <w:r>
        <w:rPr>
          <w:rFonts w:ascii="Arial" w:hAnsi="Arial" w:cs="Arial"/>
        </w:rPr>
        <w:t>improvements to build d</w:t>
      </w:r>
      <w:r w:rsidR="00BD4166" w:rsidRPr="00DC4F9C">
        <w:rPr>
          <w:rFonts w:ascii="Arial" w:hAnsi="Arial" w:cs="Arial"/>
        </w:rPr>
        <w:t>ensity</w:t>
      </w:r>
      <w:r>
        <w:rPr>
          <w:rFonts w:ascii="Arial" w:hAnsi="Arial" w:cs="Arial"/>
        </w:rPr>
        <w:t xml:space="preserve">, with a more progressive approach to </w:t>
      </w:r>
      <w:r w:rsidR="00E619B9">
        <w:rPr>
          <w:rFonts w:ascii="Arial" w:hAnsi="Arial" w:cs="Arial"/>
        </w:rPr>
        <w:t xml:space="preserve">integrated uses (various types including residential), building heights and the use of external spaces including car parking areas and more of a focus upon serving employment sites with improved sustainable transport options. Benchmark studies in this area include the Greater London Authority Industrial Intensification and Co-Location Study.  </w:t>
      </w:r>
    </w:p>
    <w:p w14:paraId="505813A0" w14:textId="77777777" w:rsidR="00706A42" w:rsidRPr="00883FBB" w:rsidRDefault="00706A42" w:rsidP="00706A42">
      <w:pPr>
        <w:pStyle w:val="ListParagraph"/>
        <w:rPr>
          <w:rFonts w:ascii="Arial" w:hAnsi="Arial" w:cs="Arial"/>
        </w:rPr>
      </w:pPr>
    </w:p>
    <w:p w14:paraId="3520E8EA" w14:textId="41F3334B" w:rsidR="00A64287" w:rsidRPr="00883FBB" w:rsidRDefault="00706A42" w:rsidP="0093341A">
      <w:pPr>
        <w:pStyle w:val="ListParagraph"/>
        <w:numPr>
          <w:ilvl w:val="0"/>
          <w:numId w:val="10"/>
        </w:numPr>
        <w:ind w:left="709" w:hanging="425"/>
        <w:rPr>
          <w:rFonts w:ascii="Arial" w:hAnsi="Arial" w:cs="Arial"/>
        </w:rPr>
      </w:pPr>
      <w:r w:rsidRPr="00883FBB">
        <w:rPr>
          <w:rFonts w:ascii="Arial" w:hAnsi="Arial" w:cs="Arial"/>
        </w:rPr>
        <w:t xml:space="preserve">The </w:t>
      </w:r>
      <w:proofErr w:type="spellStart"/>
      <w:r w:rsidRPr="00883FBB">
        <w:rPr>
          <w:rFonts w:ascii="Arial" w:hAnsi="Arial" w:cs="Arial"/>
        </w:rPr>
        <w:t>healthcheck</w:t>
      </w:r>
      <w:proofErr w:type="spellEnd"/>
      <w:r w:rsidRPr="00883FBB">
        <w:rPr>
          <w:rFonts w:ascii="Arial" w:hAnsi="Arial" w:cs="Arial"/>
        </w:rPr>
        <w:t xml:space="preserve"> methodology / approach identified for retail / town centre areas under Lot </w:t>
      </w:r>
      <w:r w:rsidR="00645448">
        <w:rPr>
          <w:rFonts w:ascii="Arial" w:hAnsi="Arial" w:cs="Arial"/>
        </w:rPr>
        <w:t>B</w:t>
      </w:r>
      <w:r w:rsidRPr="00883FBB">
        <w:rPr>
          <w:rFonts w:ascii="Arial" w:hAnsi="Arial" w:cs="Arial"/>
        </w:rPr>
        <w:t xml:space="preserve"> may yield additional criteria which may be useful to include within the employment site evaluations.  </w:t>
      </w:r>
    </w:p>
    <w:p w14:paraId="2F6DDBCE" w14:textId="77777777" w:rsidR="00220E04" w:rsidRPr="00883FBB" w:rsidRDefault="00220E04" w:rsidP="00220E04">
      <w:pPr>
        <w:pStyle w:val="ListParagraph"/>
        <w:rPr>
          <w:rFonts w:ascii="Arial" w:hAnsi="Arial" w:cs="Arial"/>
        </w:rPr>
      </w:pPr>
    </w:p>
    <w:p w14:paraId="4E0A8405" w14:textId="6A7CC549" w:rsidR="008E786E" w:rsidRPr="00D3712A" w:rsidRDefault="00C3353F" w:rsidP="0093341A">
      <w:pPr>
        <w:pStyle w:val="ListParagraph"/>
        <w:numPr>
          <w:ilvl w:val="0"/>
          <w:numId w:val="10"/>
        </w:numPr>
        <w:ind w:left="709" w:hanging="425"/>
        <w:rPr>
          <w:rFonts w:ascii="Arial" w:hAnsi="Arial" w:cs="Arial"/>
        </w:rPr>
      </w:pPr>
      <w:r w:rsidRPr="00883FBB">
        <w:rPr>
          <w:rFonts w:ascii="Arial" w:hAnsi="Arial" w:cs="Arial"/>
        </w:rPr>
        <w:t xml:space="preserve">While the main focus is updating evidence on the employment portfolio at a site by site level, the Council will be looking to evaluate clusters of sites and strategic employment site options within the Sustainability Appraisal work programme to ensure that the various layers of growth (housing and employment) and supporting infrastructure are considered holistically. </w:t>
      </w:r>
    </w:p>
    <w:p w14:paraId="17E2E3E6" w14:textId="77777777" w:rsidR="005967CE" w:rsidRDefault="005967CE" w:rsidP="005967CE">
      <w:pPr>
        <w:tabs>
          <w:tab w:val="left" w:pos="6790"/>
        </w:tabs>
        <w:rPr>
          <w:rFonts w:ascii="Arial" w:hAnsi="Arial" w:cs="Arial"/>
          <w:b/>
          <w:sz w:val="24"/>
          <w:szCs w:val="24"/>
        </w:rPr>
      </w:pPr>
      <w:r>
        <w:rPr>
          <w:rFonts w:ascii="Arial" w:hAnsi="Arial" w:cs="Arial"/>
          <w:b/>
          <w:sz w:val="24"/>
          <w:szCs w:val="24"/>
        </w:rPr>
        <w:t>Part D – Demand and Supply Balance</w:t>
      </w:r>
    </w:p>
    <w:p w14:paraId="305F8E94" w14:textId="1994B59B" w:rsidR="00774CF8" w:rsidRDefault="00EF2919" w:rsidP="0093341A">
      <w:pPr>
        <w:pStyle w:val="Default"/>
        <w:numPr>
          <w:ilvl w:val="0"/>
          <w:numId w:val="10"/>
        </w:numPr>
        <w:ind w:left="709" w:hanging="425"/>
        <w:rPr>
          <w:sz w:val="22"/>
          <w:szCs w:val="22"/>
        </w:rPr>
      </w:pPr>
      <w:r>
        <w:rPr>
          <w:sz w:val="22"/>
          <w:szCs w:val="22"/>
        </w:rPr>
        <w:t>The reporting will need to draw conclusions on both the quantitative and qualitative balance of employment land use demand versus employment space provision (supply).  There may be a need to test the balance through a ser</w:t>
      </w:r>
      <w:r w:rsidR="00772E07">
        <w:rPr>
          <w:sz w:val="22"/>
          <w:szCs w:val="22"/>
        </w:rPr>
        <w:t>ies</w:t>
      </w:r>
      <w:r>
        <w:rPr>
          <w:sz w:val="22"/>
          <w:szCs w:val="22"/>
        </w:rPr>
        <w:t xml:space="preserve"> of scenario analys</w:t>
      </w:r>
      <w:r w:rsidR="00772E07">
        <w:rPr>
          <w:sz w:val="22"/>
          <w:szCs w:val="22"/>
        </w:rPr>
        <w:t>es</w:t>
      </w:r>
      <w:r>
        <w:rPr>
          <w:sz w:val="22"/>
          <w:szCs w:val="22"/>
        </w:rPr>
        <w:t>.</w:t>
      </w:r>
    </w:p>
    <w:p w14:paraId="304891F2" w14:textId="77777777" w:rsidR="00EF2919" w:rsidRDefault="00EF2919" w:rsidP="00EF2919">
      <w:pPr>
        <w:pStyle w:val="Default"/>
        <w:ind w:left="709"/>
        <w:rPr>
          <w:sz w:val="22"/>
          <w:szCs w:val="22"/>
        </w:rPr>
      </w:pPr>
    </w:p>
    <w:p w14:paraId="798EBA34" w14:textId="115A7F80" w:rsidR="00114157" w:rsidRDefault="00EF2919" w:rsidP="0093341A">
      <w:pPr>
        <w:pStyle w:val="Default"/>
        <w:numPr>
          <w:ilvl w:val="0"/>
          <w:numId w:val="10"/>
        </w:numPr>
        <w:ind w:left="709" w:hanging="425"/>
        <w:rPr>
          <w:sz w:val="22"/>
          <w:szCs w:val="22"/>
        </w:rPr>
      </w:pPr>
      <w:r>
        <w:rPr>
          <w:sz w:val="22"/>
          <w:szCs w:val="22"/>
        </w:rPr>
        <w:t xml:space="preserve">This part of the study should also dovetail with any further findings coming out of the Swindon economic growth vision work stream.  </w:t>
      </w:r>
    </w:p>
    <w:p w14:paraId="57DA17EE" w14:textId="77777777" w:rsidR="00D3712A" w:rsidRPr="00D3712A" w:rsidRDefault="00D3712A" w:rsidP="00D3712A">
      <w:pPr>
        <w:pStyle w:val="Default"/>
        <w:rPr>
          <w:sz w:val="22"/>
          <w:szCs w:val="22"/>
        </w:rPr>
      </w:pPr>
    </w:p>
    <w:p w14:paraId="2CB28E95" w14:textId="77777777" w:rsidR="00114157" w:rsidRDefault="00114157" w:rsidP="00114157">
      <w:pPr>
        <w:tabs>
          <w:tab w:val="left" w:pos="6790"/>
        </w:tabs>
        <w:rPr>
          <w:rFonts w:ascii="Arial" w:hAnsi="Arial" w:cs="Arial"/>
          <w:b/>
          <w:sz w:val="24"/>
          <w:szCs w:val="24"/>
        </w:rPr>
      </w:pPr>
      <w:r>
        <w:rPr>
          <w:rFonts w:ascii="Arial" w:hAnsi="Arial" w:cs="Arial"/>
          <w:b/>
          <w:sz w:val="24"/>
          <w:szCs w:val="24"/>
        </w:rPr>
        <w:t>Part E – Skills Base and Future Requirements</w:t>
      </w:r>
    </w:p>
    <w:p w14:paraId="74EB0997" w14:textId="77777777" w:rsidR="007C746F" w:rsidRPr="007C746F" w:rsidRDefault="007C746F" w:rsidP="007C746F">
      <w:pPr>
        <w:pStyle w:val="Default"/>
        <w:rPr>
          <w:sz w:val="22"/>
          <w:szCs w:val="22"/>
        </w:rPr>
      </w:pPr>
    </w:p>
    <w:p w14:paraId="5ED0AD5B" w14:textId="3FAA327E" w:rsidR="007C746F" w:rsidRDefault="007C746F" w:rsidP="0093341A">
      <w:pPr>
        <w:pStyle w:val="Default"/>
        <w:numPr>
          <w:ilvl w:val="0"/>
          <w:numId w:val="10"/>
        </w:numPr>
        <w:ind w:left="709" w:hanging="425"/>
        <w:rPr>
          <w:sz w:val="22"/>
          <w:szCs w:val="22"/>
        </w:rPr>
      </w:pPr>
      <w:r>
        <w:rPr>
          <w:sz w:val="22"/>
          <w:szCs w:val="22"/>
        </w:rPr>
        <w:t xml:space="preserve">The achievement of equilibrium or a best fit in terms of demand meets supply can be a fairly abstract process and it would also be useful for this study to explore </w:t>
      </w:r>
      <w:r w:rsidR="00114157">
        <w:rPr>
          <w:sz w:val="22"/>
          <w:szCs w:val="22"/>
        </w:rPr>
        <w:t>skills and training pathways to support growth</w:t>
      </w:r>
      <w:r w:rsidR="00883FBB">
        <w:rPr>
          <w:sz w:val="22"/>
          <w:szCs w:val="22"/>
        </w:rPr>
        <w:t xml:space="preserve"> and meeting requirements</w:t>
      </w:r>
      <w:r w:rsidR="00114157">
        <w:rPr>
          <w:sz w:val="22"/>
          <w:szCs w:val="22"/>
        </w:rPr>
        <w:t xml:space="preserve">, including clean / green economy and other ‘policy on’ measures identified through this commission and the wider Swindon </w:t>
      </w:r>
      <w:r w:rsidR="00883FBB">
        <w:rPr>
          <w:sz w:val="22"/>
          <w:szCs w:val="22"/>
        </w:rPr>
        <w:t xml:space="preserve">Economic </w:t>
      </w:r>
      <w:r w:rsidR="00114157">
        <w:rPr>
          <w:sz w:val="22"/>
          <w:szCs w:val="22"/>
        </w:rPr>
        <w:t>Growth</w:t>
      </w:r>
      <w:r w:rsidR="00883FBB">
        <w:rPr>
          <w:sz w:val="22"/>
          <w:szCs w:val="22"/>
        </w:rPr>
        <w:t xml:space="preserve"> vision work.</w:t>
      </w:r>
    </w:p>
    <w:p w14:paraId="18AE2B22" w14:textId="77777777" w:rsidR="00114157" w:rsidRDefault="00114157" w:rsidP="00114157">
      <w:pPr>
        <w:pStyle w:val="Default"/>
        <w:ind w:left="709"/>
        <w:rPr>
          <w:sz w:val="22"/>
          <w:szCs w:val="22"/>
        </w:rPr>
      </w:pPr>
    </w:p>
    <w:p w14:paraId="7D1A0E51" w14:textId="5B4AB50A" w:rsidR="008E786E" w:rsidRPr="00D3712A" w:rsidRDefault="00883FBB" w:rsidP="0093341A">
      <w:pPr>
        <w:pStyle w:val="Default"/>
        <w:numPr>
          <w:ilvl w:val="0"/>
          <w:numId w:val="10"/>
        </w:numPr>
        <w:ind w:left="709" w:hanging="425"/>
        <w:rPr>
          <w:sz w:val="22"/>
          <w:szCs w:val="22"/>
        </w:rPr>
      </w:pPr>
      <w:r w:rsidRPr="00883FBB">
        <w:rPr>
          <w:sz w:val="22"/>
          <w:szCs w:val="22"/>
        </w:rPr>
        <w:t>The green economy sectoral growth areas could include for example:</w:t>
      </w:r>
    </w:p>
    <w:p w14:paraId="702722E0" w14:textId="77777777" w:rsidR="00883FBB" w:rsidRPr="00883FBB" w:rsidRDefault="00883FBB" w:rsidP="00883FBB">
      <w:pPr>
        <w:autoSpaceDE w:val="0"/>
        <w:autoSpaceDN w:val="0"/>
        <w:adjustRightInd w:val="0"/>
        <w:spacing w:after="0" w:line="240" w:lineRule="auto"/>
        <w:rPr>
          <w:rFonts w:ascii="Arial" w:hAnsi="Arial" w:cs="Arial"/>
          <w:color w:val="000000"/>
        </w:rPr>
      </w:pPr>
    </w:p>
    <w:p w14:paraId="2871EDFA" w14:textId="77777777" w:rsidR="00883FBB" w:rsidRPr="00883FBB" w:rsidRDefault="00883FBB" w:rsidP="0093341A">
      <w:pPr>
        <w:numPr>
          <w:ilvl w:val="0"/>
          <w:numId w:val="18"/>
        </w:numPr>
        <w:autoSpaceDE w:val="0"/>
        <w:autoSpaceDN w:val="0"/>
        <w:adjustRightInd w:val="0"/>
        <w:spacing w:after="179" w:line="240" w:lineRule="auto"/>
        <w:ind w:left="1560" w:hanging="567"/>
        <w:rPr>
          <w:rFonts w:ascii="Arial" w:hAnsi="Arial" w:cs="Arial"/>
          <w:color w:val="000000"/>
        </w:rPr>
      </w:pPr>
      <w:r w:rsidRPr="00883FBB">
        <w:rPr>
          <w:rFonts w:ascii="Arial" w:hAnsi="Arial" w:cs="Arial"/>
          <w:b/>
          <w:bCs/>
          <w:color w:val="000000"/>
        </w:rPr>
        <w:t xml:space="preserve">Power </w:t>
      </w:r>
      <w:r w:rsidRPr="00883FBB">
        <w:rPr>
          <w:rFonts w:ascii="Arial" w:hAnsi="Arial" w:cs="Arial"/>
          <w:color w:val="000000"/>
        </w:rPr>
        <w:t xml:space="preserve">– including renewables (such as wind, solar and hydropower), nuclear power, grid infrastructure, energy storage and smart systems technology; </w:t>
      </w:r>
    </w:p>
    <w:p w14:paraId="35C35A60" w14:textId="6CCA2BEB" w:rsidR="00883FBB" w:rsidRPr="00883FBB" w:rsidRDefault="00883FBB" w:rsidP="0093341A">
      <w:pPr>
        <w:numPr>
          <w:ilvl w:val="0"/>
          <w:numId w:val="18"/>
        </w:numPr>
        <w:autoSpaceDE w:val="0"/>
        <w:autoSpaceDN w:val="0"/>
        <w:adjustRightInd w:val="0"/>
        <w:spacing w:after="179" w:line="240" w:lineRule="auto"/>
        <w:ind w:left="1560" w:hanging="567"/>
        <w:rPr>
          <w:rFonts w:ascii="Arial" w:hAnsi="Arial" w:cs="Arial"/>
          <w:color w:val="000000"/>
        </w:rPr>
      </w:pPr>
      <w:r w:rsidRPr="00883FBB">
        <w:rPr>
          <w:rFonts w:ascii="Arial" w:hAnsi="Arial" w:cs="Arial"/>
          <w:b/>
          <w:bCs/>
          <w:color w:val="000000"/>
        </w:rPr>
        <w:lastRenderedPageBreak/>
        <w:t xml:space="preserve">Business and industry </w:t>
      </w:r>
      <w:r w:rsidRPr="00883FBB">
        <w:rPr>
          <w:rFonts w:ascii="Arial" w:hAnsi="Arial" w:cs="Arial"/>
          <w:color w:val="000000"/>
        </w:rPr>
        <w:t xml:space="preserve">– including hydrogen production and industrial use, carbon capture, utilisation &amp; storage (CCUS) and industrial decarbonisation; </w:t>
      </w:r>
    </w:p>
    <w:p w14:paraId="226EE473" w14:textId="0A18FD1F" w:rsidR="00883FBB" w:rsidRDefault="00883FBB" w:rsidP="0093341A">
      <w:pPr>
        <w:numPr>
          <w:ilvl w:val="0"/>
          <w:numId w:val="18"/>
        </w:numPr>
        <w:autoSpaceDE w:val="0"/>
        <w:autoSpaceDN w:val="0"/>
        <w:adjustRightInd w:val="0"/>
        <w:spacing w:after="0" w:line="240" w:lineRule="auto"/>
        <w:ind w:left="1560" w:hanging="567"/>
        <w:rPr>
          <w:rFonts w:ascii="Arial" w:hAnsi="Arial" w:cs="Arial"/>
          <w:color w:val="000000"/>
        </w:rPr>
      </w:pPr>
      <w:r w:rsidRPr="00883FBB">
        <w:rPr>
          <w:rFonts w:ascii="Arial" w:hAnsi="Arial" w:cs="Arial"/>
          <w:b/>
          <w:bCs/>
          <w:color w:val="000000"/>
        </w:rPr>
        <w:t xml:space="preserve">Homes and buildings </w:t>
      </w:r>
      <w:r w:rsidRPr="00883FBB">
        <w:rPr>
          <w:rFonts w:ascii="Arial" w:hAnsi="Arial" w:cs="Arial"/>
          <w:color w:val="000000"/>
        </w:rPr>
        <w:t xml:space="preserve">– including retrofit, building new energy-efficient homes, heat pumps, smart devices and controls, heat networks and hydrogen boilers; </w:t>
      </w:r>
    </w:p>
    <w:p w14:paraId="7BB35524" w14:textId="77777777" w:rsidR="00883FBB" w:rsidRDefault="00883FBB" w:rsidP="00883FBB">
      <w:pPr>
        <w:autoSpaceDE w:val="0"/>
        <w:autoSpaceDN w:val="0"/>
        <w:adjustRightInd w:val="0"/>
        <w:spacing w:after="0" w:line="240" w:lineRule="auto"/>
        <w:ind w:left="1560"/>
        <w:rPr>
          <w:rFonts w:ascii="Arial" w:hAnsi="Arial" w:cs="Arial"/>
          <w:color w:val="000000"/>
        </w:rPr>
      </w:pPr>
    </w:p>
    <w:p w14:paraId="6BA42ACA" w14:textId="2410B868" w:rsidR="008E786E" w:rsidRPr="00D3712A" w:rsidRDefault="00883FBB" w:rsidP="0093341A">
      <w:pPr>
        <w:numPr>
          <w:ilvl w:val="0"/>
          <w:numId w:val="18"/>
        </w:numPr>
        <w:autoSpaceDE w:val="0"/>
        <w:autoSpaceDN w:val="0"/>
        <w:adjustRightInd w:val="0"/>
        <w:spacing w:after="0" w:line="240" w:lineRule="auto"/>
        <w:ind w:left="1560" w:hanging="567"/>
        <w:rPr>
          <w:rFonts w:ascii="Arial" w:hAnsi="Arial" w:cs="Arial"/>
          <w:color w:val="000000"/>
        </w:rPr>
      </w:pPr>
      <w:r w:rsidRPr="00883FBB">
        <w:rPr>
          <w:rFonts w:ascii="Arial" w:hAnsi="Arial" w:cs="Arial"/>
          <w:b/>
        </w:rPr>
        <w:t>Transport</w:t>
      </w:r>
      <w:r w:rsidRPr="00883FBB">
        <w:rPr>
          <w:rFonts w:ascii="Arial" w:hAnsi="Arial" w:cs="Arial"/>
        </w:rPr>
        <w:t xml:space="preserve"> – including low or zero emission vehicles, aviation and maritime, rail, public transport and walking or cycling;</w:t>
      </w:r>
    </w:p>
    <w:p w14:paraId="2E9FE757" w14:textId="77777777" w:rsidR="00883FBB" w:rsidRPr="00883FBB" w:rsidRDefault="00883FBB" w:rsidP="00883FBB">
      <w:pPr>
        <w:autoSpaceDE w:val="0"/>
        <w:autoSpaceDN w:val="0"/>
        <w:adjustRightInd w:val="0"/>
        <w:spacing w:after="0" w:line="240" w:lineRule="auto"/>
        <w:rPr>
          <w:rFonts w:ascii="Arial" w:hAnsi="Arial" w:cs="Arial"/>
          <w:color w:val="000000"/>
        </w:rPr>
      </w:pPr>
    </w:p>
    <w:p w14:paraId="4473787C" w14:textId="0F4DC7B8" w:rsidR="00883FBB" w:rsidRDefault="00883FBB" w:rsidP="0093341A">
      <w:pPr>
        <w:numPr>
          <w:ilvl w:val="0"/>
          <w:numId w:val="18"/>
        </w:numPr>
        <w:autoSpaceDE w:val="0"/>
        <w:autoSpaceDN w:val="0"/>
        <w:adjustRightInd w:val="0"/>
        <w:spacing w:after="0" w:line="240" w:lineRule="auto"/>
        <w:ind w:left="1560" w:hanging="567"/>
        <w:rPr>
          <w:rFonts w:ascii="Arial" w:hAnsi="Arial" w:cs="Arial"/>
          <w:color w:val="000000"/>
        </w:rPr>
      </w:pPr>
      <w:r w:rsidRPr="00883FBB">
        <w:rPr>
          <w:rFonts w:ascii="Arial" w:hAnsi="Arial" w:cs="Arial"/>
          <w:b/>
        </w:rPr>
        <w:t>Natural resources</w:t>
      </w:r>
      <w:r w:rsidRPr="00883FBB">
        <w:rPr>
          <w:rFonts w:ascii="Arial" w:hAnsi="Arial" w:cs="Arial"/>
        </w:rPr>
        <w:t xml:space="preserve"> – including nature restoration, tree planting and decarbonising agriculture, waste management and recycling;</w:t>
      </w:r>
    </w:p>
    <w:p w14:paraId="35F38602" w14:textId="77777777" w:rsidR="00883FBB" w:rsidRPr="00883FBB" w:rsidRDefault="00883FBB" w:rsidP="00883FBB">
      <w:pPr>
        <w:autoSpaceDE w:val="0"/>
        <w:autoSpaceDN w:val="0"/>
        <w:adjustRightInd w:val="0"/>
        <w:spacing w:after="0" w:line="240" w:lineRule="auto"/>
        <w:rPr>
          <w:rFonts w:ascii="Arial" w:hAnsi="Arial" w:cs="Arial"/>
          <w:color w:val="000000"/>
        </w:rPr>
      </w:pPr>
    </w:p>
    <w:p w14:paraId="0EE3C1E2" w14:textId="33B9B04D" w:rsidR="00883FBB" w:rsidRDefault="00883FBB" w:rsidP="0093341A">
      <w:pPr>
        <w:numPr>
          <w:ilvl w:val="0"/>
          <w:numId w:val="18"/>
        </w:numPr>
        <w:autoSpaceDE w:val="0"/>
        <w:autoSpaceDN w:val="0"/>
        <w:adjustRightInd w:val="0"/>
        <w:spacing w:after="0" w:line="240" w:lineRule="auto"/>
        <w:ind w:left="1560" w:hanging="567"/>
        <w:rPr>
          <w:rFonts w:ascii="Arial" w:hAnsi="Arial" w:cs="Arial"/>
          <w:color w:val="000000"/>
        </w:rPr>
      </w:pPr>
      <w:r w:rsidRPr="00883FBB">
        <w:rPr>
          <w:rFonts w:ascii="Arial" w:hAnsi="Arial" w:cs="Arial"/>
          <w:b/>
        </w:rPr>
        <w:t>Enabling decarbonisation</w:t>
      </w:r>
      <w:r w:rsidRPr="00883FBB">
        <w:rPr>
          <w:rFonts w:ascii="Arial" w:hAnsi="Arial" w:cs="Arial"/>
        </w:rPr>
        <w:t xml:space="preserve"> – including science and innovation for climate change, green finance, circular economy and energy networks;</w:t>
      </w:r>
    </w:p>
    <w:p w14:paraId="75AD3922" w14:textId="77777777" w:rsidR="00883FBB" w:rsidRPr="00883FBB" w:rsidRDefault="00883FBB" w:rsidP="00883FBB">
      <w:pPr>
        <w:autoSpaceDE w:val="0"/>
        <w:autoSpaceDN w:val="0"/>
        <w:adjustRightInd w:val="0"/>
        <w:spacing w:after="0" w:line="240" w:lineRule="auto"/>
        <w:rPr>
          <w:rFonts w:ascii="Arial" w:hAnsi="Arial" w:cs="Arial"/>
          <w:color w:val="000000"/>
        </w:rPr>
      </w:pPr>
    </w:p>
    <w:p w14:paraId="726ECE81" w14:textId="1FB5D0A1" w:rsidR="00883FBB" w:rsidRPr="005856B4" w:rsidRDefault="00883FBB" w:rsidP="0093341A">
      <w:pPr>
        <w:numPr>
          <w:ilvl w:val="0"/>
          <w:numId w:val="18"/>
        </w:numPr>
        <w:autoSpaceDE w:val="0"/>
        <w:autoSpaceDN w:val="0"/>
        <w:adjustRightInd w:val="0"/>
        <w:spacing w:after="0" w:line="240" w:lineRule="auto"/>
        <w:ind w:left="1560" w:hanging="567"/>
        <w:rPr>
          <w:rFonts w:ascii="Arial" w:hAnsi="Arial" w:cs="Arial"/>
          <w:color w:val="000000"/>
        </w:rPr>
      </w:pPr>
      <w:r w:rsidRPr="00883FBB">
        <w:rPr>
          <w:rFonts w:ascii="Arial" w:hAnsi="Arial" w:cs="Arial"/>
          <w:b/>
        </w:rPr>
        <w:t>Climate adaptation</w:t>
      </w:r>
      <w:r w:rsidRPr="00883FBB">
        <w:rPr>
          <w:rFonts w:ascii="Arial" w:hAnsi="Arial" w:cs="Arial"/>
        </w:rPr>
        <w:t xml:space="preserve"> – including flood defences, retrofitting of buildings to be resilient to extreme weather/climate events, nature-based solutions to reduce climate impacts and civil and mechanical engineering for infrastructure adaptation.</w:t>
      </w:r>
      <w:r>
        <w:rPr>
          <w:rStyle w:val="FootnoteReference"/>
          <w:rFonts w:ascii="Arial" w:hAnsi="Arial" w:cs="Arial"/>
        </w:rPr>
        <w:footnoteReference w:id="7"/>
      </w:r>
    </w:p>
    <w:p w14:paraId="2131A9FC" w14:textId="77777777" w:rsidR="00114157" w:rsidRDefault="00114157" w:rsidP="00883FBB">
      <w:pPr>
        <w:pStyle w:val="Default"/>
        <w:rPr>
          <w:sz w:val="22"/>
          <w:szCs w:val="22"/>
        </w:rPr>
      </w:pPr>
    </w:p>
    <w:p w14:paraId="6B1596C2" w14:textId="35C88838" w:rsidR="00114157" w:rsidRDefault="00FA6037" w:rsidP="0093341A">
      <w:pPr>
        <w:pStyle w:val="Default"/>
        <w:numPr>
          <w:ilvl w:val="0"/>
          <w:numId w:val="10"/>
        </w:numPr>
        <w:ind w:left="709" w:hanging="425"/>
        <w:rPr>
          <w:sz w:val="22"/>
          <w:szCs w:val="22"/>
        </w:rPr>
      </w:pPr>
      <w:r w:rsidRPr="00FA6037">
        <w:rPr>
          <w:sz w:val="22"/>
          <w:szCs w:val="22"/>
        </w:rPr>
        <w:t xml:space="preserve">Attention could also be applied to competitive positioning / opportunities and productivity gains.  This includes the knowledge economy.  </w:t>
      </w:r>
      <w:r w:rsidR="00114157">
        <w:rPr>
          <w:sz w:val="22"/>
          <w:szCs w:val="22"/>
        </w:rPr>
        <w:t xml:space="preserve">It is anticipated that this study will provide a platform </w:t>
      </w:r>
      <w:r w:rsidR="00883FBB">
        <w:rPr>
          <w:sz w:val="22"/>
          <w:szCs w:val="22"/>
        </w:rPr>
        <w:t xml:space="preserve">or framework </w:t>
      </w:r>
      <w:r w:rsidR="00114157">
        <w:rPr>
          <w:sz w:val="22"/>
          <w:szCs w:val="22"/>
        </w:rPr>
        <w:t xml:space="preserve">to build upon through wider sectoral and business to business engagement.  </w:t>
      </w:r>
    </w:p>
    <w:p w14:paraId="545A7A5E" w14:textId="77777777" w:rsidR="005967CE" w:rsidRPr="00CA2A16" w:rsidRDefault="005967CE" w:rsidP="005967CE">
      <w:pPr>
        <w:pStyle w:val="Default"/>
        <w:rPr>
          <w:b/>
          <w:sz w:val="22"/>
          <w:szCs w:val="22"/>
          <w:highlight w:val="yellow"/>
        </w:rPr>
      </w:pPr>
    </w:p>
    <w:p w14:paraId="2E1539D2" w14:textId="6B01F0E2" w:rsidR="005967CE" w:rsidRDefault="005967CE" w:rsidP="005967CE">
      <w:pPr>
        <w:tabs>
          <w:tab w:val="left" w:pos="6790"/>
        </w:tabs>
        <w:rPr>
          <w:rFonts w:ascii="Arial" w:hAnsi="Arial" w:cs="Arial"/>
          <w:b/>
          <w:sz w:val="24"/>
          <w:szCs w:val="24"/>
        </w:rPr>
      </w:pPr>
      <w:r w:rsidRPr="00067C80">
        <w:rPr>
          <w:rFonts w:ascii="Arial" w:hAnsi="Arial" w:cs="Arial"/>
          <w:b/>
          <w:sz w:val="24"/>
          <w:szCs w:val="24"/>
        </w:rPr>
        <w:t xml:space="preserve">Part </w:t>
      </w:r>
      <w:r>
        <w:rPr>
          <w:rFonts w:ascii="Arial" w:hAnsi="Arial" w:cs="Arial"/>
          <w:b/>
          <w:sz w:val="24"/>
          <w:szCs w:val="24"/>
        </w:rPr>
        <w:t>F</w:t>
      </w:r>
      <w:r w:rsidRPr="00067C80">
        <w:rPr>
          <w:rFonts w:ascii="Arial" w:hAnsi="Arial" w:cs="Arial"/>
          <w:b/>
          <w:sz w:val="24"/>
          <w:szCs w:val="24"/>
        </w:rPr>
        <w:t xml:space="preserve"> – </w:t>
      </w:r>
      <w:r w:rsidR="00FA6037">
        <w:rPr>
          <w:rFonts w:ascii="Arial" w:hAnsi="Arial" w:cs="Arial"/>
          <w:b/>
          <w:sz w:val="24"/>
          <w:szCs w:val="24"/>
        </w:rPr>
        <w:t xml:space="preserve">Conclusions and </w:t>
      </w:r>
      <w:r w:rsidRPr="00067C80">
        <w:rPr>
          <w:rFonts w:ascii="Arial" w:hAnsi="Arial" w:cs="Arial"/>
          <w:b/>
          <w:sz w:val="24"/>
          <w:szCs w:val="24"/>
        </w:rPr>
        <w:t xml:space="preserve">Recommendations </w:t>
      </w:r>
    </w:p>
    <w:p w14:paraId="2A7F0C5B" w14:textId="0A01C793" w:rsidR="00D3712A" w:rsidRDefault="00883FBB" w:rsidP="00D3712A">
      <w:pPr>
        <w:pStyle w:val="ListParagraph"/>
        <w:numPr>
          <w:ilvl w:val="0"/>
          <w:numId w:val="10"/>
        </w:numPr>
        <w:tabs>
          <w:tab w:val="left" w:pos="6790"/>
        </w:tabs>
        <w:ind w:left="709" w:hanging="425"/>
        <w:rPr>
          <w:rFonts w:ascii="Arial" w:hAnsi="Arial" w:cs="Arial"/>
        </w:rPr>
      </w:pPr>
      <w:r w:rsidRPr="00B177C0">
        <w:rPr>
          <w:rFonts w:ascii="Arial" w:hAnsi="Arial" w:cs="Arial"/>
        </w:rPr>
        <w:t>The study will need to draw together a series of conclusions</w:t>
      </w:r>
      <w:r w:rsidR="001D12D6" w:rsidRPr="00B177C0">
        <w:rPr>
          <w:rFonts w:ascii="Arial" w:hAnsi="Arial" w:cs="Arial"/>
        </w:rPr>
        <w:t xml:space="preserve"> together with policy and site / spatial recommendations.  This will include steps to achieve the</w:t>
      </w:r>
      <w:r w:rsidR="00E049AA">
        <w:rPr>
          <w:rFonts w:ascii="Arial" w:hAnsi="Arial" w:cs="Arial"/>
        </w:rPr>
        <w:t xml:space="preserve"> </w:t>
      </w:r>
      <w:r w:rsidR="001D12D6" w:rsidRPr="00B177C0">
        <w:rPr>
          <w:rFonts w:ascii="Arial" w:hAnsi="Arial" w:cs="Arial"/>
        </w:rPr>
        <w:t>recommendations including any commentary concerning labour need / supply and skills gap</w:t>
      </w:r>
      <w:r w:rsidR="00772E07">
        <w:rPr>
          <w:rFonts w:ascii="Arial" w:hAnsi="Arial" w:cs="Arial"/>
        </w:rPr>
        <w:t>.</w:t>
      </w:r>
    </w:p>
    <w:p w14:paraId="044DA9B3" w14:textId="1CE7F18A" w:rsidR="00883FBB" w:rsidRDefault="00883FBB" w:rsidP="005967CE">
      <w:pPr>
        <w:tabs>
          <w:tab w:val="left" w:pos="6790"/>
        </w:tabs>
        <w:rPr>
          <w:rFonts w:ascii="Arial" w:hAnsi="Arial" w:cs="Arial"/>
          <w:b/>
          <w:sz w:val="24"/>
          <w:szCs w:val="24"/>
        </w:rPr>
      </w:pPr>
    </w:p>
    <w:p w14:paraId="319E3DC7" w14:textId="70AB8FB9" w:rsidR="005967CE" w:rsidRDefault="005967CE" w:rsidP="008B41AF">
      <w:pPr>
        <w:pStyle w:val="Default"/>
        <w:ind w:left="709" w:hanging="709"/>
        <w:rPr>
          <w:sz w:val="22"/>
          <w:szCs w:val="22"/>
          <w:highlight w:val="yellow"/>
        </w:rPr>
      </w:pPr>
    </w:p>
    <w:p w14:paraId="00B598B5" w14:textId="51B00BD4" w:rsidR="005967CE" w:rsidRDefault="005967CE" w:rsidP="008B41AF">
      <w:pPr>
        <w:pStyle w:val="Default"/>
        <w:ind w:left="709" w:hanging="709"/>
        <w:rPr>
          <w:sz w:val="22"/>
          <w:szCs w:val="22"/>
          <w:highlight w:val="yellow"/>
        </w:rPr>
      </w:pPr>
    </w:p>
    <w:p w14:paraId="69C2A712" w14:textId="6B9047C9" w:rsidR="005967CE" w:rsidRDefault="005967CE" w:rsidP="008B41AF">
      <w:pPr>
        <w:pStyle w:val="Default"/>
        <w:ind w:left="709" w:hanging="709"/>
        <w:rPr>
          <w:sz w:val="22"/>
          <w:szCs w:val="22"/>
          <w:highlight w:val="yellow"/>
        </w:rPr>
      </w:pPr>
    </w:p>
    <w:p w14:paraId="191ED997" w14:textId="77777777" w:rsidR="005967CE" w:rsidRDefault="005967CE" w:rsidP="008B41AF">
      <w:pPr>
        <w:pStyle w:val="Default"/>
        <w:ind w:left="709" w:hanging="709"/>
        <w:rPr>
          <w:sz w:val="22"/>
          <w:szCs w:val="22"/>
          <w:highlight w:val="yellow"/>
        </w:rPr>
      </w:pPr>
    </w:p>
    <w:p w14:paraId="16287BA7" w14:textId="2A1C77AE" w:rsidR="005967CE" w:rsidRDefault="005967CE" w:rsidP="008B41AF">
      <w:pPr>
        <w:pStyle w:val="Default"/>
        <w:ind w:left="709" w:hanging="709"/>
        <w:rPr>
          <w:sz w:val="22"/>
          <w:szCs w:val="22"/>
          <w:highlight w:val="yellow"/>
        </w:rPr>
      </w:pPr>
    </w:p>
    <w:p w14:paraId="21282907" w14:textId="1CBAAAB7" w:rsidR="005967CE" w:rsidRDefault="005967CE" w:rsidP="008B41AF">
      <w:pPr>
        <w:pStyle w:val="Default"/>
        <w:ind w:left="709" w:hanging="709"/>
        <w:rPr>
          <w:sz w:val="22"/>
          <w:szCs w:val="22"/>
          <w:highlight w:val="yellow"/>
        </w:rPr>
      </w:pPr>
    </w:p>
    <w:p w14:paraId="4033F8A9" w14:textId="24D73E7E" w:rsidR="005967CE" w:rsidRDefault="005967CE" w:rsidP="008B41AF">
      <w:pPr>
        <w:pStyle w:val="Default"/>
        <w:ind w:left="709" w:hanging="709"/>
        <w:rPr>
          <w:sz w:val="22"/>
          <w:szCs w:val="22"/>
          <w:highlight w:val="yellow"/>
        </w:rPr>
      </w:pPr>
    </w:p>
    <w:p w14:paraId="70852C1B" w14:textId="3FF9FAD3" w:rsidR="005967CE" w:rsidRDefault="005967CE" w:rsidP="008B41AF">
      <w:pPr>
        <w:pStyle w:val="Default"/>
        <w:ind w:left="709" w:hanging="709"/>
        <w:rPr>
          <w:sz w:val="22"/>
          <w:szCs w:val="22"/>
          <w:highlight w:val="yellow"/>
        </w:rPr>
      </w:pPr>
    </w:p>
    <w:p w14:paraId="74184398" w14:textId="2D2CA148" w:rsidR="005967CE" w:rsidRDefault="005967CE" w:rsidP="008B41AF">
      <w:pPr>
        <w:pStyle w:val="Default"/>
        <w:ind w:left="709" w:hanging="709"/>
        <w:rPr>
          <w:sz w:val="22"/>
          <w:szCs w:val="22"/>
          <w:highlight w:val="yellow"/>
        </w:rPr>
      </w:pPr>
    </w:p>
    <w:p w14:paraId="243423EB" w14:textId="77777777" w:rsidR="00D3712A" w:rsidRDefault="00D3712A" w:rsidP="008B41AF">
      <w:pPr>
        <w:pStyle w:val="Default"/>
        <w:ind w:left="709" w:hanging="709"/>
        <w:rPr>
          <w:sz w:val="22"/>
          <w:szCs w:val="22"/>
          <w:highlight w:val="yellow"/>
        </w:rPr>
      </w:pPr>
    </w:p>
    <w:p w14:paraId="549A0203" w14:textId="334C0D26" w:rsidR="005967CE" w:rsidRDefault="005967CE" w:rsidP="008B41AF">
      <w:pPr>
        <w:pStyle w:val="Default"/>
        <w:ind w:left="709" w:hanging="709"/>
        <w:rPr>
          <w:sz w:val="22"/>
          <w:szCs w:val="22"/>
          <w:highlight w:val="yellow"/>
        </w:rPr>
      </w:pPr>
    </w:p>
    <w:p w14:paraId="07A13F67" w14:textId="7C8EB812" w:rsidR="005967CE" w:rsidRDefault="005967CE" w:rsidP="008B41AF">
      <w:pPr>
        <w:pStyle w:val="Default"/>
        <w:ind w:left="709" w:hanging="709"/>
        <w:rPr>
          <w:sz w:val="22"/>
          <w:szCs w:val="22"/>
          <w:highlight w:val="yellow"/>
        </w:rPr>
      </w:pPr>
    </w:p>
    <w:p w14:paraId="595B9263" w14:textId="290BC891" w:rsidR="00772E07" w:rsidRDefault="00772E07" w:rsidP="008B41AF">
      <w:pPr>
        <w:pStyle w:val="Default"/>
        <w:ind w:left="709" w:hanging="709"/>
        <w:rPr>
          <w:sz w:val="22"/>
          <w:szCs w:val="22"/>
          <w:highlight w:val="yellow"/>
        </w:rPr>
      </w:pPr>
    </w:p>
    <w:p w14:paraId="441A2C08" w14:textId="3B180214" w:rsidR="00772E07" w:rsidRDefault="00772E07" w:rsidP="008B41AF">
      <w:pPr>
        <w:pStyle w:val="Default"/>
        <w:ind w:left="709" w:hanging="709"/>
        <w:rPr>
          <w:sz w:val="22"/>
          <w:szCs w:val="22"/>
          <w:highlight w:val="yellow"/>
        </w:rPr>
      </w:pPr>
    </w:p>
    <w:p w14:paraId="23148492" w14:textId="77777777" w:rsidR="00772E07" w:rsidRDefault="00772E07" w:rsidP="008B41AF">
      <w:pPr>
        <w:pStyle w:val="Default"/>
        <w:ind w:left="709" w:hanging="709"/>
        <w:rPr>
          <w:sz w:val="22"/>
          <w:szCs w:val="22"/>
          <w:highlight w:val="yellow"/>
        </w:rPr>
      </w:pPr>
    </w:p>
    <w:p w14:paraId="0A388E1E" w14:textId="36B0C6E0" w:rsidR="001213D5" w:rsidRDefault="001213D5" w:rsidP="008B41AF">
      <w:pPr>
        <w:pStyle w:val="Default"/>
        <w:ind w:left="709" w:hanging="709"/>
        <w:rPr>
          <w:sz w:val="22"/>
          <w:szCs w:val="22"/>
          <w:highlight w:val="yellow"/>
        </w:rPr>
      </w:pPr>
    </w:p>
    <w:p w14:paraId="4CC0D893" w14:textId="1A9534A9" w:rsidR="005967CE" w:rsidRDefault="005967CE" w:rsidP="007549E8">
      <w:pPr>
        <w:pStyle w:val="Default"/>
        <w:rPr>
          <w:sz w:val="22"/>
          <w:szCs w:val="22"/>
          <w:highlight w:val="yellow"/>
        </w:rPr>
      </w:pPr>
    </w:p>
    <w:p w14:paraId="7B58527E" w14:textId="4DF7DE17" w:rsidR="005967CE" w:rsidRDefault="005967CE" w:rsidP="00613A9F">
      <w:pPr>
        <w:pStyle w:val="Default"/>
        <w:rPr>
          <w:sz w:val="22"/>
          <w:szCs w:val="22"/>
          <w:highlight w:val="yellow"/>
        </w:rPr>
      </w:pPr>
    </w:p>
    <w:p w14:paraId="390FEB3A" w14:textId="32BFE5DD" w:rsidR="00ED4C74" w:rsidRDefault="00ED4C74" w:rsidP="00613A9F">
      <w:pPr>
        <w:pStyle w:val="Default"/>
        <w:rPr>
          <w:sz w:val="22"/>
          <w:szCs w:val="22"/>
          <w:highlight w:val="yellow"/>
        </w:rPr>
      </w:pPr>
    </w:p>
    <w:p w14:paraId="06E2284E" w14:textId="2D30E3B9" w:rsidR="00ED4C74" w:rsidRDefault="00ED4C74" w:rsidP="00613A9F">
      <w:pPr>
        <w:pStyle w:val="Default"/>
        <w:rPr>
          <w:sz w:val="22"/>
          <w:szCs w:val="22"/>
          <w:highlight w:val="yellow"/>
        </w:rPr>
      </w:pPr>
    </w:p>
    <w:p w14:paraId="479CEA34" w14:textId="77777777" w:rsidR="00ED4C74" w:rsidRDefault="00ED4C74" w:rsidP="00613A9F">
      <w:pPr>
        <w:pStyle w:val="Default"/>
        <w:rPr>
          <w:sz w:val="22"/>
          <w:szCs w:val="22"/>
          <w:highlight w:val="yellow"/>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21"/>
      </w:tblGrid>
      <w:tr w:rsidR="00860A55" w14:paraId="3C1075BA" w14:textId="77777777" w:rsidTr="00860A55">
        <w:tc>
          <w:tcPr>
            <w:tcW w:w="9021" w:type="dxa"/>
            <w:shd w:val="clear" w:color="auto" w:fill="D9D9D9" w:themeFill="background1" w:themeFillShade="D9"/>
          </w:tcPr>
          <w:p w14:paraId="60D08F25" w14:textId="17FC6740" w:rsidR="00860A55" w:rsidRPr="00860A55" w:rsidRDefault="00860A55" w:rsidP="00860A55">
            <w:pPr>
              <w:tabs>
                <w:tab w:val="left" w:pos="6790"/>
              </w:tabs>
              <w:rPr>
                <w:rFonts w:ascii="Arial" w:hAnsi="Arial" w:cs="Arial"/>
                <w:b/>
                <w:sz w:val="24"/>
                <w:szCs w:val="24"/>
              </w:rPr>
            </w:pPr>
            <w:r>
              <w:rPr>
                <w:rFonts w:ascii="Arial" w:hAnsi="Arial" w:cs="Arial"/>
                <w:b/>
                <w:sz w:val="24"/>
                <w:szCs w:val="24"/>
              </w:rPr>
              <w:t xml:space="preserve">LOT </w:t>
            </w:r>
            <w:r w:rsidR="00645448">
              <w:rPr>
                <w:rFonts w:ascii="Arial" w:hAnsi="Arial" w:cs="Arial"/>
                <w:b/>
                <w:sz w:val="24"/>
                <w:szCs w:val="24"/>
              </w:rPr>
              <w:t>B</w:t>
            </w:r>
            <w:r>
              <w:rPr>
                <w:rFonts w:ascii="Arial" w:hAnsi="Arial" w:cs="Arial"/>
                <w:b/>
                <w:sz w:val="24"/>
                <w:szCs w:val="24"/>
              </w:rPr>
              <w:t xml:space="preserve"> – RETAIL AND </w:t>
            </w:r>
            <w:r w:rsidR="00965B4D">
              <w:rPr>
                <w:rFonts w:ascii="Arial" w:hAnsi="Arial" w:cs="Arial"/>
                <w:b/>
                <w:sz w:val="24"/>
                <w:szCs w:val="24"/>
              </w:rPr>
              <w:t xml:space="preserve">MAIN TOWN CENTRE USES NEEDS </w:t>
            </w:r>
            <w:r>
              <w:rPr>
                <w:rFonts w:ascii="Arial" w:hAnsi="Arial" w:cs="Arial"/>
                <w:b/>
                <w:sz w:val="24"/>
                <w:szCs w:val="24"/>
              </w:rPr>
              <w:t>STUDY</w:t>
            </w:r>
          </w:p>
        </w:tc>
      </w:tr>
    </w:tbl>
    <w:p w14:paraId="4FCF2B3A" w14:textId="59BA221E" w:rsidR="008B41AF" w:rsidRDefault="008B41AF" w:rsidP="008B41AF">
      <w:pPr>
        <w:pStyle w:val="Default"/>
        <w:rPr>
          <w:sz w:val="22"/>
          <w:szCs w:val="22"/>
          <w:highlight w:val="yellow"/>
        </w:rPr>
      </w:pPr>
    </w:p>
    <w:p w14:paraId="3FCF0AA2" w14:textId="77777777" w:rsidR="008B41AF" w:rsidRPr="00AE1DE4" w:rsidRDefault="008B41AF" w:rsidP="00C65352">
      <w:pPr>
        <w:pStyle w:val="Default"/>
        <w:rPr>
          <w:sz w:val="22"/>
          <w:szCs w:val="22"/>
        </w:rPr>
      </w:pPr>
    </w:p>
    <w:p w14:paraId="0A67691F" w14:textId="3423BB4B" w:rsidR="00482637" w:rsidRPr="009A6490" w:rsidRDefault="009A6490" w:rsidP="009A6490">
      <w:pPr>
        <w:pStyle w:val="Default"/>
        <w:rPr>
          <w:b/>
        </w:rPr>
      </w:pPr>
      <w:r w:rsidRPr="009A6490">
        <w:rPr>
          <w:b/>
        </w:rPr>
        <w:t>Part A – Retail Changes and Hierarchy</w:t>
      </w:r>
      <w:r w:rsidR="00831839">
        <w:rPr>
          <w:b/>
        </w:rPr>
        <w:t xml:space="preserve"> of Centres</w:t>
      </w:r>
    </w:p>
    <w:p w14:paraId="5ADC8716" w14:textId="03264C25" w:rsidR="005967CE" w:rsidRDefault="005967CE" w:rsidP="00167503">
      <w:pPr>
        <w:pStyle w:val="Default"/>
        <w:ind w:left="709"/>
        <w:rPr>
          <w:sz w:val="22"/>
          <w:szCs w:val="22"/>
          <w:u w:val="single"/>
        </w:rPr>
      </w:pPr>
    </w:p>
    <w:p w14:paraId="6F43C93B" w14:textId="13D7569B" w:rsidR="009A6490" w:rsidRPr="009A6490" w:rsidRDefault="009A6490" w:rsidP="009A6490">
      <w:pPr>
        <w:pStyle w:val="Default"/>
        <w:rPr>
          <w:sz w:val="22"/>
          <w:szCs w:val="22"/>
          <w:u w:val="single"/>
        </w:rPr>
      </w:pPr>
      <w:r>
        <w:rPr>
          <w:sz w:val="22"/>
          <w:szCs w:val="22"/>
        </w:rPr>
        <w:tab/>
      </w:r>
      <w:r w:rsidRPr="009A6490">
        <w:rPr>
          <w:sz w:val="22"/>
          <w:szCs w:val="22"/>
          <w:u w:val="single"/>
        </w:rPr>
        <w:t>Introduction</w:t>
      </w:r>
    </w:p>
    <w:p w14:paraId="3AACD177" w14:textId="77777777" w:rsidR="009A6490" w:rsidRDefault="009A6490" w:rsidP="009A6490">
      <w:pPr>
        <w:pStyle w:val="Default"/>
        <w:rPr>
          <w:sz w:val="22"/>
          <w:szCs w:val="22"/>
          <w:u w:val="single"/>
        </w:rPr>
      </w:pPr>
    </w:p>
    <w:p w14:paraId="0E266745" w14:textId="25DF56FC" w:rsidR="009A6490" w:rsidRDefault="00FA3DDA" w:rsidP="0093341A">
      <w:pPr>
        <w:pStyle w:val="Default"/>
        <w:numPr>
          <w:ilvl w:val="0"/>
          <w:numId w:val="10"/>
        </w:numPr>
        <w:ind w:left="709" w:hanging="425"/>
        <w:rPr>
          <w:sz w:val="22"/>
          <w:szCs w:val="22"/>
        </w:rPr>
      </w:pPr>
      <w:r>
        <w:rPr>
          <w:sz w:val="22"/>
          <w:szCs w:val="22"/>
        </w:rPr>
        <w:t>L</w:t>
      </w:r>
      <w:r w:rsidR="009A6490">
        <w:rPr>
          <w:sz w:val="22"/>
          <w:szCs w:val="22"/>
        </w:rPr>
        <w:t>ike many areas</w:t>
      </w:r>
      <w:r>
        <w:rPr>
          <w:sz w:val="22"/>
          <w:szCs w:val="22"/>
        </w:rPr>
        <w:t>, Swindon</w:t>
      </w:r>
      <w:r w:rsidR="009A6490">
        <w:rPr>
          <w:sz w:val="22"/>
          <w:szCs w:val="22"/>
        </w:rPr>
        <w:t xml:space="preserve"> has witnessed changes in shopping behaviour and patterns driven </w:t>
      </w:r>
      <w:r w:rsidR="001D3645">
        <w:rPr>
          <w:sz w:val="22"/>
          <w:szCs w:val="22"/>
        </w:rPr>
        <w:t xml:space="preserve">by a move </w:t>
      </w:r>
      <w:r w:rsidR="00D71B1A">
        <w:rPr>
          <w:sz w:val="22"/>
          <w:szCs w:val="22"/>
        </w:rPr>
        <w:t xml:space="preserve">to online shopping in part and consumers </w:t>
      </w:r>
      <w:r w:rsidR="00C87713">
        <w:rPr>
          <w:sz w:val="22"/>
          <w:szCs w:val="22"/>
        </w:rPr>
        <w:t xml:space="preserve">also </w:t>
      </w:r>
      <w:r w:rsidR="00D71B1A">
        <w:rPr>
          <w:sz w:val="22"/>
          <w:szCs w:val="22"/>
        </w:rPr>
        <w:t xml:space="preserve">being more selective in their spending patterns, </w:t>
      </w:r>
      <w:r w:rsidR="00C87713">
        <w:rPr>
          <w:sz w:val="22"/>
          <w:szCs w:val="22"/>
        </w:rPr>
        <w:t xml:space="preserve">influenced also by social media, </w:t>
      </w:r>
      <w:r w:rsidR="00831839">
        <w:rPr>
          <w:sz w:val="22"/>
          <w:szCs w:val="22"/>
        </w:rPr>
        <w:t xml:space="preserve">the </w:t>
      </w:r>
      <w:r w:rsidR="00C87713">
        <w:rPr>
          <w:sz w:val="22"/>
          <w:szCs w:val="22"/>
        </w:rPr>
        <w:t>pandemic</w:t>
      </w:r>
      <w:r w:rsidR="00831839">
        <w:rPr>
          <w:sz w:val="22"/>
          <w:szCs w:val="22"/>
        </w:rPr>
        <w:t>, environmental consciousness</w:t>
      </w:r>
      <w:r w:rsidR="00C87713">
        <w:rPr>
          <w:sz w:val="22"/>
          <w:szCs w:val="22"/>
        </w:rPr>
        <w:t xml:space="preserve"> and cost of living factors.  </w:t>
      </w:r>
    </w:p>
    <w:p w14:paraId="279A052C" w14:textId="77777777" w:rsidR="00C87713" w:rsidRDefault="00C87713" w:rsidP="00C87713">
      <w:pPr>
        <w:pStyle w:val="Default"/>
        <w:ind w:left="709"/>
        <w:rPr>
          <w:sz w:val="22"/>
          <w:szCs w:val="22"/>
        </w:rPr>
      </w:pPr>
    </w:p>
    <w:p w14:paraId="3F693495" w14:textId="6369FCEC" w:rsidR="00831839" w:rsidRDefault="00C87713" w:rsidP="0093341A">
      <w:pPr>
        <w:pStyle w:val="Default"/>
        <w:numPr>
          <w:ilvl w:val="0"/>
          <w:numId w:val="10"/>
        </w:numPr>
        <w:ind w:left="709" w:hanging="425"/>
        <w:rPr>
          <w:sz w:val="22"/>
          <w:szCs w:val="22"/>
        </w:rPr>
      </w:pPr>
      <w:r>
        <w:rPr>
          <w:sz w:val="22"/>
          <w:szCs w:val="22"/>
        </w:rPr>
        <w:t xml:space="preserve">The impact of changing patterns of shopping and leisure use has not only been felt on the ‘traditional’ High Street, but also </w:t>
      </w:r>
      <w:r w:rsidR="00FA3DDA">
        <w:rPr>
          <w:sz w:val="22"/>
          <w:szCs w:val="22"/>
        </w:rPr>
        <w:t xml:space="preserve">in </w:t>
      </w:r>
      <w:r>
        <w:rPr>
          <w:sz w:val="22"/>
          <w:szCs w:val="22"/>
        </w:rPr>
        <w:t>out</w:t>
      </w:r>
      <w:r w:rsidR="00FA3DDA">
        <w:rPr>
          <w:sz w:val="22"/>
          <w:szCs w:val="22"/>
        </w:rPr>
        <w:t>-</w:t>
      </w:r>
      <w:r>
        <w:rPr>
          <w:sz w:val="22"/>
          <w:szCs w:val="22"/>
        </w:rPr>
        <w:t>of</w:t>
      </w:r>
      <w:r w:rsidR="00FA3DDA">
        <w:rPr>
          <w:sz w:val="22"/>
          <w:szCs w:val="22"/>
        </w:rPr>
        <w:t>-</w:t>
      </w:r>
      <w:r>
        <w:rPr>
          <w:sz w:val="22"/>
          <w:szCs w:val="22"/>
        </w:rPr>
        <w:t xml:space="preserve">town shopping </w:t>
      </w:r>
      <w:r w:rsidR="00FA3DDA">
        <w:rPr>
          <w:sz w:val="22"/>
          <w:szCs w:val="22"/>
        </w:rPr>
        <w:t xml:space="preserve">destinations </w:t>
      </w:r>
      <w:r>
        <w:rPr>
          <w:sz w:val="22"/>
          <w:szCs w:val="22"/>
        </w:rPr>
        <w:t xml:space="preserve">and </w:t>
      </w:r>
      <w:r w:rsidR="00FA3DDA">
        <w:rPr>
          <w:sz w:val="22"/>
          <w:szCs w:val="22"/>
        </w:rPr>
        <w:t xml:space="preserve">parades and local centres </w:t>
      </w:r>
      <w:r>
        <w:rPr>
          <w:sz w:val="22"/>
          <w:szCs w:val="22"/>
        </w:rPr>
        <w:t xml:space="preserve">serving very local </w:t>
      </w:r>
      <w:r w:rsidR="00FA3DDA">
        <w:rPr>
          <w:sz w:val="22"/>
          <w:szCs w:val="22"/>
        </w:rPr>
        <w:t xml:space="preserve">neighbourhood </w:t>
      </w:r>
      <w:r>
        <w:rPr>
          <w:sz w:val="22"/>
          <w:szCs w:val="22"/>
        </w:rPr>
        <w:t>needs.  Convenience retail</w:t>
      </w:r>
      <w:r w:rsidR="00FA3DDA">
        <w:rPr>
          <w:sz w:val="22"/>
          <w:szCs w:val="22"/>
        </w:rPr>
        <w:t>ing</w:t>
      </w:r>
      <w:r>
        <w:rPr>
          <w:sz w:val="22"/>
          <w:szCs w:val="22"/>
        </w:rPr>
        <w:t xml:space="preserve"> has also seen the rapid growth of discount</w:t>
      </w:r>
      <w:r w:rsidR="00CC0E20">
        <w:rPr>
          <w:sz w:val="22"/>
          <w:szCs w:val="22"/>
        </w:rPr>
        <w:t xml:space="preserve"> supermarkets and further diversification </w:t>
      </w:r>
      <w:r w:rsidR="00C66402">
        <w:rPr>
          <w:sz w:val="22"/>
          <w:szCs w:val="22"/>
        </w:rPr>
        <w:t xml:space="preserve">and competition </w:t>
      </w:r>
      <w:r w:rsidR="00CC0E20">
        <w:rPr>
          <w:sz w:val="22"/>
          <w:szCs w:val="22"/>
        </w:rPr>
        <w:t xml:space="preserve">within the sector.  </w:t>
      </w:r>
    </w:p>
    <w:p w14:paraId="17127AD3" w14:textId="77777777" w:rsidR="00831839" w:rsidRPr="00831839" w:rsidRDefault="00831839" w:rsidP="00664215">
      <w:pPr>
        <w:pStyle w:val="Default"/>
        <w:ind w:left="284"/>
        <w:rPr>
          <w:sz w:val="22"/>
          <w:szCs w:val="22"/>
        </w:rPr>
      </w:pPr>
    </w:p>
    <w:p w14:paraId="47D83772" w14:textId="4E53396A" w:rsidR="00275D64" w:rsidRDefault="00F5504A" w:rsidP="00275D64">
      <w:pPr>
        <w:pStyle w:val="Default"/>
        <w:numPr>
          <w:ilvl w:val="0"/>
          <w:numId w:val="10"/>
        </w:numPr>
        <w:ind w:left="709" w:hanging="425"/>
        <w:rPr>
          <w:sz w:val="22"/>
          <w:szCs w:val="22"/>
        </w:rPr>
      </w:pPr>
      <w:r>
        <w:rPr>
          <w:sz w:val="22"/>
          <w:szCs w:val="22"/>
        </w:rPr>
        <w:t xml:space="preserve">The regeneration of Swindon Town Centre is a key strategic corporate priority and it is critical that </w:t>
      </w:r>
      <w:r w:rsidR="003100C6">
        <w:rPr>
          <w:sz w:val="22"/>
          <w:szCs w:val="22"/>
        </w:rPr>
        <w:t xml:space="preserve">the New Local Plan, through its </w:t>
      </w:r>
      <w:r>
        <w:rPr>
          <w:sz w:val="22"/>
          <w:szCs w:val="22"/>
        </w:rPr>
        <w:t xml:space="preserve">planning policies and spatial strategy </w:t>
      </w:r>
      <w:r w:rsidR="0026622F">
        <w:rPr>
          <w:sz w:val="22"/>
          <w:szCs w:val="22"/>
        </w:rPr>
        <w:t>promotes the long-</w:t>
      </w:r>
      <w:r w:rsidR="00D10ACB">
        <w:rPr>
          <w:sz w:val="22"/>
          <w:szCs w:val="22"/>
        </w:rPr>
        <w:t xml:space="preserve">term </w:t>
      </w:r>
      <w:r>
        <w:rPr>
          <w:sz w:val="22"/>
          <w:szCs w:val="22"/>
        </w:rPr>
        <w:t>vitality and viability of centres within Swindon’s town centre network.</w:t>
      </w:r>
    </w:p>
    <w:p w14:paraId="69CE7517" w14:textId="77777777" w:rsidR="00275D64" w:rsidRPr="00275D64" w:rsidRDefault="00275D64" w:rsidP="00275D64">
      <w:pPr>
        <w:pStyle w:val="Default"/>
        <w:rPr>
          <w:sz w:val="22"/>
          <w:szCs w:val="22"/>
        </w:rPr>
      </w:pPr>
    </w:p>
    <w:p w14:paraId="70820A76" w14:textId="68F98248" w:rsidR="00275D64" w:rsidRDefault="00275D64" w:rsidP="0093341A">
      <w:pPr>
        <w:pStyle w:val="Default"/>
        <w:numPr>
          <w:ilvl w:val="0"/>
          <w:numId w:val="10"/>
        </w:numPr>
        <w:ind w:left="709" w:hanging="425"/>
        <w:rPr>
          <w:sz w:val="22"/>
          <w:szCs w:val="22"/>
        </w:rPr>
      </w:pPr>
      <w:r>
        <w:rPr>
          <w:sz w:val="22"/>
          <w:szCs w:val="22"/>
        </w:rPr>
        <w:t xml:space="preserve">Swindon also has a valuable role to play in serving much wider retail warehousing and distribution needs as part of changing retail models and these considerations also forms part of the overall study – with a particular focus within Lot 1. </w:t>
      </w:r>
    </w:p>
    <w:p w14:paraId="75AF2ECE" w14:textId="1124F53D" w:rsidR="003100C6" w:rsidRPr="00275D64" w:rsidRDefault="003100C6" w:rsidP="00275D64">
      <w:pPr>
        <w:pStyle w:val="Default"/>
        <w:rPr>
          <w:highlight w:val="yellow"/>
        </w:rPr>
      </w:pPr>
    </w:p>
    <w:p w14:paraId="3E44EFC5" w14:textId="0D33F894" w:rsidR="003100C6" w:rsidRPr="00FE0C42" w:rsidRDefault="003100C6" w:rsidP="003100C6">
      <w:pPr>
        <w:pStyle w:val="Default"/>
        <w:ind w:left="709"/>
        <w:rPr>
          <w:sz w:val="22"/>
          <w:szCs w:val="22"/>
          <w:u w:val="single"/>
        </w:rPr>
      </w:pPr>
      <w:r w:rsidRPr="00FE0C42">
        <w:rPr>
          <w:sz w:val="22"/>
          <w:szCs w:val="22"/>
          <w:u w:val="single"/>
        </w:rPr>
        <w:t>Policy background</w:t>
      </w:r>
    </w:p>
    <w:p w14:paraId="19649658" w14:textId="77777777" w:rsidR="004908E1" w:rsidRPr="00FE0C42" w:rsidRDefault="004908E1" w:rsidP="004908E1">
      <w:pPr>
        <w:pStyle w:val="Default"/>
        <w:rPr>
          <w:sz w:val="22"/>
          <w:szCs w:val="22"/>
        </w:rPr>
      </w:pPr>
    </w:p>
    <w:p w14:paraId="0755FA78" w14:textId="2099D58A" w:rsidR="003100C6" w:rsidRPr="00FE0C42" w:rsidRDefault="003100C6" w:rsidP="0093341A">
      <w:pPr>
        <w:pStyle w:val="Default"/>
        <w:numPr>
          <w:ilvl w:val="0"/>
          <w:numId w:val="10"/>
        </w:numPr>
        <w:ind w:left="709" w:hanging="425"/>
        <w:rPr>
          <w:sz w:val="22"/>
          <w:szCs w:val="22"/>
        </w:rPr>
      </w:pPr>
      <w:r w:rsidRPr="00FE0C42">
        <w:rPr>
          <w:sz w:val="22"/>
          <w:szCs w:val="22"/>
        </w:rPr>
        <w:t>Chapter 7 of the NPPF (Ensuring the vitality of town centres) requires local planning authorities to ‘define a network and hierarchy of town centres and promote their long-term vitality and viability’.  The framework particularly highlights that key to promoting the vitality and viability of centres is through allowing them to ‘grow and diversify’ – particularly in regards to retail, leisure and the inclusion of residential uses.</w:t>
      </w:r>
    </w:p>
    <w:p w14:paraId="75012AD2" w14:textId="77777777" w:rsidR="003100C6" w:rsidRPr="00FE0C42" w:rsidRDefault="003100C6" w:rsidP="003100C6">
      <w:pPr>
        <w:pStyle w:val="Default"/>
        <w:ind w:left="709"/>
        <w:rPr>
          <w:sz w:val="22"/>
          <w:szCs w:val="22"/>
        </w:rPr>
      </w:pPr>
    </w:p>
    <w:p w14:paraId="4D3676B8" w14:textId="2273B503" w:rsidR="00FE0C42" w:rsidRDefault="003100C6" w:rsidP="0083342E">
      <w:pPr>
        <w:pStyle w:val="Default"/>
        <w:numPr>
          <w:ilvl w:val="0"/>
          <w:numId w:val="10"/>
        </w:numPr>
        <w:ind w:left="709" w:hanging="425"/>
        <w:rPr>
          <w:sz w:val="22"/>
          <w:szCs w:val="22"/>
        </w:rPr>
      </w:pPr>
      <w:r w:rsidRPr="00FE0C42">
        <w:rPr>
          <w:sz w:val="22"/>
          <w:szCs w:val="22"/>
        </w:rPr>
        <w:t>The NPPF also requires local planning authorities to define the extent of primary shopping areas, retain and enhance existing markets, and allocate a range of suitable sites in town centres to meet ‘the scale and type of development likely to be needed, looking at least ten years ahead’.</w:t>
      </w:r>
    </w:p>
    <w:p w14:paraId="4BF3E77E" w14:textId="77777777" w:rsidR="0083342E" w:rsidRPr="0083342E" w:rsidRDefault="0083342E" w:rsidP="0083342E">
      <w:pPr>
        <w:pStyle w:val="Default"/>
        <w:rPr>
          <w:sz w:val="22"/>
          <w:szCs w:val="22"/>
        </w:rPr>
      </w:pPr>
    </w:p>
    <w:p w14:paraId="369E4AF0" w14:textId="354D0134" w:rsidR="001B5126" w:rsidRDefault="00FE0C42" w:rsidP="006D77B4">
      <w:pPr>
        <w:pStyle w:val="Default"/>
        <w:numPr>
          <w:ilvl w:val="0"/>
          <w:numId w:val="10"/>
        </w:numPr>
        <w:ind w:left="709" w:hanging="425"/>
        <w:rPr>
          <w:sz w:val="22"/>
          <w:szCs w:val="22"/>
        </w:rPr>
      </w:pPr>
      <w:r w:rsidRPr="00FE0C42">
        <w:rPr>
          <w:sz w:val="22"/>
          <w:szCs w:val="22"/>
        </w:rPr>
        <w:t xml:space="preserve">Chapter 8 of the NPPF (Promoting healthy and safe communities) also sets out the need ‘to achieve healthy, inclusive and safe places’ which, amongst other </w:t>
      </w:r>
      <w:r w:rsidR="000579F9">
        <w:rPr>
          <w:sz w:val="22"/>
          <w:szCs w:val="22"/>
        </w:rPr>
        <w:t xml:space="preserve">positive </w:t>
      </w:r>
      <w:r w:rsidRPr="00FE0C42">
        <w:rPr>
          <w:sz w:val="22"/>
          <w:szCs w:val="22"/>
        </w:rPr>
        <w:t xml:space="preserve">qualities, help to promote social interaction and enable and support healthy lifestyles.  The creation of ‘strong neighbourhood centres’ </w:t>
      </w:r>
      <w:r w:rsidR="001B5126">
        <w:rPr>
          <w:sz w:val="22"/>
          <w:szCs w:val="22"/>
        </w:rPr>
        <w:t xml:space="preserve">and provision of local shops </w:t>
      </w:r>
      <w:r w:rsidR="006D77B4">
        <w:rPr>
          <w:sz w:val="22"/>
          <w:szCs w:val="22"/>
        </w:rPr>
        <w:t>are explicitly highlighted as important to this end (paragraph 92)</w:t>
      </w:r>
      <w:r w:rsidR="001B5126">
        <w:rPr>
          <w:sz w:val="22"/>
          <w:szCs w:val="22"/>
        </w:rPr>
        <w:t xml:space="preserve"> along with ensuring that community faci</w:t>
      </w:r>
      <w:r w:rsidR="0083342E">
        <w:rPr>
          <w:sz w:val="22"/>
          <w:szCs w:val="22"/>
        </w:rPr>
        <w:t>lities</w:t>
      </w:r>
      <w:r w:rsidR="001B5126">
        <w:rPr>
          <w:sz w:val="22"/>
          <w:szCs w:val="22"/>
        </w:rPr>
        <w:t xml:space="preserve"> (such as local shops) are safeguarded and allowed to adapt so that provision can be retained and day-to-day needs are met (paragraph 93).</w:t>
      </w:r>
    </w:p>
    <w:p w14:paraId="03099173" w14:textId="211D8E9E" w:rsidR="003100C6" w:rsidRDefault="003100C6" w:rsidP="003100C6">
      <w:pPr>
        <w:pStyle w:val="Default"/>
        <w:rPr>
          <w:sz w:val="22"/>
          <w:szCs w:val="22"/>
          <w:highlight w:val="yellow"/>
        </w:rPr>
      </w:pPr>
    </w:p>
    <w:p w14:paraId="05F512D4" w14:textId="5A751EA6" w:rsidR="003100C6" w:rsidRPr="00964E55" w:rsidRDefault="003100C6" w:rsidP="003100C6">
      <w:pPr>
        <w:pStyle w:val="Default"/>
        <w:ind w:left="709"/>
        <w:rPr>
          <w:sz w:val="22"/>
          <w:szCs w:val="22"/>
          <w:u w:val="single"/>
        </w:rPr>
      </w:pPr>
      <w:r w:rsidRPr="00964E55">
        <w:rPr>
          <w:sz w:val="22"/>
          <w:szCs w:val="22"/>
          <w:u w:val="single"/>
        </w:rPr>
        <w:t>Previous evidence documents</w:t>
      </w:r>
    </w:p>
    <w:p w14:paraId="62136442" w14:textId="77777777" w:rsidR="00C87713" w:rsidRPr="00C87713" w:rsidRDefault="00C87713" w:rsidP="00C87713">
      <w:pPr>
        <w:pStyle w:val="Default"/>
        <w:rPr>
          <w:sz w:val="22"/>
          <w:szCs w:val="22"/>
        </w:rPr>
      </w:pPr>
    </w:p>
    <w:p w14:paraId="60057469" w14:textId="0AFFF550" w:rsidR="00CC0E20" w:rsidRDefault="00CC0E20" w:rsidP="0093341A">
      <w:pPr>
        <w:pStyle w:val="Default"/>
        <w:numPr>
          <w:ilvl w:val="0"/>
          <w:numId w:val="10"/>
        </w:numPr>
        <w:ind w:left="709" w:hanging="425"/>
        <w:rPr>
          <w:sz w:val="22"/>
          <w:szCs w:val="22"/>
        </w:rPr>
      </w:pPr>
      <w:r>
        <w:rPr>
          <w:sz w:val="22"/>
          <w:szCs w:val="22"/>
        </w:rPr>
        <w:lastRenderedPageBreak/>
        <w:t xml:space="preserve">The Council is looking to </w:t>
      </w:r>
      <w:r w:rsidR="00140AEE">
        <w:rPr>
          <w:sz w:val="22"/>
          <w:szCs w:val="22"/>
        </w:rPr>
        <w:t xml:space="preserve">generally </w:t>
      </w:r>
      <w:r>
        <w:rPr>
          <w:sz w:val="22"/>
          <w:szCs w:val="22"/>
        </w:rPr>
        <w:t xml:space="preserve">update the retail and leisure needs study – last </w:t>
      </w:r>
      <w:r w:rsidR="00C13CDB">
        <w:rPr>
          <w:sz w:val="22"/>
          <w:szCs w:val="22"/>
        </w:rPr>
        <w:t xml:space="preserve">produced by </w:t>
      </w:r>
      <w:proofErr w:type="spellStart"/>
      <w:r w:rsidR="00C13CDB">
        <w:rPr>
          <w:sz w:val="22"/>
          <w:szCs w:val="22"/>
        </w:rPr>
        <w:t>Lichfields</w:t>
      </w:r>
      <w:proofErr w:type="spellEnd"/>
      <w:r>
        <w:rPr>
          <w:sz w:val="22"/>
          <w:szCs w:val="22"/>
        </w:rPr>
        <w:t xml:space="preserve"> in 2017 </w:t>
      </w:r>
      <w:r w:rsidR="00140AEE">
        <w:rPr>
          <w:sz w:val="22"/>
          <w:szCs w:val="22"/>
        </w:rPr>
        <w:t>but to also include:</w:t>
      </w:r>
    </w:p>
    <w:p w14:paraId="3DD28FB5" w14:textId="77777777" w:rsidR="00140AEE" w:rsidRPr="00140AEE" w:rsidRDefault="00140AEE" w:rsidP="00140AEE">
      <w:pPr>
        <w:pStyle w:val="Default"/>
        <w:rPr>
          <w:sz w:val="22"/>
          <w:szCs w:val="22"/>
        </w:rPr>
      </w:pPr>
    </w:p>
    <w:p w14:paraId="1B3F21EE" w14:textId="1B5795D9" w:rsidR="00CC0E20" w:rsidRDefault="00CC0E20" w:rsidP="0093341A">
      <w:pPr>
        <w:pStyle w:val="Default"/>
        <w:numPr>
          <w:ilvl w:val="0"/>
          <w:numId w:val="22"/>
        </w:numPr>
        <w:ind w:left="1276" w:hanging="283"/>
        <w:rPr>
          <w:sz w:val="22"/>
          <w:szCs w:val="22"/>
        </w:rPr>
      </w:pPr>
      <w:r>
        <w:rPr>
          <w:sz w:val="22"/>
          <w:szCs w:val="22"/>
        </w:rPr>
        <w:t>an expansion and deeper dive on the hierarchy of centres – particularly local centres serving smaller catchments</w:t>
      </w:r>
      <w:r w:rsidR="00C13CDB">
        <w:rPr>
          <w:sz w:val="22"/>
          <w:szCs w:val="22"/>
        </w:rPr>
        <w:t xml:space="preserve">; </w:t>
      </w:r>
    </w:p>
    <w:p w14:paraId="0CEF9B2E" w14:textId="61A851F3" w:rsidR="00CC0E20" w:rsidRDefault="00140AEE" w:rsidP="0093341A">
      <w:pPr>
        <w:pStyle w:val="Default"/>
        <w:numPr>
          <w:ilvl w:val="0"/>
          <w:numId w:val="22"/>
        </w:numPr>
        <w:ind w:left="1276" w:hanging="283"/>
        <w:rPr>
          <w:sz w:val="22"/>
          <w:szCs w:val="22"/>
        </w:rPr>
      </w:pPr>
      <w:r>
        <w:rPr>
          <w:sz w:val="22"/>
          <w:szCs w:val="22"/>
        </w:rPr>
        <w:t>a</w:t>
      </w:r>
      <w:r w:rsidR="00D6010A">
        <w:rPr>
          <w:sz w:val="22"/>
          <w:szCs w:val="22"/>
        </w:rPr>
        <w:t>n updated</w:t>
      </w:r>
      <w:r>
        <w:rPr>
          <w:sz w:val="22"/>
          <w:szCs w:val="22"/>
        </w:rPr>
        <w:t xml:space="preserve"> </w:t>
      </w:r>
      <w:proofErr w:type="spellStart"/>
      <w:r>
        <w:rPr>
          <w:sz w:val="22"/>
          <w:szCs w:val="22"/>
        </w:rPr>
        <w:t>healthcheck</w:t>
      </w:r>
      <w:proofErr w:type="spellEnd"/>
      <w:r>
        <w:rPr>
          <w:sz w:val="22"/>
          <w:szCs w:val="22"/>
        </w:rPr>
        <w:t xml:space="preserve"> analysis of the defined centres</w:t>
      </w:r>
      <w:r w:rsidR="00C13CDB">
        <w:rPr>
          <w:sz w:val="22"/>
          <w:szCs w:val="22"/>
        </w:rPr>
        <w:t>, and</w:t>
      </w:r>
      <w:r>
        <w:rPr>
          <w:sz w:val="22"/>
          <w:szCs w:val="22"/>
        </w:rPr>
        <w:t>.</w:t>
      </w:r>
    </w:p>
    <w:p w14:paraId="34DD2A8A" w14:textId="69B8A29E" w:rsidR="00831839" w:rsidRDefault="00C13CDB" w:rsidP="0093341A">
      <w:pPr>
        <w:pStyle w:val="Default"/>
        <w:numPr>
          <w:ilvl w:val="0"/>
          <w:numId w:val="22"/>
        </w:numPr>
        <w:ind w:left="1276" w:hanging="283"/>
        <w:rPr>
          <w:sz w:val="22"/>
          <w:szCs w:val="22"/>
        </w:rPr>
      </w:pPr>
      <w:r>
        <w:rPr>
          <w:sz w:val="22"/>
          <w:szCs w:val="22"/>
        </w:rPr>
        <w:t>a</w:t>
      </w:r>
      <w:r w:rsidR="00831839">
        <w:rPr>
          <w:sz w:val="22"/>
          <w:szCs w:val="22"/>
        </w:rPr>
        <w:t xml:space="preserve"> </w:t>
      </w:r>
      <w:r w:rsidR="002C074E">
        <w:rPr>
          <w:sz w:val="22"/>
          <w:szCs w:val="22"/>
        </w:rPr>
        <w:t xml:space="preserve">far more detailed review of the </w:t>
      </w:r>
      <w:r w:rsidR="00831839">
        <w:rPr>
          <w:sz w:val="22"/>
          <w:szCs w:val="22"/>
        </w:rPr>
        <w:t xml:space="preserve">role, function and regeneration opportunities within Swindon Town – particularly in relation to core retail areas, other employment and residential use options and a stronger design led focus for Swindon Town Centre in particular. </w:t>
      </w:r>
    </w:p>
    <w:p w14:paraId="260E367D" w14:textId="0A4D2158" w:rsidR="00C13CDB" w:rsidRDefault="00C13CDB" w:rsidP="00C13CDB">
      <w:pPr>
        <w:pStyle w:val="Default"/>
        <w:rPr>
          <w:sz w:val="22"/>
          <w:szCs w:val="22"/>
        </w:rPr>
      </w:pPr>
    </w:p>
    <w:p w14:paraId="57E57C69" w14:textId="5D1D7A7E" w:rsidR="00C13CDB" w:rsidRDefault="00C13CDB" w:rsidP="00B636FA">
      <w:pPr>
        <w:pStyle w:val="Default"/>
        <w:ind w:left="709"/>
        <w:rPr>
          <w:sz w:val="22"/>
          <w:szCs w:val="22"/>
        </w:rPr>
      </w:pPr>
      <w:r>
        <w:rPr>
          <w:sz w:val="22"/>
          <w:szCs w:val="22"/>
        </w:rPr>
        <w:t xml:space="preserve">If tendering </w:t>
      </w:r>
      <w:r w:rsidR="002C074E">
        <w:rPr>
          <w:sz w:val="22"/>
          <w:szCs w:val="22"/>
        </w:rPr>
        <w:t xml:space="preserve">only </w:t>
      </w:r>
      <w:r>
        <w:rPr>
          <w:sz w:val="22"/>
          <w:szCs w:val="22"/>
        </w:rPr>
        <w:t>f</w:t>
      </w:r>
      <w:r w:rsidR="006D15D0">
        <w:rPr>
          <w:sz w:val="22"/>
          <w:szCs w:val="22"/>
        </w:rPr>
        <w:t xml:space="preserve">or Lot </w:t>
      </w:r>
      <w:r w:rsidR="00645448">
        <w:rPr>
          <w:sz w:val="22"/>
          <w:szCs w:val="22"/>
        </w:rPr>
        <w:t>B</w:t>
      </w:r>
      <w:r w:rsidR="006D15D0">
        <w:rPr>
          <w:sz w:val="22"/>
          <w:szCs w:val="22"/>
        </w:rPr>
        <w:t xml:space="preserve"> there will need to be a close working relationship with </w:t>
      </w:r>
      <w:r w:rsidR="00B636FA">
        <w:rPr>
          <w:sz w:val="22"/>
          <w:szCs w:val="22"/>
        </w:rPr>
        <w:t>consultants underta</w:t>
      </w:r>
      <w:r w:rsidR="00023797">
        <w:rPr>
          <w:sz w:val="22"/>
          <w:szCs w:val="22"/>
        </w:rPr>
        <w:t>king</w:t>
      </w:r>
      <w:r w:rsidR="00B636FA">
        <w:rPr>
          <w:sz w:val="22"/>
          <w:szCs w:val="22"/>
        </w:rPr>
        <w:t xml:space="preserve"> the employment needs and land supply study. </w:t>
      </w:r>
    </w:p>
    <w:p w14:paraId="6F8074E6" w14:textId="2E118C53" w:rsidR="00220CFA" w:rsidRDefault="00220CFA" w:rsidP="00B636FA">
      <w:pPr>
        <w:pStyle w:val="Default"/>
        <w:ind w:left="709"/>
        <w:rPr>
          <w:sz w:val="22"/>
          <w:szCs w:val="22"/>
        </w:rPr>
      </w:pPr>
    </w:p>
    <w:p w14:paraId="72410DDD" w14:textId="2ABD2B23" w:rsidR="00220CFA" w:rsidRPr="00220CFA" w:rsidRDefault="00220CFA" w:rsidP="00B636FA">
      <w:pPr>
        <w:pStyle w:val="Default"/>
        <w:ind w:left="709"/>
        <w:rPr>
          <w:sz w:val="22"/>
          <w:szCs w:val="22"/>
          <w:u w:val="single"/>
        </w:rPr>
      </w:pPr>
      <w:r w:rsidRPr="00220CFA">
        <w:rPr>
          <w:sz w:val="22"/>
          <w:szCs w:val="22"/>
          <w:u w:val="single"/>
        </w:rPr>
        <w:t>Strategic Overview</w:t>
      </w:r>
    </w:p>
    <w:p w14:paraId="362C9EE7" w14:textId="68D8DECE" w:rsidR="00220CFA" w:rsidRDefault="00220CFA" w:rsidP="00B636FA">
      <w:pPr>
        <w:pStyle w:val="Default"/>
        <w:ind w:left="709"/>
        <w:rPr>
          <w:sz w:val="22"/>
          <w:szCs w:val="22"/>
        </w:rPr>
      </w:pPr>
    </w:p>
    <w:p w14:paraId="797D1CF8" w14:textId="015C7BBD" w:rsidR="00A329E5" w:rsidRDefault="00220CFA" w:rsidP="0093341A">
      <w:pPr>
        <w:pStyle w:val="Default"/>
        <w:numPr>
          <w:ilvl w:val="0"/>
          <w:numId w:val="10"/>
        </w:numPr>
        <w:ind w:left="709" w:hanging="425"/>
        <w:rPr>
          <w:sz w:val="22"/>
          <w:szCs w:val="22"/>
        </w:rPr>
      </w:pPr>
      <w:r>
        <w:rPr>
          <w:sz w:val="22"/>
          <w:szCs w:val="22"/>
        </w:rPr>
        <w:t xml:space="preserve">The first element of the commission is an update on the </w:t>
      </w:r>
      <w:r w:rsidR="00A329E5">
        <w:rPr>
          <w:sz w:val="22"/>
          <w:szCs w:val="22"/>
        </w:rPr>
        <w:t xml:space="preserve">background / strategic </w:t>
      </w:r>
      <w:r>
        <w:rPr>
          <w:sz w:val="22"/>
          <w:szCs w:val="22"/>
        </w:rPr>
        <w:t>context to retail, commercial le</w:t>
      </w:r>
      <w:r w:rsidR="00A329E5">
        <w:rPr>
          <w:sz w:val="22"/>
          <w:szCs w:val="22"/>
        </w:rPr>
        <w:t>isure and town centre uses, including the types of trends noted above</w:t>
      </w:r>
      <w:r w:rsidR="00EE674D">
        <w:rPr>
          <w:sz w:val="22"/>
          <w:szCs w:val="22"/>
        </w:rPr>
        <w:t xml:space="preserve"> in the Introduction</w:t>
      </w:r>
      <w:r w:rsidR="00A329E5">
        <w:rPr>
          <w:sz w:val="22"/>
          <w:szCs w:val="22"/>
        </w:rPr>
        <w:t xml:space="preserve">.  This background analysis can be fairly high level but will be important in framing the study.  </w:t>
      </w:r>
      <w:r>
        <w:rPr>
          <w:sz w:val="22"/>
          <w:szCs w:val="22"/>
        </w:rPr>
        <w:t xml:space="preserve"> </w:t>
      </w:r>
      <w:r w:rsidR="00081867">
        <w:rPr>
          <w:sz w:val="22"/>
          <w:szCs w:val="22"/>
        </w:rPr>
        <w:t xml:space="preserve">The scope of the study will include retail need (convenience and comparison) plus other town centre issues, including commercial leisure uses, restaurants, bars and takeaways. </w:t>
      </w:r>
    </w:p>
    <w:p w14:paraId="12435834" w14:textId="3C9B7205" w:rsidR="00A329E5" w:rsidRDefault="00A329E5" w:rsidP="00A329E5">
      <w:pPr>
        <w:pStyle w:val="Default"/>
        <w:rPr>
          <w:sz w:val="22"/>
          <w:szCs w:val="22"/>
        </w:rPr>
      </w:pPr>
    </w:p>
    <w:p w14:paraId="04DE380D" w14:textId="7D814304" w:rsidR="006A5CC7" w:rsidRDefault="00A329E5" w:rsidP="00A50B77">
      <w:pPr>
        <w:pStyle w:val="Default"/>
        <w:numPr>
          <w:ilvl w:val="0"/>
          <w:numId w:val="10"/>
        </w:numPr>
        <w:ind w:left="709" w:hanging="425"/>
        <w:rPr>
          <w:sz w:val="22"/>
          <w:szCs w:val="22"/>
        </w:rPr>
      </w:pPr>
      <w:r>
        <w:rPr>
          <w:sz w:val="22"/>
          <w:szCs w:val="22"/>
        </w:rPr>
        <w:t xml:space="preserve">In this section of the study it will also be important to </w:t>
      </w:r>
      <w:r w:rsidR="006A5CC7">
        <w:rPr>
          <w:sz w:val="22"/>
          <w:szCs w:val="22"/>
        </w:rPr>
        <w:t xml:space="preserve">include a focus upon the value </w:t>
      </w:r>
      <w:r w:rsidR="00A4530A">
        <w:rPr>
          <w:sz w:val="22"/>
          <w:szCs w:val="22"/>
        </w:rPr>
        <w:t xml:space="preserve">of </w:t>
      </w:r>
      <w:r>
        <w:rPr>
          <w:sz w:val="22"/>
          <w:szCs w:val="22"/>
        </w:rPr>
        <w:t>High Streets and retail environments</w:t>
      </w:r>
      <w:r w:rsidR="006A5CC7">
        <w:rPr>
          <w:sz w:val="22"/>
          <w:szCs w:val="22"/>
        </w:rPr>
        <w:t xml:space="preserve">, including their social value and the role flexible adaptive </w:t>
      </w:r>
      <w:r w:rsidR="00A4530A">
        <w:rPr>
          <w:sz w:val="22"/>
          <w:szCs w:val="22"/>
        </w:rPr>
        <w:t xml:space="preserve">high street </w:t>
      </w:r>
      <w:r w:rsidR="006A5CC7">
        <w:rPr>
          <w:sz w:val="22"/>
          <w:szCs w:val="22"/>
        </w:rPr>
        <w:t xml:space="preserve">strategies can play in supporting and retaining vibrant trading environments. </w:t>
      </w:r>
      <w:r w:rsidR="00EE674D">
        <w:rPr>
          <w:sz w:val="22"/>
          <w:szCs w:val="22"/>
        </w:rPr>
        <w:t xml:space="preserve"> The review will also need to draw out the specific policy requirements concerning town centre uses as set out in the NPPF and practical changes to the Use Classes Order and resultant implications.  </w:t>
      </w:r>
    </w:p>
    <w:p w14:paraId="3CAC883F" w14:textId="77777777" w:rsidR="006A5CC7" w:rsidRPr="006A5CC7" w:rsidRDefault="006A5CC7" w:rsidP="006A5CC7">
      <w:pPr>
        <w:pStyle w:val="Default"/>
        <w:rPr>
          <w:sz w:val="22"/>
          <w:szCs w:val="22"/>
        </w:rPr>
      </w:pPr>
    </w:p>
    <w:p w14:paraId="57439CEA" w14:textId="673739ED" w:rsidR="00807D17" w:rsidRDefault="006A5CC7" w:rsidP="0093341A">
      <w:pPr>
        <w:pStyle w:val="Default"/>
        <w:numPr>
          <w:ilvl w:val="0"/>
          <w:numId w:val="10"/>
        </w:numPr>
        <w:tabs>
          <w:tab w:val="left" w:pos="284"/>
        </w:tabs>
        <w:ind w:left="709" w:hanging="425"/>
        <w:rPr>
          <w:sz w:val="22"/>
          <w:szCs w:val="22"/>
        </w:rPr>
      </w:pPr>
      <w:r>
        <w:rPr>
          <w:sz w:val="22"/>
          <w:szCs w:val="22"/>
        </w:rPr>
        <w:t xml:space="preserve">There will also need to be a read across of the Council’s approach to urban regeneration and key strategic physical projects.  </w:t>
      </w:r>
      <w:r w:rsidR="009E6F7A">
        <w:rPr>
          <w:sz w:val="22"/>
          <w:szCs w:val="22"/>
        </w:rPr>
        <w:t xml:space="preserve">This includes the town centre, outer urban areas and strategic growth areas such as Wichelstowe and New Eastern Villages. </w:t>
      </w:r>
    </w:p>
    <w:p w14:paraId="4658D002" w14:textId="77777777" w:rsidR="009E6F7A" w:rsidRPr="009E6F7A" w:rsidRDefault="009E6F7A" w:rsidP="009E6F7A">
      <w:pPr>
        <w:pStyle w:val="Default"/>
        <w:tabs>
          <w:tab w:val="left" w:pos="142"/>
        </w:tabs>
        <w:rPr>
          <w:sz w:val="22"/>
          <w:szCs w:val="22"/>
        </w:rPr>
      </w:pPr>
    </w:p>
    <w:p w14:paraId="09BA9BC0" w14:textId="7678ADF8" w:rsidR="009E6F7A" w:rsidRDefault="009E6F7A" w:rsidP="0093341A">
      <w:pPr>
        <w:pStyle w:val="Default"/>
        <w:numPr>
          <w:ilvl w:val="0"/>
          <w:numId w:val="10"/>
        </w:numPr>
        <w:tabs>
          <w:tab w:val="left" w:pos="284"/>
        </w:tabs>
        <w:ind w:left="709" w:hanging="425"/>
        <w:rPr>
          <w:sz w:val="22"/>
          <w:szCs w:val="22"/>
        </w:rPr>
      </w:pPr>
      <w:r>
        <w:rPr>
          <w:sz w:val="22"/>
          <w:szCs w:val="22"/>
        </w:rPr>
        <w:t xml:space="preserve">The consultants undertaken this study will need to be mindful of the work undertaken in the Lot </w:t>
      </w:r>
      <w:r w:rsidR="00645448">
        <w:rPr>
          <w:sz w:val="22"/>
          <w:szCs w:val="22"/>
        </w:rPr>
        <w:t>A</w:t>
      </w:r>
      <w:r>
        <w:rPr>
          <w:sz w:val="22"/>
          <w:szCs w:val="22"/>
        </w:rPr>
        <w:t xml:space="preserve"> commission, cross-over issues are likely to include:</w:t>
      </w:r>
    </w:p>
    <w:p w14:paraId="3FEEB0F1" w14:textId="77777777" w:rsidR="009E6F7A" w:rsidRPr="009E6F7A" w:rsidRDefault="009E6F7A" w:rsidP="009E6F7A">
      <w:pPr>
        <w:pStyle w:val="Default"/>
        <w:tabs>
          <w:tab w:val="left" w:pos="142"/>
        </w:tabs>
        <w:rPr>
          <w:sz w:val="22"/>
          <w:szCs w:val="22"/>
        </w:rPr>
      </w:pPr>
    </w:p>
    <w:p w14:paraId="5BC33E64" w14:textId="427FC5AD" w:rsidR="009E6F7A" w:rsidRPr="009E6F7A" w:rsidRDefault="009E6F7A" w:rsidP="0093341A">
      <w:pPr>
        <w:pStyle w:val="Default"/>
        <w:numPr>
          <w:ilvl w:val="0"/>
          <w:numId w:val="14"/>
        </w:numPr>
        <w:rPr>
          <w:sz w:val="22"/>
          <w:szCs w:val="22"/>
        </w:rPr>
      </w:pPr>
      <w:r>
        <w:rPr>
          <w:sz w:val="22"/>
          <w:szCs w:val="22"/>
        </w:rPr>
        <w:t>town centre trends and directions including - office trends and new directions – particularly reflective of post-</w:t>
      </w:r>
      <w:proofErr w:type="spellStart"/>
      <w:r>
        <w:rPr>
          <w:sz w:val="22"/>
          <w:szCs w:val="22"/>
        </w:rPr>
        <w:t>Covid</w:t>
      </w:r>
      <w:proofErr w:type="spellEnd"/>
      <w:r>
        <w:rPr>
          <w:sz w:val="22"/>
          <w:szCs w:val="22"/>
        </w:rPr>
        <w:t xml:space="preserve"> demand implications;</w:t>
      </w:r>
    </w:p>
    <w:p w14:paraId="6C3D7AA9" w14:textId="77777777" w:rsidR="009E6F7A" w:rsidRDefault="009E6F7A" w:rsidP="009E6F7A">
      <w:pPr>
        <w:pStyle w:val="Default"/>
        <w:rPr>
          <w:sz w:val="22"/>
          <w:szCs w:val="22"/>
        </w:rPr>
      </w:pPr>
    </w:p>
    <w:p w14:paraId="0D979AA9" w14:textId="34990346" w:rsidR="009E6F7A" w:rsidRDefault="009E6F7A" w:rsidP="0093341A">
      <w:pPr>
        <w:pStyle w:val="Default"/>
        <w:numPr>
          <w:ilvl w:val="0"/>
          <w:numId w:val="14"/>
        </w:numPr>
        <w:rPr>
          <w:sz w:val="22"/>
          <w:szCs w:val="22"/>
        </w:rPr>
      </w:pPr>
      <w:r>
        <w:rPr>
          <w:sz w:val="22"/>
          <w:szCs w:val="22"/>
        </w:rPr>
        <w:t>the current design-led work outputs for Swindon Town Centre in particular looking at regeneration priority sites and future options for mixed use development;</w:t>
      </w:r>
    </w:p>
    <w:p w14:paraId="0C150337" w14:textId="77777777" w:rsidR="009E6F7A" w:rsidRPr="00CA3A5C" w:rsidRDefault="009E6F7A" w:rsidP="009E6F7A">
      <w:pPr>
        <w:pStyle w:val="Default"/>
        <w:rPr>
          <w:sz w:val="22"/>
          <w:szCs w:val="22"/>
        </w:rPr>
      </w:pPr>
    </w:p>
    <w:p w14:paraId="1D2902D7" w14:textId="12222E3B" w:rsidR="009E6F7A" w:rsidRPr="00CA3A5C" w:rsidRDefault="009E6F7A" w:rsidP="0093341A">
      <w:pPr>
        <w:pStyle w:val="Default"/>
        <w:numPr>
          <w:ilvl w:val="0"/>
          <w:numId w:val="14"/>
        </w:numPr>
        <w:rPr>
          <w:sz w:val="22"/>
          <w:szCs w:val="22"/>
        </w:rPr>
      </w:pPr>
      <w:r>
        <w:rPr>
          <w:sz w:val="22"/>
          <w:szCs w:val="22"/>
        </w:rPr>
        <w:t>an analysis of strategic growth areas, including Wichelstowe and New Eastern Villages – Swindon has a strong growth pipeline – including new centres, and</w:t>
      </w:r>
    </w:p>
    <w:p w14:paraId="495EABE0" w14:textId="77777777" w:rsidR="009E6F7A" w:rsidRDefault="009E6F7A" w:rsidP="009E6F7A">
      <w:pPr>
        <w:pStyle w:val="Default"/>
        <w:ind w:left="1429"/>
        <w:rPr>
          <w:sz w:val="22"/>
          <w:szCs w:val="22"/>
        </w:rPr>
      </w:pPr>
    </w:p>
    <w:p w14:paraId="4FF48BF0" w14:textId="740DECAC" w:rsidR="009E6F7A" w:rsidRDefault="009E6F7A" w:rsidP="0093341A">
      <w:pPr>
        <w:pStyle w:val="Default"/>
        <w:numPr>
          <w:ilvl w:val="0"/>
          <w:numId w:val="14"/>
        </w:numPr>
        <w:rPr>
          <w:sz w:val="22"/>
          <w:szCs w:val="22"/>
        </w:rPr>
      </w:pPr>
      <w:r>
        <w:rPr>
          <w:sz w:val="22"/>
          <w:szCs w:val="22"/>
        </w:rPr>
        <w:t>the possible integration of smaller scale employment uses which are more compatible with urban and town centres.</w:t>
      </w:r>
    </w:p>
    <w:p w14:paraId="05E7F981" w14:textId="78207A74" w:rsidR="0019722E" w:rsidRDefault="0019722E" w:rsidP="002774E6">
      <w:pPr>
        <w:pStyle w:val="Default"/>
        <w:rPr>
          <w:sz w:val="22"/>
          <w:szCs w:val="22"/>
          <w:u w:val="single"/>
        </w:rPr>
      </w:pPr>
    </w:p>
    <w:p w14:paraId="1106AFB3" w14:textId="488F2DBC" w:rsidR="00355F01" w:rsidRDefault="00355F01" w:rsidP="002774E6">
      <w:pPr>
        <w:pStyle w:val="Default"/>
        <w:rPr>
          <w:sz w:val="22"/>
          <w:szCs w:val="22"/>
          <w:u w:val="single"/>
        </w:rPr>
      </w:pPr>
    </w:p>
    <w:p w14:paraId="37DA589E" w14:textId="2804D18C" w:rsidR="00355F01" w:rsidRDefault="00355F01" w:rsidP="002774E6">
      <w:pPr>
        <w:pStyle w:val="Default"/>
        <w:rPr>
          <w:sz w:val="22"/>
          <w:szCs w:val="22"/>
          <w:u w:val="single"/>
        </w:rPr>
      </w:pPr>
    </w:p>
    <w:p w14:paraId="5BE7BF4D" w14:textId="64A2C5D6" w:rsidR="001213D5" w:rsidRDefault="001213D5" w:rsidP="002774E6">
      <w:pPr>
        <w:pStyle w:val="Default"/>
        <w:rPr>
          <w:sz w:val="22"/>
          <w:szCs w:val="22"/>
          <w:u w:val="single"/>
        </w:rPr>
      </w:pPr>
    </w:p>
    <w:p w14:paraId="538C8CEA" w14:textId="5206D59B" w:rsidR="001213D5" w:rsidRDefault="001213D5" w:rsidP="002774E6">
      <w:pPr>
        <w:pStyle w:val="Default"/>
        <w:rPr>
          <w:sz w:val="22"/>
          <w:szCs w:val="22"/>
          <w:u w:val="single"/>
        </w:rPr>
      </w:pPr>
    </w:p>
    <w:p w14:paraId="6B3D8B06" w14:textId="77777777" w:rsidR="001213D5" w:rsidRDefault="001213D5" w:rsidP="002774E6">
      <w:pPr>
        <w:pStyle w:val="Default"/>
        <w:rPr>
          <w:sz w:val="22"/>
          <w:szCs w:val="22"/>
          <w:u w:val="single"/>
        </w:rPr>
      </w:pPr>
    </w:p>
    <w:p w14:paraId="35450DF5" w14:textId="53E2BA5E" w:rsidR="005967CE" w:rsidRDefault="005967CE" w:rsidP="00167503">
      <w:pPr>
        <w:pStyle w:val="Default"/>
        <w:ind w:left="709"/>
        <w:rPr>
          <w:sz w:val="22"/>
          <w:szCs w:val="22"/>
          <w:u w:val="single"/>
        </w:rPr>
      </w:pPr>
      <w:r>
        <w:rPr>
          <w:sz w:val="22"/>
          <w:szCs w:val="22"/>
          <w:u w:val="single"/>
        </w:rPr>
        <w:t xml:space="preserve">Hierarchy </w:t>
      </w:r>
      <w:r w:rsidR="00140AEE">
        <w:rPr>
          <w:sz w:val="22"/>
          <w:szCs w:val="22"/>
          <w:u w:val="single"/>
        </w:rPr>
        <w:t>of Centres</w:t>
      </w:r>
    </w:p>
    <w:p w14:paraId="3FEE504C" w14:textId="77777777" w:rsidR="00A4530A" w:rsidRDefault="00A4530A" w:rsidP="00A4530A">
      <w:pPr>
        <w:pStyle w:val="Default"/>
        <w:rPr>
          <w:sz w:val="22"/>
          <w:szCs w:val="22"/>
        </w:rPr>
      </w:pPr>
    </w:p>
    <w:p w14:paraId="118A8683" w14:textId="1AD0D30E" w:rsidR="00A4530A" w:rsidRPr="00355F01" w:rsidRDefault="00A4530A" w:rsidP="0093341A">
      <w:pPr>
        <w:pStyle w:val="ListParagraph"/>
        <w:numPr>
          <w:ilvl w:val="0"/>
          <w:numId w:val="10"/>
        </w:numPr>
        <w:ind w:left="709" w:hanging="425"/>
        <w:rPr>
          <w:rFonts w:ascii="Arial" w:hAnsi="Arial" w:cs="Arial"/>
          <w:color w:val="000000"/>
        </w:rPr>
      </w:pPr>
      <w:r w:rsidRPr="00355F01">
        <w:rPr>
          <w:rFonts w:ascii="Arial" w:hAnsi="Arial" w:cs="Arial"/>
        </w:rPr>
        <w:t xml:space="preserve">The Swindon Borough is on the axis </w:t>
      </w:r>
      <w:r w:rsidR="00EC2525" w:rsidRPr="00355F01">
        <w:rPr>
          <w:rFonts w:ascii="Arial" w:hAnsi="Arial" w:cs="Arial"/>
        </w:rPr>
        <w:t xml:space="preserve">of various </w:t>
      </w:r>
      <w:r w:rsidRPr="00355F01">
        <w:rPr>
          <w:rFonts w:ascii="Arial" w:hAnsi="Arial" w:cs="Arial"/>
        </w:rPr>
        <w:t xml:space="preserve">South West / South East markets and as a shopping and visitor destination has a wide range of competing </w:t>
      </w:r>
      <w:r w:rsidR="00A1744C" w:rsidRPr="00355F01">
        <w:rPr>
          <w:rFonts w:ascii="Arial" w:hAnsi="Arial" w:cs="Arial"/>
        </w:rPr>
        <w:t>retail / town centres.</w:t>
      </w:r>
      <w:r w:rsidRPr="00355F01">
        <w:rPr>
          <w:rFonts w:ascii="Arial" w:hAnsi="Arial" w:cs="Arial"/>
        </w:rPr>
        <w:t xml:space="preserve">  </w:t>
      </w:r>
      <w:r w:rsidRPr="00355F01">
        <w:rPr>
          <w:rFonts w:ascii="Arial" w:hAnsi="Arial" w:cs="Arial"/>
          <w:color w:val="000000"/>
        </w:rPr>
        <w:t>This part of the commission will need to consider a</w:t>
      </w:r>
      <w:r w:rsidR="00355F01">
        <w:rPr>
          <w:rFonts w:ascii="Arial" w:hAnsi="Arial" w:cs="Arial"/>
          <w:color w:val="000000"/>
        </w:rPr>
        <w:t>n update</w:t>
      </w:r>
      <w:r w:rsidRPr="00355F01">
        <w:rPr>
          <w:rFonts w:ascii="Arial" w:hAnsi="Arial" w:cs="Arial"/>
          <w:color w:val="000000"/>
        </w:rPr>
        <w:t xml:space="preserve"> of the retail destination assessment using an appropriate comparative matrix</w:t>
      </w:r>
      <w:r w:rsidR="00EC2525" w:rsidRPr="00355F01">
        <w:rPr>
          <w:rFonts w:ascii="Arial" w:hAnsi="Arial" w:cs="Arial"/>
          <w:color w:val="000000"/>
        </w:rPr>
        <w:t xml:space="preserve"> and </w:t>
      </w:r>
      <w:r w:rsidR="00A1744C" w:rsidRPr="00355F01">
        <w:rPr>
          <w:rFonts w:ascii="Arial" w:hAnsi="Arial" w:cs="Arial"/>
          <w:color w:val="000000"/>
        </w:rPr>
        <w:t>catchment area</w:t>
      </w:r>
      <w:r w:rsidRPr="00355F01">
        <w:rPr>
          <w:rFonts w:ascii="Arial" w:hAnsi="Arial" w:cs="Arial"/>
          <w:color w:val="000000"/>
        </w:rPr>
        <w:t xml:space="preserve">.  The previous study utilised </w:t>
      </w:r>
      <w:proofErr w:type="spellStart"/>
      <w:r w:rsidRPr="00355F01">
        <w:rPr>
          <w:rFonts w:ascii="Arial" w:hAnsi="Arial" w:cs="Arial"/>
          <w:color w:val="000000"/>
        </w:rPr>
        <w:t>Venuescore</w:t>
      </w:r>
      <w:proofErr w:type="spellEnd"/>
      <w:r w:rsidRPr="00355F01">
        <w:rPr>
          <w:rFonts w:ascii="Arial" w:hAnsi="Arial" w:cs="Arial"/>
          <w:color w:val="000000"/>
        </w:rPr>
        <w:t xml:space="preserve">.   </w:t>
      </w:r>
    </w:p>
    <w:p w14:paraId="7C7362A6" w14:textId="541C24AA" w:rsidR="00D9254B" w:rsidRPr="00355F01" w:rsidRDefault="00EC2525" w:rsidP="0093341A">
      <w:pPr>
        <w:pStyle w:val="Default"/>
        <w:numPr>
          <w:ilvl w:val="0"/>
          <w:numId w:val="10"/>
        </w:numPr>
        <w:ind w:left="709" w:hanging="425"/>
        <w:rPr>
          <w:sz w:val="22"/>
          <w:szCs w:val="22"/>
        </w:rPr>
      </w:pPr>
      <w:r w:rsidRPr="00355F01">
        <w:rPr>
          <w:sz w:val="22"/>
          <w:szCs w:val="22"/>
        </w:rPr>
        <w:t>At a local level, t</w:t>
      </w:r>
      <w:r w:rsidR="00D9254B" w:rsidRPr="00355F01">
        <w:rPr>
          <w:sz w:val="22"/>
          <w:szCs w:val="22"/>
        </w:rPr>
        <w:t xml:space="preserve">he Borough contains Swindon Town Centre, which is supported by district/primary rural centres at Swindon Old Town, Highworth, Wroughton, Gorse Hill, Cavendish Square, West Swindon Shopping Centre and Orbital Retail Park, plus a number of smaller local centres catering for local needs. Outside of the town centre, the Swindon Designer Outlet provides a specialist out-of-centre / edge of centre shopping experience, and Swindon contains a number of retail parks.  The Borough also has a range of new and to be delivered centres associated with strategic growth sites within the currently adopted Local Plan.  </w:t>
      </w:r>
    </w:p>
    <w:p w14:paraId="1AC70265" w14:textId="77777777" w:rsidR="00D9254B" w:rsidRPr="00355F01" w:rsidRDefault="00D9254B" w:rsidP="00D9254B">
      <w:pPr>
        <w:pStyle w:val="Default"/>
        <w:ind w:left="709"/>
        <w:rPr>
          <w:sz w:val="22"/>
          <w:szCs w:val="22"/>
        </w:rPr>
      </w:pPr>
    </w:p>
    <w:p w14:paraId="51F665FB" w14:textId="39E75B78" w:rsidR="00897F16" w:rsidRPr="00A4530A" w:rsidRDefault="00D9254B" w:rsidP="0093341A">
      <w:pPr>
        <w:pStyle w:val="Default"/>
        <w:numPr>
          <w:ilvl w:val="0"/>
          <w:numId w:val="10"/>
        </w:numPr>
        <w:ind w:left="709" w:hanging="425"/>
        <w:rPr>
          <w:sz w:val="22"/>
          <w:szCs w:val="22"/>
        </w:rPr>
      </w:pPr>
      <w:r w:rsidRPr="00355F01">
        <w:rPr>
          <w:sz w:val="22"/>
          <w:szCs w:val="22"/>
        </w:rPr>
        <w:t xml:space="preserve">Table </w:t>
      </w:r>
      <w:r w:rsidR="00355F01">
        <w:rPr>
          <w:sz w:val="22"/>
          <w:szCs w:val="22"/>
        </w:rPr>
        <w:t>4</w:t>
      </w:r>
      <w:r w:rsidRPr="00355F01">
        <w:rPr>
          <w:sz w:val="22"/>
          <w:szCs w:val="22"/>
        </w:rPr>
        <w:t xml:space="preserve"> below sets out the current </w:t>
      </w:r>
      <w:r w:rsidR="00A4530A" w:rsidRPr="00355F01">
        <w:rPr>
          <w:sz w:val="22"/>
          <w:szCs w:val="22"/>
        </w:rPr>
        <w:t>B</w:t>
      </w:r>
      <w:r w:rsidR="00EC2525" w:rsidRPr="00355F01">
        <w:rPr>
          <w:sz w:val="22"/>
          <w:szCs w:val="22"/>
        </w:rPr>
        <w:t>oroug</w:t>
      </w:r>
      <w:r w:rsidR="00A4530A" w:rsidRPr="00355F01">
        <w:rPr>
          <w:sz w:val="22"/>
          <w:szCs w:val="22"/>
        </w:rPr>
        <w:t xml:space="preserve">h </w:t>
      </w:r>
      <w:r w:rsidRPr="00355F01">
        <w:rPr>
          <w:sz w:val="22"/>
          <w:szCs w:val="22"/>
        </w:rPr>
        <w:t>hierarchy of centres</w:t>
      </w:r>
      <w:r w:rsidR="00897F16" w:rsidRPr="00355F01">
        <w:rPr>
          <w:sz w:val="22"/>
          <w:szCs w:val="22"/>
        </w:rPr>
        <w:t xml:space="preserve"> as it stands in terms of established, recently opened and proposed through planning permissions.  It does not include any changes to centres or additional centres which may be identified through the new plan-making process.  </w:t>
      </w:r>
      <w:r w:rsidR="00B667B5" w:rsidRPr="00355F01">
        <w:rPr>
          <w:sz w:val="22"/>
          <w:szCs w:val="22"/>
        </w:rPr>
        <w:t>The successful consultant team will be expected to sense check the centres</w:t>
      </w:r>
      <w:r w:rsidR="00B667B5">
        <w:rPr>
          <w:sz w:val="22"/>
          <w:szCs w:val="22"/>
        </w:rPr>
        <w:t xml:space="preserve"> information and to inform more detailed work on retail and service provision.</w:t>
      </w:r>
    </w:p>
    <w:p w14:paraId="2FFBCDEE" w14:textId="77777777" w:rsidR="00897F16" w:rsidRDefault="00897F16" w:rsidP="00897F16">
      <w:pPr>
        <w:pStyle w:val="Default"/>
        <w:rPr>
          <w:b/>
          <w:sz w:val="22"/>
          <w:szCs w:val="22"/>
        </w:rPr>
      </w:pPr>
    </w:p>
    <w:p w14:paraId="400AF4F2" w14:textId="315178AE" w:rsidR="00D9254B" w:rsidRPr="00D9254B" w:rsidRDefault="00D9254B" w:rsidP="00D9254B">
      <w:pPr>
        <w:pStyle w:val="Default"/>
        <w:ind w:left="709"/>
        <w:rPr>
          <w:b/>
          <w:sz w:val="22"/>
          <w:szCs w:val="22"/>
        </w:rPr>
      </w:pPr>
      <w:r w:rsidRPr="00D9254B">
        <w:rPr>
          <w:b/>
          <w:sz w:val="22"/>
          <w:szCs w:val="22"/>
        </w:rPr>
        <w:t xml:space="preserve">Table </w:t>
      </w:r>
      <w:r w:rsidR="00355F01">
        <w:rPr>
          <w:b/>
          <w:sz w:val="22"/>
          <w:szCs w:val="22"/>
        </w:rPr>
        <w:t>4</w:t>
      </w:r>
      <w:r w:rsidRPr="00D9254B">
        <w:rPr>
          <w:b/>
          <w:sz w:val="22"/>
          <w:szCs w:val="22"/>
        </w:rPr>
        <w:t>: Current and Proposed Centres</w:t>
      </w:r>
    </w:p>
    <w:p w14:paraId="551DE570" w14:textId="77777777" w:rsidR="00D9254B" w:rsidRDefault="00D9254B" w:rsidP="00D9254B">
      <w:pPr>
        <w:pStyle w:val="Default"/>
        <w:rPr>
          <w:sz w:val="22"/>
          <w:szCs w:val="22"/>
        </w:rPr>
      </w:pPr>
    </w:p>
    <w:tbl>
      <w:tblPr>
        <w:tblW w:w="7938" w:type="dxa"/>
        <w:tblInd w:w="699" w:type="dxa"/>
        <w:tblCellMar>
          <w:left w:w="0" w:type="dxa"/>
          <w:right w:w="0" w:type="dxa"/>
        </w:tblCellMar>
        <w:tblLook w:val="04A0" w:firstRow="1" w:lastRow="0" w:firstColumn="1" w:lastColumn="0" w:noHBand="0" w:noVBand="1"/>
      </w:tblPr>
      <w:tblGrid>
        <w:gridCol w:w="2977"/>
        <w:gridCol w:w="4961"/>
      </w:tblGrid>
      <w:tr w:rsidR="00897F16" w:rsidRPr="00EC2525" w14:paraId="2CFF57CF" w14:textId="77777777" w:rsidTr="00897F16">
        <w:tc>
          <w:tcPr>
            <w:tcW w:w="2977"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44904D75" w14:textId="77777777" w:rsidR="00897F16" w:rsidRPr="00EC2525" w:rsidRDefault="00897F16">
            <w:pPr>
              <w:rPr>
                <w:rFonts w:ascii="Arial" w:hAnsi="Arial" w:cs="Arial"/>
                <w:b/>
                <w:bCs/>
              </w:rPr>
            </w:pPr>
            <w:r w:rsidRPr="00EC2525">
              <w:rPr>
                <w:rFonts w:ascii="Arial" w:hAnsi="Arial" w:cs="Arial"/>
                <w:b/>
                <w:bCs/>
              </w:rPr>
              <w:t>Current</w:t>
            </w:r>
          </w:p>
        </w:tc>
        <w:tc>
          <w:tcPr>
            <w:tcW w:w="4961"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14:paraId="6EF85AD1" w14:textId="139B2397" w:rsidR="00897F16" w:rsidRPr="00EC2525" w:rsidRDefault="00355F01">
            <w:pPr>
              <w:rPr>
                <w:rFonts w:ascii="Arial" w:hAnsi="Arial" w:cs="Arial"/>
                <w:b/>
                <w:bCs/>
              </w:rPr>
            </w:pPr>
            <w:r>
              <w:rPr>
                <w:rFonts w:ascii="Arial" w:hAnsi="Arial" w:cs="Arial"/>
                <w:b/>
                <w:bCs/>
              </w:rPr>
              <w:t>New / Updated (Work in Progress)</w:t>
            </w:r>
          </w:p>
        </w:tc>
      </w:tr>
      <w:tr w:rsidR="00897F16" w:rsidRPr="00EC2525" w14:paraId="0A130A21" w14:textId="77777777" w:rsidTr="00897F16">
        <w:tc>
          <w:tcPr>
            <w:tcW w:w="297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AD872C5" w14:textId="77777777" w:rsidR="00897F16" w:rsidRPr="00EC2525" w:rsidRDefault="00897F16">
            <w:pPr>
              <w:rPr>
                <w:rFonts w:ascii="Arial" w:hAnsi="Arial" w:cs="Arial"/>
                <w:b/>
                <w:bCs/>
              </w:rPr>
            </w:pPr>
            <w:r w:rsidRPr="00EC2525">
              <w:rPr>
                <w:rFonts w:ascii="Arial" w:hAnsi="Arial" w:cs="Arial"/>
                <w:b/>
                <w:bCs/>
              </w:rPr>
              <w:t>Swindon Central Area</w:t>
            </w:r>
          </w:p>
        </w:tc>
        <w:tc>
          <w:tcPr>
            <w:tcW w:w="496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3CB7CFDA" w14:textId="77777777" w:rsidR="00897F16" w:rsidRPr="00EC2525" w:rsidRDefault="00897F16">
            <w:pPr>
              <w:rPr>
                <w:rFonts w:ascii="Arial" w:hAnsi="Arial" w:cs="Arial"/>
                <w:b/>
                <w:bCs/>
              </w:rPr>
            </w:pPr>
            <w:r w:rsidRPr="00EC2525">
              <w:rPr>
                <w:rFonts w:ascii="Arial" w:hAnsi="Arial" w:cs="Arial"/>
                <w:b/>
                <w:bCs/>
              </w:rPr>
              <w:t>Swindon Central Area</w:t>
            </w:r>
          </w:p>
        </w:tc>
      </w:tr>
      <w:tr w:rsidR="00897F16" w:rsidRPr="00EC2525" w14:paraId="26129991" w14:textId="77777777" w:rsidTr="00897F16">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85C26" w14:textId="77777777" w:rsidR="00897F16" w:rsidRPr="00EC2525" w:rsidRDefault="00897F16">
            <w:pPr>
              <w:rPr>
                <w:rFonts w:ascii="Arial" w:hAnsi="Arial" w:cs="Arial"/>
              </w:rPr>
            </w:pPr>
            <w:r w:rsidRPr="00EC2525">
              <w:rPr>
                <w:rFonts w:ascii="Arial" w:hAnsi="Arial" w:cs="Arial"/>
              </w:rPr>
              <w:t>Swindon Central Area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F73CE34" w14:textId="77777777" w:rsidR="00897F16" w:rsidRPr="00EC2525" w:rsidRDefault="00897F16">
            <w:pPr>
              <w:rPr>
                <w:rFonts w:ascii="Arial" w:hAnsi="Arial" w:cs="Arial"/>
              </w:rPr>
            </w:pPr>
            <w:r w:rsidRPr="00EC2525">
              <w:rPr>
                <w:rFonts w:ascii="Arial" w:hAnsi="Arial" w:cs="Arial"/>
              </w:rPr>
              <w:t>Swindon Town Centre</w:t>
            </w:r>
          </w:p>
          <w:p w14:paraId="18BAAE22" w14:textId="77777777" w:rsidR="00897F16" w:rsidRPr="00EC2525" w:rsidRDefault="00897F16">
            <w:pPr>
              <w:rPr>
                <w:rFonts w:ascii="Arial" w:hAnsi="Arial" w:cs="Arial"/>
              </w:rPr>
            </w:pPr>
            <w:r w:rsidRPr="00EC2525">
              <w:rPr>
                <w:rFonts w:ascii="Arial" w:hAnsi="Arial" w:cs="Arial"/>
              </w:rPr>
              <w:t>Swindon Designer Outlet</w:t>
            </w:r>
          </w:p>
        </w:tc>
      </w:tr>
      <w:tr w:rsidR="00897F16" w:rsidRPr="00EC2525" w14:paraId="7AE9215E" w14:textId="77777777" w:rsidTr="00897F16">
        <w:tc>
          <w:tcPr>
            <w:tcW w:w="297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29A0E3E" w14:textId="77777777" w:rsidR="00897F16" w:rsidRPr="00EC2525" w:rsidRDefault="00897F16">
            <w:pPr>
              <w:rPr>
                <w:rFonts w:ascii="Arial" w:hAnsi="Arial" w:cs="Arial"/>
                <w:b/>
                <w:bCs/>
              </w:rPr>
            </w:pPr>
            <w:r w:rsidRPr="00EC2525">
              <w:rPr>
                <w:rFonts w:ascii="Arial" w:hAnsi="Arial" w:cs="Arial"/>
                <w:b/>
                <w:bCs/>
              </w:rPr>
              <w:t>District Centres</w:t>
            </w:r>
          </w:p>
        </w:tc>
        <w:tc>
          <w:tcPr>
            <w:tcW w:w="496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B212DB3" w14:textId="77777777" w:rsidR="00897F16" w:rsidRPr="00EC2525" w:rsidRDefault="00897F16">
            <w:pPr>
              <w:rPr>
                <w:rFonts w:ascii="Arial" w:hAnsi="Arial" w:cs="Arial"/>
                <w:b/>
                <w:bCs/>
              </w:rPr>
            </w:pPr>
            <w:r w:rsidRPr="00EC2525">
              <w:rPr>
                <w:rFonts w:ascii="Arial" w:hAnsi="Arial" w:cs="Arial"/>
                <w:b/>
                <w:bCs/>
              </w:rPr>
              <w:t>District Centres</w:t>
            </w:r>
          </w:p>
        </w:tc>
      </w:tr>
      <w:tr w:rsidR="00897F16" w:rsidRPr="00EC2525" w14:paraId="2C927892" w14:textId="77777777" w:rsidTr="00897F16">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21526" w14:textId="4B2E8FCC" w:rsidR="00897F16" w:rsidRPr="00EC2525" w:rsidRDefault="00897F16">
            <w:pPr>
              <w:rPr>
                <w:rFonts w:ascii="Arial" w:hAnsi="Arial" w:cs="Arial"/>
              </w:rPr>
            </w:pPr>
            <w:r w:rsidRPr="00EC2525">
              <w:rPr>
                <w:rFonts w:ascii="Arial" w:hAnsi="Arial" w:cs="Arial"/>
              </w:rPr>
              <w:t>Ca</w:t>
            </w:r>
            <w:r w:rsidR="008E393D">
              <w:rPr>
                <w:rFonts w:ascii="Arial" w:hAnsi="Arial" w:cs="Arial"/>
              </w:rPr>
              <w:t>v</w:t>
            </w:r>
            <w:r w:rsidRPr="00EC2525">
              <w:rPr>
                <w:rFonts w:ascii="Arial" w:hAnsi="Arial" w:cs="Arial"/>
              </w:rPr>
              <w:t>endish Square</w:t>
            </w:r>
          </w:p>
          <w:p w14:paraId="36E23257" w14:textId="77777777" w:rsidR="00897F16" w:rsidRPr="00EC2525" w:rsidRDefault="00897F16">
            <w:pPr>
              <w:rPr>
                <w:rFonts w:ascii="Arial" w:hAnsi="Arial" w:cs="Arial"/>
              </w:rPr>
            </w:pPr>
            <w:r w:rsidRPr="00EC2525">
              <w:rPr>
                <w:rFonts w:ascii="Arial" w:hAnsi="Arial" w:cs="Arial"/>
              </w:rPr>
              <w:t>Gorse Hill</w:t>
            </w:r>
          </w:p>
          <w:p w14:paraId="1EB1FDC9" w14:textId="77777777" w:rsidR="00897F16" w:rsidRPr="00EC2525" w:rsidRDefault="00897F16">
            <w:pPr>
              <w:rPr>
                <w:rFonts w:ascii="Arial" w:hAnsi="Arial" w:cs="Arial"/>
              </w:rPr>
            </w:pPr>
            <w:r w:rsidRPr="00EC2525">
              <w:rPr>
                <w:rFonts w:ascii="Arial" w:hAnsi="Arial" w:cs="Arial"/>
              </w:rPr>
              <w:t>Orbital Retail park</w:t>
            </w:r>
          </w:p>
          <w:p w14:paraId="2D61DB1E" w14:textId="60B25A0E" w:rsidR="00897F16" w:rsidRPr="00EC2525" w:rsidRDefault="00807D17">
            <w:pPr>
              <w:rPr>
                <w:rFonts w:ascii="Arial" w:hAnsi="Arial" w:cs="Arial"/>
              </w:rPr>
            </w:pPr>
            <w:r>
              <w:rPr>
                <w:rFonts w:ascii="Arial" w:hAnsi="Arial" w:cs="Arial"/>
              </w:rPr>
              <w:t xml:space="preserve">Swindon </w:t>
            </w:r>
            <w:r w:rsidR="00897F16" w:rsidRPr="00EC2525">
              <w:rPr>
                <w:rFonts w:ascii="Arial" w:hAnsi="Arial" w:cs="Arial"/>
              </w:rPr>
              <w:t>Old Town</w:t>
            </w:r>
          </w:p>
          <w:p w14:paraId="1E1FD23C" w14:textId="77777777" w:rsidR="00897F16" w:rsidRPr="00EC2525" w:rsidRDefault="00897F16">
            <w:pPr>
              <w:rPr>
                <w:rFonts w:ascii="Arial" w:hAnsi="Arial" w:cs="Arial"/>
                <w:b/>
                <w:bCs/>
              </w:rPr>
            </w:pPr>
            <w:r w:rsidRPr="00EC2525">
              <w:rPr>
                <w:rFonts w:ascii="Arial" w:hAnsi="Arial" w:cs="Arial"/>
              </w:rPr>
              <w:t>West Swindon</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5D11473" w14:textId="544F616C" w:rsidR="00897F16" w:rsidRPr="00EC2525" w:rsidRDefault="00897F16">
            <w:pPr>
              <w:rPr>
                <w:rFonts w:ascii="Arial" w:hAnsi="Arial" w:cs="Arial"/>
              </w:rPr>
            </w:pPr>
            <w:r w:rsidRPr="00EC2525">
              <w:rPr>
                <w:rFonts w:ascii="Arial" w:hAnsi="Arial" w:cs="Arial"/>
              </w:rPr>
              <w:t>Ca</w:t>
            </w:r>
            <w:r w:rsidR="008E393D">
              <w:rPr>
                <w:rFonts w:ascii="Arial" w:hAnsi="Arial" w:cs="Arial"/>
              </w:rPr>
              <w:t>v</w:t>
            </w:r>
            <w:r w:rsidRPr="00EC2525">
              <w:rPr>
                <w:rFonts w:ascii="Arial" w:hAnsi="Arial" w:cs="Arial"/>
              </w:rPr>
              <w:t>endish Square</w:t>
            </w:r>
          </w:p>
          <w:p w14:paraId="010A52A7" w14:textId="77777777" w:rsidR="00897F16" w:rsidRPr="00EC2525" w:rsidRDefault="00897F16">
            <w:pPr>
              <w:rPr>
                <w:rFonts w:ascii="Arial" w:hAnsi="Arial" w:cs="Arial"/>
              </w:rPr>
            </w:pPr>
            <w:r w:rsidRPr="00EC2525">
              <w:rPr>
                <w:rFonts w:ascii="Arial" w:hAnsi="Arial" w:cs="Arial"/>
              </w:rPr>
              <w:t>Gorse Hill</w:t>
            </w:r>
          </w:p>
          <w:p w14:paraId="0411801A" w14:textId="77777777" w:rsidR="00897F16" w:rsidRPr="00EC2525" w:rsidRDefault="00897F16">
            <w:pPr>
              <w:rPr>
                <w:rFonts w:ascii="Arial" w:hAnsi="Arial" w:cs="Arial"/>
              </w:rPr>
            </w:pPr>
            <w:r w:rsidRPr="00EC2525">
              <w:rPr>
                <w:rFonts w:ascii="Arial" w:hAnsi="Arial" w:cs="Arial"/>
              </w:rPr>
              <w:t>Orbital Retail park</w:t>
            </w:r>
          </w:p>
          <w:p w14:paraId="2E6C1819" w14:textId="77777777" w:rsidR="00897F16" w:rsidRPr="00EC2525" w:rsidRDefault="00897F16">
            <w:pPr>
              <w:rPr>
                <w:rFonts w:ascii="Arial" w:hAnsi="Arial" w:cs="Arial"/>
              </w:rPr>
            </w:pPr>
            <w:r w:rsidRPr="00EC2525">
              <w:rPr>
                <w:rFonts w:ascii="Arial" w:hAnsi="Arial" w:cs="Arial"/>
              </w:rPr>
              <w:t>Swindon Old Town</w:t>
            </w:r>
          </w:p>
          <w:p w14:paraId="03E55454" w14:textId="77777777" w:rsidR="00897F16" w:rsidRPr="00EC2525" w:rsidRDefault="00897F16">
            <w:pPr>
              <w:rPr>
                <w:rFonts w:ascii="Arial" w:hAnsi="Arial" w:cs="Arial"/>
              </w:rPr>
            </w:pPr>
            <w:r w:rsidRPr="00EC2525">
              <w:rPr>
                <w:rFonts w:ascii="Arial" w:hAnsi="Arial" w:cs="Arial"/>
              </w:rPr>
              <w:t>West Swindon</w:t>
            </w:r>
          </w:p>
          <w:p w14:paraId="0FE0DB85" w14:textId="2CDA8610" w:rsidR="00897F16" w:rsidRPr="00EC2525" w:rsidRDefault="00897F16">
            <w:pPr>
              <w:rPr>
                <w:rFonts w:ascii="Arial" w:hAnsi="Arial" w:cs="Arial"/>
              </w:rPr>
            </w:pPr>
            <w:r w:rsidRPr="00EC2525">
              <w:rPr>
                <w:rFonts w:ascii="Arial" w:hAnsi="Arial" w:cs="Arial"/>
              </w:rPr>
              <w:t>Great Stall West (Proposed)</w:t>
            </w:r>
          </w:p>
        </w:tc>
      </w:tr>
      <w:tr w:rsidR="00897F16" w:rsidRPr="00EC2525" w14:paraId="5396D9D4" w14:textId="77777777" w:rsidTr="00897F16">
        <w:tc>
          <w:tcPr>
            <w:tcW w:w="297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A283E20" w14:textId="77777777" w:rsidR="00897F16" w:rsidRPr="00EC2525" w:rsidRDefault="00897F16">
            <w:pPr>
              <w:rPr>
                <w:rFonts w:ascii="Arial" w:hAnsi="Arial" w:cs="Arial"/>
                <w:b/>
                <w:bCs/>
              </w:rPr>
            </w:pPr>
            <w:r w:rsidRPr="00EC2525">
              <w:rPr>
                <w:rFonts w:ascii="Arial" w:hAnsi="Arial" w:cs="Arial"/>
                <w:b/>
                <w:bCs/>
              </w:rPr>
              <w:t>Local Centres</w:t>
            </w:r>
          </w:p>
        </w:tc>
        <w:tc>
          <w:tcPr>
            <w:tcW w:w="496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44E4173C" w14:textId="2E3F6FA9" w:rsidR="00897F16" w:rsidRPr="00EC2525" w:rsidRDefault="00897F16">
            <w:pPr>
              <w:rPr>
                <w:rFonts w:ascii="Arial" w:hAnsi="Arial" w:cs="Arial"/>
                <w:b/>
                <w:bCs/>
              </w:rPr>
            </w:pPr>
            <w:r w:rsidRPr="00EC2525">
              <w:rPr>
                <w:rFonts w:ascii="Arial" w:hAnsi="Arial" w:cs="Arial"/>
                <w:b/>
                <w:bCs/>
              </w:rPr>
              <w:t>Local and Neighbourhood Centres</w:t>
            </w:r>
          </w:p>
        </w:tc>
      </w:tr>
      <w:tr w:rsidR="00897F16" w:rsidRPr="00EC2525" w14:paraId="63BAA3F1" w14:textId="77777777" w:rsidTr="00897F16">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59EBC7"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bCs/>
              </w:rPr>
            </w:pPr>
            <w:r w:rsidRPr="00085E54">
              <w:rPr>
                <w:rFonts w:ascii="Arial" w:eastAsia="Times New Roman" w:hAnsi="Arial" w:cs="Arial"/>
                <w:bCs/>
              </w:rPr>
              <w:t>Abbey Meads Village Centre</w:t>
            </w:r>
          </w:p>
          <w:p w14:paraId="1AB6F8DA"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bCs/>
                <w:i/>
                <w:iCs/>
                <w:u w:val="single"/>
              </w:rPr>
            </w:pPr>
            <w:proofErr w:type="spellStart"/>
            <w:r w:rsidRPr="00085E54">
              <w:rPr>
                <w:rFonts w:ascii="Arial" w:eastAsia="Times New Roman" w:hAnsi="Arial" w:cs="Arial"/>
                <w:bCs/>
              </w:rPr>
              <w:t>Beechcroft</w:t>
            </w:r>
            <w:proofErr w:type="spellEnd"/>
            <w:r w:rsidRPr="00085E54">
              <w:rPr>
                <w:rFonts w:ascii="Arial" w:eastAsia="Times New Roman" w:hAnsi="Arial" w:cs="Arial"/>
                <w:bCs/>
              </w:rPr>
              <w:t xml:space="preserve"> Road, Upper Stratton</w:t>
            </w:r>
          </w:p>
          <w:p w14:paraId="78758893" w14:textId="33EA6932" w:rsid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iCs/>
              </w:rPr>
            </w:pPr>
            <w:r w:rsidRPr="00085E54">
              <w:rPr>
                <w:rFonts w:ascii="Arial" w:eastAsia="Times New Roman" w:hAnsi="Arial" w:cs="Arial"/>
                <w:iCs/>
              </w:rPr>
              <w:lastRenderedPageBreak/>
              <w:t xml:space="preserve">Braydon Court, </w:t>
            </w:r>
            <w:proofErr w:type="spellStart"/>
            <w:r w:rsidRPr="00085E54">
              <w:rPr>
                <w:rFonts w:ascii="Arial" w:eastAsia="Times New Roman" w:hAnsi="Arial" w:cs="Arial"/>
                <w:iCs/>
              </w:rPr>
              <w:t>Penhill</w:t>
            </w:r>
            <w:proofErr w:type="spellEnd"/>
          </w:p>
          <w:p w14:paraId="42D279EE" w14:textId="1F9C8657" w:rsid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bCs/>
              </w:rPr>
            </w:pPr>
          </w:p>
          <w:p w14:paraId="52DA7A24" w14:textId="3A0501BD" w:rsidR="00085E54" w:rsidRPr="00085E54" w:rsidRDefault="00085E54" w:rsidP="00AC3962">
            <w:pPr>
              <w:overflowPunct w:val="0"/>
              <w:autoSpaceDE w:val="0"/>
              <w:autoSpaceDN w:val="0"/>
              <w:adjustRightInd w:val="0"/>
              <w:spacing w:before="120" w:after="0" w:line="240" w:lineRule="auto"/>
              <w:textAlignment w:val="baseline"/>
              <w:rPr>
                <w:rFonts w:ascii="Arial" w:eastAsia="Times New Roman" w:hAnsi="Arial" w:cs="Times New Roman"/>
              </w:rPr>
            </w:pPr>
            <w:r w:rsidRPr="00085E54">
              <w:rPr>
                <w:rFonts w:ascii="Arial" w:eastAsia="Times New Roman" w:hAnsi="Arial" w:cs="Times New Roman"/>
              </w:rPr>
              <w:t>Clive Parade, Cricklade Road</w:t>
            </w:r>
          </w:p>
          <w:p w14:paraId="5005773F"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bCs/>
              </w:rPr>
            </w:pPr>
            <w:proofErr w:type="spellStart"/>
            <w:r w:rsidRPr="00085E54">
              <w:rPr>
                <w:rFonts w:ascii="Arial" w:eastAsia="Times New Roman" w:hAnsi="Arial" w:cs="Arial"/>
                <w:bCs/>
              </w:rPr>
              <w:t>Covingham</w:t>
            </w:r>
            <w:proofErr w:type="spellEnd"/>
            <w:r w:rsidRPr="00085E54">
              <w:rPr>
                <w:rFonts w:ascii="Arial" w:eastAsia="Times New Roman" w:hAnsi="Arial" w:cs="Arial"/>
                <w:bCs/>
              </w:rPr>
              <w:t xml:space="preserve"> Square, </w:t>
            </w:r>
            <w:proofErr w:type="spellStart"/>
            <w:r w:rsidRPr="00085E54">
              <w:rPr>
                <w:rFonts w:ascii="Arial" w:eastAsia="Times New Roman" w:hAnsi="Arial" w:cs="Arial"/>
                <w:bCs/>
              </w:rPr>
              <w:t>Covingham</w:t>
            </w:r>
            <w:proofErr w:type="spellEnd"/>
          </w:p>
          <w:p w14:paraId="7CBC91DC"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rPr>
            </w:pPr>
            <w:proofErr w:type="spellStart"/>
            <w:r w:rsidRPr="00085E54">
              <w:rPr>
                <w:rFonts w:ascii="Arial" w:eastAsia="Times New Roman" w:hAnsi="Arial" w:cs="Arial"/>
              </w:rPr>
              <w:t>Eldene</w:t>
            </w:r>
            <w:proofErr w:type="spellEnd"/>
            <w:r w:rsidRPr="00085E54">
              <w:rPr>
                <w:rFonts w:ascii="Arial" w:eastAsia="Times New Roman" w:hAnsi="Arial" w:cs="Arial"/>
              </w:rPr>
              <w:t xml:space="preserve"> Local Centre</w:t>
            </w:r>
          </w:p>
          <w:p w14:paraId="6934AD4A" w14:textId="113FA818" w:rsid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rPr>
            </w:pPr>
            <w:proofErr w:type="spellStart"/>
            <w:r w:rsidRPr="00085E54">
              <w:rPr>
                <w:rFonts w:ascii="Arial" w:eastAsia="Times New Roman" w:hAnsi="Arial" w:cs="Arial"/>
              </w:rPr>
              <w:t>Ermin</w:t>
            </w:r>
            <w:proofErr w:type="spellEnd"/>
            <w:r w:rsidRPr="00085E54">
              <w:rPr>
                <w:rFonts w:ascii="Arial" w:eastAsia="Times New Roman" w:hAnsi="Arial" w:cs="Arial"/>
              </w:rPr>
              <w:t xml:space="preserve"> Street</w:t>
            </w:r>
          </w:p>
          <w:p w14:paraId="6D8193AA"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Times New Roman"/>
              </w:rPr>
            </w:pPr>
            <w:r w:rsidRPr="00085E54">
              <w:rPr>
                <w:rFonts w:ascii="Arial" w:eastAsia="Times New Roman" w:hAnsi="Arial" w:cs="Times New Roman"/>
              </w:rPr>
              <w:t>Ferndale Road</w:t>
            </w:r>
          </w:p>
          <w:p w14:paraId="24E8E034" w14:textId="72AC42F6"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rPr>
            </w:pPr>
            <w:proofErr w:type="spellStart"/>
            <w:r w:rsidRPr="00085E54">
              <w:rPr>
                <w:rFonts w:ascii="Arial" w:eastAsia="Times New Roman" w:hAnsi="Arial" w:cs="Arial"/>
              </w:rPr>
              <w:t>Freshbrook</w:t>
            </w:r>
            <w:proofErr w:type="spellEnd"/>
            <w:r w:rsidRPr="00085E54">
              <w:rPr>
                <w:rFonts w:ascii="Arial" w:eastAsia="Times New Roman" w:hAnsi="Arial" w:cs="Arial"/>
              </w:rPr>
              <w:t xml:space="preserve"> Centre</w:t>
            </w:r>
          </w:p>
          <w:p w14:paraId="14EDE916"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rPr>
            </w:pPr>
            <w:r w:rsidRPr="00085E54">
              <w:rPr>
                <w:rFonts w:ascii="Arial" w:eastAsia="Times New Roman" w:hAnsi="Arial" w:cs="Arial"/>
              </w:rPr>
              <w:t>Gateway, Coate (not yet built)</w:t>
            </w:r>
          </w:p>
          <w:p w14:paraId="06139B55"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rPr>
            </w:pPr>
            <w:r w:rsidRPr="00085E54">
              <w:rPr>
                <w:rFonts w:ascii="Arial" w:eastAsia="Times New Roman" w:hAnsi="Arial" w:cs="Arial"/>
              </w:rPr>
              <w:t>Grange Drive, Lower Stratton</w:t>
            </w:r>
          </w:p>
          <w:p w14:paraId="393AB10B"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rPr>
            </w:pPr>
            <w:r w:rsidRPr="00085E54">
              <w:rPr>
                <w:rFonts w:ascii="Arial" w:eastAsia="Times New Roman" w:hAnsi="Arial" w:cs="Arial"/>
              </w:rPr>
              <w:t>Guildford Avenue, Lawn</w:t>
            </w:r>
          </w:p>
          <w:p w14:paraId="1BA6D06F"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rPr>
            </w:pPr>
            <w:r w:rsidRPr="00085E54">
              <w:rPr>
                <w:rFonts w:ascii="Arial" w:eastAsia="Times New Roman" w:hAnsi="Arial" w:cs="Arial"/>
              </w:rPr>
              <w:t xml:space="preserve">Hannington Close, </w:t>
            </w:r>
            <w:proofErr w:type="spellStart"/>
            <w:r w:rsidRPr="00085E54">
              <w:rPr>
                <w:rFonts w:ascii="Arial" w:eastAsia="Times New Roman" w:hAnsi="Arial" w:cs="Arial"/>
              </w:rPr>
              <w:t>Penhill</w:t>
            </w:r>
            <w:proofErr w:type="spellEnd"/>
          </w:p>
          <w:p w14:paraId="6996F934"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rPr>
            </w:pPr>
            <w:r w:rsidRPr="00085E54">
              <w:rPr>
                <w:rFonts w:ascii="Arial" w:eastAsia="Times New Roman" w:hAnsi="Arial" w:cs="Arial"/>
              </w:rPr>
              <w:t xml:space="preserve">Liden Centre </w:t>
            </w:r>
          </w:p>
          <w:p w14:paraId="5FE339A6"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rPr>
            </w:pPr>
            <w:r w:rsidRPr="00085E54">
              <w:rPr>
                <w:rFonts w:ascii="Arial" w:eastAsia="Times New Roman" w:hAnsi="Arial" w:cs="Arial"/>
              </w:rPr>
              <w:t>Marlowe Avenue, Walcot</w:t>
            </w:r>
          </w:p>
          <w:p w14:paraId="23D4051F" w14:textId="46E15087" w:rsidR="00085E54" w:rsidRDefault="00085E54" w:rsidP="00085E54">
            <w:pPr>
              <w:overflowPunct w:val="0"/>
              <w:autoSpaceDE w:val="0"/>
              <w:autoSpaceDN w:val="0"/>
              <w:adjustRightInd w:val="0"/>
              <w:spacing w:before="120" w:after="0" w:line="240" w:lineRule="auto"/>
              <w:textAlignment w:val="baseline"/>
              <w:rPr>
                <w:rFonts w:ascii="Arial" w:eastAsia="Times New Roman" w:hAnsi="Arial" w:cs="Arial"/>
              </w:rPr>
            </w:pPr>
            <w:r w:rsidRPr="00085E54">
              <w:rPr>
                <w:rFonts w:ascii="Arial" w:eastAsia="Times New Roman" w:hAnsi="Arial" w:cs="Arial"/>
              </w:rPr>
              <w:t>Newburgh Place, Highworth</w:t>
            </w:r>
          </w:p>
          <w:p w14:paraId="2AB85E49" w14:textId="77777777" w:rsidR="00085E54" w:rsidRPr="00085E54" w:rsidRDefault="00085E54" w:rsidP="00085E54">
            <w:pPr>
              <w:keepNext/>
              <w:overflowPunct w:val="0"/>
              <w:autoSpaceDE w:val="0"/>
              <w:autoSpaceDN w:val="0"/>
              <w:adjustRightInd w:val="0"/>
              <w:spacing w:before="120" w:after="0" w:line="240" w:lineRule="auto"/>
              <w:textAlignment w:val="baseline"/>
              <w:outlineLvl w:val="5"/>
              <w:rPr>
                <w:rFonts w:ascii="Arial" w:eastAsia="Times New Roman" w:hAnsi="Arial" w:cs="Times New Roman"/>
                <w:bCs/>
                <w:iCs/>
              </w:rPr>
            </w:pPr>
            <w:proofErr w:type="spellStart"/>
            <w:r w:rsidRPr="00085E54">
              <w:rPr>
                <w:rFonts w:ascii="Arial" w:eastAsia="Times New Roman" w:hAnsi="Arial" w:cs="Times New Roman"/>
                <w:bCs/>
                <w:iCs/>
              </w:rPr>
              <w:t>Nythe</w:t>
            </w:r>
            <w:proofErr w:type="spellEnd"/>
            <w:r w:rsidRPr="00085E54">
              <w:rPr>
                <w:rFonts w:ascii="Arial" w:eastAsia="Times New Roman" w:hAnsi="Arial" w:cs="Times New Roman"/>
                <w:bCs/>
                <w:iCs/>
              </w:rPr>
              <w:t xml:space="preserve"> Road, </w:t>
            </w:r>
            <w:proofErr w:type="spellStart"/>
            <w:r w:rsidRPr="00085E54">
              <w:rPr>
                <w:rFonts w:ascii="Arial" w:eastAsia="Times New Roman" w:hAnsi="Arial" w:cs="Times New Roman"/>
                <w:bCs/>
                <w:iCs/>
              </w:rPr>
              <w:t>Nythe</w:t>
            </w:r>
            <w:proofErr w:type="spellEnd"/>
          </w:p>
          <w:p w14:paraId="7E05E45E"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Times New Roman"/>
              </w:rPr>
            </w:pPr>
            <w:proofErr w:type="spellStart"/>
            <w:r w:rsidRPr="00085E54">
              <w:rPr>
                <w:rFonts w:ascii="Arial" w:eastAsia="Times New Roman" w:hAnsi="Arial" w:cs="Times New Roman"/>
              </w:rPr>
              <w:t>Peatmoor</w:t>
            </w:r>
            <w:proofErr w:type="spellEnd"/>
            <w:r w:rsidRPr="00085E54">
              <w:rPr>
                <w:rFonts w:ascii="Arial" w:eastAsia="Times New Roman" w:hAnsi="Arial" w:cs="Times New Roman"/>
              </w:rPr>
              <w:t xml:space="preserve"> Centre</w:t>
            </w:r>
          </w:p>
          <w:p w14:paraId="4316DFC9" w14:textId="1F0AE083" w:rsidR="00085E54" w:rsidRDefault="00085E54" w:rsidP="00085E54">
            <w:pPr>
              <w:overflowPunct w:val="0"/>
              <w:autoSpaceDE w:val="0"/>
              <w:autoSpaceDN w:val="0"/>
              <w:adjustRightInd w:val="0"/>
              <w:spacing w:before="120" w:after="0" w:line="240" w:lineRule="auto"/>
              <w:textAlignment w:val="baseline"/>
              <w:rPr>
                <w:rFonts w:ascii="Arial" w:eastAsia="Times New Roman" w:hAnsi="Arial" w:cs="Times New Roman"/>
              </w:rPr>
            </w:pPr>
            <w:r w:rsidRPr="00085E54">
              <w:rPr>
                <w:rFonts w:ascii="Arial" w:eastAsia="Times New Roman" w:hAnsi="Arial" w:cs="Times New Roman"/>
              </w:rPr>
              <w:t xml:space="preserve">Purton Road, </w:t>
            </w:r>
            <w:proofErr w:type="spellStart"/>
            <w:r w:rsidRPr="00085E54">
              <w:rPr>
                <w:rFonts w:ascii="Arial" w:eastAsia="Times New Roman" w:hAnsi="Arial" w:cs="Times New Roman"/>
              </w:rPr>
              <w:t>Moredon</w:t>
            </w:r>
            <w:proofErr w:type="spellEnd"/>
          </w:p>
          <w:p w14:paraId="7F53CFE3" w14:textId="5E003585"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Times New Roman"/>
              </w:rPr>
            </w:pPr>
            <w:proofErr w:type="spellStart"/>
            <w:r w:rsidRPr="00085E54">
              <w:rPr>
                <w:rFonts w:ascii="Arial" w:eastAsia="Times New Roman" w:hAnsi="Arial" w:cs="Times New Roman"/>
              </w:rPr>
              <w:t>Rodbourne</w:t>
            </w:r>
            <w:proofErr w:type="spellEnd"/>
            <w:r w:rsidRPr="00085E54">
              <w:rPr>
                <w:rFonts w:ascii="Arial" w:eastAsia="Times New Roman" w:hAnsi="Arial" w:cs="Times New Roman"/>
              </w:rPr>
              <w:t xml:space="preserve"> Road</w:t>
            </w:r>
          </w:p>
          <w:p w14:paraId="4C3A6CB2"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Times New Roman"/>
              </w:rPr>
            </w:pPr>
            <w:r w:rsidRPr="00085E54">
              <w:rPr>
                <w:rFonts w:ascii="Arial" w:eastAsia="Times New Roman" w:hAnsi="Arial" w:cs="Times New Roman"/>
              </w:rPr>
              <w:t>Shaw Village Centre</w:t>
            </w:r>
          </w:p>
          <w:p w14:paraId="7868C68C" w14:textId="158938EA" w:rsidR="00085E54" w:rsidRDefault="00085E54" w:rsidP="00085E54">
            <w:pPr>
              <w:overflowPunct w:val="0"/>
              <w:autoSpaceDE w:val="0"/>
              <w:autoSpaceDN w:val="0"/>
              <w:adjustRightInd w:val="0"/>
              <w:spacing w:before="120" w:after="0" w:line="240" w:lineRule="auto"/>
              <w:textAlignment w:val="baseline"/>
              <w:rPr>
                <w:rFonts w:ascii="Arial" w:eastAsia="Times New Roman" w:hAnsi="Arial" w:cs="Times New Roman"/>
              </w:rPr>
            </w:pPr>
            <w:r w:rsidRPr="00085E54">
              <w:rPr>
                <w:rFonts w:ascii="Arial" w:eastAsia="Times New Roman" w:hAnsi="Arial" w:cs="Times New Roman"/>
              </w:rPr>
              <w:t xml:space="preserve">Sherbourne Place, </w:t>
            </w:r>
            <w:proofErr w:type="spellStart"/>
            <w:r w:rsidRPr="00085E54">
              <w:rPr>
                <w:rFonts w:ascii="Arial" w:eastAsia="Times New Roman" w:hAnsi="Arial" w:cs="Times New Roman"/>
              </w:rPr>
              <w:t>Nythe</w:t>
            </w:r>
            <w:proofErr w:type="spellEnd"/>
          </w:p>
          <w:p w14:paraId="6AE59733" w14:textId="77777777" w:rsidR="00AC3962" w:rsidRPr="00AC3962" w:rsidRDefault="00AC3962" w:rsidP="00AC3962">
            <w:pPr>
              <w:overflowPunct w:val="0"/>
              <w:autoSpaceDE w:val="0"/>
              <w:autoSpaceDN w:val="0"/>
              <w:adjustRightInd w:val="0"/>
              <w:spacing w:before="120" w:after="0" w:line="240" w:lineRule="auto"/>
              <w:textAlignment w:val="baseline"/>
              <w:rPr>
                <w:rFonts w:ascii="Arial" w:eastAsia="Times New Roman" w:hAnsi="Arial" w:cs="Times New Roman"/>
                <w:bCs/>
                <w:iCs/>
              </w:rPr>
            </w:pPr>
            <w:r w:rsidRPr="00AC3962">
              <w:rPr>
                <w:rFonts w:ascii="Arial" w:eastAsia="Times New Roman" w:hAnsi="Arial" w:cs="Times New Roman"/>
                <w:bCs/>
                <w:iCs/>
              </w:rPr>
              <w:t>Shopping Area contained within Manchester Road, Corporation Street and Broad Street</w:t>
            </w:r>
          </w:p>
          <w:p w14:paraId="6EFBC1CA" w14:textId="5E11B612" w:rsidR="00AC3962" w:rsidRPr="00085E54" w:rsidRDefault="00AC3962" w:rsidP="00085E54">
            <w:pPr>
              <w:overflowPunct w:val="0"/>
              <w:autoSpaceDE w:val="0"/>
              <w:autoSpaceDN w:val="0"/>
              <w:adjustRightInd w:val="0"/>
              <w:spacing w:before="120" w:after="0" w:line="240" w:lineRule="auto"/>
              <w:textAlignment w:val="baseline"/>
              <w:rPr>
                <w:rFonts w:ascii="Arial" w:eastAsia="Times New Roman" w:hAnsi="Arial" w:cs="Times New Roman"/>
              </w:rPr>
            </w:pPr>
            <w:r w:rsidRPr="00AC3962">
              <w:rPr>
                <w:rFonts w:ascii="Arial" w:eastAsia="Times New Roman" w:hAnsi="Arial" w:cs="Times New Roman"/>
              </w:rPr>
              <w:t xml:space="preserve">Shopping Area contained within </w:t>
            </w:r>
            <w:proofErr w:type="spellStart"/>
            <w:r w:rsidRPr="00AC3962">
              <w:rPr>
                <w:rFonts w:ascii="Arial" w:eastAsia="Times New Roman" w:hAnsi="Arial" w:cs="Times New Roman"/>
              </w:rPr>
              <w:t>Moredon</w:t>
            </w:r>
            <w:proofErr w:type="spellEnd"/>
            <w:r w:rsidRPr="00AC3962">
              <w:rPr>
                <w:rFonts w:ascii="Arial" w:eastAsia="Times New Roman" w:hAnsi="Arial" w:cs="Times New Roman"/>
              </w:rPr>
              <w:t xml:space="preserve"> Road, Whitworth Road and Cheney Manor Road</w:t>
            </w:r>
          </w:p>
          <w:p w14:paraId="6695D98D" w14:textId="5FB8891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Times New Roman"/>
              </w:rPr>
            </w:pPr>
            <w:r w:rsidRPr="00085E54">
              <w:rPr>
                <w:rFonts w:ascii="Arial" w:eastAsia="Times New Roman" w:hAnsi="Arial" w:cs="Times New Roman"/>
              </w:rPr>
              <w:t>St And</w:t>
            </w:r>
            <w:r w:rsidR="00AC3962">
              <w:rPr>
                <w:rFonts w:ascii="Arial" w:eastAsia="Times New Roman" w:hAnsi="Arial" w:cs="Times New Roman"/>
              </w:rPr>
              <w:t>r</w:t>
            </w:r>
            <w:r w:rsidRPr="00085E54">
              <w:rPr>
                <w:rFonts w:ascii="Arial" w:eastAsia="Times New Roman" w:hAnsi="Arial" w:cs="Times New Roman"/>
              </w:rPr>
              <w:t>ews Ridge Village Centre</w:t>
            </w:r>
          </w:p>
          <w:p w14:paraId="1DC7D742" w14:textId="169FDEA3" w:rsidR="00085E54" w:rsidRDefault="00085E54" w:rsidP="00085E54">
            <w:pPr>
              <w:overflowPunct w:val="0"/>
              <w:autoSpaceDE w:val="0"/>
              <w:autoSpaceDN w:val="0"/>
              <w:adjustRightInd w:val="0"/>
              <w:spacing w:before="120" w:after="0" w:line="240" w:lineRule="auto"/>
              <w:textAlignment w:val="baseline"/>
              <w:rPr>
                <w:rFonts w:ascii="Arial" w:eastAsia="Times New Roman" w:hAnsi="Arial" w:cs="Times New Roman"/>
              </w:rPr>
            </w:pPr>
            <w:r w:rsidRPr="00085E54">
              <w:rPr>
                <w:rFonts w:ascii="Arial" w:eastAsia="Times New Roman" w:hAnsi="Arial" w:cs="Times New Roman"/>
              </w:rPr>
              <w:t>St John Road, Wroughton</w:t>
            </w:r>
          </w:p>
          <w:p w14:paraId="0E2CC7F8" w14:textId="218BEB6C" w:rsidR="00AC3962" w:rsidRDefault="00AC3962" w:rsidP="00AC3962">
            <w:pPr>
              <w:overflowPunct w:val="0"/>
              <w:autoSpaceDE w:val="0"/>
              <w:autoSpaceDN w:val="0"/>
              <w:adjustRightInd w:val="0"/>
              <w:spacing w:before="120" w:after="0" w:line="240" w:lineRule="auto"/>
              <w:textAlignment w:val="baseline"/>
              <w:rPr>
                <w:rFonts w:ascii="Arial" w:eastAsia="Times New Roman" w:hAnsi="Arial" w:cs="Times New Roman"/>
              </w:rPr>
            </w:pPr>
            <w:r w:rsidRPr="00AC3962">
              <w:rPr>
                <w:rFonts w:ascii="Arial" w:eastAsia="Times New Roman" w:hAnsi="Arial" w:cs="Times New Roman"/>
              </w:rPr>
              <w:t>Sussex Square, Walcot East</w:t>
            </w:r>
          </w:p>
          <w:p w14:paraId="0FD364C8" w14:textId="290ADFA6" w:rsidR="006C1E05" w:rsidRPr="00085E54" w:rsidRDefault="006C1E05" w:rsidP="00AC3962">
            <w:pPr>
              <w:overflowPunct w:val="0"/>
              <w:autoSpaceDE w:val="0"/>
              <w:autoSpaceDN w:val="0"/>
              <w:adjustRightInd w:val="0"/>
              <w:spacing w:before="120" w:after="0" w:line="240" w:lineRule="auto"/>
              <w:textAlignment w:val="baseline"/>
              <w:rPr>
                <w:rFonts w:ascii="Arial" w:eastAsia="Times New Roman" w:hAnsi="Arial" w:cs="Times New Roman"/>
              </w:rPr>
            </w:pPr>
            <w:r>
              <w:rPr>
                <w:rFonts w:ascii="Arial" w:eastAsia="Times New Roman" w:hAnsi="Arial" w:cs="Times New Roman"/>
              </w:rPr>
              <w:t>Taw</w:t>
            </w:r>
            <w:r w:rsidR="006A7D79">
              <w:rPr>
                <w:rFonts w:ascii="Arial" w:eastAsia="Times New Roman" w:hAnsi="Arial" w:cs="Times New Roman"/>
              </w:rPr>
              <w:t xml:space="preserve"> H</w:t>
            </w:r>
            <w:r>
              <w:rPr>
                <w:rFonts w:ascii="Arial" w:eastAsia="Times New Roman" w:hAnsi="Arial" w:cs="Times New Roman"/>
              </w:rPr>
              <w:t>ill (</w:t>
            </w:r>
            <w:proofErr w:type="spellStart"/>
            <w:r>
              <w:rPr>
                <w:rFonts w:ascii="Arial" w:eastAsia="Times New Roman" w:hAnsi="Arial" w:cs="Times New Roman"/>
              </w:rPr>
              <w:t>Haydonwick</w:t>
            </w:r>
            <w:proofErr w:type="spellEnd"/>
            <w:r>
              <w:rPr>
                <w:rFonts w:ascii="Arial" w:eastAsia="Times New Roman" w:hAnsi="Arial" w:cs="Times New Roman"/>
              </w:rPr>
              <w:t>)</w:t>
            </w:r>
          </w:p>
          <w:p w14:paraId="1699BB12"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Times New Roman"/>
              </w:rPr>
            </w:pPr>
            <w:r w:rsidRPr="00085E54">
              <w:rPr>
                <w:rFonts w:ascii="Arial" w:eastAsia="Times New Roman" w:hAnsi="Arial" w:cs="Times New Roman"/>
              </w:rPr>
              <w:t>Thames Avenue, Haydon Wick</w:t>
            </w:r>
          </w:p>
          <w:p w14:paraId="6BEDF538" w14:textId="2FFFEFE0" w:rsidR="006C1E05"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Times New Roman"/>
              </w:rPr>
            </w:pPr>
            <w:r w:rsidRPr="00085E54">
              <w:rPr>
                <w:rFonts w:ascii="Arial" w:eastAsia="Times New Roman" w:hAnsi="Arial" w:cs="Times New Roman"/>
              </w:rPr>
              <w:lastRenderedPageBreak/>
              <w:t>The Circle, Pinehurst</w:t>
            </w:r>
          </w:p>
          <w:p w14:paraId="7F6EDF60" w14:textId="61F8023B" w:rsidR="00085E54" w:rsidRDefault="00085E54" w:rsidP="00085E54">
            <w:pPr>
              <w:overflowPunct w:val="0"/>
              <w:autoSpaceDE w:val="0"/>
              <w:autoSpaceDN w:val="0"/>
              <w:adjustRightInd w:val="0"/>
              <w:spacing w:before="120" w:after="0" w:line="240" w:lineRule="auto"/>
              <w:textAlignment w:val="baseline"/>
              <w:rPr>
                <w:rFonts w:ascii="Arial" w:eastAsia="Times New Roman" w:hAnsi="Arial" w:cs="Times New Roman"/>
              </w:rPr>
            </w:pPr>
            <w:proofErr w:type="spellStart"/>
            <w:r w:rsidRPr="00085E54">
              <w:rPr>
                <w:rFonts w:ascii="Arial" w:eastAsia="Times New Roman" w:hAnsi="Arial" w:cs="Times New Roman"/>
              </w:rPr>
              <w:t>Toothill</w:t>
            </w:r>
            <w:proofErr w:type="spellEnd"/>
            <w:r w:rsidRPr="00085E54">
              <w:rPr>
                <w:rFonts w:ascii="Arial" w:eastAsia="Times New Roman" w:hAnsi="Arial" w:cs="Times New Roman"/>
              </w:rPr>
              <w:t xml:space="preserve"> Centre</w:t>
            </w:r>
          </w:p>
          <w:p w14:paraId="027A747E" w14:textId="0C345564" w:rsidR="00AC3962" w:rsidRPr="00085E54" w:rsidRDefault="00AC3962" w:rsidP="00085E54">
            <w:pPr>
              <w:overflowPunct w:val="0"/>
              <w:autoSpaceDE w:val="0"/>
              <w:autoSpaceDN w:val="0"/>
              <w:adjustRightInd w:val="0"/>
              <w:spacing w:before="120" w:after="0" w:line="240" w:lineRule="auto"/>
              <w:textAlignment w:val="baseline"/>
              <w:rPr>
                <w:rFonts w:ascii="Arial" w:eastAsia="Times New Roman" w:hAnsi="Arial" w:cs="Times New Roman"/>
              </w:rPr>
            </w:pPr>
            <w:r w:rsidRPr="00AC3962">
              <w:rPr>
                <w:rFonts w:ascii="Arial" w:eastAsia="Times New Roman" w:hAnsi="Arial" w:cs="Times New Roman"/>
              </w:rPr>
              <w:t>Westcott Place/ Park Lane Area</w:t>
            </w:r>
          </w:p>
          <w:p w14:paraId="5B7C5F2F"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Times New Roman"/>
              </w:rPr>
            </w:pPr>
            <w:proofErr w:type="spellStart"/>
            <w:r w:rsidRPr="00085E54">
              <w:rPr>
                <w:rFonts w:ascii="Arial" w:eastAsia="Times New Roman" w:hAnsi="Arial" w:cs="Times New Roman"/>
              </w:rPr>
              <w:t>Windbrook</w:t>
            </w:r>
            <w:proofErr w:type="spellEnd"/>
            <w:r w:rsidRPr="00085E54">
              <w:rPr>
                <w:rFonts w:ascii="Arial" w:eastAsia="Times New Roman" w:hAnsi="Arial" w:cs="Times New Roman"/>
              </w:rPr>
              <w:t xml:space="preserve"> Meadow, Upper Stratton</w:t>
            </w:r>
          </w:p>
          <w:p w14:paraId="4D5C6AE9" w14:textId="77777777" w:rsidR="00085E54" w:rsidRPr="00085E54" w:rsidRDefault="00085E54" w:rsidP="00085E54">
            <w:pPr>
              <w:overflowPunct w:val="0"/>
              <w:autoSpaceDE w:val="0"/>
              <w:autoSpaceDN w:val="0"/>
              <w:adjustRightInd w:val="0"/>
              <w:spacing w:before="120" w:after="0" w:line="240" w:lineRule="auto"/>
              <w:textAlignment w:val="baseline"/>
              <w:rPr>
                <w:rFonts w:ascii="Arial" w:eastAsia="Times New Roman" w:hAnsi="Arial" w:cs="Times New Roman"/>
              </w:rPr>
            </w:pPr>
            <w:r w:rsidRPr="00085E54">
              <w:rPr>
                <w:rFonts w:ascii="Arial" w:eastAsia="Times New Roman" w:hAnsi="Arial" w:cs="Times New Roman"/>
              </w:rPr>
              <w:t>Wingate Parade</w:t>
            </w:r>
          </w:p>
          <w:p w14:paraId="5D2F7640" w14:textId="2525F44A" w:rsidR="00897F16" w:rsidRPr="00085E54" w:rsidRDefault="00897F16">
            <w:pPr>
              <w:rPr>
                <w:rFonts w:ascii="Arial" w:hAnsi="Arial" w:cs="Arial"/>
                <w:bC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8DAFFDD" w14:textId="77777777" w:rsidR="00AC3962" w:rsidRPr="00AC3962" w:rsidRDefault="00AC3962" w:rsidP="00AC3962">
            <w:pPr>
              <w:rPr>
                <w:rFonts w:ascii="Arial" w:hAnsi="Arial" w:cs="Arial"/>
              </w:rPr>
            </w:pPr>
            <w:r w:rsidRPr="00AC3962">
              <w:rPr>
                <w:rFonts w:ascii="Arial" w:hAnsi="Arial" w:cs="Arial"/>
              </w:rPr>
              <w:lastRenderedPageBreak/>
              <w:t>Abbey Meads Village Centre</w:t>
            </w:r>
          </w:p>
          <w:p w14:paraId="3496BC8B" w14:textId="77777777" w:rsidR="00AC3962" w:rsidRPr="00AC3962" w:rsidRDefault="00AC3962" w:rsidP="00AC3962">
            <w:pPr>
              <w:rPr>
                <w:rFonts w:ascii="Arial" w:hAnsi="Arial" w:cs="Arial"/>
              </w:rPr>
            </w:pPr>
            <w:proofErr w:type="spellStart"/>
            <w:r w:rsidRPr="00AC3962">
              <w:rPr>
                <w:rFonts w:ascii="Arial" w:hAnsi="Arial" w:cs="Arial"/>
              </w:rPr>
              <w:t>Beechcroft</w:t>
            </w:r>
            <w:proofErr w:type="spellEnd"/>
            <w:r w:rsidRPr="00AC3962">
              <w:rPr>
                <w:rFonts w:ascii="Arial" w:hAnsi="Arial" w:cs="Arial"/>
              </w:rPr>
              <w:t xml:space="preserve"> Road, Upper Stratton</w:t>
            </w:r>
          </w:p>
          <w:p w14:paraId="15CBF29F" w14:textId="77777777" w:rsidR="00AC3962" w:rsidRPr="00AC3962" w:rsidRDefault="00AC3962" w:rsidP="00AC3962">
            <w:pPr>
              <w:rPr>
                <w:rFonts w:ascii="Arial" w:hAnsi="Arial" w:cs="Arial"/>
              </w:rPr>
            </w:pPr>
            <w:r w:rsidRPr="00AC3962">
              <w:rPr>
                <w:rFonts w:ascii="Arial" w:hAnsi="Arial" w:cs="Arial"/>
              </w:rPr>
              <w:lastRenderedPageBreak/>
              <w:t xml:space="preserve">Braydon Court, </w:t>
            </w:r>
            <w:proofErr w:type="spellStart"/>
            <w:r w:rsidRPr="00AC3962">
              <w:rPr>
                <w:rFonts w:ascii="Arial" w:hAnsi="Arial" w:cs="Arial"/>
              </w:rPr>
              <w:t>Penhill</w:t>
            </w:r>
            <w:proofErr w:type="spellEnd"/>
          </w:p>
          <w:p w14:paraId="4C27743C" w14:textId="77777777" w:rsidR="00AC3962" w:rsidRPr="00AC3962" w:rsidRDefault="00AC3962" w:rsidP="00AC3962">
            <w:pPr>
              <w:rPr>
                <w:rFonts w:ascii="Arial" w:hAnsi="Arial" w:cs="Arial"/>
              </w:rPr>
            </w:pPr>
          </w:p>
          <w:p w14:paraId="20A2FDA9" w14:textId="77777777" w:rsidR="00AC3962" w:rsidRPr="00AC3962" w:rsidRDefault="00AC3962" w:rsidP="00AC3962">
            <w:pPr>
              <w:rPr>
                <w:rFonts w:ascii="Arial" w:hAnsi="Arial" w:cs="Arial"/>
              </w:rPr>
            </w:pPr>
            <w:r w:rsidRPr="00AC3962">
              <w:rPr>
                <w:rFonts w:ascii="Arial" w:hAnsi="Arial" w:cs="Arial"/>
              </w:rPr>
              <w:t>Clive Parade, Cricklade Road</w:t>
            </w:r>
          </w:p>
          <w:p w14:paraId="27EA0A66" w14:textId="77777777" w:rsidR="00AC3962" w:rsidRPr="00AC3962" w:rsidRDefault="00AC3962" w:rsidP="00AC3962">
            <w:pPr>
              <w:rPr>
                <w:rFonts w:ascii="Arial" w:hAnsi="Arial" w:cs="Arial"/>
              </w:rPr>
            </w:pPr>
            <w:proofErr w:type="spellStart"/>
            <w:r w:rsidRPr="00AC3962">
              <w:rPr>
                <w:rFonts w:ascii="Arial" w:hAnsi="Arial" w:cs="Arial"/>
              </w:rPr>
              <w:t>Covingham</w:t>
            </w:r>
            <w:proofErr w:type="spellEnd"/>
            <w:r w:rsidRPr="00AC3962">
              <w:rPr>
                <w:rFonts w:ascii="Arial" w:hAnsi="Arial" w:cs="Arial"/>
              </w:rPr>
              <w:t xml:space="preserve"> Square, </w:t>
            </w:r>
            <w:proofErr w:type="spellStart"/>
            <w:r w:rsidRPr="00AC3962">
              <w:rPr>
                <w:rFonts w:ascii="Arial" w:hAnsi="Arial" w:cs="Arial"/>
              </w:rPr>
              <w:t>Covingham</w:t>
            </w:r>
            <w:proofErr w:type="spellEnd"/>
          </w:p>
          <w:p w14:paraId="589DA1E7" w14:textId="77777777" w:rsidR="00AC3962" w:rsidRPr="00AC3962" w:rsidRDefault="00AC3962" w:rsidP="00AC3962">
            <w:pPr>
              <w:rPr>
                <w:rFonts w:ascii="Arial" w:hAnsi="Arial" w:cs="Arial"/>
              </w:rPr>
            </w:pPr>
            <w:proofErr w:type="spellStart"/>
            <w:r w:rsidRPr="00AC3962">
              <w:rPr>
                <w:rFonts w:ascii="Arial" w:hAnsi="Arial" w:cs="Arial"/>
              </w:rPr>
              <w:t>Eldene</w:t>
            </w:r>
            <w:proofErr w:type="spellEnd"/>
            <w:r w:rsidRPr="00AC3962">
              <w:rPr>
                <w:rFonts w:ascii="Arial" w:hAnsi="Arial" w:cs="Arial"/>
              </w:rPr>
              <w:t xml:space="preserve"> Local Centre</w:t>
            </w:r>
          </w:p>
          <w:p w14:paraId="3258F342" w14:textId="77777777" w:rsidR="00AC3962" w:rsidRPr="00AC3962" w:rsidRDefault="00AC3962" w:rsidP="00AC3962">
            <w:pPr>
              <w:rPr>
                <w:rFonts w:ascii="Arial" w:hAnsi="Arial" w:cs="Arial"/>
              </w:rPr>
            </w:pPr>
            <w:proofErr w:type="spellStart"/>
            <w:r w:rsidRPr="00AC3962">
              <w:rPr>
                <w:rFonts w:ascii="Arial" w:hAnsi="Arial" w:cs="Arial"/>
              </w:rPr>
              <w:t>Ermin</w:t>
            </w:r>
            <w:proofErr w:type="spellEnd"/>
            <w:r w:rsidRPr="00AC3962">
              <w:rPr>
                <w:rFonts w:ascii="Arial" w:hAnsi="Arial" w:cs="Arial"/>
              </w:rPr>
              <w:t xml:space="preserve"> Street</w:t>
            </w:r>
          </w:p>
          <w:p w14:paraId="19790ABD" w14:textId="77777777" w:rsidR="00AC3962" w:rsidRPr="00AC3962" w:rsidRDefault="00AC3962" w:rsidP="00AC3962">
            <w:pPr>
              <w:rPr>
                <w:rFonts w:ascii="Arial" w:hAnsi="Arial" w:cs="Arial"/>
              </w:rPr>
            </w:pPr>
            <w:r w:rsidRPr="00AC3962">
              <w:rPr>
                <w:rFonts w:ascii="Arial" w:hAnsi="Arial" w:cs="Arial"/>
              </w:rPr>
              <w:t>Ferndale Road</w:t>
            </w:r>
          </w:p>
          <w:p w14:paraId="539DAD61" w14:textId="77777777" w:rsidR="00AC3962" w:rsidRPr="00AC3962" w:rsidRDefault="00AC3962" w:rsidP="00AC3962">
            <w:pPr>
              <w:rPr>
                <w:rFonts w:ascii="Arial" w:hAnsi="Arial" w:cs="Arial"/>
              </w:rPr>
            </w:pPr>
            <w:proofErr w:type="spellStart"/>
            <w:r w:rsidRPr="00AC3962">
              <w:rPr>
                <w:rFonts w:ascii="Arial" w:hAnsi="Arial" w:cs="Arial"/>
              </w:rPr>
              <w:t>Freshbrook</w:t>
            </w:r>
            <w:proofErr w:type="spellEnd"/>
            <w:r w:rsidRPr="00AC3962">
              <w:rPr>
                <w:rFonts w:ascii="Arial" w:hAnsi="Arial" w:cs="Arial"/>
              </w:rPr>
              <w:t xml:space="preserve"> Centre</w:t>
            </w:r>
          </w:p>
          <w:p w14:paraId="63114F55" w14:textId="77777777" w:rsidR="00AC3962" w:rsidRPr="00AC3962" w:rsidRDefault="00AC3962" w:rsidP="00AC3962">
            <w:pPr>
              <w:rPr>
                <w:rFonts w:ascii="Arial" w:hAnsi="Arial" w:cs="Arial"/>
              </w:rPr>
            </w:pPr>
            <w:r w:rsidRPr="00AC3962">
              <w:rPr>
                <w:rFonts w:ascii="Arial" w:hAnsi="Arial" w:cs="Arial"/>
              </w:rPr>
              <w:t>Gateway, Coate (not yet built)</w:t>
            </w:r>
          </w:p>
          <w:p w14:paraId="2A1D5BB4" w14:textId="77777777" w:rsidR="00AC3962" w:rsidRPr="00AC3962" w:rsidRDefault="00AC3962" w:rsidP="00AC3962">
            <w:pPr>
              <w:rPr>
                <w:rFonts w:ascii="Arial" w:hAnsi="Arial" w:cs="Arial"/>
              </w:rPr>
            </w:pPr>
            <w:r w:rsidRPr="00AC3962">
              <w:rPr>
                <w:rFonts w:ascii="Arial" w:hAnsi="Arial" w:cs="Arial"/>
              </w:rPr>
              <w:t>Grange Drive, Lower Stratton</w:t>
            </w:r>
          </w:p>
          <w:p w14:paraId="4353CA7A" w14:textId="77777777" w:rsidR="00AC3962" w:rsidRPr="00AC3962" w:rsidRDefault="00AC3962" w:rsidP="00AC3962">
            <w:pPr>
              <w:rPr>
                <w:rFonts w:ascii="Arial" w:hAnsi="Arial" w:cs="Arial"/>
              </w:rPr>
            </w:pPr>
            <w:r w:rsidRPr="00AC3962">
              <w:rPr>
                <w:rFonts w:ascii="Arial" w:hAnsi="Arial" w:cs="Arial"/>
              </w:rPr>
              <w:t>Guildford Avenue, Lawn</w:t>
            </w:r>
          </w:p>
          <w:p w14:paraId="008B8C1B" w14:textId="77777777" w:rsidR="00AC3962" w:rsidRPr="00AC3962" w:rsidRDefault="00AC3962" w:rsidP="00AC3962">
            <w:pPr>
              <w:rPr>
                <w:rFonts w:ascii="Arial" w:hAnsi="Arial" w:cs="Arial"/>
              </w:rPr>
            </w:pPr>
            <w:r w:rsidRPr="00AC3962">
              <w:rPr>
                <w:rFonts w:ascii="Arial" w:hAnsi="Arial" w:cs="Arial"/>
              </w:rPr>
              <w:t xml:space="preserve">Hannington Close, </w:t>
            </w:r>
            <w:proofErr w:type="spellStart"/>
            <w:r w:rsidRPr="00AC3962">
              <w:rPr>
                <w:rFonts w:ascii="Arial" w:hAnsi="Arial" w:cs="Arial"/>
              </w:rPr>
              <w:t>Penhill</w:t>
            </w:r>
            <w:proofErr w:type="spellEnd"/>
          </w:p>
          <w:p w14:paraId="048A9CDD" w14:textId="77777777" w:rsidR="00AC3962" w:rsidRPr="00AC3962" w:rsidRDefault="00AC3962" w:rsidP="00AC3962">
            <w:pPr>
              <w:rPr>
                <w:rFonts w:ascii="Arial" w:hAnsi="Arial" w:cs="Arial"/>
              </w:rPr>
            </w:pPr>
            <w:r w:rsidRPr="00AC3962">
              <w:rPr>
                <w:rFonts w:ascii="Arial" w:hAnsi="Arial" w:cs="Arial"/>
              </w:rPr>
              <w:t xml:space="preserve">Liden Centre </w:t>
            </w:r>
          </w:p>
          <w:p w14:paraId="54B06E7A" w14:textId="77777777" w:rsidR="00AC3962" w:rsidRPr="00AC3962" w:rsidRDefault="00AC3962" w:rsidP="00AC3962">
            <w:pPr>
              <w:rPr>
                <w:rFonts w:ascii="Arial" w:hAnsi="Arial" w:cs="Arial"/>
              </w:rPr>
            </w:pPr>
            <w:r w:rsidRPr="00AC3962">
              <w:rPr>
                <w:rFonts w:ascii="Arial" w:hAnsi="Arial" w:cs="Arial"/>
              </w:rPr>
              <w:t>Marlowe Avenue, Walcot</w:t>
            </w:r>
          </w:p>
          <w:p w14:paraId="0F8B1965" w14:textId="77777777" w:rsidR="00AC3962" w:rsidRPr="00AC3962" w:rsidRDefault="00AC3962" w:rsidP="00AC3962">
            <w:pPr>
              <w:rPr>
                <w:rFonts w:ascii="Arial" w:hAnsi="Arial" w:cs="Arial"/>
              </w:rPr>
            </w:pPr>
            <w:r w:rsidRPr="00AC3962">
              <w:rPr>
                <w:rFonts w:ascii="Arial" w:hAnsi="Arial" w:cs="Arial"/>
              </w:rPr>
              <w:t>Newburgh Place, Highworth</w:t>
            </w:r>
          </w:p>
          <w:p w14:paraId="6659EE76" w14:textId="77777777" w:rsidR="00AC3962" w:rsidRPr="00AC3962" w:rsidRDefault="00AC3962" w:rsidP="00AC3962">
            <w:pPr>
              <w:rPr>
                <w:rFonts w:ascii="Arial" w:hAnsi="Arial" w:cs="Arial"/>
              </w:rPr>
            </w:pPr>
            <w:proofErr w:type="spellStart"/>
            <w:r w:rsidRPr="00AC3962">
              <w:rPr>
                <w:rFonts w:ascii="Arial" w:hAnsi="Arial" w:cs="Arial"/>
              </w:rPr>
              <w:t>Nythe</w:t>
            </w:r>
            <w:proofErr w:type="spellEnd"/>
            <w:r w:rsidRPr="00AC3962">
              <w:rPr>
                <w:rFonts w:ascii="Arial" w:hAnsi="Arial" w:cs="Arial"/>
              </w:rPr>
              <w:t xml:space="preserve"> Road, </w:t>
            </w:r>
            <w:proofErr w:type="spellStart"/>
            <w:r w:rsidRPr="00AC3962">
              <w:rPr>
                <w:rFonts w:ascii="Arial" w:hAnsi="Arial" w:cs="Arial"/>
              </w:rPr>
              <w:t>Nythe</w:t>
            </w:r>
            <w:proofErr w:type="spellEnd"/>
          </w:p>
          <w:p w14:paraId="231E1C9B" w14:textId="77777777" w:rsidR="00AC3962" w:rsidRPr="00AC3962" w:rsidRDefault="00AC3962" w:rsidP="00AC3962">
            <w:pPr>
              <w:rPr>
                <w:rFonts w:ascii="Arial" w:hAnsi="Arial" w:cs="Arial"/>
              </w:rPr>
            </w:pPr>
            <w:proofErr w:type="spellStart"/>
            <w:r w:rsidRPr="00AC3962">
              <w:rPr>
                <w:rFonts w:ascii="Arial" w:hAnsi="Arial" w:cs="Arial"/>
              </w:rPr>
              <w:t>Peatmoor</w:t>
            </w:r>
            <w:proofErr w:type="spellEnd"/>
            <w:r w:rsidRPr="00AC3962">
              <w:rPr>
                <w:rFonts w:ascii="Arial" w:hAnsi="Arial" w:cs="Arial"/>
              </w:rPr>
              <w:t xml:space="preserve"> Centre</w:t>
            </w:r>
          </w:p>
          <w:p w14:paraId="553C23D3" w14:textId="77777777" w:rsidR="00AC3962" w:rsidRPr="00AC3962" w:rsidRDefault="00AC3962" w:rsidP="00AC3962">
            <w:pPr>
              <w:rPr>
                <w:rFonts w:ascii="Arial" w:hAnsi="Arial" w:cs="Arial"/>
              </w:rPr>
            </w:pPr>
            <w:r w:rsidRPr="00AC3962">
              <w:rPr>
                <w:rFonts w:ascii="Arial" w:hAnsi="Arial" w:cs="Arial"/>
              </w:rPr>
              <w:t xml:space="preserve">Purton Road, </w:t>
            </w:r>
            <w:proofErr w:type="spellStart"/>
            <w:r w:rsidRPr="00AC3962">
              <w:rPr>
                <w:rFonts w:ascii="Arial" w:hAnsi="Arial" w:cs="Arial"/>
              </w:rPr>
              <w:t>Moredon</w:t>
            </w:r>
            <w:proofErr w:type="spellEnd"/>
          </w:p>
          <w:p w14:paraId="7F37345C" w14:textId="77777777" w:rsidR="00AC3962" w:rsidRPr="00AC3962" w:rsidRDefault="00AC3962" w:rsidP="00AC3962">
            <w:pPr>
              <w:rPr>
                <w:rFonts w:ascii="Arial" w:hAnsi="Arial" w:cs="Arial"/>
              </w:rPr>
            </w:pPr>
            <w:proofErr w:type="spellStart"/>
            <w:r w:rsidRPr="00AC3962">
              <w:rPr>
                <w:rFonts w:ascii="Arial" w:hAnsi="Arial" w:cs="Arial"/>
              </w:rPr>
              <w:t>Rodbourne</w:t>
            </w:r>
            <w:proofErr w:type="spellEnd"/>
            <w:r w:rsidRPr="00AC3962">
              <w:rPr>
                <w:rFonts w:ascii="Arial" w:hAnsi="Arial" w:cs="Arial"/>
              </w:rPr>
              <w:t xml:space="preserve"> Road</w:t>
            </w:r>
          </w:p>
          <w:p w14:paraId="03E09E0B" w14:textId="77777777" w:rsidR="00AC3962" w:rsidRPr="00AC3962" w:rsidRDefault="00AC3962" w:rsidP="00AC3962">
            <w:pPr>
              <w:rPr>
                <w:rFonts w:ascii="Arial" w:hAnsi="Arial" w:cs="Arial"/>
              </w:rPr>
            </w:pPr>
            <w:r w:rsidRPr="00AC3962">
              <w:rPr>
                <w:rFonts w:ascii="Arial" w:hAnsi="Arial" w:cs="Arial"/>
              </w:rPr>
              <w:t>Shaw Village Centre</w:t>
            </w:r>
          </w:p>
          <w:p w14:paraId="5B1BBFC5" w14:textId="77777777" w:rsidR="00AC3962" w:rsidRPr="00AC3962" w:rsidRDefault="00AC3962" w:rsidP="00AC3962">
            <w:pPr>
              <w:rPr>
                <w:rFonts w:ascii="Arial" w:hAnsi="Arial" w:cs="Arial"/>
              </w:rPr>
            </w:pPr>
            <w:r w:rsidRPr="00AC3962">
              <w:rPr>
                <w:rFonts w:ascii="Arial" w:hAnsi="Arial" w:cs="Arial"/>
              </w:rPr>
              <w:t xml:space="preserve">Sherbourne Place, </w:t>
            </w:r>
            <w:proofErr w:type="spellStart"/>
            <w:r w:rsidRPr="00AC3962">
              <w:rPr>
                <w:rFonts w:ascii="Arial" w:hAnsi="Arial" w:cs="Arial"/>
              </w:rPr>
              <w:t>Nythe</w:t>
            </w:r>
            <w:proofErr w:type="spellEnd"/>
          </w:p>
          <w:p w14:paraId="5298D61C" w14:textId="77777777" w:rsidR="00AC3962" w:rsidRPr="00AC3962" w:rsidRDefault="00AC3962" w:rsidP="00AC3962">
            <w:pPr>
              <w:rPr>
                <w:rFonts w:ascii="Arial" w:hAnsi="Arial" w:cs="Arial"/>
              </w:rPr>
            </w:pPr>
            <w:r w:rsidRPr="00AC3962">
              <w:rPr>
                <w:rFonts w:ascii="Arial" w:hAnsi="Arial" w:cs="Arial"/>
              </w:rPr>
              <w:t>Shopping Area contained within Manchester Road, Corporation Street and Broad Street</w:t>
            </w:r>
          </w:p>
          <w:p w14:paraId="4C5ADF71" w14:textId="77777777" w:rsidR="00AC3962" w:rsidRPr="00AC3962" w:rsidRDefault="00AC3962" w:rsidP="00AC3962">
            <w:pPr>
              <w:rPr>
                <w:rFonts w:ascii="Arial" w:hAnsi="Arial" w:cs="Arial"/>
              </w:rPr>
            </w:pPr>
            <w:r w:rsidRPr="00AC3962">
              <w:rPr>
                <w:rFonts w:ascii="Arial" w:hAnsi="Arial" w:cs="Arial"/>
              </w:rPr>
              <w:t xml:space="preserve">Shopping Area contained within </w:t>
            </w:r>
            <w:proofErr w:type="spellStart"/>
            <w:r w:rsidRPr="00AC3962">
              <w:rPr>
                <w:rFonts w:ascii="Arial" w:hAnsi="Arial" w:cs="Arial"/>
              </w:rPr>
              <w:t>Moredon</w:t>
            </w:r>
            <w:proofErr w:type="spellEnd"/>
            <w:r w:rsidRPr="00AC3962">
              <w:rPr>
                <w:rFonts w:ascii="Arial" w:hAnsi="Arial" w:cs="Arial"/>
              </w:rPr>
              <w:t xml:space="preserve"> Road, Whitworth Road and Cheney Manor Road</w:t>
            </w:r>
          </w:p>
          <w:p w14:paraId="553AC1C6" w14:textId="77777777" w:rsidR="00AC3962" w:rsidRPr="00AC3962" w:rsidRDefault="00AC3962" w:rsidP="00AC3962">
            <w:pPr>
              <w:rPr>
                <w:rFonts w:ascii="Arial" w:hAnsi="Arial" w:cs="Arial"/>
              </w:rPr>
            </w:pPr>
            <w:r w:rsidRPr="00AC3962">
              <w:rPr>
                <w:rFonts w:ascii="Arial" w:hAnsi="Arial" w:cs="Arial"/>
              </w:rPr>
              <w:t>St Andrews Ridge Village Centre</w:t>
            </w:r>
          </w:p>
          <w:p w14:paraId="4A28ACF5" w14:textId="77777777" w:rsidR="00AC3962" w:rsidRPr="00AC3962" w:rsidRDefault="00AC3962" w:rsidP="00AC3962">
            <w:pPr>
              <w:rPr>
                <w:rFonts w:ascii="Arial" w:hAnsi="Arial" w:cs="Arial"/>
              </w:rPr>
            </w:pPr>
            <w:r w:rsidRPr="00AC3962">
              <w:rPr>
                <w:rFonts w:ascii="Arial" w:hAnsi="Arial" w:cs="Arial"/>
              </w:rPr>
              <w:t>St John Road, Wroughton</w:t>
            </w:r>
          </w:p>
          <w:p w14:paraId="15801FA7" w14:textId="08A23587" w:rsidR="00AC3962" w:rsidRDefault="00AC3962" w:rsidP="00AC3962">
            <w:pPr>
              <w:rPr>
                <w:rFonts w:ascii="Arial" w:hAnsi="Arial" w:cs="Arial"/>
              </w:rPr>
            </w:pPr>
            <w:r w:rsidRPr="00AC3962">
              <w:rPr>
                <w:rFonts w:ascii="Arial" w:hAnsi="Arial" w:cs="Arial"/>
              </w:rPr>
              <w:t>Sussex Square, Walcot East</w:t>
            </w:r>
          </w:p>
          <w:p w14:paraId="5D28E01E" w14:textId="057AFCA6" w:rsidR="006C1E05" w:rsidRDefault="006C1E05" w:rsidP="006A7D79">
            <w:pPr>
              <w:overflowPunct w:val="0"/>
              <w:autoSpaceDE w:val="0"/>
              <w:autoSpaceDN w:val="0"/>
              <w:adjustRightInd w:val="0"/>
              <w:spacing w:before="120" w:after="0" w:line="240" w:lineRule="auto"/>
              <w:textAlignment w:val="baseline"/>
              <w:rPr>
                <w:rFonts w:ascii="Arial" w:eastAsia="Times New Roman" w:hAnsi="Arial" w:cs="Times New Roman"/>
              </w:rPr>
            </w:pPr>
            <w:r>
              <w:rPr>
                <w:rFonts w:ascii="Arial" w:eastAsia="Times New Roman" w:hAnsi="Arial" w:cs="Times New Roman"/>
              </w:rPr>
              <w:t>Taw</w:t>
            </w:r>
            <w:r w:rsidR="006A7D79">
              <w:rPr>
                <w:rFonts w:ascii="Arial" w:eastAsia="Times New Roman" w:hAnsi="Arial" w:cs="Times New Roman"/>
              </w:rPr>
              <w:t xml:space="preserve"> H</w:t>
            </w:r>
            <w:r>
              <w:rPr>
                <w:rFonts w:ascii="Arial" w:eastAsia="Times New Roman" w:hAnsi="Arial" w:cs="Times New Roman"/>
              </w:rPr>
              <w:t>ill (</w:t>
            </w:r>
            <w:proofErr w:type="spellStart"/>
            <w:r>
              <w:rPr>
                <w:rFonts w:ascii="Arial" w:eastAsia="Times New Roman" w:hAnsi="Arial" w:cs="Times New Roman"/>
              </w:rPr>
              <w:t>Haydonwick</w:t>
            </w:r>
            <w:proofErr w:type="spellEnd"/>
            <w:r>
              <w:rPr>
                <w:rFonts w:ascii="Arial" w:eastAsia="Times New Roman" w:hAnsi="Arial" w:cs="Times New Roman"/>
              </w:rPr>
              <w:t>)</w:t>
            </w:r>
          </w:p>
          <w:p w14:paraId="070C1782" w14:textId="77777777" w:rsidR="006A7D79" w:rsidRDefault="006A7D79" w:rsidP="006A7D79">
            <w:pPr>
              <w:spacing w:after="0"/>
              <w:rPr>
                <w:rFonts w:ascii="Arial" w:hAnsi="Arial" w:cs="Arial"/>
              </w:rPr>
            </w:pPr>
          </w:p>
          <w:p w14:paraId="6F4B0BAD" w14:textId="26B84A6E" w:rsidR="00AC3962" w:rsidRPr="00AC3962" w:rsidRDefault="00AC3962" w:rsidP="00AC3962">
            <w:pPr>
              <w:rPr>
                <w:rFonts w:ascii="Arial" w:hAnsi="Arial" w:cs="Arial"/>
              </w:rPr>
            </w:pPr>
            <w:r w:rsidRPr="00AC3962">
              <w:rPr>
                <w:rFonts w:ascii="Arial" w:hAnsi="Arial" w:cs="Arial"/>
              </w:rPr>
              <w:t>Thames Avenue, Haydon Wick</w:t>
            </w:r>
          </w:p>
          <w:p w14:paraId="3DD388FA" w14:textId="773AB057" w:rsidR="006C1E05" w:rsidRPr="00AC3962" w:rsidRDefault="00AC3962" w:rsidP="00AC3962">
            <w:pPr>
              <w:rPr>
                <w:rFonts w:ascii="Arial" w:hAnsi="Arial" w:cs="Arial"/>
              </w:rPr>
            </w:pPr>
            <w:r w:rsidRPr="00AC3962">
              <w:rPr>
                <w:rFonts w:ascii="Arial" w:hAnsi="Arial" w:cs="Arial"/>
              </w:rPr>
              <w:t>The Circle, Pinehurst</w:t>
            </w:r>
          </w:p>
          <w:p w14:paraId="3D90DEB7" w14:textId="77777777" w:rsidR="00AC3962" w:rsidRPr="00AC3962" w:rsidRDefault="00AC3962" w:rsidP="00AC3962">
            <w:pPr>
              <w:rPr>
                <w:rFonts w:ascii="Arial" w:hAnsi="Arial" w:cs="Arial"/>
              </w:rPr>
            </w:pPr>
            <w:proofErr w:type="spellStart"/>
            <w:r w:rsidRPr="00AC3962">
              <w:rPr>
                <w:rFonts w:ascii="Arial" w:hAnsi="Arial" w:cs="Arial"/>
              </w:rPr>
              <w:t>Toothill</w:t>
            </w:r>
            <w:proofErr w:type="spellEnd"/>
            <w:r w:rsidRPr="00AC3962">
              <w:rPr>
                <w:rFonts w:ascii="Arial" w:hAnsi="Arial" w:cs="Arial"/>
              </w:rPr>
              <w:t xml:space="preserve"> Centre</w:t>
            </w:r>
          </w:p>
          <w:p w14:paraId="79BCDCA8" w14:textId="77777777" w:rsidR="00AC3962" w:rsidRPr="00AC3962" w:rsidRDefault="00AC3962" w:rsidP="00AC3962">
            <w:pPr>
              <w:rPr>
                <w:rFonts w:ascii="Arial" w:hAnsi="Arial" w:cs="Arial"/>
              </w:rPr>
            </w:pPr>
            <w:r w:rsidRPr="00AC3962">
              <w:rPr>
                <w:rFonts w:ascii="Arial" w:hAnsi="Arial" w:cs="Arial"/>
              </w:rPr>
              <w:lastRenderedPageBreak/>
              <w:t>Westcott Place/ Park Lane Area</w:t>
            </w:r>
          </w:p>
          <w:p w14:paraId="5D6A127D" w14:textId="77777777" w:rsidR="00AC3962" w:rsidRPr="00AC3962" w:rsidRDefault="00AC3962" w:rsidP="00AC3962">
            <w:pPr>
              <w:rPr>
                <w:rFonts w:ascii="Arial" w:hAnsi="Arial" w:cs="Arial"/>
              </w:rPr>
            </w:pPr>
            <w:proofErr w:type="spellStart"/>
            <w:r w:rsidRPr="00AC3962">
              <w:rPr>
                <w:rFonts w:ascii="Arial" w:hAnsi="Arial" w:cs="Arial"/>
              </w:rPr>
              <w:t>Windbrook</w:t>
            </w:r>
            <w:proofErr w:type="spellEnd"/>
            <w:r w:rsidRPr="00AC3962">
              <w:rPr>
                <w:rFonts w:ascii="Arial" w:hAnsi="Arial" w:cs="Arial"/>
              </w:rPr>
              <w:t xml:space="preserve"> Meadow, Upper Stratton</w:t>
            </w:r>
          </w:p>
          <w:p w14:paraId="51E156AD" w14:textId="3DC94EB2" w:rsidR="00AC3962" w:rsidRDefault="00AC3962">
            <w:pPr>
              <w:rPr>
                <w:rFonts w:ascii="Arial" w:hAnsi="Arial" w:cs="Arial"/>
              </w:rPr>
            </w:pPr>
            <w:r w:rsidRPr="00AC3962">
              <w:rPr>
                <w:rFonts w:ascii="Arial" w:hAnsi="Arial" w:cs="Arial"/>
              </w:rPr>
              <w:t>Wingate Parade</w:t>
            </w:r>
          </w:p>
          <w:p w14:paraId="08D16F54" w14:textId="6F8C8C2E" w:rsidR="00897F16" w:rsidRDefault="00897F16">
            <w:pPr>
              <w:rPr>
                <w:rFonts w:ascii="Arial" w:hAnsi="Arial" w:cs="Arial"/>
              </w:rPr>
            </w:pPr>
            <w:r w:rsidRPr="00EC2525">
              <w:rPr>
                <w:rFonts w:ascii="Arial" w:hAnsi="Arial" w:cs="Arial"/>
              </w:rPr>
              <w:t>Commonhead (New)</w:t>
            </w:r>
          </w:p>
          <w:p w14:paraId="7DEAC6C1" w14:textId="53930F09" w:rsidR="00AC3962" w:rsidRPr="00EC2525" w:rsidRDefault="00AC3962">
            <w:pPr>
              <w:rPr>
                <w:rFonts w:ascii="Arial" w:hAnsi="Arial" w:cs="Arial"/>
              </w:rPr>
            </w:pPr>
            <w:r>
              <w:rPr>
                <w:rFonts w:ascii="Arial" w:hAnsi="Arial" w:cs="Arial"/>
              </w:rPr>
              <w:t>Kingsdown (New)</w:t>
            </w:r>
          </w:p>
          <w:p w14:paraId="68FDB7D7" w14:textId="6EDCD169" w:rsidR="00897F16" w:rsidRDefault="00897F16">
            <w:pPr>
              <w:rPr>
                <w:rFonts w:ascii="Arial" w:hAnsi="Arial" w:cs="Arial"/>
              </w:rPr>
            </w:pPr>
            <w:r w:rsidRPr="00EC2525">
              <w:rPr>
                <w:rFonts w:ascii="Arial" w:hAnsi="Arial" w:cs="Arial"/>
              </w:rPr>
              <w:t>Tadpole (New)</w:t>
            </w:r>
          </w:p>
          <w:p w14:paraId="65A89D5D" w14:textId="67CB5911" w:rsidR="008E4FD7" w:rsidRPr="00EC2525" w:rsidRDefault="00AC3962">
            <w:pPr>
              <w:rPr>
                <w:rFonts w:ascii="Arial" w:hAnsi="Arial" w:cs="Arial"/>
              </w:rPr>
            </w:pPr>
            <w:r w:rsidRPr="00EC2525">
              <w:rPr>
                <w:rFonts w:ascii="Arial" w:hAnsi="Arial" w:cs="Arial"/>
              </w:rPr>
              <w:t>Wichelstowe (New)</w:t>
            </w:r>
          </w:p>
        </w:tc>
      </w:tr>
      <w:tr w:rsidR="00897F16" w:rsidRPr="00EC2525" w14:paraId="64D807B8" w14:textId="77777777" w:rsidTr="00897F16">
        <w:tc>
          <w:tcPr>
            <w:tcW w:w="297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A303BBB" w14:textId="77777777" w:rsidR="00897F16" w:rsidRPr="00EC2525" w:rsidRDefault="00897F16">
            <w:pPr>
              <w:rPr>
                <w:rFonts w:ascii="Arial" w:hAnsi="Arial" w:cs="Arial"/>
                <w:b/>
                <w:bCs/>
              </w:rPr>
            </w:pPr>
            <w:r w:rsidRPr="00EC2525">
              <w:rPr>
                <w:rFonts w:ascii="Arial" w:hAnsi="Arial" w:cs="Arial"/>
                <w:b/>
                <w:bCs/>
              </w:rPr>
              <w:lastRenderedPageBreak/>
              <w:t>Primary Rural Centres</w:t>
            </w:r>
          </w:p>
        </w:tc>
        <w:tc>
          <w:tcPr>
            <w:tcW w:w="496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7702CFA" w14:textId="77777777" w:rsidR="00897F16" w:rsidRPr="00EC2525" w:rsidRDefault="00897F16">
            <w:pPr>
              <w:rPr>
                <w:rFonts w:ascii="Arial" w:hAnsi="Arial" w:cs="Arial"/>
                <w:b/>
                <w:bCs/>
              </w:rPr>
            </w:pPr>
            <w:r w:rsidRPr="00EC2525">
              <w:rPr>
                <w:rFonts w:ascii="Arial" w:hAnsi="Arial" w:cs="Arial"/>
                <w:b/>
                <w:bCs/>
              </w:rPr>
              <w:t>Village Centres</w:t>
            </w:r>
          </w:p>
        </w:tc>
      </w:tr>
      <w:tr w:rsidR="00897F16" w:rsidRPr="00EC2525" w14:paraId="0F9E0203" w14:textId="77777777" w:rsidTr="00897F16">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D09E4" w14:textId="77777777" w:rsidR="00897F16" w:rsidRPr="00EC2525" w:rsidRDefault="00897F16">
            <w:pPr>
              <w:rPr>
                <w:rFonts w:ascii="Arial" w:hAnsi="Arial" w:cs="Arial"/>
              </w:rPr>
            </w:pPr>
            <w:r w:rsidRPr="00EC2525">
              <w:rPr>
                <w:rFonts w:ascii="Arial" w:hAnsi="Arial" w:cs="Arial"/>
              </w:rPr>
              <w:t>Highworth Town Centre</w:t>
            </w:r>
          </w:p>
          <w:p w14:paraId="5F6146D1" w14:textId="77777777" w:rsidR="00897F16" w:rsidRPr="00EC2525" w:rsidRDefault="00897F16">
            <w:pPr>
              <w:rPr>
                <w:rFonts w:ascii="Arial" w:hAnsi="Arial" w:cs="Arial"/>
              </w:rPr>
            </w:pPr>
            <w:r w:rsidRPr="00EC2525">
              <w:rPr>
                <w:rFonts w:ascii="Arial" w:hAnsi="Arial" w:cs="Arial"/>
              </w:rPr>
              <w:t>Wroughton Village Centre</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1E6BBB5" w14:textId="77777777" w:rsidR="00897F16" w:rsidRPr="00EC2525" w:rsidRDefault="00897F16">
            <w:pPr>
              <w:rPr>
                <w:rFonts w:ascii="Arial" w:hAnsi="Arial" w:cs="Arial"/>
              </w:rPr>
            </w:pPr>
            <w:r w:rsidRPr="00EC2525">
              <w:rPr>
                <w:rFonts w:ascii="Arial" w:hAnsi="Arial" w:cs="Arial"/>
              </w:rPr>
              <w:t xml:space="preserve">Highworth </w:t>
            </w:r>
          </w:p>
          <w:p w14:paraId="7BBBEB49" w14:textId="77777777" w:rsidR="00897F16" w:rsidRPr="00EC2525" w:rsidRDefault="00897F16">
            <w:pPr>
              <w:rPr>
                <w:rFonts w:ascii="Arial" w:hAnsi="Arial" w:cs="Arial"/>
              </w:rPr>
            </w:pPr>
            <w:r w:rsidRPr="00EC2525">
              <w:rPr>
                <w:rFonts w:ascii="Arial" w:hAnsi="Arial" w:cs="Arial"/>
              </w:rPr>
              <w:t xml:space="preserve">Wroughton </w:t>
            </w:r>
          </w:p>
          <w:p w14:paraId="733E5C3B" w14:textId="3385E7F1" w:rsidR="00897F16" w:rsidRPr="00EC2525" w:rsidRDefault="00897F16">
            <w:pPr>
              <w:rPr>
                <w:rFonts w:ascii="Arial" w:hAnsi="Arial" w:cs="Arial"/>
              </w:rPr>
            </w:pPr>
            <w:r w:rsidRPr="00EC2525">
              <w:rPr>
                <w:rFonts w:ascii="Arial" w:hAnsi="Arial" w:cs="Arial"/>
              </w:rPr>
              <w:t>Kingsdown (Proposed)</w:t>
            </w:r>
          </w:p>
          <w:p w14:paraId="3A65486F" w14:textId="3201085A" w:rsidR="00897F16" w:rsidRPr="00EC2525" w:rsidRDefault="00897F16">
            <w:pPr>
              <w:rPr>
                <w:rFonts w:ascii="Arial" w:hAnsi="Arial" w:cs="Arial"/>
              </w:rPr>
            </w:pPr>
            <w:r w:rsidRPr="00EC2525">
              <w:rPr>
                <w:rFonts w:ascii="Arial" w:hAnsi="Arial" w:cs="Arial"/>
              </w:rPr>
              <w:t>South Marston (Proposed)</w:t>
            </w:r>
          </w:p>
          <w:p w14:paraId="5A988DAF" w14:textId="3688DD23" w:rsidR="00897F16" w:rsidRPr="00EC2525" w:rsidRDefault="00897F16">
            <w:pPr>
              <w:rPr>
                <w:rFonts w:ascii="Arial" w:hAnsi="Arial" w:cs="Arial"/>
              </w:rPr>
            </w:pPr>
            <w:r w:rsidRPr="00EC2525">
              <w:rPr>
                <w:rFonts w:ascii="Arial" w:hAnsi="Arial" w:cs="Arial"/>
              </w:rPr>
              <w:t>Rowborough (Proposed)</w:t>
            </w:r>
          </w:p>
          <w:p w14:paraId="298057BB" w14:textId="0FC6DA47" w:rsidR="00897F16" w:rsidRPr="00EC2525" w:rsidRDefault="00897F16">
            <w:pPr>
              <w:rPr>
                <w:rFonts w:ascii="Arial" w:hAnsi="Arial" w:cs="Arial"/>
              </w:rPr>
            </w:pPr>
            <w:r w:rsidRPr="00EC2525">
              <w:rPr>
                <w:rFonts w:ascii="Arial" w:hAnsi="Arial" w:cs="Arial"/>
              </w:rPr>
              <w:t>Lotmead / Lower Lotmead (Proposed)</w:t>
            </w:r>
          </w:p>
          <w:p w14:paraId="3BB25CA7" w14:textId="5A723A2E" w:rsidR="00897F16" w:rsidRPr="00EC2525" w:rsidRDefault="00897F16">
            <w:pPr>
              <w:rPr>
                <w:rFonts w:ascii="Arial" w:hAnsi="Arial" w:cs="Arial"/>
              </w:rPr>
            </w:pPr>
            <w:r w:rsidRPr="00EC2525">
              <w:rPr>
                <w:rFonts w:ascii="Arial" w:hAnsi="Arial" w:cs="Arial"/>
              </w:rPr>
              <w:t>Great Stall East (Proposed)</w:t>
            </w:r>
          </w:p>
          <w:p w14:paraId="44994397" w14:textId="67B10EF0" w:rsidR="00897F16" w:rsidRPr="00EC2525" w:rsidRDefault="00897F16">
            <w:pPr>
              <w:rPr>
                <w:rFonts w:ascii="Arial" w:hAnsi="Arial" w:cs="Arial"/>
              </w:rPr>
            </w:pPr>
            <w:r w:rsidRPr="00EC2525">
              <w:rPr>
                <w:rFonts w:ascii="Arial" w:hAnsi="Arial" w:cs="Arial"/>
              </w:rPr>
              <w:t>Foxbridge (Proposed)</w:t>
            </w:r>
          </w:p>
          <w:p w14:paraId="46C2D84A" w14:textId="4CE1A9B6" w:rsidR="00897F16" w:rsidRPr="00EC2525" w:rsidRDefault="00897F16">
            <w:pPr>
              <w:rPr>
                <w:rFonts w:ascii="Arial" w:hAnsi="Arial" w:cs="Arial"/>
              </w:rPr>
            </w:pPr>
            <w:r w:rsidRPr="00EC2525">
              <w:rPr>
                <w:rFonts w:ascii="Arial" w:hAnsi="Arial" w:cs="Arial"/>
              </w:rPr>
              <w:t>Redlands (Proposed)</w:t>
            </w:r>
          </w:p>
        </w:tc>
      </w:tr>
    </w:tbl>
    <w:p w14:paraId="7B5846BB" w14:textId="19666745" w:rsidR="00140AEE" w:rsidRDefault="00140AEE" w:rsidP="00167503">
      <w:pPr>
        <w:pStyle w:val="Default"/>
        <w:rPr>
          <w:sz w:val="22"/>
          <w:szCs w:val="22"/>
        </w:rPr>
      </w:pPr>
    </w:p>
    <w:p w14:paraId="1B5740B7" w14:textId="77777777" w:rsidR="002B20E9" w:rsidRDefault="002B20E9" w:rsidP="0093341A">
      <w:pPr>
        <w:pStyle w:val="Default"/>
        <w:numPr>
          <w:ilvl w:val="0"/>
          <w:numId w:val="10"/>
        </w:numPr>
        <w:ind w:left="709" w:hanging="425"/>
        <w:rPr>
          <w:sz w:val="22"/>
          <w:szCs w:val="22"/>
        </w:rPr>
      </w:pPr>
      <w:r>
        <w:rPr>
          <w:sz w:val="22"/>
          <w:szCs w:val="22"/>
        </w:rPr>
        <w:t>The study should differentiate between:</w:t>
      </w:r>
    </w:p>
    <w:p w14:paraId="0F7C078A" w14:textId="77777777" w:rsidR="002B20E9" w:rsidRDefault="002B20E9" w:rsidP="002B20E9">
      <w:pPr>
        <w:pStyle w:val="Default"/>
        <w:ind w:left="709"/>
        <w:rPr>
          <w:sz w:val="22"/>
          <w:szCs w:val="22"/>
        </w:rPr>
      </w:pPr>
    </w:p>
    <w:p w14:paraId="4367211E" w14:textId="66A25332" w:rsidR="002B20E9" w:rsidRDefault="002B20E9" w:rsidP="0093341A">
      <w:pPr>
        <w:pStyle w:val="Default"/>
        <w:numPr>
          <w:ilvl w:val="0"/>
          <w:numId w:val="25"/>
        </w:numPr>
        <w:rPr>
          <w:sz w:val="22"/>
          <w:szCs w:val="22"/>
        </w:rPr>
      </w:pPr>
      <w:r>
        <w:rPr>
          <w:sz w:val="22"/>
          <w:szCs w:val="22"/>
        </w:rPr>
        <w:t>‘town centres’ as defined under the NPPF;</w:t>
      </w:r>
    </w:p>
    <w:p w14:paraId="3DA3BB39" w14:textId="47660E34" w:rsidR="002B20E9" w:rsidRDefault="002B20E9" w:rsidP="0093341A">
      <w:pPr>
        <w:pStyle w:val="Default"/>
        <w:numPr>
          <w:ilvl w:val="0"/>
          <w:numId w:val="25"/>
        </w:numPr>
        <w:rPr>
          <w:sz w:val="22"/>
          <w:szCs w:val="22"/>
        </w:rPr>
      </w:pPr>
      <w:r>
        <w:rPr>
          <w:sz w:val="22"/>
          <w:szCs w:val="22"/>
        </w:rPr>
        <w:t>small parades of shops of purely neighbourhood significance, and</w:t>
      </w:r>
    </w:p>
    <w:p w14:paraId="7D1C655F" w14:textId="70A48054" w:rsidR="003864B3" w:rsidRDefault="002B20E9" w:rsidP="003864B3">
      <w:pPr>
        <w:pStyle w:val="Default"/>
        <w:numPr>
          <w:ilvl w:val="0"/>
          <w:numId w:val="25"/>
        </w:numPr>
        <w:rPr>
          <w:sz w:val="22"/>
          <w:szCs w:val="22"/>
        </w:rPr>
      </w:pPr>
      <w:r>
        <w:rPr>
          <w:sz w:val="22"/>
          <w:szCs w:val="22"/>
        </w:rPr>
        <w:t>existing out</w:t>
      </w:r>
      <w:r w:rsidR="008C0898">
        <w:rPr>
          <w:sz w:val="22"/>
          <w:szCs w:val="22"/>
        </w:rPr>
        <w:t>-</w:t>
      </w:r>
      <w:r>
        <w:rPr>
          <w:sz w:val="22"/>
          <w:szCs w:val="22"/>
        </w:rPr>
        <w:t>of</w:t>
      </w:r>
      <w:r w:rsidR="008C0898">
        <w:rPr>
          <w:sz w:val="22"/>
          <w:szCs w:val="22"/>
        </w:rPr>
        <w:t>-</w:t>
      </w:r>
      <w:r>
        <w:rPr>
          <w:sz w:val="22"/>
          <w:szCs w:val="22"/>
        </w:rPr>
        <w:t xml:space="preserve">centre developments.   </w:t>
      </w:r>
    </w:p>
    <w:p w14:paraId="71DC196A" w14:textId="23C7DDF0" w:rsidR="006A0F20" w:rsidRDefault="006A0F20" w:rsidP="006A0F20">
      <w:pPr>
        <w:pStyle w:val="Default"/>
        <w:rPr>
          <w:sz w:val="22"/>
          <w:szCs w:val="22"/>
        </w:rPr>
      </w:pPr>
    </w:p>
    <w:p w14:paraId="4599FF5A" w14:textId="70D0CE10" w:rsidR="006A0F20" w:rsidRPr="006A0F20" w:rsidRDefault="006A0F20" w:rsidP="006A0F20">
      <w:pPr>
        <w:pStyle w:val="Default"/>
        <w:numPr>
          <w:ilvl w:val="0"/>
          <w:numId w:val="10"/>
        </w:numPr>
        <w:ind w:left="709" w:hanging="425"/>
        <w:rPr>
          <w:sz w:val="22"/>
          <w:szCs w:val="22"/>
        </w:rPr>
      </w:pPr>
      <w:r w:rsidRPr="006A0F20">
        <w:rPr>
          <w:sz w:val="22"/>
          <w:szCs w:val="22"/>
        </w:rPr>
        <w:t xml:space="preserve">Specific advice </w:t>
      </w:r>
      <w:r w:rsidRPr="006A0F20">
        <w:rPr>
          <w:bCs/>
          <w:sz w:val="22"/>
          <w:szCs w:val="22"/>
        </w:rPr>
        <w:t>and recommendations are sought on defining a robust town centre network and hierarchy, with some reflection and commentary around how the New Eastern Villages growth could impact the vitality and viability of established centres, particularly Swindon Town Centre.</w:t>
      </w:r>
    </w:p>
    <w:p w14:paraId="5F0DFBCA" w14:textId="77777777" w:rsidR="002B20E9" w:rsidRDefault="002B20E9" w:rsidP="00167503">
      <w:pPr>
        <w:pStyle w:val="Default"/>
        <w:rPr>
          <w:sz w:val="22"/>
          <w:szCs w:val="22"/>
        </w:rPr>
      </w:pPr>
    </w:p>
    <w:p w14:paraId="6F50D640" w14:textId="3E3C2D6B" w:rsidR="00B667B5" w:rsidRDefault="00B667B5" w:rsidP="00B667B5">
      <w:pPr>
        <w:pStyle w:val="Default"/>
        <w:rPr>
          <w:b/>
        </w:rPr>
      </w:pPr>
      <w:r w:rsidRPr="009A6490">
        <w:rPr>
          <w:b/>
        </w:rPr>
        <w:t xml:space="preserve">Part </w:t>
      </w:r>
      <w:r w:rsidR="00C33EFC">
        <w:rPr>
          <w:b/>
        </w:rPr>
        <w:t>B</w:t>
      </w:r>
      <w:r w:rsidRPr="009A6490">
        <w:rPr>
          <w:b/>
        </w:rPr>
        <w:t xml:space="preserve"> – </w:t>
      </w:r>
      <w:r w:rsidR="00C33EFC">
        <w:rPr>
          <w:b/>
        </w:rPr>
        <w:t>Retail and Service Provision</w:t>
      </w:r>
      <w:r w:rsidR="00B177C0">
        <w:rPr>
          <w:b/>
        </w:rPr>
        <w:t xml:space="preserve">: </w:t>
      </w:r>
      <w:r w:rsidR="00C33EFC">
        <w:rPr>
          <w:b/>
        </w:rPr>
        <w:t>Centre Health</w:t>
      </w:r>
      <w:r w:rsidR="006E0B1A">
        <w:rPr>
          <w:b/>
        </w:rPr>
        <w:t xml:space="preserve"> C</w:t>
      </w:r>
      <w:r w:rsidR="00C33EFC">
        <w:rPr>
          <w:b/>
        </w:rPr>
        <w:t>hecks</w:t>
      </w:r>
    </w:p>
    <w:p w14:paraId="078F146A" w14:textId="170EE5FA" w:rsidR="00C33EFC" w:rsidRDefault="00C33EFC" w:rsidP="00B667B5">
      <w:pPr>
        <w:pStyle w:val="Default"/>
        <w:rPr>
          <w:b/>
        </w:rPr>
      </w:pPr>
    </w:p>
    <w:p w14:paraId="31995587" w14:textId="32B9AC0A" w:rsidR="00C33EFC" w:rsidRPr="006E0B1A" w:rsidRDefault="00D34C8B" w:rsidP="0093341A">
      <w:pPr>
        <w:pStyle w:val="Default"/>
        <w:numPr>
          <w:ilvl w:val="0"/>
          <w:numId w:val="10"/>
        </w:numPr>
        <w:ind w:left="709" w:hanging="425"/>
        <w:rPr>
          <w:b/>
          <w:sz w:val="22"/>
          <w:szCs w:val="22"/>
        </w:rPr>
      </w:pPr>
      <w:r w:rsidRPr="002F77F3">
        <w:rPr>
          <w:sz w:val="22"/>
          <w:szCs w:val="22"/>
        </w:rPr>
        <w:t xml:space="preserve">The Council is keen </w:t>
      </w:r>
      <w:r w:rsidR="002F77F3" w:rsidRPr="002F77F3">
        <w:rPr>
          <w:sz w:val="22"/>
          <w:szCs w:val="22"/>
        </w:rPr>
        <w:t>that an</w:t>
      </w:r>
      <w:r w:rsidRPr="002F77F3">
        <w:rPr>
          <w:sz w:val="22"/>
          <w:szCs w:val="22"/>
        </w:rPr>
        <w:t xml:space="preserve"> upd</w:t>
      </w:r>
      <w:r w:rsidR="00171548" w:rsidRPr="002F77F3">
        <w:rPr>
          <w:sz w:val="22"/>
          <w:szCs w:val="22"/>
        </w:rPr>
        <w:t>a</w:t>
      </w:r>
      <w:r w:rsidRPr="002F77F3">
        <w:rPr>
          <w:sz w:val="22"/>
          <w:szCs w:val="22"/>
        </w:rPr>
        <w:t xml:space="preserve">ted </w:t>
      </w:r>
      <w:r w:rsidR="006E0B1A">
        <w:rPr>
          <w:sz w:val="22"/>
          <w:szCs w:val="22"/>
        </w:rPr>
        <w:t>‘</w:t>
      </w:r>
      <w:r w:rsidR="00171548" w:rsidRPr="002F77F3">
        <w:rPr>
          <w:sz w:val="22"/>
          <w:szCs w:val="22"/>
        </w:rPr>
        <w:t>health</w:t>
      </w:r>
      <w:r w:rsidR="006E0B1A">
        <w:rPr>
          <w:sz w:val="22"/>
          <w:szCs w:val="22"/>
        </w:rPr>
        <w:t xml:space="preserve"> </w:t>
      </w:r>
      <w:r w:rsidR="00171548" w:rsidRPr="002F77F3">
        <w:rPr>
          <w:sz w:val="22"/>
          <w:szCs w:val="22"/>
        </w:rPr>
        <w:t>check</w:t>
      </w:r>
      <w:r w:rsidR="006E0B1A">
        <w:rPr>
          <w:sz w:val="22"/>
          <w:szCs w:val="22"/>
        </w:rPr>
        <w:t>’</w:t>
      </w:r>
      <w:r w:rsidR="00171548" w:rsidRPr="002F77F3">
        <w:rPr>
          <w:sz w:val="22"/>
          <w:szCs w:val="22"/>
        </w:rPr>
        <w:t xml:space="preserve"> </w:t>
      </w:r>
      <w:r w:rsidRPr="002F77F3">
        <w:rPr>
          <w:sz w:val="22"/>
          <w:szCs w:val="22"/>
        </w:rPr>
        <w:t xml:space="preserve">is undertaken </w:t>
      </w:r>
      <w:r w:rsidR="00171548" w:rsidRPr="002F77F3">
        <w:rPr>
          <w:sz w:val="22"/>
          <w:szCs w:val="22"/>
        </w:rPr>
        <w:t xml:space="preserve">of the centres within the Borough with a </w:t>
      </w:r>
      <w:r w:rsidR="006E0B1A">
        <w:rPr>
          <w:sz w:val="22"/>
          <w:szCs w:val="22"/>
        </w:rPr>
        <w:t xml:space="preserve">similar </w:t>
      </w:r>
      <w:r w:rsidR="00171548" w:rsidRPr="002F77F3">
        <w:rPr>
          <w:sz w:val="22"/>
          <w:szCs w:val="22"/>
        </w:rPr>
        <w:t xml:space="preserve">methodology </w:t>
      </w:r>
      <w:r w:rsidR="006E0B1A">
        <w:rPr>
          <w:sz w:val="22"/>
          <w:szCs w:val="22"/>
        </w:rPr>
        <w:t>to</w:t>
      </w:r>
      <w:r w:rsidR="00171548" w:rsidRPr="002F77F3">
        <w:rPr>
          <w:sz w:val="22"/>
          <w:szCs w:val="22"/>
        </w:rPr>
        <w:t xml:space="preserve"> the </w:t>
      </w:r>
      <w:proofErr w:type="spellStart"/>
      <w:r w:rsidR="00171548" w:rsidRPr="002F77F3">
        <w:rPr>
          <w:sz w:val="22"/>
          <w:szCs w:val="22"/>
        </w:rPr>
        <w:t>Lichfields</w:t>
      </w:r>
      <w:proofErr w:type="spellEnd"/>
      <w:r w:rsidR="00171548" w:rsidRPr="002F77F3">
        <w:rPr>
          <w:sz w:val="22"/>
          <w:szCs w:val="22"/>
        </w:rPr>
        <w:t xml:space="preserve"> 2017 study for </w:t>
      </w:r>
      <w:r w:rsidR="006E0B1A">
        <w:rPr>
          <w:sz w:val="22"/>
          <w:szCs w:val="22"/>
        </w:rPr>
        <w:t xml:space="preserve">time period </w:t>
      </w:r>
      <w:r w:rsidR="00171548" w:rsidRPr="002F77F3">
        <w:rPr>
          <w:sz w:val="22"/>
          <w:szCs w:val="22"/>
        </w:rPr>
        <w:t xml:space="preserve">comparative purposes but which also expands the range of centres covered and some of the survey focus.  </w:t>
      </w:r>
      <w:r w:rsidR="006E0B1A">
        <w:rPr>
          <w:sz w:val="22"/>
          <w:szCs w:val="22"/>
        </w:rPr>
        <w:t>The methodology for the health check part of the study should be clearly set out in the tender submission.</w:t>
      </w:r>
    </w:p>
    <w:p w14:paraId="1809CF55" w14:textId="77777777" w:rsidR="006E0B1A" w:rsidRPr="006E0B1A" w:rsidRDefault="006E0B1A" w:rsidP="006E0B1A">
      <w:pPr>
        <w:pStyle w:val="Default"/>
        <w:ind w:left="709"/>
        <w:rPr>
          <w:b/>
          <w:sz w:val="22"/>
          <w:szCs w:val="22"/>
        </w:rPr>
      </w:pPr>
    </w:p>
    <w:p w14:paraId="65ADC991" w14:textId="19393C69" w:rsidR="006E0B1A" w:rsidRPr="006E0B1A" w:rsidRDefault="006E0B1A" w:rsidP="0093341A">
      <w:pPr>
        <w:pStyle w:val="Default"/>
        <w:numPr>
          <w:ilvl w:val="0"/>
          <w:numId w:val="10"/>
        </w:numPr>
        <w:ind w:left="709" w:hanging="425"/>
        <w:rPr>
          <w:sz w:val="22"/>
          <w:szCs w:val="22"/>
        </w:rPr>
      </w:pPr>
      <w:r w:rsidRPr="006E0B1A">
        <w:rPr>
          <w:sz w:val="22"/>
          <w:szCs w:val="22"/>
        </w:rPr>
        <w:t>A summary of the key elements of the health</w:t>
      </w:r>
      <w:r>
        <w:rPr>
          <w:sz w:val="22"/>
          <w:szCs w:val="22"/>
        </w:rPr>
        <w:t xml:space="preserve"> </w:t>
      </w:r>
      <w:r w:rsidRPr="006E0B1A">
        <w:rPr>
          <w:sz w:val="22"/>
          <w:szCs w:val="22"/>
        </w:rPr>
        <w:t xml:space="preserve">check from the previous study is outlined below in Table </w:t>
      </w:r>
      <w:r w:rsidR="003864B3">
        <w:rPr>
          <w:sz w:val="22"/>
          <w:szCs w:val="22"/>
        </w:rPr>
        <w:t>5</w:t>
      </w:r>
      <w:r w:rsidRPr="006E0B1A">
        <w:rPr>
          <w:sz w:val="22"/>
          <w:szCs w:val="22"/>
        </w:rPr>
        <w:t xml:space="preserve">, plus commentary from the Council on additional, supplementary or supporting work undertaken.  </w:t>
      </w:r>
    </w:p>
    <w:p w14:paraId="308A0974" w14:textId="11372632" w:rsidR="00D6010A" w:rsidRDefault="00D6010A" w:rsidP="00167503">
      <w:pPr>
        <w:pStyle w:val="Default"/>
        <w:rPr>
          <w:sz w:val="22"/>
          <w:szCs w:val="22"/>
        </w:rPr>
      </w:pPr>
    </w:p>
    <w:p w14:paraId="0BC11526" w14:textId="09550323" w:rsidR="003864B3" w:rsidRDefault="003864B3" w:rsidP="00167503">
      <w:pPr>
        <w:pStyle w:val="Default"/>
        <w:rPr>
          <w:sz w:val="22"/>
          <w:szCs w:val="22"/>
        </w:rPr>
      </w:pPr>
    </w:p>
    <w:p w14:paraId="1D660F43" w14:textId="6F6443FF" w:rsidR="003864B3" w:rsidRDefault="003864B3" w:rsidP="00167503">
      <w:pPr>
        <w:pStyle w:val="Default"/>
        <w:rPr>
          <w:sz w:val="22"/>
          <w:szCs w:val="22"/>
        </w:rPr>
      </w:pPr>
    </w:p>
    <w:p w14:paraId="7491727D" w14:textId="0AE21222" w:rsidR="003864B3" w:rsidRDefault="003864B3" w:rsidP="00167503">
      <w:pPr>
        <w:pStyle w:val="Default"/>
        <w:rPr>
          <w:sz w:val="22"/>
          <w:szCs w:val="22"/>
        </w:rPr>
      </w:pPr>
    </w:p>
    <w:p w14:paraId="25651EE7" w14:textId="77777777" w:rsidR="001A42A6" w:rsidRDefault="001A42A6" w:rsidP="00167503">
      <w:pPr>
        <w:pStyle w:val="Default"/>
        <w:rPr>
          <w:sz w:val="22"/>
          <w:szCs w:val="22"/>
        </w:rPr>
      </w:pPr>
    </w:p>
    <w:p w14:paraId="2C3862E7" w14:textId="02A1B83F" w:rsidR="00D6010A" w:rsidRPr="005D3C7A" w:rsidRDefault="006E0B1A" w:rsidP="006E0B1A">
      <w:pPr>
        <w:pStyle w:val="Default"/>
        <w:ind w:left="709"/>
        <w:rPr>
          <w:b/>
          <w:sz w:val="22"/>
          <w:szCs w:val="22"/>
        </w:rPr>
      </w:pPr>
      <w:r w:rsidRPr="005D3C7A">
        <w:rPr>
          <w:b/>
          <w:sz w:val="22"/>
          <w:szCs w:val="22"/>
        </w:rPr>
        <w:t xml:space="preserve">Table </w:t>
      </w:r>
      <w:r w:rsidR="003864B3">
        <w:rPr>
          <w:b/>
          <w:sz w:val="22"/>
          <w:szCs w:val="22"/>
        </w:rPr>
        <w:t>5</w:t>
      </w:r>
      <w:r w:rsidRPr="005D3C7A">
        <w:rPr>
          <w:b/>
          <w:sz w:val="22"/>
          <w:szCs w:val="22"/>
        </w:rPr>
        <w:t>:</w:t>
      </w:r>
      <w:r w:rsidR="005D3C7A" w:rsidRPr="005D3C7A">
        <w:rPr>
          <w:b/>
          <w:sz w:val="22"/>
          <w:szCs w:val="22"/>
        </w:rPr>
        <w:t xml:space="preserve"> Components of the Health Check</w:t>
      </w:r>
    </w:p>
    <w:p w14:paraId="68C817AA" w14:textId="5F40BB09" w:rsidR="005D3C7A" w:rsidRDefault="005D3C7A" w:rsidP="006E0B1A">
      <w:pPr>
        <w:pStyle w:val="Default"/>
        <w:ind w:left="709"/>
        <w:rPr>
          <w:sz w:val="22"/>
          <w:szCs w:val="22"/>
        </w:rPr>
      </w:pPr>
    </w:p>
    <w:tbl>
      <w:tblPr>
        <w:tblW w:w="8307" w:type="dxa"/>
        <w:tblInd w:w="699" w:type="dxa"/>
        <w:tblCellMar>
          <w:left w:w="0" w:type="dxa"/>
          <w:right w:w="0" w:type="dxa"/>
        </w:tblCellMar>
        <w:tblLook w:val="04A0" w:firstRow="1" w:lastRow="0" w:firstColumn="1" w:lastColumn="0" w:noHBand="0" w:noVBand="1"/>
      </w:tblPr>
      <w:tblGrid>
        <w:gridCol w:w="2422"/>
        <w:gridCol w:w="2593"/>
        <w:gridCol w:w="3292"/>
      </w:tblGrid>
      <w:tr w:rsidR="001A42A6" w:rsidRPr="00EC2525" w14:paraId="45141D95" w14:textId="77777777" w:rsidTr="001A42A6">
        <w:tc>
          <w:tcPr>
            <w:tcW w:w="2422" w:type="dxa"/>
            <w:tcBorders>
              <w:top w:val="single" w:sz="8" w:space="0" w:color="auto"/>
              <w:left w:val="single" w:sz="8" w:space="0" w:color="auto"/>
              <w:bottom w:val="single" w:sz="8" w:space="0" w:color="auto"/>
              <w:right w:val="single" w:sz="4" w:space="0" w:color="auto"/>
            </w:tcBorders>
            <w:shd w:val="clear" w:color="auto" w:fill="00B0F0"/>
            <w:tcMar>
              <w:top w:w="0" w:type="dxa"/>
              <w:left w:w="108" w:type="dxa"/>
              <w:bottom w:w="0" w:type="dxa"/>
              <w:right w:w="108" w:type="dxa"/>
            </w:tcMar>
            <w:hideMark/>
          </w:tcPr>
          <w:p w14:paraId="4CFE0EF3" w14:textId="3F2F95F3" w:rsidR="001A42A6" w:rsidRPr="00EC2525" w:rsidRDefault="001A42A6" w:rsidP="00096941">
            <w:pPr>
              <w:rPr>
                <w:rFonts w:ascii="Arial" w:hAnsi="Arial" w:cs="Arial"/>
                <w:b/>
                <w:bCs/>
              </w:rPr>
            </w:pPr>
            <w:r>
              <w:rPr>
                <w:rFonts w:ascii="Arial" w:hAnsi="Arial" w:cs="Arial"/>
                <w:b/>
                <w:bCs/>
              </w:rPr>
              <w:t>Health Check Element</w:t>
            </w:r>
          </w:p>
        </w:tc>
        <w:tc>
          <w:tcPr>
            <w:tcW w:w="2593" w:type="dxa"/>
            <w:tcBorders>
              <w:top w:val="single" w:sz="4" w:space="0" w:color="auto"/>
              <w:left w:val="single" w:sz="4" w:space="0" w:color="auto"/>
              <w:bottom w:val="single" w:sz="4" w:space="0" w:color="auto"/>
              <w:right w:val="single" w:sz="4" w:space="0" w:color="auto"/>
            </w:tcBorders>
            <w:shd w:val="clear" w:color="auto" w:fill="00B0F0"/>
          </w:tcPr>
          <w:p w14:paraId="4096D187" w14:textId="660BAF0D" w:rsidR="001A42A6" w:rsidRDefault="001A42A6" w:rsidP="00096941">
            <w:pPr>
              <w:rPr>
                <w:rFonts w:ascii="Arial" w:hAnsi="Arial" w:cs="Arial"/>
                <w:b/>
                <w:bCs/>
              </w:rPr>
            </w:pPr>
            <w:r>
              <w:rPr>
                <w:rFonts w:ascii="Arial" w:hAnsi="Arial" w:cs="Arial"/>
                <w:b/>
                <w:bCs/>
              </w:rPr>
              <w:t xml:space="preserve"> Work Tasks</w:t>
            </w:r>
          </w:p>
        </w:tc>
        <w:tc>
          <w:tcPr>
            <w:tcW w:w="3292" w:type="dxa"/>
            <w:tcBorders>
              <w:top w:val="single" w:sz="8" w:space="0" w:color="auto"/>
              <w:left w:val="single" w:sz="4" w:space="0" w:color="auto"/>
              <w:bottom w:val="single" w:sz="8" w:space="0" w:color="auto"/>
              <w:right w:val="single" w:sz="8" w:space="0" w:color="auto"/>
            </w:tcBorders>
            <w:shd w:val="clear" w:color="auto" w:fill="00B0F0"/>
            <w:tcMar>
              <w:top w:w="0" w:type="dxa"/>
              <w:left w:w="108" w:type="dxa"/>
              <w:bottom w:w="0" w:type="dxa"/>
              <w:right w:w="108" w:type="dxa"/>
            </w:tcMar>
            <w:hideMark/>
          </w:tcPr>
          <w:p w14:paraId="49906F8C" w14:textId="1CB75724" w:rsidR="001A42A6" w:rsidRPr="00EC2525" w:rsidRDefault="001A42A6" w:rsidP="00096941">
            <w:pPr>
              <w:rPr>
                <w:rFonts w:ascii="Arial" w:hAnsi="Arial" w:cs="Arial"/>
                <w:b/>
                <w:bCs/>
              </w:rPr>
            </w:pPr>
            <w:r>
              <w:rPr>
                <w:rFonts w:ascii="Arial" w:hAnsi="Arial" w:cs="Arial"/>
                <w:b/>
                <w:bCs/>
              </w:rPr>
              <w:t>Notes</w:t>
            </w:r>
          </w:p>
        </w:tc>
      </w:tr>
      <w:tr w:rsidR="007B3F3C" w:rsidRPr="00EC2525" w14:paraId="67177555" w14:textId="77777777" w:rsidTr="001A42A6">
        <w:trPr>
          <w:trHeight w:val="530"/>
        </w:trPr>
        <w:tc>
          <w:tcPr>
            <w:tcW w:w="2422"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52B0E3E5" w14:textId="6FD2BD62" w:rsidR="007B3F3C" w:rsidRDefault="007B3F3C" w:rsidP="00096941">
            <w:pPr>
              <w:rPr>
                <w:rFonts w:ascii="Arial" w:hAnsi="Arial" w:cs="Arial"/>
                <w:b/>
              </w:rPr>
            </w:pPr>
            <w:r>
              <w:rPr>
                <w:rFonts w:ascii="Arial" w:hAnsi="Arial" w:cs="Arial"/>
                <w:b/>
              </w:rPr>
              <w:t>Population Profile</w:t>
            </w:r>
          </w:p>
          <w:p w14:paraId="5FBADFAB" w14:textId="77777777" w:rsidR="007B3F3C" w:rsidRDefault="007B3F3C" w:rsidP="00096941">
            <w:pPr>
              <w:rPr>
                <w:rFonts w:ascii="Arial" w:hAnsi="Arial" w:cs="Arial"/>
                <w:b/>
              </w:rPr>
            </w:pPr>
          </w:p>
          <w:p w14:paraId="648C373E" w14:textId="6723B3F0" w:rsidR="007B3F3C" w:rsidRPr="006645A7" w:rsidRDefault="007B3F3C" w:rsidP="00096941">
            <w:pPr>
              <w:rPr>
                <w:rFonts w:ascii="Arial" w:hAnsi="Arial" w:cs="Arial"/>
                <w:b/>
              </w:rPr>
            </w:pPr>
          </w:p>
        </w:tc>
        <w:tc>
          <w:tcPr>
            <w:tcW w:w="2593" w:type="dxa"/>
            <w:tcBorders>
              <w:top w:val="single" w:sz="4" w:space="0" w:color="auto"/>
              <w:left w:val="single" w:sz="4" w:space="0" w:color="auto"/>
              <w:bottom w:val="single" w:sz="4" w:space="0" w:color="auto"/>
              <w:right w:val="single" w:sz="4" w:space="0" w:color="auto"/>
            </w:tcBorders>
          </w:tcPr>
          <w:p w14:paraId="72302EDF" w14:textId="7C6BED86" w:rsidR="007B3F3C" w:rsidRDefault="00B17C52" w:rsidP="001A42A6">
            <w:pPr>
              <w:ind w:left="127"/>
              <w:rPr>
                <w:rFonts w:ascii="Arial" w:hAnsi="Arial" w:cs="Arial"/>
              </w:rPr>
            </w:pPr>
            <w:r>
              <w:rPr>
                <w:rFonts w:ascii="Arial" w:hAnsi="Arial" w:cs="Arial"/>
              </w:rPr>
              <w:t>Over</w:t>
            </w:r>
            <w:r w:rsidR="00D43D18">
              <w:rPr>
                <w:rFonts w:ascii="Arial" w:hAnsi="Arial" w:cs="Arial"/>
              </w:rPr>
              <w:t>all</w:t>
            </w:r>
            <w:r>
              <w:rPr>
                <w:rFonts w:ascii="Arial" w:hAnsi="Arial" w:cs="Arial"/>
              </w:rPr>
              <w:t xml:space="preserve"> Borough p</w:t>
            </w:r>
            <w:r w:rsidR="007B3F3C">
              <w:rPr>
                <w:rFonts w:ascii="Arial" w:hAnsi="Arial" w:cs="Arial"/>
              </w:rPr>
              <w:t>opulation profile</w:t>
            </w:r>
            <w:r w:rsidR="00D43D18">
              <w:rPr>
                <w:rFonts w:ascii="Arial" w:hAnsi="Arial" w:cs="Arial"/>
              </w:rPr>
              <w:t xml:space="preserve"> with sub-areas</w:t>
            </w:r>
            <w:r w:rsidR="007B3F3C">
              <w:rPr>
                <w:rFonts w:ascii="Arial" w:hAnsi="Arial" w:cs="Arial"/>
              </w:rPr>
              <w:t xml:space="preserve">, including </w:t>
            </w:r>
            <w:r>
              <w:rPr>
                <w:rFonts w:ascii="Arial" w:hAnsi="Arial" w:cs="Arial"/>
              </w:rPr>
              <w:t xml:space="preserve">income levels and any </w:t>
            </w:r>
            <w:r w:rsidR="00D43D18">
              <w:rPr>
                <w:rFonts w:ascii="Arial" w:hAnsi="Arial" w:cs="Arial"/>
              </w:rPr>
              <w:t>customer segmentations.</w:t>
            </w:r>
            <w:r>
              <w:rPr>
                <w:rFonts w:ascii="Arial" w:hAnsi="Arial" w:cs="Arial"/>
              </w:rPr>
              <w:t xml:space="preserve"> </w:t>
            </w:r>
          </w:p>
        </w:tc>
        <w:tc>
          <w:tcPr>
            <w:tcW w:w="329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D8309B0" w14:textId="3B2194A5" w:rsidR="007B3F3C" w:rsidRDefault="00B17C52" w:rsidP="00096941">
            <w:pPr>
              <w:rPr>
                <w:rFonts w:ascii="Arial" w:hAnsi="Arial" w:cs="Arial"/>
              </w:rPr>
            </w:pPr>
            <w:r>
              <w:rPr>
                <w:rFonts w:ascii="Arial" w:hAnsi="Arial" w:cs="Arial"/>
              </w:rPr>
              <w:t xml:space="preserve">This may include the use of </w:t>
            </w:r>
            <w:r w:rsidR="00D43D18">
              <w:rPr>
                <w:rFonts w:ascii="Arial" w:hAnsi="Arial" w:cs="Arial"/>
              </w:rPr>
              <w:t xml:space="preserve">Experian </w:t>
            </w:r>
            <w:r>
              <w:rPr>
                <w:rFonts w:ascii="Arial" w:hAnsi="Arial" w:cs="Arial"/>
              </w:rPr>
              <w:t>Mos</w:t>
            </w:r>
            <w:r w:rsidR="00772E07">
              <w:rPr>
                <w:rFonts w:ascii="Arial" w:hAnsi="Arial" w:cs="Arial"/>
              </w:rPr>
              <w:t>ai</w:t>
            </w:r>
            <w:r>
              <w:rPr>
                <w:rFonts w:ascii="Arial" w:hAnsi="Arial" w:cs="Arial"/>
              </w:rPr>
              <w:t xml:space="preserve">c or similar.  </w:t>
            </w:r>
          </w:p>
        </w:tc>
      </w:tr>
      <w:tr w:rsidR="001A42A6" w:rsidRPr="00EC2525" w14:paraId="2C137B79" w14:textId="77777777" w:rsidTr="001A42A6">
        <w:trPr>
          <w:trHeight w:val="530"/>
        </w:trPr>
        <w:tc>
          <w:tcPr>
            <w:tcW w:w="242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AD02A05" w14:textId="507DE9BD" w:rsidR="001A42A6" w:rsidRPr="006645A7" w:rsidRDefault="001A42A6" w:rsidP="00096941">
            <w:pPr>
              <w:rPr>
                <w:rFonts w:ascii="Arial" w:hAnsi="Arial" w:cs="Arial"/>
                <w:b/>
              </w:rPr>
            </w:pPr>
            <w:r w:rsidRPr="006645A7">
              <w:rPr>
                <w:rFonts w:ascii="Arial" w:hAnsi="Arial" w:cs="Arial"/>
                <w:b/>
              </w:rPr>
              <w:t>Mix of Uses and Retailer Occupancy</w:t>
            </w:r>
          </w:p>
        </w:tc>
        <w:tc>
          <w:tcPr>
            <w:tcW w:w="2593" w:type="dxa"/>
            <w:tcBorders>
              <w:top w:val="single" w:sz="4" w:space="0" w:color="auto"/>
              <w:left w:val="single" w:sz="4" w:space="0" w:color="auto"/>
              <w:bottom w:val="single" w:sz="4" w:space="0" w:color="auto"/>
              <w:right w:val="single" w:sz="4" w:space="0" w:color="auto"/>
            </w:tcBorders>
          </w:tcPr>
          <w:p w14:paraId="1789A0FE" w14:textId="77777777" w:rsidR="001A42A6" w:rsidRDefault="001A42A6" w:rsidP="001A42A6">
            <w:pPr>
              <w:ind w:left="127"/>
              <w:rPr>
                <w:rFonts w:ascii="Arial" w:hAnsi="Arial" w:cs="Arial"/>
              </w:rPr>
            </w:pPr>
            <w:r>
              <w:rPr>
                <w:rFonts w:ascii="Arial" w:hAnsi="Arial" w:cs="Arial"/>
              </w:rPr>
              <w:t xml:space="preserve">Trend and comparative analysis – including regional / national benchmarking. </w:t>
            </w:r>
          </w:p>
          <w:p w14:paraId="59AED1A1" w14:textId="4319D7DB" w:rsidR="00E85B02" w:rsidRDefault="00E85B02" w:rsidP="00E85B02">
            <w:pPr>
              <w:ind w:left="127"/>
              <w:rPr>
                <w:rFonts w:ascii="Arial" w:hAnsi="Arial" w:cs="Arial"/>
              </w:rPr>
            </w:pPr>
            <w:r>
              <w:rPr>
                <w:rFonts w:ascii="Arial" w:hAnsi="Arial" w:cs="Arial"/>
              </w:rPr>
              <w:t>Vacancy levels will also need to be detailed and benchmarked.</w:t>
            </w:r>
          </w:p>
        </w:tc>
        <w:tc>
          <w:tcPr>
            <w:tcW w:w="329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71A03E0" w14:textId="74F0EC86" w:rsidR="001A42A6" w:rsidRPr="00EC2525" w:rsidRDefault="001A42A6" w:rsidP="00096941">
            <w:pPr>
              <w:rPr>
                <w:rFonts w:ascii="Arial" w:hAnsi="Arial" w:cs="Arial"/>
              </w:rPr>
            </w:pPr>
            <w:r>
              <w:rPr>
                <w:rFonts w:ascii="Arial" w:hAnsi="Arial" w:cs="Arial"/>
              </w:rPr>
              <w:t>Swindon Town Centre - GOAD GIS data and report available for 2022 survey period and in hard copy for periods previously.  The Council is undertaking similar survey analysis for other centres and this will be available for the consultant team.</w:t>
            </w:r>
          </w:p>
        </w:tc>
      </w:tr>
      <w:tr w:rsidR="001A42A6" w:rsidRPr="00EC2525" w14:paraId="2EA86D85" w14:textId="77777777" w:rsidTr="001A42A6">
        <w:tc>
          <w:tcPr>
            <w:tcW w:w="242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C868D7D" w14:textId="5497D15D" w:rsidR="001A42A6" w:rsidRPr="006645A7" w:rsidRDefault="001A42A6" w:rsidP="00096941">
            <w:pPr>
              <w:rPr>
                <w:rFonts w:ascii="Arial" w:hAnsi="Arial" w:cs="Arial"/>
                <w:b/>
              </w:rPr>
            </w:pPr>
            <w:r w:rsidRPr="006645A7">
              <w:rPr>
                <w:rFonts w:ascii="Arial" w:hAnsi="Arial" w:cs="Arial"/>
                <w:b/>
              </w:rPr>
              <w:t>Retailer Representation</w:t>
            </w:r>
          </w:p>
        </w:tc>
        <w:tc>
          <w:tcPr>
            <w:tcW w:w="2593" w:type="dxa"/>
            <w:tcBorders>
              <w:top w:val="single" w:sz="4" w:space="0" w:color="auto"/>
              <w:left w:val="single" w:sz="4" w:space="0" w:color="auto"/>
              <w:bottom w:val="single" w:sz="4" w:space="0" w:color="auto"/>
              <w:right w:val="single" w:sz="4" w:space="0" w:color="auto"/>
            </w:tcBorders>
          </w:tcPr>
          <w:p w14:paraId="61AE6B18" w14:textId="135187A9" w:rsidR="001A42A6" w:rsidRDefault="001A42A6" w:rsidP="001A42A6">
            <w:pPr>
              <w:ind w:left="127"/>
              <w:rPr>
                <w:rFonts w:ascii="Arial" w:hAnsi="Arial" w:cs="Arial"/>
              </w:rPr>
            </w:pPr>
            <w:r>
              <w:rPr>
                <w:rFonts w:ascii="Arial" w:hAnsi="Arial" w:cs="Arial"/>
              </w:rPr>
              <w:t>Breakdown and summary of unit / occupier types and extent of multiples.  Benchmarking against regional / national averages also required.</w:t>
            </w:r>
          </w:p>
        </w:tc>
        <w:tc>
          <w:tcPr>
            <w:tcW w:w="329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ED46D8C" w14:textId="2C6413B8" w:rsidR="001A42A6" w:rsidRDefault="00807D17" w:rsidP="00096941">
            <w:pPr>
              <w:rPr>
                <w:rFonts w:ascii="Arial" w:hAnsi="Arial" w:cs="Arial"/>
              </w:rPr>
            </w:pPr>
            <w:r>
              <w:rPr>
                <w:rFonts w:ascii="Arial" w:hAnsi="Arial" w:cs="Arial"/>
              </w:rPr>
              <w:t>General trade information will be supplied by the Council – opening hours / general constraints on trading</w:t>
            </w:r>
            <w:r w:rsidRPr="008A1725">
              <w:rPr>
                <w:rFonts w:ascii="Arial" w:hAnsi="Arial" w:cs="Arial"/>
              </w:rPr>
              <w:t>. This may include access to the former BID partnership data-sets.</w:t>
            </w:r>
            <w:r>
              <w:rPr>
                <w:rFonts w:ascii="Arial" w:hAnsi="Arial" w:cs="Arial"/>
              </w:rPr>
              <w:t xml:space="preserve"> </w:t>
            </w:r>
          </w:p>
          <w:p w14:paraId="118822B6" w14:textId="667B9808" w:rsidR="00807D17" w:rsidRPr="00EC2525" w:rsidRDefault="00807D17" w:rsidP="00096941">
            <w:pPr>
              <w:rPr>
                <w:rFonts w:ascii="Arial" w:hAnsi="Arial" w:cs="Arial"/>
              </w:rPr>
            </w:pPr>
          </w:p>
        </w:tc>
      </w:tr>
      <w:tr w:rsidR="001A42A6" w:rsidRPr="00EC2525" w14:paraId="6ED22C46" w14:textId="77777777" w:rsidTr="001A42A6">
        <w:tc>
          <w:tcPr>
            <w:tcW w:w="2422"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65C5CB76" w14:textId="543331D0" w:rsidR="001A42A6" w:rsidRPr="006645A7" w:rsidRDefault="001A42A6" w:rsidP="00096941">
            <w:pPr>
              <w:rPr>
                <w:rFonts w:ascii="Arial" w:hAnsi="Arial" w:cs="Arial"/>
                <w:b/>
                <w:bCs/>
              </w:rPr>
            </w:pPr>
            <w:r w:rsidRPr="006645A7">
              <w:rPr>
                <w:rFonts w:ascii="Arial" w:hAnsi="Arial" w:cs="Arial"/>
                <w:b/>
                <w:bCs/>
              </w:rPr>
              <w:t>Service Uses</w:t>
            </w:r>
          </w:p>
        </w:tc>
        <w:tc>
          <w:tcPr>
            <w:tcW w:w="2593" w:type="dxa"/>
            <w:tcBorders>
              <w:top w:val="single" w:sz="4" w:space="0" w:color="auto"/>
              <w:left w:val="single" w:sz="4" w:space="0" w:color="auto"/>
              <w:bottom w:val="single" w:sz="4" w:space="0" w:color="auto"/>
              <w:right w:val="single" w:sz="4" w:space="0" w:color="auto"/>
            </w:tcBorders>
          </w:tcPr>
          <w:p w14:paraId="30EC7F1A" w14:textId="3CD11D0E" w:rsidR="001A42A6" w:rsidRDefault="001A42A6" w:rsidP="001A42A6">
            <w:pPr>
              <w:ind w:left="127"/>
              <w:rPr>
                <w:rFonts w:ascii="Arial" w:hAnsi="Arial" w:cs="Arial"/>
              </w:rPr>
            </w:pPr>
            <w:r>
              <w:rPr>
                <w:rFonts w:ascii="Arial" w:hAnsi="Arial" w:cs="Arial"/>
              </w:rPr>
              <w:t xml:space="preserve">Non-retail breakdown and summaries. Benchmarking against regional / national averages also required. </w:t>
            </w:r>
          </w:p>
        </w:tc>
        <w:tc>
          <w:tcPr>
            <w:tcW w:w="329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1D90CF0" w14:textId="0C43057E" w:rsidR="001A42A6" w:rsidRPr="00EC2525" w:rsidRDefault="008A1725" w:rsidP="00096941">
            <w:pPr>
              <w:rPr>
                <w:rFonts w:ascii="Arial" w:hAnsi="Arial" w:cs="Arial"/>
              </w:rPr>
            </w:pPr>
            <w:r>
              <w:rPr>
                <w:rFonts w:ascii="Arial" w:hAnsi="Arial" w:cs="Arial"/>
              </w:rPr>
              <w:t>Base information will be supplied through survey work undertaken by the Council.</w:t>
            </w:r>
          </w:p>
        </w:tc>
      </w:tr>
      <w:tr w:rsidR="001A42A6" w:rsidRPr="00EC2525" w14:paraId="42B3BCA7" w14:textId="77777777" w:rsidTr="001A42A6">
        <w:tc>
          <w:tcPr>
            <w:tcW w:w="2422"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5CC9EB2A" w14:textId="1E3B0A1A" w:rsidR="001A42A6" w:rsidRPr="006645A7" w:rsidRDefault="001A42A6" w:rsidP="00096941">
            <w:pPr>
              <w:rPr>
                <w:rFonts w:ascii="Arial" w:hAnsi="Arial" w:cs="Arial"/>
                <w:b/>
              </w:rPr>
            </w:pPr>
            <w:r w:rsidRPr="006645A7">
              <w:rPr>
                <w:rFonts w:ascii="Arial" w:hAnsi="Arial" w:cs="Arial"/>
                <w:b/>
              </w:rPr>
              <w:t>Characteristics of the Shopping Area</w:t>
            </w:r>
          </w:p>
        </w:tc>
        <w:tc>
          <w:tcPr>
            <w:tcW w:w="2593" w:type="dxa"/>
            <w:tcBorders>
              <w:top w:val="single" w:sz="4" w:space="0" w:color="auto"/>
              <w:left w:val="single" w:sz="4" w:space="0" w:color="auto"/>
              <w:bottom w:val="single" w:sz="4" w:space="0" w:color="auto"/>
              <w:right w:val="single" w:sz="4" w:space="0" w:color="auto"/>
            </w:tcBorders>
          </w:tcPr>
          <w:p w14:paraId="6ADC015C" w14:textId="717771AE" w:rsidR="001A42A6" w:rsidRDefault="00660C38" w:rsidP="00E85B02">
            <w:pPr>
              <w:ind w:left="127"/>
              <w:rPr>
                <w:rFonts w:ascii="Arial" w:hAnsi="Arial" w:cs="Arial"/>
              </w:rPr>
            </w:pPr>
            <w:r>
              <w:rPr>
                <w:rFonts w:ascii="Arial" w:hAnsi="Arial" w:cs="Arial"/>
              </w:rPr>
              <w:t>Audit</w:t>
            </w:r>
            <w:r w:rsidR="00E85B02">
              <w:rPr>
                <w:rFonts w:ascii="Arial" w:hAnsi="Arial" w:cs="Arial"/>
              </w:rPr>
              <w:t xml:space="preserve"> of centres according to:</w:t>
            </w:r>
          </w:p>
          <w:p w14:paraId="0D31BA22" w14:textId="77777777" w:rsidR="00E85B02" w:rsidRDefault="00E85B02" w:rsidP="0093341A">
            <w:pPr>
              <w:pStyle w:val="ListParagraph"/>
              <w:numPr>
                <w:ilvl w:val="4"/>
                <w:numId w:val="5"/>
              </w:numPr>
              <w:ind w:left="428" w:hanging="283"/>
              <w:rPr>
                <w:rFonts w:ascii="Arial" w:hAnsi="Arial" w:cs="Arial"/>
              </w:rPr>
            </w:pPr>
            <w:r>
              <w:rPr>
                <w:rFonts w:ascii="Arial" w:hAnsi="Arial" w:cs="Arial"/>
              </w:rPr>
              <w:t>Regeneration / physical projects.</w:t>
            </w:r>
          </w:p>
          <w:p w14:paraId="338ED8AC" w14:textId="3BCA2D92" w:rsidR="00E85B02" w:rsidRDefault="00E85B02" w:rsidP="0093341A">
            <w:pPr>
              <w:pStyle w:val="ListParagraph"/>
              <w:numPr>
                <w:ilvl w:val="4"/>
                <w:numId w:val="5"/>
              </w:numPr>
              <w:ind w:left="428" w:hanging="283"/>
              <w:rPr>
                <w:rFonts w:ascii="Arial" w:hAnsi="Arial" w:cs="Arial"/>
              </w:rPr>
            </w:pPr>
            <w:r>
              <w:rPr>
                <w:rFonts w:ascii="Arial" w:hAnsi="Arial" w:cs="Arial"/>
              </w:rPr>
              <w:t>Local environmental quality.</w:t>
            </w:r>
          </w:p>
          <w:p w14:paraId="6BE26C40" w14:textId="77777777" w:rsidR="00E85B02" w:rsidRDefault="00E85B02" w:rsidP="0093341A">
            <w:pPr>
              <w:pStyle w:val="ListParagraph"/>
              <w:numPr>
                <w:ilvl w:val="4"/>
                <w:numId w:val="5"/>
              </w:numPr>
              <w:ind w:left="428" w:hanging="283"/>
              <w:rPr>
                <w:rFonts w:ascii="Arial" w:hAnsi="Arial" w:cs="Arial"/>
              </w:rPr>
            </w:pPr>
            <w:r>
              <w:rPr>
                <w:rFonts w:ascii="Arial" w:hAnsi="Arial" w:cs="Arial"/>
              </w:rPr>
              <w:t>Perception of safety.</w:t>
            </w:r>
          </w:p>
          <w:p w14:paraId="6C5D25F6" w14:textId="3E7B3BFB" w:rsidR="00E85B02" w:rsidRDefault="00E85B02" w:rsidP="0093341A">
            <w:pPr>
              <w:pStyle w:val="ListParagraph"/>
              <w:numPr>
                <w:ilvl w:val="4"/>
                <w:numId w:val="5"/>
              </w:numPr>
              <w:ind w:left="428" w:hanging="283"/>
              <w:rPr>
                <w:rFonts w:ascii="Arial" w:hAnsi="Arial" w:cs="Arial"/>
              </w:rPr>
            </w:pPr>
            <w:r>
              <w:rPr>
                <w:rFonts w:ascii="Arial" w:hAnsi="Arial" w:cs="Arial"/>
              </w:rPr>
              <w:t>Accessibility and movement</w:t>
            </w:r>
          </w:p>
          <w:p w14:paraId="008A630D" w14:textId="77777777" w:rsidR="00E85B02" w:rsidRDefault="00E85B02" w:rsidP="00E85B02">
            <w:pPr>
              <w:ind w:left="127"/>
              <w:rPr>
                <w:rFonts w:ascii="Arial" w:hAnsi="Arial" w:cs="Arial"/>
              </w:rPr>
            </w:pPr>
            <w:r>
              <w:rPr>
                <w:rFonts w:ascii="Arial" w:hAnsi="Arial" w:cs="Arial"/>
              </w:rPr>
              <w:t xml:space="preserve">Crime incident statistics would also be useful to </w:t>
            </w:r>
            <w:r>
              <w:rPr>
                <w:rFonts w:ascii="Arial" w:hAnsi="Arial" w:cs="Arial"/>
              </w:rPr>
              <w:lastRenderedPageBreak/>
              <w:t>all include within this section.</w:t>
            </w:r>
          </w:p>
          <w:p w14:paraId="2C429283" w14:textId="12504174" w:rsidR="00060345" w:rsidRPr="00E85B02" w:rsidRDefault="00060345" w:rsidP="00E85B02">
            <w:pPr>
              <w:ind w:left="127"/>
              <w:rPr>
                <w:rFonts w:ascii="Arial" w:hAnsi="Arial" w:cs="Arial"/>
              </w:rPr>
            </w:pPr>
            <w:r>
              <w:rPr>
                <w:rFonts w:ascii="Arial" w:hAnsi="Arial" w:cs="Arial"/>
              </w:rPr>
              <w:t>A wider review of centre accessibility will also ne</w:t>
            </w:r>
            <w:r w:rsidR="00772E07">
              <w:rPr>
                <w:rFonts w:ascii="Arial" w:hAnsi="Arial" w:cs="Arial"/>
              </w:rPr>
              <w:t>e</w:t>
            </w:r>
            <w:r>
              <w:rPr>
                <w:rFonts w:ascii="Arial" w:hAnsi="Arial" w:cs="Arial"/>
              </w:rPr>
              <w:t xml:space="preserve">d to be undertaken by the consultants looking at cycling, bus, rail and parking. </w:t>
            </w:r>
          </w:p>
        </w:tc>
        <w:tc>
          <w:tcPr>
            <w:tcW w:w="3292"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66221320" w14:textId="77777777" w:rsidR="001A42A6" w:rsidRDefault="001A42A6" w:rsidP="00096941">
            <w:pPr>
              <w:rPr>
                <w:rFonts w:ascii="Arial" w:hAnsi="Arial" w:cs="Arial"/>
              </w:rPr>
            </w:pPr>
            <w:r>
              <w:rPr>
                <w:rFonts w:ascii="Arial" w:hAnsi="Arial" w:cs="Arial"/>
              </w:rPr>
              <w:lastRenderedPageBreak/>
              <w:t xml:space="preserve">The Council can supply an overview of regeneration work and priorities </w:t>
            </w:r>
            <w:r w:rsidR="00E85B02">
              <w:rPr>
                <w:rFonts w:ascii="Arial" w:hAnsi="Arial" w:cs="Arial"/>
              </w:rPr>
              <w:t xml:space="preserve">in the town centre plus an overview of other centres. </w:t>
            </w:r>
          </w:p>
          <w:p w14:paraId="6CE834A3" w14:textId="77777777" w:rsidR="00E85B02" w:rsidRDefault="00E85B02" w:rsidP="00096941">
            <w:pPr>
              <w:rPr>
                <w:rFonts w:ascii="Arial" w:hAnsi="Arial" w:cs="Arial"/>
              </w:rPr>
            </w:pPr>
            <w:r>
              <w:rPr>
                <w:rFonts w:ascii="Arial" w:hAnsi="Arial" w:cs="Arial"/>
              </w:rPr>
              <w:t>As part of annual monitoring work, the Council will also provide raw audit data on environmental, safety and accessibility</w:t>
            </w:r>
            <w:r w:rsidR="00276CF6">
              <w:rPr>
                <w:rFonts w:ascii="Arial" w:hAnsi="Arial" w:cs="Arial"/>
              </w:rPr>
              <w:t xml:space="preserve"> </w:t>
            </w:r>
            <w:r>
              <w:rPr>
                <w:rFonts w:ascii="Arial" w:hAnsi="Arial" w:cs="Arial"/>
              </w:rPr>
              <w:t xml:space="preserve">for each centre. </w:t>
            </w:r>
          </w:p>
          <w:p w14:paraId="795266E4" w14:textId="77777777" w:rsidR="00060345" w:rsidRDefault="00060345" w:rsidP="00096941">
            <w:pPr>
              <w:rPr>
                <w:rFonts w:ascii="Arial" w:hAnsi="Arial" w:cs="Arial"/>
              </w:rPr>
            </w:pPr>
            <w:r>
              <w:rPr>
                <w:rFonts w:ascii="Arial" w:hAnsi="Arial" w:cs="Arial"/>
              </w:rPr>
              <w:lastRenderedPageBreak/>
              <w:t xml:space="preserve">Pedestrian flow data is available in part for Swindon Town Centre. </w:t>
            </w:r>
          </w:p>
          <w:p w14:paraId="695A27BF" w14:textId="13B53E2A" w:rsidR="00A86E89" w:rsidRPr="00EC2525" w:rsidRDefault="00A86E89" w:rsidP="00096941">
            <w:pPr>
              <w:rPr>
                <w:rFonts w:ascii="Arial" w:hAnsi="Arial" w:cs="Arial"/>
              </w:rPr>
            </w:pPr>
            <w:r>
              <w:rPr>
                <w:rFonts w:ascii="Arial" w:hAnsi="Arial" w:cs="Arial"/>
              </w:rPr>
              <w:t xml:space="preserve">Parish Councils may also hold very localised information which would be useful for the study as a whole. </w:t>
            </w:r>
          </w:p>
        </w:tc>
      </w:tr>
      <w:tr w:rsidR="001A42A6" w:rsidRPr="00EC2525" w14:paraId="75A84B3C" w14:textId="77777777" w:rsidTr="001A42A6">
        <w:tc>
          <w:tcPr>
            <w:tcW w:w="2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94046" w14:textId="2083DD6A" w:rsidR="001A42A6" w:rsidRPr="006645A7" w:rsidRDefault="00060345" w:rsidP="00096941">
            <w:pPr>
              <w:rPr>
                <w:rFonts w:ascii="Arial" w:hAnsi="Arial" w:cs="Arial"/>
                <w:b/>
              </w:rPr>
            </w:pPr>
            <w:r>
              <w:rPr>
                <w:rFonts w:ascii="Arial" w:hAnsi="Arial" w:cs="Arial"/>
                <w:b/>
              </w:rPr>
              <w:lastRenderedPageBreak/>
              <w:t>Customer Views on Shops and Services</w:t>
            </w:r>
          </w:p>
        </w:tc>
        <w:tc>
          <w:tcPr>
            <w:tcW w:w="2593" w:type="dxa"/>
            <w:tcBorders>
              <w:top w:val="single" w:sz="4" w:space="0" w:color="auto"/>
              <w:left w:val="single" w:sz="4" w:space="0" w:color="auto"/>
              <w:bottom w:val="single" w:sz="4" w:space="0" w:color="auto"/>
              <w:right w:val="single" w:sz="4" w:space="0" w:color="auto"/>
            </w:tcBorders>
          </w:tcPr>
          <w:p w14:paraId="658FA556" w14:textId="1AE23C07" w:rsidR="001A42A6" w:rsidRDefault="00060345" w:rsidP="00060345">
            <w:pPr>
              <w:ind w:left="127"/>
              <w:rPr>
                <w:rFonts w:ascii="Arial" w:hAnsi="Arial" w:cs="Arial"/>
              </w:rPr>
            </w:pPr>
            <w:r>
              <w:rPr>
                <w:rFonts w:ascii="Arial" w:hAnsi="Arial" w:cs="Arial"/>
              </w:rPr>
              <w:t xml:space="preserve">The Consultant team will need to organise household </w:t>
            </w:r>
            <w:r w:rsidR="00ED2D2F">
              <w:rPr>
                <w:rFonts w:ascii="Arial" w:hAnsi="Arial" w:cs="Arial"/>
              </w:rPr>
              <w:t xml:space="preserve">and possibly street </w:t>
            </w:r>
            <w:r>
              <w:rPr>
                <w:rFonts w:ascii="Arial" w:hAnsi="Arial" w:cs="Arial"/>
              </w:rPr>
              <w:t xml:space="preserve">surveys to gather </w:t>
            </w:r>
            <w:r w:rsidR="00807D17">
              <w:rPr>
                <w:rFonts w:ascii="Arial" w:hAnsi="Arial" w:cs="Arial"/>
              </w:rPr>
              <w:t>customer</w:t>
            </w:r>
            <w:r>
              <w:rPr>
                <w:rFonts w:ascii="Arial" w:hAnsi="Arial" w:cs="Arial"/>
              </w:rPr>
              <w:t xml:space="preserve"> views </w:t>
            </w:r>
            <w:r w:rsidR="00ED2D2F">
              <w:rPr>
                <w:rFonts w:ascii="Arial" w:hAnsi="Arial" w:cs="Arial"/>
              </w:rPr>
              <w:t xml:space="preserve">on shopping patterns </w:t>
            </w:r>
            <w:r>
              <w:rPr>
                <w:rFonts w:ascii="Arial" w:hAnsi="Arial" w:cs="Arial"/>
              </w:rPr>
              <w:t xml:space="preserve">in a robust manner. </w:t>
            </w:r>
            <w:r w:rsidR="00807D17">
              <w:rPr>
                <w:rFonts w:ascii="Arial" w:hAnsi="Arial" w:cs="Arial"/>
              </w:rPr>
              <w:t>This will also include catchment analysis</w:t>
            </w:r>
            <w:r w:rsidR="00ED2D2F">
              <w:rPr>
                <w:rFonts w:ascii="Arial" w:hAnsi="Arial" w:cs="Arial"/>
              </w:rPr>
              <w:t xml:space="preserve"> and local expenditure estimates.</w:t>
            </w:r>
            <w:r w:rsidR="00807D17">
              <w:rPr>
                <w:rFonts w:ascii="Arial" w:hAnsi="Arial" w:cs="Arial"/>
              </w:rPr>
              <w:t xml:space="preserve"> </w:t>
            </w:r>
          </w:p>
          <w:p w14:paraId="171BD99C" w14:textId="3AC241D7" w:rsidR="00807D17" w:rsidRPr="00EC2525" w:rsidRDefault="00807D17" w:rsidP="00807D17">
            <w:pPr>
              <w:ind w:left="127"/>
              <w:rPr>
                <w:rFonts w:ascii="Arial" w:hAnsi="Arial" w:cs="Arial"/>
              </w:rPr>
            </w:pPr>
            <w:r>
              <w:rPr>
                <w:rFonts w:ascii="Arial" w:hAnsi="Arial" w:cs="Arial"/>
              </w:rPr>
              <w:t xml:space="preserve">The </w:t>
            </w:r>
            <w:r w:rsidR="00660C38">
              <w:rPr>
                <w:rFonts w:ascii="Arial" w:hAnsi="Arial" w:cs="Arial"/>
              </w:rPr>
              <w:t xml:space="preserve">questionnaire </w:t>
            </w:r>
            <w:r>
              <w:rPr>
                <w:rFonts w:ascii="Arial" w:hAnsi="Arial" w:cs="Arial"/>
              </w:rPr>
              <w:t xml:space="preserve">will need to be agreed with the Council. </w:t>
            </w:r>
          </w:p>
        </w:tc>
        <w:tc>
          <w:tcPr>
            <w:tcW w:w="3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B624E" w14:textId="77777777" w:rsidR="001A42A6" w:rsidRDefault="00ED2D2F" w:rsidP="00096941">
            <w:pPr>
              <w:rPr>
                <w:rFonts w:ascii="Arial" w:hAnsi="Arial" w:cs="Arial"/>
              </w:rPr>
            </w:pPr>
            <w:r>
              <w:rPr>
                <w:rFonts w:ascii="Arial" w:hAnsi="Arial" w:cs="Arial"/>
              </w:rPr>
              <w:t xml:space="preserve">Survey zones will need to be agreed with the Council and link to work also undertaken on employment and housing market areas. </w:t>
            </w:r>
          </w:p>
          <w:p w14:paraId="7F8392EB" w14:textId="24B90757" w:rsidR="00B277B5" w:rsidRPr="00EC2525" w:rsidRDefault="00B277B5" w:rsidP="00096941">
            <w:pPr>
              <w:rPr>
                <w:rFonts w:ascii="Arial" w:hAnsi="Arial" w:cs="Arial"/>
              </w:rPr>
            </w:pPr>
          </w:p>
        </w:tc>
      </w:tr>
      <w:tr w:rsidR="001A42A6" w:rsidRPr="00EC2525" w14:paraId="47EC20B4" w14:textId="77777777" w:rsidTr="001A42A6">
        <w:tc>
          <w:tcPr>
            <w:tcW w:w="2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41875" w14:textId="1FFB261C" w:rsidR="001A42A6" w:rsidRPr="006645A7" w:rsidRDefault="00060345" w:rsidP="00096941">
            <w:pPr>
              <w:rPr>
                <w:rFonts w:ascii="Arial" w:hAnsi="Arial" w:cs="Arial"/>
                <w:b/>
              </w:rPr>
            </w:pPr>
            <w:r>
              <w:rPr>
                <w:rFonts w:ascii="Arial" w:hAnsi="Arial" w:cs="Arial"/>
                <w:b/>
              </w:rPr>
              <w:t>Commercial Information</w:t>
            </w:r>
          </w:p>
        </w:tc>
        <w:tc>
          <w:tcPr>
            <w:tcW w:w="2593" w:type="dxa"/>
            <w:tcBorders>
              <w:top w:val="single" w:sz="4" w:space="0" w:color="auto"/>
              <w:left w:val="single" w:sz="4" w:space="0" w:color="auto"/>
              <w:bottom w:val="single" w:sz="4" w:space="0" w:color="auto"/>
              <w:right w:val="single" w:sz="4" w:space="0" w:color="auto"/>
            </w:tcBorders>
          </w:tcPr>
          <w:p w14:paraId="6A3DB924" w14:textId="77777777" w:rsidR="001A42A6" w:rsidRDefault="00060345" w:rsidP="00060345">
            <w:pPr>
              <w:ind w:left="127"/>
              <w:rPr>
                <w:rFonts w:ascii="Arial" w:hAnsi="Arial" w:cs="Arial"/>
              </w:rPr>
            </w:pPr>
            <w:r>
              <w:rPr>
                <w:rFonts w:ascii="Arial" w:hAnsi="Arial" w:cs="Arial"/>
              </w:rPr>
              <w:t xml:space="preserve">The consultant team will need to collate information on commercial yields and rents and benchmark against national / regional comparators. </w:t>
            </w:r>
          </w:p>
          <w:p w14:paraId="6D0FEA49" w14:textId="5EACA326" w:rsidR="00807D17" w:rsidRPr="00EC2525" w:rsidRDefault="00807D17" w:rsidP="00807D17">
            <w:pPr>
              <w:ind w:left="127"/>
              <w:rPr>
                <w:rFonts w:ascii="Arial" w:hAnsi="Arial" w:cs="Arial"/>
              </w:rPr>
            </w:pPr>
            <w:r>
              <w:rPr>
                <w:rFonts w:ascii="Arial" w:hAnsi="Arial" w:cs="Arial"/>
              </w:rPr>
              <w:t xml:space="preserve">A selective set of interviews with local commercial agents would also be useful. </w:t>
            </w:r>
          </w:p>
        </w:tc>
        <w:tc>
          <w:tcPr>
            <w:tcW w:w="3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B12C7" w14:textId="4586C2F7" w:rsidR="001A42A6" w:rsidRPr="00EC2525" w:rsidRDefault="001213D5" w:rsidP="00096941">
            <w:pPr>
              <w:rPr>
                <w:rFonts w:ascii="Arial" w:hAnsi="Arial" w:cs="Arial"/>
              </w:rPr>
            </w:pPr>
            <w:r>
              <w:rPr>
                <w:rFonts w:ascii="Arial" w:hAnsi="Arial" w:cs="Arial"/>
              </w:rPr>
              <w:t xml:space="preserve">Local contact list can be supplied. </w:t>
            </w:r>
          </w:p>
        </w:tc>
      </w:tr>
    </w:tbl>
    <w:p w14:paraId="62C26060" w14:textId="55F833F1" w:rsidR="00A803AA" w:rsidRDefault="00A803AA" w:rsidP="00A803AA">
      <w:pPr>
        <w:pStyle w:val="Default"/>
        <w:rPr>
          <w:sz w:val="22"/>
          <w:szCs w:val="22"/>
        </w:rPr>
      </w:pPr>
    </w:p>
    <w:p w14:paraId="0FD8B406" w14:textId="71C192F5" w:rsidR="00B91E14" w:rsidRPr="00B91E14" w:rsidRDefault="00A803AA" w:rsidP="00B91E14">
      <w:pPr>
        <w:pStyle w:val="Default"/>
        <w:numPr>
          <w:ilvl w:val="0"/>
          <w:numId w:val="10"/>
        </w:numPr>
        <w:ind w:left="709" w:hanging="425"/>
        <w:rPr>
          <w:sz w:val="22"/>
          <w:szCs w:val="22"/>
        </w:rPr>
      </w:pPr>
      <w:r>
        <w:rPr>
          <w:sz w:val="22"/>
          <w:szCs w:val="22"/>
        </w:rPr>
        <w:t>The key findings from Part B of the study should be drawn out to inform other elements of the commission including existing consumer spending patterns.</w:t>
      </w:r>
      <w:r w:rsidR="002B20E9">
        <w:rPr>
          <w:sz w:val="22"/>
          <w:szCs w:val="22"/>
        </w:rPr>
        <w:t xml:space="preserve">  </w:t>
      </w:r>
    </w:p>
    <w:p w14:paraId="1B7148EC" w14:textId="77777777" w:rsidR="002F77F3" w:rsidRDefault="002F77F3" w:rsidP="00167503">
      <w:pPr>
        <w:pStyle w:val="Default"/>
        <w:rPr>
          <w:sz w:val="22"/>
          <w:szCs w:val="22"/>
        </w:rPr>
      </w:pPr>
    </w:p>
    <w:p w14:paraId="53713AF4" w14:textId="0B1AE1D2" w:rsidR="007B3F3C" w:rsidRDefault="007B3F3C" w:rsidP="007B3F3C">
      <w:pPr>
        <w:pStyle w:val="Default"/>
        <w:rPr>
          <w:b/>
        </w:rPr>
      </w:pPr>
      <w:r w:rsidRPr="009A6490">
        <w:rPr>
          <w:b/>
        </w:rPr>
        <w:t xml:space="preserve">Part </w:t>
      </w:r>
      <w:r>
        <w:rPr>
          <w:b/>
        </w:rPr>
        <w:t>C</w:t>
      </w:r>
      <w:r w:rsidRPr="009A6490">
        <w:rPr>
          <w:b/>
        </w:rPr>
        <w:t xml:space="preserve"> – </w:t>
      </w:r>
      <w:r>
        <w:rPr>
          <w:b/>
        </w:rPr>
        <w:t>Establishing Future Needs</w:t>
      </w:r>
    </w:p>
    <w:p w14:paraId="2155DAFB" w14:textId="75BE90AB" w:rsidR="007B3F3C" w:rsidRDefault="007B3F3C" w:rsidP="007B3F3C">
      <w:pPr>
        <w:pStyle w:val="Default"/>
        <w:rPr>
          <w:b/>
        </w:rPr>
      </w:pPr>
    </w:p>
    <w:p w14:paraId="2AC0E6E2" w14:textId="0D5B4BF9" w:rsidR="007B3F3C" w:rsidRPr="00E55FBC" w:rsidRDefault="00867EF0" w:rsidP="0093341A">
      <w:pPr>
        <w:pStyle w:val="Default"/>
        <w:numPr>
          <w:ilvl w:val="0"/>
          <w:numId w:val="10"/>
        </w:numPr>
        <w:ind w:left="709" w:hanging="425"/>
        <w:rPr>
          <w:b/>
          <w:sz w:val="22"/>
          <w:szCs w:val="22"/>
        </w:rPr>
      </w:pPr>
      <w:r w:rsidRPr="00E55FBC">
        <w:rPr>
          <w:sz w:val="22"/>
          <w:szCs w:val="22"/>
        </w:rPr>
        <w:t xml:space="preserve">The consultant team will need to build upon the findings from Part A and B of the commission </w:t>
      </w:r>
      <w:r w:rsidR="00A717D9" w:rsidRPr="00E55FBC">
        <w:rPr>
          <w:sz w:val="22"/>
          <w:szCs w:val="22"/>
        </w:rPr>
        <w:t>to create a forecast of future retail and town centre requirements.  The previous study included:</w:t>
      </w:r>
    </w:p>
    <w:p w14:paraId="027E3C7E" w14:textId="3FE3679E" w:rsidR="00A717D9" w:rsidRPr="00E55FBC" w:rsidRDefault="00A717D9" w:rsidP="00A717D9">
      <w:pPr>
        <w:pStyle w:val="Default"/>
        <w:ind w:left="709"/>
        <w:rPr>
          <w:b/>
          <w:sz w:val="22"/>
          <w:szCs w:val="22"/>
        </w:rPr>
      </w:pPr>
    </w:p>
    <w:p w14:paraId="2625D23B" w14:textId="19785A17" w:rsidR="00A717D9" w:rsidRPr="00E55FBC" w:rsidRDefault="00A717D9" w:rsidP="0093341A">
      <w:pPr>
        <w:pStyle w:val="Default"/>
        <w:numPr>
          <w:ilvl w:val="0"/>
          <w:numId w:val="23"/>
        </w:numPr>
        <w:rPr>
          <w:sz w:val="22"/>
          <w:szCs w:val="22"/>
        </w:rPr>
      </w:pPr>
      <w:r w:rsidRPr="00E55FBC">
        <w:rPr>
          <w:sz w:val="22"/>
          <w:szCs w:val="22"/>
        </w:rPr>
        <w:t>population and expenditure projections</w:t>
      </w:r>
    </w:p>
    <w:p w14:paraId="08CC8F30" w14:textId="360DE6FD" w:rsidR="00A717D9" w:rsidRPr="00E55FBC" w:rsidRDefault="00A717D9" w:rsidP="0093341A">
      <w:pPr>
        <w:pStyle w:val="Default"/>
        <w:numPr>
          <w:ilvl w:val="0"/>
          <w:numId w:val="23"/>
        </w:numPr>
        <w:rPr>
          <w:sz w:val="22"/>
          <w:szCs w:val="22"/>
        </w:rPr>
      </w:pPr>
      <w:r w:rsidRPr="00E55FBC">
        <w:rPr>
          <w:sz w:val="22"/>
          <w:szCs w:val="22"/>
        </w:rPr>
        <w:t>review of the balance between expenditure and expected turnover</w:t>
      </w:r>
    </w:p>
    <w:p w14:paraId="4E633B1F" w14:textId="4D6B94D2" w:rsidR="00A717D9" w:rsidRPr="00E55FBC" w:rsidRDefault="00A717D9" w:rsidP="0093341A">
      <w:pPr>
        <w:pStyle w:val="Default"/>
        <w:numPr>
          <w:ilvl w:val="0"/>
          <w:numId w:val="23"/>
        </w:numPr>
        <w:rPr>
          <w:sz w:val="22"/>
          <w:szCs w:val="22"/>
        </w:rPr>
      </w:pPr>
      <w:r w:rsidRPr="00E55FBC">
        <w:rPr>
          <w:sz w:val="22"/>
          <w:szCs w:val="22"/>
        </w:rPr>
        <w:t>estimate of quantitative and qualitative need</w:t>
      </w:r>
    </w:p>
    <w:p w14:paraId="33390B44" w14:textId="30455C26" w:rsidR="00A717D9" w:rsidRPr="00E55FBC" w:rsidRDefault="00A717D9" w:rsidP="0093341A">
      <w:pPr>
        <w:pStyle w:val="Default"/>
        <w:numPr>
          <w:ilvl w:val="0"/>
          <w:numId w:val="23"/>
        </w:numPr>
        <w:rPr>
          <w:sz w:val="22"/>
          <w:szCs w:val="22"/>
        </w:rPr>
      </w:pPr>
      <w:r w:rsidRPr="00E55FBC">
        <w:rPr>
          <w:sz w:val="22"/>
          <w:szCs w:val="22"/>
        </w:rPr>
        <w:t>any identification of surplus expenditure capacity</w:t>
      </w:r>
    </w:p>
    <w:p w14:paraId="6FECD8C5" w14:textId="4EA0556A" w:rsidR="00A717D9" w:rsidRDefault="00A717D9" w:rsidP="0093341A">
      <w:pPr>
        <w:pStyle w:val="Default"/>
        <w:numPr>
          <w:ilvl w:val="0"/>
          <w:numId w:val="23"/>
        </w:numPr>
        <w:rPr>
          <w:sz w:val="22"/>
          <w:szCs w:val="22"/>
        </w:rPr>
      </w:pPr>
      <w:r w:rsidRPr="00E55FBC">
        <w:rPr>
          <w:sz w:val="22"/>
          <w:szCs w:val="22"/>
        </w:rPr>
        <w:t>implications for proposed schemes and developments more generally</w:t>
      </w:r>
    </w:p>
    <w:p w14:paraId="77F99F11" w14:textId="5933EADF" w:rsidR="00E55FBC" w:rsidRDefault="00E55FBC" w:rsidP="00E55FBC">
      <w:pPr>
        <w:pStyle w:val="Default"/>
        <w:rPr>
          <w:sz w:val="22"/>
          <w:szCs w:val="22"/>
        </w:rPr>
      </w:pPr>
    </w:p>
    <w:p w14:paraId="37C656BD" w14:textId="5E9B2072" w:rsidR="00E55FBC" w:rsidRPr="00E55FBC" w:rsidRDefault="00E55FBC" w:rsidP="00E55FBC">
      <w:pPr>
        <w:pStyle w:val="Default"/>
        <w:ind w:left="709"/>
        <w:rPr>
          <w:sz w:val="22"/>
          <w:szCs w:val="22"/>
        </w:rPr>
      </w:pPr>
      <w:r>
        <w:rPr>
          <w:sz w:val="22"/>
          <w:szCs w:val="22"/>
        </w:rPr>
        <w:lastRenderedPageBreak/>
        <w:t>A clear methodology for estimating requirements for retail floorspace will need to be set out.  Elements of the potential approach are set out below</w:t>
      </w:r>
      <w:r w:rsidR="00491B65">
        <w:rPr>
          <w:sz w:val="22"/>
          <w:szCs w:val="22"/>
        </w:rPr>
        <w:t xml:space="preserve">. </w:t>
      </w:r>
    </w:p>
    <w:p w14:paraId="5721122E" w14:textId="77777777" w:rsidR="00A803AA" w:rsidRDefault="00A803AA" w:rsidP="00817396">
      <w:pPr>
        <w:pStyle w:val="Default"/>
        <w:rPr>
          <w:sz w:val="22"/>
          <w:szCs w:val="22"/>
        </w:rPr>
      </w:pPr>
      <w:bookmarkStart w:id="2" w:name="_Hlk131596785"/>
    </w:p>
    <w:bookmarkEnd w:id="2"/>
    <w:p w14:paraId="7BA8B7EA" w14:textId="77777777" w:rsidR="00772E07" w:rsidRDefault="00772E07" w:rsidP="00757262">
      <w:pPr>
        <w:pStyle w:val="Default"/>
        <w:ind w:left="709"/>
        <w:rPr>
          <w:sz w:val="22"/>
          <w:szCs w:val="22"/>
          <w:u w:val="single"/>
        </w:rPr>
      </w:pPr>
    </w:p>
    <w:p w14:paraId="4D19CB92" w14:textId="77777777" w:rsidR="00772E07" w:rsidRDefault="00772E07" w:rsidP="00757262">
      <w:pPr>
        <w:pStyle w:val="Default"/>
        <w:ind w:left="709"/>
        <w:rPr>
          <w:sz w:val="22"/>
          <w:szCs w:val="22"/>
          <w:u w:val="single"/>
        </w:rPr>
      </w:pPr>
    </w:p>
    <w:p w14:paraId="249C733D" w14:textId="6D2AC945" w:rsidR="00D9254B" w:rsidRPr="00757262" w:rsidRDefault="00757262" w:rsidP="00757262">
      <w:pPr>
        <w:pStyle w:val="Default"/>
        <w:ind w:left="709"/>
        <w:rPr>
          <w:sz w:val="22"/>
          <w:szCs w:val="22"/>
          <w:u w:val="single"/>
        </w:rPr>
      </w:pPr>
      <w:r w:rsidRPr="00757262">
        <w:rPr>
          <w:sz w:val="22"/>
          <w:szCs w:val="22"/>
          <w:u w:val="single"/>
        </w:rPr>
        <w:t>Retail Trends</w:t>
      </w:r>
      <w:r w:rsidR="001F2F6C">
        <w:rPr>
          <w:sz w:val="22"/>
          <w:szCs w:val="22"/>
          <w:u w:val="single"/>
        </w:rPr>
        <w:t xml:space="preserve"> and Formats</w:t>
      </w:r>
    </w:p>
    <w:p w14:paraId="08CA5830" w14:textId="55A5DFD6" w:rsidR="00757262" w:rsidRDefault="00757262" w:rsidP="00167503">
      <w:pPr>
        <w:pStyle w:val="Default"/>
        <w:rPr>
          <w:sz w:val="22"/>
          <w:szCs w:val="22"/>
        </w:rPr>
      </w:pPr>
    </w:p>
    <w:p w14:paraId="5788E9A3" w14:textId="5BCA23B8" w:rsidR="00757262" w:rsidRDefault="00E55FBC" w:rsidP="0093341A">
      <w:pPr>
        <w:pStyle w:val="Default"/>
        <w:numPr>
          <w:ilvl w:val="0"/>
          <w:numId w:val="10"/>
        </w:numPr>
        <w:ind w:left="709" w:hanging="425"/>
        <w:rPr>
          <w:sz w:val="22"/>
          <w:szCs w:val="22"/>
        </w:rPr>
      </w:pPr>
      <w:r>
        <w:rPr>
          <w:sz w:val="22"/>
          <w:szCs w:val="22"/>
        </w:rPr>
        <w:t xml:space="preserve">The economy has </w:t>
      </w:r>
      <w:r w:rsidR="00D817FE">
        <w:rPr>
          <w:sz w:val="22"/>
          <w:szCs w:val="22"/>
        </w:rPr>
        <w:t xml:space="preserve">generally continued to see a </w:t>
      </w:r>
      <w:r>
        <w:rPr>
          <w:sz w:val="22"/>
          <w:szCs w:val="22"/>
        </w:rPr>
        <w:t>further loss of big brands from the High Street</w:t>
      </w:r>
      <w:r w:rsidR="00D817FE">
        <w:rPr>
          <w:sz w:val="22"/>
          <w:szCs w:val="22"/>
        </w:rPr>
        <w:t xml:space="preserve"> since the 2017 </w:t>
      </w:r>
      <w:proofErr w:type="spellStart"/>
      <w:r w:rsidR="00D817FE">
        <w:rPr>
          <w:sz w:val="22"/>
          <w:szCs w:val="22"/>
        </w:rPr>
        <w:t>Lichfields</w:t>
      </w:r>
      <w:proofErr w:type="spellEnd"/>
      <w:r w:rsidR="00D817FE">
        <w:rPr>
          <w:sz w:val="22"/>
          <w:szCs w:val="22"/>
        </w:rPr>
        <w:t xml:space="preserve"> Report was completed</w:t>
      </w:r>
      <w:r>
        <w:rPr>
          <w:sz w:val="22"/>
          <w:szCs w:val="22"/>
        </w:rPr>
        <w:t xml:space="preserve">, but post COVID there has been a return in demand for physical stores.  </w:t>
      </w:r>
      <w:r w:rsidR="00D817FE">
        <w:rPr>
          <w:sz w:val="22"/>
          <w:szCs w:val="22"/>
        </w:rPr>
        <w:t>There will be a requirement in this study to set the broad retail trend</w:t>
      </w:r>
      <w:r w:rsidR="002101C7">
        <w:rPr>
          <w:sz w:val="22"/>
          <w:szCs w:val="22"/>
        </w:rPr>
        <w:t xml:space="preserve"> assumptions </w:t>
      </w:r>
      <w:r w:rsidR="00D817FE">
        <w:rPr>
          <w:sz w:val="22"/>
          <w:szCs w:val="22"/>
        </w:rPr>
        <w:t xml:space="preserve">over the short, medium and longer term aligned to the new plan period - potentially 2023-2042. </w:t>
      </w:r>
      <w:r w:rsidR="007A37D6">
        <w:rPr>
          <w:sz w:val="22"/>
          <w:szCs w:val="22"/>
        </w:rPr>
        <w:t xml:space="preserve">The last evidence study included a focus upon the economic downturn, general retail trends and new forms of retailing, but priorities for retailers and customers are continuing changing and could include a move towards more personalised consumer experiences, shifting environmental values, </w:t>
      </w:r>
      <w:r w:rsidR="002101C7">
        <w:rPr>
          <w:sz w:val="22"/>
          <w:szCs w:val="22"/>
        </w:rPr>
        <w:t xml:space="preserve">further </w:t>
      </w:r>
      <w:r w:rsidR="007A37D6">
        <w:rPr>
          <w:sz w:val="22"/>
          <w:szCs w:val="22"/>
        </w:rPr>
        <w:t>automation of tasks and engaging with customers in new social media formats</w:t>
      </w:r>
      <w:r w:rsidR="002101C7">
        <w:rPr>
          <w:sz w:val="22"/>
          <w:szCs w:val="22"/>
        </w:rPr>
        <w:t>, through artificial intelligence</w:t>
      </w:r>
      <w:r w:rsidR="007A37D6">
        <w:rPr>
          <w:sz w:val="22"/>
          <w:szCs w:val="22"/>
        </w:rPr>
        <w:t xml:space="preserve"> and presenting improved </w:t>
      </w:r>
      <w:r w:rsidR="002101C7">
        <w:rPr>
          <w:sz w:val="22"/>
          <w:szCs w:val="22"/>
        </w:rPr>
        <w:t xml:space="preserve">brand </w:t>
      </w:r>
      <w:r w:rsidR="007A37D6">
        <w:rPr>
          <w:sz w:val="22"/>
          <w:szCs w:val="22"/>
        </w:rPr>
        <w:t xml:space="preserve">loyalty offers.  </w:t>
      </w:r>
    </w:p>
    <w:p w14:paraId="10830A2E" w14:textId="77777777" w:rsidR="00A931EA" w:rsidRDefault="00A931EA" w:rsidP="00A931EA">
      <w:pPr>
        <w:pStyle w:val="Default"/>
        <w:ind w:left="709"/>
        <w:rPr>
          <w:sz w:val="22"/>
          <w:szCs w:val="22"/>
        </w:rPr>
      </w:pPr>
    </w:p>
    <w:p w14:paraId="52C1DBD4" w14:textId="4CD8437A" w:rsidR="007A37D6" w:rsidRDefault="00D817FE" w:rsidP="00E049AA">
      <w:pPr>
        <w:pStyle w:val="Default"/>
        <w:numPr>
          <w:ilvl w:val="0"/>
          <w:numId w:val="10"/>
        </w:numPr>
        <w:ind w:left="709" w:hanging="425"/>
        <w:rPr>
          <w:sz w:val="22"/>
          <w:szCs w:val="22"/>
        </w:rPr>
      </w:pPr>
      <w:r>
        <w:rPr>
          <w:sz w:val="22"/>
          <w:szCs w:val="22"/>
        </w:rPr>
        <w:t xml:space="preserve">It will also be important for the commission to include a focus upon </w:t>
      </w:r>
      <w:r w:rsidR="002101C7">
        <w:rPr>
          <w:sz w:val="22"/>
          <w:szCs w:val="22"/>
        </w:rPr>
        <w:t xml:space="preserve">practical </w:t>
      </w:r>
      <w:r>
        <w:rPr>
          <w:sz w:val="22"/>
          <w:szCs w:val="22"/>
        </w:rPr>
        <w:t xml:space="preserve">retail expenditure growth and trends at a macro level together with </w:t>
      </w:r>
      <w:r w:rsidR="002101C7">
        <w:rPr>
          <w:sz w:val="22"/>
          <w:szCs w:val="22"/>
        </w:rPr>
        <w:t>their</w:t>
      </w:r>
      <w:r>
        <w:rPr>
          <w:sz w:val="22"/>
          <w:szCs w:val="22"/>
        </w:rPr>
        <w:t xml:space="preserve"> implications.  </w:t>
      </w:r>
      <w:r w:rsidR="00611B04">
        <w:rPr>
          <w:sz w:val="22"/>
          <w:szCs w:val="22"/>
        </w:rPr>
        <w:t>Since broadly April 2021 according to ONS figures</w:t>
      </w:r>
      <w:r w:rsidR="007A37D6">
        <w:rPr>
          <w:rStyle w:val="FootnoteReference"/>
          <w:sz w:val="22"/>
          <w:szCs w:val="22"/>
        </w:rPr>
        <w:footnoteReference w:id="8"/>
      </w:r>
      <w:r w:rsidR="00611B04">
        <w:rPr>
          <w:sz w:val="22"/>
          <w:szCs w:val="22"/>
        </w:rPr>
        <w:t xml:space="preserve">, there has been a divergence in retail volume and value sales with sales volumes falling by 1.0% in December 2022 continuing a downward trend against </w:t>
      </w:r>
      <w:r w:rsidR="007A37D6">
        <w:rPr>
          <w:sz w:val="22"/>
          <w:szCs w:val="22"/>
        </w:rPr>
        <w:t>a broad upward trend in value in retail sales for the same period.</w:t>
      </w:r>
    </w:p>
    <w:p w14:paraId="3C2C4ABC" w14:textId="77777777" w:rsidR="002101C7" w:rsidRPr="002101C7" w:rsidRDefault="002101C7" w:rsidP="002101C7">
      <w:pPr>
        <w:pStyle w:val="Default"/>
        <w:rPr>
          <w:sz w:val="22"/>
          <w:szCs w:val="22"/>
        </w:rPr>
      </w:pPr>
    </w:p>
    <w:p w14:paraId="0BDDC305" w14:textId="30DAD684" w:rsidR="007A37D6" w:rsidRPr="001F2F6C" w:rsidRDefault="002101C7" w:rsidP="00E049AA">
      <w:pPr>
        <w:pStyle w:val="Default"/>
        <w:numPr>
          <w:ilvl w:val="0"/>
          <w:numId w:val="10"/>
        </w:numPr>
        <w:ind w:left="709" w:hanging="425"/>
        <w:rPr>
          <w:sz w:val="22"/>
          <w:szCs w:val="22"/>
        </w:rPr>
      </w:pPr>
      <w:r>
        <w:rPr>
          <w:sz w:val="22"/>
          <w:szCs w:val="22"/>
        </w:rPr>
        <w:t>From a complex and variable mix of trends the successful consultant team will need to establish a pathway of key evidenced assumptions to inform the study.</w:t>
      </w:r>
    </w:p>
    <w:p w14:paraId="7EC41DA5" w14:textId="07929F80" w:rsidR="001F2F6C" w:rsidRDefault="001F2F6C" w:rsidP="001F2F6C">
      <w:pPr>
        <w:pStyle w:val="Default"/>
        <w:rPr>
          <w:rFonts w:asciiTheme="minorHAnsi" w:hAnsiTheme="minorHAnsi" w:cstheme="minorBidi"/>
          <w:color w:val="auto"/>
          <w:sz w:val="22"/>
          <w:szCs w:val="22"/>
        </w:rPr>
      </w:pPr>
    </w:p>
    <w:p w14:paraId="1EFDA44E" w14:textId="354D0AEC" w:rsidR="001F2F6C" w:rsidRPr="001F2F6C" w:rsidRDefault="001F2F6C" w:rsidP="001F2F6C">
      <w:pPr>
        <w:pStyle w:val="Default"/>
        <w:ind w:left="709"/>
        <w:rPr>
          <w:sz w:val="22"/>
          <w:szCs w:val="22"/>
          <w:u w:val="single"/>
        </w:rPr>
      </w:pPr>
      <w:r>
        <w:rPr>
          <w:sz w:val="22"/>
          <w:szCs w:val="22"/>
          <w:u w:val="single"/>
        </w:rPr>
        <w:t>Population and Expenditure</w:t>
      </w:r>
    </w:p>
    <w:p w14:paraId="7A1EB4E7" w14:textId="77777777" w:rsidR="002101C7" w:rsidRDefault="002101C7" w:rsidP="002101C7">
      <w:pPr>
        <w:pStyle w:val="Default"/>
        <w:rPr>
          <w:sz w:val="22"/>
          <w:szCs w:val="22"/>
        </w:rPr>
      </w:pPr>
    </w:p>
    <w:p w14:paraId="50175758" w14:textId="7B2CF86B" w:rsidR="001F2F6C" w:rsidRDefault="002101C7" w:rsidP="00E049AA">
      <w:pPr>
        <w:pStyle w:val="Default"/>
        <w:numPr>
          <w:ilvl w:val="0"/>
          <w:numId w:val="10"/>
        </w:numPr>
        <w:ind w:left="709" w:hanging="425"/>
        <w:rPr>
          <w:sz w:val="22"/>
          <w:szCs w:val="22"/>
        </w:rPr>
      </w:pPr>
      <w:r>
        <w:rPr>
          <w:sz w:val="22"/>
          <w:szCs w:val="22"/>
        </w:rPr>
        <w:t>The study will need to include an indication of population growth and ensure that this is broadly consistent with other areas of the plan evidence looking at similar forecasts and projections (housing and employment for example).  Once the base population data is set, projections will need to be made for spending per head for convenience and comparison retai</w:t>
      </w:r>
      <w:r w:rsidR="003972A2">
        <w:rPr>
          <w:sz w:val="22"/>
          <w:szCs w:val="22"/>
        </w:rPr>
        <w:t xml:space="preserve">l, within defined zones.  </w:t>
      </w:r>
      <w:r>
        <w:rPr>
          <w:sz w:val="22"/>
          <w:szCs w:val="22"/>
        </w:rPr>
        <w:t xml:space="preserve"> </w:t>
      </w:r>
    </w:p>
    <w:p w14:paraId="6584C9DC" w14:textId="77777777" w:rsidR="001F2F6C" w:rsidRDefault="001F2F6C" w:rsidP="001F2F6C">
      <w:pPr>
        <w:pStyle w:val="Default"/>
        <w:ind w:left="709"/>
        <w:rPr>
          <w:sz w:val="22"/>
          <w:szCs w:val="22"/>
        </w:rPr>
      </w:pPr>
    </w:p>
    <w:p w14:paraId="6DD13E0B" w14:textId="41CF2B66" w:rsidR="001F2F6C" w:rsidRDefault="003972A2" w:rsidP="00E049AA">
      <w:pPr>
        <w:pStyle w:val="Default"/>
        <w:numPr>
          <w:ilvl w:val="0"/>
          <w:numId w:val="10"/>
        </w:numPr>
        <w:ind w:left="709" w:hanging="425"/>
        <w:rPr>
          <w:sz w:val="22"/>
          <w:szCs w:val="22"/>
        </w:rPr>
      </w:pPr>
      <w:r>
        <w:rPr>
          <w:sz w:val="22"/>
          <w:szCs w:val="22"/>
        </w:rPr>
        <w:t xml:space="preserve">It should be possible to establish the </w:t>
      </w:r>
      <w:r w:rsidR="00A803AA">
        <w:rPr>
          <w:sz w:val="22"/>
          <w:szCs w:val="22"/>
        </w:rPr>
        <w:t xml:space="preserve">existing retail floorspace from earlier parts of the study and also draw from the findings of the household surveys to provide a profile of existing spending patterns.  It would be useful to compare these findings with the </w:t>
      </w:r>
      <w:proofErr w:type="spellStart"/>
      <w:r w:rsidR="00A803AA">
        <w:rPr>
          <w:sz w:val="22"/>
          <w:szCs w:val="22"/>
        </w:rPr>
        <w:t>Lichfields</w:t>
      </w:r>
      <w:proofErr w:type="spellEnd"/>
      <w:r w:rsidR="00A803AA">
        <w:rPr>
          <w:sz w:val="22"/>
          <w:szCs w:val="22"/>
        </w:rPr>
        <w:t xml:space="preserve"> 2017 report and benchmark against other studies or areas. </w:t>
      </w:r>
    </w:p>
    <w:p w14:paraId="0962874F" w14:textId="77777777" w:rsidR="001F4C24" w:rsidRPr="001F4C24" w:rsidRDefault="001F4C24" w:rsidP="001F4C24">
      <w:pPr>
        <w:pStyle w:val="Default"/>
        <w:rPr>
          <w:sz w:val="22"/>
          <w:szCs w:val="22"/>
        </w:rPr>
      </w:pPr>
    </w:p>
    <w:p w14:paraId="39852973" w14:textId="702DF518" w:rsidR="001F2F6C" w:rsidRPr="001F4C24" w:rsidRDefault="00D6560D" w:rsidP="001F4C24">
      <w:pPr>
        <w:pStyle w:val="Default"/>
        <w:ind w:left="709"/>
        <w:rPr>
          <w:sz w:val="22"/>
          <w:szCs w:val="22"/>
          <w:u w:val="single"/>
        </w:rPr>
      </w:pPr>
      <w:r>
        <w:rPr>
          <w:sz w:val="22"/>
          <w:szCs w:val="22"/>
          <w:u w:val="single"/>
        </w:rPr>
        <w:t xml:space="preserve">Retail </w:t>
      </w:r>
      <w:r w:rsidR="001F4C24" w:rsidRPr="001F4C24">
        <w:rPr>
          <w:sz w:val="22"/>
          <w:szCs w:val="22"/>
          <w:u w:val="single"/>
        </w:rPr>
        <w:t xml:space="preserve">Floorspace </w:t>
      </w:r>
    </w:p>
    <w:p w14:paraId="216AC3B4" w14:textId="77777777" w:rsidR="001F2F6C" w:rsidRPr="001F2F6C" w:rsidRDefault="001F2F6C" w:rsidP="001F2F6C">
      <w:pPr>
        <w:pStyle w:val="Default"/>
        <w:rPr>
          <w:sz w:val="22"/>
          <w:szCs w:val="22"/>
        </w:rPr>
      </w:pPr>
    </w:p>
    <w:p w14:paraId="56EC2811" w14:textId="31011CA5" w:rsidR="00A803AA" w:rsidRDefault="0020245C" w:rsidP="00E049AA">
      <w:pPr>
        <w:pStyle w:val="Default"/>
        <w:numPr>
          <w:ilvl w:val="0"/>
          <w:numId w:val="10"/>
        </w:numPr>
        <w:ind w:left="709" w:hanging="425"/>
        <w:rPr>
          <w:sz w:val="22"/>
          <w:szCs w:val="22"/>
        </w:rPr>
      </w:pPr>
      <w:r>
        <w:rPr>
          <w:sz w:val="22"/>
          <w:szCs w:val="22"/>
        </w:rPr>
        <w:t>From the findings in the study the consultant team will need to extrapolate the quantitative capacity and forecasts for both comparison and convenience retail floorspace</w:t>
      </w:r>
      <w:r w:rsidR="00A85EDF">
        <w:rPr>
          <w:sz w:val="22"/>
          <w:szCs w:val="22"/>
        </w:rPr>
        <w:t xml:space="preserve"> for the Borough</w:t>
      </w:r>
      <w:r>
        <w:rPr>
          <w:sz w:val="22"/>
          <w:szCs w:val="22"/>
        </w:rPr>
        <w:t xml:space="preserve">.   Planning monitoring information may be available on potential retail losses and gains through non-implemented planning permissions and other pipeline information on strategic growth sites.   </w:t>
      </w:r>
    </w:p>
    <w:p w14:paraId="2B049262" w14:textId="5DAFBBDE" w:rsidR="00A803AA" w:rsidRDefault="00A803AA" w:rsidP="0020245C">
      <w:pPr>
        <w:pStyle w:val="Default"/>
        <w:rPr>
          <w:sz w:val="22"/>
          <w:szCs w:val="22"/>
        </w:rPr>
      </w:pPr>
    </w:p>
    <w:p w14:paraId="39C71069" w14:textId="0257DA33" w:rsidR="0020245C" w:rsidRDefault="00941471" w:rsidP="00E049AA">
      <w:pPr>
        <w:pStyle w:val="Default"/>
        <w:numPr>
          <w:ilvl w:val="0"/>
          <w:numId w:val="10"/>
        </w:numPr>
        <w:ind w:left="709" w:hanging="425"/>
        <w:rPr>
          <w:sz w:val="22"/>
          <w:szCs w:val="22"/>
        </w:rPr>
      </w:pPr>
      <w:r>
        <w:rPr>
          <w:sz w:val="22"/>
          <w:szCs w:val="22"/>
        </w:rPr>
        <w:t>Qualit</w:t>
      </w:r>
      <w:r w:rsidR="00B8367D">
        <w:rPr>
          <w:sz w:val="22"/>
          <w:szCs w:val="22"/>
        </w:rPr>
        <w:t xml:space="preserve">ative comparison and convenience </w:t>
      </w:r>
      <w:r w:rsidR="00A85EDF">
        <w:rPr>
          <w:sz w:val="22"/>
          <w:szCs w:val="22"/>
        </w:rPr>
        <w:t xml:space="preserve">retail </w:t>
      </w:r>
      <w:r w:rsidR="00B8367D">
        <w:rPr>
          <w:sz w:val="22"/>
          <w:szCs w:val="22"/>
        </w:rPr>
        <w:t xml:space="preserve">needs </w:t>
      </w:r>
      <w:r w:rsidR="00A85EDF">
        <w:rPr>
          <w:sz w:val="22"/>
          <w:szCs w:val="22"/>
        </w:rPr>
        <w:t xml:space="preserve">for the Borough </w:t>
      </w:r>
      <w:r w:rsidR="00B8367D">
        <w:rPr>
          <w:sz w:val="22"/>
          <w:szCs w:val="22"/>
        </w:rPr>
        <w:t>will also require analysis, the previous retail study included a focus upon:</w:t>
      </w:r>
    </w:p>
    <w:p w14:paraId="68B929A5" w14:textId="77777777" w:rsidR="00B8367D" w:rsidRPr="00B8367D" w:rsidRDefault="00B8367D" w:rsidP="00B8367D">
      <w:pPr>
        <w:autoSpaceDE w:val="0"/>
        <w:autoSpaceDN w:val="0"/>
        <w:adjustRightInd w:val="0"/>
        <w:spacing w:after="0" w:line="240" w:lineRule="auto"/>
        <w:rPr>
          <w:rFonts w:ascii="Arial" w:hAnsi="Arial" w:cs="Arial"/>
          <w:color w:val="000000"/>
          <w:sz w:val="24"/>
          <w:szCs w:val="24"/>
        </w:rPr>
      </w:pPr>
    </w:p>
    <w:p w14:paraId="227F8C44" w14:textId="77777777" w:rsidR="00B8367D" w:rsidRPr="00B8367D" w:rsidRDefault="00B8367D" w:rsidP="00E049AA">
      <w:pPr>
        <w:numPr>
          <w:ilvl w:val="0"/>
          <w:numId w:val="24"/>
        </w:numPr>
        <w:autoSpaceDE w:val="0"/>
        <w:autoSpaceDN w:val="0"/>
        <w:adjustRightInd w:val="0"/>
        <w:spacing w:after="57" w:line="240" w:lineRule="auto"/>
        <w:ind w:left="1560" w:hanging="426"/>
        <w:rPr>
          <w:rFonts w:ascii="Arial" w:hAnsi="Arial" w:cs="Arial"/>
          <w:color w:val="000000"/>
        </w:rPr>
      </w:pPr>
      <w:r w:rsidRPr="00B8367D">
        <w:rPr>
          <w:rFonts w:ascii="Arial" w:hAnsi="Arial" w:cs="Arial"/>
          <w:color w:val="000000"/>
        </w:rPr>
        <w:t xml:space="preserve">deficiencies or 'gaps' in existing provision; </w:t>
      </w:r>
    </w:p>
    <w:p w14:paraId="4FA0D7B5" w14:textId="77777777" w:rsidR="00A85EDF" w:rsidRDefault="00B8367D" w:rsidP="00E049AA">
      <w:pPr>
        <w:numPr>
          <w:ilvl w:val="0"/>
          <w:numId w:val="24"/>
        </w:numPr>
        <w:autoSpaceDE w:val="0"/>
        <w:autoSpaceDN w:val="0"/>
        <w:adjustRightInd w:val="0"/>
        <w:spacing w:after="57" w:line="240" w:lineRule="auto"/>
        <w:ind w:left="1560" w:hanging="426"/>
        <w:rPr>
          <w:rFonts w:ascii="Arial" w:hAnsi="Arial" w:cs="Arial"/>
          <w:color w:val="000000"/>
        </w:rPr>
      </w:pPr>
      <w:r w:rsidRPr="00B8367D">
        <w:rPr>
          <w:rFonts w:ascii="Arial" w:hAnsi="Arial" w:cs="Arial"/>
          <w:color w:val="000000"/>
        </w:rPr>
        <w:t xml:space="preserve">consumer choice and competition; </w:t>
      </w:r>
    </w:p>
    <w:p w14:paraId="2F1152C0" w14:textId="1868B171" w:rsidR="00B8367D" w:rsidRDefault="00B8367D" w:rsidP="00E049AA">
      <w:pPr>
        <w:numPr>
          <w:ilvl w:val="0"/>
          <w:numId w:val="24"/>
        </w:numPr>
        <w:autoSpaceDE w:val="0"/>
        <w:autoSpaceDN w:val="0"/>
        <w:adjustRightInd w:val="0"/>
        <w:spacing w:after="57" w:line="240" w:lineRule="auto"/>
        <w:ind w:left="1560" w:hanging="426"/>
        <w:rPr>
          <w:rFonts w:ascii="Arial" w:hAnsi="Arial" w:cs="Arial"/>
          <w:color w:val="000000"/>
        </w:rPr>
      </w:pPr>
      <w:r w:rsidRPr="00B8367D">
        <w:rPr>
          <w:rFonts w:ascii="Arial" w:hAnsi="Arial" w:cs="Arial"/>
          <w:color w:val="000000"/>
        </w:rPr>
        <w:t xml:space="preserve">overtrading, congestion and overcrowding of existing stores; </w:t>
      </w:r>
    </w:p>
    <w:p w14:paraId="0CD1957B" w14:textId="46A04F24" w:rsidR="00B8367D" w:rsidRDefault="00B8367D" w:rsidP="00E049AA">
      <w:pPr>
        <w:numPr>
          <w:ilvl w:val="0"/>
          <w:numId w:val="24"/>
        </w:numPr>
        <w:autoSpaceDE w:val="0"/>
        <w:autoSpaceDN w:val="0"/>
        <w:adjustRightInd w:val="0"/>
        <w:spacing w:after="57" w:line="240" w:lineRule="auto"/>
        <w:ind w:left="1560" w:hanging="426"/>
        <w:rPr>
          <w:rFonts w:ascii="Arial" w:hAnsi="Arial" w:cs="Arial"/>
          <w:color w:val="000000"/>
        </w:rPr>
      </w:pPr>
      <w:r w:rsidRPr="00B8367D">
        <w:rPr>
          <w:rFonts w:ascii="Arial" w:hAnsi="Arial" w:cs="Arial"/>
          <w:color w:val="000000"/>
        </w:rPr>
        <w:t xml:space="preserve">location specific needs such as underserved markets; and </w:t>
      </w:r>
    </w:p>
    <w:p w14:paraId="328A7FBD" w14:textId="084A7E65" w:rsidR="00491B65" w:rsidRPr="00491B65" w:rsidRDefault="00B8367D" w:rsidP="00491B65">
      <w:pPr>
        <w:numPr>
          <w:ilvl w:val="0"/>
          <w:numId w:val="24"/>
        </w:numPr>
        <w:autoSpaceDE w:val="0"/>
        <w:autoSpaceDN w:val="0"/>
        <w:adjustRightInd w:val="0"/>
        <w:spacing w:after="57" w:line="240" w:lineRule="auto"/>
        <w:ind w:left="1560" w:hanging="426"/>
        <w:rPr>
          <w:rFonts w:ascii="Arial" w:hAnsi="Arial" w:cs="Arial"/>
          <w:color w:val="000000"/>
        </w:rPr>
      </w:pPr>
      <w:r w:rsidRPr="00B8367D">
        <w:rPr>
          <w:rFonts w:ascii="Arial" w:hAnsi="Arial" w:cs="Arial"/>
          <w:color w:val="000000"/>
        </w:rPr>
        <w:t xml:space="preserve">the quality of existing provision. </w:t>
      </w:r>
    </w:p>
    <w:p w14:paraId="2BA057AD" w14:textId="77777777" w:rsidR="001F4C24" w:rsidRDefault="001F4C24" w:rsidP="00167503">
      <w:pPr>
        <w:pStyle w:val="Default"/>
        <w:rPr>
          <w:sz w:val="22"/>
          <w:szCs w:val="22"/>
        </w:rPr>
      </w:pPr>
    </w:p>
    <w:p w14:paraId="40EEB485" w14:textId="624DA25A" w:rsidR="00D9254B" w:rsidRPr="000C338F" w:rsidRDefault="000C338F" w:rsidP="000C338F">
      <w:pPr>
        <w:pStyle w:val="Default"/>
        <w:ind w:left="709"/>
        <w:rPr>
          <w:sz w:val="22"/>
          <w:szCs w:val="22"/>
          <w:u w:val="single"/>
        </w:rPr>
      </w:pPr>
      <w:r w:rsidRPr="000C338F">
        <w:rPr>
          <w:sz w:val="22"/>
          <w:szCs w:val="22"/>
          <w:u w:val="single"/>
        </w:rPr>
        <w:t>Centres Review</w:t>
      </w:r>
      <w:r w:rsidR="00FF26EA">
        <w:rPr>
          <w:sz w:val="22"/>
          <w:szCs w:val="22"/>
          <w:u w:val="single"/>
        </w:rPr>
        <w:t xml:space="preserve"> - Retail</w:t>
      </w:r>
    </w:p>
    <w:p w14:paraId="603C829C" w14:textId="0C6B7D22" w:rsidR="000C338F" w:rsidRDefault="000C338F" w:rsidP="000C338F">
      <w:pPr>
        <w:pStyle w:val="Default"/>
        <w:rPr>
          <w:sz w:val="22"/>
          <w:szCs w:val="22"/>
        </w:rPr>
      </w:pPr>
    </w:p>
    <w:p w14:paraId="12AC2864" w14:textId="62935BB4" w:rsidR="000C338F" w:rsidRDefault="00A85EDF" w:rsidP="00E049AA">
      <w:pPr>
        <w:pStyle w:val="Default"/>
        <w:numPr>
          <w:ilvl w:val="0"/>
          <w:numId w:val="10"/>
        </w:numPr>
        <w:ind w:left="709" w:hanging="425"/>
        <w:rPr>
          <w:sz w:val="22"/>
          <w:szCs w:val="22"/>
        </w:rPr>
      </w:pPr>
      <w:r>
        <w:rPr>
          <w:sz w:val="22"/>
          <w:szCs w:val="22"/>
        </w:rPr>
        <w:t xml:space="preserve">The consultant team will need to review the findings to date from the health check analysis to the earlier findings under the establishing future needs element of the study to provide a position statement about the Swindon Town Centre and other </w:t>
      </w:r>
      <w:r w:rsidR="00FF26EA">
        <w:rPr>
          <w:sz w:val="22"/>
          <w:szCs w:val="22"/>
        </w:rPr>
        <w:t xml:space="preserve">key </w:t>
      </w:r>
      <w:r>
        <w:rPr>
          <w:sz w:val="22"/>
          <w:szCs w:val="22"/>
        </w:rPr>
        <w:t xml:space="preserve">centre locations </w:t>
      </w:r>
      <w:r w:rsidR="00FF26EA">
        <w:rPr>
          <w:sz w:val="22"/>
          <w:szCs w:val="22"/>
        </w:rPr>
        <w:t>to be agreed</w:t>
      </w:r>
      <w:r w:rsidR="002E0DA4">
        <w:rPr>
          <w:sz w:val="22"/>
          <w:szCs w:val="22"/>
        </w:rPr>
        <w:t xml:space="preserve"> and included on the Local Plan policies map.</w:t>
      </w:r>
      <w:r w:rsidR="00FF26EA">
        <w:rPr>
          <w:sz w:val="22"/>
          <w:szCs w:val="22"/>
        </w:rPr>
        <w:t xml:space="preserve"> </w:t>
      </w:r>
    </w:p>
    <w:p w14:paraId="4A31E407" w14:textId="77777777" w:rsidR="00E71B2C" w:rsidRDefault="00E71B2C" w:rsidP="00E71B2C">
      <w:pPr>
        <w:pStyle w:val="Default"/>
        <w:ind w:left="709"/>
        <w:rPr>
          <w:sz w:val="22"/>
          <w:szCs w:val="22"/>
        </w:rPr>
      </w:pPr>
    </w:p>
    <w:p w14:paraId="20DD3DAA" w14:textId="41723B8A" w:rsidR="00E71B2C" w:rsidRDefault="00E71B2C" w:rsidP="00E049AA">
      <w:pPr>
        <w:pStyle w:val="Default"/>
        <w:numPr>
          <w:ilvl w:val="0"/>
          <w:numId w:val="10"/>
        </w:numPr>
        <w:ind w:left="709" w:hanging="425"/>
        <w:rPr>
          <w:sz w:val="22"/>
          <w:szCs w:val="22"/>
        </w:rPr>
      </w:pPr>
      <w:r w:rsidRPr="00E71B2C">
        <w:rPr>
          <w:sz w:val="22"/>
          <w:szCs w:val="22"/>
        </w:rPr>
        <w:t>The quantitative and qualitative need (‘capacity’) for new retail floorspace and commercial leisure uses</w:t>
      </w:r>
      <w:r>
        <w:rPr>
          <w:sz w:val="22"/>
          <w:szCs w:val="22"/>
        </w:rPr>
        <w:t xml:space="preserve"> should align with requirements set out in the NPPF/G and </w:t>
      </w:r>
      <w:r w:rsidRPr="00E71B2C">
        <w:rPr>
          <w:sz w:val="22"/>
          <w:szCs w:val="22"/>
        </w:rPr>
        <w:t>look at least ten years ahead (NPPF, paragraph 86d)</w:t>
      </w:r>
      <w:r>
        <w:rPr>
          <w:sz w:val="22"/>
          <w:szCs w:val="22"/>
        </w:rPr>
        <w:t xml:space="preserve">. </w:t>
      </w:r>
    </w:p>
    <w:p w14:paraId="76372B4F" w14:textId="77777777" w:rsidR="000C338F" w:rsidRDefault="000C338F" w:rsidP="000C338F">
      <w:pPr>
        <w:pStyle w:val="Default"/>
        <w:ind w:left="709"/>
        <w:rPr>
          <w:sz w:val="22"/>
          <w:szCs w:val="22"/>
        </w:rPr>
      </w:pPr>
    </w:p>
    <w:p w14:paraId="2E1F5AD4" w14:textId="2D1BFCCF" w:rsidR="00E71B2C" w:rsidRPr="00E71B2C" w:rsidRDefault="00FF26EA" w:rsidP="00E71B2C">
      <w:pPr>
        <w:pStyle w:val="Default"/>
        <w:numPr>
          <w:ilvl w:val="0"/>
          <w:numId w:val="10"/>
        </w:numPr>
        <w:ind w:left="709" w:hanging="425"/>
        <w:rPr>
          <w:sz w:val="22"/>
          <w:szCs w:val="22"/>
        </w:rPr>
      </w:pPr>
      <w:r>
        <w:rPr>
          <w:sz w:val="22"/>
          <w:szCs w:val="22"/>
        </w:rPr>
        <w:t xml:space="preserve">This evidence report is going to be important as part of wider considerations including </w:t>
      </w:r>
      <w:proofErr w:type="spellStart"/>
      <w:r>
        <w:rPr>
          <w:sz w:val="22"/>
          <w:szCs w:val="22"/>
        </w:rPr>
        <w:t>masterplanning</w:t>
      </w:r>
      <w:proofErr w:type="spellEnd"/>
      <w:r>
        <w:rPr>
          <w:sz w:val="22"/>
          <w:szCs w:val="22"/>
        </w:rPr>
        <w:t xml:space="preserve"> and regeneration concerning the future directions for Swindon Town Centre in particular and the extent of remaining retail floorspace required.   The challenge is to maintain a vibrant centre – meeting a diverse range of consumer needs but also with sufficient flexibility to encourage new growth opportunities and a diversification in land uses. </w:t>
      </w:r>
    </w:p>
    <w:p w14:paraId="39C153E0" w14:textId="77777777" w:rsidR="00FF26EA" w:rsidRPr="00FF26EA" w:rsidRDefault="00FF26EA" w:rsidP="00FF26EA">
      <w:pPr>
        <w:pStyle w:val="Default"/>
        <w:rPr>
          <w:sz w:val="22"/>
          <w:szCs w:val="22"/>
        </w:rPr>
      </w:pPr>
    </w:p>
    <w:p w14:paraId="622D7FB1" w14:textId="421C7A5F" w:rsidR="005317E1" w:rsidRPr="005317E1" w:rsidRDefault="00430AEF" w:rsidP="005317E1">
      <w:pPr>
        <w:pStyle w:val="Default"/>
        <w:ind w:left="709"/>
        <w:rPr>
          <w:sz w:val="22"/>
          <w:szCs w:val="22"/>
          <w:u w:val="single"/>
        </w:rPr>
      </w:pPr>
      <w:r>
        <w:rPr>
          <w:sz w:val="22"/>
          <w:szCs w:val="22"/>
          <w:u w:val="single"/>
        </w:rPr>
        <w:t>Main Town Centre Uses</w:t>
      </w:r>
      <w:r w:rsidR="002B20E9">
        <w:rPr>
          <w:sz w:val="22"/>
          <w:szCs w:val="22"/>
          <w:u w:val="single"/>
        </w:rPr>
        <w:t xml:space="preserve"> and Other Considerations</w:t>
      </w:r>
    </w:p>
    <w:p w14:paraId="2C14042E" w14:textId="77777777" w:rsidR="00FF26EA" w:rsidRPr="00FF26EA" w:rsidRDefault="00FF26EA" w:rsidP="00FF26EA">
      <w:pPr>
        <w:rPr>
          <w:rFonts w:ascii="Arial" w:hAnsi="Arial" w:cs="Arial"/>
        </w:rPr>
      </w:pPr>
    </w:p>
    <w:p w14:paraId="65397D95" w14:textId="59D679F0" w:rsidR="002B20E9" w:rsidRDefault="00FF26EA" w:rsidP="00EB5E8F">
      <w:pPr>
        <w:pStyle w:val="ListParagraph"/>
        <w:numPr>
          <w:ilvl w:val="0"/>
          <w:numId w:val="10"/>
        </w:numPr>
        <w:ind w:left="709" w:hanging="425"/>
        <w:rPr>
          <w:rFonts w:ascii="Arial" w:hAnsi="Arial" w:cs="Arial"/>
        </w:rPr>
      </w:pPr>
      <w:r w:rsidRPr="002B20E9">
        <w:rPr>
          <w:rFonts w:ascii="Arial" w:hAnsi="Arial" w:cs="Arial"/>
        </w:rPr>
        <w:t xml:space="preserve">The study should also provide a strong methodology and approach to consider the potential or otherwise for </w:t>
      </w:r>
      <w:r w:rsidR="002B20E9" w:rsidRPr="002B20E9">
        <w:rPr>
          <w:rFonts w:ascii="Arial" w:hAnsi="Arial" w:cs="Arial"/>
        </w:rPr>
        <w:t xml:space="preserve">main </w:t>
      </w:r>
      <w:r w:rsidRPr="002B20E9">
        <w:rPr>
          <w:rFonts w:ascii="Arial" w:hAnsi="Arial" w:cs="Arial"/>
        </w:rPr>
        <w:t>town centre uses</w:t>
      </w:r>
      <w:r w:rsidR="002B20E9" w:rsidRPr="002B20E9">
        <w:rPr>
          <w:rFonts w:ascii="Arial" w:hAnsi="Arial" w:cs="Arial"/>
        </w:rPr>
        <w:t xml:space="preserve"> that are</w:t>
      </w:r>
      <w:r w:rsidRPr="002B20E9">
        <w:rPr>
          <w:rFonts w:ascii="Arial" w:hAnsi="Arial" w:cs="Arial"/>
        </w:rPr>
        <w:t xml:space="preserve"> additional to retail as defined by NPPF A</w:t>
      </w:r>
      <w:r w:rsidR="002B20E9" w:rsidRPr="002B20E9">
        <w:rPr>
          <w:rFonts w:ascii="Arial" w:hAnsi="Arial" w:cs="Arial"/>
        </w:rPr>
        <w:t>nnex</w:t>
      </w:r>
      <w:r w:rsidRPr="002B20E9">
        <w:rPr>
          <w:rFonts w:ascii="Arial" w:hAnsi="Arial" w:cs="Arial"/>
        </w:rPr>
        <w:t xml:space="preserve"> 2.</w:t>
      </w:r>
      <w:r w:rsidR="002B20E9">
        <w:rPr>
          <w:rFonts w:ascii="Arial" w:hAnsi="Arial" w:cs="Arial"/>
        </w:rPr>
        <w:t xml:space="preserve">  </w:t>
      </w:r>
      <w:r w:rsidR="00491B65">
        <w:rPr>
          <w:rFonts w:ascii="Arial" w:hAnsi="Arial" w:cs="Arial"/>
        </w:rPr>
        <w:t xml:space="preserve">The study will be developed within the context of changes to the Use Classes Order (UCO) and new Class E in particular. </w:t>
      </w:r>
    </w:p>
    <w:p w14:paraId="5BDD937B" w14:textId="77777777" w:rsidR="008F5C28" w:rsidRDefault="008F5C28" w:rsidP="008F5C28">
      <w:pPr>
        <w:pStyle w:val="ListParagraph"/>
        <w:ind w:left="709"/>
        <w:rPr>
          <w:rFonts w:ascii="Arial" w:hAnsi="Arial" w:cs="Arial"/>
        </w:rPr>
      </w:pPr>
    </w:p>
    <w:p w14:paraId="05F9D5A9" w14:textId="3CCA7168" w:rsidR="00B91E14" w:rsidRPr="00B91E14" w:rsidRDefault="008F5C28" w:rsidP="00B91E14">
      <w:pPr>
        <w:pStyle w:val="ListParagraph"/>
        <w:numPr>
          <w:ilvl w:val="0"/>
          <w:numId w:val="10"/>
        </w:numPr>
        <w:ind w:left="709" w:hanging="425"/>
        <w:rPr>
          <w:rFonts w:ascii="Arial" w:hAnsi="Arial" w:cs="Arial"/>
        </w:rPr>
      </w:pPr>
      <w:r>
        <w:rPr>
          <w:rFonts w:ascii="Arial" w:hAnsi="Arial" w:cs="Arial"/>
        </w:rPr>
        <w:t xml:space="preserve">The study should </w:t>
      </w:r>
      <w:r w:rsidR="000070C7">
        <w:rPr>
          <w:rFonts w:ascii="Arial" w:hAnsi="Arial" w:cs="Arial"/>
        </w:rPr>
        <w:t xml:space="preserve">consider </w:t>
      </w:r>
      <w:r>
        <w:rPr>
          <w:rFonts w:ascii="Arial" w:hAnsi="Arial" w:cs="Arial"/>
        </w:rPr>
        <w:t>the full extent of development sites required to meet the scale and type of uses across retail and other main town centre uses required to meet needs – looking at least 10 years ahead</w:t>
      </w:r>
      <w:r w:rsidR="00E71B2C">
        <w:rPr>
          <w:rFonts w:ascii="Arial" w:hAnsi="Arial" w:cs="Arial"/>
        </w:rPr>
        <w:t xml:space="preserve"> and ideally as part of a longer-range vision.  </w:t>
      </w:r>
    </w:p>
    <w:p w14:paraId="663F9E69" w14:textId="77777777" w:rsidR="002B20E9" w:rsidRDefault="002B20E9" w:rsidP="002B20E9">
      <w:pPr>
        <w:pStyle w:val="ListParagraph"/>
        <w:ind w:left="709"/>
        <w:rPr>
          <w:rFonts w:ascii="Arial" w:hAnsi="Arial" w:cs="Arial"/>
        </w:rPr>
      </w:pPr>
    </w:p>
    <w:p w14:paraId="69FB7E34" w14:textId="32FADED4" w:rsidR="002B20E9" w:rsidRDefault="002B20E9" w:rsidP="00EB5E8F">
      <w:pPr>
        <w:pStyle w:val="ListParagraph"/>
        <w:numPr>
          <w:ilvl w:val="0"/>
          <w:numId w:val="10"/>
        </w:numPr>
        <w:ind w:left="709" w:hanging="425"/>
        <w:rPr>
          <w:rFonts w:ascii="Arial" w:hAnsi="Arial" w:cs="Arial"/>
        </w:rPr>
      </w:pPr>
      <w:r>
        <w:rPr>
          <w:rFonts w:ascii="Arial" w:hAnsi="Arial" w:cs="Arial"/>
        </w:rPr>
        <w:t xml:space="preserve">Swindon has a strong presence of online retail and distribution and it would be useful for the study to provide future </w:t>
      </w:r>
      <w:r w:rsidR="00A32C88">
        <w:rPr>
          <w:rFonts w:ascii="Arial" w:hAnsi="Arial" w:cs="Arial"/>
        </w:rPr>
        <w:t xml:space="preserve">directions over extent of changes and trends within this sector, and as part of cross-over work on employment land under Lot </w:t>
      </w:r>
      <w:r w:rsidR="00645448">
        <w:rPr>
          <w:rFonts w:ascii="Arial" w:hAnsi="Arial" w:cs="Arial"/>
        </w:rPr>
        <w:t>A</w:t>
      </w:r>
      <w:r w:rsidR="00A32C88">
        <w:rPr>
          <w:rFonts w:ascii="Arial" w:hAnsi="Arial" w:cs="Arial"/>
        </w:rPr>
        <w:t xml:space="preserve">. </w:t>
      </w:r>
      <w:r w:rsidR="00B91E14">
        <w:rPr>
          <w:rFonts w:ascii="Arial" w:hAnsi="Arial" w:cs="Arial"/>
        </w:rPr>
        <w:t xml:space="preserve">This may also include innovation and emerging demands in the sector for local (last mile) </w:t>
      </w:r>
      <w:r w:rsidR="006A7D79">
        <w:rPr>
          <w:rFonts w:ascii="Arial" w:hAnsi="Arial" w:cs="Arial"/>
        </w:rPr>
        <w:t xml:space="preserve">distribution / collection points.  </w:t>
      </w:r>
    </w:p>
    <w:p w14:paraId="2F301B68" w14:textId="77777777" w:rsidR="00B91E14" w:rsidRPr="00B91E14" w:rsidRDefault="00B91E14" w:rsidP="00B91E14">
      <w:pPr>
        <w:pStyle w:val="ListParagraph"/>
        <w:rPr>
          <w:rFonts w:ascii="Arial" w:hAnsi="Arial" w:cs="Arial"/>
        </w:rPr>
      </w:pPr>
    </w:p>
    <w:p w14:paraId="28F7381B" w14:textId="17DF2C48" w:rsidR="00B91E14" w:rsidRPr="00B91E14" w:rsidRDefault="00B91E14" w:rsidP="00EB5E8F">
      <w:pPr>
        <w:pStyle w:val="ListParagraph"/>
        <w:numPr>
          <w:ilvl w:val="0"/>
          <w:numId w:val="10"/>
        </w:numPr>
        <w:ind w:left="709" w:hanging="425"/>
        <w:rPr>
          <w:rFonts w:ascii="Arial" w:hAnsi="Arial" w:cs="Arial"/>
        </w:rPr>
      </w:pPr>
      <w:r w:rsidRPr="00B91E14">
        <w:rPr>
          <w:rFonts w:ascii="Arial" w:hAnsi="Arial" w:cs="Arial"/>
        </w:rPr>
        <w:t>Advice and recommendations on regenerating areas blighted by shop vacanc</w:t>
      </w:r>
      <w:r>
        <w:rPr>
          <w:rFonts w:ascii="Arial" w:hAnsi="Arial" w:cs="Arial"/>
        </w:rPr>
        <w:t>ies</w:t>
      </w:r>
      <w:r w:rsidRPr="00B91E14">
        <w:rPr>
          <w:rFonts w:ascii="Arial" w:hAnsi="Arial" w:cs="Arial"/>
        </w:rPr>
        <w:t xml:space="preserve"> </w:t>
      </w:r>
      <w:r>
        <w:rPr>
          <w:rFonts w:ascii="Arial" w:hAnsi="Arial" w:cs="Arial"/>
        </w:rPr>
        <w:t xml:space="preserve">is </w:t>
      </w:r>
      <w:r w:rsidRPr="00B91E14">
        <w:rPr>
          <w:rFonts w:ascii="Arial" w:hAnsi="Arial" w:cs="Arial"/>
        </w:rPr>
        <w:t xml:space="preserve">likely to be a key issue and whether the consolidation of town centres through shrinking retail boundaries may help improve the quality on offer within designated centres overall.  </w:t>
      </w:r>
      <w:r w:rsidR="00DA4E75">
        <w:rPr>
          <w:rFonts w:ascii="Arial" w:hAnsi="Arial" w:cs="Arial"/>
        </w:rPr>
        <w:t>Concentrations of lower grade town centre uses and a</w:t>
      </w:r>
      <w:r w:rsidR="006A7D79">
        <w:rPr>
          <w:rFonts w:ascii="Arial" w:hAnsi="Arial" w:cs="Arial"/>
        </w:rPr>
        <w:t xml:space="preserve">reas of risk of further occupier decline would also be useful to review.  </w:t>
      </w:r>
      <w:r w:rsidRPr="00B91E14">
        <w:rPr>
          <w:rFonts w:ascii="Arial" w:hAnsi="Arial" w:cs="Arial"/>
        </w:rPr>
        <w:t xml:space="preserve">Further </w:t>
      </w:r>
      <w:r w:rsidRPr="00B91E14">
        <w:rPr>
          <w:rFonts w:ascii="Arial" w:hAnsi="Arial" w:cs="Arial"/>
          <w:bCs/>
        </w:rPr>
        <w:t>advice and recommendation</w:t>
      </w:r>
      <w:r>
        <w:rPr>
          <w:rFonts w:ascii="Arial" w:hAnsi="Arial" w:cs="Arial"/>
          <w:bCs/>
        </w:rPr>
        <w:t>s are</w:t>
      </w:r>
      <w:r w:rsidRPr="00B91E14">
        <w:rPr>
          <w:rFonts w:ascii="Arial" w:hAnsi="Arial" w:cs="Arial"/>
          <w:bCs/>
        </w:rPr>
        <w:t xml:space="preserve"> also required concerning catchment / viability thresholds for </w:t>
      </w:r>
      <w:r>
        <w:rPr>
          <w:rFonts w:ascii="Arial" w:hAnsi="Arial" w:cs="Arial"/>
          <w:bCs/>
        </w:rPr>
        <w:t xml:space="preserve">lower tier </w:t>
      </w:r>
      <w:r w:rsidRPr="00B91E14">
        <w:rPr>
          <w:rFonts w:ascii="Arial" w:hAnsi="Arial" w:cs="Arial"/>
          <w:bCs/>
        </w:rPr>
        <w:t xml:space="preserve">local </w:t>
      </w:r>
      <w:r>
        <w:rPr>
          <w:rFonts w:ascii="Arial" w:hAnsi="Arial" w:cs="Arial"/>
          <w:bCs/>
        </w:rPr>
        <w:t xml:space="preserve">/ neighbourhood centres. </w:t>
      </w:r>
    </w:p>
    <w:p w14:paraId="7880718E" w14:textId="77777777" w:rsidR="00B91E14" w:rsidRPr="00B91E14" w:rsidRDefault="00B91E14" w:rsidP="00B91E14">
      <w:pPr>
        <w:pStyle w:val="ListParagraph"/>
        <w:rPr>
          <w:rFonts w:ascii="Arial" w:hAnsi="Arial" w:cs="Arial"/>
        </w:rPr>
      </w:pPr>
    </w:p>
    <w:p w14:paraId="6E1D6389" w14:textId="1EDB57CB" w:rsidR="00B91E14" w:rsidRDefault="00B91E14" w:rsidP="00EB5E8F">
      <w:pPr>
        <w:pStyle w:val="ListParagraph"/>
        <w:numPr>
          <w:ilvl w:val="0"/>
          <w:numId w:val="10"/>
        </w:numPr>
        <w:ind w:left="709" w:hanging="425"/>
        <w:rPr>
          <w:rFonts w:ascii="Arial" w:hAnsi="Arial" w:cs="Arial"/>
        </w:rPr>
      </w:pPr>
      <w:r>
        <w:rPr>
          <w:rFonts w:ascii="Arial" w:hAnsi="Arial" w:cs="Arial"/>
        </w:rPr>
        <w:lastRenderedPageBreak/>
        <w:t xml:space="preserve">Advice is also sought about how to retain and support the primacy of Swindon Town Centre as an office location.  There may be a cross-over with this area of analysis and Lot A and out of centre offices. </w:t>
      </w:r>
    </w:p>
    <w:p w14:paraId="484F02BD" w14:textId="77777777" w:rsidR="00E71B2C" w:rsidRPr="00E71B2C" w:rsidRDefault="00E71B2C" w:rsidP="00E71B2C">
      <w:pPr>
        <w:pStyle w:val="ListParagraph"/>
        <w:rPr>
          <w:rFonts w:ascii="Arial" w:hAnsi="Arial" w:cs="Arial"/>
        </w:rPr>
      </w:pPr>
    </w:p>
    <w:p w14:paraId="7E6D75D9" w14:textId="02C8142E" w:rsidR="00E71B2C" w:rsidRPr="00A32C88" w:rsidRDefault="00E71B2C" w:rsidP="00EB5E8F">
      <w:pPr>
        <w:pStyle w:val="ListParagraph"/>
        <w:numPr>
          <w:ilvl w:val="0"/>
          <w:numId w:val="10"/>
        </w:numPr>
        <w:ind w:left="709" w:hanging="425"/>
        <w:rPr>
          <w:rFonts w:ascii="Arial" w:hAnsi="Arial" w:cs="Arial"/>
        </w:rPr>
      </w:pPr>
      <w:r>
        <w:rPr>
          <w:rFonts w:ascii="Arial" w:hAnsi="Arial" w:cs="Arial"/>
        </w:rPr>
        <w:t xml:space="preserve">Findings from this part of the study are likely to be subject to a workshop event with local retail and town centre use stakeholders.  </w:t>
      </w:r>
    </w:p>
    <w:p w14:paraId="0E4F3459" w14:textId="77777777" w:rsidR="000C338F" w:rsidRDefault="000C338F" w:rsidP="000C338F">
      <w:pPr>
        <w:pStyle w:val="Default"/>
        <w:ind w:left="709"/>
        <w:rPr>
          <w:sz w:val="22"/>
          <w:szCs w:val="22"/>
        </w:rPr>
      </w:pPr>
    </w:p>
    <w:p w14:paraId="7A8A1F4A" w14:textId="540BD397" w:rsidR="005317E1" w:rsidRDefault="005317E1" w:rsidP="005317E1">
      <w:pPr>
        <w:pStyle w:val="Default"/>
        <w:rPr>
          <w:b/>
        </w:rPr>
      </w:pPr>
      <w:r w:rsidRPr="009A6490">
        <w:rPr>
          <w:b/>
        </w:rPr>
        <w:t xml:space="preserve">Part </w:t>
      </w:r>
      <w:r>
        <w:rPr>
          <w:b/>
        </w:rPr>
        <w:t>D</w:t>
      </w:r>
      <w:r w:rsidRPr="009A6490">
        <w:rPr>
          <w:b/>
        </w:rPr>
        <w:t xml:space="preserve"> – </w:t>
      </w:r>
      <w:r>
        <w:rPr>
          <w:b/>
        </w:rPr>
        <w:t xml:space="preserve">Setting </w:t>
      </w:r>
      <w:r w:rsidR="00D6560D">
        <w:rPr>
          <w:b/>
        </w:rPr>
        <w:t xml:space="preserve">Policies and </w:t>
      </w:r>
      <w:r>
        <w:rPr>
          <w:b/>
        </w:rPr>
        <w:t xml:space="preserve">Parameters </w:t>
      </w:r>
    </w:p>
    <w:p w14:paraId="0D868EDC" w14:textId="7E2354F3" w:rsidR="005317E1" w:rsidRDefault="005317E1" w:rsidP="005317E1">
      <w:pPr>
        <w:pStyle w:val="Default"/>
        <w:rPr>
          <w:b/>
        </w:rPr>
      </w:pPr>
    </w:p>
    <w:p w14:paraId="54242880" w14:textId="610E6F16" w:rsidR="008F5C28" w:rsidRDefault="006E5D3E" w:rsidP="00EB5E8F">
      <w:pPr>
        <w:pStyle w:val="Default"/>
        <w:numPr>
          <w:ilvl w:val="0"/>
          <w:numId w:val="10"/>
        </w:numPr>
        <w:ind w:left="709" w:hanging="425"/>
        <w:rPr>
          <w:sz w:val="22"/>
          <w:szCs w:val="22"/>
        </w:rPr>
      </w:pPr>
      <w:r>
        <w:rPr>
          <w:sz w:val="22"/>
          <w:szCs w:val="22"/>
        </w:rPr>
        <w:t>Much has changed in retailing over the recent past and much has also change</w:t>
      </w:r>
      <w:r w:rsidR="0030466C">
        <w:rPr>
          <w:sz w:val="22"/>
          <w:szCs w:val="22"/>
        </w:rPr>
        <w:t>d</w:t>
      </w:r>
      <w:r>
        <w:rPr>
          <w:sz w:val="22"/>
          <w:szCs w:val="22"/>
        </w:rPr>
        <w:t xml:space="preserve"> in terms of the Use Classes Order and Class E Uses which covers a wide range of town centre </w:t>
      </w:r>
      <w:r w:rsidR="008F5C28">
        <w:rPr>
          <w:sz w:val="22"/>
          <w:szCs w:val="22"/>
        </w:rPr>
        <w:t xml:space="preserve">use </w:t>
      </w:r>
      <w:r>
        <w:rPr>
          <w:sz w:val="22"/>
          <w:szCs w:val="22"/>
        </w:rPr>
        <w:t>type</w:t>
      </w:r>
      <w:r w:rsidR="008F5C28">
        <w:rPr>
          <w:sz w:val="22"/>
          <w:szCs w:val="22"/>
        </w:rPr>
        <w:t>s</w:t>
      </w:r>
      <w:r>
        <w:rPr>
          <w:sz w:val="22"/>
          <w:szCs w:val="22"/>
        </w:rPr>
        <w:t xml:space="preserve">.  Part of town centre </w:t>
      </w:r>
      <w:r w:rsidR="009C78C3">
        <w:rPr>
          <w:sz w:val="22"/>
          <w:szCs w:val="22"/>
        </w:rPr>
        <w:t xml:space="preserve">and retail </w:t>
      </w:r>
      <w:r>
        <w:rPr>
          <w:sz w:val="22"/>
          <w:szCs w:val="22"/>
        </w:rPr>
        <w:t>plan</w:t>
      </w:r>
      <w:r w:rsidR="009C78C3">
        <w:rPr>
          <w:sz w:val="22"/>
          <w:szCs w:val="22"/>
        </w:rPr>
        <w:t>-making</w:t>
      </w:r>
      <w:r>
        <w:rPr>
          <w:sz w:val="22"/>
          <w:szCs w:val="22"/>
        </w:rPr>
        <w:t xml:space="preserve"> is still very traditional and there are certain requirements which will need to be included </w:t>
      </w:r>
      <w:r w:rsidR="00B826F6">
        <w:rPr>
          <w:sz w:val="22"/>
          <w:szCs w:val="22"/>
        </w:rPr>
        <w:t xml:space="preserve">in support and </w:t>
      </w:r>
      <w:r>
        <w:rPr>
          <w:sz w:val="22"/>
          <w:szCs w:val="22"/>
        </w:rPr>
        <w:t>within the Local P</w:t>
      </w:r>
      <w:r w:rsidR="008F5C28">
        <w:rPr>
          <w:sz w:val="22"/>
          <w:szCs w:val="22"/>
        </w:rPr>
        <w:t>lan</w:t>
      </w:r>
      <w:r>
        <w:rPr>
          <w:sz w:val="22"/>
          <w:szCs w:val="22"/>
        </w:rPr>
        <w:t xml:space="preserve"> to be found sound including</w:t>
      </w:r>
      <w:r w:rsidR="008F5C28">
        <w:rPr>
          <w:sz w:val="22"/>
          <w:szCs w:val="22"/>
        </w:rPr>
        <w:t>:</w:t>
      </w:r>
    </w:p>
    <w:p w14:paraId="52CF34A5" w14:textId="77777777" w:rsidR="008F5C28" w:rsidRDefault="008F5C28" w:rsidP="008F5C28">
      <w:pPr>
        <w:pStyle w:val="Default"/>
        <w:ind w:left="709"/>
        <w:rPr>
          <w:sz w:val="22"/>
          <w:szCs w:val="22"/>
        </w:rPr>
      </w:pPr>
    </w:p>
    <w:p w14:paraId="2C7EF5F9" w14:textId="3E71DCA8" w:rsidR="005317E1" w:rsidRPr="008F5C28" w:rsidRDefault="008F5C28" w:rsidP="00B556FC">
      <w:pPr>
        <w:pStyle w:val="Default"/>
        <w:numPr>
          <w:ilvl w:val="0"/>
          <w:numId w:val="26"/>
        </w:numPr>
        <w:ind w:left="1418" w:hanging="293"/>
        <w:rPr>
          <w:sz w:val="22"/>
          <w:szCs w:val="22"/>
        </w:rPr>
      </w:pPr>
      <w:r w:rsidRPr="00CB50CD">
        <w:rPr>
          <w:b/>
          <w:sz w:val="22"/>
          <w:szCs w:val="22"/>
        </w:rPr>
        <w:t xml:space="preserve">Defining a </w:t>
      </w:r>
      <w:r w:rsidR="009C78C3">
        <w:rPr>
          <w:b/>
          <w:sz w:val="22"/>
          <w:szCs w:val="22"/>
        </w:rPr>
        <w:t xml:space="preserve">robust </w:t>
      </w:r>
      <w:r w:rsidRPr="00CB50CD">
        <w:rPr>
          <w:b/>
          <w:sz w:val="22"/>
          <w:szCs w:val="22"/>
        </w:rPr>
        <w:t>network and hierarchy of town centres</w:t>
      </w:r>
      <w:r w:rsidRPr="008F5C28">
        <w:rPr>
          <w:sz w:val="22"/>
          <w:szCs w:val="22"/>
        </w:rPr>
        <w:t>.</w:t>
      </w:r>
    </w:p>
    <w:p w14:paraId="63D3CE88" w14:textId="0FF8DD7E" w:rsidR="00B556FC" w:rsidRPr="008F5C28" w:rsidRDefault="008F5C28" w:rsidP="00B556FC">
      <w:pPr>
        <w:pStyle w:val="Default"/>
        <w:numPr>
          <w:ilvl w:val="0"/>
          <w:numId w:val="26"/>
        </w:numPr>
        <w:ind w:left="1418" w:hanging="293"/>
        <w:rPr>
          <w:sz w:val="22"/>
          <w:szCs w:val="22"/>
        </w:rPr>
      </w:pPr>
      <w:r w:rsidRPr="00CB50CD">
        <w:rPr>
          <w:b/>
          <w:sz w:val="22"/>
          <w:szCs w:val="22"/>
        </w:rPr>
        <w:t>Defining the extent of town centres and primary shopping areas</w:t>
      </w:r>
      <w:r w:rsidRPr="008F5C28">
        <w:rPr>
          <w:sz w:val="22"/>
          <w:szCs w:val="22"/>
        </w:rPr>
        <w:t>, and mak</w:t>
      </w:r>
      <w:r w:rsidR="00772E07">
        <w:rPr>
          <w:sz w:val="22"/>
          <w:szCs w:val="22"/>
        </w:rPr>
        <w:t>ing</w:t>
      </w:r>
      <w:r w:rsidRPr="008F5C28">
        <w:rPr>
          <w:sz w:val="22"/>
          <w:szCs w:val="22"/>
        </w:rPr>
        <w:t xml:space="preserve"> clear the range of uses permitted in such location</w:t>
      </w:r>
      <w:r w:rsidR="00B556FC">
        <w:rPr>
          <w:sz w:val="22"/>
          <w:szCs w:val="22"/>
        </w:rPr>
        <w:t xml:space="preserve">s, and areas </w:t>
      </w:r>
      <w:r w:rsidR="00B556FC" w:rsidRPr="00B556FC">
        <w:rPr>
          <w:sz w:val="22"/>
          <w:szCs w:val="22"/>
        </w:rPr>
        <w:t>predominantly occupied by main town centre uses within or adjacent to the primary shopping area.</w:t>
      </w:r>
      <w:r w:rsidR="00B556FC">
        <w:rPr>
          <w:b/>
          <w:sz w:val="22"/>
          <w:szCs w:val="22"/>
        </w:rPr>
        <w:t xml:space="preserve"> </w:t>
      </w:r>
    </w:p>
    <w:p w14:paraId="692B8524" w14:textId="113B4F4B" w:rsidR="00CB50CD" w:rsidRDefault="00B556FC" w:rsidP="00B826F6">
      <w:pPr>
        <w:pStyle w:val="Default"/>
        <w:numPr>
          <w:ilvl w:val="0"/>
          <w:numId w:val="26"/>
        </w:numPr>
        <w:ind w:left="1418" w:hanging="293"/>
        <w:rPr>
          <w:sz w:val="22"/>
          <w:szCs w:val="22"/>
        </w:rPr>
      </w:pPr>
      <w:r>
        <w:rPr>
          <w:b/>
          <w:sz w:val="22"/>
          <w:szCs w:val="22"/>
        </w:rPr>
        <w:t xml:space="preserve">Setting the broad scale, range and </w:t>
      </w:r>
      <w:r w:rsidR="008F5C28" w:rsidRPr="00CB50CD">
        <w:rPr>
          <w:b/>
          <w:sz w:val="22"/>
          <w:szCs w:val="22"/>
        </w:rPr>
        <w:t xml:space="preserve">type of </w:t>
      </w:r>
      <w:r>
        <w:rPr>
          <w:b/>
          <w:sz w:val="22"/>
          <w:szCs w:val="22"/>
        </w:rPr>
        <w:t xml:space="preserve">town centre </w:t>
      </w:r>
      <w:r w:rsidR="008F5C28" w:rsidRPr="00CB50CD">
        <w:rPr>
          <w:b/>
          <w:sz w:val="22"/>
          <w:szCs w:val="22"/>
        </w:rPr>
        <w:t>development likely to be needed</w:t>
      </w:r>
      <w:r>
        <w:rPr>
          <w:b/>
          <w:sz w:val="22"/>
          <w:szCs w:val="22"/>
        </w:rPr>
        <w:t xml:space="preserve">.  </w:t>
      </w:r>
      <w:r w:rsidR="008F5C28" w:rsidRPr="008F5C28">
        <w:rPr>
          <w:sz w:val="22"/>
          <w:szCs w:val="22"/>
        </w:rPr>
        <w:t>Meeting anticipated needs for retail, leisure, office and other</w:t>
      </w:r>
      <w:r w:rsidR="00B826F6">
        <w:rPr>
          <w:sz w:val="22"/>
          <w:szCs w:val="22"/>
        </w:rPr>
        <w:t xml:space="preserve"> </w:t>
      </w:r>
      <w:r w:rsidR="008F5C28" w:rsidRPr="008F5C28">
        <w:rPr>
          <w:sz w:val="22"/>
          <w:szCs w:val="22"/>
        </w:rPr>
        <w:t>main town centre uses should not be compromised by limited site availability.</w:t>
      </w:r>
    </w:p>
    <w:p w14:paraId="2B5DB422" w14:textId="5955D615" w:rsidR="00B826F6" w:rsidRDefault="00B826F6" w:rsidP="00B826F6">
      <w:pPr>
        <w:pStyle w:val="ListParagraph"/>
        <w:numPr>
          <w:ilvl w:val="0"/>
          <w:numId w:val="26"/>
        </w:numPr>
        <w:ind w:left="1418" w:hanging="293"/>
        <w:rPr>
          <w:rFonts w:ascii="Arial" w:hAnsi="Arial" w:cs="Arial"/>
          <w:color w:val="000000"/>
        </w:rPr>
      </w:pPr>
      <w:r w:rsidRPr="00B826F6">
        <w:rPr>
          <w:rFonts w:ascii="Arial" w:hAnsi="Arial" w:cs="Arial"/>
          <w:color w:val="000000"/>
        </w:rPr>
        <w:t>Establish</w:t>
      </w:r>
      <w:r w:rsidR="00772E07">
        <w:rPr>
          <w:rFonts w:ascii="Arial" w:hAnsi="Arial" w:cs="Arial"/>
          <w:color w:val="000000"/>
        </w:rPr>
        <w:t>ing</w:t>
      </w:r>
      <w:r w:rsidRPr="00B826F6">
        <w:rPr>
          <w:rFonts w:ascii="Arial" w:hAnsi="Arial" w:cs="Arial"/>
          <w:color w:val="000000"/>
        </w:rPr>
        <w:t xml:space="preserve"> a </w:t>
      </w:r>
      <w:r w:rsidRPr="00B826F6">
        <w:rPr>
          <w:rFonts w:ascii="Arial" w:hAnsi="Arial" w:cs="Arial"/>
          <w:b/>
          <w:color w:val="000000"/>
        </w:rPr>
        <w:t>locally set floorspace threshold</w:t>
      </w:r>
      <w:r w:rsidRPr="00B826F6">
        <w:rPr>
          <w:rFonts w:ascii="Arial" w:hAnsi="Arial" w:cs="Arial"/>
          <w:color w:val="000000"/>
        </w:rPr>
        <w:t xml:space="preserve"> for applications for retail and leisure development for which above the threshold floorspace level impact assessments will be required</w:t>
      </w:r>
      <w:r>
        <w:rPr>
          <w:rFonts w:ascii="Arial" w:hAnsi="Arial" w:cs="Arial"/>
          <w:color w:val="000000"/>
        </w:rPr>
        <w:t xml:space="preserve">. </w:t>
      </w:r>
    </w:p>
    <w:p w14:paraId="0617BBD5" w14:textId="296D0E51" w:rsidR="00B826F6" w:rsidRPr="00B826F6" w:rsidRDefault="00B826F6" w:rsidP="00B826F6">
      <w:pPr>
        <w:pStyle w:val="ListParagraph"/>
        <w:numPr>
          <w:ilvl w:val="0"/>
          <w:numId w:val="26"/>
        </w:numPr>
        <w:ind w:left="1418" w:hanging="293"/>
        <w:rPr>
          <w:rFonts w:ascii="Arial" w:hAnsi="Arial" w:cs="Arial"/>
          <w:color w:val="000000"/>
        </w:rPr>
      </w:pPr>
      <w:r w:rsidRPr="00B826F6">
        <w:rPr>
          <w:rFonts w:ascii="Arial" w:hAnsi="Arial" w:cs="Arial"/>
          <w:b/>
          <w:color w:val="000000"/>
        </w:rPr>
        <w:t>Scoping the extent of a sequential test framework</w:t>
      </w:r>
      <w:r>
        <w:rPr>
          <w:rFonts w:ascii="Arial" w:hAnsi="Arial" w:cs="Arial"/>
          <w:color w:val="000000"/>
        </w:rPr>
        <w:t xml:space="preserve">. </w:t>
      </w:r>
    </w:p>
    <w:p w14:paraId="4895215E" w14:textId="77777777" w:rsidR="00CB50CD" w:rsidRPr="008F5C28" w:rsidRDefault="00CB50CD" w:rsidP="00CB50CD">
      <w:pPr>
        <w:pStyle w:val="Default"/>
        <w:ind w:left="1125"/>
        <w:rPr>
          <w:sz w:val="22"/>
          <w:szCs w:val="22"/>
        </w:rPr>
      </w:pPr>
    </w:p>
    <w:p w14:paraId="4E28659E" w14:textId="312AE888" w:rsidR="00D6560D" w:rsidRDefault="0002240F" w:rsidP="00EB5E8F">
      <w:pPr>
        <w:pStyle w:val="Default"/>
        <w:numPr>
          <w:ilvl w:val="0"/>
          <w:numId w:val="10"/>
        </w:numPr>
        <w:ind w:left="709" w:hanging="425"/>
        <w:rPr>
          <w:sz w:val="22"/>
          <w:szCs w:val="22"/>
        </w:rPr>
      </w:pPr>
      <w:r>
        <w:rPr>
          <w:sz w:val="22"/>
          <w:szCs w:val="22"/>
        </w:rPr>
        <w:t xml:space="preserve">Depending upon the outcomes of this commission and other studies the future definition of town centres and primary shopping areas may be significantly different from the current adopted plan.  </w:t>
      </w:r>
    </w:p>
    <w:p w14:paraId="2A1C4D57" w14:textId="77777777" w:rsidR="0002240F" w:rsidRDefault="0002240F" w:rsidP="0002240F">
      <w:pPr>
        <w:pStyle w:val="Default"/>
        <w:ind w:left="709"/>
        <w:rPr>
          <w:sz w:val="22"/>
          <w:szCs w:val="22"/>
        </w:rPr>
      </w:pPr>
    </w:p>
    <w:p w14:paraId="342E6870" w14:textId="359745DE" w:rsidR="0002240F" w:rsidRPr="00D6560D" w:rsidRDefault="0002240F" w:rsidP="00EB5E8F">
      <w:pPr>
        <w:pStyle w:val="Default"/>
        <w:numPr>
          <w:ilvl w:val="0"/>
          <w:numId w:val="10"/>
        </w:numPr>
        <w:ind w:left="709" w:hanging="425"/>
        <w:rPr>
          <w:sz w:val="22"/>
          <w:szCs w:val="22"/>
        </w:rPr>
      </w:pPr>
      <w:r>
        <w:rPr>
          <w:sz w:val="22"/>
          <w:szCs w:val="22"/>
        </w:rPr>
        <w:t xml:space="preserve">Part D of the study will involve working with consultant teams, urban designers and regeneration specialists to define these policy and </w:t>
      </w:r>
      <w:r w:rsidR="00592628">
        <w:rPr>
          <w:sz w:val="22"/>
          <w:szCs w:val="22"/>
        </w:rPr>
        <w:t xml:space="preserve">spatial </w:t>
      </w:r>
      <w:r>
        <w:rPr>
          <w:sz w:val="22"/>
          <w:szCs w:val="22"/>
        </w:rPr>
        <w:t>areas linked to this evidence and work ongoing in terms of master</w:t>
      </w:r>
      <w:r w:rsidR="009C78C3">
        <w:rPr>
          <w:sz w:val="22"/>
          <w:szCs w:val="22"/>
        </w:rPr>
        <w:t>-</w:t>
      </w:r>
      <w:r>
        <w:rPr>
          <w:sz w:val="22"/>
          <w:szCs w:val="22"/>
        </w:rPr>
        <w:t>planning and regeneration in</w:t>
      </w:r>
      <w:r w:rsidR="009C78C3">
        <w:rPr>
          <w:sz w:val="22"/>
          <w:szCs w:val="22"/>
        </w:rPr>
        <w:t xml:space="preserve">itiatives. </w:t>
      </w:r>
      <w:r>
        <w:rPr>
          <w:sz w:val="22"/>
          <w:szCs w:val="22"/>
        </w:rPr>
        <w:t xml:space="preserve"> </w:t>
      </w:r>
    </w:p>
    <w:p w14:paraId="5EED6DAA" w14:textId="77777777" w:rsidR="005317E1" w:rsidRDefault="005317E1" w:rsidP="005317E1">
      <w:pPr>
        <w:pStyle w:val="Default"/>
        <w:rPr>
          <w:b/>
        </w:rPr>
      </w:pPr>
    </w:p>
    <w:p w14:paraId="5E30DA35" w14:textId="37B07DFB" w:rsidR="00D6560D" w:rsidRDefault="00D6560D" w:rsidP="00D6560D">
      <w:pPr>
        <w:tabs>
          <w:tab w:val="left" w:pos="6790"/>
        </w:tabs>
        <w:rPr>
          <w:rFonts w:ascii="Arial" w:hAnsi="Arial" w:cs="Arial"/>
          <w:b/>
          <w:sz w:val="24"/>
          <w:szCs w:val="24"/>
        </w:rPr>
      </w:pPr>
      <w:r w:rsidRPr="00067C80">
        <w:rPr>
          <w:rFonts w:ascii="Arial" w:hAnsi="Arial" w:cs="Arial"/>
          <w:b/>
          <w:sz w:val="24"/>
          <w:szCs w:val="24"/>
        </w:rPr>
        <w:t xml:space="preserve">Part </w:t>
      </w:r>
      <w:r>
        <w:rPr>
          <w:rFonts w:ascii="Arial" w:hAnsi="Arial" w:cs="Arial"/>
          <w:b/>
          <w:sz w:val="24"/>
          <w:szCs w:val="24"/>
        </w:rPr>
        <w:t>E</w:t>
      </w:r>
      <w:r w:rsidRPr="00067C80">
        <w:rPr>
          <w:rFonts w:ascii="Arial" w:hAnsi="Arial" w:cs="Arial"/>
          <w:b/>
          <w:sz w:val="24"/>
          <w:szCs w:val="24"/>
        </w:rPr>
        <w:t xml:space="preserve"> – Recommendations </w:t>
      </w:r>
    </w:p>
    <w:p w14:paraId="1FDF5524" w14:textId="2807935A" w:rsidR="005317E1" w:rsidRPr="00E049AA" w:rsidRDefault="00E049AA" w:rsidP="0093341A">
      <w:pPr>
        <w:pStyle w:val="Default"/>
        <w:numPr>
          <w:ilvl w:val="0"/>
          <w:numId w:val="10"/>
        </w:numPr>
        <w:ind w:left="709" w:hanging="425"/>
        <w:rPr>
          <w:sz w:val="22"/>
          <w:szCs w:val="22"/>
        </w:rPr>
      </w:pPr>
      <w:r w:rsidRPr="00E049AA">
        <w:rPr>
          <w:sz w:val="22"/>
          <w:szCs w:val="22"/>
        </w:rPr>
        <w:t xml:space="preserve">The study will need to draw together a series of conclusions together with policy and site / spatial recommendations.  </w:t>
      </w:r>
    </w:p>
    <w:p w14:paraId="23D744EB" w14:textId="147BAFEF" w:rsidR="00D9254B" w:rsidRDefault="00D9254B" w:rsidP="00167503">
      <w:pPr>
        <w:pStyle w:val="Default"/>
        <w:rPr>
          <w:sz w:val="22"/>
          <w:szCs w:val="22"/>
        </w:rPr>
      </w:pPr>
    </w:p>
    <w:p w14:paraId="68191F04" w14:textId="26C7C953" w:rsidR="00D9254B" w:rsidRDefault="00D9254B" w:rsidP="00167503">
      <w:pPr>
        <w:pStyle w:val="Default"/>
        <w:rPr>
          <w:sz w:val="22"/>
          <w:szCs w:val="22"/>
        </w:rPr>
      </w:pPr>
    </w:p>
    <w:p w14:paraId="59834C11" w14:textId="1D0A1CFE" w:rsidR="00D9254B" w:rsidRDefault="00D9254B" w:rsidP="00167503">
      <w:pPr>
        <w:pStyle w:val="Default"/>
        <w:rPr>
          <w:sz w:val="22"/>
          <w:szCs w:val="22"/>
        </w:rPr>
      </w:pPr>
    </w:p>
    <w:p w14:paraId="2806F692" w14:textId="2E2DFEA8" w:rsidR="00D9254B" w:rsidRDefault="00D9254B" w:rsidP="00167503">
      <w:pPr>
        <w:pStyle w:val="Default"/>
        <w:rPr>
          <w:sz w:val="22"/>
          <w:szCs w:val="22"/>
        </w:rPr>
      </w:pPr>
    </w:p>
    <w:p w14:paraId="358F2EAD" w14:textId="50FE6CCD" w:rsidR="00D9254B" w:rsidRDefault="00D9254B" w:rsidP="00167503">
      <w:pPr>
        <w:pStyle w:val="Default"/>
        <w:rPr>
          <w:sz w:val="22"/>
          <w:szCs w:val="22"/>
        </w:rPr>
      </w:pPr>
    </w:p>
    <w:p w14:paraId="4BA0D907" w14:textId="74B2B23D" w:rsidR="00D9254B" w:rsidRDefault="00D9254B" w:rsidP="00167503">
      <w:pPr>
        <w:pStyle w:val="Default"/>
        <w:rPr>
          <w:sz w:val="22"/>
          <w:szCs w:val="22"/>
        </w:rPr>
      </w:pPr>
    </w:p>
    <w:p w14:paraId="066CC00E" w14:textId="15109029" w:rsidR="00D9254B" w:rsidRDefault="00D9254B" w:rsidP="00167503">
      <w:pPr>
        <w:pStyle w:val="Default"/>
        <w:rPr>
          <w:sz w:val="22"/>
          <w:szCs w:val="22"/>
        </w:rPr>
      </w:pPr>
    </w:p>
    <w:p w14:paraId="37773BC7" w14:textId="743D14AF" w:rsidR="00D9254B" w:rsidRDefault="00D9254B" w:rsidP="00167503">
      <w:pPr>
        <w:pStyle w:val="Default"/>
        <w:rPr>
          <w:sz w:val="22"/>
          <w:szCs w:val="22"/>
        </w:rPr>
      </w:pPr>
    </w:p>
    <w:p w14:paraId="664F8425" w14:textId="138D61FA" w:rsidR="00D9254B" w:rsidRDefault="00D9254B" w:rsidP="00167503">
      <w:pPr>
        <w:pStyle w:val="Default"/>
        <w:rPr>
          <w:sz w:val="22"/>
          <w:szCs w:val="22"/>
        </w:rPr>
      </w:pPr>
    </w:p>
    <w:p w14:paraId="31F461D4" w14:textId="0759C9BA" w:rsidR="00D9254B" w:rsidRDefault="00D9254B" w:rsidP="00167503">
      <w:pPr>
        <w:pStyle w:val="Default"/>
        <w:rPr>
          <w:sz w:val="22"/>
          <w:szCs w:val="22"/>
        </w:rPr>
      </w:pPr>
    </w:p>
    <w:p w14:paraId="1A9C9188" w14:textId="0387C149" w:rsidR="00D9254B" w:rsidRDefault="00D9254B" w:rsidP="00167503">
      <w:pPr>
        <w:pStyle w:val="Default"/>
        <w:rPr>
          <w:sz w:val="22"/>
          <w:szCs w:val="22"/>
        </w:rPr>
      </w:pPr>
    </w:p>
    <w:p w14:paraId="0A0ECDD0" w14:textId="74FA5231" w:rsidR="00D9254B" w:rsidRDefault="00D9254B" w:rsidP="00167503">
      <w:pPr>
        <w:pStyle w:val="Default"/>
        <w:rPr>
          <w:sz w:val="22"/>
          <w:szCs w:val="22"/>
        </w:rPr>
      </w:pPr>
    </w:p>
    <w:p w14:paraId="42301364" w14:textId="4964CB41" w:rsidR="00D9254B" w:rsidRDefault="00D9254B" w:rsidP="00167503">
      <w:pPr>
        <w:pStyle w:val="Default"/>
        <w:rPr>
          <w:sz w:val="22"/>
          <w:szCs w:val="22"/>
        </w:rPr>
      </w:pPr>
    </w:p>
    <w:p w14:paraId="3AD653FB" w14:textId="4B609614" w:rsidR="00D9254B" w:rsidRDefault="00D9254B" w:rsidP="00167503">
      <w:pPr>
        <w:pStyle w:val="Default"/>
        <w:rPr>
          <w:sz w:val="22"/>
          <w:szCs w:val="22"/>
        </w:rPr>
      </w:pPr>
    </w:p>
    <w:p w14:paraId="5C6E9589" w14:textId="35CD428A" w:rsidR="0078726D" w:rsidRPr="00EB5E8F" w:rsidRDefault="0078726D" w:rsidP="0078726D">
      <w:pPr>
        <w:pStyle w:val="Default"/>
        <w:rPr>
          <w:b/>
        </w:rPr>
      </w:pPr>
      <w:r w:rsidRPr="00EB5E8F">
        <w:rPr>
          <w:b/>
        </w:rPr>
        <w:t>R</w:t>
      </w:r>
      <w:r w:rsidR="00EB5E8F" w:rsidRPr="00EB5E8F">
        <w:rPr>
          <w:b/>
        </w:rPr>
        <w:t>EPORTING AND EXAMINATION SUPPORT</w:t>
      </w:r>
    </w:p>
    <w:p w14:paraId="4763B9EC" w14:textId="77777777" w:rsidR="00E463F0" w:rsidRPr="0078726D" w:rsidRDefault="00E463F0" w:rsidP="0078726D">
      <w:pPr>
        <w:rPr>
          <w:rFonts w:ascii="Arial" w:hAnsi="Arial" w:cs="Arial"/>
          <w:highlight w:val="red"/>
        </w:rPr>
      </w:pPr>
    </w:p>
    <w:p w14:paraId="154817B1" w14:textId="5B816973" w:rsidR="00160EE0" w:rsidRDefault="00F80D4E" w:rsidP="00CC50F4">
      <w:pPr>
        <w:pStyle w:val="ListParagraph"/>
        <w:numPr>
          <w:ilvl w:val="0"/>
          <w:numId w:val="10"/>
        </w:numPr>
        <w:ind w:left="851" w:hanging="567"/>
        <w:rPr>
          <w:rFonts w:ascii="Arial" w:hAnsi="Arial" w:cs="Arial"/>
        </w:rPr>
      </w:pPr>
      <w:r w:rsidRPr="00CC50F4">
        <w:rPr>
          <w:rFonts w:ascii="Arial" w:hAnsi="Arial" w:cs="Arial"/>
        </w:rPr>
        <w:t xml:space="preserve">The </w:t>
      </w:r>
      <w:r w:rsidR="00160EE0" w:rsidRPr="00CC50F4">
        <w:rPr>
          <w:rFonts w:ascii="Arial" w:hAnsi="Arial" w:cs="Arial"/>
        </w:rPr>
        <w:t xml:space="preserve">study </w:t>
      </w:r>
      <w:r w:rsidRPr="00CC50F4">
        <w:rPr>
          <w:rFonts w:ascii="Arial" w:hAnsi="Arial" w:cs="Arial"/>
        </w:rPr>
        <w:t xml:space="preserve">report will become a document referred to and relied upon at </w:t>
      </w:r>
      <w:r w:rsidR="00160EE0" w:rsidRPr="00CC50F4">
        <w:rPr>
          <w:rFonts w:ascii="Arial" w:hAnsi="Arial" w:cs="Arial"/>
        </w:rPr>
        <w:t xml:space="preserve">the </w:t>
      </w:r>
      <w:r w:rsidRPr="00CC50F4">
        <w:rPr>
          <w:rFonts w:ascii="Arial" w:hAnsi="Arial" w:cs="Arial"/>
        </w:rPr>
        <w:t>examination into the Local Plan.  This commission excludes work which may be required relating to:</w:t>
      </w:r>
    </w:p>
    <w:p w14:paraId="0EB75332" w14:textId="77777777" w:rsidR="00CC50F4" w:rsidRPr="00CC50F4" w:rsidRDefault="00CC50F4" w:rsidP="00CC50F4">
      <w:pPr>
        <w:pStyle w:val="ListParagraph"/>
        <w:ind w:left="851"/>
        <w:rPr>
          <w:rFonts w:ascii="Arial" w:hAnsi="Arial" w:cs="Arial"/>
        </w:rPr>
      </w:pPr>
    </w:p>
    <w:p w14:paraId="524AA7ED" w14:textId="05E4EBB4" w:rsidR="005A2A9B" w:rsidRDefault="005A2A9B" w:rsidP="0093341A">
      <w:pPr>
        <w:pStyle w:val="ListParagraph"/>
        <w:numPr>
          <w:ilvl w:val="0"/>
          <w:numId w:val="3"/>
        </w:numPr>
        <w:rPr>
          <w:rFonts w:ascii="Arial" w:hAnsi="Arial" w:cs="Arial"/>
        </w:rPr>
      </w:pPr>
      <w:r>
        <w:rPr>
          <w:rFonts w:ascii="Arial" w:hAnsi="Arial" w:cs="Arial"/>
        </w:rPr>
        <w:t>report updates linked to representations raised at Regulation 18 stage.</w:t>
      </w:r>
    </w:p>
    <w:p w14:paraId="4CA32624" w14:textId="0D4CB1B8" w:rsidR="00F80D4E" w:rsidRPr="00160EE0" w:rsidRDefault="00F80D4E" w:rsidP="0093341A">
      <w:pPr>
        <w:pStyle w:val="ListParagraph"/>
        <w:numPr>
          <w:ilvl w:val="0"/>
          <w:numId w:val="3"/>
        </w:numPr>
        <w:rPr>
          <w:rFonts w:ascii="Arial" w:hAnsi="Arial" w:cs="Arial"/>
        </w:rPr>
      </w:pPr>
      <w:r w:rsidRPr="00160EE0">
        <w:rPr>
          <w:rFonts w:ascii="Arial" w:hAnsi="Arial" w:cs="Arial"/>
        </w:rPr>
        <w:t>development and submission of hearing statements;</w:t>
      </w:r>
    </w:p>
    <w:p w14:paraId="63F982FC" w14:textId="77777777" w:rsidR="00F80D4E" w:rsidRPr="00160EE0" w:rsidRDefault="00F80D4E" w:rsidP="0093341A">
      <w:pPr>
        <w:pStyle w:val="ListParagraph"/>
        <w:numPr>
          <w:ilvl w:val="0"/>
          <w:numId w:val="3"/>
        </w:numPr>
        <w:rPr>
          <w:rFonts w:ascii="Arial" w:hAnsi="Arial" w:cs="Arial"/>
        </w:rPr>
      </w:pPr>
      <w:r w:rsidRPr="00160EE0">
        <w:rPr>
          <w:rFonts w:ascii="Arial" w:hAnsi="Arial" w:cs="Arial"/>
        </w:rPr>
        <w:t xml:space="preserve">in person appearance either at the table or in support at the actual examination in public, and </w:t>
      </w:r>
    </w:p>
    <w:p w14:paraId="5CAAE58B" w14:textId="0F00C13F" w:rsidR="00F80D4E" w:rsidRPr="00160EE0" w:rsidRDefault="00F80D4E" w:rsidP="0093341A">
      <w:pPr>
        <w:pStyle w:val="ListParagraph"/>
        <w:numPr>
          <w:ilvl w:val="0"/>
          <w:numId w:val="3"/>
        </w:numPr>
        <w:rPr>
          <w:rFonts w:ascii="Arial" w:hAnsi="Arial" w:cs="Arial"/>
        </w:rPr>
      </w:pPr>
      <w:r w:rsidRPr="00160EE0">
        <w:rPr>
          <w:rFonts w:ascii="Arial" w:hAnsi="Arial" w:cs="Arial"/>
        </w:rPr>
        <w:t xml:space="preserve">work required to support modifications arising from the examination hearing sessions.  </w:t>
      </w:r>
    </w:p>
    <w:p w14:paraId="2B02451C" w14:textId="77777777" w:rsidR="00C95A41" w:rsidRPr="00160EE0" w:rsidRDefault="00C95A41" w:rsidP="00C95A41">
      <w:pPr>
        <w:pStyle w:val="ListParagraph"/>
        <w:ind w:left="1440"/>
        <w:rPr>
          <w:rFonts w:ascii="Arial" w:hAnsi="Arial" w:cs="Arial"/>
        </w:rPr>
      </w:pPr>
    </w:p>
    <w:p w14:paraId="420B58E4" w14:textId="1AB9DF4B" w:rsidR="004A4452" w:rsidRDefault="00F80D4E" w:rsidP="00CC50F4">
      <w:pPr>
        <w:pStyle w:val="ListParagraph"/>
        <w:numPr>
          <w:ilvl w:val="0"/>
          <w:numId w:val="10"/>
        </w:numPr>
        <w:ind w:left="851" w:hanging="567"/>
        <w:rPr>
          <w:rFonts w:ascii="Arial" w:hAnsi="Arial" w:cs="Arial"/>
        </w:rPr>
      </w:pPr>
      <w:r w:rsidRPr="00160EE0">
        <w:rPr>
          <w:rFonts w:ascii="Arial" w:hAnsi="Arial" w:cs="Arial"/>
        </w:rPr>
        <w:t xml:space="preserve">The specification response allows for the submission of information on hourly / daily rates for </w:t>
      </w:r>
      <w:r w:rsidR="005A2A9B">
        <w:rPr>
          <w:rFonts w:ascii="Arial" w:hAnsi="Arial" w:cs="Arial"/>
        </w:rPr>
        <w:t>responses to representation / report adjustments and</w:t>
      </w:r>
      <w:r w:rsidRPr="00160EE0">
        <w:rPr>
          <w:rFonts w:ascii="Arial" w:hAnsi="Arial" w:cs="Arial"/>
        </w:rPr>
        <w:t xml:space="preserve"> examination process plus an indication of key likely personal which may be available to support</w:t>
      </w:r>
      <w:r w:rsidR="00C95A41" w:rsidRPr="00160EE0">
        <w:rPr>
          <w:rFonts w:ascii="Arial" w:hAnsi="Arial" w:cs="Arial"/>
        </w:rPr>
        <w:t>.</w:t>
      </w:r>
    </w:p>
    <w:p w14:paraId="0DDDDC1D" w14:textId="77777777" w:rsidR="00160EE0" w:rsidRPr="00160EE0" w:rsidRDefault="00160EE0" w:rsidP="00160EE0">
      <w:pPr>
        <w:pStyle w:val="ListParagraph"/>
        <w:ind w:left="709"/>
        <w:rPr>
          <w:rFonts w:ascii="Arial" w:hAnsi="Arial" w:cs="Arial"/>
        </w:rPr>
      </w:pPr>
    </w:p>
    <w:p w14:paraId="3B26F722" w14:textId="01A548C0" w:rsidR="007A1083" w:rsidRPr="00160EE0" w:rsidRDefault="00160EE0" w:rsidP="007A1083">
      <w:pPr>
        <w:tabs>
          <w:tab w:val="left" w:pos="6790"/>
        </w:tabs>
        <w:rPr>
          <w:rFonts w:ascii="Arial" w:hAnsi="Arial" w:cs="Arial"/>
          <w:b/>
          <w:sz w:val="24"/>
        </w:rPr>
      </w:pPr>
      <w:r>
        <w:rPr>
          <w:rFonts w:ascii="Arial" w:hAnsi="Arial" w:cs="Arial"/>
          <w:b/>
          <w:sz w:val="24"/>
        </w:rPr>
        <w:t xml:space="preserve">CORE </w:t>
      </w:r>
      <w:r w:rsidR="00CC50F4">
        <w:rPr>
          <w:rFonts w:ascii="Arial" w:hAnsi="Arial" w:cs="Arial"/>
          <w:b/>
          <w:sz w:val="24"/>
        </w:rPr>
        <w:t xml:space="preserve">REPORTING </w:t>
      </w:r>
      <w:r>
        <w:rPr>
          <w:rFonts w:ascii="Arial" w:hAnsi="Arial" w:cs="Arial"/>
          <w:b/>
          <w:sz w:val="24"/>
        </w:rPr>
        <w:t>OUTPUTS / DELIVERABLES</w:t>
      </w:r>
    </w:p>
    <w:p w14:paraId="293B63B0" w14:textId="3FE3A1E5" w:rsidR="00E83E78" w:rsidRPr="00160EE0" w:rsidRDefault="007A1083" w:rsidP="00CC50F4">
      <w:pPr>
        <w:pStyle w:val="ListParagraph"/>
        <w:numPr>
          <w:ilvl w:val="0"/>
          <w:numId w:val="10"/>
        </w:numPr>
        <w:tabs>
          <w:tab w:val="left" w:pos="851"/>
        </w:tabs>
        <w:ind w:left="709" w:hanging="425"/>
        <w:rPr>
          <w:rFonts w:ascii="Arial" w:hAnsi="Arial" w:cs="Arial"/>
        </w:rPr>
      </w:pPr>
      <w:r w:rsidRPr="00160EE0">
        <w:rPr>
          <w:rFonts w:ascii="Arial" w:hAnsi="Arial" w:cs="Arial"/>
        </w:rPr>
        <w:t xml:space="preserve">It is anticipated that the commission will commence in </w:t>
      </w:r>
      <w:r w:rsidR="00DB1CEB" w:rsidRPr="00160EE0">
        <w:rPr>
          <w:rFonts w:ascii="Arial" w:hAnsi="Arial" w:cs="Arial"/>
        </w:rPr>
        <w:t>March</w:t>
      </w:r>
      <w:r w:rsidRPr="00160EE0">
        <w:rPr>
          <w:rFonts w:ascii="Arial" w:hAnsi="Arial" w:cs="Arial"/>
        </w:rPr>
        <w:t xml:space="preserve"> 2023 and will be delivered in parallel with the Local Plan preparation timetable</w:t>
      </w:r>
      <w:r w:rsidR="00160EE0">
        <w:rPr>
          <w:rFonts w:ascii="Arial" w:hAnsi="Arial" w:cs="Arial"/>
        </w:rPr>
        <w:t xml:space="preserve"> set out below.</w:t>
      </w:r>
    </w:p>
    <w:tbl>
      <w:tblPr>
        <w:tblpPr w:leftFromText="180" w:rightFromText="180" w:vertAnchor="text" w:horzAnchor="margin" w:tblpX="704" w:tblpY="35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948"/>
        <w:gridCol w:w="2812"/>
        <w:gridCol w:w="2812"/>
      </w:tblGrid>
      <w:tr w:rsidR="00195E7B" w:rsidRPr="00EB5E8F" w14:paraId="7998D2E1" w14:textId="2727B875" w:rsidTr="006C1E05">
        <w:tc>
          <w:tcPr>
            <w:tcW w:w="1293" w:type="dxa"/>
            <w:shd w:val="clear" w:color="auto" w:fill="D9D9D9"/>
          </w:tcPr>
          <w:p w14:paraId="3E25CCC7" w14:textId="379AA15A" w:rsidR="00195E7B" w:rsidRPr="00CC50F4" w:rsidRDefault="00195E7B" w:rsidP="00160EE0">
            <w:pPr>
              <w:rPr>
                <w:rFonts w:ascii="Arial" w:hAnsi="Arial" w:cs="Arial"/>
                <w:b/>
              </w:rPr>
            </w:pPr>
            <w:r w:rsidRPr="00CC50F4">
              <w:rPr>
                <w:rFonts w:ascii="Arial" w:hAnsi="Arial" w:cs="Arial"/>
                <w:b/>
              </w:rPr>
              <w:t xml:space="preserve">Date </w:t>
            </w:r>
          </w:p>
        </w:tc>
        <w:tc>
          <w:tcPr>
            <w:tcW w:w="1963" w:type="dxa"/>
            <w:shd w:val="clear" w:color="auto" w:fill="D9D9D9"/>
          </w:tcPr>
          <w:p w14:paraId="4B2DC73C" w14:textId="77777777" w:rsidR="00195E7B" w:rsidRPr="00CC50F4" w:rsidRDefault="00195E7B" w:rsidP="00160EE0">
            <w:pPr>
              <w:ind w:left="360"/>
              <w:rPr>
                <w:rFonts w:ascii="Arial" w:hAnsi="Arial" w:cs="Arial"/>
                <w:b/>
              </w:rPr>
            </w:pPr>
            <w:r w:rsidRPr="00CC50F4">
              <w:rPr>
                <w:rFonts w:ascii="Arial" w:hAnsi="Arial" w:cs="Arial"/>
                <w:b/>
              </w:rPr>
              <w:t>Local Plan Stages</w:t>
            </w:r>
          </w:p>
        </w:tc>
        <w:tc>
          <w:tcPr>
            <w:tcW w:w="5670" w:type="dxa"/>
            <w:gridSpan w:val="2"/>
            <w:shd w:val="clear" w:color="auto" w:fill="D9D9D9"/>
          </w:tcPr>
          <w:p w14:paraId="39DC22AB" w14:textId="4BAAD297" w:rsidR="00195E7B" w:rsidRPr="00CC50F4" w:rsidRDefault="00195E7B" w:rsidP="00160EE0">
            <w:pPr>
              <w:ind w:left="360"/>
              <w:rPr>
                <w:rFonts w:ascii="Arial" w:hAnsi="Arial" w:cs="Arial"/>
                <w:b/>
              </w:rPr>
            </w:pPr>
            <w:r w:rsidRPr="00CC50F4">
              <w:rPr>
                <w:rFonts w:ascii="Arial" w:hAnsi="Arial" w:cs="Arial"/>
                <w:b/>
              </w:rPr>
              <w:t>Estimated Commission Stages / Outputs</w:t>
            </w:r>
          </w:p>
        </w:tc>
      </w:tr>
      <w:tr w:rsidR="00195E7B" w:rsidRPr="00EB5E8F" w14:paraId="5505224E" w14:textId="77777777" w:rsidTr="00195E7B">
        <w:tc>
          <w:tcPr>
            <w:tcW w:w="1293" w:type="dxa"/>
            <w:shd w:val="clear" w:color="auto" w:fill="D9D9D9"/>
          </w:tcPr>
          <w:p w14:paraId="537391B7" w14:textId="77777777" w:rsidR="00195E7B" w:rsidRPr="00CC50F4" w:rsidRDefault="00195E7B" w:rsidP="00160EE0">
            <w:pPr>
              <w:rPr>
                <w:rFonts w:ascii="Arial" w:hAnsi="Arial" w:cs="Arial"/>
                <w:b/>
              </w:rPr>
            </w:pPr>
          </w:p>
        </w:tc>
        <w:tc>
          <w:tcPr>
            <w:tcW w:w="1963" w:type="dxa"/>
            <w:shd w:val="clear" w:color="auto" w:fill="D9D9D9"/>
          </w:tcPr>
          <w:p w14:paraId="13AA0D2C" w14:textId="77777777" w:rsidR="00195E7B" w:rsidRPr="00CC50F4" w:rsidRDefault="00195E7B" w:rsidP="00160EE0">
            <w:pPr>
              <w:ind w:left="360"/>
              <w:rPr>
                <w:rFonts w:ascii="Arial" w:hAnsi="Arial" w:cs="Arial"/>
                <w:b/>
              </w:rPr>
            </w:pPr>
          </w:p>
        </w:tc>
        <w:tc>
          <w:tcPr>
            <w:tcW w:w="2835" w:type="dxa"/>
            <w:shd w:val="clear" w:color="auto" w:fill="D9D9D9"/>
          </w:tcPr>
          <w:p w14:paraId="7DC815D7" w14:textId="235B1F6F" w:rsidR="00195E7B" w:rsidRPr="00CC50F4" w:rsidRDefault="00195E7B" w:rsidP="00195E7B">
            <w:pPr>
              <w:ind w:left="170" w:hanging="142"/>
              <w:jc w:val="center"/>
              <w:rPr>
                <w:rFonts w:ascii="Arial" w:hAnsi="Arial" w:cs="Arial"/>
                <w:b/>
              </w:rPr>
            </w:pPr>
            <w:r>
              <w:rPr>
                <w:rFonts w:ascii="Arial" w:hAnsi="Arial" w:cs="Arial"/>
                <w:b/>
              </w:rPr>
              <w:t>Lot 1</w:t>
            </w:r>
          </w:p>
        </w:tc>
        <w:tc>
          <w:tcPr>
            <w:tcW w:w="2835" w:type="dxa"/>
            <w:shd w:val="clear" w:color="auto" w:fill="D9D9D9"/>
          </w:tcPr>
          <w:p w14:paraId="7FFAD688" w14:textId="44E6452F" w:rsidR="00195E7B" w:rsidRPr="00CC50F4" w:rsidRDefault="00195E7B" w:rsidP="00195E7B">
            <w:pPr>
              <w:ind w:left="28"/>
              <w:jc w:val="center"/>
              <w:rPr>
                <w:rFonts w:ascii="Arial" w:hAnsi="Arial" w:cs="Arial"/>
                <w:b/>
              </w:rPr>
            </w:pPr>
            <w:r>
              <w:rPr>
                <w:rFonts w:ascii="Arial" w:hAnsi="Arial" w:cs="Arial"/>
                <w:b/>
              </w:rPr>
              <w:t>Lot 2</w:t>
            </w:r>
          </w:p>
        </w:tc>
      </w:tr>
      <w:tr w:rsidR="00195E7B" w:rsidRPr="00EB5E8F" w14:paraId="419B9762" w14:textId="4D2ABC82" w:rsidTr="00195E7B">
        <w:trPr>
          <w:trHeight w:val="686"/>
        </w:trPr>
        <w:tc>
          <w:tcPr>
            <w:tcW w:w="1293" w:type="dxa"/>
            <w:shd w:val="clear" w:color="auto" w:fill="auto"/>
          </w:tcPr>
          <w:p w14:paraId="7BA3BF22" w14:textId="4B479C70" w:rsidR="00195E7B" w:rsidRPr="005A2A9B" w:rsidRDefault="00195E7B" w:rsidP="00160EE0">
            <w:pPr>
              <w:rPr>
                <w:rFonts w:ascii="Arial" w:hAnsi="Arial" w:cs="Arial"/>
                <w:b/>
              </w:rPr>
            </w:pPr>
            <w:r w:rsidRPr="005A2A9B">
              <w:rPr>
                <w:rFonts w:ascii="Arial" w:hAnsi="Arial" w:cs="Arial"/>
                <w:b/>
              </w:rPr>
              <w:t>w/c 26th June 2023</w:t>
            </w:r>
          </w:p>
        </w:tc>
        <w:tc>
          <w:tcPr>
            <w:tcW w:w="1963" w:type="dxa"/>
            <w:shd w:val="clear" w:color="auto" w:fill="auto"/>
          </w:tcPr>
          <w:p w14:paraId="53E88106" w14:textId="2CB9F8AE" w:rsidR="00195E7B" w:rsidRPr="00195E7B" w:rsidRDefault="00195E7B" w:rsidP="00160EE0">
            <w:pPr>
              <w:rPr>
                <w:rFonts w:ascii="Arial" w:hAnsi="Arial" w:cs="Arial"/>
                <w:b/>
              </w:rPr>
            </w:pPr>
          </w:p>
        </w:tc>
        <w:tc>
          <w:tcPr>
            <w:tcW w:w="2835" w:type="dxa"/>
            <w:shd w:val="clear" w:color="auto" w:fill="auto"/>
          </w:tcPr>
          <w:p w14:paraId="19AA9ED2" w14:textId="79860E6D" w:rsidR="00195E7B" w:rsidRPr="00195E7B" w:rsidRDefault="00195E7B" w:rsidP="00195E7B">
            <w:pPr>
              <w:ind w:left="28"/>
              <w:rPr>
                <w:rFonts w:ascii="Arial" w:hAnsi="Arial" w:cs="Arial"/>
              </w:rPr>
            </w:pPr>
            <w:r w:rsidRPr="00195E7B">
              <w:rPr>
                <w:rFonts w:ascii="Arial" w:hAnsi="Arial" w:cs="Arial"/>
              </w:rPr>
              <w:t>Inception and project set-up</w:t>
            </w:r>
          </w:p>
        </w:tc>
        <w:tc>
          <w:tcPr>
            <w:tcW w:w="2835" w:type="dxa"/>
          </w:tcPr>
          <w:p w14:paraId="7B8E9E84" w14:textId="72748E1F" w:rsidR="00195E7B" w:rsidRPr="00195E7B" w:rsidRDefault="00195E7B" w:rsidP="00195E7B">
            <w:pPr>
              <w:ind w:left="28"/>
              <w:rPr>
                <w:rFonts w:ascii="Arial" w:hAnsi="Arial" w:cs="Arial"/>
              </w:rPr>
            </w:pPr>
            <w:r w:rsidRPr="00195E7B">
              <w:rPr>
                <w:rFonts w:ascii="Arial" w:hAnsi="Arial" w:cs="Arial"/>
              </w:rPr>
              <w:t>Inception and project set-up</w:t>
            </w:r>
          </w:p>
        </w:tc>
      </w:tr>
      <w:tr w:rsidR="00195E7B" w:rsidRPr="00EB5E8F" w14:paraId="5DD31B7F" w14:textId="29641F3F" w:rsidTr="00195E7B">
        <w:trPr>
          <w:trHeight w:val="947"/>
        </w:trPr>
        <w:tc>
          <w:tcPr>
            <w:tcW w:w="1293" w:type="dxa"/>
            <w:shd w:val="clear" w:color="auto" w:fill="auto"/>
          </w:tcPr>
          <w:p w14:paraId="339B4464" w14:textId="251A89D2" w:rsidR="00195E7B" w:rsidRPr="005A2A9B" w:rsidRDefault="00E269C9" w:rsidP="00160EE0">
            <w:pPr>
              <w:rPr>
                <w:rFonts w:ascii="Arial" w:hAnsi="Arial" w:cs="Arial"/>
                <w:b/>
                <w:highlight w:val="yellow"/>
              </w:rPr>
            </w:pPr>
            <w:r w:rsidRPr="005A2A9B">
              <w:rPr>
                <w:rFonts w:ascii="Arial" w:hAnsi="Arial" w:cs="Arial"/>
                <w:b/>
              </w:rPr>
              <w:t>End July 2023</w:t>
            </w:r>
          </w:p>
        </w:tc>
        <w:tc>
          <w:tcPr>
            <w:tcW w:w="1963" w:type="dxa"/>
            <w:shd w:val="clear" w:color="auto" w:fill="auto"/>
          </w:tcPr>
          <w:p w14:paraId="669B7197" w14:textId="4AECA295" w:rsidR="00195E7B" w:rsidRPr="00EB5E8F" w:rsidRDefault="00195E7B" w:rsidP="00160EE0">
            <w:pPr>
              <w:ind w:left="360"/>
              <w:rPr>
                <w:rFonts w:ascii="Arial" w:hAnsi="Arial" w:cs="Arial"/>
                <w:b/>
                <w:highlight w:val="yellow"/>
              </w:rPr>
            </w:pPr>
          </w:p>
        </w:tc>
        <w:tc>
          <w:tcPr>
            <w:tcW w:w="2835" w:type="dxa"/>
            <w:shd w:val="clear" w:color="auto" w:fill="auto"/>
          </w:tcPr>
          <w:p w14:paraId="74618FB5" w14:textId="675CDDC3" w:rsidR="00195E7B" w:rsidRPr="00EB5E8F" w:rsidRDefault="00E269C9" w:rsidP="00E269C9">
            <w:pPr>
              <w:rPr>
                <w:rFonts w:ascii="Arial" w:hAnsi="Arial" w:cs="Arial"/>
                <w:highlight w:val="yellow"/>
              </w:rPr>
            </w:pPr>
            <w:r>
              <w:rPr>
                <w:rFonts w:ascii="Arial" w:hAnsi="Arial" w:cs="Arial"/>
              </w:rPr>
              <w:t>Part A – Economic Profile and Functional Economic Market Area</w:t>
            </w:r>
          </w:p>
        </w:tc>
        <w:tc>
          <w:tcPr>
            <w:tcW w:w="2835" w:type="dxa"/>
          </w:tcPr>
          <w:p w14:paraId="78772D17" w14:textId="77777777" w:rsidR="00E269C9" w:rsidRPr="007F510A" w:rsidRDefault="00E269C9" w:rsidP="00E269C9">
            <w:pPr>
              <w:pStyle w:val="Default"/>
              <w:rPr>
                <w:sz w:val="22"/>
                <w:szCs w:val="22"/>
              </w:rPr>
            </w:pPr>
            <w:r w:rsidRPr="007F510A">
              <w:rPr>
                <w:sz w:val="22"/>
                <w:szCs w:val="22"/>
              </w:rPr>
              <w:t>Part A – Retail Changes and Hierarchy of Centres</w:t>
            </w:r>
          </w:p>
          <w:p w14:paraId="010F7FF1" w14:textId="77777777" w:rsidR="00195E7B" w:rsidRPr="00EB5E8F" w:rsidRDefault="00195E7B" w:rsidP="00E269C9">
            <w:pPr>
              <w:rPr>
                <w:rFonts w:ascii="Arial" w:hAnsi="Arial" w:cs="Arial"/>
                <w:highlight w:val="yellow"/>
              </w:rPr>
            </w:pPr>
          </w:p>
        </w:tc>
      </w:tr>
      <w:tr w:rsidR="00195E7B" w:rsidRPr="00EB5E8F" w14:paraId="7EF19A93" w14:textId="4AAC020A" w:rsidTr="00195E7B">
        <w:trPr>
          <w:trHeight w:val="947"/>
        </w:trPr>
        <w:tc>
          <w:tcPr>
            <w:tcW w:w="1293" w:type="dxa"/>
            <w:shd w:val="clear" w:color="auto" w:fill="auto"/>
          </w:tcPr>
          <w:p w14:paraId="7A748E0B" w14:textId="3F83FA8B" w:rsidR="00195E7B" w:rsidRPr="005A2A9B" w:rsidRDefault="005A2A9B" w:rsidP="00160EE0">
            <w:pPr>
              <w:rPr>
                <w:rFonts w:ascii="Arial" w:hAnsi="Arial" w:cs="Arial"/>
                <w:b/>
                <w:highlight w:val="yellow"/>
              </w:rPr>
            </w:pPr>
            <w:r w:rsidRPr="005A2A9B">
              <w:rPr>
                <w:rFonts w:ascii="Arial" w:hAnsi="Arial" w:cs="Arial"/>
                <w:b/>
              </w:rPr>
              <w:t>End August 2023</w:t>
            </w:r>
          </w:p>
        </w:tc>
        <w:tc>
          <w:tcPr>
            <w:tcW w:w="1963" w:type="dxa"/>
            <w:shd w:val="clear" w:color="auto" w:fill="auto"/>
          </w:tcPr>
          <w:p w14:paraId="647A38D3" w14:textId="77777777" w:rsidR="00195E7B" w:rsidRPr="00EB5E8F" w:rsidRDefault="00195E7B" w:rsidP="00160EE0">
            <w:pPr>
              <w:ind w:left="360"/>
              <w:rPr>
                <w:rFonts w:ascii="Arial" w:hAnsi="Arial" w:cs="Arial"/>
                <w:b/>
                <w:highlight w:val="yellow"/>
              </w:rPr>
            </w:pPr>
          </w:p>
        </w:tc>
        <w:tc>
          <w:tcPr>
            <w:tcW w:w="2835" w:type="dxa"/>
            <w:shd w:val="clear" w:color="auto" w:fill="auto"/>
          </w:tcPr>
          <w:p w14:paraId="3FE2E82B" w14:textId="5CD93967" w:rsidR="00195E7B" w:rsidRPr="00EB5E8F" w:rsidRDefault="005A2A9B" w:rsidP="00E269C9">
            <w:pPr>
              <w:rPr>
                <w:rFonts w:ascii="Arial" w:hAnsi="Arial" w:cs="Arial"/>
                <w:highlight w:val="yellow"/>
              </w:rPr>
            </w:pPr>
            <w:r>
              <w:rPr>
                <w:rFonts w:ascii="Arial" w:hAnsi="Arial" w:cs="Arial"/>
              </w:rPr>
              <w:t>Part B – Employment Needs and Space Requirements</w:t>
            </w:r>
          </w:p>
        </w:tc>
        <w:tc>
          <w:tcPr>
            <w:tcW w:w="2835" w:type="dxa"/>
          </w:tcPr>
          <w:p w14:paraId="43D70A08" w14:textId="77777777" w:rsidR="00195E7B" w:rsidRPr="00EB5E8F" w:rsidRDefault="00195E7B" w:rsidP="00E269C9">
            <w:pPr>
              <w:rPr>
                <w:rFonts w:ascii="Arial" w:hAnsi="Arial" w:cs="Arial"/>
                <w:highlight w:val="yellow"/>
              </w:rPr>
            </w:pPr>
          </w:p>
        </w:tc>
      </w:tr>
      <w:tr w:rsidR="00195E7B" w:rsidRPr="00EB5E8F" w14:paraId="6EE9170B" w14:textId="2BA8B664" w:rsidTr="00195E7B">
        <w:trPr>
          <w:trHeight w:val="1067"/>
        </w:trPr>
        <w:tc>
          <w:tcPr>
            <w:tcW w:w="1293" w:type="dxa"/>
            <w:shd w:val="clear" w:color="auto" w:fill="auto"/>
          </w:tcPr>
          <w:p w14:paraId="144BDCD3" w14:textId="000CF9E9" w:rsidR="00195E7B" w:rsidRPr="005A2A9B" w:rsidRDefault="00E269C9" w:rsidP="00160EE0">
            <w:pPr>
              <w:rPr>
                <w:rFonts w:ascii="Arial" w:hAnsi="Arial" w:cs="Arial"/>
                <w:b/>
                <w:highlight w:val="yellow"/>
              </w:rPr>
            </w:pPr>
            <w:r w:rsidRPr="005A2A9B">
              <w:rPr>
                <w:rFonts w:ascii="Arial" w:hAnsi="Arial" w:cs="Arial"/>
                <w:b/>
              </w:rPr>
              <w:t>End September 2023</w:t>
            </w:r>
          </w:p>
        </w:tc>
        <w:tc>
          <w:tcPr>
            <w:tcW w:w="1963" w:type="dxa"/>
            <w:shd w:val="clear" w:color="auto" w:fill="auto"/>
          </w:tcPr>
          <w:p w14:paraId="3D633669" w14:textId="77777777" w:rsidR="00195E7B" w:rsidRPr="00EB5E8F" w:rsidRDefault="00195E7B" w:rsidP="00160EE0">
            <w:pPr>
              <w:ind w:left="360"/>
              <w:rPr>
                <w:rFonts w:ascii="Arial" w:hAnsi="Arial" w:cs="Arial"/>
                <w:b/>
                <w:highlight w:val="yellow"/>
              </w:rPr>
            </w:pPr>
          </w:p>
        </w:tc>
        <w:tc>
          <w:tcPr>
            <w:tcW w:w="2835" w:type="dxa"/>
            <w:shd w:val="clear" w:color="auto" w:fill="auto"/>
          </w:tcPr>
          <w:p w14:paraId="222B36FC" w14:textId="2F52377A" w:rsidR="00195E7B" w:rsidRPr="00EB5E8F" w:rsidRDefault="00195E7B" w:rsidP="00E269C9">
            <w:pPr>
              <w:rPr>
                <w:rFonts w:ascii="Arial" w:hAnsi="Arial" w:cs="Arial"/>
                <w:highlight w:val="yellow"/>
              </w:rPr>
            </w:pPr>
          </w:p>
        </w:tc>
        <w:tc>
          <w:tcPr>
            <w:tcW w:w="2835" w:type="dxa"/>
          </w:tcPr>
          <w:p w14:paraId="76C51F2C" w14:textId="77777777" w:rsidR="00E269C9" w:rsidRPr="007F510A" w:rsidRDefault="00E269C9" w:rsidP="00E269C9">
            <w:pPr>
              <w:pStyle w:val="Default"/>
              <w:rPr>
                <w:sz w:val="22"/>
                <w:szCs w:val="22"/>
              </w:rPr>
            </w:pPr>
            <w:r w:rsidRPr="007F510A">
              <w:rPr>
                <w:sz w:val="22"/>
                <w:szCs w:val="22"/>
              </w:rPr>
              <w:t>Part B – Retail and Service Provision: Centre Health Checks</w:t>
            </w:r>
          </w:p>
          <w:p w14:paraId="0269D9DF" w14:textId="77777777" w:rsidR="00195E7B" w:rsidRPr="00EB5E8F" w:rsidRDefault="00195E7B" w:rsidP="00E269C9">
            <w:pPr>
              <w:rPr>
                <w:rFonts w:ascii="Arial" w:hAnsi="Arial" w:cs="Arial"/>
                <w:highlight w:val="yellow"/>
              </w:rPr>
            </w:pPr>
          </w:p>
        </w:tc>
      </w:tr>
      <w:tr w:rsidR="00195E7B" w:rsidRPr="00EB5E8F" w14:paraId="34CD0483" w14:textId="31D7F4B0" w:rsidTr="00195E7B">
        <w:trPr>
          <w:trHeight w:val="1067"/>
        </w:trPr>
        <w:tc>
          <w:tcPr>
            <w:tcW w:w="1293" w:type="dxa"/>
            <w:shd w:val="clear" w:color="auto" w:fill="auto"/>
          </w:tcPr>
          <w:p w14:paraId="0C482831" w14:textId="5DDD2B65" w:rsidR="00195E7B" w:rsidRPr="005A2A9B" w:rsidRDefault="00E269C9" w:rsidP="00160EE0">
            <w:pPr>
              <w:rPr>
                <w:rFonts w:ascii="Arial" w:hAnsi="Arial" w:cs="Arial"/>
                <w:b/>
                <w:highlight w:val="yellow"/>
              </w:rPr>
            </w:pPr>
            <w:r w:rsidRPr="005A2A9B">
              <w:rPr>
                <w:rFonts w:ascii="Arial" w:hAnsi="Arial" w:cs="Arial"/>
                <w:b/>
              </w:rPr>
              <w:t>End October 2023</w:t>
            </w:r>
          </w:p>
        </w:tc>
        <w:tc>
          <w:tcPr>
            <w:tcW w:w="1963" w:type="dxa"/>
            <w:shd w:val="clear" w:color="auto" w:fill="auto"/>
          </w:tcPr>
          <w:p w14:paraId="473A935A" w14:textId="77777777" w:rsidR="00195E7B" w:rsidRPr="00EB5E8F" w:rsidRDefault="00195E7B" w:rsidP="00160EE0">
            <w:pPr>
              <w:ind w:left="360"/>
              <w:rPr>
                <w:rFonts w:ascii="Arial" w:hAnsi="Arial" w:cs="Arial"/>
                <w:b/>
                <w:highlight w:val="yellow"/>
              </w:rPr>
            </w:pPr>
          </w:p>
        </w:tc>
        <w:tc>
          <w:tcPr>
            <w:tcW w:w="2835" w:type="dxa"/>
            <w:shd w:val="clear" w:color="auto" w:fill="auto"/>
          </w:tcPr>
          <w:p w14:paraId="32E54E67" w14:textId="77777777" w:rsidR="00195E7B" w:rsidRDefault="005A2A9B" w:rsidP="00B77047">
            <w:pPr>
              <w:rPr>
                <w:rFonts w:ascii="Arial" w:hAnsi="Arial" w:cs="Arial"/>
              </w:rPr>
            </w:pPr>
            <w:r>
              <w:rPr>
                <w:rFonts w:ascii="Arial" w:hAnsi="Arial" w:cs="Arial"/>
              </w:rPr>
              <w:t>Part C – Land, Premises and Spaces</w:t>
            </w:r>
          </w:p>
          <w:p w14:paraId="2D33BC56" w14:textId="65128E3F" w:rsidR="005A2A9B" w:rsidRPr="00EB5E8F" w:rsidRDefault="005A2A9B" w:rsidP="00B77047">
            <w:pPr>
              <w:rPr>
                <w:rFonts w:ascii="Arial" w:hAnsi="Arial" w:cs="Arial"/>
                <w:highlight w:val="yellow"/>
              </w:rPr>
            </w:pPr>
            <w:r>
              <w:rPr>
                <w:rFonts w:ascii="Arial" w:hAnsi="Arial" w:cs="Arial"/>
              </w:rPr>
              <w:t>Part D – Demand and Supply Balance</w:t>
            </w:r>
          </w:p>
        </w:tc>
        <w:tc>
          <w:tcPr>
            <w:tcW w:w="2835" w:type="dxa"/>
          </w:tcPr>
          <w:p w14:paraId="486CE70F" w14:textId="77777777" w:rsidR="00E269C9" w:rsidRPr="007F510A" w:rsidRDefault="00E269C9" w:rsidP="00E269C9">
            <w:pPr>
              <w:pStyle w:val="Default"/>
              <w:rPr>
                <w:sz w:val="22"/>
                <w:szCs w:val="22"/>
              </w:rPr>
            </w:pPr>
            <w:r w:rsidRPr="007F510A">
              <w:rPr>
                <w:sz w:val="22"/>
                <w:szCs w:val="22"/>
              </w:rPr>
              <w:t>Part C – Establishing Future Needs</w:t>
            </w:r>
          </w:p>
          <w:p w14:paraId="44D2D204" w14:textId="024FCBA8" w:rsidR="00195E7B" w:rsidRPr="00EB5E8F" w:rsidRDefault="00195E7B" w:rsidP="00B77047">
            <w:pPr>
              <w:rPr>
                <w:rFonts w:ascii="Arial" w:hAnsi="Arial" w:cs="Arial"/>
                <w:highlight w:val="yellow"/>
              </w:rPr>
            </w:pPr>
          </w:p>
        </w:tc>
      </w:tr>
      <w:tr w:rsidR="00195E7B" w:rsidRPr="00EB5E8F" w14:paraId="4EACF7C3" w14:textId="66CFB845" w:rsidTr="00195E7B">
        <w:trPr>
          <w:trHeight w:val="1067"/>
        </w:trPr>
        <w:tc>
          <w:tcPr>
            <w:tcW w:w="1293" w:type="dxa"/>
            <w:shd w:val="clear" w:color="auto" w:fill="auto"/>
          </w:tcPr>
          <w:p w14:paraId="6E5393FC" w14:textId="34637E67" w:rsidR="00195E7B" w:rsidRPr="005A2A9B" w:rsidRDefault="005A2A9B" w:rsidP="00160EE0">
            <w:pPr>
              <w:rPr>
                <w:rFonts w:ascii="Arial" w:hAnsi="Arial" w:cs="Arial"/>
                <w:b/>
                <w:highlight w:val="yellow"/>
              </w:rPr>
            </w:pPr>
            <w:r w:rsidRPr="005A2A9B">
              <w:rPr>
                <w:rFonts w:ascii="Arial" w:hAnsi="Arial" w:cs="Arial"/>
                <w:b/>
              </w:rPr>
              <w:lastRenderedPageBreak/>
              <w:t>Mid November 2023</w:t>
            </w:r>
          </w:p>
        </w:tc>
        <w:tc>
          <w:tcPr>
            <w:tcW w:w="1963" w:type="dxa"/>
            <w:shd w:val="clear" w:color="auto" w:fill="auto"/>
          </w:tcPr>
          <w:p w14:paraId="17611087" w14:textId="77777777" w:rsidR="00195E7B" w:rsidRPr="00EB5E8F" w:rsidRDefault="00195E7B" w:rsidP="00160EE0">
            <w:pPr>
              <w:ind w:left="360"/>
              <w:rPr>
                <w:rFonts w:ascii="Arial" w:hAnsi="Arial" w:cs="Arial"/>
                <w:b/>
                <w:highlight w:val="yellow"/>
              </w:rPr>
            </w:pPr>
          </w:p>
        </w:tc>
        <w:tc>
          <w:tcPr>
            <w:tcW w:w="2835" w:type="dxa"/>
            <w:shd w:val="clear" w:color="auto" w:fill="auto"/>
          </w:tcPr>
          <w:p w14:paraId="7B609E59" w14:textId="77777777" w:rsidR="00195E7B" w:rsidRDefault="005A2A9B" w:rsidP="005A2A9B">
            <w:pPr>
              <w:rPr>
                <w:rFonts w:ascii="Arial" w:hAnsi="Arial" w:cs="Arial"/>
              </w:rPr>
            </w:pPr>
            <w:r>
              <w:rPr>
                <w:rFonts w:ascii="Arial" w:hAnsi="Arial" w:cs="Arial"/>
              </w:rPr>
              <w:t>Part E – Skills Base and Future Requirements</w:t>
            </w:r>
          </w:p>
          <w:p w14:paraId="01C3C6C4" w14:textId="0456E20B" w:rsidR="005A2A9B" w:rsidRPr="00EB5E8F" w:rsidRDefault="005A2A9B" w:rsidP="005A2A9B">
            <w:pPr>
              <w:rPr>
                <w:rFonts w:ascii="Arial" w:hAnsi="Arial" w:cs="Arial"/>
                <w:highlight w:val="yellow"/>
              </w:rPr>
            </w:pPr>
            <w:r>
              <w:rPr>
                <w:rFonts w:ascii="Arial" w:hAnsi="Arial" w:cs="Arial"/>
              </w:rPr>
              <w:t>Part F – Conclusions and Recommendations</w:t>
            </w:r>
          </w:p>
        </w:tc>
        <w:tc>
          <w:tcPr>
            <w:tcW w:w="2835" w:type="dxa"/>
          </w:tcPr>
          <w:p w14:paraId="3EDE6E15" w14:textId="77777777" w:rsidR="00195E7B" w:rsidRDefault="005A2A9B" w:rsidP="005A2A9B">
            <w:pPr>
              <w:rPr>
                <w:rFonts w:ascii="Arial" w:hAnsi="Arial" w:cs="Arial"/>
              </w:rPr>
            </w:pPr>
            <w:r w:rsidRPr="007F510A">
              <w:rPr>
                <w:rFonts w:ascii="Arial" w:hAnsi="Arial" w:cs="Arial"/>
              </w:rPr>
              <w:t>Part D – Defining Policies and Parameters</w:t>
            </w:r>
          </w:p>
          <w:p w14:paraId="49DD2095" w14:textId="3B65FC3C" w:rsidR="005A2A9B" w:rsidRPr="00EB5E8F" w:rsidRDefault="005A2A9B" w:rsidP="005A2A9B">
            <w:pPr>
              <w:rPr>
                <w:rFonts w:ascii="Arial" w:hAnsi="Arial" w:cs="Arial"/>
                <w:highlight w:val="yellow"/>
              </w:rPr>
            </w:pPr>
            <w:r w:rsidRPr="007F510A">
              <w:rPr>
                <w:rFonts w:ascii="Arial" w:hAnsi="Arial" w:cs="Arial"/>
              </w:rPr>
              <w:t>Part E – Conclusions and Recommendations</w:t>
            </w:r>
          </w:p>
        </w:tc>
      </w:tr>
      <w:tr w:rsidR="005A2A9B" w:rsidRPr="00EB5E8F" w14:paraId="3A00DB0B" w14:textId="77777777" w:rsidTr="005A2A9B">
        <w:trPr>
          <w:trHeight w:val="332"/>
        </w:trPr>
        <w:tc>
          <w:tcPr>
            <w:tcW w:w="1293" w:type="dxa"/>
            <w:shd w:val="clear" w:color="auto" w:fill="D9D9D9" w:themeFill="background1" w:themeFillShade="D9"/>
          </w:tcPr>
          <w:p w14:paraId="1EAE6B4A" w14:textId="77777777" w:rsidR="005A2A9B" w:rsidRPr="005A2A9B" w:rsidRDefault="005A2A9B" w:rsidP="00160EE0">
            <w:pPr>
              <w:rPr>
                <w:rFonts w:ascii="Arial" w:hAnsi="Arial" w:cs="Arial"/>
                <w:b/>
              </w:rPr>
            </w:pPr>
          </w:p>
        </w:tc>
        <w:tc>
          <w:tcPr>
            <w:tcW w:w="1963" w:type="dxa"/>
            <w:shd w:val="clear" w:color="auto" w:fill="D9D9D9" w:themeFill="background1" w:themeFillShade="D9"/>
          </w:tcPr>
          <w:p w14:paraId="2456B56D" w14:textId="77777777" w:rsidR="005A2A9B" w:rsidRPr="00EB5E8F" w:rsidRDefault="005A2A9B" w:rsidP="00160EE0">
            <w:pPr>
              <w:ind w:left="360"/>
              <w:rPr>
                <w:rFonts w:ascii="Arial" w:hAnsi="Arial" w:cs="Arial"/>
                <w:b/>
                <w:highlight w:val="yellow"/>
              </w:rPr>
            </w:pPr>
          </w:p>
        </w:tc>
        <w:tc>
          <w:tcPr>
            <w:tcW w:w="2835" w:type="dxa"/>
            <w:shd w:val="clear" w:color="auto" w:fill="D9D9D9" w:themeFill="background1" w:themeFillShade="D9"/>
          </w:tcPr>
          <w:p w14:paraId="2D7ACB46" w14:textId="77777777" w:rsidR="005A2A9B" w:rsidRDefault="005A2A9B" w:rsidP="005A2A9B">
            <w:pPr>
              <w:rPr>
                <w:rFonts w:ascii="Arial" w:hAnsi="Arial" w:cs="Arial"/>
              </w:rPr>
            </w:pPr>
          </w:p>
        </w:tc>
        <w:tc>
          <w:tcPr>
            <w:tcW w:w="2835" w:type="dxa"/>
            <w:shd w:val="clear" w:color="auto" w:fill="D9D9D9" w:themeFill="background1" w:themeFillShade="D9"/>
          </w:tcPr>
          <w:p w14:paraId="5AD50A81" w14:textId="77777777" w:rsidR="005A2A9B" w:rsidRPr="007F510A" w:rsidRDefault="005A2A9B" w:rsidP="005A2A9B">
            <w:pPr>
              <w:rPr>
                <w:rFonts w:ascii="Arial" w:hAnsi="Arial" w:cs="Arial"/>
              </w:rPr>
            </w:pPr>
          </w:p>
        </w:tc>
      </w:tr>
      <w:tr w:rsidR="00195E7B" w:rsidRPr="00EB5E8F" w14:paraId="366F257C" w14:textId="3FDEA835" w:rsidTr="005A2A9B">
        <w:trPr>
          <w:trHeight w:val="1200"/>
        </w:trPr>
        <w:tc>
          <w:tcPr>
            <w:tcW w:w="1293" w:type="dxa"/>
            <w:shd w:val="clear" w:color="auto" w:fill="auto"/>
          </w:tcPr>
          <w:p w14:paraId="62E9AAAA" w14:textId="787AB74B" w:rsidR="00195E7B" w:rsidRPr="005A2A9B" w:rsidRDefault="005A2A9B" w:rsidP="00160EE0">
            <w:pPr>
              <w:rPr>
                <w:rFonts w:ascii="Arial" w:hAnsi="Arial" w:cs="Arial"/>
                <w:b/>
              </w:rPr>
            </w:pPr>
            <w:r w:rsidRPr="005A2A9B">
              <w:rPr>
                <w:rFonts w:ascii="Arial" w:hAnsi="Arial" w:cs="Arial"/>
                <w:b/>
              </w:rPr>
              <w:t>Late November</w:t>
            </w:r>
            <w:r w:rsidR="00195E7B" w:rsidRPr="005A2A9B">
              <w:rPr>
                <w:rFonts w:ascii="Arial" w:hAnsi="Arial" w:cs="Arial"/>
                <w:b/>
              </w:rPr>
              <w:t xml:space="preserve"> 2023 </w:t>
            </w:r>
          </w:p>
        </w:tc>
        <w:tc>
          <w:tcPr>
            <w:tcW w:w="1963" w:type="dxa"/>
            <w:shd w:val="clear" w:color="auto" w:fill="auto"/>
          </w:tcPr>
          <w:p w14:paraId="394529D4" w14:textId="0C4D96B8" w:rsidR="00195E7B" w:rsidRPr="005A2A9B" w:rsidRDefault="00195E7B" w:rsidP="00160EE0">
            <w:pPr>
              <w:rPr>
                <w:rFonts w:ascii="Arial" w:hAnsi="Arial" w:cs="Arial"/>
              </w:rPr>
            </w:pPr>
            <w:r w:rsidRPr="005A2A9B">
              <w:rPr>
                <w:rFonts w:ascii="Arial" w:hAnsi="Arial" w:cs="Arial"/>
              </w:rPr>
              <w:t xml:space="preserve">Regulation 18 Public Consultation </w:t>
            </w:r>
          </w:p>
        </w:tc>
        <w:tc>
          <w:tcPr>
            <w:tcW w:w="2835" w:type="dxa"/>
            <w:shd w:val="clear" w:color="auto" w:fill="auto"/>
          </w:tcPr>
          <w:p w14:paraId="2D627D56" w14:textId="6D9E623A" w:rsidR="00195E7B" w:rsidRPr="005A2A9B" w:rsidRDefault="00195E7B" w:rsidP="005A2A9B">
            <w:pPr>
              <w:rPr>
                <w:rFonts w:ascii="Arial" w:hAnsi="Arial" w:cs="Arial"/>
              </w:rPr>
            </w:pPr>
            <w:r w:rsidRPr="005A2A9B">
              <w:rPr>
                <w:rFonts w:ascii="Arial" w:hAnsi="Arial" w:cs="Arial"/>
              </w:rPr>
              <w:t>Draft Report published for consultation feedback.</w:t>
            </w:r>
          </w:p>
        </w:tc>
        <w:tc>
          <w:tcPr>
            <w:tcW w:w="2835" w:type="dxa"/>
            <w:shd w:val="clear" w:color="auto" w:fill="auto"/>
          </w:tcPr>
          <w:p w14:paraId="5BE7C4B5" w14:textId="77777777" w:rsidR="00195E7B" w:rsidRPr="005A2A9B" w:rsidRDefault="00195E7B" w:rsidP="00160EE0">
            <w:pPr>
              <w:ind w:left="360"/>
              <w:rPr>
                <w:rFonts w:ascii="Arial" w:hAnsi="Arial" w:cs="Arial"/>
              </w:rPr>
            </w:pPr>
          </w:p>
        </w:tc>
      </w:tr>
      <w:tr w:rsidR="00195E7B" w:rsidRPr="00EB5E8F" w14:paraId="1D7B505C" w14:textId="65722A38" w:rsidTr="00195E7B">
        <w:trPr>
          <w:trHeight w:val="1200"/>
        </w:trPr>
        <w:tc>
          <w:tcPr>
            <w:tcW w:w="1293" w:type="dxa"/>
            <w:shd w:val="clear" w:color="auto" w:fill="auto"/>
          </w:tcPr>
          <w:p w14:paraId="3389E318" w14:textId="02AD53C5" w:rsidR="00195E7B" w:rsidRPr="005A2A9B" w:rsidRDefault="005A2A9B" w:rsidP="00160EE0">
            <w:pPr>
              <w:rPr>
                <w:rFonts w:ascii="Arial" w:hAnsi="Arial" w:cs="Arial"/>
                <w:b/>
              </w:rPr>
            </w:pPr>
            <w:r w:rsidRPr="005A2A9B">
              <w:rPr>
                <w:rFonts w:ascii="Arial" w:hAnsi="Arial" w:cs="Arial"/>
                <w:b/>
              </w:rPr>
              <w:t>February 2024+</w:t>
            </w:r>
          </w:p>
        </w:tc>
        <w:tc>
          <w:tcPr>
            <w:tcW w:w="1963" w:type="dxa"/>
            <w:shd w:val="clear" w:color="auto" w:fill="auto"/>
          </w:tcPr>
          <w:p w14:paraId="4BD9D16E" w14:textId="7D6A8F25" w:rsidR="00195E7B" w:rsidRPr="005A2A9B" w:rsidRDefault="00195E7B" w:rsidP="00160EE0">
            <w:pPr>
              <w:rPr>
                <w:rFonts w:ascii="Arial" w:hAnsi="Arial" w:cs="Arial"/>
              </w:rPr>
            </w:pPr>
          </w:p>
        </w:tc>
        <w:tc>
          <w:tcPr>
            <w:tcW w:w="2835" w:type="dxa"/>
            <w:shd w:val="clear" w:color="auto" w:fill="auto"/>
          </w:tcPr>
          <w:p w14:paraId="7E444E43" w14:textId="12DFB6FF" w:rsidR="00195E7B" w:rsidRPr="005A2A9B" w:rsidRDefault="00195E7B" w:rsidP="005A2A9B">
            <w:pPr>
              <w:rPr>
                <w:rFonts w:ascii="Arial" w:hAnsi="Arial" w:cs="Arial"/>
              </w:rPr>
            </w:pPr>
            <w:r w:rsidRPr="005A2A9B">
              <w:rPr>
                <w:rFonts w:ascii="Arial" w:hAnsi="Arial" w:cs="Arial"/>
              </w:rPr>
              <w:t>Review and response to report related representations</w:t>
            </w:r>
          </w:p>
        </w:tc>
        <w:tc>
          <w:tcPr>
            <w:tcW w:w="2835" w:type="dxa"/>
          </w:tcPr>
          <w:p w14:paraId="67CA97B5" w14:textId="77777777" w:rsidR="00195E7B" w:rsidRPr="00EB5E8F" w:rsidRDefault="00195E7B" w:rsidP="00160EE0">
            <w:pPr>
              <w:ind w:left="360"/>
              <w:rPr>
                <w:rFonts w:ascii="Arial" w:hAnsi="Arial" w:cs="Arial"/>
                <w:highlight w:val="yellow"/>
              </w:rPr>
            </w:pPr>
          </w:p>
        </w:tc>
      </w:tr>
      <w:tr w:rsidR="00195E7B" w:rsidRPr="00EB5E8F" w14:paraId="4E14F256" w14:textId="622AF423" w:rsidTr="00195E7B">
        <w:trPr>
          <w:trHeight w:val="1200"/>
        </w:trPr>
        <w:tc>
          <w:tcPr>
            <w:tcW w:w="1293" w:type="dxa"/>
            <w:shd w:val="clear" w:color="auto" w:fill="auto"/>
          </w:tcPr>
          <w:p w14:paraId="4B6CAE46" w14:textId="0F3F5FD9" w:rsidR="00195E7B" w:rsidRPr="005A2A9B" w:rsidRDefault="005A2A9B" w:rsidP="00160EE0">
            <w:pPr>
              <w:rPr>
                <w:rFonts w:ascii="Arial" w:hAnsi="Arial" w:cs="Arial"/>
                <w:b/>
                <w:highlight w:val="yellow"/>
              </w:rPr>
            </w:pPr>
            <w:r w:rsidRPr="005A2A9B">
              <w:rPr>
                <w:rFonts w:ascii="Arial" w:hAnsi="Arial" w:cs="Arial"/>
                <w:b/>
              </w:rPr>
              <w:t>February 2024+</w:t>
            </w:r>
          </w:p>
        </w:tc>
        <w:tc>
          <w:tcPr>
            <w:tcW w:w="1963" w:type="dxa"/>
            <w:shd w:val="clear" w:color="auto" w:fill="auto"/>
          </w:tcPr>
          <w:p w14:paraId="2366949D" w14:textId="77777777" w:rsidR="00195E7B" w:rsidRPr="00EB5E8F" w:rsidRDefault="00195E7B" w:rsidP="00160EE0">
            <w:pPr>
              <w:rPr>
                <w:rFonts w:ascii="Arial" w:hAnsi="Arial" w:cs="Arial"/>
                <w:highlight w:val="yellow"/>
              </w:rPr>
            </w:pPr>
          </w:p>
        </w:tc>
        <w:tc>
          <w:tcPr>
            <w:tcW w:w="2835" w:type="dxa"/>
            <w:shd w:val="clear" w:color="auto" w:fill="auto"/>
          </w:tcPr>
          <w:p w14:paraId="31601511" w14:textId="102E1F80" w:rsidR="00195E7B" w:rsidRPr="00EB5E8F" w:rsidRDefault="00195E7B" w:rsidP="005A2A9B">
            <w:pPr>
              <w:rPr>
                <w:rFonts w:ascii="Arial" w:hAnsi="Arial" w:cs="Arial"/>
                <w:highlight w:val="yellow"/>
              </w:rPr>
            </w:pPr>
            <w:r w:rsidRPr="005A2A9B">
              <w:rPr>
                <w:rFonts w:ascii="Arial" w:hAnsi="Arial" w:cs="Arial"/>
              </w:rPr>
              <w:t xml:space="preserve">Update report </w:t>
            </w:r>
          </w:p>
        </w:tc>
        <w:tc>
          <w:tcPr>
            <w:tcW w:w="2835" w:type="dxa"/>
          </w:tcPr>
          <w:p w14:paraId="24E4C672" w14:textId="77777777" w:rsidR="00195E7B" w:rsidRPr="00EB5E8F" w:rsidRDefault="00195E7B" w:rsidP="00160EE0">
            <w:pPr>
              <w:ind w:left="360"/>
              <w:rPr>
                <w:rFonts w:ascii="Arial" w:hAnsi="Arial" w:cs="Arial"/>
                <w:highlight w:val="yellow"/>
              </w:rPr>
            </w:pPr>
          </w:p>
        </w:tc>
      </w:tr>
      <w:tr w:rsidR="00195E7B" w:rsidRPr="00EB5E8F" w14:paraId="5298C3DD" w14:textId="779DD42F" w:rsidTr="00195E7B">
        <w:trPr>
          <w:trHeight w:val="1200"/>
        </w:trPr>
        <w:tc>
          <w:tcPr>
            <w:tcW w:w="1293" w:type="dxa"/>
            <w:shd w:val="clear" w:color="auto" w:fill="auto"/>
          </w:tcPr>
          <w:p w14:paraId="6929F93E" w14:textId="4870CDED" w:rsidR="00195E7B" w:rsidRPr="005A2A9B" w:rsidRDefault="00195E7B" w:rsidP="00160EE0">
            <w:pPr>
              <w:rPr>
                <w:rFonts w:ascii="Arial" w:hAnsi="Arial" w:cs="Arial"/>
                <w:b/>
              </w:rPr>
            </w:pPr>
            <w:r w:rsidRPr="005A2A9B">
              <w:rPr>
                <w:rFonts w:ascii="Arial" w:hAnsi="Arial" w:cs="Arial"/>
                <w:b/>
              </w:rPr>
              <w:t xml:space="preserve">Summer 2024 </w:t>
            </w:r>
          </w:p>
        </w:tc>
        <w:tc>
          <w:tcPr>
            <w:tcW w:w="1963" w:type="dxa"/>
            <w:shd w:val="clear" w:color="auto" w:fill="auto"/>
          </w:tcPr>
          <w:p w14:paraId="0A4BB8E9" w14:textId="19B02384" w:rsidR="00195E7B" w:rsidRPr="005A2A9B" w:rsidRDefault="00195E7B" w:rsidP="00160EE0">
            <w:pPr>
              <w:rPr>
                <w:rFonts w:ascii="Arial" w:hAnsi="Arial" w:cs="Arial"/>
              </w:rPr>
            </w:pPr>
            <w:r w:rsidRPr="005A2A9B">
              <w:rPr>
                <w:rFonts w:ascii="Arial" w:hAnsi="Arial" w:cs="Arial"/>
              </w:rPr>
              <w:t xml:space="preserve">Regulation 19 Public Consultation </w:t>
            </w:r>
          </w:p>
        </w:tc>
        <w:tc>
          <w:tcPr>
            <w:tcW w:w="2835" w:type="dxa"/>
            <w:shd w:val="clear" w:color="auto" w:fill="auto"/>
          </w:tcPr>
          <w:p w14:paraId="16018004" w14:textId="100DD31A" w:rsidR="00195E7B" w:rsidRPr="005A2A9B" w:rsidRDefault="00195E7B" w:rsidP="005A2A9B">
            <w:pPr>
              <w:rPr>
                <w:rFonts w:ascii="Arial" w:hAnsi="Arial" w:cs="Arial"/>
              </w:rPr>
            </w:pPr>
            <w:r w:rsidRPr="005A2A9B">
              <w:rPr>
                <w:rFonts w:ascii="Arial" w:hAnsi="Arial" w:cs="Arial"/>
              </w:rPr>
              <w:t>Publish Reg. 19 Local Plan and supporting evidence</w:t>
            </w:r>
          </w:p>
        </w:tc>
        <w:tc>
          <w:tcPr>
            <w:tcW w:w="2835" w:type="dxa"/>
          </w:tcPr>
          <w:p w14:paraId="7CE207EE" w14:textId="77777777" w:rsidR="00195E7B" w:rsidRPr="00EB5E8F" w:rsidRDefault="00195E7B" w:rsidP="00835C5A">
            <w:pPr>
              <w:ind w:left="316" w:hanging="316"/>
              <w:rPr>
                <w:rFonts w:ascii="Arial" w:hAnsi="Arial" w:cs="Arial"/>
                <w:highlight w:val="yellow"/>
              </w:rPr>
            </w:pPr>
          </w:p>
        </w:tc>
      </w:tr>
      <w:tr w:rsidR="00195E7B" w:rsidRPr="00E31B04" w14:paraId="6D38F817" w14:textId="06573538" w:rsidTr="00195E7B">
        <w:trPr>
          <w:trHeight w:val="1200"/>
        </w:trPr>
        <w:tc>
          <w:tcPr>
            <w:tcW w:w="1293" w:type="dxa"/>
            <w:shd w:val="clear" w:color="auto" w:fill="auto"/>
          </w:tcPr>
          <w:p w14:paraId="5F8BD23A" w14:textId="0F9D6BED" w:rsidR="00195E7B" w:rsidRPr="005A2A9B" w:rsidRDefault="005A2A9B" w:rsidP="00160EE0">
            <w:pPr>
              <w:rPr>
                <w:rFonts w:ascii="Arial" w:hAnsi="Arial" w:cs="Arial"/>
                <w:b/>
                <w:highlight w:val="yellow"/>
              </w:rPr>
            </w:pPr>
            <w:r w:rsidRPr="005A2A9B">
              <w:rPr>
                <w:rFonts w:ascii="Arial" w:hAnsi="Arial" w:cs="Arial"/>
                <w:b/>
              </w:rPr>
              <w:t>Early Autumn 2024</w:t>
            </w:r>
          </w:p>
        </w:tc>
        <w:tc>
          <w:tcPr>
            <w:tcW w:w="1963" w:type="dxa"/>
            <w:shd w:val="clear" w:color="auto" w:fill="auto"/>
          </w:tcPr>
          <w:p w14:paraId="120CE9F8" w14:textId="77777777" w:rsidR="00195E7B" w:rsidRPr="00EB5E8F" w:rsidRDefault="00195E7B" w:rsidP="00160EE0">
            <w:pPr>
              <w:rPr>
                <w:rFonts w:ascii="Arial" w:hAnsi="Arial" w:cs="Arial"/>
                <w:highlight w:val="yellow"/>
              </w:rPr>
            </w:pPr>
          </w:p>
        </w:tc>
        <w:tc>
          <w:tcPr>
            <w:tcW w:w="2835" w:type="dxa"/>
            <w:shd w:val="clear" w:color="auto" w:fill="auto"/>
          </w:tcPr>
          <w:p w14:paraId="14787BFB" w14:textId="7F84CB58" w:rsidR="00195E7B" w:rsidRPr="00160EE0" w:rsidRDefault="00195E7B" w:rsidP="005A2A9B">
            <w:pPr>
              <w:rPr>
                <w:rFonts w:ascii="Arial" w:hAnsi="Arial" w:cs="Arial"/>
              </w:rPr>
            </w:pPr>
            <w:r w:rsidRPr="005A2A9B">
              <w:rPr>
                <w:rFonts w:ascii="Arial" w:hAnsi="Arial" w:cs="Arial"/>
              </w:rPr>
              <w:t>Review and response to report related representations</w:t>
            </w:r>
          </w:p>
        </w:tc>
        <w:tc>
          <w:tcPr>
            <w:tcW w:w="2835" w:type="dxa"/>
          </w:tcPr>
          <w:p w14:paraId="5AA14D47" w14:textId="77777777" w:rsidR="00195E7B" w:rsidRPr="00EB5E8F" w:rsidRDefault="00195E7B" w:rsidP="00160EE0">
            <w:pPr>
              <w:ind w:left="360"/>
              <w:rPr>
                <w:rFonts w:ascii="Arial" w:hAnsi="Arial" w:cs="Arial"/>
                <w:highlight w:val="yellow"/>
              </w:rPr>
            </w:pPr>
          </w:p>
        </w:tc>
      </w:tr>
    </w:tbl>
    <w:p w14:paraId="47B08C82" w14:textId="5B0B3363" w:rsidR="003A269D" w:rsidRPr="00E31B04" w:rsidRDefault="003A269D" w:rsidP="007A1083">
      <w:pPr>
        <w:ind w:left="360"/>
        <w:rPr>
          <w:rFonts w:ascii="Arial" w:hAnsi="Arial" w:cs="Arial"/>
          <w:highlight w:val="red"/>
        </w:rPr>
      </w:pPr>
    </w:p>
    <w:p w14:paraId="12948C6F" w14:textId="67DC2FDA" w:rsidR="007A1083" w:rsidRPr="00E31B04" w:rsidRDefault="007A1083" w:rsidP="003A269D">
      <w:pPr>
        <w:rPr>
          <w:rFonts w:ascii="Arial" w:hAnsi="Arial" w:cs="Arial"/>
          <w:highlight w:val="red"/>
        </w:rPr>
      </w:pPr>
    </w:p>
    <w:p w14:paraId="34619B2B" w14:textId="77777777" w:rsidR="00FF0912" w:rsidRPr="00E31B04" w:rsidRDefault="00FF0912" w:rsidP="00FF0912">
      <w:pPr>
        <w:pStyle w:val="ListParagraph"/>
        <w:rPr>
          <w:rFonts w:ascii="Arial" w:hAnsi="Arial" w:cs="Arial"/>
          <w:highlight w:val="red"/>
        </w:rPr>
      </w:pPr>
    </w:p>
    <w:p w14:paraId="3585C331" w14:textId="1CA76132" w:rsidR="00D56938" w:rsidRPr="00D56938" w:rsidRDefault="00CD247C" w:rsidP="00D56938">
      <w:pPr>
        <w:pStyle w:val="ListParagraph"/>
        <w:numPr>
          <w:ilvl w:val="0"/>
          <w:numId w:val="10"/>
        </w:numPr>
        <w:ind w:left="709" w:hanging="425"/>
        <w:rPr>
          <w:rFonts w:ascii="Arial" w:hAnsi="Arial" w:cs="Arial"/>
        </w:rPr>
      </w:pPr>
      <w:r w:rsidRPr="00835C5A">
        <w:rPr>
          <w:rFonts w:ascii="Arial" w:hAnsi="Arial" w:cs="Arial"/>
        </w:rPr>
        <w:t>The consultants’ names and company will appear as the authors of the report</w:t>
      </w:r>
      <w:r w:rsidR="00D56938">
        <w:rPr>
          <w:rFonts w:ascii="Arial" w:hAnsi="Arial" w:cs="Arial"/>
        </w:rPr>
        <w:t>(s)</w:t>
      </w:r>
      <w:r w:rsidRPr="00835C5A">
        <w:rPr>
          <w:rFonts w:ascii="Arial" w:hAnsi="Arial" w:cs="Arial"/>
        </w:rPr>
        <w:t>, and those responsible for preparing it will sign the report</w:t>
      </w:r>
      <w:r w:rsidR="00D56938">
        <w:rPr>
          <w:rFonts w:ascii="Arial" w:hAnsi="Arial" w:cs="Arial"/>
        </w:rPr>
        <w:t>(s)</w:t>
      </w:r>
      <w:r w:rsidRPr="00835C5A">
        <w:rPr>
          <w:rFonts w:ascii="Arial" w:hAnsi="Arial" w:cs="Arial"/>
        </w:rPr>
        <w:t xml:space="preserve">.  </w:t>
      </w:r>
    </w:p>
    <w:p w14:paraId="5235F63D" w14:textId="77777777" w:rsidR="00FF0912" w:rsidRPr="00835C5A" w:rsidRDefault="00FF0912" w:rsidP="00FF0912">
      <w:pPr>
        <w:pStyle w:val="ListParagraph"/>
        <w:rPr>
          <w:rFonts w:ascii="Arial" w:hAnsi="Arial" w:cs="Arial"/>
        </w:rPr>
      </w:pPr>
    </w:p>
    <w:p w14:paraId="09B40EFC" w14:textId="5C487562" w:rsidR="000C7A42" w:rsidRDefault="00CD247C" w:rsidP="00CC50F4">
      <w:pPr>
        <w:pStyle w:val="ListParagraph"/>
        <w:numPr>
          <w:ilvl w:val="0"/>
          <w:numId w:val="10"/>
        </w:numPr>
        <w:ind w:left="709" w:hanging="425"/>
        <w:rPr>
          <w:rFonts w:ascii="Arial" w:hAnsi="Arial" w:cs="Arial"/>
        </w:rPr>
      </w:pPr>
      <w:r w:rsidRPr="00835C5A">
        <w:rPr>
          <w:rFonts w:ascii="Arial" w:hAnsi="Arial" w:cs="Arial"/>
        </w:rPr>
        <w:t xml:space="preserve">The intellectual property rights for all works as carried out and delivered would be held by Swindon Borough Council.  </w:t>
      </w:r>
    </w:p>
    <w:p w14:paraId="497FB9CD" w14:textId="77777777" w:rsidR="00D56938" w:rsidRPr="00D56938" w:rsidRDefault="00D56938" w:rsidP="00D56938">
      <w:pPr>
        <w:pStyle w:val="ListParagraph"/>
        <w:rPr>
          <w:rFonts w:ascii="Arial" w:hAnsi="Arial" w:cs="Arial"/>
        </w:rPr>
      </w:pPr>
    </w:p>
    <w:p w14:paraId="62CC0F9C" w14:textId="09587697" w:rsidR="00D56938" w:rsidRPr="00835C5A" w:rsidRDefault="00D56938" w:rsidP="00CC50F4">
      <w:pPr>
        <w:pStyle w:val="ListParagraph"/>
        <w:numPr>
          <w:ilvl w:val="0"/>
          <w:numId w:val="10"/>
        </w:numPr>
        <w:ind w:left="709" w:hanging="425"/>
        <w:rPr>
          <w:rFonts w:ascii="Arial" w:hAnsi="Arial" w:cs="Arial"/>
        </w:rPr>
      </w:pPr>
      <w:r w:rsidRPr="007C2780">
        <w:rPr>
          <w:rFonts w:ascii="Arial" w:hAnsi="Arial" w:cs="Arial"/>
        </w:rPr>
        <w:t>Final reports should be produced with forma</w:t>
      </w:r>
      <w:r>
        <w:rPr>
          <w:rFonts w:ascii="Arial" w:hAnsi="Arial" w:cs="Arial"/>
        </w:rPr>
        <w:t>t</w:t>
      </w:r>
      <w:r w:rsidRPr="007C2780">
        <w:rPr>
          <w:rFonts w:ascii="Arial" w:hAnsi="Arial" w:cs="Arial"/>
        </w:rPr>
        <w:t>ting which is accessible to people with disabilities and evaluated through an accessibility checker before being finalised.</w:t>
      </w:r>
    </w:p>
    <w:p w14:paraId="187CE042" w14:textId="77777777" w:rsidR="000C7A42" w:rsidRPr="00835C5A" w:rsidRDefault="000C7A42" w:rsidP="000C7A42">
      <w:pPr>
        <w:pStyle w:val="ListParagraph"/>
        <w:rPr>
          <w:rFonts w:ascii="Arial" w:hAnsi="Arial" w:cs="Arial"/>
        </w:rPr>
      </w:pPr>
    </w:p>
    <w:p w14:paraId="71994C74" w14:textId="49EC018A" w:rsidR="003A269D" w:rsidRPr="00835C5A" w:rsidRDefault="00FB7ED5" w:rsidP="00CC50F4">
      <w:pPr>
        <w:pStyle w:val="ListParagraph"/>
        <w:numPr>
          <w:ilvl w:val="0"/>
          <w:numId w:val="10"/>
        </w:numPr>
        <w:ind w:left="709" w:hanging="425"/>
        <w:rPr>
          <w:rFonts w:ascii="Arial" w:hAnsi="Arial" w:cs="Arial"/>
        </w:rPr>
      </w:pPr>
      <w:r w:rsidRPr="00835C5A">
        <w:rPr>
          <w:rFonts w:ascii="Arial" w:hAnsi="Arial" w:cs="Arial"/>
        </w:rPr>
        <w:t>Any maps and geographic datasets should be compatible with the Council’s GIS software (QGIS) which will include the submission of Shapefiles (.</w:t>
      </w:r>
      <w:proofErr w:type="spellStart"/>
      <w:r w:rsidRPr="00835C5A">
        <w:rPr>
          <w:rFonts w:ascii="Arial" w:hAnsi="Arial" w:cs="Arial"/>
        </w:rPr>
        <w:t>shp</w:t>
      </w:r>
      <w:proofErr w:type="spellEnd"/>
      <w:r w:rsidRPr="00835C5A">
        <w:rPr>
          <w:rFonts w:ascii="Arial" w:hAnsi="Arial" w:cs="Arial"/>
        </w:rPr>
        <w:t>)</w:t>
      </w:r>
      <w:r w:rsidR="00CF0347">
        <w:rPr>
          <w:rFonts w:ascii="Arial" w:hAnsi="Arial" w:cs="Arial"/>
        </w:rPr>
        <w:t xml:space="preserve">.  </w:t>
      </w:r>
    </w:p>
    <w:p w14:paraId="12A7E1DC" w14:textId="77777777" w:rsidR="000C7A42" w:rsidRPr="00835C5A" w:rsidRDefault="000C7A42" w:rsidP="000C7A42">
      <w:pPr>
        <w:pStyle w:val="ListParagraph"/>
        <w:rPr>
          <w:rFonts w:ascii="Arial" w:hAnsi="Arial" w:cs="Arial"/>
        </w:rPr>
      </w:pPr>
    </w:p>
    <w:p w14:paraId="2D2B931D" w14:textId="0D4EAD3C" w:rsidR="00D56938" w:rsidRPr="00D56938" w:rsidRDefault="000C7A42" w:rsidP="00D56938">
      <w:pPr>
        <w:pStyle w:val="ListParagraph"/>
        <w:numPr>
          <w:ilvl w:val="0"/>
          <w:numId w:val="10"/>
        </w:numPr>
        <w:ind w:left="709" w:hanging="425"/>
        <w:rPr>
          <w:rFonts w:ascii="Arial" w:hAnsi="Arial" w:cs="Arial"/>
        </w:rPr>
      </w:pPr>
      <w:r w:rsidRPr="00835C5A">
        <w:rPr>
          <w:rFonts w:ascii="Arial" w:hAnsi="Arial" w:cs="Arial"/>
        </w:rPr>
        <w:t>Variations to the requirements of this Specification will be given consideration where accompanied by a reasonable justification based on the Consultants availability or expert advice. (This addresses Q7 in the ‘Instructions to Bidders’)</w:t>
      </w:r>
      <w:r w:rsidR="00D56938">
        <w:rPr>
          <w:rFonts w:ascii="Arial" w:hAnsi="Arial" w:cs="Arial"/>
        </w:rPr>
        <w:t>.</w:t>
      </w:r>
    </w:p>
    <w:p w14:paraId="684BBBFD" w14:textId="1B7AFFE8" w:rsidR="00D56938" w:rsidRPr="0054790E" w:rsidRDefault="00D56938" w:rsidP="00D56938">
      <w:pPr>
        <w:tabs>
          <w:tab w:val="left" w:pos="6790"/>
        </w:tabs>
        <w:rPr>
          <w:rFonts w:ascii="Arial" w:hAnsi="Arial" w:cs="Arial"/>
          <w:b/>
          <w:sz w:val="20"/>
        </w:rPr>
      </w:pPr>
      <w:r w:rsidRPr="0054790E">
        <w:rPr>
          <w:rFonts w:ascii="Arial" w:hAnsi="Arial" w:cs="Arial"/>
          <w:b/>
          <w:sz w:val="24"/>
        </w:rPr>
        <w:t>L</w:t>
      </w:r>
      <w:r>
        <w:rPr>
          <w:rFonts w:ascii="Arial" w:hAnsi="Arial" w:cs="Arial"/>
          <w:b/>
          <w:sz w:val="24"/>
        </w:rPr>
        <w:t>ENGTH OF CONTRACT</w:t>
      </w:r>
    </w:p>
    <w:p w14:paraId="3C77BA18" w14:textId="520AE6F8" w:rsidR="00D56938" w:rsidRPr="00D56938" w:rsidRDefault="00D56938" w:rsidP="00D56938">
      <w:pPr>
        <w:pStyle w:val="ListParagraph"/>
        <w:numPr>
          <w:ilvl w:val="0"/>
          <w:numId w:val="10"/>
        </w:numPr>
        <w:ind w:left="709" w:hanging="425"/>
        <w:rPr>
          <w:rFonts w:ascii="Arial" w:hAnsi="Arial" w:cs="Arial"/>
          <w:b/>
          <w:sz w:val="20"/>
        </w:rPr>
      </w:pPr>
      <w:r w:rsidRPr="00D56938">
        <w:rPr>
          <w:rFonts w:ascii="Arial" w:hAnsi="Arial" w:cs="Arial"/>
        </w:rPr>
        <w:t xml:space="preserve">It is anticipated that the contract will cover the period to February 2024.   Any extension will be agreed in writing by </w:t>
      </w:r>
      <w:r>
        <w:rPr>
          <w:rFonts w:ascii="Arial" w:hAnsi="Arial" w:cs="Arial"/>
        </w:rPr>
        <w:t>all</w:t>
      </w:r>
      <w:r w:rsidRPr="00D56938">
        <w:rPr>
          <w:rFonts w:ascii="Arial" w:hAnsi="Arial" w:cs="Arial"/>
        </w:rPr>
        <w:t xml:space="preserve"> parties.</w:t>
      </w:r>
    </w:p>
    <w:p w14:paraId="63168F9D" w14:textId="77777777" w:rsidR="00D56938" w:rsidRPr="00D56938" w:rsidRDefault="00D56938" w:rsidP="00D56938">
      <w:pPr>
        <w:rPr>
          <w:rFonts w:ascii="Arial" w:hAnsi="Arial" w:cs="Arial"/>
        </w:rPr>
      </w:pPr>
    </w:p>
    <w:p w14:paraId="620C407F" w14:textId="35A4DCC1" w:rsidR="009E4798" w:rsidRPr="009E4798" w:rsidRDefault="00EA3107" w:rsidP="00A77EAA">
      <w:pPr>
        <w:rPr>
          <w:rFonts w:ascii="Arial" w:hAnsi="Arial" w:cs="Arial"/>
          <w:b/>
          <w:sz w:val="24"/>
        </w:rPr>
      </w:pPr>
      <w:r w:rsidRPr="009E4798">
        <w:rPr>
          <w:rFonts w:ascii="Arial" w:hAnsi="Arial" w:cs="Arial"/>
          <w:b/>
          <w:sz w:val="24"/>
        </w:rPr>
        <w:lastRenderedPageBreak/>
        <w:t>P</w:t>
      </w:r>
      <w:r w:rsidR="00E31B04">
        <w:rPr>
          <w:rFonts w:ascii="Arial" w:hAnsi="Arial" w:cs="Arial"/>
          <w:b/>
          <w:sz w:val="24"/>
        </w:rPr>
        <w:t>ROJECT MANAGEMENT AND COMMUNICATION</w:t>
      </w:r>
    </w:p>
    <w:p w14:paraId="7CCB2EC9" w14:textId="6CE1952F" w:rsidR="009E4798" w:rsidRDefault="009E4798" w:rsidP="00CC50F4">
      <w:pPr>
        <w:pStyle w:val="ListParagraph"/>
        <w:numPr>
          <w:ilvl w:val="0"/>
          <w:numId w:val="10"/>
        </w:numPr>
        <w:ind w:left="709" w:hanging="425"/>
        <w:rPr>
          <w:rFonts w:ascii="Arial" w:hAnsi="Arial" w:cs="Arial"/>
        </w:rPr>
      </w:pPr>
      <w:r w:rsidRPr="009E4798">
        <w:rPr>
          <w:rFonts w:ascii="Arial" w:hAnsi="Arial" w:cs="Arial"/>
        </w:rPr>
        <w:t xml:space="preserve">The commission will need to be delivered in line with the </w:t>
      </w:r>
      <w:r w:rsidRPr="00862B10">
        <w:rPr>
          <w:rFonts w:ascii="Arial" w:hAnsi="Arial" w:cs="Arial"/>
        </w:rPr>
        <w:t>outlined timetable.</w:t>
      </w:r>
      <w:r w:rsidRPr="009E4798">
        <w:rPr>
          <w:rFonts w:ascii="Arial" w:hAnsi="Arial" w:cs="Arial"/>
        </w:rPr>
        <w:t xml:space="preserve">  </w:t>
      </w:r>
      <w:r>
        <w:rPr>
          <w:rFonts w:ascii="Arial" w:hAnsi="Arial" w:cs="Arial"/>
        </w:rPr>
        <w:t>E</w:t>
      </w:r>
      <w:r w:rsidRPr="009E4798">
        <w:rPr>
          <w:rFonts w:ascii="Arial" w:hAnsi="Arial" w:cs="Arial"/>
        </w:rPr>
        <w:t xml:space="preserve">xcellent project, time management, proofing and quality control skills will be needed. Consultants will therefore need to demonstrate that they have the capacity as well as the expertise to deliver. They will need to provide a clear plan for the rapid delivery of robust outputs in line with this specification and draw on their own expertise and experience to ensure all the critical elements of the specification are delivered. </w:t>
      </w:r>
    </w:p>
    <w:p w14:paraId="68C2272F" w14:textId="77777777" w:rsidR="009E4798" w:rsidRPr="009E4798" w:rsidRDefault="009E4798" w:rsidP="009E4798">
      <w:pPr>
        <w:pStyle w:val="ListParagraph"/>
        <w:rPr>
          <w:rFonts w:ascii="Arial" w:hAnsi="Arial" w:cs="Arial"/>
        </w:rPr>
      </w:pPr>
    </w:p>
    <w:p w14:paraId="6FE0EE09" w14:textId="43409284" w:rsidR="009E4798" w:rsidRDefault="00D56938" w:rsidP="00CC50F4">
      <w:pPr>
        <w:pStyle w:val="ListParagraph"/>
        <w:numPr>
          <w:ilvl w:val="0"/>
          <w:numId w:val="10"/>
        </w:numPr>
        <w:ind w:left="709" w:hanging="425"/>
        <w:rPr>
          <w:rFonts w:ascii="Arial" w:hAnsi="Arial" w:cs="Arial"/>
        </w:rPr>
      </w:pPr>
      <w:r w:rsidRPr="00A77EAA">
        <w:rPr>
          <w:rFonts w:ascii="Arial" w:hAnsi="Arial" w:cs="Arial"/>
        </w:rPr>
        <w:t>The Council will nominate a lead officer to have overall management of the commission, supported by an internal working group (from its Planning Policy section supported by officers from other Council departments</w:t>
      </w:r>
      <w:r w:rsidRPr="002559F9">
        <w:rPr>
          <w:rFonts w:ascii="Arial" w:hAnsi="Arial" w:cs="Arial"/>
        </w:rPr>
        <w:t>).</w:t>
      </w:r>
      <w:r w:rsidRPr="009E4798">
        <w:t xml:space="preserve"> </w:t>
      </w:r>
      <w:r w:rsidR="009E4798" w:rsidRPr="009E4798">
        <w:rPr>
          <w:rFonts w:ascii="Arial" w:hAnsi="Arial" w:cs="Arial"/>
        </w:rPr>
        <w:t xml:space="preserve">The consultant is required to nominate </w:t>
      </w:r>
      <w:r w:rsidR="009E4798">
        <w:rPr>
          <w:rFonts w:ascii="Arial" w:hAnsi="Arial" w:cs="Arial"/>
        </w:rPr>
        <w:t xml:space="preserve">a </w:t>
      </w:r>
      <w:r w:rsidR="009E4798" w:rsidRPr="009E4798">
        <w:rPr>
          <w:rFonts w:ascii="Arial" w:hAnsi="Arial" w:cs="Arial"/>
        </w:rPr>
        <w:t xml:space="preserve">senior person to be in overall charge of the study with whom the Council shall </w:t>
      </w:r>
      <w:r w:rsidR="009E4798">
        <w:rPr>
          <w:rFonts w:ascii="Arial" w:hAnsi="Arial" w:cs="Arial"/>
        </w:rPr>
        <w:t xml:space="preserve">liaise as the main point of contact.  </w:t>
      </w:r>
    </w:p>
    <w:p w14:paraId="2318C835" w14:textId="77777777" w:rsidR="009E4798" w:rsidRPr="009E4798" w:rsidRDefault="009E4798" w:rsidP="009E4798">
      <w:pPr>
        <w:pStyle w:val="ListParagraph"/>
        <w:rPr>
          <w:rFonts w:ascii="Arial" w:hAnsi="Arial" w:cs="Arial"/>
        </w:rPr>
      </w:pPr>
    </w:p>
    <w:p w14:paraId="4B22B71F" w14:textId="3431A703" w:rsidR="00A77EAA" w:rsidRPr="009E4798" w:rsidRDefault="00EA3107" w:rsidP="00CC50F4">
      <w:pPr>
        <w:pStyle w:val="ListParagraph"/>
        <w:numPr>
          <w:ilvl w:val="0"/>
          <w:numId w:val="10"/>
        </w:numPr>
        <w:ind w:left="709" w:hanging="425"/>
        <w:rPr>
          <w:rFonts w:ascii="Arial" w:hAnsi="Arial" w:cs="Arial"/>
        </w:rPr>
      </w:pPr>
      <w:r w:rsidRPr="009E4798">
        <w:rPr>
          <w:rFonts w:ascii="Arial" w:hAnsi="Arial" w:cs="Arial"/>
        </w:rPr>
        <w:t>The consultant will keep the Council’s project manager informed at all stages of the study and should provide a regular flow of information on the progress of the project against the timetable, any issues or difficulties arising, and proposals for their resolution, including details of their effect on the timetable.</w:t>
      </w:r>
      <w:r w:rsidR="009E4798" w:rsidRPr="009E4798">
        <w:t xml:space="preserve"> </w:t>
      </w:r>
      <w:r w:rsidR="009E4798" w:rsidRPr="009E4798">
        <w:rPr>
          <w:rFonts w:ascii="Arial" w:hAnsi="Arial" w:cs="Arial"/>
        </w:rPr>
        <w:t>Project risks and mitigation will be identified and escalated.</w:t>
      </w:r>
    </w:p>
    <w:p w14:paraId="0DD80737" w14:textId="77777777" w:rsidR="00A77EAA" w:rsidRPr="00A77EAA" w:rsidRDefault="00A77EAA" w:rsidP="00A77EAA">
      <w:pPr>
        <w:pStyle w:val="ListParagraph"/>
        <w:rPr>
          <w:rFonts w:ascii="Arial" w:hAnsi="Arial" w:cs="Arial"/>
        </w:rPr>
      </w:pPr>
    </w:p>
    <w:p w14:paraId="23201582" w14:textId="48BA6ED4" w:rsidR="009E4798" w:rsidRDefault="00A77EAA" w:rsidP="00CC50F4">
      <w:pPr>
        <w:pStyle w:val="ListParagraph"/>
        <w:numPr>
          <w:ilvl w:val="0"/>
          <w:numId w:val="10"/>
        </w:numPr>
        <w:ind w:left="709" w:hanging="425"/>
        <w:rPr>
          <w:rFonts w:ascii="Arial" w:hAnsi="Arial" w:cs="Arial"/>
        </w:rPr>
      </w:pPr>
      <w:r w:rsidRPr="00A77EAA">
        <w:rPr>
          <w:rFonts w:ascii="Arial" w:hAnsi="Arial" w:cs="Arial"/>
        </w:rPr>
        <w:t>The consultant’s approach to data protection is required. At minimum, the consultant should ensure that it satisfies any legal requirements.</w:t>
      </w:r>
    </w:p>
    <w:p w14:paraId="6C7E3AED" w14:textId="77777777" w:rsidR="009E4798" w:rsidRPr="009E4798" w:rsidRDefault="009E4798" w:rsidP="009E4798">
      <w:pPr>
        <w:pStyle w:val="ListParagraph"/>
        <w:rPr>
          <w:rFonts w:ascii="Arial" w:hAnsi="Arial" w:cs="Arial"/>
        </w:rPr>
      </w:pPr>
    </w:p>
    <w:p w14:paraId="18F49F48" w14:textId="77777777" w:rsidR="00694269" w:rsidRDefault="009E4798" w:rsidP="00CC50F4">
      <w:pPr>
        <w:pStyle w:val="ListParagraph"/>
        <w:numPr>
          <w:ilvl w:val="0"/>
          <w:numId w:val="10"/>
        </w:numPr>
        <w:ind w:left="709" w:hanging="425"/>
        <w:rPr>
          <w:rFonts w:ascii="Arial" w:hAnsi="Arial" w:cs="Arial"/>
        </w:rPr>
      </w:pPr>
      <w:r w:rsidRPr="006D3B27">
        <w:rPr>
          <w:rFonts w:ascii="Arial" w:hAnsi="Arial" w:cs="Arial"/>
        </w:rPr>
        <w:t xml:space="preserve">Communications will mainly be by email and MS Teams video conferencing. </w:t>
      </w:r>
      <w:r w:rsidR="006D3B27" w:rsidRPr="006D3B27">
        <w:rPr>
          <w:rFonts w:ascii="Arial" w:hAnsi="Arial" w:cs="Arial"/>
        </w:rPr>
        <w:t>Meetings will be either in person at the Council offices</w:t>
      </w:r>
      <w:r w:rsidR="00694269">
        <w:rPr>
          <w:rFonts w:ascii="Arial" w:hAnsi="Arial" w:cs="Arial"/>
        </w:rPr>
        <w:t xml:space="preserve"> in Swindon</w:t>
      </w:r>
      <w:r w:rsidR="006D3B27" w:rsidRPr="006D3B27">
        <w:rPr>
          <w:rFonts w:ascii="Arial" w:hAnsi="Arial" w:cs="Arial"/>
        </w:rPr>
        <w:t xml:space="preserve"> and via MS Teams. </w:t>
      </w:r>
      <w:r w:rsidR="00694269">
        <w:rPr>
          <w:rFonts w:ascii="Arial" w:hAnsi="Arial" w:cs="Arial"/>
        </w:rPr>
        <w:t>Other</w:t>
      </w:r>
      <w:r w:rsidR="00694269" w:rsidRPr="00694269">
        <w:rPr>
          <w:rFonts w:ascii="Arial" w:hAnsi="Arial" w:cs="Arial"/>
        </w:rPr>
        <w:t xml:space="preserve"> </w:t>
      </w:r>
      <w:r w:rsidR="00694269">
        <w:rPr>
          <w:rFonts w:ascii="Arial" w:hAnsi="Arial" w:cs="Arial"/>
        </w:rPr>
        <w:t>attendance in</w:t>
      </w:r>
      <w:r w:rsidR="00694269" w:rsidRPr="00694269">
        <w:rPr>
          <w:rFonts w:ascii="Arial" w:hAnsi="Arial" w:cs="Arial"/>
        </w:rPr>
        <w:t xml:space="preserve"> </w:t>
      </w:r>
      <w:r w:rsidR="00694269">
        <w:rPr>
          <w:rFonts w:ascii="Arial" w:hAnsi="Arial" w:cs="Arial"/>
        </w:rPr>
        <w:t>Swindon</w:t>
      </w:r>
      <w:r w:rsidR="00694269" w:rsidRPr="00694269">
        <w:rPr>
          <w:rFonts w:ascii="Arial" w:hAnsi="Arial" w:cs="Arial"/>
        </w:rPr>
        <w:t xml:space="preserve"> may be required for events</w:t>
      </w:r>
      <w:r w:rsidR="00694269">
        <w:rPr>
          <w:rFonts w:ascii="Arial" w:hAnsi="Arial" w:cs="Arial"/>
        </w:rPr>
        <w:t xml:space="preserve"> </w:t>
      </w:r>
      <w:r w:rsidR="00694269" w:rsidRPr="00694269">
        <w:rPr>
          <w:rFonts w:ascii="Arial" w:hAnsi="Arial" w:cs="Arial"/>
        </w:rPr>
        <w:t>and workshops</w:t>
      </w:r>
      <w:r w:rsidR="00694269">
        <w:rPr>
          <w:rFonts w:ascii="Arial" w:hAnsi="Arial" w:cs="Arial"/>
        </w:rPr>
        <w:t>.</w:t>
      </w:r>
    </w:p>
    <w:p w14:paraId="7B8F414E" w14:textId="77777777" w:rsidR="00694269" w:rsidRPr="00694269" w:rsidRDefault="00694269" w:rsidP="00694269">
      <w:pPr>
        <w:pStyle w:val="ListParagraph"/>
        <w:rPr>
          <w:rFonts w:ascii="Arial" w:hAnsi="Arial" w:cs="Arial"/>
        </w:rPr>
      </w:pPr>
    </w:p>
    <w:p w14:paraId="313A5D2A" w14:textId="668FC41E" w:rsidR="009E4798" w:rsidRPr="00694269" w:rsidRDefault="00A77EAA" w:rsidP="00CC50F4">
      <w:pPr>
        <w:pStyle w:val="ListParagraph"/>
        <w:numPr>
          <w:ilvl w:val="0"/>
          <w:numId w:val="10"/>
        </w:numPr>
        <w:ind w:left="709" w:hanging="425"/>
        <w:rPr>
          <w:rFonts w:ascii="Arial" w:hAnsi="Arial" w:cs="Arial"/>
        </w:rPr>
      </w:pPr>
      <w:r w:rsidRPr="00694269">
        <w:rPr>
          <w:rFonts w:ascii="Arial" w:hAnsi="Arial" w:cs="Arial"/>
        </w:rPr>
        <w:t xml:space="preserve">The commission will require the consultant team to familiarise themselves with the geography and key aspects of the spatial area. This is </w:t>
      </w:r>
      <w:r w:rsidR="00D56938">
        <w:rPr>
          <w:rFonts w:ascii="Arial" w:hAnsi="Arial" w:cs="Arial"/>
        </w:rPr>
        <w:t>likely to</w:t>
      </w:r>
      <w:r w:rsidRPr="00694269">
        <w:rPr>
          <w:rFonts w:ascii="Arial" w:hAnsi="Arial" w:cs="Arial"/>
        </w:rPr>
        <w:t xml:space="preserve"> involve area and site visits. </w:t>
      </w:r>
    </w:p>
    <w:p w14:paraId="335FB36A" w14:textId="77777777" w:rsidR="00A23F17" w:rsidRPr="00A23F17" w:rsidRDefault="00A23F17" w:rsidP="00A23F17">
      <w:pPr>
        <w:pStyle w:val="ListParagraph"/>
        <w:rPr>
          <w:rFonts w:ascii="Arial" w:hAnsi="Arial" w:cs="Arial"/>
        </w:rPr>
      </w:pPr>
    </w:p>
    <w:p w14:paraId="2AD15427" w14:textId="290600E4" w:rsidR="00A23F17" w:rsidRPr="00A23F17" w:rsidRDefault="00E31B04" w:rsidP="00A23F17">
      <w:pPr>
        <w:rPr>
          <w:rFonts w:ascii="Arial" w:hAnsi="Arial" w:cs="Arial"/>
          <w:b/>
          <w:sz w:val="24"/>
        </w:rPr>
      </w:pPr>
      <w:r>
        <w:rPr>
          <w:rFonts w:ascii="Arial" w:hAnsi="Arial" w:cs="Arial"/>
          <w:b/>
          <w:sz w:val="24"/>
        </w:rPr>
        <w:t xml:space="preserve">TRADE ASSOCIATIONS /MEMBERSHIPS / QUALIFICATIONS </w:t>
      </w:r>
    </w:p>
    <w:p w14:paraId="12C50158" w14:textId="7569BBFC" w:rsidR="00A23F17" w:rsidRPr="00A23F17" w:rsidRDefault="00A23F17" w:rsidP="00CC50F4">
      <w:pPr>
        <w:pStyle w:val="ListParagraph"/>
        <w:numPr>
          <w:ilvl w:val="0"/>
          <w:numId w:val="10"/>
        </w:numPr>
        <w:ind w:left="851" w:hanging="567"/>
        <w:rPr>
          <w:rFonts w:ascii="Arial" w:hAnsi="Arial" w:cs="Arial"/>
        </w:rPr>
      </w:pPr>
      <w:r w:rsidRPr="00A23F17">
        <w:rPr>
          <w:rFonts w:ascii="Arial" w:hAnsi="Arial" w:cs="Arial"/>
        </w:rPr>
        <w:t xml:space="preserve">It is expected that the successful consultant team will include individuals with corporate membership of the Royal Town Planning Institute along with any other memberships relevant to </w:t>
      </w:r>
      <w:r w:rsidR="00E31B04">
        <w:rPr>
          <w:rFonts w:ascii="Arial" w:hAnsi="Arial" w:cs="Arial"/>
        </w:rPr>
        <w:t xml:space="preserve">economic commissions including </w:t>
      </w:r>
      <w:r w:rsidR="00D56938">
        <w:rPr>
          <w:rFonts w:ascii="Arial" w:hAnsi="Arial" w:cs="Arial"/>
        </w:rPr>
        <w:t>Institute for Economic Development (</w:t>
      </w:r>
      <w:r w:rsidR="00E31B04">
        <w:rPr>
          <w:rFonts w:ascii="Arial" w:hAnsi="Arial" w:cs="Arial"/>
        </w:rPr>
        <w:t>IED</w:t>
      </w:r>
      <w:r w:rsidR="00D56938">
        <w:rPr>
          <w:rFonts w:ascii="Arial" w:hAnsi="Arial" w:cs="Arial"/>
        </w:rPr>
        <w:t>)</w:t>
      </w:r>
      <w:r w:rsidR="006A7D79">
        <w:rPr>
          <w:rFonts w:ascii="Arial" w:hAnsi="Arial" w:cs="Arial"/>
        </w:rPr>
        <w:t xml:space="preserve"> and Royal Institute of Chartered Surveyors (RICS)</w:t>
      </w:r>
      <w:r w:rsidR="00E31B04">
        <w:rPr>
          <w:rFonts w:ascii="Arial" w:hAnsi="Arial" w:cs="Arial"/>
        </w:rPr>
        <w:t xml:space="preserve">. </w:t>
      </w:r>
      <w:r w:rsidR="00835C5A">
        <w:rPr>
          <w:rFonts w:ascii="Arial" w:hAnsi="Arial" w:cs="Arial"/>
        </w:rPr>
        <w:t>It is however, not a pass or fail criteria on the tender evaluation.</w:t>
      </w:r>
    </w:p>
    <w:p w14:paraId="2C0E6975" w14:textId="77777777" w:rsidR="009E4798" w:rsidRPr="009E4798" w:rsidRDefault="009E4798" w:rsidP="009E4798">
      <w:pPr>
        <w:pStyle w:val="ListParagraph"/>
        <w:rPr>
          <w:rFonts w:ascii="Arial" w:hAnsi="Arial" w:cs="Arial"/>
        </w:rPr>
      </w:pPr>
    </w:p>
    <w:p w14:paraId="66998EF6" w14:textId="08743CE7" w:rsidR="009E4798" w:rsidRPr="009E4798" w:rsidRDefault="009E4798" w:rsidP="009E4798">
      <w:pPr>
        <w:rPr>
          <w:rFonts w:ascii="Arial" w:hAnsi="Arial" w:cs="Arial"/>
          <w:b/>
          <w:sz w:val="20"/>
        </w:rPr>
      </w:pPr>
      <w:r w:rsidRPr="009E4798">
        <w:rPr>
          <w:rFonts w:ascii="Arial" w:hAnsi="Arial" w:cs="Arial"/>
          <w:b/>
          <w:sz w:val="24"/>
        </w:rPr>
        <w:t>C</w:t>
      </w:r>
      <w:r w:rsidR="00E31B04">
        <w:rPr>
          <w:rFonts w:ascii="Arial" w:hAnsi="Arial" w:cs="Arial"/>
          <w:b/>
          <w:sz w:val="24"/>
        </w:rPr>
        <w:t>ONFLICTS OF INTEREST</w:t>
      </w:r>
    </w:p>
    <w:p w14:paraId="2714F165" w14:textId="77777777" w:rsidR="009E4798" w:rsidRPr="009E4798" w:rsidRDefault="009E4798" w:rsidP="009E4798">
      <w:pPr>
        <w:pStyle w:val="ListParagraph"/>
        <w:rPr>
          <w:rFonts w:ascii="Arial" w:hAnsi="Arial" w:cs="Arial"/>
        </w:rPr>
      </w:pPr>
    </w:p>
    <w:p w14:paraId="15EE6C1B" w14:textId="76B5FC41" w:rsidR="00E463F0" w:rsidRDefault="009E4798" w:rsidP="00CC50F4">
      <w:pPr>
        <w:pStyle w:val="ListParagraph"/>
        <w:numPr>
          <w:ilvl w:val="0"/>
          <w:numId w:val="10"/>
        </w:numPr>
        <w:ind w:left="851" w:hanging="567"/>
        <w:rPr>
          <w:rFonts w:ascii="Arial" w:hAnsi="Arial" w:cs="Arial"/>
        </w:rPr>
      </w:pPr>
      <w:r w:rsidRPr="009E4798">
        <w:rPr>
          <w:rFonts w:ascii="Arial" w:hAnsi="Arial" w:cs="Arial"/>
        </w:rPr>
        <w:t>The consultant will be required to demonstrate that undertaking the study will not result in, or cause any conflicts of interest. In particular, attention should be drawn to the possibility of the consultant or any sub-consultant making representations or undertaking related work for objectors during any of the Council’s Local Plan processes.</w:t>
      </w:r>
    </w:p>
    <w:p w14:paraId="6D7AE992" w14:textId="757E53B0" w:rsidR="00E463F0" w:rsidRPr="00EE23F1" w:rsidRDefault="00E463F0" w:rsidP="00EE23F1">
      <w:pPr>
        <w:rPr>
          <w:rFonts w:ascii="Arial" w:hAnsi="Arial" w:cs="Arial"/>
          <w:b/>
          <w:sz w:val="24"/>
        </w:rPr>
      </w:pPr>
      <w:r w:rsidRPr="00EE23F1">
        <w:rPr>
          <w:rFonts w:ascii="Arial" w:hAnsi="Arial" w:cs="Arial"/>
          <w:b/>
          <w:sz w:val="24"/>
        </w:rPr>
        <w:t>T</w:t>
      </w:r>
      <w:r w:rsidR="00E31B04">
        <w:rPr>
          <w:rFonts w:ascii="Arial" w:hAnsi="Arial" w:cs="Arial"/>
          <w:b/>
          <w:sz w:val="24"/>
        </w:rPr>
        <w:t>IMESCALES</w:t>
      </w:r>
      <w:r w:rsidRPr="00EE23F1">
        <w:rPr>
          <w:rFonts w:ascii="Arial" w:hAnsi="Arial" w:cs="Arial"/>
          <w:b/>
          <w:sz w:val="24"/>
        </w:rPr>
        <w:t xml:space="preserve"> </w:t>
      </w:r>
    </w:p>
    <w:p w14:paraId="24F019CF" w14:textId="35669F6F" w:rsidR="00160EE0" w:rsidRPr="00835C5A" w:rsidRDefault="00EE23F1" w:rsidP="00CC50F4">
      <w:pPr>
        <w:pStyle w:val="ListParagraph"/>
        <w:numPr>
          <w:ilvl w:val="0"/>
          <w:numId w:val="10"/>
        </w:numPr>
        <w:ind w:left="851" w:hanging="567"/>
        <w:rPr>
          <w:rFonts w:ascii="Arial" w:eastAsia="Times New Roman" w:hAnsi="Arial" w:cs="Times New Roman"/>
          <w:szCs w:val="20"/>
          <w:lang w:eastAsia="en-GB"/>
        </w:rPr>
      </w:pPr>
      <w:r w:rsidRPr="00EE23F1">
        <w:rPr>
          <w:rFonts w:ascii="Arial" w:eastAsia="Times New Roman" w:hAnsi="Arial" w:cs="Times New Roman"/>
          <w:szCs w:val="20"/>
          <w:lang w:eastAsia="en-GB"/>
        </w:rPr>
        <w:lastRenderedPageBreak/>
        <w:t xml:space="preserve">Full timescales including </w:t>
      </w:r>
      <w:r>
        <w:rPr>
          <w:rFonts w:ascii="Arial" w:eastAsia="Times New Roman" w:hAnsi="Arial" w:cs="Times New Roman"/>
          <w:szCs w:val="20"/>
          <w:lang w:eastAsia="en-GB"/>
        </w:rPr>
        <w:t xml:space="preserve">those relating to the submission and evaluation of tenders and the awarding of the contract are set out below as a best estimate:   </w:t>
      </w:r>
    </w:p>
    <w:p w14:paraId="5A11BCE0" w14:textId="77777777" w:rsidR="00E463F0" w:rsidRPr="00E463F0" w:rsidRDefault="00E463F0" w:rsidP="00E463F0">
      <w:pPr>
        <w:spacing w:after="0" w:line="276" w:lineRule="auto"/>
        <w:ind w:left="786"/>
        <w:jc w:val="both"/>
        <w:rPr>
          <w:rFonts w:ascii="Arial" w:eastAsia="Times New Roman" w:hAnsi="Arial" w:cs="Times New Roman"/>
          <w:sz w:val="24"/>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4"/>
      </w:tblGrid>
      <w:tr w:rsidR="00E463F0" w:rsidRPr="00862B10" w14:paraId="4FEEC7E6" w14:textId="77777777" w:rsidTr="00735B71">
        <w:tc>
          <w:tcPr>
            <w:tcW w:w="3969" w:type="dxa"/>
            <w:shd w:val="clear" w:color="auto" w:fill="BFBFBF"/>
          </w:tcPr>
          <w:p w14:paraId="7587B078" w14:textId="77777777" w:rsidR="00E463F0" w:rsidRPr="008C371B" w:rsidRDefault="00E463F0" w:rsidP="00E463F0">
            <w:pPr>
              <w:spacing w:after="0" w:line="240" w:lineRule="auto"/>
              <w:rPr>
                <w:rFonts w:ascii="Arial" w:eastAsia="Times New Roman" w:hAnsi="Arial" w:cs="Arial"/>
                <w:b/>
                <w:lang w:eastAsia="en-GB"/>
              </w:rPr>
            </w:pPr>
            <w:r w:rsidRPr="008C371B">
              <w:rPr>
                <w:rFonts w:ascii="Arial" w:eastAsia="Times New Roman" w:hAnsi="Arial" w:cs="Arial"/>
                <w:b/>
                <w:lang w:eastAsia="en-GB"/>
              </w:rPr>
              <w:t>Step</w:t>
            </w:r>
          </w:p>
        </w:tc>
        <w:tc>
          <w:tcPr>
            <w:tcW w:w="3544" w:type="dxa"/>
            <w:shd w:val="clear" w:color="auto" w:fill="BFBFBF"/>
          </w:tcPr>
          <w:p w14:paraId="7189D64A" w14:textId="77777777" w:rsidR="00E463F0" w:rsidRPr="008C371B" w:rsidRDefault="00E463F0" w:rsidP="00E463F0">
            <w:pPr>
              <w:spacing w:after="0" w:line="240" w:lineRule="auto"/>
              <w:rPr>
                <w:rFonts w:ascii="Arial" w:eastAsia="Times New Roman" w:hAnsi="Arial" w:cs="Arial"/>
                <w:b/>
                <w:lang w:eastAsia="en-GB"/>
              </w:rPr>
            </w:pPr>
            <w:r w:rsidRPr="008C371B">
              <w:rPr>
                <w:rFonts w:ascii="Arial" w:eastAsia="Times New Roman" w:hAnsi="Arial" w:cs="Arial"/>
                <w:b/>
                <w:lang w:eastAsia="en-GB"/>
              </w:rPr>
              <w:t>Date</w:t>
            </w:r>
          </w:p>
        </w:tc>
      </w:tr>
      <w:tr w:rsidR="00160EE0" w:rsidRPr="00862B10" w14:paraId="15AC3FC1" w14:textId="77777777" w:rsidTr="00735B71">
        <w:trPr>
          <w:trHeight w:val="436"/>
        </w:trPr>
        <w:tc>
          <w:tcPr>
            <w:tcW w:w="3969" w:type="dxa"/>
            <w:shd w:val="clear" w:color="auto" w:fill="auto"/>
            <w:vAlign w:val="center"/>
          </w:tcPr>
          <w:p w14:paraId="00B6BC01" w14:textId="6DA04F2E" w:rsidR="00160EE0" w:rsidRPr="008C371B" w:rsidRDefault="00160EE0" w:rsidP="00E463F0">
            <w:pPr>
              <w:spacing w:after="0" w:line="240" w:lineRule="auto"/>
              <w:rPr>
                <w:rFonts w:ascii="Arial" w:eastAsia="Times New Roman" w:hAnsi="Arial" w:cs="Arial"/>
                <w:lang w:eastAsia="en-GB"/>
              </w:rPr>
            </w:pPr>
            <w:r>
              <w:rPr>
                <w:rFonts w:ascii="Arial" w:eastAsia="Times New Roman" w:hAnsi="Arial" w:cs="Arial"/>
                <w:lang w:eastAsia="en-GB"/>
              </w:rPr>
              <w:t>Publication of tender documentation</w:t>
            </w:r>
          </w:p>
        </w:tc>
        <w:tc>
          <w:tcPr>
            <w:tcW w:w="3544" w:type="dxa"/>
            <w:shd w:val="clear" w:color="auto" w:fill="auto"/>
            <w:vAlign w:val="center"/>
          </w:tcPr>
          <w:p w14:paraId="7D57357F" w14:textId="7FF1629A" w:rsidR="00160EE0" w:rsidRPr="00F80C47" w:rsidRDefault="00D56938" w:rsidP="00E463F0">
            <w:pPr>
              <w:spacing w:after="0" w:line="240" w:lineRule="auto"/>
              <w:rPr>
                <w:rFonts w:ascii="Arial" w:eastAsia="Times New Roman" w:hAnsi="Arial" w:cs="Arial"/>
                <w:highlight w:val="yellow"/>
                <w:lang w:eastAsia="en-GB"/>
              </w:rPr>
            </w:pPr>
            <w:r w:rsidRPr="00D56938">
              <w:rPr>
                <w:rFonts w:ascii="Arial" w:eastAsia="Times New Roman" w:hAnsi="Arial" w:cs="Arial"/>
                <w:lang w:eastAsia="en-GB"/>
              </w:rPr>
              <w:t>1</w:t>
            </w:r>
            <w:r w:rsidR="006C1E05">
              <w:rPr>
                <w:rFonts w:ascii="Arial" w:eastAsia="Times New Roman" w:hAnsi="Arial" w:cs="Arial"/>
                <w:lang w:eastAsia="en-GB"/>
              </w:rPr>
              <w:t>7</w:t>
            </w:r>
            <w:r w:rsidRPr="00D56938">
              <w:rPr>
                <w:rFonts w:ascii="Arial" w:eastAsia="Times New Roman" w:hAnsi="Arial" w:cs="Arial"/>
                <w:vertAlign w:val="superscript"/>
                <w:lang w:eastAsia="en-GB"/>
              </w:rPr>
              <w:t>th</w:t>
            </w:r>
            <w:r w:rsidRPr="00D56938">
              <w:rPr>
                <w:rFonts w:ascii="Arial" w:eastAsia="Times New Roman" w:hAnsi="Arial" w:cs="Arial"/>
                <w:lang w:eastAsia="en-GB"/>
              </w:rPr>
              <w:t xml:space="preserve"> May</w:t>
            </w:r>
            <w:r w:rsidR="00160EE0" w:rsidRPr="00D56938">
              <w:rPr>
                <w:rFonts w:ascii="Arial" w:eastAsia="Times New Roman" w:hAnsi="Arial" w:cs="Arial"/>
                <w:lang w:eastAsia="en-GB"/>
              </w:rPr>
              <w:t xml:space="preserve"> 2023</w:t>
            </w:r>
          </w:p>
        </w:tc>
      </w:tr>
      <w:tr w:rsidR="00E463F0" w:rsidRPr="00862B10" w14:paraId="4F41DB3C" w14:textId="77777777" w:rsidTr="00735B71">
        <w:trPr>
          <w:trHeight w:val="436"/>
        </w:trPr>
        <w:tc>
          <w:tcPr>
            <w:tcW w:w="3969" w:type="dxa"/>
            <w:shd w:val="clear" w:color="auto" w:fill="auto"/>
            <w:vAlign w:val="center"/>
          </w:tcPr>
          <w:p w14:paraId="16779581" w14:textId="0FF09CA3" w:rsidR="00E463F0" w:rsidRPr="008C371B" w:rsidRDefault="00DA6294" w:rsidP="00E463F0">
            <w:pPr>
              <w:spacing w:after="0" w:line="240" w:lineRule="auto"/>
              <w:rPr>
                <w:rFonts w:ascii="Arial" w:eastAsia="Times New Roman" w:hAnsi="Arial" w:cs="Arial"/>
                <w:lang w:eastAsia="en-GB"/>
              </w:rPr>
            </w:pPr>
            <w:r w:rsidRPr="008C371B">
              <w:rPr>
                <w:rFonts w:ascii="Arial" w:eastAsia="Times New Roman" w:hAnsi="Arial" w:cs="Arial"/>
                <w:lang w:eastAsia="en-GB"/>
              </w:rPr>
              <w:t>C</w:t>
            </w:r>
            <w:r w:rsidR="00E463F0" w:rsidRPr="008C371B">
              <w:rPr>
                <w:rFonts w:ascii="Arial" w:eastAsia="Times New Roman" w:hAnsi="Arial" w:cs="Arial"/>
                <w:lang w:eastAsia="en-GB"/>
              </w:rPr>
              <w:t>larification questions deadline</w:t>
            </w:r>
          </w:p>
        </w:tc>
        <w:tc>
          <w:tcPr>
            <w:tcW w:w="3544" w:type="dxa"/>
            <w:shd w:val="clear" w:color="auto" w:fill="auto"/>
            <w:vAlign w:val="center"/>
          </w:tcPr>
          <w:p w14:paraId="04AF2C44" w14:textId="4E065F83" w:rsidR="00E463F0" w:rsidRPr="00F80C47" w:rsidRDefault="00012D8D" w:rsidP="00E463F0">
            <w:pPr>
              <w:spacing w:after="0" w:line="240" w:lineRule="auto"/>
              <w:rPr>
                <w:rFonts w:ascii="Arial" w:eastAsia="Times New Roman" w:hAnsi="Arial" w:cs="Arial"/>
                <w:highlight w:val="yellow"/>
                <w:lang w:eastAsia="en-GB"/>
              </w:rPr>
            </w:pPr>
            <w:r w:rsidRPr="00012D8D">
              <w:rPr>
                <w:rFonts w:ascii="Arial" w:eastAsia="Times New Roman" w:hAnsi="Arial" w:cs="Arial"/>
                <w:lang w:eastAsia="en-GB"/>
              </w:rPr>
              <w:t>26</w:t>
            </w:r>
            <w:r w:rsidRPr="00012D8D">
              <w:rPr>
                <w:rFonts w:ascii="Arial" w:eastAsia="Times New Roman" w:hAnsi="Arial" w:cs="Arial"/>
                <w:vertAlign w:val="superscript"/>
                <w:lang w:eastAsia="en-GB"/>
              </w:rPr>
              <w:t>th</w:t>
            </w:r>
            <w:r w:rsidRPr="00012D8D">
              <w:rPr>
                <w:rFonts w:ascii="Arial" w:eastAsia="Times New Roman" w:hAnsi="Arial" w:cs="Arial"/>
                <w:lang w:eastAsia="en-GB"/>
              </w:rPr>
              <w:t xml:space="preserve"> May</w:t>
            </w:r>
            <w:r w:rsidR="00160EE0" w:rsidRPr="00012D8D">
              <w:rPr>
                <w:rFonts w:ascii="Arial" w:eastAsia="Times New Roman" w:hAnsi="Arial" w:cs="Arial"/>
                <w:lang w:eastAsia="en-GB"/>
              </w:rPr>
              <w:t xml:space="preserve"> 2023</w:t>
            </w:r>
            <w:r w:rsidR="001D028B">
              <w:rPr>
                <w:rFonts w:ascii="Arial" w:eastAsia="Times New Roman" w:hAnsi="Arial" w:cs="Arial"/>
                <w:lang w:eastAsia="en-GB"/>
              </w:rPr>
              <w:t xml:space="preserve"> 17:00 hrs</w:t>
            </w:r>
          </w:p>
        </w:tc>
      </w:tr>
      <w:tr w:rsidR="00E463F0" w:rsidRPr="00862B10" w14:paraId="6DD7DF1D" w14:textId="77777777" w:rsidTr="00735B71">
        <w:trPr>
          <w:trHeight w:val="414"/>
        </w:trPr>
        <w:tc>
          <w:tcPr>
            <w:tcW w:w="3969" w:type="dxa"/>
            <w:shd w:val="clear" w:color="auto" w:fill="auto"/>
            <w:vAlign w:val="center"/>
          </w:tcPr>
          <w:p w14:paraId="2C845EEB" w14:textId="5532A025" w:rsidR="00E463F0" w:rsidRPr="008C371B" w:rsidRDefault="00DA6294" w:rsidP="00E463F0">
            <w:pPr>
              <w:spacing w:after="0" w:line="240" w:lineRule="auto"/>
              <w:rPr>
                <w:rFonts w:ascii="Arial" w:eastAsia="Times New Roman" w:hAnsi="Arial" w:cs="Arial"/>
                <w:lang w:eastAsia="en-GB"/>
              </w:rPr>
            </w:pPr>
            <w:r w:rsidRPr="008C371B">
              <w:rPr>
                <w:rFonts w:ascii="Arial" w:eastAsia="Times New Roman" w:hAnsi="Arial" w:cs="Arial"/>
                <w:lang w:eastAsia="en-GB"/>
              </w:rPr>
              <w:t>Response to clarification questions</w:t>
            </w:r>
          </w:p>
        </w:tc>
        <w:tc>
          <w:tcPr>
            <w:tcW w:w="3544" w:type="dxa"/>
            <w:shd w:val="clear" w:color="auto" w:fill="auto"/>
            <w:vAlign w:val="center"/>
          </w:tcPr>
          <w:p w14:paraId="6D3A3A34" w14:textId="7D65ABC7" w:rsidR="00E463F0" w:rsidRPr="00012D8D" w:rsidRDefault="00012D8D" w:rsidP="00E463F0">
            <w:pPr>
              <w:spacing w:after="0" w:line="240" w:lineRule="auto"/>
              <w:rPr>
                <w:rFonts w:ascii="Arial" w:eastAsia="Times New Roman" w:hAnsi="Arial" w:cs="Arial"/>
                <w:lang w:eastAsia="en-GB"/>
              </w:rPr>
            </w:pPr>
            <w:r w:rsidRPr="00012D8D">
              <w:rPr>
                <w:rFonts w:ascii="Arial" w:eastAsia="Times New Roman" w:hAnsi="Arial" w:cs="Arial"/>
                <w:lang w:eastAsia="en-GB"/>
              </w:rPr>
              <w:t>31</w:t>
            </w:r>
            <w:r w:rsidRPr="00012D8D">
              <w:rPr>
                <w:rFonts w:ascii="Arial" w:eastAsia="Times New Roman" w:hAnsi="Arial" w:cs="Arial"/>
                <w:vertAlign w:val="superscript"/>
                <w:lang w:eastAsia="en-GB"/>
              </w:rPr>
              <w:t>st</w:t>
            </w:r>
            <w:r w:rsidRPr="00012D8D">
              <w:rPr>
                <w:rFonts w:ascii="Arial" w:eastAsia="Times New Roman" w:hAnsi="Arial" w:cs="Arial"/>
                <w:lang w:eastAsia="en-GB"/>
              </w:rPr>
              <w:t xml:space="preserve"> May 2023</w:t>
            </w:r>
            <w:r w:rsidR="000626D6">
              <w:rPr>
                <w:rFonts w:ascii="Arial" w:eastAsia="Times New Roman" w:hAnsi="Arial" w:cs="Arial"/>
                <w:lang w:eastAsia="en-GB"/>
              </w:rPr>
              <w:t xml:space="preserve"> </w:t>
            </w:r>
          </w:p>
        </w:tc>
      </w:tr>
      <w:tr w:rsidR="00DA6294" w:rsidRPr="00862B10" w14:paraId="65B55589" w14:textId="77777777" w:rsidTr="00735B71">
        <w:trPr>
          <w:trHeight w:val="414"/>
        </w:trPr>
        <w:tc>
          <w:tcPr>
            <w:tcW w:w="3969" w:type="dxa"/>
            <w:shd w:val="clear" w:color="auto" w:fill="auto"/>
            <w:vAlign w:val="center"/>
          </w:tcPr>
          <w:p w14:paraId="69B95E18" w14:textId="277CD9D4" w:rsidR="00DA6294" w:rsidRPr="008C371B" w:rsidRDefault="00DA6294" w:rsidP="00E463F0">
            <w:pPr>
              <w:spacing w:after="0" w:line="240" w:lineRule="auto"/>
              <w:rPr>
                <w:rFonts w:ascii="Arial" w:eastAsia="Times New Roman" w:hAnsi="Arial" w:cs="Arial"/>
                <w:lang w:eastAsia="en-GB"/>
              </w:rPr>
            </w:pPr>
            <w:r w:rsidRPr="008C371B">
              <w:rPr>
                <w:rFonts w:ascii="Arial" w:eastAsia="Times New Roman" w:hAnsi="Arial" w:cs="Arial"/>
                <w:lang w:eastAsia="en-GB"/>
              </w:rPr>
              <w:t>Tender submission deadline</w:t>
            </w:r>
          </w:p>
        </w:tc>
        <w:tc>
          <w:tcPr>
            <w:tcW w:w="3544" w:type="dxa"/>
            <w:shd w:val="clear" w:color="auto" w:fill="auto"/>
            <w:vAlign w:val="center"/>
          </w:tcPr>
          <w:p w14:paraId="075BBEDA" w14:textId="14D1F7D7" w:rsidR="00DA6294" w:rsidRPr="00F80C47" w:rsidRDefault="00D56938" w:rsidP="00E463F0">
            <w:pPr>
              <w:spacing w:after="0" w:line="240" w:lineRule="auto"/>
              <w:rPr>
                <w:rFonts w:ascii="Arial" w:eastAsia="Times New Roman" w:hAnsi="Arial" w:cs="Arial"/>
                <w:highlight w:val="yellow"/>
                <w:lang w:eastAsia="en-GB"/>
              </w:rPr>
            </w:pPr>
            <w:r w:rsidRPr="00D56938">
              <w:rPr>
                <w:rFonts w:ascii="Arial" w:eastAsia="Times New Roman" w:hAnsi="Arial" w:cs="Arial"/>
                <w:lang w:eastAsia="en-GB"/>
              </w:rPr>
              <w:t>16</w:t>
            </w:r>
            <w:r w:rsidRPr="00D56938">
              <w:rPr>
                <w:rFonts w:ascii="Arial" w:eastAsia="Times New Roman" w:hAnsi="Arial" w:cs="Arial"/>
                <w:vertAlign w:val="superscript"/>
                <w:lang w:eastAsia="en-GB"/>
              </w:rPr>
              <w:t>th</w:t>
            </w:r>
            <w:r w:rsidRPr="00D56938">
              <w:rPr>
                <w:rFonts w:ascii="Arial" w:eastAsia="Times New Roman" w:hAnsi="Arial" w:cs="Arial"/>
                <w:lang w:eastAsia="en-GB"/>
              </w:rPr>
              <w:t xml:space="preserve"> June</w:t>
            </w:r>
            <w:r w:rsidR="00DA6294" w:rsidRPr="00D56938">
              <w:rPr>
                <w:rFonts w:ascii="Arial" w:eastAsia="Times New Roman" w:hAnsi="Arial" w:cs="Arial"/>
                <w:lang w:eastAsia="en-GB"/>
              </w:rPr>
              <w:t xml:space="preserve"> 2023 </w:t>
            </w:r>
            <w:r w:rsidRPr="00D56938">
              <w:rPr>
                <w:rFonts w:ascii="Arial" w:eastAsia="Times New Roman" w:hAnsi="Arial" w:cs="Arial"/>
                <w:lang w:eastAsia="en-GB"/>
              </w:rPr>
              <w:t>17</w:t>
            </w:r>
            <w:r w:rsidR="00882C11">
              <w:rPr>
                <w:rFonts w:ascii="Arial" w:eastAsia="Times New Roman" w:hAnsi="Arial" w:cs="Arial"/>
                <w:lang w:eastAsia="en-GB"/>
              </w:rPr>
              <w:t>:</w:t>
            </w:r>
            <w:r w:rsidRPr="00D56938">
              <w:rPr>
                <w:rFonts w:ascii="Arial" w:eastAsia="Times New Roman" w:hAnsi="Arial" w:cs="Arial"/>
                <w:lang w:eastAsia="en-GB"/>
              </w:rPr>
              <w:t>00</w:t>
            </w:r>
            <w:r w:rsidR="00DA6294" w:rsidRPr="00D56938">
              <w:rPr>
                <w:rFonts w:ascii="Arial" w:eastAsia="Times New Roman" w:hAnsi="Arial" w:cs="Arial"/>
                <w:lang w:eastAsia="en-GB"/>
              </w:rPr>
              <w:t>hrs</w:t>
            </w:r>
          </w:p>
        </w:tc>
      </w:tr>
      <w:tr w:rsidR="00E463F0" w:rsidRPr="00862B10" w14:paraId="30837632" w14:textId="77777777" w:rsidTr="00735B71">
        <w:trPr>
          <w:trHeight w:val="419"/>
        </w:trPr>
        <w:tc>
          <w:tcPr>
            <w:tcW w:w="3969" w:type="dxa"/>
            <w:shd w:val="clear" w:color="auto" w:fill="auto"/>
            <w:vAlign w:val="center"/>
          </w:tcPr>
          <w:p w14:paraId="0D97500D" w14:textId="77777777" w:rsidR="00E463F0" w:rsidRPr="008C371B" w:rsidRDefault="00E463F0" w:rsidP="00E463F0">
            <w:pPr>
              <w:spacing w:after="0" w:line="240" w:lineRule="auto"/>
              <w:rPr>
                <w:rFonts w:ascii="Arial" w:eastAsia="Times New Roman" w:hAnsi="Arial" w:cs="Arial"/>
                <w:lang w:eastAsia="en-GB"/>
              </w:rPr>
            </w:pPr>
            <w:r w:rsidRPr="008C371B">
              <w:rPr>
                <w:rFonts w:ascii="Arial" w:eastAsia="Times New Roman" w:hAnsi="Arial" w:cs="Arial"/>
                <w:lang w:eastAsia="en-GB"/>
              </w:rPr>
              <w:t>Evaluation Schedule</w:t>
            </w:r>
          </w:p>
        </w:tc>
        <w:tc>
          <w:tcPr>
            <w:tcW w:w="3544" w:type="dxa"/>
            <w:shd w:val="clear" w:color="auto" w:fill="auto"/>
            <w:vAlign w:val="center"/>
          </w:tcPr>
          <w:p w14:paraId="00E6C796" w14:textId="73D0A8CF" w:rsidR="00E463F0" w:rsidRPr="00F80C47" w:rsidRDefault="00D56938" w:rsidP="00E463F0">
            <w:pPr>
              <w:spacing w:after="0" w:line="240" w:lineRule="auto"/>
              <w:rPr>
                <w:rFonts w:ascii="Arial" w:eastAsia="Times New Roman" w:hAnsi="Arial" w:cs="Arial"/>
                <w:highlight w:val="yellow"/>
                <w:lang w:eastAsia="en-GB"/>
              </w:rPr>
            </w:pPr>
            <w:r w:rsidRPr="00D56938">
              <w:rPr>
                <w:rFonts w:ascii="Arial" w:eastAsia="Times New Roman" w:hAnsi="Arial" w:cs="Arial"/>
                <w:lang w:eastAsia="en-GB"/>
              </w:rPr>
              <w:t>w/c 19</w:t>
            </w:r>
            <w:r w:rsidRPr="00D56938">
              <w:rPr>
                <w:rFonts w:ascii="Arial" w:eastAsia="Times New Roman" w:hAnsi="Arial" w:cs="Arial"/>
                <w:vertAlign w:val="superscript"/>
                <w:lang w:eastAsia="en-GB"/>
              </w:rPr>
              <w:t>th</w:t>
            </w:r>
            <w:r w:rsidRPr="00D56938">
              <w:rPr>
                <w:rFonts w:ascii="Arial" w:eastAsia="Times New Roman" w:hAnsi="Arial" w:cs="Arial"/>
                <w:lang w:eastAsia="en-GB"/>
              </w:rPr>
              <w:t xml:space="preserve"> June 2023</w:t>
            </w:r>
          </w:p>
        </w:tc>
      </w:tr>
      <w:tr w:rsidR="00E463F0" w:rsidRPr="00862B10" w14:paraId="21968DCB" w14:textId="77777777" w:rsidTr="00735B71">
        <w:trPr>
          <w:trHeight w:val="398"/>
        </w:trPr>
        <w:tc>
          <w:tcPr>
            <w:tcW w:w="3969" w:type="dxa"/>
            <w:shd w:val="clear" w:color="auto" w:fill="auto"/>
            <w:vAlign w:val="center"/>
          </w:tcPr>
          <w:p w14:paraId="264DC6CC" w14:textId="0593E95F" w:rsidR="00E463F0" w:rsidRPr="008C371B" w:rsidRDefault="00E463F0" w:rsidP="00E463F0">
            <w:pPr>
              <w:spacing w:after="0" w:line="240" w:lineRule="auto"/>
              <w:rPr>
                <w:rFonts w:ascii="Arial" w:eastAsia="Times New Roman" w:hAnsi="Arial" w:cs="Arial"/>
                <w:lang w:eastAsia="en-GB"/>
              </w:rPr>
            </w:pPr>
            <w:r w:rsidRPr="008C371B">
              <w:rPr>
                <w:rFonts w:ascii="Arial" w:eastAsia="Times New Roman" w:hAnsi="Arial" w:cs="Arial"/>
                <w:lang w:eastAsia="en-GB"/>
              </w:rPr>
              <w:t>Preferred supplier</w:t>
            </w:r>
            <w:r w:rsidR="00906308">
              <w:rPr>
                <w:rFonts w:ascii="Arial" w:eastAsia="Times New Roman" w:hAnsi="Arial" w:cs="Arial"/>
                <w:lang w:eastAsia="en-GB"/>
              </w:rPr>
              <w:t>(s)</w:t>
            </w:r>
            <w:r w:rsidRPr="008C371B">
              <w:rPr>
                <w:rFonts w:ascii="Arial" w:eastAsia="Times New Roman" w:hAnsi="Arial" w:cs="Arial"/>
                <w:lang w:eastAsia="en-GB"/>
              </w:rPr>
              <w:t xml:space="preserve"> selected</w:t>
            </w:r>
          </w:p>
        </w:tc>
        <w:tc>
          <w:tcPr>
            <w:tcW w:w="3544" w:type="dxa"/>
            <w:shd w:val="clear" w:color="auto" w:fill="auto"/>
            <w:vAlign w:val="center"/>
          </w:tcPr>
          <w:p w14:paraId="10D0493E" w14:textId="0B80C4CC" w:rsidR="00E463F0" w:rsidRPr="00F80C47" w:rsidRDefault="00D56938" w:rsidP="00E463F0">
            <w:pPr>
              <w:spacing w:after="0" w:line="240" w:lineRule="auto"/>
              <w:rPr>
                <w:rFonts w:ascii="Arial" w:eastAsia="Times New Roman" w:hAnsi="Arial" w:cs="Arial"/>
                <w:highlight w:val="yellow"/>
                <w:lang w:eastAsia="en-GB"/>
              </w:rPr>
            </w:pPr>
            <w:r w:rsidRPr="00D56938">
              <w:rPr>
                <w:rFonts w:ascii="Arial" w:eastAsia="Times New Roman" w:hAnsi="Arial" w:cs="Arial"/>
                <w:lang w:eastAsia="en-GB"/>
              </w:rPr>
              <w:t>w/c 19</w:t>
            </w:r>
            <w:r w:rsidRPr="00D56938">
              <w:rPr>
                <w:rFonts w:ascii="Arial" w:eastAsia="Times New Roman" w:hAnsi="Arial" w:cs="Arial"/>
                <w:vertAlign w:val="superscript"/>
                <w:lang w:eastAsia="en-GB"/>
              </w:rPr>
              <w:t>th</w:t>
            </w:r>
            <w:r w:rsidRPr="00D56938">
              <w:rPr>
                <w:rFonts w:ascii="Arial" w:eastAsia="Times New Roman" w:hAnsi="Arial" w:cs="Arial"/>
                <w:lang w:eastAsia="en-GB"/>
              </w:rPr>
              <w:t xml:space="preserve"> June 2023</w:t>
            </w:r>
          </w:p>
        </w:tc>
      </w:tr>
      <w:tr w:rsidR="00E463F0" w:rsidRPr="00862B10" w14:paraId="6862E7CC" w14:textId="77777777" w:rsidTr="00735B71">
        <w:trPr>
          <w:trHeight w:val="418"/>
        </w:trPr>
        <w:tc>
          <w:tcPr>
            <w:tcW w:w="3969" w:type="dxa"/>
            <w:shd w:val="clear" w:color="auto" w:fill="auto"/>
            <w:vAlign w:val="center"/>
          </w:tcPr>
          <w:p w14:paraId="27CA560D" w14:textId="2295F5C7" w:rsidR="00E463F0" w:rsidRPr="008C371B" w:rsidRDefault="00E463F0" w:rsidP="00E463F0">
            <w:pPr>
              <w:spacing w:after="0" w:line="240" w:lineRule="auto"/>
              <w:rPr>
                <w:rFonts w:ascii="Arial" w:eastAsia="Times New Roman" w:hAnsi="Arial" w:cs="Arial"/>
                <w:lang w:eastAsia="en-GB"/>
              </w:rPr>
            </w:pPr>
            <w:r w:rsidRPr="008C371B">
              <w:rPr>
                <w:rFonts w:ascii="Arial" w:eastAsia="Times New Roman" w:hAnsi="Arial" w:cs="Arial"/>
                <w:lang w:eastAsia="en-GB"/>
              </w:rPr>
              <w:t>Contract</w:t>
            </w:r>
            <w:r w:rsidR="00012D8D">
              <w:rPr>
                <w:rFonts w:ascii="Arial" w:eastAsia="Times New Roman" w:hAnsi="Arial" w:cs="Arial"/>
                <w:lang w:eastAsia="en-GB"/>
              </w:rPr>
              <w:t>(s)</w:t>
            </w:r>
            <w:r w:rsidRPr="008C371B">
              <w:rPr>
                <w:rFonts w:ascii="Arial" w:eastAsia="Times New Roman" w:hAnsi="Arial" w:cs="Arial"/>
                <w:lang w:eastAsia="en-GB"/>
              </w:rPr>
              <w:t xml:space="preserve"> starts date</w:t>
            </w:r>
          </w:p>
        </w:tc>
        <w:tc>
          <w:tcPr>
            <w:tcW w:w="3544" w:type="dxa"/>
            <w:shd w:val="clear" w:color="auto" w:fill="auto"/>
            <w:vAlign w:val="center"/>
          </w:tcPr>
          <w:p w14:paraId="1853F822" w14:textId="4E953537" w:rsidR="00E463F0" w:rsidRPr="00EB5E8F" w:rsidRDefault="005F57ED" w:rsidP="00E463F0">
            <w:pPr>
              <w:spacing w:after="0" w:line="240" w:lineRule="auto"/>
              <w:rPr>
                <w:rFonts w:ascii="Arial" w:eastAsia="Times New Roman" w:hAnsi="Arial" w:cs="Arial"/>
                <w:highlight w:val="yellow"/>
                <w:lang w:eastAsia="en-GB"/>
              </w:rPr>
            </w:pPr>
            <w:r w:rsidRPr="00012D8D">
              <w:rPr>
                <w:rFonts w:ascii="Arial" w:eastAsia="Times New Roman" w:hAnsi="Arial" w:cs="Arial"/>
                <w:lang w:eastAsia="en-GB"/>
              </w:rPr>
              <w:t xml:space="preserve">w/c </w:t>
            </w:r>
            <w:r w:rsidR="00012D8D" w:rsidRPr="00012D8D">
              <w:rPr>
                <w:rFonts w:ascii="Arial" w:eastAsia="Times New Roman" w:hAnsi="Arial" w:cs="Arial"/>
                <w:lang w:eastAsia="en-GB"/>
              </w:rPr>
              <w:t>26</w:t>
            </w:r>
            <w:r w:rsidR="00012D8D" w:rsidRPr="00012D8D">
              <w:rPr>
                <w:rFonts w:ascii="Arial" w:eastAsia="Times New Roman" w:hAnsi="Arial" w:cs="Arial"/>
                <w:vertAlign w:val="superscript"/>
                <w:lang w:eastAsia="en-GB"/>
              </w:rPr>
              <w:t>th</w:t>
            </w:r>
            <w:r w:rsidR="00012D8D" w:rsidRPr="00012D8D">
              <w:rPr>
                <w:rFonts w:ascii="Arial" w:eastAsia="Times New Roman" w:hAnsi="Arial" w:cs="Arial"/>
                <w:lang w:eastAsia="en-GB"/>
              </w:rPr>
              <w:t xml:space="preserve"> June 2023</w:t>
            </w:r>
          </w:p>
        </w:tc>
        <w:bookmarkStart w:id="3" w:name="_GoBack"/>
        <w:bookmarkEnd w:id="3"/>
      </w:tr>
      <w:tr w:rsidR="00E463F0" w:rsidRPr="00E463F0" w14:paraId="0FEB30D3" w14:textId="77777777" w:rsidTr="00735B71">
        <w:trPr>
          <w:trHeight w:val="418"/>
        </w:trPr>
        <w:tc>
          <w:tcPr>
            <w:tcW w:w="3969" w:type="dxa"/>
            <w:shd w:val="clear" w:color="auto" w:fill="auto"/>
            <w:vAlign w:val="center"/>
          </w:tcPr>
          <w:p w14:paraId="3222F870" w14:textId="416A3A9A" w:rsidR="00E463F0" w:rsidRPr="00012D8D" w:rsidRDefault="00EE23F1" w:rsidP="00E463F0">
            <w:pPr>
              <w:spacing w:after="0" w:line="240" w:lineRule="auto"/>
              <w:rPr>
                <w:rFonts w:ascii="Arial" w:eastAsia="Times New Roman" w:hAnsi="Arial" w:cs="Arial"/>
                <w:lang w:eastAsia="en-GB"/>
              </w:rPr>
            </w:pPr>
            <w:r w:rsidRPr="00012D8D">
              <w:rPr>
                <w:rFonts w:ascii="Arial" w:eastAsia="Times New Roman" w:hAnsi="Arial" w:cs="Arial"/>
                <w:lang w:eastAsia="en-GB"/>
              </w:rPr>
              <w:t xml:space="preserve">Inception meeting </w:t>
            </w:r>
          </w:p>
        </w:tc>
        <w:tc>
          <w:tcPr>
            <w:tcW w:w="3544" w:type="dxa"/>
            <w:shd w:val="clear" w:color="auto" w:fill="auto"/>
            <w:vAlign w:val="center"/>
          </w:tcPr>
          <w:p w14:paraId="02A1B00A" w14:textId="234712B0" w:rsidR="00E463F0" w:rsidRPr="00012D8D" w:rsidRDefault="0030056F" w:rsidP="00E463F0">
            <w:pPr>
              <w:spacing w:after="0" w:line="240" w:lineRule="auto"/>
              <w:rPr>
                <w:rFonts w:ascii="Arial" w:eastAsia="Times New Roman" w:hAnsi="Arial" w:cs="Arial"/>
                <w:lang w:eastAsia="en-GB"/>
              </w:rPr>
            </w:pPr>
            <w:r w:rsidRPr="00012D8D">
              <w:rPr>
                <w:rFonts w:ascii="Arial" w:eastAsia="Times New Roman" w:hAnsi="Arial" w:cs="Arial"/>
                <w:lang w:eastAsia="en-GB"/>
              </w:rPr>
              <w:t>w</w:t>
            </w:r>
            <w:r w:rsidR="005F57ED" w:rsidRPr="00012D8D">
              <w:rPr>
                <w:rFonts w:ascii="Arial" w:eastAsia="Times New Roman" w:hAnsi="Arial" w:cs="Arial"/>
                <w:lang w:eastAsia="en-GB"/>
              </w:rPr>
              <w:t xml:space="preserve">/c </w:t>
            </w:r>
            <w:r w:rsidR="00012D8D" w:rsidRPr="00012D8D">
              <w:rPr>
                <w:rFonts w:ascii="Arial" w:eastAsia="Times New Roman" w:hAnsi="Arial" w:cs="Arial"/>
                <w:lang w:eastAsia="en-GB"/>
              </w:rPr>
              <w:t>26</w:t>
            </w:r>
            <w:r w:rsidR="00012D8D" w:rsidRPr="00012D8D">
              <w:rPr>
                <w:rFonts w:ascii="Arial" w:eastAsia="Times New Roman" w:hAnsi="Arial" w:cs="Arial"/>
                <w:vertAlign w:val="superscript"/>
                <w:lang w:eastAsia="en-GB"/>
              </w:rPr>
              <w:t>th</w:t>
            </w:r>
            <w:r w:rsidR="00012D8D" w:rsidRPr="00012D8D">
              <w:rPr>
                <w:rFonts w:ascii="Arial" w:eastAsia="Times New Roman" w:hAnsi="Arial" w:cs="Arial"/>
                <w:lang w:eastAsia="en-GB"/>
              </w:rPr>
              <w:t xml:space="preserve"> June 2023</w:t>
            </w:r>
          </w:p>
        </w:tc>
      </w:tr>
    </w:tbl>
    <w:p w14:paraId="71A8B019" w14:textId="77777777" w:rsidR="00E463F0" w:rsidRPr="00E463F0" w:rsidRDefault="00E463F0" w:rsidP="00E463F0">
      <w:pPr>
        <w:rPr>
          <w:rFonts w:ascii="Arial" w:hAnsi="Arial" w:cs="Arial"/>
        </w:rPr>
      </w:pPr>
    </w:p>
    <w:p w14:paraId="17930BC2" w14:textId="3C0A964D" w:rsidR="00282A72" w:rsidRPr="00282A72" w:rsidRDefault="00282A72" w:rsidP="00282A72">
      <w:pPr>
        <w:spacing w:after="0" w:line="240" w:lineRule="auto"/>
        <w:ind w:left="360" w:hanging="360"/>
        <w:rPr>
          <w:rFonts w:ascii="Arial" w:eastAsia="Times New Roman" w:hAnsi="Arial" w:cs="Arial"/>
          <w:b/>
          <w:sz w:val="24"/>
          <w:lang w:eastAsia="en-GB"/>
        </w:rPr>
      </w:pPr>
      <w:r w:rsidRPr="00282A72">
        <w:rPr>
          <w:rFonts w:ascii="Arial" w:eastAsia="Times New Roman" w:hAnsi="Arial" w:cs="Arial"/>
          <w:b/>
          <w:sz w:val="24"/>
          <w:lang w:eastAsia="en-GB"/>
        </w:rPr>
        <w:t>P</w:t>
      </w:r>
      <w:r w:rsidR="00E31B04">
        <w:rPr>
          <w:rFonts w:ascii="Arial" w:eastAsia="Times New Roman" w:hAnsi="Arial" w:cs="Arial"/>
          <w:b/>
          <w:sz w:val="24"/>
          <w:lang w:eastAsia="en-GB"/>
        </w:rPr>
        <w:t>AYMENT MILESTONES</w:t>
      </w:r>
    </w:p>
    <w:p w14:paraId="59B0BA7F" w14:textId="77777777" w:rsidR="00D51387" w:rsidRDefault="00D51387" w:rsidP="00D51387">
      <w:pPr>
        <w:rPr>
          <w:rFonts w:ascii="Arial" w:eastAsia="Times New Roman" w:hAnsi="Arial" w:cs="Arial"/>
          <w:sz w:val="24"/>
          <w:lang w:eastAsia="en-GB"/>
        </w:rPr>
      </w:pPr>
    </w:p>
    <w:p w14:paraId="0923BC25" w14:textId="5389A2B0" w:rsidR="0074038E" w:rsidRPr="0074038E" w:rsidRDefault="00282A72" w:rsidP="0074038E">
      <w:pPr>
        <w:pStyle w:val="ListParagraph"/>
        <w:numPr>
          <w:ilvl w:val="0"/>
          <w:numId w:val="10"/>
        </w:numPr>
        <w:ind w:left="851" w:hanging="567"/>
        <w:rPr>
          <w:rFonts w:ascii="Arial" w:eastAsia="Times New Roman" w:hAnsi="Arial" w:cs="Times New Roman"/>
          <w:szCs w:val="20"/>
          <w:lang w:eastAsia="en-GB"/>
        </w:rPr>
      </w:pPr>
      <w:r w:rsidRPr="00D51387">
        <w:rPr>
          <w:rFonts w:ascii="Arial" w:eastAsia="Times New Roman" w:hAnsi="Arial" w:cs="Times New Roman"/>
          <w:szCs w:val="20"/>
          <w:lang w:eastAsia="en-GB"/>
        </w:rPr>
        <w:t>The milestones for payment will be as follows</w:t>
      </w:r>
      <w:r w:rsidR="0074038E">
        <w:rPr>
          <w:rFonts w:ascii="Arial" w:eastAsia="Times New Roman" w:hAnsi="Arial" w:cs="Times New Roman"/>
          <w:szCs w:val="20"/>
          <w:lang w:eastAsia="en-GB"/>
        </w:rPr>
        <w:t xml:space="preserve"> based upon satisfactory completion of work stages</w:t>
      </w:r>
      <w:r w:rsidRPr="00D51387">
        <w:rPr>
          <w:rFonts w:ascii="Arial" w:eastAsia="Times New Roman" w:hAnsi="Arial" w:cs="Times New Roman"/>
          <w:szCs w:val="20"/>
          <w:lang w:eastAsia="en-GB"/>
        </w:rPr>
        <w:t>:</w:t>
      </w:r>
    </w:p>
    <w:tbl>
      <w:tblPr>
        <w:tblpPr w:leftFromText="180" w:rightFromText="180" w:vertAnchor="text" w:horzAnchor="margin" w:tblpX="704" w:tblpY="353"/>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27"/>
        <w:gridCol w:w="2181"/>
        <w:gridCol w:w="2181"/>
      </w:tblGrid>
      <w:tr w:rsidR="0074038E" w:rsidRPr="00EB5E8F" w14:paraId="7FB9F8E4" w14:textId="3FEE8EEC" w:rsidTr="006C1E05">
        <w:tc>
          <w:tcPr>
            <w:tcW w:w="4654" w:type="dxa"/>
            <w:gridSpan w:val="2"/>
            <w:shd w:val="clear" w:color="auto" w:fill="D9D9D9"/>
          </w:tcPr>
          <w:p w14:paraId="14B1B002" w14:textId="77777777" w:rsidR="0074038E" w:rsidRPr="00CC50F4" w:rsidRDefault="0074038E" w:rsidP="006C1E05">
            <w:pPr>
              <w:ind w:left="360"/>
              <w:rPr>
                <w:rFonts w:ascii="Arial" w:hAnsi="Arial" w:cs="Arial"/>
                <w:b/>
              </w:rPr>
            </w:pPr>
            <w:r w:rsidRPr="00CC50F4">
              <w:rPr>
                <w:rFonts w:ascii="Arial" w:hAnsi="Arial" w:cs="Arial"/>
                <w:b/>
              </w:rPr>
              <w:t>Estimated Commission Stages / Outputs</w:t>
            </w:r>
          </w:p>
        </w:tc>
        <w:tc>
          <w:tcPr>
            <w:tcW w:w="4362" w:type="dxa"/>
            <w:gridSpan w:val="2"/>
            <w:shd w:val="clear" w:color="auto" w:fill="D9D9D9"/>
          </w:tcPr>
          <w:p w14:paraId="3DEDC52F" w14:textId="58B2603D" w:rsidR="0074038E" w:rsidRPr="00CC50F4" w:rsidRDefault="0074038E" w:rsidP="006C1E05">
            <w:pPr>
              <w:ind w:left="360"/>
              <w:rPr>
                <w:rFonts w:ascii="Arial" w:hAnsi="Arial" w:cs="Arial"/>
                <w:b/>
              </w:rPr>
            </w:pPr>
            <w:r>
              <w:rPr>
                <w:rFonts w:ascii="Arial" w:hAnsi="Arial" w:cs="Arial"/>
                <w:b/>
              </w:rPr>
              <w:t>Payment Schedule</w:t>
            </w:r>
          </w:p>
        </w:tc>
      </w:tr>
      <w:tr w:rsidR="0074038E" w:rsidRPr="00EB5E8F" w14:paraId="752C76B3" w14:textId="65B2608F" w:rsidTr="0074038E">
        <w:tc>
          <w:tcPr>
            <w:tcW w:w="2327" w:type="dxa"/>
            <w:shd w:val="clear" w:color="auto" w:fill="D9D9D9"/>
          </w:tcPr>
          <w:p w14:paraId="01EDA3E2" w14:textId="77777777" w:rsidR="0074038E" w:rsidRPr="00CC50F4" w:rsidRDefault="0074038E" w:rsidP="006C1E05">
            <w:pPr>
              <w:ind w:left="170" w:hanging="142"/>
              <w:jc w:val="center"/>
              <w:rPr>
                <w:rFonts w:ascii="Arial" w:hAnsi="Arial" w:cs="Arial"/>
                <w:b/>
              </w:rPr>
            </w:pPr>
            <w:r>
              <w:rPr>
                <w:rFonts w:ascii="Arial" w:hAnsi="Arial" w:cs="Arial"/>
                <w:b/>
              </w:rPr>
              <w:t>Lot 1</w:t>
            </w:r>
          </w:p>
        </w:tc>
        <w:tc>
          <w:tcPr>
            <w:tcW w:w="2327" w:type="dxa"/>
            <w:shd w:val="clear" w:color="auto" w:fill="D9D9D9"/>
          </w:tcPr>
          <w:p w14:paraId="14B4BFBD" w14:textId="77777777" w:rsidR="0074038E" w:rsidRPr="00CC50F4" w:rsidRDefault="0074038E" w:rsidP="006C1E05">
            <w:pPr>
              <w:ind w:left="28"/>
              <w:jc w:val="center"/>
              <w:rPr>
                <w:rFonts w:ascii="Arial" w:hAnsi="Arial" w:cs="Arial"/>
                <w:b/>
              </w:rPr>
            </w:pPr>
            <w:r>
              <w:rPr>
                <w:rFonts w:ascii="Arial" w:hAnsi="Arial" w:cs="Arial"/>
                <w:b/>
              </w:rPr>
              <w:t>Lot 2</w:t>
            </w:r>
          </w:p>
        </w:tc>
        <w:tc>
          <w:tcPr>
            <w:tcW w:w="2181" w:type="dxa"/>
            <w:shd w:val="clear" w:color="auto" w:fill="D9D9D9"/>
          </w:tcPr>
          <w:p w14:paraId="75AFA101" w14:textId="66B37C3F" w:rsidR="0074038E" w:rsidRDefault="0074038E" w:rsidP="006C1E05">
            <w:pPr>
              <w:ind w:left="28"/>
              <w:jc w:val="center"/>
              <w:rPr>
                <w:rFonts w:ascii="Arial" w:hAnsi="Arial" w:cs="Arial"/>
                <w:b/>
              </w:rPr>
            </w:pPr>
            <w:r>
              <w:rPr>
                <w:rFonts w:ascii="Arial" w:hAnsi="Arial" w:cs="Arial"/>
                <w:b/>
              </w:rPr>
              <w:t>Lot 1</w:t>
            </w:r>
          </w:p>
        </w:tc>
        <w:tc>
          <w:tcPr>
            <w:tcW w:w="2181" w:type="dxa"/>
            <w:shd w:val="clear" w:color="auto" w:fill="D9D9D9"/>
          </w:tcPr>
          <w:p w14:paraId="072F288B" w14:textId="18AA8226" w:rsidR="0074038E" w:rsidRDefault="0074038E" w:rsidP="006C1E05">
            <w:pPr>
              <w:ind w:left="28"/>
              <w:jc w:val="center"/>
              <w:rPr>
                <w:rFonts w:ascii="Arial" w:hAnsi="Arial" w:cs="Arial"/>
                <w:b/>
              </w:rPr>
            </w:pPr>
            <w:r>
              <w:rPr>
                <w:rFonts w:ascii="Arial" w:hAnsi="Arial" w:cs="Arial"/>
                <w:b/>
              </w:rPr>
              <w:t>Lot 2</w:t>
            </w:r>
          </w:p>
        </w:tc>
      </w:tr>
      <w:tr w:rsidR="0074038E" w:rsidRPr="00EB5E8F" w14:paraId="77413328" w14:textId="373300C3" w:rsidTr="0074038E">
        <w:trPr>
          <w:trHeight w:val="686"/>
        </w:trPr>
        <w:tc>
          <w:tcPr>
            <w:tcW w:w="2327" w:type="dxa"/>
            <w:shd w:val="clear" w:color="auto" w:fill="auto"/>
          </w:tcPr>
          <w:p w14:paraId="31731229" w14:textId="77777777" w:rsidR="0074038E" w:rsidRPr="00195E7B" w:rsidRDefault="0074038E" w:rsidP="006C1E05">
            <w:pPr>
              <w:ind w:left="28"/>
              <w:rPr>
                <w:rFonts w:ascii="Arial" w:hAnsi="Arial" w:cs="Arial"/>
              </w:rPr>
            </w:pPr>
            <w:r w:rsidRPr="00195E7B">
              <w:rPr>
                <w:rFonts w:ascii="Arial" w:hAnsi="Arial" w:cs="Arial"/>
              </w:rPr>
              <w:t>Inception and project set-up</w:t>
            </w:r>
          </w:p>
        </w:tc>
        <w:tc>
          <w:tcPr>
            <w:tcW w:w="2327" w:type="dxa"/>
          </w:tcPr>
          <w:p w14:paraId="268C8118" w14:textId="77777777" w:rsidR="0074038E" w:rsidRPr="00195E7B" w:rsidRDefault="0074038E" w:rsidP="006C1E05">
            <w:pPr>
              <w:ind w:left="28"/>
              <w:rPr>
                <w:rFonts w:ascii="Arial" w:hAnsi="Arial" w:cs="Arial"/>
              </w:rPr>
            </w:pPr>
            <w:r w:rsidRPr="00195E7B">
              <w:rPr>
                <w:rFonts w:ascii="Arial" w:hAnsi="Arial" w:cs="Arial"/>
              </w:rPr>
              <w:t>Inception and project set-up</w:t>
            </w:r>
          </w:p>
        </w:tc>
        <w:tc>
          <w:tcPr>
            <w:tcW w:w="2181" w:type="dxa"/>
          </w:tcPr>
          <w:p w14:paraId="10C5F538" w14:textId="77777777" w:rsidR="0074038E" w:rsidRPr="00195E7B" w:rsidRDefault="0074038E" w:rsidP="006C1E05">
            <w:pPr>
              <w:ind w:left="28"/>
              <w:rPr>
                <w:rFonts w:ascii="Arial" w:hAnsi="Arial" w:cs="Arial"/>
              </w:rPr>
            </w:pPr>
          </w:p>
        </w:tc>
        <w:tc>
          <w:tcPr>
            <w:tcW w:w="2181" w:type="dxa"/>
          </w:tcPr>
          <w:p w14:paraId="3AB10F62" w14:textId="77777777" w:rsidR="0074038E" w:rsidRPr="00195E7B" w:rsidRDefault="0074038E" w:rsidP="006C1E05">
            <w:pPr>
              <w:ind w:left="28"/>
              <w:rPr>
                <w:rFonts w:ascii="Arial" w:hAnsi="Arial" w:cs="Arial"/>
              </w:rPr>
            </w:pPr>
          </w:p>
        </w:tc>
      </w:tr>
      <w:tr w:rsidR="0074038E" w:rsidRPr="00EB5E8F" w14:paraId="7A0B5A0A" w14:textId="35A7F493" w:rsidTr="0074038E">
        <w:trPr>
          <w:trHeight w:val="947"/>
        </w:trPr>
        <w:tc>
          <w:tcPr>
            <w:tcW w:w="2327" w:type="dxa"/>
            <w:shd w:val="clear" w:color="auto" w:fill="auto"/>
          </w:tcPr>
          <w:p w14:paraId="1580A46B" w14:textId="77777777" w:rsidR="0074038E" w:rsidRPr="00EB5E8F" w:rsidRDefault="0074038E" w:rsidP="006C1E05">
            <w:pPr>
              <w:rPr>
                <w:rFonts w:ascii="Arial" w:hAnsi="Arial" w:cs="Arial"/>
                <w:highlight w:val="yellow"/>
              </w:rPr>
            </w:pPr>
            <w:r>
              <w:rPr>
                <w:rFonts w:ascii="Arial" w:hAnsi="Arial" w:cs="Arial"/>
              </w:rPr>
              <w:t>Part A – Economic Profile and Functional Economic Market Area</w:t>
            </w:r>
          </w:p>
        </w:tc>
        <w:tc>
          <w:tcPr>
            <w:tcW w:w="2327" w:type="dxa"/>
          </w:tcPr>
          <w:p w14:paraId="03305C7D" w14:textId="77777777" w:rsidR="0074038E" w:rsidRPr="007F510A" w:rsidRDefault="0074038E" w:rsidP="006C1E05">
            <w:pPr>
              <w:pStyle w:val="Default"/>
              <w:rPr>
                <w:sz w:val="22"/>
                <w:szCs w:val="22"/>
              </w:rPr>
            </w:pPr>
            <w:r w:rsidRPr="007F510A">
              <w:rPr>
                <w:sz w:val="22"/>
                <w:szCs w:val="22"/>
              </w:rPr>
              <w:t>Part A – Retail Changes and Hierarchy of Centres</w:t>
            </w:r>
          </w:p>
          <w:p w14:paraId="7158E30D" w14:textId="77777777" w:rsidR="0074038E" w:rsidRPr="00EB5E8F" w:rsidRDefault="0074038E" w:rsidP="006C1E05">
            <w:pPr>
              <w:rPr>
                <w:rFonts w:ascii="Arial" w:hAnsi="Arial" w:cs="Arial"/>
                <w:highlight w:val="yellow"/>
              </w:rPr>
            </w:pPr>
          </w:p>
        </w:tc>
        <w:tc>
          <w:tcPr>
            <w:tcW w:w="2181" w:type="dxa"/>
          </w:tcPr>
          <w:p w14:paraId="2FF57D4E" w14:textId="1B0FEE49" w:rsidR="0074038E" w:rsidRPr="007F510A" w:rsidRDefault="0074038E" w:rsidP="006C1E05">
            <w:pPr>
              <w:pStyle w:val="Default"/>
              <w:rPr>
                <w:sz w:val="22"/>
                <w:szCs w:val="22"/>
              </w:rPr>
            </w:pPr>
            <w:r>
              <w:rPr>
                <w:sz w:val="22"/>
                <w:szCs w:val="22"/>
              </w:rPr>
              <w:t>10%</w:t>
            </w:r>
          </w:p>
        </w:tc>
        <w:tc>
          <w:tcPr>
            <w:tcW w:w="2181" w:type="dxa"/>
          </w:tcPr>
          <w:p w14:paraId="075E7A4E" w14:textId="18CDBD40" w:rsidR="0074038E" w:rsidRPr="007F510A" w:rsidRDefault="007A311A" w:rsidP="006C1E05">
            <w:pPr>
              <w:pStyle w:val="Default"/>
              <w:rPr>
                <w:sz w:val="22"/>
                <w:szCs w:val="22"/>
              </w:rPr>
            </w:pPr>
            <w:r>
              <w:rPr>
                <w:sz w:val="22"/>
                <w:szCs w:val="22"/>
              </w:rPr>
              <w:t>10%</w:t>
            </w:r>
          </w:p>
        </w:tc>
      </w:tr>
      <w:tr w:rsidR="0074038E" w:rsidRPr="00EB5E8F" w14:paraId="694C3FBB" w14:textId="4E86C014" w:rsidTr="0074038E">
        <w:trPr>
          <w:trHeight w:val="947"/>
        </w:trPr>
        <w:tc>
          <w:tcPr>
            <w:tcW w:w="2327" w:type="dxa"/>
            <w:shd w:val="clear" w:color="auto" w:fill="auto"/>
          </w:tcPr>
          <w:p w14:paraId="10BFE68D" w14:textId="77777777" w:rsidR="0074038E" w:rsidRPr="00EB5E8F" w:rsidRDefault="0074038E" w:rsidP="006C1E05">
            <w:pPr>
              <w:rPr>
                <w:rFonts w:ascii="Arial" w:hAnsi="Arial" w:cs="Arial"/>
                <w:highlight w:val="yellow"/>
              </w:rPr>
            </w:pPr>
            <w:r>
              <w:rPr>
                <w:rFonts w:ascii="Arial" w:hAnsi="Arial" w:cs="Arial"/>
              </w:rPr>
              <w:t>Part B – Employment Needs and Space Requirements</w:t>
            </w:r>
          </w:p>
        </w:tc>
        <w:tc>
          <w:tcPr>
            <w:tcW w:w="2327" w:type="dxa"/>
          </w:tcPr>
          <w:p w14:paraId="2CFC621A" w14:textId="77777777" w:rsidR="0074038E" w:rsidRPr="00EB5E8F" w:rsidRDefault="0074038E" w:rsidP="006C1E05">
            <w:pPr>
              <w:rPr>
                <w:rFonts w:ascii="Arial" w:hAnsi="Arial" w:cs="Arial"/>
                <w:highlight w:val="yellow"/>
              </w:rPr>
            </w:pPr>
          </w:p>
        </w:tc>
        <w:tc>
          <w:tcPr>
            <w:tcW w:w="2181" w:type="dxa"/>
          </w:tcPr>
          <w:p w14:paraId="40340F00" w14:textId="38032BDD" w:rsidR="0074038E" w:rsidRPr="00EB5E8F" w:rsidRDefault="0074038E" w:rsidP="006C1E05">
            <w:pPr>
              <w:rPr>
                <w:rFonts w:ascii="Arial" w:hAnsi="Arial" w:cs="Arial"/>
                <w:highlight w:val="yellow"/>
              </w:rPr>
            </w:pPr>
            <w:r w:rsidRPr="0074038E">
              <w:rPr>
                <w:rFonts w:ascii="Arial" w:hAnsi="Arial" w:cs="Arial"/>
              </w:rPr>
              <w:t>2</w:t>
            </w:r>
            <w:r w:rsidR="007A311A">
              <w:rPr>
                <w:rFonts w:ascii="Arial" w:hAnsi="Arial" w:cs="Arial"/>
              </w:rPr>
              <w:t>5</w:t>
            </w:r>
            <w:r w:rsidRPr="0074038E">
              <w:rPr>
                <w:rFonts w:ascii="Arial" w:hAnsi="Arial" w:cs="Arial"/>
              </w:rPr>
              <w:t>%</w:t>
            </w:r>
          </w:p>
        </w:tc>
        <w:tc>
          <w:tcPr>
            <w:tcW w:w="2181" w:type="dxa"/>
          </w:tcPr>
          <w:p w14:paraId="22838C85" w14:textId="77777777" w:rsidR="0074038E" w:rsidRPr="00EB5E8F" w:rsidRDefault="0074038E" w:rsidP="006C1E05">
            <w:pPr>
              <w:rPr>
                <w:rFonts w:ascii="Arial" w:hAnsi="Arial" w:cs="Arial"/>
                <w:highlight w:val="yellow"/>
              </w:rPr>
            </w:pPr>
          </w:p>
        </w:tc>
      </w:tr>
      <w:tr w:rsidR="0074038E" w:rsidRPr="00EB5E8F" w14:paraId="191C1BB5" w14:textId="2BB28835" w:rsidTr="0074038E">
        <w:trPr>
          <w:trHeight w:val="1067"/>
        </w:trPr>
        <w:tc>
          <w:tcPr>
            <w:tcW w:w="2327" w:type="dxa"/>
            <w:shd w:val="clear" w:color="auto" w:fill="auto"/>
          </w:tcPr>
          <w:p w14:paraId="28F02CE2" w14:textId="77777777" w:rsidR="0074038E" w:rsidRPr="00EB5E8F" w:rsidRDefault="0074038E" w:rsidP="006C1E05">
            <w:pPr>
              <w:rPr>
                <w:rFonts w:ascii="Arial" w:hAnsi="Arial" w:cs="Arial"/>
                <w:highlight w:val="yellow"/>
              </w:rPr>
            </w:pPr>
          </w:p>
        </w:tc>
        <w:tc>
          <w:tcPr>
            <w:tcW w:w="2327" w:type="dxa"/>
          </w:tcPr>
          <w:p w14:paraId="20F6B178" w14:textId="77777777" w:rsidR="0074038E" w:rsidRPr="007F510A" w:rsidRDefault="0074038E" w:rsidP="006C1E05">
            <w:pPr>
              <w:pStyle w:val="Default"/>
              <w:rPr>
                <w:sz w:val="22"/>
                <w:szCs w:val="22"/>
              </w:rPr>
            </w:pPr>
            <w:r w:rsidRPr="007F510A">
              <w:rPr>
                <w:sz w:val="22"/>
                <w:szCs w:val="22"/>
              </w:rPr>
              <w:t>Part B – Retail and Service Provision: Centre Health Checks</w:t>
            </w:r>
          </w:p>
          <w:p w14:paraId="33031A7E" w14:textId="77777777" w:rsidR="0074038E" w:rsidRPr="00EB5E8F" w:rsidRDefault="0074038E" w:rsidP="006C1E05">
            <w:pPr>
              <w:rPr>
                <w:rFonts w:ascii="Arial" w:hAnsi="Arial" w:cs="Arial"/>
                <w:highlight w:val="yellow"/>
              </w:rPr>
            </w:pPr>
          </w:p>
        </w:tc>
        <w:tc>
          <w:tcPr>
            <w:tcW w:w="2181" w:type="dxa"/>
          </w:tcPr>
          <w:p w14:paraId="61E3900C" w14:textId="77777777" w:rsidR="0074038E" w:rsidRPr="007F510A" w:rsidRDefault="0074038E" w:rsidP="006C1E05">
            <w:pPr>
              <w:pStyle w:val="Default"/>
              <w:rPr>
                <w:sz w:val="22"/>
                <w:szCs w:val="22"/>
              </w:rPr>
            </w:pPr>
          </w:p>
        </w:tc>
        <w:tc>
          <w:tcPr>
            <w:tcW w:w="2181" w:type="dxa"/>
          </w:tcPr>
          <w:p w14:paraId="7B203470" w14:textId="0D4F8C3F" w:rsidR="0074038E" w:rsidRPr="007F510A" w:rsidRDefault="007A311A" w:rsidP="006C1E05">
            <w:pPr>
              <w:pStyle w:val="Default"/>
              <w:rPr>
                <w:sz w:val="22"/>
                <w:szCs w:val="22"/>
              </w:rPr>
            </w:pPr>
            <w:r>
              <w:rPr>
                <w:sz w:val="22"/>
                <w:szCs w:val="22"/>
              </w:rPr>
              <w:t>30%</w:t>
            </w:r>
          </w:p>
        </w:tc>
      </w:tr>
      <w:tr w:rsidR="0074038E" w:rsidRPr="00EB5E8F" w14:paraId="61404143" w14:textId="1D88AF11" w:rsidTr="0074038E">
        <w:trPr>
          <w:trHeight w:val="1067"/>
        </w:trPr>
        <w:tc>
          <w:tcPr>
            <w:tcW w:w="2327" w:type="dxa"/>
            <w:shd w:val="clear" w:color="auto" w:fill="auto"/>
          </w:tcPr>
          <w:p w14:paraId="3784E735" w14:textId="77777777" w:rsidR="0074038E" w:rsidRDefault="0074038E" w:rsidP="006C1E05">
            <w:pPr>
              <w:rPr>
                <w:rFonts w:ascii="Arial" w:hAnsi="Arial" w:cs="Arial"/>
              </w:rPr>
            </w:pPr>
            <w:r>
              <w:rPr>
                <w:rFonts w:ascii="Arial" w:hAnsi="Arial" w:cs="Arial"/>
              </w:rPr>
              <w:t>Part C – Land, Premises and Spaces</w:t>
            </w:r>
          </w:p>
          <w:p w14:paraId="00A6A5B0" w14:textId="77777777" w:rsidR="0074038E" w:rsidRPr="00EB5E8F" w:rsidRDefault="0074038E" w:rsidP="006C1E05">
            <w:pPr>
              <w:rPr>
                <w:rFonts w:ascii="Arial" w:hAnsi="Arial" w:cs="Arial"/>
                <w:highlight w:val="yellow"/>
              </w:rPr>
            </w:pPr>
            <w:r>
              <w:rPr>
                <w:rFonts w:ascii="Arial" w:hAnsi="Arial" w:cs="Arial"/>
              </w:rPr>
              <w:lastRenderedPageBreak/>
              <w:t>Part D – Demand and Supply Balance</w:t>
            </w:r>
          </w:p>
        </w:tc>
        <w:tc>
          <w:tcPr>
            <w:tcW w:w="2327" w:type="dxa"/>
          </w:tcPr>
          <w:p w14:paraId="142F125A" w14:textId="77777777" w:rsidR="0074038E" w:rsidRPr="007F510A" w:rsidRDefault="0074038E" w:rsidP="006C1E05">
            <w:pPr>
              <w:pStyle w:val="Default"/>
              <w:rPr>
                <w:sz w:val="22"/>
                <w:szCs w:val="22"/>
              </w:rPr>
            </w:pPr>
            <w:r w:rsidRPr="007F510A">
              <w:rPr>
                <w:sz w:val="22"/>
                <w:szCs w:val="22"/>
              </w:rPr>
              <w:lastRenderedPageBreak/>
              <w:t>Part C – Establishing Future Needs</w:t>
            </w:r>
          </w:p>
          <w:p w14:paraId="6CDFD020" w14:textId="77777777" w:rsidR="0074038E" w:rsidRPr="00EB5E8F" w:rsidRDefault="0074038E" w:rsidP="006C1E05">
            <w:pPr>
              <w:rPr>
                <w:rFonts w:ascii="Arial" w:hAnsi="Arial" w:cs="Arial"/>
                <w:highlight w:val="yellow"/>
              </w:rPr>
            </w:pPr>
          </w:p>
        </w:tc>
        <w:tc>
          <w:tcPr>
            <w:tcW w:w="2181" w:type="dxa"/>
          </w:tcPr>
          <w:p w14:paraId="253E0021" w14:textId="241A036C" w:rsidR="0074038E" w:rsidRDefault="007A311A" w:rsidP="006C1E05">
            <w:pPr>
              <w:pStyle w:val="Default"/>
              <w:rPr>
                <w:sz w:val="22"/>
                <w:szCs w:val="22"/>
              </w:rPr>
            </w:pPr>
            <w:r>
              <w:rPr>
                <w:sz w:val="22"/>
                <w:szCs w:val="22"/>
              </w:rPr>
              <w:t>25%</w:t>
            </w:r>
          </w:p>
          <w:p w14:paraId="1781E08E" w14:textId="77777777" w:rsidR="007A311A" w:rsidRDefault="007A311A" w:rsidP="006C1E05">
            <w:pPr>
              <w:pStyle w:val="Default"/>
              <w:rPr>
                <w:sz w:val="22"/>
                <w:szCs w:val="22"/>
              </w:rPr>
            </w:pPr>
          </w:p>
          <w:p w14:paraId="791385B5" w14:textId="77777777" w:rsidR="007A311A" w:rsidRDefault="007A311A" w:rsidP="006C1E05">
            <w:pPr>
              <w:pStyle w:val="Default"/>
              <w:rPr>
                <w:sz w:val="22"/>
                <w:szCs w:val="22"/>
              </w:rPr>
            </w:pPr>
          </w:p>
          <w:p w14:paraId="1E1D6435" w14:textId="77777777" w:rsidR="007A311A" w:rsidRDefault="007A311A" w:rsidP="006C1E05">
            <w:pPr>
              <w:pStyle w:val="Default"/>
              <w:rPr>
                <w:sz w:val="22"/>
                <w:szCs w:val="22"/>
              </w:rPr>
            </w:pPr>
          </w:p>
          <w:p w14:paraId="6E7055DD" w14:textId="7B70E67E" w:rsidR="007A311A" w:rsidRPr="007F510A" w:rsidRDefault="007A311A" w:rsidP="006C1E05">
            <w:pPr>
              <w:pStyle w:val="Default"/>
              <w:rPr>
                <w:sz w:val="22"/>
                <w:szCs w:val="22"/>
              </w:rPr>
            </w:pPr>
            <w:r>
              <w:rPr>
                <w:sz w:val="22"/>
                <w:szCs w:val="22"/>
              </w:rPr>
              <w:t>20%</w:t>
            </w:r>
          </w:p>
        </w:tc>
        <w:tc>
          <w:tcPr>
            <w:tcW w:w="2181" w:type="dxa"/>
          </w:tcPr>
          <w:p w14:paraId="1FB0D4C0" w14:textId="720DB58B" w:rsidR="0074038E" w:rsidRPr="007F510A" w:rsidRDefault="007A311A" w:rsidP="006C1E05">
            <w:pPr>
              <w:pStyle w:val="Default"/>
              <w:rPr>
                <w:sz w:val="22"/>
                <w:szCs w:val="22"/>
              </w:rPr>
            </w:pPr>
            <w:r>
              <w:rPr>
                <w:sz w:val="22"/>
                <w:szCs w:val="22"/>
              </w:rPr>
              <w:t>30%</w:t>
            </w:r>
          </w:p>
        </w:tc>
      </w:tr>
      <w:tr w:rsidR="0074038E" w:rsidRPr="00EB5E8F" w14:paraId="7FC6CF4E" w14:textId="5DDE9EB8" w:rsidTr="0074038E">
        <w:trPr>
          <w:trHeight w:val="1067"/>
        </w:trPr>
        <w:tc>
          <w:tcPr>
            <w:tcW w:w="2327" w:type="dxa"/>
            <w:shd w:val="clear" w:color="auto" w:fill="auto"/>
          </w:tcPr>
          <w:p w14:paraId="782535D8" w14:textId="77777777" w:rsidR="0074038E" w:rsidRDefault="0074038E" w:rsidP="006C1E05">
            <w:pPr>
              <w:rPr>
                <w:rFonts w:ascii="Arial" w:hAnsi="Arial" w:cs="Arial"/>
              </w:rPr>
            </w:pPr>
            <w:r>
              <w:rPr>
                <w:rFonts w:ascii="Arial" w:hAnsi="Arial" w:cs="Arial"/>
              </w:rPr>
              <w:t>Part E – Skills Base and Future Requirements</w:t>
            </w:r>
          </w:p>
          <w:p w14:paraId="468F8E83" w14:textId="77777777" w:rsidR="0074038E" w:rsidRPr="00EB5E8F" w:rsidRDefault="0074038E" w:rsidP="006C1E05">
            <w:pPr>
              <w:rPr>
                <w:rFonts w:ascii="Arial" w:hAnsi="Arial" w:cs="Arial"/>
                <w:highlight w:val="yellow"/>
              </w:rPr>
            </w:pPr>
            <w:r>
              <w:rPr>
                <w:rFonts w:ascii="Arial" w:hAnsi="Arial" w:cs="Arial"/>
              </w:rPr>
              <w:t>Part F – Conclusions and Recommendations</w:t>
            </w:r>
          </w:p>
        </w:tc>
        <w:tc>
          <w:tcPr>
            <w:tcW w:w="2327" w:type="dxa"/>
          </w:tcPr>
          <w:p w14:paraId="0C5B18ED" w14:textId="77777777" w:rsidR="0074038E" w:rsidRDefault="0074038E" w:rsidP="006C1E05">
            <w:pPr>
              <w:rPr>
                <w:rFonts w:ascii="Arial" w:hAnsi="Arial" w:cs="Arial"/>
              </w:rPr>
            </w:pPr>
            <w:r w:rsidRPr="007F510A">
              <w:rPr>
                <w:rFonts w:ascii="Arial" w:hAnsi="Arial" w:cs="Arial"/>
              </w:rPr>
              <w:t>Part D – Defining Policies and Parameters</w:t>
            </w:r>
          </w:p>
          <w:p w14:paraId="1DD7EDB4" w14:textId="77777777" w:rsidR="0074038E" w:rsidRPr="00EB5E8F" w:rsidRDefault="0074038E" w:rsidP="006C1E05">
            <w:pPr>
              <w:rPr>
                <w:rFonts w:ascii="Arial" w:hAnsi="Arial" w:cs="Arial"/>
                <w:highlight w:val="yellow"/>
              </w:rPr>
            </w:pPr>
            <w:r w:rsidRPr="007F510A">
              <w:rPr>
                <w:rFonts w:ascii="Arial" w:hAnsi="Arial" w:cs="Arial"/>
              </w:rPr>
              <w:t>Part E – Conclusions and Recommendations</w:t>
            </w:r>
          </w:p>
        </w:tc>
        <w:tc>
          <w:tcPr>
            <w:tcW w:w="2181" w:type="dxa"/>
          </w:tcPr>
          <w:p w14:paraId="6A0D4A01" w14:textId="0D224FC0" w:rsidR="0074038E" w:rsidRDefault="007A311A" w:rsidP="006C1E05">
            <w:pPr>
              <w:rPr>
                <w:rFonts w:ascii="Arial" w:hAnsi="Arial" w:cs="Arial"/>
              </w:rPr>
            </w:pPr>
            <w:r>
              <w:rPr>
                <w:rFonts w:ascii="Arial" w:hAnsi="Arial" w:cs="Arial"/>
              </w:rPr>
              <w:t>10</w:t>
            </w:r>
            <w:r w:rsidR="0074038E">
              <w:rPr>
                <w:rFonts w:ascii="Arial" w:hAnsi="Arial" w:cs="Arial"/>
              </w:rPr>
              <w:t>%</w:t>
            </w:r>
          </w:p>
          <w:p w14:paraId="29BE9575" w14:textId="77777777" w:rsidR="0074038E" w:rsidRDefault="0074038E" w:rsidP="006C1E05">
            <w:pPr>
              <w:rPr>
                <w:rFonts w:ascii="Arial" w:hAnsi="Arial" w:cs="Arial"/>
              </w:rPr>
            </w:pPr>
          </w:p>
          <w:p w14:paraId="5EBEE467" w14:textId="4CF386DD" w:rsidR="0074038E" w:rsidRPr="007F510A" w:rsidRDefault="0074038E" w:rsidP="006C1E05">
            <w:pPr>
              <w:rPr>
                <w:rFonts w:ascii="Arial" w:hAnsi="Arial" w:cs="Arial"/>
              </w:rPr>
            </w:pPr>
            <w:r>
              <w:rPr>
                <w:rFonts w:ascii="Arial" w:hAnsi="Arial" w:cs="Arial"/>
              </w:rPr>
              <w:t>10%</w:t>
            </w:r>
          </w:p>
        </w:tc>
        <w:tc>
          <w:tcPr>
            <w:tcW w:w="2181" w:type="dxa"/>
          </w:tcPr>
          <w:p w14:paraId="2FD12657" w14:textId="77777777" w:rsidR="0074038E" w:rsidRDefault="007A311A" w:rsidP="006C1E05">
            <w:pPr>
              <w:rPr>
                <w:rFonts w:ascii="Arial" w:hAnsi="Arial" w:cs="Arial"/>
              </w:rPr>
            </w:pPr>
            <w:r>
              <w:rPr>
                <w:rFonts w:ascii="Arial" w:hAnsi="Arial" w:cs="Arial"/>
              </w:rPr>
              <w:t>20%</w:t>
            </w:r>
          </w:p>
          <w:p w14:paraId="151566C9" w14:textId="77777777" w:rsidR="007A311A" w:rsidRDefault="007A311A" w:rsidP="006C1E05">
            <w:pPr>
              <w:rPr>
                <w:rFonts w:ascii="Arial" w:hAnsi="Arial" w:cs="Arial"/>
              </w:rPr>
            </w:pPr>
          </w:p>
          <w:p w14:paraId="407BD1EF" w14:textId="5B7CBFD4" w:rsidR="007A311A" w:rsidRPr="007F510A" w:rsidRDefault="007A311A" w:rsidP="006C1E05">
            <w:pPr>
              <w:rPr>
                <w:rFonts w:ascii="Arial" w:hAnsi="Arial" w:cs="Arial"/>
              </w:rPr>
            </w:pPr>
            <w:r>
              <w:rPr>
                <w:rFonts w:ascii="Arial" w:hAnsi="Arial" w:cs="Arial"/>
              </w:rPr>
              <w:t>10%</w:t>
            </w:r>
          </w:p>
        </w:tc>
      </w:tr>
      <w:tr w:rsidR="0074038E" w:rsidRPr="00EB5E8F" w14:paraId="1EE919BE" w14:textId="6931968A" w:rsidTr="0074038E">
        <w:trPr>
          <w:trHeight w:val="332"/>
        </w:trPr>
        <w:tc>
          <w:tcPr>
            <w:tcW w:w="2327" w:type="dxa"/>
            <w:shd w:val="clear" w:color="auto" w:fill="D9D9D9" w:themeFill="background1" w:themeFillShade="D9"/>
          </w:tcPr>
          <w:p w14:paraId="3D2E027C" w14:textId="77777777" w:rsidR="0074038E" w:rsidRDefault="0074038E" w:rsidP="006C1E05">
            <w:pPr>
              <w:rPr>
                <w:rFonts w:ascii="Arial" w:hAnsi="Arial" w:cs="Arial"/>
              </w:rPr>
            </w:pPr>
          </w:p>
        </w:tc>
        <w:tc>
          <w:tcPr>
            <w:tcW w:w="2327" w:type="dxa"/>
            <w:shd w:val="clear" w:color="auto" w:fill="D9D9D9" w:themeFill="background1" w:themeFillShade="D9"/>
          </w:tcPr>
          <w:p w14:paraId="29222B6F" w14:textId="77777777" w:rsidR="0074038E" w:rsidRPr="007F510A" w:rsidRDefault="0074038E" w:rsidP="006C1E05">
            <w:pPr>
              <w:rPr>
                <w:rFonts w:ascii="Arial" w:hAnsi="Arial" w:cs="Arial"/>
              </w:rPr>
            </w:pPr>
          </w:p>
        </w:tc>
        <w:tc>
          <w:tcPr>
            <w:tcW w:w="2181" w:type="dxa"/>
            <w:shd w:val="clear" w:color="auto" w:fill="D9D9D9" w:themeFill="background1" w:themeFillShade="D9"/>
          </w:tcPr>
          <w:p w14:paraId="18ACB904" w14:textId="752BAB9A" w:rsidR="0074038E" w:rsidRPr="007F510A" w:rsidRDefault="006C1E05" w:rsidP="006C1E05">
            <w:pPr>
              <w:rPr>
                <w:rFonts w:ascii="Arial" w:hAnsi="Arial" w:cs="Arial"/>
              </w:rPr>
            </w:pPr>
            <w:r>
              <w:rPr>
                <w:rFonts w:ascii="Arial" w:hAnsi="Arial" w:cs="Arial"/>
              </w:rPr>
              <w:t>100%</w:t>
            </w:r>
          </w:p>
        </w:tc>
        <w:tc>
          <w:tcPr>
            <w:tcW w:w="2181" w:type="dxa"/>
            <w:shd w:val="clear" w:color="auto" w:fill="D9D9D9" w:themeFill="background1" w:themeFillShade="D9"/>
          </w:tcPr>
          <w:p w14:paraId="2E69085F" w14:textId="168A4BC5" w:rsidR="0074038E" w:rsidRPr="007F510A" w:rsidRDefault="006C1E05" w:rsidP="006C1E05">
            <w:pPr>
              <w:rPr>
                <w:rFonts w:ascii="Arial" w:hAnsi="Arial" w:cs="Arial"/>
              </w:rPr>
            </w:pPr>
            <w:r>
              <w:rPr>
                <w:rFonts w:ascii="Arial" w:hAnsi="Arial" w:cs="Arial"/>
              </w:rPr>
              <w:t>100%</w:t>
            </w:r>
          </w:p>
        </w:tc>
      </w:tr>
    </w:tbl>
    <w:p w14:paraId="320FC6B2" w14:textId="1F603C5A" w:rsidR="0006696B" w:rsidRDefault="0006696B" w:rsidP="0074038E">
      <w:pPr>
        <w:rPr>
          <w:rFonts w:ascii="Arial" w:hAnsi="Arial" w:cs="Arial"/>
        </w:rPr>
      </w:pPr>
    </w:p>
    <w:p w14:paraId="49F80C5B" w14:textId="4BFED9B9" w:rsidR="0074038E" w:rsidRDefault="0074038E" w:rsidP="0074038E">
      <w:pPr>
        <w:rPr>
          <w:rFonts w:ascii="Arial" w:hAnsi="Arial" w:cs="Arial"/>
        </w:rPr>
      </w:pPr>
    </w:p>
    <w:p w14:paraId="0AF35FCF" w14:textId="35AF3442" w:rsidR="0074038E" w:rsidRDefault="0074038E" w:rsidP="0074038E">
      <w:pPr>
        <w:rPr>
          <w:rFonts w:ascii="Arial" w:hAnsi="Arial" w:cs="Arial"/>
        </w:rPr>
      </w:pPr>
    </w:p>
    <w:p w14:paraId="1D749A53" w14:textId="1D512D88" w:rsidR="0074038E" w:rsidRDefault="0074038E" w:rsidP="0074038E">
      <w:pPr>
        <w:rPr>
          <w:rFonts w:ascii="Arial" w:hAnsi="Arial" w:cs="Arial"/>
        </w:rPr>
      </w:pPr>
    </w:p>
    <w:p w14:paraId="4E4C89E8" w14:textId="69535867" w:rsidR="0074038E" w:rsidRDefault="0074038E" w:rsidP="0074038E">
      <w:pPr>
        <w:rPr>
          <w:rFonts w:ascii="Arial" w:hAnsi="Arial" w:cs="Arial"/>
        </w:rPr>
      </w:pPr>
    </w:p>
    <w:p w14:paraId="3D73606D" w14:textId="0E471CDA" w:rsidR="0074038E" w:rsidRDefault="0074038E" w:rsidP="0074038E">
      <w:pPr>
        <w:rPr>
          <w:rFonts w:ascii="Arial" w:hAnsi="Arial" w:cs="Arial"/>
        </w:rPr>
      </w:pPr>
    </w:p>
    <w:p w14:paraId="592A9635" w14:textId="51D1663D" w:rsidR="0074038E" w:rsidRDefault="0074038E" w:rsidP="0074038E">
      <w:pPr>
        <w:rPr>
          <w:rFonts w:ascii="Arial" w:hAnsi="Arial" w:cs="Arial"/>
        </w:rPr>
      </w:pPr>
    </w:p>
    <w:p w14:paraId="694C1D15" w14:textId="28049030" w:rsidR="0074038E" w:rsidRDefault="0074038E" w:rsidP="0074038E">
      <w:pPr>
        <w:rPr>
          <w:rFonts w:ascii="Arial" w:hAnsi="Arial" w:cs="Arial"/>
        </w:rPr>
      </w:pPr>
    </w:p>
    <w:p w14:paraId="521C47F2" w14:textId="2200E5D5" w:rsidR="0074038E" w:rsidRDefault="0074038E" w:rsidP="0074038E">
      <w:pPr>
        <w:rPr>
          <w:rFonts w:ascii="Arial" w:hAnsi="Arial" w:cs="Arial"/>
        </w:rPr>
      </w:pPr>
    </w:p>
    <w:p w14:paraId="177DEAD5" w14:textId="77777777" w:rsidR="0074038E" w:rsidRPr="0074038E" w:rsidRDefault="0074038E" w:rsidP="0074038E">
      <w:pPr>
        <w:rPr>
          <w:rFonts w:ascii="Arial" w:hAnsi="Arial" w:cs="Arial"/>
        </w:rPr>
      </w:pPr>
    </w:p>
    <w:p w14:paraId="410F6ADF" w14:textId="0783CE6C" w:rsidR="00D51387" w:rsidRDefault="00D83692" w:rsidP="0074038E">
      <w:pPr>
        <w:pStyle w:val="ListParagraph"/>
        <w:numPr>
          <w:ilvl w:val="0"/>
          <w:numId w:val="10"/>
        </w:numPr>
        <w:ind w:left="709" w:hanging="502"/>
        <w:rPr>
          <w:rFonts w:ascii="Arial" w:hAnsi="Arial" w:cs="Arial"/>
        </w:rPr>
      </w:pPr>
      <w:r w:rsidRPr="00D83692">
        <w:rPr>
          <w:rFonts w:ascii="Arial" w:hAnsi="Arial" w:cs="Arial"/>
        </w:rPr>
        <w:t>The Council will expect to be invoiced initially at the conclusion of the tasks and this invoice should fully itemise the works undertaken. If subsequent follow up works are arranged a second invoice stage would be required</w:t>
      </w:r>
    </w:p>
    <w:p w14:paraId="6692CB71" w14:textId="77777777" w:rsidR="00D51387" w:rsidRDefault="00D51387" w:rsidP="00D51387">
      <w:pPr>
        <w:pStyle w:val="ListParagraph"/>
        <w:ind w:left="567"/>
        <w:rPr>
          <w:rFonts w:ascii="Arial" w:hAnsi="Arial" w:cs="Arial"/>
        </w:rPr>
      </w:pPr>
    </w:p>
    <w:p w14:paraId="420DB071" w14:textId="77777777" w:rsidR="00D51387" w:rsidRDefault="00D83692" w:rsidP="0074038E">
      <w:pPr>
        <w:pStyle w:val="ListParagraph"/>
        <w:numPr>
          <w:ilvl w:val="0"/>
          <w:numId w:val="10"/>
        </w:numPr>
        <w:ind w:left="709" w:hanging="502"/>
        <w:rPr>
          <w:rFonts w:ascii="Arial" w:hAnsi="Arial" w:cs="Arial"/>
        </w:rPr>
      </w:pPr>
      <w:r w:rsidRPr="00D51387">
        <w:rPr>
          <w:rFonts w:ascii="Arial" w:hAnsi="Arial" w:cs="Arial"/>
        </w:rPr>
        <w:t>The overall approach to the work, timetable and terms of payment will be finalised and agreed at the inception meeting.</w:t>
      </w:r>
    </w:p>
    <w:p w14:paraId="2236B9DE" w14:textId="77777777" w:rsidR="00D51387" w:rsidRPr="00D51387" w:rsidRDefault="00D51387" w:rsidP="00D51387">
      <w:pPr>
        <w:pStyle w:val="ListParagraph"/>
        <w:rPr>
          <w:rFonts w:ascii="Arial" w:hAnsi="Arial" w:cs="Arial"/>
        </w:rPr>
      </w:pPr>
    </w:p>
    <w:p w14:paraId="7E3A46A4" w14:textId="11BBF1A8" w:rsidR="00D83692" w:rsidRDefault="00835C5A" w:rsidP="0074038E">
      <w:pPr>
        <w:pStyle w:val="ListParagraph"/>
        <w:numPr>
          <w:ilvl w:val="0"/>
          <w:numId w:val="10"/>
        </w:numPr>
        <w:ind w:left="709" w:hanging="502"/>
        <w:rPr>
          <w:rFonts w:ascii="Arial" w:hAnsi="Arial" w:cs="Arial"/>
          <w:b/>
        </w:rPr>
      </w:pPr>
      <w:r>
        <w:rPr>
          <w:rFonts w:ascii="Arial" w:hAnsi="Arial" w:cs="Arial"/>
          <w:b/>
        </w:rPr>
        <w:t>Importantly, a</w:t>
      </w:r>
      <w:r w:rsidR="00D83692" w:rsidRPr="00F73D08">
        <w:rPr>
          <w:rFonts w:ascii="Arial" w:hAnsi="Arial" w:cs="Arial"/>
          <w:b/>
        </w:rPr>
        <w:t>ny matters relating to contractual terms should be raised</w:t>
      </w:r>
      <w:r w:rsidR="00F73D08">
        <w:rPr>
          <w:rFonts w:ascii="Arial" w:hAnsi="Arial" w:cs="Arial"/>
          <w:b/>
        </w:rPr>
        <w:t xml:space="preserve"> and resolved</w:t>
      </w:r>
      <w:r w:rsidR="00D83692" w:rsidRPr="00F73D08">
        <w:rPr>
          <w:rFonts w:ascii="Arial" w:hAnsi="Arial" w:cs="Arial"/>
          <w:b/>
        </w:rPr>
        <w:t xml:space="preserve"> during the tendering process and as part of the clarification questions to the Council.  </w:t>
      </w:r>
    </w:p>
    <w:p w14:paraId="29A15B6F" w14:textId="77777777" w:rsidR="00175BA2" w:rsidRDefault="00175BA2" w:rsidP="00175BA2">
      <w:pPr>
        <w:tabs>
          <w:tab w:val="left" w:pos="6790"/>
        </w:tabs>
        <w:rPr>
          <w:rFonts w:ascii="Arial" w:hAnsi="Arial" w:cs="Arial"/>
          <w:b/>
          <w:sz w:val="24"/>
          <w:szCs w:val="24"/>
        </w:rPr>
      </w:pPr>
    </w:p>
    <w:sectPr w:rsidR="00175BA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BFD6" w14:textId="77777777" w:rsidR="00882C11" w:rsidRDefault="00882C11" w:rsidP="0095386F">
      <w:pPr>
        <w:spacing w:after="0" w:line="240" w:lineRule="auto"/>
      </w:pPr>
      <w:r>
        <w:separator/>
      </w:r>
    </w:p>
  </w:endnote>
  <w:endnote w:type="continuationSeparator" w:id="0">
    <w:p w14:paraId="7C4EB3C7" w14:textId="77777777" w:rsidR="00882C11" w:rsidRDefault="00882C11" w:rsidP="0095386F">
      <w:pPr>
        <w:spacing w:after="0" w:line="240" w:lineRule="auto"/>
      </w:pPr>
      <w:r>
        <w:continuationSeparator/>
      </w:r>
    </w:p>
  </w:endnote>
  <w:endnote w:type="continuationNotice" w:id="1">
    <w:p w14:paraId="2A14B074" w14:textId="77777777" w:rsidR="00882C11" w:rsidRDefault="00882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5F49" w14:textId="77777777" w:rsidR="00882C11" w:rsidRDefault="0088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8D45F" w14:textId="77777777" w:rsidR="00882C11" w:rsidRDefault="00882C11" w:rsidP="0095386F">
      <w:pPr>
        <w:spacing w:after="0" w:line="240" w:lineRule="auto"/>
      </w:pPr>
      <w:r>
        <w:separator/>
      </w:r>
    </w:p>
  </w:footnote>
  <w:footnote w:type="continuationSeparator" w:id="0">
    <w:p w14:paraId="365AC77F" w14:textId="77777777" w:rsidR="00882C11" w:rsidRDefault="00882C11" w:rsidP="0095386F">
      <w:pPr>
        <w:spacing w:after="0" w:line="240" w:lineRule="auto"/>
      </w:pPr>
      <w:r>
        <w:continuationSeparator/>
      </w:r>
    </w:p>
  </w:footnote>
  <w:footnote w:type="continuationNotice" w:id="1">
    <w:p w14:paraId="335473B9" w14:textId="77777777" w:rsidR="00882C11" w:rsidRDefault="00882C11">
      <w:pPr>
        <w:spacing w:after="0" w:line="240" w:lineRule="auto"/>
      </w:pPr>
    </w:p>
  </w:footnote>
  <w:footnote w:id="2">
    <w:p w14:paraId="518D60E0" w14:textId="7C96FBC2" w:rsidR="00882C11" w:rsidRDefault="00882C11">
      <w:pPr>
        <w:pStyle w:val="FootnoteText"/>
      </w:pPr>
      <w:r>
        <w:rPr>
          <w:rStyle w:val="FootnoteReference"/>
        </w:rPr>
        <w:footnoteRef/>
      </w:r>
      <w:r>
        <w:t xml:space="preserve"> </w:t>
      </w:r>
      <w:hyperlink r:id="rId1" w:history="1">
        <w:r>
          <w:rPr>
            <w:rStyle w:val="Hyperlink"/>
          </w:rPr>
          <w:t>Swindon population change, Census 2021 – ONS</w:t>
        </w:r>
      </w:hyperlink>
    </w:p>
  </w:footnote>
  <w:footnote w:id="3">
    <w:p w14:paraId="46EA027A" w14:textId="4470840D" w:rsidR="00882C11" w:rsidRDefault="00882C11">
      <w:pPr>
        <w:pStyle w:val="FootnoteText"/>
      </w:pPr>
      <w:r>
        <w:rPr>
          <w:rStyle w:val="FootnoteReference"/>
        </w:rPr>
        <w:footnoteRef/>
      </w:r>
      <w:r>
        <w:t xml:space="preserve"> </w:t>
      </w:r>
      <w:hyperlink r:id="rId2" w:history="1">
        <w:r>
          <w:rPr>
            <w:rStyle w:val="Hyperlink"/>
          </w:rPr>
          <w:t>Conservation areas | Swindon Borough Council</w:t>
        </w:r>
      </w:hyperlink>
    </w:p>
  </w:footnote>
  <w:footnote w:id="4">
    <w:p w14:paraId="64EB359A" w14:textId="05CAB81F" w:rsidR="00882C11" w:rsidRDefault="00882C11">
      <w:pPr>
        <w:pStyle w:val="FootnoteText"/>
      </w:pPr>
      <w:r>
        <w:rPr>
          <w:rStyle w:val="FootnoteReference"/>
        </w:rPr>
        <w:footnoteRef/>
      </w:r>
      <w:r>
        <w:t xml:space="preserve">  </w:t>
      </w:r>
      <w:hyperlink r:id="rId3" w:history="1">
        <w:r>
          <w:rPr>
            <w:rStyle w:val="Hyperlink"/>
          </w:rPr>
          <w:t>Swindon population change, Census 2021 – ONS</w:t>
        </w:r>
      </w:hyperlink>
    </w:p>
  </w:footnote>
  <w:footnote w:id="5">
    <w:p w14:paraId="0E1DEDCF" w14:textId="6209120C" w:rsidR="00882C11" w:rsidRPr="00E20BC7" w:rsidRDefault="00882C11">
      <w:pPr>
        <w:pStyle w:val="FootnoteText"/>
      </w:pPr>
      <w:r w:rsidRPr="00E20BC7">
        <w:rPr>
          <w:rStyle w:val="FootnoteReference"/>
        </w:rPr>
        <w:footnoteRef/>
      </w:r>
      <w:r w:rsidRPr="00E20BC7">
        <w:t xml:space="preserve"> </w:t>
      </w:r>
      <w:hyperlink r:id="rId4" w:history="1">
        <w:r w:rsidRPr="00E20BC7">
          <w:rPr>
            <w:color w:val="0000FF"/>
            <w:u w:val="single"/>
          </w:rPr>
          <w:t>Public health annual report | Swindon Borough Council</w:t>
        </w:r>
      </w:hyperlink>
    </w:p>
  </w:footnote>
  <w:footnote w:id="6">
    <w:p w14:paraId="1E0758F9" w14:textId="6B986181" w:rsidR="00882C11" w:rsidRDefault="00882C11">
      <w:pPr>
        <w:pStyle w:val="FootnoteText"/>
      </w:pPr>
      <w:r>
        <w:rPr>
          <w:rStyle w:val="FootnoteReference"/>
        </w:rPr>
        <w:footnoteRef/>
      </w:r>
      <w:r>
        <w:t xml:space="preserve"> </w:t>
      </w:r>
      <w:hyperlink r:id="rId5" w:history="1">
        <w:r w:rsidRPr="00BB1233">
          <w:rPr>
            <w:color w:val="0000FF"/>
            <w:sz w:val="16"/>
            <w:szCs w:val="16"/>
            <w:u w:val="single"/>
          </w:rPr>
          <w:t>Swindon Employment Land Review Final Report March 2017 | Swindon Borough Council</w:t>
        </w:r>
      </w:hyperlink>
    </w:p>
  </w:footnote>
  <w:footnote w:id="7">
    <w:p w14:paraId="1B9A6B07" w14:textId="1F41D1C0" w:rsidR="00882C11" w:rsidRDefault="00882C11">
      <w:pPr>
        <w:pStyle w:val="FootnoteText"/>
      </w:pPr>
      <w:r>
        <w:rPr>
          <w:rStyle w:val="FootnoteReference"/>
        </w:rPr>
        <w:footnoteRef/>
      </w:r>
      <w:r>
        <w:t xml:space="preserve"> Information taken from Green Jobs Taskforce – Report to Government, Industry and the Skills Sector 2022</w:t>
      </w:r>
    </w:p>
  </w:footnote>
  <w:footnote w:id="8">
    <w:p w14:paraId="3131DC95" w14:textId="6EDDC081" w:rsidR="00882C11" w:rsidRDefault="00882C11">
      <w:pPr>
        <w:pStyle w:val="FootnoteText"/>
      </w:pPr>
      <w:r>
        <w:rPr>
          <w:rStyle w:val="FootnoteReference"/>
        </w:rPr>
        <w:footnoteRef/>
      </w:r>
      <w:r>
        <w:t xml:space="preserve"> ONS Volume and value sales, </w:t>
      </w:r>
      <w:proofErr w:type="spellStart"/>
      <w:r>
        <w:t>seasonably</w:t>
      </w:r>
      <w:proofErr w:type="spellEnd"/>
      <w:r>
        <w:t xml:space="preserve"> adjusted, Great Britain, December 2019 to December 2022, ONS – Monthly Business Survey, Retail Sales Inquiry.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F302" w14:textId="77777777" w:rsidR="00882C11" w:rsidRDefault="00882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E5FA80"/>
    <w:multiLevelType w:val="hybridMultilevel"/>
    <w:tmpl w:val="DC5055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151D"/>
    <w:multiLevelType w:val="hybridMultilevel"/>
    <w:tmpl w:val="7F58BD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0C3624E"/>
    <w:multiLevelType w:val="hybridMultilevel"/>
    <w:tmpl w:val="2FE606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0F9113D"/>
    <w:multiLevelType w:val="hybridMultilevel"/>
    <w:tmpl w:val="06AE856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01CE7781"/>
    <w:multiLevelType w:val="hybridMultilevel"/>
    <w:tmpl w:val="3368AA6E"/>
    <w:lvl w:ilvl="0" w:tplc="FF9C887E">
      <w:start w:val="1"/>
      <w:numFmt w:val="decimal"/>
      <w:lvlText w:val="%1."/>
      <w:lvlJc w:val="left"/>
      <w:pPr>
        <w:ind w:left="720" w:hanging="360"/>
      </w:pPr>
      <w:rPr>
        <w:rFonts w:ascii="Arial" w:eastAsia="Times New Roman" w:hAnsi="Arial" w:cs="Arial" w:hint="default"/>
        <w:b w:val="0"/>
        <w:color w:val="auto"/>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7FA1B9C">
      <w:numFmt w:val="bullet"/>
      <w:lvlText w:val="-"/>
      <w:lvlJc w:val="left"/>
      <w:pPr>
        <w:ind w:left="3600" w:hanging="360"/>
      </w:pPr>
      <w:rPr>
        <w:rFonts w:ascii="Arial" w:eastAsiaTheme="minorHAnsi"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115C4"/>
    <w:multiLevelType w:val="hybridMultilevel"/>
    <w:tmpl w:val="79088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6DB3DE9"/>
    <w:multiLevelType w:val="hybridMultilevel"/>
    <w:tmpl w:val="99B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31232F"/>
    <w:multiLevelType w:val="hybridMultilevel"/>
    <w:tmpl w:val="DBF25EBC"/>
    <w:lvl w:ilvl="0" w:tplc="0809000F">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471F9"/>
    <w:multiLevelType w:val="hybridMultilevel"/>
    <w:tmpl w:val="3A9E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DF00DC"/>
    <w:multiLevelType w:val="hybridMultilevel"/>
    <w:tmpl w:val="51EA00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13F5522"/>
    <w:multiLevelType w:val="hybridMultilevel"/>
    <w:tmpl w:val="C5E8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61970"/>
    <w:multiLevelType w:val="hybridMultilevel"/>
    <w:tmpl w:val="26167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1F4288"/>
    <w:multiLevelType w:val="hybridMultilevel"/>
    <w:tmpl w:val="4C665C2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3" w15:restartNumberingAfterBreak="0">
    <w:nsid w:val="1FA0688A"/>
    <w:multiLevelType w:val="hybridMultilevel"/>
    <w:tmpl w:val="1F566C3E"/>
    <w:lvl w:ilvl="0" w:tplc="0809000F">
      <w:start w:val="1"/>
      <w:numFmt w:val="decimal"/>
      <w:lvlText w:val="%1."/>
      <w:lvlJc w:val="left"/>
      <w:pPr>
        <w:ind w:left="720" w:hanging="360"/>
      </w:pPr>
      <w:rPr>
        <w:rFonts w:hint="default"/>
        <w:b w:val="0"/>
        <w:color w:val="auto"/>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396066"/>
    <w:multiLevelType w:val="hybridMultilevel"/>
    <w:tmpl w:val="EAFE92C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2586524F"/>
    <w:multiLevelType w:val="hybridMultilevel"/>
    <w:tmpl w:val="B512F7E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6" w15:restartNumberingAfterBreak="0">
    <w:nsid w:val="2DBD787C"/>
    <w:multiLevelType w:val="hybridMultilevel"/>
    <w:tmpl w:val="150CD2C8"/>
    <w:lvl w:ilvl="0" w:tplc="4308071C">
      <w:start w:val="1"/>
      <w:numFmt w:val="bullet"/>
      <w:lvlText w:val=""/>
      <w:lvlJc w:val="left"/>
      <w:pPr>
        <w:tabs>
          <w:tab w:val="num" w:pos="360"/>
        </w:tabs>
        <w:ind w:left="357" w:hanging="35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C6273"/>
    <w:multiLevelType w:val="hybridMultilevel"/>
    <w:tmpl w:val="4BFE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C0C48"/>
    <w:multiLevelType w:val="hybridMultilevel"/>
    <w:tmpl w:val="966E8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550A27"/>
    <w:multiLevelType w:val="hybridMultilevel"/>
    <w:tmpl w:val="BC08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2F0A4"/>
    <w:multiLevelType w:val="hybridMultilevel"/>
    <w:tmpl w:val="A8BC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487D20"/>
    <w:multiLevelType w:val="hybridMultilevel"/>
    <w:tmpl w:val="FDDCAC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24036AA"/>
    <w:multiLevelType w:val="hybridMultilevel"/>
    <w:tmpl w:val="0DE208A2"/>
    <w:lvl w:ilvl="0" w:tplc="BDDC177A">
      <w:start w:val="28"/>
      <w:numFmt w:val="decimal"/>
      <w:lvlText w:val="%1."/>
      <w:lvlJc w:val="left"/>
      <w:pPr>
        <w:ind w:left="1778" w:hanging="360"/>
      </w:pPr>
      <w:rPr>
        <w:rFonts w:ascii="Arial" w:hAnsi="Arial" w:cs="Arial" w:hint="default"/>
        <w:b w:val="0"/>
        <w:sz w:val="22"/>
        <w:szCs w:val="22"/>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553A668A"/>
    <w:multiLevelType w:val="hybridMultilevel"/>
    <w:tmpl w:val="989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E33C4"/>
    <w:multiLevelType w:val="multilevel"/>
    <w:tmpl w:val="0980E320"/>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cs="Arial" w:hint="default"/>
        <w:b w:val="0"/>
        <w:i w:val="0"/>
      </w:rPr>
    </w:lvl>
    <w:lvl w:ilvl="3">
      <w:start w:val="1"/>
      <w:numFmt w:val="decimal"/>
      <w:pStyle w:val="Heading4"/>
      <w:lvlText w:val="%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7062BE1"/>
    <w:multiLevelType w:val="hybridMultilevel"/>
    <w:tmpl w:val="09F2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456A6"/>
    <w:multiLevelType w:val="hybridMultilevel"/>
    <w:tmpl w:val="D9CAD712"/>
    <w:lvl w:ilvl="0" w:tplc="08090001">
      <w:start w:val="1"/>
      <w:numFmt w:val="bullet"/>
      <w:lvlText w:val=""/>
      <w:lvlJc w:val="left"/>
      <w:pPr>
        <w:ind w:left="7515" w:hanging="360"/>
      </w:pPr>
      <w:rPr>
        <w:rFonts w:ascii="Symbol" w:hAnsi="Symbol" w:hint="default"/>
      </w:rPr>
    </w:lvl>
    <w:lvl w:ilvl="1" w:tplc="08090003" w:tentative="1">
      <w:start w:val="1"/>
      <w:numFmt w:val="bullet"/>
      <w:lvlText w:val="o"/>
      <w:lvlJc w:val="left"/>
      <w:pPr>
        <w:ind w:left="8235" w:hanging="360"/>
      </w:pPr>
      <w:rPr>
        <w:rFonts w:ascii="Courier New" w:hAnsi="Courier New" w:cs="Courier New" w:hint="default"/>
      </w:rPr>
    </w:lvl>
    <w:lvl w:ilvl="2" w:tplc="08090005" w:tentative="1">
      <w:start w:val="1"/>
      <w:numFmt w:val="bullet"/>
      <w:lvlText w:val=""/>
      <w:lvlJc w:val="left"/>
      <w:pPr>
        <w:ind w:left="8955" w:hanging="360"/>
      </w:pPr>
      <w:rPr>
        <w:rFonts w:ascii="Wingdings" w:hAnsi="Wingdings" w:hint="default"/>
      </w:rPr>
    </w:lvl>
    <w:lvl w:ilvl="3" w:tplc="08090001" w:tentative="1">
      <w:start w:val="1"/>
      <w:numFmt w:val="bullet"/>
      <w:lvlText w:val=""/>
      <w:lvlJc w:val="left"/>
      <w:pPr>
        <w:ind w:left="9675" w:hanging="360"/>
      </w:pPr>
      <w:rPr>
        <w:rFonts w:ascii="Symbol" w:hAnsi="Symbol" w:hint="default"/>
      </w:rPr>
    </w:lvl>
    <w:lvl w:ilvl="4" w:tplc="08090003" w:tentative="1">
      <w:start w:val="1"/>
      <w:numFmt w:val="bullet"/>
      <w:lvlText w:val="o"/>
      <w:lvlJc w:val="left"/>
      <w:pPr>
        <w:ind w:left="10395" w:hanging="360"/>
      </w:pPr>
      <w:rPr>
        <w:rFonts w:ascii="Courier New" w:hAnsi="Courier New" w:cs="Courier New" w:hint="default"/>
      </w:rPr>
    </w:lvl>
    <w:lvl w:ilvl="5" w:tplc="08090005" w:tentative="1">
      <w:start w:val="1"/>
      <w:numFmt w:val="bullet"/>
      <w:lvlText w:val=""/>
      <w:lvlJc w:val="left"/>
      <w:pPr>
        <w:ind w:left="11115" w:hanging="360"/>
      </w:pPr>
      <w:rPr>
        <w:rFonts w:ascii="Wingdings" w:hAnsi="Wingdings" w:hint="default"/>
      </w:rPr>
    </w:lvl>
    <w:lvl w:ilvl="6" w:tplc="08090001" w:tentative="1">
      <w:start w:val="1"/>
      <w:numFmt w:val="bullet"/>
      <w:lvlText w:val=""/>
      <w:lvlJc w:val="left"/>
      <w:pPr>
        <w:ind w:left="11835" w:hanging="360"/>
      </w:pPr>
      <w:rPr>
        <w:rFonts w:ascii="Symbol" w:hAnsi="Symbol" w:hint="default"/>
      </w:rPr>
    </w:lvl>
    <w:lvl w:ilvl="7" w:tplc="08090003" w:tentative="1">
      <w:start w:val="1"/>
      <w:numFmt w:val="bullet"/>
      <w:lvlText w:val="o"/>
      <w:lvlJc w:val="left"/>
      <w:pPr>
        <w:ind w:left="12555" w:hanging="360"/>
      </w:pPr>
      <w:rPr>
        <w:rFonts w:ascii="Courier New" w:hAnsi="Courier New" w:cs="Courier New" w:hint="default"/>
      </w:rPr>
    </w:lvl>
    <w:lvl w:ilvl="8" w:tplc="08090005" w:tentative="1">
      <w:start w:val="1"/>
      <w:numFmt w:val="bullet"/>
      <w:lvlText w:val=""/>
      <w:lvlJc w:val="left"/>
      <w:pPr>
        <w:ind w:left="13275" w:hanging="360"/>
      </w:pPr>
      <w:rPr>
        <w:rFonts w:ascii="Wingdings" w:hAnsi="Wingdings" w:hint="default"/>
      </w:rPr>
    </w:lvl>
  </w:abstractNum>
  <w:abstractNum w:abstractNumId="27" w15:restartNumberingAfterBreak="0">
    <w:nsid w:val="706A56CA"/>
    <w:multiLevelType w:val="hybridMultilevel"/>
    <w:tmpl w:val="81447908"/>
    <w:lvl w:ilvl="0" w:tplc="B1D26F40">
      <w:numFmt w:val="bullet"/>
      <w:lvlText w:val="•"/>
      <w:lvlJc w:val="left"/>
      <w:pPr>
        <w:ind w:left="786"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256CD"/>
    <w:multiLevelType w:val="hybridMultilevel"/>
    <w:tmpl w:val="4056AD2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9" w15:restartNumberingAfterBreak="0">
    <w:nsid w:val="730F4BBA"/>
    <w:multiLevelType w:val="hybridMultilevel"/>
    <w:tmpl w:val="D05037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37A5A6F"/>
    <w:multiLevelType w:val="hybridMultilevel"/>
    <w:tmpl w:val="5922ED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4F47D72"/>
    <w:multiLevelType w:val="hybridMultilevel"/>
    <w:tmpl w:val="AC8027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6B71A5D"/>
    <w:multiLevelType w:val="hybridMultilevel"/>
    <w:tmpl w:val="B1687E80"/>
    <w:lvl w:ilvl="0" w:tplc="818C51EC">
      <w:start w:val="46"/>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CD33CA"/>
    <w:multiLevelType w:val="hybridMultilevel"/>
    <w:tmpl w:val="1F566C3E"/>
    <w:lvl w:ilvl="0" w:tplc="0809000F">
      <w:start w:val="1"/>
      <w:numFmt w:val="decimal"/>
      <w:lvlText w:val="%1."/>
      <w:lvlJc w:val="left"/>
      <w:pPr>
        <w:ind w:left="720" w:hanging="360"/>
      </w:pPr>
      <w:rPr>
        <w:rFonts w:hint="default"/>
        <w:b w:val="0"/>
        <w:color w:val="auto"/>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AF202F"/>
    <w:multiLevelType w:val="hybridMultilevel"/>
    <w:tmpl w:val="B82628B6"/>
    <w:lvl w:ilvl="0" w:tplc="4308071C">
      <w:start w:val="1"/>
      <w:numFmt w:val="bullet"/>
      <w:lvlText w:val=""/>
      <w:lvlJc w:val="left"/>
      <w:pPr>
        <w:tabs>
          <w:tab w:val="num" w:pos="360"/>
        </w:tabs>
        <w:ind w:left="357" w:hanging="35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18"/>
  </w:num>
  <w:num w:numId="4">
    <w:abstractNumId w:val="27"/>
  </w:num>
  <w:num w:numId="5">
    <w:abstractNumId w:val="4"/>
  </w:num>
  <w:num w:numId="6">
    <w:abstractNumId w:val="7"/>
  </w:num>
  <w:num w:numId="7">
    <w:abstractNumId w:val="15"/>
  </w:num>
  <w:num w:numId="8">
    <w:abstractNumId w:val="32"/>
  </w:num>
  <w:num w:numId="9">
    <w:abstractNumId w:val="31"/>
  </w:num>
  <w:num w:numId="10">
    <w:abstractNumId w:val="22"/>
  </w:num>
  <w:num w:numId="11">
    <w:abstractNumId w:val="30"/>
  </w:num>
  <w:num w:numId="12">
    <w:abstractNumId w:val="26"/>
  </w:num>
  <w:num w:numId="13">
    <w:abstractNumId w:val="3"/>
  </w:num>
  <w:num w:numId="14">
    <w:abstractNumId w:val="29"/>
  </w:num>
  <w:num w:numId="15">
    <w:abstractNumId w:val="2"/>
  </w:num>
  <w:num w:numId="16">
    <w:abstractNumId w:val="11"/>
  </w:num>
  <w:num w:numId="17">
    <w:abstractNumId w:val="5"/>
  </w:num>
  <w:num w:numId="18">
    <w:abstractNumId w:val="20"/>
  </w:num>
  <w:num w:numId="19">
    <w:abstractNumId w:val="17"/>
  </w:num>
  <w:num w:numId="20">
    <w:abstractNumId w:val="25"/>
  </w:num>
  <w:num w:numId="21">
    <w:abstractNumId w:val="6"/>
  </w:num>
  <w:num w:numId="22">
    <w:abstractNumId w:val="23"/>
  </w:num>
  <w:num w:numId="23">
    <w:abstractNumId w:val="21"/>
  </w:num>
  <w:num w:numId="24">
    <w:abstractNumId w:val="0"/>
  </w:num>
  <w:num w:numId="25">
    <w:abstractNumId w:val="14"/>
  </w:num>
  <w:num w:numId="26">
    <w:abstractNumId w:val="28"/>
  </w:num>
  <w:num w:numId="27">
    <w:abstractNumId w:val="12"/>
  </w:num>
  <w:num w:numId="28">
    <w:abstractNumId w:val="9"/>
  </w:num>
  <w:num w:numId="29">
    <w:abstractNumId w:val="1"/>
  </w:num>
  <w:num w:numId="30">
    <w:abstractNumId w:val="19"/>
  </w:num>
  <w:num w:numId="31">
    <w:abstractNumId w:val="10"/>
  </w:num>
  <w:num w:numId="32">
    <w:abstractNumId w:val="16"/>
  </w:num>
  <w:num w:numId="33">
    <w:abstractNumId w:val="34"/>
  </w:num>
  <w:num w:numId="34">
    <w:abstractNumId w:val="8"/>
  </w:num>
  <w:num w:numId="3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CF"/>
    <w:rsid w:val="00001904"/>
    <w:rsid w:val="000024BF"/>
    <w:rsid w:val="00003345"/>
    <w:rsid w:val="00003590"/>
    <w:rsid w:val="000070C7"/>
    <w:rsid w:val="00010D6F"/>
    <w:rsid w:val="00012D8D"/>
    <w:rsid w:val="0002240F"/>
    <w:rsid w:val="00022BF1"/>
    <w:rsid w:val="00023797"/>
    <w:rsid w:val="00023CC1"/>
    <w:rsid w:val="000406DF"/>
    <w:rsid w:val="0004242E"/>
    <w:rsid w:val="000506A6"/>
    <w:rsid w:val="000579F9"/>
    <w:rsid w:val="00060345"/>
    <w:rsid w:val="000626D6"/>
    <w:rsid w:val="0006696B"/>
    <w:rsid w:val="00067C80"/>
    <w:rsid w:val="0007581A"/>
    <w:rsid w:val="00081867"/>
    <w:rsid w:val="00081A28"/>
    <w:rsid w:val="00081B13"/>
    <w:rsid w:val="00084720"/>
    <w:rsid w:val="00085E54"/>
    <w:rsid w:val="00093958"/>
    <w:rsid w:val="0009626E"/>
    <w:rsid w:val="00096941"/>
    <w:rsid w:val="000B129E"/>
    <w:rsid w:val="000C338F"/>
    <w:rsid w:val="000C7A42"/>
    <w:rsid w:val="000D1385"/>
    <w:rsid w:val="000D71EE"/>
    <w:rsid w:val="000E2926"/>
    <w:rsid w:val="000F4A13"/>
    <w:rsid w:val="000F564F"/>
    <w:rsid w:val="000F7241"/>
    <w:rsid w:val="0010080F"/>
    <w:rsid w:val="001014CB"/>
    <w:rsid w:val="001023FC"/>
    <w:rsid w:val="00102621"/>
    <w:rsid w:val="001073DD"/>
    <w:rsid w:val="00111D9E"/>
    <w:rsid w:val="00114157"/>
    <w:rsid w:val="001213D5"/>
    <w:rsid w:val="001213DC"/>
    <w:rsid w:val="00122616"/>
    <w:rsid w:val="00127AD4"/>
    <w:rsid w:val="00130636"/>
    <w:rsid w:val="0013095C"/>
    <w:rsid w:val="00130F14"/>
    <w:rsid w:val="00132FA2"/>
    <w:rsid w:val="00140AEE"/>
    <w:rsid w:val="00152AC3"/>
    <w:rsid w:val="00152C28"/>
    <w:rsid w:val="00152E1E"/>
    <w:rsid w:val="00155237"/>
    <w:rsid w:val="00157D27"/>
    <w:rsid w:val="00160EE0"/>
    <w:rsid w:val="00167503"/>
    <w:rsid w:val="00171548"/>
    <w:rsid w:val="00171919"/>
    <w:rsid w:val="00175BA2"/>
    <w:rsid w:val="00195175"/>
    <w:rsid w:val="00195E7B"/>
    <w:rsid w:val="0019722E"/>
    <w:rsid w:val="00197D90"/>
    <w:rsid w:val="001A0DAC"/>
    <w:rsid w:val="001A1677"/>
    <w:rsid w:val="001A42A6"/>
    <w:rsid w:val="001B384E"/>
    <w:rsid w:val="001B5126"/>
    <w:rsid w:val="001C1424"/>
    <w:rsid w:val="001C5B19"/>
    <w:rsid w:val="001D028B"/>
    <w:rsid w:val="001D12D6"/>
    <w:rsid w:val="001D292D"/>
    <w:rsid w:val="001D3645"/>
    <w:rsid w:val="001E7A76"/>
    <w:rsid w:val="001F2F6C"/>
    <w:rsid w:val="001F4C24"/>
    <w:rsid w:val="0020245C"/>
    <w:rsid w:val="00203335"/>
    <w:rsid w:val="00206FB7"/>
    <w:rsid w:val="002101C7"/>
    <w:rsid w:val="00220CFA"/>
    <w:rsid w:val="00220E04"/>
    <w:rsid w:val="0022225D"/>
    <w:rsid w:val="002241E7"/>
    <w:rsid w:val="00246050"/>
    <w:rsid w:val="002477AE"/>
    <w:rsid w:val="00247ED5"/>
    <w:rsid w:val="0025497D"/>
    <w:rsid w:val="002559F9"/>
    <w:rsid w:val="00256F7E"/>
    <w:rsid w:val="00265D59"/>
    <w:rsid w:val="0026622F"/>
    <w:rsid w:val="002723C8"/>
    <w:rsid w:val="002729E3"/>
    <w:rsid w:val="00275D64"/>
    <w:rsid w:val="00275D86"/>
    <w:rsid w:val="00276CF6"/>
    <w:rsid w:val="002774E6"/>
    <w:rsid w:val="002818B4"/>
    <w:rsid w:val="00282A72"/>
    <w:rsid w:val="00293A79"/>
    <w:rsid w:val="002A1EF5"/>
    <w:rsid w:val="002A30D2"/>
    <w:rsid w:val="002B20E9"/>
    <w:rsid w:val="002B6F30"/>
    <w:rsid w:val="002C074E"/>
    <w:rsid w:val="002C41C2"/>
    <w:rsid w:val="002C796D"/>
    <w:rsid w:val="002D3689"/>
    <w:rsid w:val="002D3985"/>
    <w:rsid w:val="002D3E54"/>
    <w:rsid w:val="002D42C7"/>
    <w:rsid w:val="002E0DA4"/>
    <w:rsid w:val="002E13FB"/>
    <w:rsid w:val="002E470E"/>
    <w:rsid w:val="002E6942"/>
    <w:rsid w:val="002F77F3"/>
    <w:rsid w:val="0030056F"/>
    <w:rsid w:val="0030466C"/>
    <w:rsid w:val="003100C6"/>
    <w:rsid w:val="003111E2"/>
    <w:rsid w:val="00314F7C"/>
    <w:rsid w:val="00316942"/>
    <w:rsid w:val="00320E2C"/>
    <w:rsid w:val="00322410"/>
    <w:rsid w:val="00325A4C"/>
    <w:rsid w:val="00330A4C"/>
    <w:rsid w:val="00332660"/>
    <w:rsid w:val="0033659E"/>
    <w:rsid w:val="00341F0B"/>
    <w:rsid w:val="00343CEF"/>
    <w:rsid w:val="00344A90"/>
    <w:rsid w:val="003453E2"/>
    <w:rsid w:val="003455D9"/>
    <w:rsid w:val="003522A7"/>
    <w:rsid w:val="00354ED6"/>
    <w:rsid w:val="00355F01"/>
    <w:rsid w:val="0036111D"/>
    <w:rsid w:val="00362CC7"/>
    <w:rsid w:val="0037100F"/>
    <w:rsid w:val="003761EB"/>
    <w:rsid w:val="00382B78"/>
    <w:rsid w:val="003864B3"/>
    <w:rsid w:val="003972A2"/>
    <w:rsid w:val="003A0E5D"/>
    <w:rsid w:val="003A269D"/>
    <w:rsid w:val="003A406A"/>
    <w:rsid w:val="003A7F06"/>
    <w:rsid w:val="003B2521"/>
    <w:rsid w:val="003C24A0"/>
    <w:rsid w:val="003D45AD"/>
    <w:rsid w:val="003E0665"/>
    <w:rsid w:val="003E534E"/>
    <w:rsid w:val="003E792F"/>
    <w:rsid w:val="003F0104"/>
    <w:rsid w:val="003F66D9"/>
    <w:rsid w:val="003F725A"/>
    <w:rsid w:val="004155B8"/>
    <w:rsid w:val="00415F51"/>
    <w:rsid w:val="004168E4"/>
    <w:rsid w:val="0041741F"/>
    <w:rsid w:val="00427583"/>
    <w:rsid w:val="00430AEF"/>
    <w:rsid w:val="00434739"/>
    <w:rsid w:val="00436D3F"/>
    <w:rsid w:val="00437513"/>
    <w:rsid w:val="004408B9"/>
    <w:rsid w:val="00446A1B"/>
    <w:rsid w:val="004620EA"/>
    <w:rsid w:val="00465F3E"/>
    <w:rsid w:val="00470035"/>
    <w:rsid w:val="0047271F"/>
    <w:rsid w:val="00472B7A"/>
    <w:rsid w:val="004812EF"/>
    <w:rsid w:val="00482637"/>
    <w:rsid w:val="00483F2F"/>
    <w:rsid w:val="004875EC"/>
    <w:rsid w:val="00487745"/>
    <w:rsid w:val="004908E1"/>
    <w:rsid w:val="00491B65"/>
    <w:rsid w:val="004A148E"/>
    <w:rsid w:val="004A4452"/>
    <w:rsid w:val="004B0645"/>
    <w:rsid w:val="004B5D53"/>
    <w:rsid w:val="004C39D0"/>
    <w:rsid w:val="004C60A7"/>
    <w:rsid w:val="004D44A2"/>
    <w:rsid w:val="004D52A3"/>
    <w:rsid w:val="004D59AB"/>
    <w:rsid w:val="004D6659"/>
    <w:rsid w:val="004E2BC8"/>
    <w:rsid w:val="004E66BE"/>
    <w:rsid w:val="0050332B"/>
    <w:rsid w:val="00514AA5"/>
    <w:rsid w:val="00524CCC"/>
    <w:rsid w:val="005310FE"/>
    <w:rsid w:val="005317E1"/>
    <w:rsid w:val="00537A89"/>
    <w:rsid w:val="00537C29"/>
    <w:rsid w:val="00542DEA"/>
    <w:rsid w:val="0054383E"/>
    <w:rsid w:val="00543E04"/>
    <w:rsid w:val="005507EC"/>
    <w:rsid w:val="00551CB6"/>
    <w:rsid w:val="00556EEA"/>
    <w:rsid w:val="005856B4"/>
    <w:rsid w:val="005876A4"/>
    <w:rsid w:val="00592628"/>
    <w:rsid w:val="00593EA2"/>
    <w:rsid w:val="005951B6"/>
    <w:rsid w:val="005967CE"/>
    <w:rsid w:val="005A1EAF"/>
    <w:rsid w:val="005A27F8"/>
    <w:rsid w:val="005A2A9B"/>
    <w:rsid w:val="005C0392"/>
    <w:rsid w:val="005C3C97"/>
    <w:rsid w:val="005D3C7A"/>
    <w:rsid w:val="005E7DCD"/>
    <w:rsid w:val="005F122B"/>
    <w:rsid w:val="005F57ED"/>
    <w:rsid w:val="005F5FF3"/>
    <w:rsid w:val="0060161F"/>
    <w:rsid w:val="006067A3"/>
    <w:rsid w:val="00611B04"/>
    <w:rsid w:val="00612545"/>
    <w:rsid w:val="00613A9F"/>
    <w:rsid w:val="00615449"/>
    <w:rsid w:val="0062449A"/>
    <w:rsid w:val="00643E1C"/>
    <w:rsid w:val="00645448"/>
    <w:rsid w:val="00653655"/>
    <w:rsid w:val="00657111"/>
    <w:rsid w:val="00660C38"/>
    <w:rsid w:val="006632E0"/>
    <w:rsid w:val="00664215"/>
    <w:rsid w:val="006645A7"/>
    <w:rsid w:val="006737C6"/>
    <w:rsid w:val="0067398D"/>
    <w:rsid w:val="006754CA"/>
    <w:rsid w:val="006758C2"/>
    <w:rsid w:val="00676ED8"/>
    <w:rsid w:val="006804D4"/>
    <w:rsid w:val="00683DA1"/>
    <w:rsid w:val="00686457"/>
    <w:rsid w:val="00691188"/>
    <w:rsid w:val="00694269"/>
    <w:rsid w:val="006A0F20"/>
    <w:rsid w:val="006A5CC7"/>
    <w:rsid w:val="006A7501"/>
    <w:rsid w:val="006A7D79"/>
    <w:rsid w:val="006C0A97"/>
    <w:rsid w:val="006C1E05"/>
    <w:rsid w:val="006C45B5"/>
    <w:rsid w:val="006C5F17"/>
    <w:rsid w:val="006C72C8"/>
    <w:rsid w:val="006D0A8C"/>
    <w:rsid w:val="006D15D0"/>
    <w:rsid w:val="006D1610"/>
    <w:rsid w:val="006D24A3"/>
    <w:rsid w:val="006D3B27"/>
    <w:rsid w:val="006D6B75"/>
    <w:rsid w:val="006D6F3E"/>
    <w:rsid w:val="006D77B4"/>
    <w:rsid w:val="006E0B1A"/>
    <w:rsid w:val="006E4CEA"/>
    <w:rsid w:val="006E5D3E"/>
    <w:rsid w:val="006F2C9D"/>
    <w:rsid w:val="00705B37"/>
    <w:rsid w:val="00706A42"/>
    <w:rsid w:val="00710030"/>
    <w:rsid w:val="007148E2"/>
    <w:rsid w:val="00722804"/>
    <w:rsid w:val="0072361D"/>
    <w:rsid w:val="00725871"/>
    <w:rsid w:val="00726198"/>
    <w:rsid w:val="00726E9D"/>
    <w:rsid w:val="007342C4"/>
    <w:rsid w:val="00735B71"/>
    <w:rsid w:val="00740280"/>
    <w:rsid w:val="0074038E"/>
    <w:rsid w:val="007454C8"/>
    <w:rsid w:val="00746EE1"/>
    <w:rsid w:val="007474BD"/>
    <w:rsid w:val="007549E8"/>
    <w:rsid w:val="00757262"/>
    <w:rsid w:val="007620B9"/>
    <w:rsid w:val="00767A8C"/>
    <w:rsid w:val="00772E07"/>
    <w:rsid w:val="00774CF8"/>
    <w:rsid w:val="00781426"/>
    <w:rsid w:val="007850E1"/>
    <w:rsid w:val="0078726D"/>
    <w:rsid w:val="007903FA"/>
    <w:rsid w:val="007937DB"/>
    <w:rsid w:val="007A0EAD"/>
    <w:rsid w:val="007A1083"/>
    <w:rsid w:val="007A24A3"/>
    <w:rsid w:val="007A311A"/>
    <w:rsid w:val="007A37D6"/>
    <w:rsid w:val="007A6B79"/>
    <w:rsid w:val="007B326A"/>
    <w:rsid w:val="007B3F3C"/>
    <w:rsid w:val="007C1CB5"/>
    <w:rsid w:val="007C73BB"/>
    <w:rsid w:val="007C746F"/>
    <w:rsid w:val="007D3C47"/>
    <w:rsid w:val="007E041C"/>
    <w:rsid w:val="007E4F83"/>
    <w:rsid w:val="007E7C88"/>
    <w:rsid w:val="007F2644"/>
    <w:rsid w:val="007F510A"/>
    <w:rsid w:val="00802BC5"/>
    <w:rsid w:val="0080752D"/>
    <w:rsid w:val="00807D17"/>
    <w:rsid w:val="008111F0"/>
    <w:rsid w:val="00815591"/>
    <w:rsid w:val="00817396"/>
    <w:rsid w:val="0082050F"/>
    <w:rsid w:val="0082586A"/>
    <w:rsid w:val="008302C9"/>
    <w:rsid w:val="00831839"/>
    <w:rsid w:val="0083342E"/>
    <w:rsid w:val="00835C5A"/>
    <w:rsid w:val="00836DAE"/>
    <w:rsid w:val="0084065A"/>
    <w:rsid w:val="0084444B"/>
    <w:rsid w:val="00845765"/>
    <w:rsid w:val="00845D8E"/>
    <w:rsid w:val="008467C4"/>
    <w:rsid w:val="008549A4"/>
    <w:rsid w:val="008550E8"/>
    <w:rsid w:val="0085512F"/>
    <w:rsid w:val="00855750"/>
    <w:rsid w:val="008571ED"/>
    <w:rsid w:val="00860A55"/>
    <w:rsid w:val="00861C23"/>
    <w:rsid w:val="00862B10"/>
    <w:rsid w:val="00867EF0"/>
    <w:rsid w:val="008731D7"/>
    <w:rsid w:val="0088062D"/>
    <w:rsid w:val="0088203C"/>
    <w:rsid w:val="00882C11"/>
    <w:rsid w:val="00883FBB"/>
    <w:rsid w:val="008855AF"/>
    <w:rsid w:val="00887A77"/>
    <w:rsid w:val="0089188F"/>
    <w:rsid w:val="00897F16"/>
    <w:rsid w:val="008A1725"/>
    <w:rsid w:val="008A1FED"/>
    <w:rsid w:val="008A2F5E"/>
    <w:rsid w:val="008A3A00"/>
    <w:rsid w:val="008A6F90"/>
    <w:rsid w:val="008B41AF"/>
    <w:rsid w:val="008B4C52"/>
    <w:rsid w:val="008B6359"/>
    <w:rsid w:val="008B7917"/>
    <w:rsid w:val="008B7C15"/>
    <w:rsid w:val="008C0898"/>
    <w:rsid w:val="008C1951"/>
    <w:rsid w:val="008C371B"/>
    <w:rsid w:val="008D21A4"/>
    <w:rsid w:val="008D7D49"/>
    <w:rsid w:val="008E1CB2"/>
    <w:rsid w:val="008E277F"/>
    <w:rsid w:val="008E393D"/>
    <w:rsid w:val="008E4FD7"/>
    <w:rsid w:val="008E786E"/>
    <w:rsid w:val="008F23BD"/>
    <w:rsid w:val="008F5C28"/>
    <w:rsid w:val="00906308"/>
    <w:rsid w:val="009134EB"/>
    <w:rsid w:val="00916047"/>
    <w:rsid w:val="00917CF3"/>
    <w:rsid w:val="009309FB"/>
    <w:rsid w:val="0093341A"/>
    <w:rsid w:val="00933C04"/>
    <w:rsid w:val="009342ED"/>
    <w:rsid w:val="009367E6"/>
    <w:rsid w:val="00936948"/>
    <w:rsid w:val="00941471"/>
    <w:rsid w:val="009428AC"/>
    <w:rsid w:val="0095386F"/>
    <w:rsid w:val="009548BF"/>
    <w:rsid w:val="00964E55"/>
    <w:rsid w:val="00965B4D"/>
    <w:rsid w:val="009720BD"/>
    <w:rsid w:val="00981AB9"/>
    <w:rsid w:val="009822A9"/>
    <w:rsid w:val="009822CC"/>
    <w:rsid w:val="00983F7D"/>
    <w:rsid w:val="00992174"/>
    <w:rsid w:val="00993EBF"/>
    <w:rsid w:val="00994FE5"/>
    <w:rsid w:val="009A07B0"/>
    <w:rsid w:val="009A6490"/>
    <w:rsid w:val="009C78C3"/>
    <w:rsid w:val="009C7EE5"/>
    <w:rsid w:val="009D21A1"/>
    <w:rsid w:val="009D2EC7"/>
    <w:rsid w:val="009E4798"/>
    <w:rsid w:val="009E6F7A"/>
    <w:rsid w:val="009F1FF1"/>
    <w:rsid w:val="009F3BBD"/>
    <w:rsid w:val="009F6B00"/>
    <w:rsid w:val="00A0120B"/>
    <w:rsid w:val="00A03F4B"/>
    <w:rsid w:val="00A13D9E"/>
    <w:rsid w:val="00A1744C"/>
    <w:rsid w:val="00A2142E"/>
    <w:rsid w:val="00A23F17"/>
    <w:rsid w:val="00A31EA2"/>
    <w:rsid w:val="00A329E5"/>
    <w:rsid w:val="00A32C88"/>
    <w:rsid w:val="00A43CFA"/>
    <w:rsid w:val="00A443D1"/>
    <w:rsid w:val="00A4530A"/>
    <w:rsid w:val="00A46B66"/>
    <w:rsid w:val="00A50B77"/>
    <w:rsid w:val="00A51328"/>
    <w:rsid w:val="00A62F0D"/>
    <w:rsid w:val="00A64287"/>
    <w:rsid w:val="00A717D9"/>
    <w:rsid w:val="00A7662C"/>
    <w:rsid w:val="00A778F6"/>
    <w:rsid w:val="00A77EAA"/>
    <w:rsid w:val="00A803AA"/>
    <w:rsid w:val="00A82182"/>
    <w:rsid w:val="00A8316F"/>
    <w:rsid w:val="00A836E4"/>
    <w:rsid w:val="00A84B86"/>
    <w:rsid w:val="00A85EDF"/>
    <w:rsid w:val="00A86E89"/>
    <w:rsid w:val="00A87A87"/>
    <w:rsid w:val="00A9080C"/>
    <w:rsid w:val="00A931EA"/>
    <w:rsid w:val="00AA156A"/>
    <w:rsid w:val="00AA2A6D"/>
    <w:rsid w:val="00AA2E1D"/>
    <w:rsid w:val="00AB176E"/>
    <w:rsid w:val="00AB3B88"/>
    <w:rsid w:val="00AC3962"/>
    <w:rsid w:val="00AC6052"/>
    <w:rsid w:val="00AC63D2"/>
    <w:rsid w:val="00AC7E2B"/>
    <w:rsid w:val="00AC7F92"/>
    <w:rsid w:val="00AD7FB3"/>
    <w:rsid w:val="00AE1DE4"/>
    <w:rsid w:val="00AE6739"/>
    <w:rsid w:val="00AF1721"/>
    <w:rsid w:val="00AF225E"/>
    <w:rsid w:val="00AF325B"/>
    <w:rsid w:val="00AF44F8"/>
    <w:rsid w:val="00AF4896"/>
    <w:rsid w:val="00AF5D0F"/>
    <w:rsid w:val="00B0543E"/>
    <w:rsid w:val="00B05D83"/>
    <w:rsid w:val="00B12A97"/>
    <w:rsid w:val="00B177C0"/>
    <w:rsid w:val="00B17C52"/>
    <w:rsid w:val="00B2149D"/>
    <w:rsid w:val="00B2519C"/>
    <w:rsid w:val="00B25917"/>
    <w:rsid w:val="00B26C62"/>
    <w:rsid w:val="00B26DE4"/>
    <w:rsid w:val="00B277B5"/>
    <w:rsid w:val="00B350DB"/>
    <w:rsid w:val="00B403C6"/>
    <w:rsid w:val="00B447DC"/>
    <w:rsid w:val="00B556FC"/>
    <w:rsid w:val="00B61FF6"/>
    <w:rsid w:val="00B636FA"/>
    <w:rsid w:val="00B63DCE"/>
    <w:rsid w:val="00B667B5"/>
    <w:rsid w:val="00B67EC8"/>
    <w:rsid w:val="00B71059"/>
    <w:rsid w:val="00B73D5A"/>
    <w:rsid w:val="00B7577C"/>
    <w:rsid w:val="00B77047"/>
    <w:rsid w:val="00B778CB"/>
    <w:rsid w:val="00B77EAD"/>
    <w:rsid w:val="00B826F6"/>
    <w:rsid w:val="00B8367D"/>
    <w:rsid w:val="00B90C26"/>
    <w:rsid w:val="00B91E14"/>
    <w:rsid w:val="00B979A8"/>
    <w:rsid w:val="00BA74F3"/>
    <w:rsid w:val="00BB00EE"/>
    <w:rsid w:val="00BB1233"/>
    <w:rsid w:val="00BB42BF"/>
    <w:rsid w:val="00BB633F"/>
    <w:rsid w:val="00BB7D2C"/>
    <w:rsid w:val="00BC4EB2"/>
    <w:rsid w:val="00BD0624"/>
    <w:rsid w:val="00BD113E"/>
    <w:rsid w:val="00BD4166"/>
    <w:rsid w:val="00BE6EA9"/>
    <w:rsid w:val="00C10798"/>
    <w:rsid w:val="00C10C5B"/>
    <w:rsid w:val="00C12F89"/>
    <w:rsid w:val="00C13317"/>
    <w:rsid w:val="00C13CDB"/>
    <w:rsid w:val="00C149A2"/>
    <w:rsid w:val="00C209F5"/>
    <w:rsid w:val="00C231C0"/>
    <w:rsid w:val="00C234B4"/>
    <w:rsid w:val="00C3353F"/>
    <w:rsid w:val="00C33EFC"/>
    <w:rsid w:val="00C3642D"/>
    <w:rsid w:val="00C41BCF"/>
    <w:rsid w:val="00C50B9C"/>
    <w:rsid w:val="00C5228C"/>
    <w:rsid w:val="00C56F7B"/>
    <w:rsid w:val="00C618E8"/>
    <w:rsid w:val="00C65352"/>
    <w:rsid w:val="00C66402"/>
    <w:rsid w:val="00C7147D"/>
    <w:rsid w:val="00C7591E"/>
    <w:rsid w:val="00C763B8"/>
    <w:rsid w:val="00C76E5D"/>
    <w:rsid w:val="00C863E7"/>
    <w:rsid w:val="00C87713"/>
    <w:rsid w:val="00C900BB"/>
    <w:rsid w:val="00C936EA"/>
    <w:rsid w:val="00C95A41"/>
    <w:rsid w:val="00C96515"/>
    <w:rsid w:val="00CA0F42"/>
    <w:rsid w:val="00CA1F00"/>
    <w:rsid w:val="00CA2A16"/>
    <w:rsid w:val="00CA3A5C"/>
    <w:rsid w:val="00CA48A7"/>
    <w:rsid w:val="00CB50CD"/>
    <w:rsid w:val="00CB70EE"/>
    <w:rsid w:val="00CC0E20"/>
    <w:rsid w:val="00CC50F4"/>
    <w:rsid w:val="00CD247C"/>
    <w:rsid w:val="00CE076C"/>
    <w:rsid w:val="00CE0C72"/>
    <w:rsid w:val="00CE14C2"/>
    <w:rsid w:val="00CE1544"/>
    <w:rsid w:val="00CE20FF"/>
    <w:rsid w:val="00CE61FE"/>
    <w:rsid w:val="00CE7B22"/>
    <w:rsid w:val="00CF0347"/>
    <w:rsid w:val="00D01388"/>
    <w:rsid w:val="00D10ACB"/>
    <w:rsid w:val="00D14BC3"/>
    <w:rsid w:val="00D15D53"/>
    <w:rsid w:val="00D312BF"/>
    <w:rsid w:val="00D34C8B"/>
    <w:rsid w:val="00D365C9"/>
    <w:rsid w:val="00D3712A"/>
    <w:rsid w:val="00D4278B"/>
    <w:rsid w:val="00D42A23"/>
    <w:rsid w:val="00D43916"/>
    <w:rsid w:val="00D43BEE"/>
    <w:rsid w:val="00D43D18"/>
    <w:rsid w:val="00D472FE"/>
    <w:rsid w:val="00D51387"/>
    <w:rsid w:val="00D56938"/>
    <w:rsid w:val="00D56AF3"/>
    <w:rsid w:val="00D56F92"/>
    <w:rsid w:val="00D6010A"/>
    <w:rsid w:val="00D6485C"/>
    <w:rsid w:val="00D6560D"/>
    <w:rsid w:val="00D662D1"/>
    <w:rsid w:val="00D71B1A"/>
    <w:rsid w:val="00D749FF"/>
    <w:rsid w:val="00D7632A"/>
    <w:rsid w:val="00D817FE"/>
    <w:rsid w:val="00D82D22"/>
    <w:rsid w:val="00D83692"/>
    <w:rsid w:val="00D8701C"/>
    <w:rsid w:val="00D9254B"/>
    <w:rsid w:val="00D937B0"/>
    <w:rsid w:val="00DA456E"/>
    <w:rsid w:val="00DA4E75"/>
    <w:rsid w:val="00DA6294"/>
    <w:rsid w:val="00DA734B"/>
    <w:rsid w:val="00DB1CEB"/>
    <w:rsid w:val="00DB3CD5"/>
    <w:rsid w:val="00DC239A"/>
    <w:rsid w:val="00DC4F9C"/>
    <w:rsid w:val="00DC667F"/>
    <w:rsid w:val="00DE25B3"/>
    <w:rsid w:val="00DE2A0E"/>
    <w:rsid w:val="00DE4BFB"/>
    <w:rsid w:val="00DE5A8C"/>
    <w:rsid w:val="00DE7F93"/>
    <w:rsid w:val="00DF37B6"/>
    <w:rsid w:val="00E049AA"/>
    <w:rsid w:val="00E05569"/>
    <w:rsid w:val="00E06F43"/>
    <w:rsid w:val="00E15C84"/>
    <w:rsid w:val="00E172DE"/>
    <w:rsid w:val="00E204EB"/>
    <w:rsid w:val="00E20BC7"/>
    <w:rsid w:val="00E25383"/>
    <w:rsid w:val="00E269C9"/>
    <w:rsid w:val="00E26BBF"/>
    <w:rsid w:val="00E31B04"/>
    <w:rsid w:val="00E33D91"/>
    <w:rsid w:val="00E35597"/>
    <w:rsid w:val="00E45B95"/>
    <w:rsid w:val="00E45E5A"/>
    <w:rsid w:val="00E463F0"/>
    <w:rsid w:val="00E467E6"/>
    <w:rsid w:val="00E50B17"/>
    <w:rsid w:val="00E53BD2"/>
    <w:rsid w:val="00E54BFD"/>
    <w:rsid w:val="00E55FBC"/>
    <w:rsid w:val="00E619B9"/>
    <w:rsid w:val="00E62292"/>
    <w:rsid w:val="00E62FA0"/>
    <w:rsid w:val="00E666B1"/>
    <w:rsid w:val="00E67D04"/>
    <w:rsid w:val="00E71B2C"/>
    <w:rsid w:val="00E7263F"/>
    <w:rsid w:val="00E83E78"/>
    <w:rsid w:val="00E85B02"/>
    <w:rsid w:val="00EA3107"/>
    <w:rsid w:val="00EA6218"/>
    <w:rsid w:val="00EA7B7C"/>
    <w:rsid w:val="00EB5E8F"/>
    <w:rsid w:val="00EC2525"/>
    <w:rsid w:val="00EC7B75"/>
    <w:rsid w:val="00ED26DD"/>
    <w:rsid w:val="00ED2D2F"/>
    <w:rsid w:val="00ED3416"/>
    <w:rsid w:val="00ED48B6"/>
    <w:rsid w:val="00ED4C74"/>
    <w:rsid w:val="00ED5498"/>
    <w:rsid w:val="00EE2266"/>
    <w:rsid w:val="00EE23F1"/>
    <w:rsid w:val="00EE674D"/>
    <w:rsid w:val="00EF2919"/>
    <w:rsid w:val="00F01F55"/>
    <w:rsid w:val="00F047E8"/>
    <w:rsid w:val="00F06500"/>
    <w:rsid w:val="00F12F62"/>
    <w:rsid w:val="00F132D3"/>
    <w:rsid w:val="00F23995"/>
    <w:rsid w:val="00F36888"/>
    <w:rsid w:val="00F54C2F"/>
    <w:rsid w:val="00F5504A"/>
    <w:rsid w:val="00F61AE9"/>
    <w:rsid w:val="00F62A21"/>
    <w:rsid w:val="00F65AFF"/>
    <w:rsid w:val="00F73D08"/>
    <w:rsid w:val="00F776B8"/>
    <w:rsid w:val="00F80C47"/>
    <w:rsid w:val="00F80D4E"/>
    <w:rsid w:val="00F80D62"/>
    <w:rsid w:val="00F831F0"/>
    <w:rsid w:val="00F84254"/>
    <w:rsid w:val="00F91D10"/>
    <w:rsid w:val="00F922D2"/>
    <w:rsid w:val="00F93062"/>
    <w:rsid w:val="00F932CF"/>
    <w:rsid w:val="00FA3DDA"/>
    <w:rsid w:val="00FA4D73"/>
    <w:rsid w:val="00FA5801"/>
    <w:rsid w:val="00FA6037"/>
    <w:rsid w:val="00FB1A93"/>
    <w:rsid w:val="00FB6627"/>
    <w:rsid w:val="00FB7ED5"/>
    <w:rsid w:val="00FC0F5B"/>
    <w:rsid w:val="00FC4506"/>
    <w:rsid w:val="00FD31A0"/>
    <w:rsid w:val="00FE0C42"/>
    <w:rsid w:val="00FE4847"/>
    <w:rsid w:val="00FE4B61"/>
    <w:rsid w:val="00FE4F6C"/>
    <w:rsid w:val="00FE6639"/>
    <w:rsid w:val="00FE7F53"/>
    <w:rsid w:val="00FF0912"/>
    <w:rsid w:val="00FF0C97"/>
    <w:rsid w:val="00FF26EA"/>
    <w:rsid w:val="00FF3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4E91"/>
  <w15:chartTrackingRefBased/>
  <w15:docId w15:val="{1954CDC8-EA0A-4006-9957-56962E87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1. Heading 1"/>
    <w:basedOn w:val="Normal"/>
    <w:next w:val="Heading2"/>
    <w:link w:val="Heading1Char"/>
    <w:qFormat/>
    <w:rsid w:val="001213DC"/>
    <w:pPr>
      <w:keepNext/>
      <w:pageBreakBefore/>
      <w:numPr>
        <w:numId w:val="2"/>
      </w:numPr>
      <w:overflowPunct w:val="0"/>
      <w:autoSpaceDE w:val="0"/>
      <w:autoSpaceDN w:val="0"/>
      <w:adjustRightInd w:val="0"/>
      <w:spacing w:after="440" w:line="240" w:lineRule="auto"/>
      <w:textAlignment w:val="baseline"/>
      <w:outlineLvl w:val="0"/>
    </w:pPr>
    <w:rPr>
      <w:rFonts w:ascii="Arial" w:eastAsia="Times New Roman" w:hAnsi="Arial" w:cs="Times New Roman"/>
      <w:b/>
      <w:noProof/>
      <w:color w:val="566BBA"/>
      <w:sz w:val="32"/>
      <w:szCs w:val="12"/>
    </w:rPr>
  </w:style>
  <w:style w:type="paragraph" w:styleId="Heading2">
    <w:name w:val="heading 2"/>
    <w:basedOn w:val="Normal"/>
    <w:next w:val="Heading3"/>
    <w:link w:val="Heading2Char"/>
    <w:qFormat/>
    <w:rsid w:val="001213DC"/>
    <w:pPr>
      <w:keepNext/>
      <w:numPr>
        <w:ilvl w:val="1"/>
        <w:numId w:val="2"/>
      </w:numPr>
      <w:tabs>
        <w:tab w:val="left" w:pos="0"/>
      </w:tabs>
      <w:overflowPunct w:val="0"/>
      <w:autoSpaceDE w:val="0"/>
      <w:autoSpaceDN w:val="0"/>
      <w:adjustRightInd w:val="0"/>
      <w:spacing w:before="240" w:after="120" w:line="240" w:lineRule="auto"/>
      <w:jc w:val="both"/>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1213DC"/>
    <w:pPr>
      <w:keepNext/>
      <w:numPr>
        <w:ilvl w:val="2"/>
        <w:numId w:val="2"/>
      </w:numPr>
      <w:tabs>
        <w:tab w:val="left" w:pos="0"/>
      </w:tabs>
      <w:overflowPunct w:val="0"/>
      <w:autoSpaceDE w:val="0"/>
      <w:autoSpaceDN w:val="0"/>
      <w:adjustRightInd w:val="0"/>
      <w:spacing w:before="240" w:after="120" w:line="240" w:lineRule="auto"/>
      <w:textAlignment w:val="baseline"/>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1213DC"/>
    <w:pPr>
      <w:keepNext/>
      <w:numPr>
        <w:ilvl w:val="3"/>
        <w:numId w:val="2"/>
      </w:numPr>
      <w:tabs>
        <w:tab w:val="left" w:pos="0"/>
      </w:tabs>
      <w:overflowPunct w:val="0"/>
      <w:autoSpaceDE w:val="0"/>
      <w:autoSpaceDN w:val="0"/>
      <w:adjustRightInd w:val="0"/>
      <w:spacing w:after="0" w:line="240" w:lineRule="auto"/>
      <w:textAlignment w:val="baseline"/>
      <w:outlineLvl w:val="3"/>
    </w:pPr>
    <w:rPr>
      <w:rFonts w:ascii="Arial" w:eastAsia="Times New Roman" w:hAnsi="Arial" w:cs="Times New Roman"/>
      <w:b/>
      <w:i/>
      <w:snapToGrid w:val="0"/>
      <w:szCs w:val="20"/>
    </w:rPr>
  </w:style>
  <w:style w:type="paragraph" w:styleId="Heading5">
    <w:name w:val="heading 5"/>
    <w:basedOn w:val="Normal"/>
    <w:link w:val="Heading5Char"/>
    <w:qFormat/>
    <w:rsid w:val="001213DC"/>
    <w:pPr>
      <w:numPr>
        <w:ilvl w:val="4"/>
        <w:numId w:val="2"/>
      </w:numPr>
      <w:overflowPunct w:val="0"/>
      <w:autoSpaceDE w:val="0"/>
      <w:autoSpaceDN w:val="0"/>
      <w:adjustRightInd w:val="0"/>
      <w:spacing w:before="130" w:after="0" w:line="240" w:lineRule="auto"/>
      <w:textAlignment w:val="baseline"/>
      <w:outlineLvl w:val="4"/>
    </w:pPr>
    <w:rPr>
      <w:rFonts w:ascii="Arial" w:eastAsia="Times New Roman" w:hAnsi="Arial" w:cs="Times New Roman"/>
      <w:i/>
      <w:szCs w:val="20"/>
    </w:rPr>
  </w:style>
  <w:style w:type="paragraph" w:styleId="Heading6">
    <w:name w:val="heading 6"/>
    <w:basedOn w:val="Normal"/>
    <w:next w:val="Heading7"/>
    <w:link w:val="Heading6Char"/>
    <w:qFormat/>
    <w:rsid w:val="001213DC"/>
    <w:pPr>
      <w:numPr>
        <w:ilvl w:val="5"/>
        <w:numId w:val="2"/>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sz w:val="36"/>
      <w:szCs w:val="20"/>
    </w:rPr>
  </w:style>
  <w:style w:type="paragraph" w:styleId="Heading7">
    <w:name w:val="heading 7"/>
    <w:basedOn w:val="Normal"/>
    <w:next w:val="Normal"/>
    <w:link w:val="Heading7Char"/>
    <w:qFormat/>
    <w:rsid w:val="001213DC"/>
    <w:pPr>
      <w:numPr>
        <w:ilvl w:val="6"/>
        <w:numId w:val="2"/>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1213DC"/>
    <w:pPr>
      <w:numPr>
        <w:ilvl w:val="7"/>
        <w:numId w:val="2"/>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szCs w:val="20"/>
    </w:rPr>
  </w:style>
  <w:style w:type="paragraph" w:styleId="Heading9">
    <w:name w:val="heading 9"/>
    <w:basedOn w:val="Normal"/>
    <w:next w:val="Normal"/>
    <w:link w:val="Heading9Char"/>
    <w:qFormat/>
    <w:rsid w:val="001213DC"/>
    <w:pPr>
      <w:numPr>
        <w:ilvl w:val="8"/>
        <w:numId w:val="2"/>
      </w:numPr>
      <w:overflowPunct w:val="0"/>
      <w:autoSpaceDE w:val="0"/>
      <w:autoSpaceDN w:val="0"/>
      <w:adjustRightInd w:val="0"/>
      <w:spacing w:before="240" w:after="60" w:line="240" w:lineRule="auto"/>
      <w:textAlignment w:val="baseline"/>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932CF"/>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 w:type="paragraph" w:customStyle="1" w:styleId="SubtitleCover">
    <w:name w:val="Subtitle Cover"/>
    <w:basedOn w:val="TitleCover"/>
    <w:next w:val="BodyText"/>
    <w:rsid w:val="00F932C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F932CF"/>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uiPriority w:val="99"/>
    <w:semiHidden/>
    <w:unhideWhenUsed/>
    <w:rsid w:val="00F932CF"/>
    <w:pPr>
      <w:spacing w:after="120"/>
    </w:pPr>
  </w:style>
  <w:style w:type="character" w:customStyle="1" w:styleId="BodyTextChar">
    <w:name w:val="Body Text Char"/>
    <w:basedOn w:val="DefaultParagraphFont"/>
    <w:link w:val="BodyText"/>
    <w:uiPriority w:val="99"/>
    <w:semiHidden/>
    <w:rsid w:val="00F932CF"/>
  </w:style>
  <w:style w:type="paragraph" w:styleId="ListParagraph">
    <w:name w:val="List Paragraph"/>
    <w:basedOn w:val="Normal"/>
    <w:uiPriority w:val="34"/>
    <w:qFormat/>
    <w:rsid w:val="00F932CF"/>
    <w:pPr>
      <w:ind w:left="720"/>
      <w:contextualSpacing/>
    </w:pPr>
  </w:style>
  <w:style w:type="character" w:styleId="CommentReference">
    <w:name w:val="annotation reference"/>
    <w:basedOn w:val="DefaultParagraphFont"/>
    <w:uiPriority w:val="99"/>
    <w:semiHidden/>
    <w:unhideWhenUsed/>
    <w:rsid w:val="0047271F"/>
    <w:rPr>
      <w:sz w:val="16"/>
      <w:szCs w:val="16"/>
    </w:rPr>
  </w:style>
  <w:style w:type="paragraph" w:styleId="CommentText">
    <w:name w:val="annotation text"/>
    <w:basedOn w:val="Normal"/>
    <w:link w:val="CommentTextChar"/>
    <w:uiPriority w:val="99"/>
    <w:semiHidden/>
    <w:unhideWhenUsed/>
    <w:rsid w:val="0047271F"/>
    <w:pPr>
      <w:spacing w:line="240" w:lineRule="auto"/>
    </w:pPr>
    <w:rPr>
      <w:sz w:val="20"/>
      <w:szCs w:val="20"/>
    </w:rPr>
  </w:style>
  <w:style w:type="character" w:customStyle="1" w:styleId="CommentTextChar">
    <w:name w:val="Comment Text Char"/>
    <w:basedOn w:val="DefaultParagraphFont"/>
    <w:link w:val="CommentText"/>
    <w:uiPriority w:val="99"/>
    <w:semiHidden/>
    <w:rsid w:val="0047271F"/>
    <w:rPr>
      <w:sz w:val="20"/>
      <w:szCs w:val="20"/>
    </w:rPr>
  </w:style>
  <w:style w:type="paragraph" w:styleId="CommentSubject">
    <w:name w:val="annotation subject"/>
    <w:basedOn w:val="CommentText"/>
    <w:next w:val="CommentText"/>
    <w:link w:val="CommentSubjectChar"/>
    <w:uiPriority w:val="99"/>
    <w:semiHidden/>
    <w:unhideWhenUsed/>
    <w:rsid w:val="0047271F"/>
    <w:rPr>
      <w:b/>
      <w:bCs/>
    </w:rPr>
  </w:style>
  <w:style w:type="character" w:customStyle="1" w:styleId="CommentSubjectChar">
    <w:name w:val="Comment Subject Char"/>
    <w:basedOn w:val="CommentTextChar"/>
    <w:link w:val="CommentSubject"/>
    <w:uiPriority w:val="99"/>
    <w:semiHidden/>
    <w:rsid w:val="0047271F"/>
    <w:rPr>
      <w:b/>
      <w:bCs/>
      <w:sz w:val="20"/>
      <w:szCs w:val="20"/>
    </w:rPr>
  </w:style>
  <w:style w:type="paragraph" w:styleId="BalloonText">
    <w:name w:val="Balloon Text"/>
    <w:basedOn w:val="Normal"/>
    <w:link w:val="BalloonTextChar"/>
    <w:uiPriority w:val="99"/>
    <w:semiHidden/>
    <w:unhideWhenUsed/>
    <w:rsid w:val="0047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71F"/>
    <w:rPr>
      <w:rFonts w:ascii="Segoe UI" w:hAnsi="Segoe UI" w:cs="Segoe UI"/>
      <w:sz w:val="18"/>
      <w:szCs w:val="18"/>
    </w:rPr>
  </w:style>
  <w:style w:type="character" w:styleId="Hyperlink">
    <w:name w:val="Hyperlink"/>
    <w:basedOn w:val="DefaultParagraphFont"/>
    <w:uiPriority w:val="99"/>
    <w:unhideWhenUsed/>
    <w:rsid w:val="00CE076C"/>
    <w:rPr>
      <w:color w:val="0563C1" w:themeColor="hyperlink"/>
      <w:u w:val="single"/>
    </w:rPr>
  </w:style>
  <w:style w:type="character" w:customStyle="1" w:styleId="UnresolvedMention1">
    <w:name w:val="Unresolved Mention1"/>
    <w:basedOn w:val="DefaultParagraphFont"/>
    <w:uiPriority w:val="99"/>
    <w:semiHidden/>
    <w:unhideWhenUsed/>
    <w:rsid w:val="00CE076C"/>
    <w:rPr>
      <w:color w:val="605E5C"/>
      <w:shd w:val="clear" w:color="auto" w:fill="E1DFDD"/>
    </w:rPr>
  </w:style>
  <w:style w:type="character" w:styleId="FollowedHyperlink">
    <w:name w:val="FollowedHyperlink"/>
    <w:basedOn w:val="DefaultParagraphFont"/>
    <w:uiPriority w:val="99"/>
    <w:semiHidden/>
    <w:unhideWhenUsed/>
    <w:rsid w:val="0010080F"/>
    <w:rPr>
      <w:color w:val="954F72" w:themeColor="followedHyperlink"/>
      <w:u w:val="single"/>
    </w:rPr>
  </w:style>
  <w:style w:type="character" w:customStyle="1" w:styleId="Heading1Char">
    <w:name w:val="Heading 1 Char"/>
    <w:aliases w:val="1. Heading 1 Char"/>
    <w:basedOn w:val="DefaultParagraphFont"/>
    <w:link w:val="Heading1"/>
    <w:rsid w:val="001213DC"/>
    <w:rPr>
      <w:rFonts w:ascii="Arial" w:eastAsia="Times New Roman" w:hAnsi="Arial" w:cs="Times New Roman"/>
      <w:b/>
      <w:noProof/>
      <w:color w:val="566BBA"/>
      <w:sz w:val="32"/>
      <w:szCs w:val="12"/>
    </w:rPr>
  </w:style>
  <w:style w:type="character" w:customStyle="1" w:styleId="Heading2Char">
    <w:name w:val="Heading 2 Char"/>
    <w:basedOn w:val="DefaultParagraphFont"/>
    <w:link w:val="Heading2"/>
    <w:rsid w:val="001213DC"/>
    <w:rPr>
      <w:rFonts w:ascii="Arial" w:eastAsia="Times New Roman" w:hAnsi="Arial" w:cs="Times New Roman"/>
      <w:b/>
      <w:sz w:val="28"/>
      <w:szCs w:val="20"/>
    </w:rPr>
  </w:style>
  <w:style w:type="character" w:customStyle="1" w:styleId="Heading3Char">
    <w:name w:val="Heading 3 Char"/>
    <w:basedOn w:val="DefaultParagraphFont"/>
    <w:link w:val="Heading3"/>
    <w:rsid w:val="001213DC"/>
    <w:rPr>
      <w:rFonts w:ascii="Arial" w:eastAsia="Times New Roman" w:hAnsi="Arial" w:cs="Times New Roman"/>
      <w:b/>
      <w:sz w:val="24"/>
      <w:szCs w:val="20"/>
    </w:rPr>
  </w:style>
  <w:style w:type="character" w:customStyle="1" w:styleId="Heading4Char">
    <w:name w:val="Heading 4 Char"/>
    <w:basedOn w:val="DefaultParagraphFont"/>
    <w:link w:val="Heading4"/>
    <w:rsid w:val="001213DC"/>
    <w:rPr>
      <w:rFonts w:ascii="Arial" w:eastAsia="Times New Roman" w:hAnsi="Arial" w:cs="Times New Roman"/>
      <w:b/>
      <w:i/>
      <w:snapToGrid w:val="0"/>
      <w:szCs w:val="20"/>
    </w:rPr>
  </w:style>
  <w:style w:type="character" w:customStyle="1" w:styleId="Heading5Char">
    <w:name w:val="Heading 5 Char"/>
    <w:basedOn w:val="DefaultParagraphFont"/>
    <w:link w:val="Heading5"/>
    <w:rsid w:val="001213DC"/>
    <w:rPr>
      <w:rFonts w:ascii="Arial" w:eastAsia="Times New Roman" w:hAnsi="Arial" w:cs="Times New Roman"/>
      <w:i/>
      <w:szCs w:val="20"/>
    </w:rPr>
  </w:style>
  <w:style w:type="character" w:customStyle="1" w:styleId="Heading6Char">
    <w:name w:val="Heading 6 Char"/>
    <w:basedOn w:val="DefaultParagraphFont"/>
    <w:link w:val="Heading6"/>
    <w:rsid w:val="001213DC"/>
    <w:rPr>
      <w:rFonts w:ascii="Times New Roman" w:eastAsia="Times New Roman" w:hAnsi="Times New Roman" w:cs="Times New Roman"/>
      <w:sz w:val="36"/>
      <w:szCs w:val="20"/>
    </w:rPr>
  </w:style>
  <w:style w:type="character" w:customStyle="1" w:styleId="Heading7Char">
    <w:name w:val="Heading 7 Char"/>
    <w:basedOn w:val="DefaultParagraphFont"/>
    <w:link w:val="Heading7"/>
    <w:rsid w:val="001213DC"/>
    <w:rPr>
      <w:rFonts w:ascii="Times New Roman" w:eastAsia="Times New Roman" w:hAnsi="Times New Roman" w:cs="Times New Roman"/>
      <w:szCs w:val="20"/>
    </w:rPr>
  </w:style>
  <w:style w:type="character" w:customStyle="1" w:styleId="Heading8Char">
    <w:name w:val="Heading 8 Char"/>
    <w:basedOn w:val="DefaultParagraphFont"/>
    <w:link w:val="Heading8"/>
    <w:rsid w:val="001213DC"/>
    <w:rPr>
      <w:rFonts w:ascii="Times New Roman" w:eastAsia="Times New Roman" w:hAnsi="Times New Roman" w:cs="Times New Roman"/>
      <w:szCs w:val="20"/>
    </w:rPr>
  </w:style>
  <w:style w:type="character" w:customStyle="1" w:styleId="Heading9Char">
    <w:name w:val="Heading 9 Char"/>
    <w:basedOn w:val="DefaultParagraphFont"/>
    <w:link w:val="Heading9"/>
    <w:rsid w:val="001213DC"/>
    <w:rPr>
      <w:rFonts w:ascii="Times New Roman" w:eastAsia="Times New Roman" w:hAnsi="Times New Roman" w:cs="Times New Roman"/>
      <w:szCs w:val="20"/>
    </w:rPr>
  </w:style>
  <w:style w:type="character" w:styleId="Strong">
    <w:name w:val="Strong"/>
    <w:qFormat/>
    <w:rsid w:val="001213DC"/>
    <w:rPr>
      <w:b/>
      <w:bCs/>
    </w:rPr>
  </w:style>
  <w:style w:type="paragraph" w:customStyle="1" w:styleId="Default">
    <w:name w:val="Default"/>
    <w:rsid w:val="003A269D"/>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CE7B22"/>
    <w:rPr>
      <w:color w:val="605E5C"/>
      <w:shd w:val="clear" w:color="auto" w:fill="E1DFDD"/>
    </w:rPr>
  </w:style>
  <w:style w:type="table" w:styleId="TableGrid">
    <w:name w:val="Table Grid"/>
    <w:basedOn w:val="TableNormal"/>
    <w:uiPriority w:val="39"/>
    <w:rsid w:val="00F8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3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86F"/>
    <w:rPr>
      <w:sz w:val="20"/>
      <w:szCs w:val="20"/>
    </w:rPr>
  </w:style>
  <w:style w:type="character" w:styleId="FootnoteReference">
    <w:name w:val="footnote reference"/>
    <w:basedOn w:val="DefaultParagraphFont"/>
    <w:uiPriority w:val="99"/>
    <w:semiHidden/>
    <w:unhideWhenUsed/>
    <w:rsid w:val="0095386F"/>
    <w:rPr>
      <w:vertAlign w:val="superscript"/>
    </w:rPr>
  </w:style>
  <w:style w:type="paragraph" w:styleId="Revision">
    <w:name w:val="Revision"/>
    <w:hidden/>
    <w:uiPriority w:val="99"/>
    <w:semiHidden/>
    <w:rsid w:val="00A87A87"/>
    <w:pPr>
      <w:spacing w:after="0" w:line="240" w:lineRule="auto"/>
    </w:pPr>
  </w:style>
  <w:style w:type="character" w:customStyle="1" w:styleId="UnresolvedMention3">
    <w:name w:val="Unresolved Mention3"/>
    <w:basedOn w:val="DefaultParagraphFont"/>
    <w:uiPriority w:val="99"/>
    <w:semiHidden/>
    <w:unhideWhenUsed/>
    <w:rsid w:val="00D56AF3"/>
    <w:rPr>
      <w:color w:val="605E5C"/>
      <w:shd w:val="clear" w:color="auto" w:fill="E1DFDD"/>
    </w:rPr>
  </w:style>
  <w:style w:type="paragraph" w:styleId="BodyText2">
    <w:name w:val="Body Text 2"/>
    <w:basedOn w:val="Normal"/>
    <w:link w:val="BodyText2Char"/>
    <w:uiPriority w:val="99"/>
    <w:semiHidden/>
    <w:unhideWhenUsed/>
    <w:rsid w:val="00AC3962"/>
    <w:pPr>
      <w:spacing w:after="120" w:line="480" w:lineRule="auto"/>
    </w:pPr>
  </w:style>
  <w:style w:type="character" w:customStyle="1" w:styleId="BodyText2Char">
    <w:name w:val="Body Text 2 Char"/>
    <w:basedOn w:val="DefaultParagraphFont"/>
    <w:link w:val="BodyText2"/>
    <w:uiPriority w:val="99"/>
    <w:semiHidden/>
    <w:rsid w:val="00AC3962"/>
  </w:style>
  <w:style w:type="paragraph" w:styleId="Header">
    <w:name w:val="header"/>
    <w:basedOn w:val="Normal"/>
    <w:link w:val="HeaderChar"/>
    <w:uiPriority w:val="99"/>
    <w:unhideWhenUsed/>
    <w:rsid w:val="00362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CC7"/>
  </w:style>
  <w:style w:type="paragraph" w:styleId="Footer">
    <w:name w:val="footer"/>
    <w:basedOn w:val="Normal"/>
    <w:link w:val="FooterChar"/>
    <w:uiPriority w:val="99"/>
    <w:unhideWhenUsed/>
    <w:rsid w:val="00362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944214">
      <w:bodyDiv w:val="1"/>
      <w:marLeft w:val="0"/>
      <w:marRight w:val="0"/>
      <w:marTop w:val="0"/>
      <w:marBottom w:val="0"/>
      <w:divBdr>
        <w:top w:val="none" w:sz="0" w:space="0" w:color="auto"/>
        <w:left w:val="none" w:sz="0" w:space="0" w:color="auto"/>
        <w:bottom w:val="none" w:sz="0" w:space="0" w:color="auto"/>
        <w:right w:val="none" w:sz="0" w:space="0" w:color="auto"/>
      </w:divBdr>
    </w:div>
    <w:div w:id="1021056161">
      <w:bodyDiv w:val="1"/>
      <w:marLeft w:val="0"/>
      <w:marRight w:val="0"/>
      <w:marTop w:val="0"/>
      <w:marBottom w:val="0"/>
      <w:divBdr>
        <w:top w:val="none" w:sz="0" w:space="0" w:color="auto"/>
        <w:left w:val="none" w:sz="0" w:space="0" w:color="auto"/>
        <w:bottom w:val="none" w:sz="0" w:space="0" w:color="auto"/>
        <w:right w:val="none" w:sz="0" w:space="0" w:color="auto"/>
      </w:divBdr>
    </w:div>
    <w:div w:id="18189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windon.gov.uk/downloads/download/2286/swindon_local_development_scheme" TargetMode="External"/><Relationship Id="rId4" Type="http://schemas.openxmlformats.org/officeDocument/2006/relationships/settings" Target="settings.xml"/><Relationship Id="rId9" Type="http://schemas.openxmlformats.org/officeDocument/2006/relationships/image" Target="http://www.glypt.co.uk/logo/Swindon-Council-logo.jp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visualisations/censuspopulationchange/E06000030/" TargetMode="External"/><Relationship Id="rId2" Type="http://schemas.openxmlformats.org/officeDocument/2006/relationships/hyperlink" Target="https://www.swindon.gov.uk/info/20059/land_and_premises/373/find_out_about_conservation_areas" TargetMode="External"/><Relationship Id="rId1" Type="http://schemas.openxmlformats.org/officeDocument/2006/relationships/hyperlink" Target="https://www.ons.gov.uk/visualisations/censuspopulationchange/E06000030/" TargetMode="External"/><Relationship Id="rId5" Type="http://schemas.openxmlformats.org/officeDocument/2006/relationships/hyperlink" Target="https://www.swindon.gov.uk/downloads/download/504/swindon_employment_land_review_final_report_march_2017" TargetMode="External"/><Relationship Id="rId4" Type="http://schemas.openxmlformats.org/officeDocument/2006/relationships/hyperlink" Target="https://www.swindon.gov.uk/downloads/file/7767/public_health_annual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660B-AE70-4066-AD29-42EFE39D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32</Pages>
  <Words>10238</Words>
  <Characters>58363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Colbran</dc:creator>
  <cp:keywords/>
  <dc:description/>
  <cp:lastModifiedBy>Stephen Hay</cp:lastModifiedBy>
  <cp:revision>230</cp:revision>
  <cp:lastPrinted>2023-04-19T12:51:00Z</cp:lastPrinted>
  <dcterms:created xsi:type="dcterms:W3CDTF">2023-04-03T14:05:00Z</dcterms:created>
  <dcterms:modified xsi:type="dcterms:W3CDTF">2023-05-17T16:15:00Z</dcterms:modified>
</cp:coreProperties>
</file>