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FFAA" w14:textId="21AF2AA5" w:rsidR="00A04B50" w:rsidRPr="00A04B50" w:rsidRDefault="00A04B50" w:rsidP="00A04B50">
      <w:pPr>
        <w:pStyle w:val="Heading2"/>
        <w:jc w:val="center"/>
        <w:rPr>
          <w:u w:val="single"/>
        </w:rPr>
      </w:pPr>
      <w:r w:rsidRPr="00A04B50">
        <w:rPr>
          <w:u w:val="single"/>
        </w:rPr>
        <w:t>Development</w:t>
      </w:r>
      <w:r>
        <w:rPr>
          <w:u w:val="single"/>
        </w:rPr>
        <w:t xml:space="preserve">, </w:t>
      </w:r>
      <w:r w:rsidRPr="00A04B50">
        <w:rPr>
          <w:u w:val="single"/>
        </w:rPr>
        <w:t xml:space="preserve">Delivery and Property Advice for the </w:t>
      </w:r>
      <w:r w:rsidRPr="00A04B50">
        <w:rPr>
          <w:u w:val="single"/>
        </w:rPr>
        <w:t>Southgates Masterplan</w:t>
      </w:r>
      <w:r w:rsidRPr="00A04B50">
        <w:rPr>
          <w:u w:val="single"/>
        </w:rPr>
        <w:t xml:space="preserve"> Area Project Brief</w:t>
      </w:r>
    </w:p>
    <w:p w14:paraId="50B0DE05" w14:textId="3162B353" w:rsidR="00A04B50" w:rsidRPr="00631319" w:rsidRDefault="00A04B50" w:rsidP="00A04B50">
      <w:pPr>
        <w:shd w:val="clear" w:color="auto" w:fill="FFFFFF" w:themeFill="background1"/>
        <w:spacing w:after="360" w:line="240" w:lineRule="auto"/>
        <w:jc w:val="both"/>
        <w:rPr>
          <w:rFonts w:eastAsia="Times New Roman" w:cstheme="minorHAnsi"/>
          <w:color w:val="1F1F1F"/>
          <w:lang w:eastAsia="en-GB"/>
        </w:rPr>
      </w:pPr>
      <w:r w:rsidRPr="00631319">
        <w:rPr>
          <w:rFonts w:eastAsia="Times New Roman" w:cstheme="minorHAnsi"/>
          <w:color w:val="1F1F1F"/>
          <w:lang w:eastAsia="en-GB"/>
        </w:rPr>
        <w:br/>
      </w:r>
      <w:r w:rsidRPr="00A04B50">
        <w:rPr>
          <w:rFonts w:eastAsia="Times New Roman" w:cstheme="minorHAnsi"/>
          <w:lang w:eastAsia="en-GB"/>
        </w:rPr>
        <w:t>The Southgates Regeneration Masterplan</w:t>
      </w:r>
      <w:r w:rsidRPr="00631319">
        <w:rPr>
          <w:rFonts w:eastAsia="Times New Roman" w:cstheme="minorHAnsi"/>
          <w:color w:val="1F1F1F"/>
          <w:lang w:eastAsia="en-GB"/>
        </w:rPr>
        <w:t xml:space="preserve">, led by the Borough Council of King’s Lynn and West Norfolk (BCKLWN) sets out the vision and ambition for the redevelopment of the Southgate’s area of King's Lynn, Norfolk. The site offers the potential to create a high-quality gateway to King’s Lynn to change the perception and first impression of the town and strengthen the identity of King’s Lynn as a sub-regional economic centre and visitor destination. </w:t>
      </w:r>
    </w:p>
    <w:p w14:paraId="2C4247AD" w14:textId="77777777" w:rsidR="00A04B50" w:rsidRPr="00631319" w:rsidRDefault="00A04B50" w:rsidP="00A04B50">
      <w:pPr>
        <w:shd w:val="clear" w:color="auto" w:fill="FFFFFF" w:themeFill="background1"/>
        <w:spacing w:after="360" w:line="240" w:lineRule="auto"/>
        <w:jc w:val="both"/>
        <w:rPr>
          <w:rFonts w:eastAsia="Times New Roman" w:cstheme="minorHAnsi"/>
          <w:color w:val="1F1F1F"/>
          <w:lang w:eastAsia="en-GB"/>
        </w:rPr>
      </w:pPr>
      <w:r w:rsidRPr="00631319">
        <w:rPr>
          <w:rFonts w:eastAsia="Times New Roman" w:cstheme="minorHAnsi"/>
          <w:color w:val="1F1F1F"/>
          <w:lang w:eastAsia="en-GB"/>
        </w:rPr>
        <w:t>The area is located at the southern entrance to the town and is currently dominated by traffic. The area is home to a number of historic buildings, including the South Gate, which is a 15</w:t>
      </w:r>
      <w:r w:rsidRPr="002C26A5">
        <w:rPr>
          <w:rFonts w:eastAsia="Times New Roman" w:cstheme="minorHAnsi"/>
          <w:color w:val="1F1F1F"/>
          <w:vertAlign w:val="superscript"/>
          <w:lang w:eastAsia="en-GB"/>
        </w:rPr>
        <w:t>th</w:t>
      </w:r>
      <w:r>
        <w:rPr>
          <w:rFonts w:eastAsia="Times New Roman" w:cstheme="minorHAnsi"/>
          <w:color w:val="1F1F1F"/>
          <w:lang w:eastAsia="en-GB"/>
        </w:rPr>
        <w:t xml:space="preserve"> </w:t>
      </w:r>
      <w:r w:rsidRPr="00631319">
        <w:rPr>
          <w:rFonts w:eastAsia="Times New Roman" w:cstheme="minorHAnsi"/>
          <w:color w:val="1F1F1F"/>
          <w:lang w:eastAsia="en-GB"/>
        </w:rPr>
        <w:t xml:space="preserve">century gatehouse. </w:t>
      </w:r>
      <w:r w:rsidRPr="0097599A">
        <w:rPr>
          <w:rFonts w:eastAsia="Times New Roman" w:cstheme="minorHAnsi"/>
          <w:color w:val="1F1F1F"/>
          <w:lang w:eastAsia="en-GB"/>
        </w:rPr>
        <w:t>The South Gate and the northernmost parts of the site are within the boundary of the large King’s Lynn Conservation Area</w:t>
      </w:r>
      <w:r>
        <w:rPr>
          <w:rFonts w:eastAsia="Times New Roman" w:cstheme="minorHAnsi"/>
          <w:color w:val="1F1F1F"/>
          <w:lang w:eastAsia="en-GB"/>
        </w:rPr>
        <w:t>.</w:t>
      </w:r>
      <w:r w:rsidRPr="0097599A">
        <w:rPr>
          <w:rFonts w:eastAsia="Times New Roman" w:cstheme="minorHAnsi"/>
          <w:color w:val="1F1F1F"/>
          <w:lang w:eastAsia="en-GB"/>
        </w:rPr>
        <w:t xml:space="preserve"> </w:t>
      </w:r>
      <w:r w:rsidRPr="00631319">
        <w:rPr>
          <w:rFonts w:eastAsia="Times New Roman" w:cstheme="minorHAnsi"/>
          <w:color w:val="1F1F1F"/>
          <w:lang w:eastAsia="en-GB"/>
        </w:rPr>
        <w:t xml:space="preserve">The masterplan aims to create a more attractive and active gateway to King's Lynn by reducing traffic, improving public and active transport, and enhancing access to the area's heritage. </w:t>
      </w:r>
    </w:p>
    <w:p w14:paraId="05C473DE" w14:textId="77777777" w:rsidR="00A04B50" w:rsidRPr="00631319" w:rsidRDefault="00A04B50" w:rsidP="00A04B50">
      <w:pPr>
        <w:shd w:val="clear" w:color="auto" w:fill="FFFFFF" w:themeFill="background1"/>
        <w:spacing w:before="360" w:after="360" w:line="240" w:lineRule="auto"/>
        <w:jc w:val="both"/>
        <w:rPr>
          <w:rFonts w:eastAsia="Times New Roman"/>
          <w:color w:val="1F1F1F"/>
          <w:lang w:eastAsia="en-GB"/>
        </w:rPr>
      </w:pPr>
      <w:r w:rsidRPr="1DBAA995">
        <w:rPr>
          <w:rFonts w:eastAsia="Times New Roman"/>
          <w:color w:val="1F1F1F"/>
          <w:lang w:eastAsia="en-GB"/>
        </w:rPr>
        <w:t>The key objectives of the masterplan are:</w:t>
      </w:r>
    </w:p>
    <w:p w14:paraId="5C9DD214" w14:textId="77777777" w:rsidR="00A04B50" w:rsidRPr="00631319" w:rsidRDefault="00A04B50" w:rsidP="00A04B50">
      <w:pPr>
        <w:numPr>
          <w:ilvl w:val="0"/>
          <w:numId w:val="1"/>
        </w:numPr>
        <w:shd w:val="clear" w:color="auto" w:fill="FFFFFF" w:themeFill="background1"/>
        <w:tabs>
          <w:tab w:val="clear" w:pos="720"/>
          <w:tab w:val="num" w:pos="284"/>
        </w:tabs>
        <w:spacing w:before="100" w:beforeAutospacing="1" w:after="150" w:line="240" w:lineRule="auto"/>
        <w:ind w:left="284" w:hanging="284"/>
        <w:jc w:val="both"/>
        <w:rPr>
          <w:rFonts w:eastAsia="Times New Roman" w:cstheme="minorHAnsi"/>
          <w:color w:val="1F1F1F"/>
          <w:lang w:eastAsia="en-GB"/>
        </w:rPr>
      </w:pPr>
      <w:r w:rsidRPr="00631319">
        <w:rPr>
          <w:rFonts w:eastAsia="Times New Roman" w:cstheme="minorHAnsi"/>
          <w:color w:val="1F1F1F"/>
          <w:lang w:eastAsia="en-GB"/>
        </w:rPr>
        <w:t xml:space="preserve">Placemaking: </w:t>
      </w:r>
    </w:p>
    <w:p w14:paraId="2D913F94" w14:textId="77777777" w:rsidR="00A04B50" w:rsidRPr="00631319" w:rsidRDefault="00A04B50" w:rsidP="00A04B50">
      <w:pPr>
        <w:numPr>
          <w:ilvl w:val="1"/>
          <w:numId w:val="1"/>
        </w:numPr>
        <w:shd w:val="clear" w:color="auto" w:fill="FFFFFF" w:themeFill="background1"/>
        <w:spacing w:before="100" w:beforeAutospacing="1" w:after="150" w:line="240" w:lineRule="auto"/>
        <w:ind w:left="567" w:hanging="283"/>
        <w:jc w:val="both"/>
        <w:rPr>
          <w:rFonts w:eastAsia="Times New Roman" w:cstheme="minorHAnsi"/>
          <w:color w:val="1F1F1F"/>
          <w:lang w:eastAsia="en-GB"/>
        </w:rPr>
      </w:pPr>
      <w:r w:rsidRPr="00631319">
        <w:rPr>
          <w:rFonts w:eastAsia="Times New Roman" w:cstheme="minorHAnsi"/>
          <w:color w:val="1F1F1F"/>
          <w:lang w:eastAsia="en-GB"/>
        </w:rPr>
        <w:t>Create a sense of place linked to South</w:t>
      </w:r>
      <w:r>
        <w:rPr>
          <w:rFonts w:eastAsia="Times New Roman" w:cstheme="minorHAnsi"/>
          <w:color w:val="1F1F1F"/>
          <w:lang w:eastAsia="en-GB"/>
        </w:rPr>
        <w:t xml:space="preserve"> G</w:t>
      </w:r>
      <w:r w:rsidRPr="00631319">
        <w:rPr>
          <w:rFonts w:eastAsia="Times New Roman" w:cstheme="minorHAnsi"/>
          <w:color w:val="1F1F1F"/>
          <w:lang w:eastAsia="en-GB"/>
        </w:rPr>
        <w:t>ates’ role as a key gateway into the town, in order to facilitate pride of place and belonging. This will be achieved by enhancing existing heritage assets, as well as high quality new development responding to local character;</w:t>
      </w:r>
    </w:p>
    <w:p w14:paraId="3840E356" w14:textId="77777777" w:rsidR="00A04B50" w:rsidRPr="00631319" w:rsidRDefault="00A04B50" w:rsidP="00A04B50">
      <w:pPr>
        <w:numPr>
          <w:ilvl w:val="0"/>
          <w:numId w:val="1"/>
        </w:numPr>
        <w:shd w:val="clear" w:color="auto" w:fill="FFFFFF" w:themeFill="background1"/>
        <w:tabs>
          <w:tab w:val="clear" w:pos="720"/>
          <w:tab w:val="num" w:pos="284"/>
        </w:tabs>
        <w:spacing w:before="100" w:beforeAutospacing="1" w:after="150" w:line="240" w:lineRule="auto"/>
        <w:ind w:left="284" w:hanging="284"/>
        <w:jc w:val="both"/>
        <w:rPr>
          <w:rFonts w:eastAsia="Times New Roman" w:cstheme="minorHAnsi"/>
          <w:color w:val="1F1F1F"/>
          <w:lang w:eastAsia="en-GB"/>
        </w:rPr>
      </w:pPr>
      <w:r w:rsidRPr="00631319">
        <w:rPr>
          <w:rFonts w:eastAsia="Times New Roman" w:cstheme="minorHAnsi"/>
          <w:color w:val="1F1F1F"/>
          <w:lang w:eastAsia="en-GB"/>
        </w:rPr>
        <w:t>Heritage:</w:t>
      </w:r>
    </w:p>
    <w:p w14:paraId="2C5E3A87" w14:textId="77777777" w:rsidR="00A04B50" w:rsidRPr="00631319" w:rsidRDefault="00A04B50" w:rsidP="00A04B50">
      <w:pPr>
        <w:numPr>
          <w:ilvl w:val="1"/>
          <w:numId w:val="1"/>
        </w:numPr>
        <w:shd w:val="clear" w:color="auto" w:fill="FFFFFF" w:themeFill="background1"/>
        <w:spacing w:before="100" w:beforeAutospacing="1" w:after="150" w:line="240" w:lineRule="auto"/>
        <w:ind w:left="567" w:hanging="283"/>
        <w:jc w:val="both"/>
        <w:rPr>
          <w:rFonts w:eastAsia="Times New Roman" w:cstheme="minorHAnsi"/>
          <w:color w:val="1F1F1F"/>
          <w:lang w:eastAsia="en-GB"/>
        </w:rPr>
      </w:pPr>
      <w:r w:rsidRPr="171F77B3">
        <w:rPr>
          <w:rFonts w:eastAsia="Times New Roman"/>
          <w:color w:val="1F1F1F"/>
          <w:lang w:eastAsia="en-GB"/>
        </w:rPr>
        <w:t>Preserve and enhance the area’s nationally and locally important heritage assets through interventions that bring them into new use and relevance while respecting their historic significance;</w:t>
      </w:r>
    </w:p>
    <w:p w14:paraId="35F8102E" w14:textId="77777777" w:rsidR="00A04B50" w:rsidRPr="00631319" w:rsidRDefault="00A04B50" w:rsidP="00A04B50">
      <w:pPr>
        <w:numPr>
          <w:ilvl w:val="0"/>
          <w:numId w:val="1"/>
        </w:numPr>
        <w:shd w:val="clear" w:color="auto" w:fill="FFFFFF" w:themeFill="background1"/>
        <w:tabs>
          <w:tab w:val="clear" w:pos="720"/>
          <w:tab w:val="num" w:pos="284"/>
        </w:tabs>
        <w:spacing w:before="100" w:beforeAutospacing="1" w:after="150" w:line="240" w:lineRule="auto"/>
        <w:ind w:left="284" w:hanging="284"/>
        <w:jc w:val="both"/>
        <w:rPr>
          <w:rFonts w:eastAsia="Times New Roman" w:cstheme="minorHAnsi"/>
          <w:color w:val="1F1F1F"/>
          <w:lang w:eastAsia="en-GB"/>
        </w:rPr>
      </w:pPr>
      <w:r w:rsidRPr="00631319">
        <w:rPr>
          <w:rFonts w:eastAsia="Times New Roman" w:cstheme="minorHAnsi"/>
          <w:color w:val="1F1F1F"/>
          <w:lang w:eastAsia="en-GB"/>
        </w:rPr>
        <w:t>Active travel and transport:</w:t>
      </w:r>
    </w:p>
    <w:p w14:paraId="089184F6" w14:textId="77777777" w:rsidR="00A04B50" w:rsidRPr="00631319" w:rsidRDefault="00A04B50" w:rsidP="00A04B50">
      <w:pPr>
        <w:numPr>
          <w:ilvl w:val="1"/>
          <w:numId w:val="1"/>
        </w:numPr>
        <w:shd w:val="clear" w:color="auto" w:fill="FFFFFF" w:themeFill="background1"/>
        <w:spacing w:before="100" w:beforeAutospacing="1" w:after="150" w:line="240" w:lineRule="auto"/>
        <w:ind w:left="567" w:hanging="283"/>
        <w:jc w:val="both"/>
        <w:rPr>
          <w:rFonts w:eastAsia="Times New Roman" w:cstheme="minorHAnsi"/>
          <w:color w:val="1F1F1F"/>
          <w:lang w:eastAsia="en-GB"/>
        </w:rPr>
      </w:pPr>
      <w:r w:rsidRPr="171F77B3">
        <w:rPr>
          <w:rFonts w:eastAsia="Times New Roman"/>
          <w:color w:val="1F1F1F"/>
          <w:lang w:eastAsia="en-GB"/>
        </w:rPr>
        <w:t>Resolve existing highways issues including vehicle dominance, accident rates, congestion, and associated air quality, noise quality and accessibility issues. Promote and enhance active travel connections through and beyond the area;</w:t>
      </w:r>
    </w:p>
    <w:p w14:paraId="51A69973" w14:textId="77777777" w:rsidR="00A04B50" w:rsidRPr="00631319" w:rsidRDefault="00A04B50" w:rsidP="00A04B50">
      <w:pPr>
        <w:numPr>
          <w:ilvl w:val="0"/>
          <w:numId w:val="1"/>
        </w:numPr>
        <w:shd w:val="clear" w:color="auto" w:fill="FFFFFF" w:themeFill="background1"/>
        <w:tabs>
          <w:tab w:val="clear" w:pos="720"/>
          <w:tab w:val="num" w:pos="284"/>
        </w:tabs>
        <w:spacing w:before="100" w:beforeAutospacing="1" w:after="150" w:line="240" w:lineRule="auto"/>
        <w:ind w:left="284" w:hanging="284"/>
        <w:jc w:val="both"/>
        <w:rPr>
          <w:rFonts w:eastAsia="Times New Roman" w:cstheme="minorHAnsi"/>
          <w:color w:val="1F1F1F"/>
          <w:lang w:eastAsia="en-GB"/>
        </w:rPr>
      </w:pPr>
      <w:r w:rsidRPr="00631319">
        <w:rPr>
          <w:rFonts w:eastAsia="Times New Roman" w:cstheme="minorHAnsi"/>
          <w:color w:val="1F1F1F"/>
          <w:lang w:eastAsia="en-GB"/>
        </w:rPr>
        <w:t>Social value:</w:t>
      </w:r>
    </w:p>
    <w:p w14:paraId="7F59A093" w14:textId="77777777" w:rsidR="00A04B50" w:rsidRPr="00631319" w:rsidRDefault="00A04B50" w:rsidP="00A04B50">
      <w:pPr>
        <w:numPr>
          <w:ilvl w:val="1"/>
          <w:numId w:val="1"/>
        </w:numPr>
        <w:shd w:val="clear" w:color="auto" w:fill="FFFFFF" w:themeFill="background1"/>
        <w:spacing w:before="100" w:beforeAutospacing="1" w:after="150" w:line="240" w:lineRule="auto"/>
        <w:ind w:left="567" w:hanging="283"/>
        <w:jc w:val="both"/>
        <w:rPr>
          <w:rFonts w:eastAsia="Times New Roman"/>
          <w:color w:val="1F1F1F"/>
          <w:lang w:eastAsia="en-GB"/>
        </w:rPr>
      </w:pPr>
      <w:r w:rsidRPr="171F77B3">
        <w:rPr>
          <w:rFonts w:eastAsia="Times New Roman"/>
          <w:color w:val="1F1F1F"/>
          <w:lang w:eastAsia="en-GB"/>
        </w:rPr>
        <w:t>Create long-lasting social, economic and environmental outcomes for the people of King’s Lynn, and ensure that due consideration is afforded to social and environmental benefits - such as meeting local housing needs and responding to the climate change emergency;</w:t>
      </w:r>
    </w:p>
    <w:p w14:paraId="2C721267" w14:textId="77777777" w:rsidR="00A04B50" w:rsidRPr="00631319" w:rsidRDefault="00A04B50" w:rsidP="00A04B50">
      <w:pPr>
        <w:numPr>
          <w:ilvl w:val="0"/>
          <w:numId w:val="1"/>
        </w:numPr>
        <w:shd w:val="clear" w:color="auto" w:fill="FFFFFF" w:themeFill="background1"/>
        <w:tabs>
          <w:tab w:val="clear" w:pos="720"/>
          <w:tab w:val="num" w:pos="284"/>
        </w:tabs>
        <w:spacing w:before="100" w:beforeAutospacing="1" w:after="150" w:line="240" w:lineRule="auto"/>
        <w:ind w:left="284" w:hanging="284"/>
        <w:jc w:val="both"/>
        <w:rPr>
          <w:rFonts w:eastAsia="Times New Roman" w:cstheme="minorHAnsi"/>
          <w:color w:val="1F1F1F"/>
          <w:lang w:eastAsia="en-GB"/>
        </w:rPr>
      </w:pPr>
      <w:r w:rsidRPr="00631319">
        <w:rPr>
          <w:rFonts w:eastAsia="Times New Roman" w:cstheme="minorHAnsi"/>
          <w:color w:val="1F1F1F"/>
          <w:lang w:eastAsia="en-GB"/>
        </w:rPr>
        <w:t>Environmental Sustainability:</w:t>
      </w:r>
    </w:p>
    <w:p w14:paraId="2F38BB95" w14:textId="77777777" w:rsidR="00A04B50" w:rsidRPr="00631319" w:rsidRDefault="00A04B50" w:rsidP="00A04B50">
      <w:pPr>
        <w:numPr>
          <w:ilvl w:val="1"/>
          <w:numId w:val="1"/>
        </w:numPr>
        <w:shd w:val="clear" w:color="auto" w:fill="FFFFFF" w:themeFill="background1"/>
        <w:spacing w:before="100" w:beforeAutospacing="1" w:after="150" w:line="240" w:lineRule="auto"/>
        <w:ind w:left="567" w:hanging="283"/>
        <w:jc w:val="both"/>
        <w:rPr>
          <w:rFonts w:eastAsia="Times New Roman" w:cstheme="minorHAnsi"/>
          <w:color w:val="1F1F1F"/>
          <w:lang w:eastAsia="en-GB"/>
        </w:rPr>
      </w:pPr>
      <w:r w:rsidRPr="171F77B3">
        <w:rPr>
          <w:rFonts w:eastAsia="Times New Roman"/>
          <w:color w:val="1F1F1F"/>
          <w:lang w:eastAsia="en-GB"/>
        </w:rPr>
        <w:t>Resolve existing issues including land contamination, flood risk and poor air quality, and offer subsequent enhancements which enhance local environmental amenity and meet wider challenges of climate change;</w:t>
      </w:r>
    </w:p>
    <w:p w14:paraId="2E810584" w14:textId="77777777" w:rsidR="00A04B50" w:rsidRPr="00631319" w:rsidRDefault="00A04B50" w:rsidP="00A04B50">
      <w:pPr>
        <w:numPr>
          <w:ilvl w:val="0"/>
          <w:numId w:val="1"/>
        </w:numPr>
        <w:shd w:val="clear" w:color="auto" w:fill="FFFFFF" w:themeFill="background1"/>
        <w:tabs>
          <w:tab w:val="clear" w:pos="720"/>
          <w:tab w:val="num" w:pos="284"/>
        </w:tabs>
        <w:spacing w:before="100" w:beforeAutospacing="1" w:after="150" w:line="240" w:lineRule="auto"/>
        <w:ind w:left="284" w:hanging="284"/>
        <w:jc w:val="both"/>
        <w:rPr>
          <w:rFonts w:eastAsia="Times New Roman" w:cstheme="minorHAnsi"/>
          <w:color w:val="1F1F1F"/>
          <w:lang w:eastAsia="en-GB"/>
        </w:rPr>
      </w:pPr>
      <w:r w:rsidRPr="00631319">
        <w:rPr>
          <w:rFonts w:eastAsia="Times New Roman" w:cstheme="minorHAnsi"/>
          <w:color w:val="1F1F1F"/>
          <w:lang w:eastAsia="en-GB"/>
        </w:rPr>
        <w:t>Interface with surrounding development:</w:t>
      </w:r>
    </w:p>
    <w:p w14:paraId="26BD703F" w14:textId="77777777" w:rsidR="00A04B50" w:rsidRPr="00631319" w:rsidRDefault="00A04B50" w:rsidP="00A04B50">
      <w:pPr>
        <w:numPr>
          <w:ilvl w:val="1"/>
          <w:numId w:val="1"/>
        </w:numPr>
        <w:shd w:val="clear" w:color="auto" w:fill="FFFFFF" w:themeFill="background1"/>
        <w:spacing w:before="100" w:beforeAutospacing="1" w:after="150" w:line="240" w:lineRule="auto"/>
        <w:ind w:left="567" w:hanging="283"/>
        <w:jc w:val="both"/>
        <w:rPr>
          <w:rFonts w:eastAsia="Times New Roman" w:cstheme="minorHAnsi"/>
          <w:color w:val="1F1F1F"/>
          <w:lang w:eastAsia="en-GB"/>
        </w:rPr>
      </w:pPr>
      <w:r w:rsidRPr="171F77B3">
        <w:rPr>
          <w:rFonts w:eastAsia="Times New Roman"/>
          <w:color w:val="1F1F1F"/>
          <w:lang w:eastAsia="en-GB"/>
        </w:rPr>
        <w:t>Complement surrounding development in order to lever maximum benefit for the area as a whole. This includes long-standing land uses along London Road, the Nar Ouse Regeneration Area, the West Winch Growth Area, and forthcoming new development at King’s Lynn Waterfront;</w:t>
      </w:r>
    </w:p>
    <w:p w14:paraId="4C87EBD1" w14:textId="77777777" w:rsidR="00A04B50" w:rsidRPr="00631319" w:rsidRDefault="00A04B50" w:rsidP="00A04B50">
      <w:pPr>
        <w:numPr>
          <w:ilvl w:val="0"/>
          <w:numId w:val="1"/>
        </w:numPr>
        <w:shd w:val="clear" w:color="auto" w:fill="FFFFFF" w:themeFill="background1"/>
        <w:tabs>
          <w:tab w:val="clear" w:pos="720"/>
          <w:tab w:val="num" w:pos="284"/>
        </w:tabs>
        <w:spacing w:before="100" w:beforeAutospacing="1" w:after="150" w:line="240" w:lineRule="auto"/>
        <w:ind w:left="284" w:hanging="284"/>
        <w:jc w:val="both"/>
        <w:rPr>
          <w:rFonts w:eastAsia="Times New Roman" w:cstheme="minorHAnsi"/>
          <w:color w:val="1F1F1F"/>
          <w:lang w:eastAsia="en-GB"/>
        </w:rPr>
      </w:pPr>
      <w:r w:rsidRPr="00631319">
        <w:rPr>
          <w:rFonts w:eastAsia="Times New Roman" w:cstheme="minorHAnsi"/>
          <w:color w:val="1F1F1F"/>
          <w:lang w:eastAsia="en-GB"/>
        </w:rPr>
        <w:lastRenderedPageBreak/>
        <w:t>Deliverability:</w:t>
      </w:r>
    </w:p>
    <w:p w14:paraId="156E7CFB" w14:textId="77777777" w:rsidR="00A04B50" w:rsidRPr="00631319" w:rsidRDefault="00A04B50" w:rsidP="00A04B50">
      <w:pPr>
        <w:numPr>
          <w:ilvl w:val="1"/>
          <w:numId w:val="1"/>
        </w:numPr>
        <w:shd w:val="clear" w:color="auto" w:fill="FFFFFF" w:themeFill="background1"/>
        <w:spacing w:before="100" w:beforeAutospacing="1" w:after="150" w:line="240" w:lineRule="auto"/>
        <w:ind w:left="567" w:hanging="283"/>
        <w:jc w:val="both"/>
        <w:rPr>
          <w:rFonts w:eastAsia="Times New Roman" w:cstheme="minorHAnsi"/>
          <w:color w:val="1F1F1F"/>
          <w:lang w:eastAsia="en-GB"/>
        </w:rPr>
      </w:pPr>
      <w:r w:rsidRPr="171F77B3">
        <w:rPr>
          <w:rFonts w:eastAsia="Times New Roman"/>
          <w:color w:val="1F1F1F"/>
          <w:lang w:eastAsia="en-GB"/>
        </w:rPr>
        <w:t>Ensure that proposals are deliverable through either private investment or public funding; including the ability to achieve a high quality of design.</w:t>
      </w:r>
    </w:p>
    <w:p w14:paraId="4ABD6AAC" w14:textId="77777777" w:rsidR="00A04B50" w:rsidRPr="00631319" w:rsidRDefault="00A04B50" w:rsidP="00A04B50">
      <w:pPr>
        <w:shd w:val="clear" w:color="auto" w:fill="FFFFFF"/>
        <w:spacing w:before="360" w:after="360" w:line="240" w:lineRule="auto"/>
        <w:jc w:val="both"/>
        <w:rPr>
          <w:rFonts w:eastAsia="Times New Roman" w:cstheme="minorHAnsi"/>
          <w:color w:val="1F1F1F"/>
          <w:lang w:eastAsia="en-GB"/>
        </w:rPr>
      </w:pPr>
      <w:r w:rsidRPr="00631319">
        <w:rPr>
          <w:rFonts w:eastAsia="Times New Roman" w:cstheme="minorHAnsi"/>
          <w:color w:val="1F1F1F"/>
          <w:lang w:eastAsia="en-GB"/>
        </w:rPr>
        <w:t>The masterplan includes a number of proposals to achieve these objectives, including:</w:t>
      </w:r>
    </w:p>
    <w:p w14:paraId="5FB218E1" w14:textId="77777777" w:rsidR="00A04B50" w:rsidRPr="00631319" w:rsidRDefault="00A04B50" w:rsidP="00A04B50">
      <w:pPr>
        <w:numPr>
          <w:ilvl w:val="0"/>
          <w:numId w:val="2"/>
        </w:numPr>
        <w:shd w:val="clear" w:color="auto" w:fill="FFFFFF" w:themeFill="background1"/>
        <w:tabs>
          <w:tab w:val="clear" w:pos="720"/>
          <w:tab w:val="num" w:pos="284"/>
        </w:tabs>
        <w:spacing w:before="100" w:beforeAutospacing="1" w:after="150" w:line="240" w:lineRule="auto"/>
        <w:ind w:left="284" w:hanging="284"/>
        <w:jc w:val="both"/>
        <w:rPr>
          <w:rFonts w:eastAsia="Times New Roman"/>
          <w:color w:val="1F1F1F"/>
          <w:lang w:eastAsia="en-GB"/>
        </w:rPr>
      </w:pPr>
      <w:r w:rsidRPr="1DBAA995">
        <w:rPr>
          <w:rFonts w:eastAsia="Times New Roman"/>
          <w:color w:val="1F1F1F"/>
          <w:lang w:eastAsia="en-GB"/>
        </w:rPr>
        <w:t xml:space="preserve">Relocating the road space currently dominated by the existing Southgates roundabout to a new Highway’s layout; </w:t>
      </w:r>
    </w:p>
    <w:p w14:paraId="4E716C1E" w14:textId="77777777" w:rsidR="00A04B50" w:rsidRPr="00631319" w:rsidRDefault="00A04B50" w:rsidP="00A04B50">
      <w:pPr>
        <w:numPr>
          <w:ilvl w:val="0"/>
          <w:numId w:val="2"/>
        </w:numPr>
        <w:shd w:val="clear" w:color="auto" w:fill="FFFFFF" w:themeFill="background1"/>
        <w:tabs>
          <w:tab w:val="clear" w:pos="720"/>
          <w:tab w:val="num" w:pos="284"/>
        </w:tabs>
        <w:spacing w:before="100" w:beforeAutospacing="1" w:after="150" w:line="240" w:lineRule="auto"/>
        <w:ind w:left="284" w:hanging="284"/>
        <w:jc w:val="both"/>
        <w:rPr>
          <w:rFonts w:eastAsia="Times New Roman" w:cstheme="minorHAnsi"/>
          <w:color w:val="1F1F1F"/>
          <w:lang w:eastAsia="en-GB"/>
        </w:rPr>
      </w:pPr>
      <w:r w:rsidRPr="00631319">
        <w:rPr>
          <w:rFonts w:eastAsia="Times New Roman" w:cstheme="minorHAnsi"/>
          <w:color w:val="1F1F1F"/>
          <w:lang w:eastAsia="en-GB"/>
        </w:rPr>
        <w:t>Creating a new bus priority corridor;</w:t>
      </w:r>
    </w:p>
    <w:p w14:paraId="704DA8D1" w14:textId="77777777" w:rsidR="00A04B50" w:rsidRPr="00631319" w:rsidRDefault="00A04B50" w:rsidP="00A04B50">
      <w:pPr>
        <w:numPr>
          <w:ilvl w:val="0"/>
          <w:numId w:val="2"/>
        </w:numPr>
        <w:shd w:val="clear" w:color="auto" w:fill="FFFFFF" w:themeFill="background1"/>
        <w:tabs>
          <w:tab w:val="clear" w:pos="720"/>
          <w:tab w:val="num" w:pos="284"/>
        </w:tabs>
        <w:spacing w:before="100" w:beforeAutospacing="1" w:after="150" w:line="240" w:lineRule="auto"/>
        <w:ind w:left="284" w:hanging="284"/>
        <w:jc w:val="both"/>
        <w:rPr>
          <w:rFonts w:eastAsia="Times New Roman" w:cstheme="minorHAnsi"/>
          <w:color w:val="1F1F1F"/>
          <w:lang w:eastAsia="en-GB"/>
        </w:rPr>
      </w:pPr>
      <w:r w:rsidRPr="00631319">
        <w:rPr>
          <w:rFonts w:eastAsia="Times New Roman" w:cstheme="minorHAnsi"/>
          <w:color w:val="1F1F1F"/>
          <w:lang w:eastAsia="en-GB"/>
        </w:rPr>
        <w:t>Developing new pedestrian and cycle routes;</w:t>
      </w:r>
    </w:p>
    <w:p w14:paraId="6E5245AC" w14:textId="77777777" w:rsidR="00A04B50" w:rsidRPr="00631319" w:rsidRDefault="00A04B50" w:rsidP="00A04B50">
      <w:pPr>
        <w:numPr>
          <w:ilvl w:val="0"/>
          <w:numId w:val="2"/>
        </w:numPr>
        <w:shd w:val="clear" w:color="auto" w:fill="FFFFFF" w:themeFill="background1"/>
        <w:tabs>
          <w:tab w:val="clear" w:pos="720"/>
          <w:tab w:val="num" w:pos="284"/>
        </w:tabs>
        <w:spacing w:before="100" w:beforeAutospacing="1" w:after="150" w:line="240" w:lineRule="auto"/>
        <w:ind w:left="284" w:hanging="284"/>
        <w:jc w:val="both"/>
        <w:rPr>
          <w:rFonts w:eastAsia="Times New Roman" w:cstheme="minorHAnsi"/>
          <w:color w:val="1F1F1F"/>
          <w:lang w:eastAsia="en-GB"/>
        </w:rPr>
      </w:pPr>
      <w:r w:rsidRPr="00631319">
        <w:rPr>
          <w:rFonts w:eastAsia="Times New Roman" w:cstheme="minorHAnsi"/>
          <w:color w:val="1F1F1F"/>
          <w:lang w:eastAsia="en-GB"/>
        </w:rPr>
        <w:t>Improving the public realm around the South Gate;</w:t>
      </w:r>
    </w:p>
    <w:p w14:paraId="6547B91D" w14:textId="77777777" w:rsidR="00A04B50" w:rsidRPr="00631319" w:rsidRDefault="00A04B50" w:rsidP="00A04B50">
      <w:pPr>
        <w:numPr>
          <w:ilvl w:val="0"/>
          <w:numId w:val="2"/>
        </w:numPr>
        <w:shd w:val="clear" w:color="auto" w:fill="FFFFFF" w:themeFill="background1"/>
        <w:tabs>
          <w:tab w:val="clear" w:pos="720"/>
          <w:tab w:val="num" w:pos="284"/>
        </w:tabs>
        <w:spacing w:before="100" w:beforeAutospacing="1" w:after="150" w:line="240" w:lineRule="auto"/>
        <w:ind w:left="284" w:hanging="284"/>
        <w:jc w:val="both"/>
        <w:rPr>
          <w:rFonts w:eastAsia="Times New Roman" w:cstheme="minorHAnsi"/>
          <w:color w:val="1F1F1F"/>
          <w:lang w:eastAsia="en-GB"/>
        </w:rPr>
      </w:pPr>
      <w:r w:rsidRPr="00631319">
        <w:rPr>
          <w:rFonts w:eastAsia="Times New Roman" w:cstheme="minorHAnsi"/>
          <w:color w:val="1F1F1F"/>
          <w:lang w:eastAsia="en-GB"/>
        </w:rPr>
        <w:t>Enhancing the setting of the South Gate;</w:t>
      </w:r>
    </w:p>
    <w:p w14:paraId="0B958174" w14:textId="77777777" w:rsidR="00A04B50" w:rsidRPr="00631319" w:rsidRDefault="00A04B50" w:rsidP="00A04B50">
      <w:pPr>
        <w:numPr>
          <w:ilvl w:val="0"/>
          <w:numId w:val="2"/>
        </w:numPr>
        <w:shd w:val="clear" w:color="auto" w:fill="FFFFFF" w:themeFill="background1"/>
        <w:tabs>
          <w:tab w:val="clear" w:pos="720"/>
          <w:tab w:val="num" w:pos="284"/>
        </w:tabs>
        <w:spacing w:beforeAutospacing="1" w:after="150" w:line="240" w:lineRule="auto"/>
        <w:ind w:left="284" w:hanging="284"/>
        <w:jc w:val="both"/>
        <w:rPr>
          <w:rFonts w:eastAsia="Times New Roman"/>
          <w:color w:val="1F1F1F"/>
          <w:lang w:eastAsia="en-GB"/>
        </w:rPr>
      </w:pPr>
      <w:r w:rsidRPr="1DBAA995">
        <w:rPr>
          <w:rFonts w:eastAsia="Times New Roman"/>
          <w:color w:val="1F1F1F"/>
          <w:lang w:eastAsia="en-GB"/>
        </w:rPr>
        <w:t>Redevelopment of the surrounding brownfield sites for residential and mixed use to create a sense of place and community adjacent existing and other growing communities in the area.</w:t>
      </w:r>
    </w:p>
    <w:p w14:paraId="0193F28C" w14:textId="34C8C861" w:rsidR="00A04B50" w:rsidRPr="00631319" w:rsidRDefault="00A04B50" w:rsidP="00A04B50">
      <w:pPr>
        <w:shd w:val="clear" w:color="auto" w:fill="FFFFFF" w:themeFill="background1"/>
        <w:spacing w:before="360" w:after="360" w:line="240" w:lineRule="auto"/>
        <w:jc w:val="both"/>
        <w:rPr>
          <w:rFonts w:eastAsia="Times New Roman" w:cstheme="minorHAnsi"/>
          <w:color w:val="1F1F1F"/>
          <w:lang w:eastAsia="en-GB"/>
        </w:rPr>
      </w:pPr>
      <w:r w:rsidRPr="00631319">
        <w:rPr>
          <w:rFonts w:eastAsia="Times New Roman" w:cstheme="minorHAnsi"/>
          <w:color w:val="1F1F1F"/>
          <w:lang w:eastAsia="en-GB"/>
        </w:rPr>
        <w:t xml:space="preserve">The Southgates Regeneration Masterplan is a significant project that has the potential to transform the area and improve the quality of life for local residents and visitors. It is a key part of the Borough Council's plans to make King's Lynn a more attractive and sustainable place to live, work, and visit as set out in the </w:t>
      </w:r>
      <w:r w:rsidRPr="00A04B50">
        <w:rPr>
          <w:rFonts w:eastAsia="Times New Roman" w:cstheme="minorHAnsi"/>
          <w:lang w:eastAsia="en-GB"/>
        </w:rPr>
        <w:t>Town Investment Plan.</w:t>
      </w:r>
      <w:r w:rsidRPr="00631319">
        <w:rPr>
          <w:rFonts w:eastAsia="Times New Roman" w:cstheme="minorHAnsi"/>
          <w:color w:val="1F1F1F"/>
          <w:lang w:eastAsia="en-GB"/>
        </w:rPr>
        <w:t xml:space="preserve"> </w:t>
      </w:r>
    </w:p>
    <w:p w14:paraId="78B84709" w14:textId="77777777" w:rsidR="00A04B50" w:rsidRPr="00120CED" w:rsidRDefault="00A04B50" w:rsidP="00A04B50">
      <w:pPr>
        <w:jc w:val="both"/>
      </w:pPr>
      <w:r>
        <w:t>Specifically related to this commission, the property advice is focussed on the redevelopment of the brownfield sites, supporting the creation of a new community with a sense of place to this part of King’s Lynn.</w:t>
      </w:r>
    </w:p>
    <w:p w14:paraId="29AE7141" w14:textId="77777777" w:rsidR="00A04B50" w:rsidRPr="00631319" w:rsidRDefault="00A04B50" w:rsidP="00A04B50">
      <w:pPr>
        <w:spacing w:line="240" w:lineRule="auto"/>
        <w:jc w:val="both"/>
      </w:pPr>
      <w:r w:rsidRPr="1DBAA995">
        <w:t>The appointed Property Advisor will be forwarded The Delivery Strategy Report which set out initial options available to the council to take the scheme forward to development – due to the commercially sensitive nature of this document it will be provided to the appointed consultant upon award. The report sets out delivery options and initial viability, and agreed that further work is required as part of this commission to explore all options further, which will include:</w:t>
      </w:r>
    </w:p>
    <w:p w14:paraId="243B9E76" w14:textId="77777777" w:rsidR="00A04B50" w:rsidRPr="00631319" w:rsidRDefault="00A04B50" w:rsidP="00A04B50">
      <w:pPr>
        <w:pStyle w:val="ListParagraph"/>
        <w:numPr>
          <w:ilvl w:val="2"/>
          <w:numId w:val="3"/>
        </w:numPr>
        <w:spacing w:after="0" w:line="240" w:lineRule="auto"/>
        <w:ind w:left="993" w:hanging="426"/>
        <w:contextualSpacing w:val="0"/>
        <w:jc w:val="both"/>
        <w:rPr>
          <w:rFonts w:cstheme="minorHAnsi"/>
        </w:rPr>
      </w:pPr>
      <w:r w:rsidRPr="00631319">
        <w:rPr>
          <w:rFonts w:cstheme="minorHAnsi"/>
        </w:rPr>
        <w:t>Review and quantify the extent of abnormal costs to support potential funding sources</w:t>
      </w:r>
      <w:r>
        <w:rPr>
          <w:rFonts w:cstheme="minorHAnsi"/>
        </w:rPr>
        <w:t>,</w:t>
      </w:r>
      <w:r w:rsidRPr="00631319">
        <w:rPr>
          <w:rFonts w:cstheme="minorHAnsi"/>
        </w:rPr>
        <w:t xml:space="preserve"> based on further site investigation and comparison against abnormal costs (factoring in inflation) on similar schemes delivered by the council under the </w:t>
      </w:r>
      <w:r>
        <w:rPr>
          <w:rFonts w:cstheme="minorHAnsi"/>
        </w:rPr>
        <w:t>M</w:t>
      </w:r>
      <w:r w:rsidRPr="00631319">
        <w:rPr>
          <w:rFonts w:cstheme="minorHAnsi"/>
        </w:rPr>
        <w:t xml:space="preserve">ajor </w:t>
      </w:r>
      <w:r>
        <w:rPr>
          <w:rFonts w:cstheme="minorHAnsi"/>
        </w:rPr>
        <w:t>H</w:t>
      </w:r>
      <w:r w:rsidRPr="00631319">
        <w:rPr>
          <w:rFonts w:cstheme="minorHAnsi"/>
        </w:rPr>
        <w:t xml:space="preserve">ousing </w:t>
      </w:r>
      <w:r>
        <w:rPr>
          <w:rFonts w:cstheme="minorHAnsi"/>
        </w:rPr>
        <w:t>P</w:t>
      </w:r>
      <w:r w:rsidRPr="00631319">
        <w:rPr>
          <w:rFonts w:cstheme="minorHAnsi"/>
        </w:rPr>
        <w:t>rogramme</w:t>
      </w:r>
      <w:r>
        <w:rPr>
          <w:rFonts w:cstheme="minorHAnsi"/>
        </w:rPr>
        <w:t>;</w:t>
      </w:r>
    </w:p>
    <w:p w14:paraId="1E3AD229" w14:textId="77777777" w:rsidR="00A04B50" w:rsidRPr="00631319" w:rsidRDefault="00A04B50" w:rsidP="00A04B50">
      <w:pPr>
        <w:pStyle w:val="ListParagraph"/>
        <w:numPr>
          <w:ilvl w:val="2"/>
          <w:numId w:val="3"/>
        </w:numPr>
        <w:spacing w:after="0" w:line="240" w:lineRule="auto"/>
        <w:ind w:left="993" w:hanging="426"/>
        <w:contextualSpacing w:val="0"/>
        <w:jc w:val="both"/>
        <w:rPr>
          <w:rFonts w:cstheme="minorHAnsi"/>
        </w:rPr>
      </w:pPr>
      <w:r w:rsidRPr="00631319">
        <w:rPr>
          <w:rFonts w:cstheme="minorHAnsi"/>
        </w:rPr>
        <w:t>Market engagement with housing providers/</w:t>
      </w:r>
      <w:r>
        <w:rPr>
          <w:rFonts w:cstheme="minorHAnsi"/>
        </w:rPr>
        <w:t xml:space="preserve"> </w:t>
      </w:r>
      <w:r w:rsidRPr="00631319">
        <w:rPr>
          <w:rFonts w:cstheme="minorHAnsi"/>
        </w:rPr>
        <w:t xml:space="preserve">associations on their interest to deliver the scheme using their access to </w:t>
      </w:r>
      <w:r>
        <w:rPr>
          <w:rFonts w:cstheme="minorHAnsi"/>
        </w:rPr>
        <w:t>A</w:t>
      </w:r>
      <w:r w:rsidRPr="00631319">
        <w:rPr>
          <w:rFonts w:cstheme="minorHAnsi"/>
        </w:rPr>
        <w:t xml:space="preserve">ffordable </w:t>
      </w:r>
      <w:r>
        <w:rPr>
          <w:rFonts w:cstheme="minorHAnsi"/>
        </w:rPr>
        <w:t>H</w:t>
      </w:r>
      <w:r w:rsidRPr="00631319">
        <w:rPr>
          <w:rFonts w:cstheme="minorHAnsi"/>
        </w:rPr>
        <w:t>ousing grant</w:t>
      </w:r>
      <w:r>
        <w:rPr>
          <w:rFonts w:cstheme="minorHAnsi"/>
        </w:rPr>
        <w:t>s;</w:t>
      </w:r>
    </w:p>
    <w:p w14:paraId="519D38B3" w14:textId="77777777" w:rsidR="00A04B50" w:rsidRPr="00631319" w:rsidRDefault="00A04B50" w:rsidP="00A04B50">
      <w:pPr>
        <w:pStyle w:val="ListParagraph"/>
        <w:numPr>
          <w:ilvl w:val="2"/>
          <w:numId w:val="3"/>
        </w:numPr>
        <w:spacing w:after="0" w:line="240" w:lineRule="auto"/>
        <w:ind w:left="993" w:hanging="426"/>
        <w:contextualSpacing w:val="0"/>
        <w:jc w:val="both"/>
        <w:rPr>
          <w:rFonts w:cstheme="minorHAnsi"/>
        </w:rPr>
      </w:pPr>
      <w:r w:rsidRPr="00631319">
        <w:rPr>
          <w:rFonts w:cstheme="minorHAnsi"/>
        </w:rPr>
        <w:t>Further market testing with developers and third-party landowners in the area</w:t>
      </w:r>
      <w:r>
        <w:rPr>
          <w:rFonts w:cstheme="minorHAnsi"/>
        </w:rPr>
        <w:t>;</w:t>
      </w:r>
    </w:p>
    <w:p w14:paraId="179501A6" w14:textId="77777777" w:rsidR="00A04B50" w:rsidRPr="00631319" w:rsidRDefault="00A04B50" w:rsidP="00A04B50">
      <w:pPr>
        <w:pStyle w:val="ListParagraph"/>
        <w:numPr>
          <w:ilvl w:val="2"/>
          <w:numId w:val="3"/>
        </w:numPr>
        <w:spacing w:after="0" w:line="240" w:lineRule="auto"/>
        <w:ind w:left="993" w:hanging="426"/>
        <w:contextualSpacing w:val="0"/>
        <w:jc w:val="both"/>
        <w:rPr>
          <w:rFonts w:cstheme="minorHAnsi"/>
        </w:rPr>
      </w:pPr>
      <w:r w:rsidRPr="00631319">
        <w:rPr>
          <w:rFonts w:cstheme="minorHAnsi"/>
        </w:rPr>
        <w:t>Engagement with third</w:t>
      </w:r>
      <w:r>
        <w:rPr>
          <w:rFonts w:cstheme="minorHAnsi"/>
        </w:rPr>
        <w:t>-</w:t>
      </w:r>
      <w:r w:rsidRPr="00631319">
        <w:rPr>
          <w:rFonts w:cstheme="minorHAnsi"/>
        </w:rPr>
        <w:t xml:space="preserve">party landowners, alongside the </w:t>
      </w:r>
      <w:r>
        <w:rPr>
          <w:rFonts w:cstheme="minorHAnsi"/>
        </w:rPr>
        <w:t>D</w:t>
      </w:r>
      <w:r w:rsidRPr="00631319">
        <w:rPr>
          <w:rFonts w:cstheme="minorHAnsi"/>
        </w:rPr>
        <w:t xml:space="preserve">esign team, to coordinate the design and delivery of their sites with those owned by the </w:t>
      </w:r>
      <w:r>
        <w:rPr>
          <w:rFonts w:cstheme="minorHAnsi"/>
        </w:rPr>
        <w:t>c</w:t>
      </w:r>
      <w:r w:rsidRPr="00631319">
        <w:rPr>
          <w:rFonts w:cstheme="minorHAnsi"/>
        </w:rPr>
        <w:t>ouncil</w:t>
      </w:r>
      <w:r>
        <w:rPr>
          <w:rFonts w:cstheme="minorHAnsi"/>
        </w:rPr>
        <w:t>;</w:t>
      </w:r>
    </w:p>
    <w:p w14:paraId="4A6CEFE2" w14:textId="77777777" w:rsidR="00A04B50" w:rsidRDefault="00A04B50" w:rsidP="00A04B50">
      <w:pPr>
        <w:pStyle w:val="ListParagraph"/>
        <w:numPr>
          <w:ilvl w:val="2"/>
          <w:numId w:val="3"/>
        </w:numPr>
        <w:spacing w:after="0" w:line="240" w:lineRule="auto"/>
        <w:ind w:left="993" w:hanging="426"/>
        <w:contextualSpacing w:val="0"/>
        <w:jc w:val="both"/>
        <w:rPr>
          <w:rFonts w:cstheme="minorHAnsi"/>
        </w:rPr>
      </w:pPr>
      <w:r>
        <w:rPr>
          <w:rFonts w:cstheme="minorHAnsi"/>
        </w:rPr>
        <w:t>Quantum and mix of development appropriate and deliverable for the sites;</w:t>
      </w:r>
    </w:p>
    <w:p w14:paraId="503B7BE1" w14:textId="77777777" w:rsidR="00A04B50" w:rsidRDefault="00A04B50" w:rsidP="00A04B50">
      <w:pPr>
        <w:pStyle w:val="ListParagraph"/>
        <w:numPr>
          <w:ilvl w:val="2"/>
          <w:numId w:val="3"/>
        </w:numPr>
        <w:spacing w:after="0" w:line="240" w:lineRule="auto"/>
        <w:ind w:left="993" w:hanging="426"/>
        <w:contextualSpacing w:val="0"/>
        <w:jc w:val="both"/>
        <w:rPr>
          <w:rFonts w:cstheme="minorHAnsi"/>
        </w:rPr>
      </w:pPr>
      <w:r>
        <w:rPr>
          <w:rFonts w:cstheme="minorHAnsi"/>
        </w:rPr>
        <w:t>Undertake Valuations and Appraisals; for example: residual land valuation and build cost estimates, as necessary to develop the sites;</w:t>
      </w:r>
    </w:p>
    <w:p w14:paraId="150C4B38" w14:textId="77777777" w:rsidR="00A04B50" w:rsidRDefault="00A04B50" w:rsidP="00A04B50">
      <w:pPr>
        <w:pStyle w:val="ListParagraph"/>
        <w:numPr>
          <w:ilvl w:val="2"/>
          <w:numId w:val="3"/>
        </w:numPr>
        <w:spacing w:after="0" w:line="240" w:lineRule="auto"/>
        <w:ind w:left="993" w:hanging="426"/>
        <w:contextualSpacing w:val="0"/>
        <w:jc w:val="both"/>
        <w:rPr>
          <w:rFonts w:cstheme="minorHAnsi"/>
        </w:rPr>
      </w:pPr>
      <w:r w:rsidRPr="2E28F3B9">
        <w:t>Provide necessary supporting information relating to the above to support submission of funding applications.</w:t>
      </w:r>
    </w:p>
    <w:p w14:paraId="13AE6D14" w14:textId="77777777" w:rsidR="00A04B50" w:rsidRPr="00631319" w:rsidRDefault="00A04B50" w:rsidP="00A04B50">
      <w:pPr>
        <w:pStyle w:val="ListParagraph"/>
        <w:spacing w:after="0" w:line="240" w:lineRule="auto"/>
        <w:ind w:left="993"/>
        <w:contextualSpacing w:val="0"/>
        <w:jc w:val="both"/>
        <w:rPr>
          <w:rFonts w:cstheme="minorHAnsi"/>
        </w:rPr>
      </w:pPr>
    </w:p>
    <w:p w14:paraId="259B418E" w14:textId="77777777" w:rsidR="00A04B50" w:rsidRPr="00631319" w:rsidRDefault="00A04B50" w:rsidP="00A04B50">
      <w:pPr>
        <w:pStyle w:val="NormalWeb"/>
        <w:shd w:val="clear" w:color="auto" w:fill="FFFFFF"/>
        <w:spacing w:before="0" w:beforeAutospacing="0" w:after="360" w:afterAutospacing="0"/>
        <w:jc w:val="both"/>
        <w:rPr>
          <w:rFonts w:asciiTheme="minorHAnsi" w:hAnsiTheme="minorHAnsi" w:cstheme="minorHAnsi"/>
          <w:color w:val="1F1F1F"/>
          <w:sz w:val="22"/>
          <w:szCs w:val="22"/>
        </w:rPr>
      </w:pPr>
      <w:r w:rsidRPr="00631319">
        <w:rPr>
          <w:rFonts w:asciiTheme="minorHAnsi" w:hAnsiTheme="minorHAnsi" w:cstheme="minorHAnsi"/>
          <w:color w:val="1F1F1F"/>
          <w:sz w:val="22"/>
          <w:szCs w:val="22"/>
        </w:rPr>
        <w:t xml:space="preserve">An experienced consultant is required to provide guidance to the Borough Council of King's Lynn and West Norfolk </w:t>
      </w:r>
      <w:r>
        <w:rPr>
          <w:rFonts w:asciiTheme="minorHAnsi" w:hAnsiTheme="minorHAnsi" w:cstheme="minorHAnsi"/>
          <w:color w:val="1F1F1F"/>
          <w:sz w:val="22"/>
          <w:szCs w:val="22"/>
        </w:rPr>
        <w:t>and the appointed Lead Design Team</w:t>
      </w:r>
      <w:r w:rsidRPr="00631319">
        <w:rPr>
          <w:rFonts w:asciiTheme="minorHAnsi" w:hAnsiTheme="minorHAnsi" w:cstheme="minorHAnsi"/>
          <w:color w:val="1F1F1F"/>
          <w:sz w:val="22"/>
          <w:szCs w:val="22"/>
        </w:rPr>
        <w:t xml:space="preserve"> through the concept design stage (RIBA Stages 1-</w:t>
      </w:r>
      <w:r w:rsidRPr="00631319">
        <w:rPr>
          <w:rFonts w:asciiTheme="minorHAnsi" w:hAnsiTheme="minorHAnsi" w:cstheme="minorHAnsi"/>
          <w:color w:val="1F1F1F"/>
          <w:sz w:val="22"/>
          <w:szCs w:val="22"/>
        </w:rPr>
        <w:lastRenderedPageBreak/>
        <w:t xml:space="preserve">2) of the Southgates Regeneration Masterplan on all matters </w:t>
      </w:r>
      <w:r>
        <w:rPr>
          <w:rFonts w:asciiTheme="minorHAnsi" w:hAnsiTheme="minorHAnsi" w:cstheme="minorHAnsi"/>
          <w:color w:val="1F1F1F"/>
          <w:sz w:val="22"/>
          <w:szCs w:val="22"/>
        </w:rPr>
        <w:t>related</w:t>
      </w:r>
      <w:r w:rsidRPr="00631319">
        <w:rPr>
          <w:rFonts w:asciiTheme="minorHAnsi" w:hAnsiTheme="minorHAnsi" w:cstheme="minorHAnsi"/>
          <w:color w:val="1F1F1F"/>
          <w:sz w:val="22"/>
          <w:szCs w:val="22"/>
        </w:rPr>
        <w:t xml:space="preserve"> to </w:t>
      </w:r>
      <w:r>
        <w:rPr>
          <w:rFonts w:asciiTheme="minorHAnsi" w:hAnsiTheme="minorHAnsi" w:cstheme="minorHAnsi"/>
          <w:color w:val="1F1F1F"/>
          <w:sz w:val="22"/>
          <w:szCs w:val="22"/>
        </w:rPr>
        <w:t>the above, to identify the</w:t>
      </w:r>
      <w:r w:rsidRPr="00631319">
        <w:rPr>
          <w:rFonts w:asciiTheme="minorHAnsi" w:hAnsiTheme="minorHAnsi" w:cstheme="minorHAnsi"/>
          <w:color w:val="1F1F1F"/>
          <w:sz w:val="22"/>
          <w:szCs w:val="22"/>
        </w:rPr>
        <w:t xml:space="preserve"> preferred route </w:t>
      </w:r>
      <w:r>
        <w:rPr>
          <w:rFonts w:asciiTheme="minorHAnsi" w:hAnsiTheme="minorHAnsi" w:cstheme="minorHAnsi"/>
          <w:color w:val="1F1F1F"/>
          <w:sz w:val="22"/>
          <w:szCs w:val="22"/>
        </w:rPr>
        <w:t>to delivery on which the council will be able to make an informed decision to</w:t>
      </w:r>
      <w:r w:rsidRPr="00631319">
        <w:rPr>
          <w:rFonts w:asciiTheme="minorHAnsi" w:hAnsiTheme="minorHAnsi" w:cstheme="minorHAnsi"/>
          <w:color w:val="1F1F1F"/>
          <w:sz w:val="22"/>
          <w:szCs w:val="22"/>
        </w:rPr>
        <w:t xml:space="preserve"> delivery. </w:t>
      </w:r>
    </w:p>
    <w:p w14:paraId="502E9B48" w14:textId="77777777" w:rsidR="00A04B50" w:rsidRPr="00631319" w:rsidRDefault="00A04B50" w:rsidP="00A04B50">
      <w:pPr>
        <w:pStyle w:val="NormalWeb"/>
        <w:shd w:val="clear" w:color="auto" w:fill="FFFFFF"/>
        <w:spacing w:before="0" w:beforeAutospacing="0" w:after="360" w:afterAutospacing="0"/>
        <w:jc w:val="both"/>
        <w:rPr>
          <w:rFonts w:asciiTheme="minorHAnsi" w:hAnsiTheme="minorHAnsi" w:cstheme="minorHAnsi"/>
          <w:color w:val="1F1F1F"/>
          <w:sz w:val="22"/>
          <w:szCs w:val="22"/>
        </w:rPr>
      </w:pPr>
      <w:r w:rsidRPr="00631319">
        <w:rPr>
          <w:rFonts w:asciiTheme="minorHAnsi" w:hAnsiTheme="minorHAnsi" w:cstheme="minorHAnsi"/>
          <w:color w:val="1F1F1F"/>
          <w:sz w:val="22"/>
          <w:szCs w:val="22"/>
        </w:rPr>
        <w:t xml:space="preserve">It is not assumed at this stage the </w:t>
      </w:r>
      <w:r>
        <w:rPr>
          <w:rFonts w:asciiTheme="minorHAnsi" w:hAnsiTheme="minorHAnsi" w:cstheme="minorHAnsi"/>
          <w:color w:val="1F1F1F"/>
          <w:sz w:val="22"/>
          <w:szCs w:val="22"/>
        </w:rPr>
        <w:t>c</w:t>
      </w:r>
      <w:r w:rsidRPr="00631319">
        <w:rPr>
          <w:rFonts w:asciiTheme="minorHAnsi" w:hAnsiTheme="minorHAnsi" w:cstheme="minorHAnsi"/>
          <w:color w:val="1F1F1F"/>
          <w:sz w:val="22"/>
          <w:szCs w:val="22"/>
        </w:rPr>
        <w:t>ouncil will develop the site; it is one of many options that should be assessed further. The Southgates Masterplan's aims</w:t>
      </w:r>
      <w:r w:rsidRPr="00631319" w:rsidDel="3242C901">
        <w:rPr>
          <w:rFonts w:asciiTheme="minorHAnsi" w:hAnsiTheme="minorHAnsi" w:cstheme="minorHAnsi"/>
          <w:color w:val="1F1F1F"/>
          <w:sz w:val="22"/>
          <w:szCs w:val="22"/>
        </w:rPr>
        <w:t xml:space="preserve"> </w:t>
      </w:r>
      <w:r w:rsidRPr="00631319">
        <w:rPr>
          <w:rFonts w:asciiTheme="minorHAnsi" w:hAnsiTheme="minorHAnsi" w:cstheme="minorHAnsi"/>
          <w:color w:val="1F1F1F"/>
          <w:sz w:val="22"/>
          <w:szCs w:val="22"/>
        </w:rPr>
        <w:t>may be delivered through a number of development routes, with multiple blocks of land available for development. Each plot has its own challenges and may be suitable for different types of development, including residential, affordable housing, commercial, or a mix of each, depending on its access, size, floorspace, and a number of other constraints.</w:t>
      </w:r>
    </w:p>
    <w:p w14:paraId="270809ED" w14:textId="77777777" w:rsidR="00A04B50" w:rsidRPr="00631319" w:rsidRDefault="00A04B50" w:rsidP="00A04B50">
      <w:pPr>
        <w:jc w:val="both"/>
        <w:rPr>
          <w:rFonts w:cstheme="minorHAnsi"/>
        </w:rPr>
      </w:pPr>
      <w:r w:rsidRPr="00631319">
        <w:rPr>
          <w:rFonts w:cstheme="minorHAnsi"/>
        </w:rPr>
        <w:t>A further report is due back to BCKLWN members in 2024</w:t>
      </w:r>
      <w:r>
        <w:rPr>
          <w:rFonts w:cstheme="minorHAnsi"/>
        </w:rPr>
        <w:t>,</w:t>
      </w:r>
      <w:r w:rsidRPr="00631319">
        <w:rPr>
          <w:rFonts w:cstheme="minorHAnsi"/>
        </w:rPr>
        <w:t xml:space="preserve"> setting out the options and recommendations for a preferred delivery route for the </w:t>
      </w:r>
      <w:r>
        <w:rPr>
          <w:rFonts w:cstheme="minorHAnsi"/>
        </w:rPr>
        <w:t>c</w:t>
      </w:r>
      <w:r w:rsidRPr="00631319">
        <w:rPr>
          <w:rFonts w:cstheme="minorHAnsi"/>
        </w:rPr>
        <w:t>ouncil to proceed with</w:t>
      </w:r>
      <w:r>
        <w:rPr>
          <w:rFonts w:cstheme="minorHAnsi"/>
        </w:rPr>
        <w:t>, along</w:t>
      </w:r>
      <w:r w:rsidRPr="00631319">
        <w:rPr>
          <w:rFonts w:cstheme="minorHAnsi"/>
        </w:rPr>
        <w:t xml:space="preserve"> with information required to support funding opportunities that may arise during this period, including the Brownfield Land Release Fund.</w:t>
      </w:r>
    </w:p>
    <w:p w14:paraId="7A718ABB" w14:textId="77777777" w:rsidR="00A04B50" w:rsidRPr="00631319" w:rsidRDefault="00A04B50" w:rsidP="00A04B50">
      <w:pPr>
        <w:pStyle w:val="NormalWeb"/>
        <w:shd w:val="clear" w:color="auto" w:fill="FFFFFF" w:themeFill="background1"/>
        <w:spacing w:before="360" w:beforeAutospacing="0" w:after="360" w:afterAutospacing="0"/>
        <w:jc w:val="both"/>
        <w:rPr>
          <w:rFonts w:asciiTheme="minorHAnsi" w:hAnsiTheme="minorHAnsi" w:cstheme="minorBidi"/>
          <w:color w:val="1F1F1F"/>
          <w:sz w:val="22"/>
          <w:szCs w:val="22"/>
        </w:rPr>
      </w:pPr>
      <w:r w:rsidRPr="09E4A112">
        <w:rPr>
          <w:rFonts w:asciiTheme="minorHAnsi" w:hAnsiTheme="minorHAnsi" w:cstheme="minorBidi"/>
          <w:color w:val="1F1F1F"/>
          <w:sz w:val="22"/>
          <w:szCs w:val="22"/>
        </w:rPr>
        <w:t>The appointed consultant will be expected to work as part of the Design team and advise in six key areas: demand, valuation, costing, market testing, delivery options and marketing advice.</w:t>
      </w:r>
    </w:p>
    <w:p w14:paraId="2C717970" w14:textId="77777777" w:rsidR="00BF5E6A" w:rsidRDefault="00BF5E6A"/>
    <w:sectPr w:rsidR="00BF5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4690"/>
    <w:multiLevelType w:val="multilevel"/>
    <w:tmpl w:val="F516CFE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B6DD2"/>
    <w:multiLevelType w:val="multilevel"/>
    <w:tmpl w:val="DED8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5756C"/>
    <w:multiLevelType w:val="multilevel"/>
    <w:tmpl w:val="3BA20BE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51179922">
    <w:abstractNumId w:val="0"/>
  </w:num>
  <w:num w:numId="2" w16cid:durableId="1438212370">
    <w:abstractNumId w:val="1"/>
  </w:num>
  <w:num w:numId="3" w16cid:durableId="1413818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50"/>
    <w:rsid w:val="008441F1"/>
    <w:rsid w:val="00A04B50"/>
    <w:rsid w:val="00A31116"/>
    <w:rsid w:val="00BF5E6A"/>
    <w:rsid w:val="00C67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4500"/>
  <w15:chartTrackingRefBased/>
  <w15:docId w15:val="{00DA11C3-5119-465A-B70F-CDD817FD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B50"/>
    <w:rPr>
      <w:kern w:val="0"/>
      <w14:ligatures w14:val="none"/>
    </w:rPr>
  </w:style>
  <w:style w:type="paragraph" w:styleId="Heading2">
    <w:name w:val="heading 2"/>
    <w:basedOn w:val="Normal"/>
    <w:next w:val="Normal"/>
    <w:link w:val="Heading2Char"/>
    <w:uiPriority w:val="9"/>
    <w:unhideWhenUsed/>
    <w:qFormat/>
    <w:rsid w:val="00A04B50"/>
    <w:pPr>
      <w:outlineLvl w:val="1"/>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4B50"/>
    <w:rPr>
      <w:rFonts w:cstheme="minorHAnsi"/>
      <w:b/>
      <w:kern w:val="0"/>
      <w:sz w:val="24"/>
      <w:szCs w:val="24"/>
      <w14:ligatures w14:val="none"/>
    </w:rPr>
  </w:style>
  <w:style w:type="character" w:styleId="Hyperlink">
    <w:name w:val="Hyperlink"/>
    <w:basedOn w:val="DefaultParagraphFont"/>
    <w:uiPriority w:val="99"/>
    <w:unhideWhenUsed/>
    <w:rsid w:val="00A04B50"/>
    <w:rPr>
      <w:color w:val="0563C1" w:themeColor="hyperlink"/>
      <w:u w:val="single"/>
    </w:rPr>
  </w:style>
  <w:style w:type="paragraph" w:styleId="NormalWeb">
    <w:name w:val="Normal (Web)"/>
    <w:basedOn w:val="Normal"/>
    <w:unhideWhenUsed/>
    <w:rsid w:val="00A04B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4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1015</Words>
  <Characters>5788</Characters>
  <Application>Microsoft Office Word</Application>
  <DocSecurity>0</DocSecurity>
  <Lines>48</Lines>
  <Paragraphs>13</Paragraphs>
  <ScaleCrop>false</ScaleCrop>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 Wilson</dc:creator>
  <cp:keywords/>
  <dc:description/>
  <cp:lastModifiedBy>Ryan J Wilson</cp:lastModifiedBy>
  <cp:revision>1</cp:revision>
  <dcterms:created xsi:type="dcterms:W3CDTF">2024-05-15T10:18:00Z</dcterms:created>
  <dcterms:modified xsi:type="dcterms:W3CDTF">2024-05-15T10:25:00Z</dcterms:modified>
</cp:coreProperties>
</file>