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654C" w14:textId="77777777" w:rsidR="00DF2D75" w:rsidRPr="00F55BD8" w:rsidRDefault="00DF2D75" w:rsidP="00F55BD8">
      <w:pPr>
        <w:tabs>
          <w:tab w:val="left" w:pos="0"/>
        </w:tabs>
        <w:rPr>
          <w:rFonts w:ascii="Verdana" w:eastAsia="Times New Roman" w:hAnsi="Verdana" w:cs="Times New Roman"/>
          <w:b/>
          <w:bCs/>
          <w:u w:val="single"/>
        </w:rPr>
      </w:pPr>
      <w:r w:rsidRPr="00F55BD8">
        <w:rPr>
          <w:rFonts w:asciiTheme="minorHAnsi" w:hAnsiTheme="minorHAnsi" w:cstheme="minorHAnsi"/>
          <w:b/>
          <w:bCs/>
          <w:sz w:val="24"/>
          <w:szCs w:val="24"/>
          <w:u w:val="single"/>
        </w:rPr>
        <w:t>1.Introduction;</w:t>
      </w:r>
      <w:r w:rsidRPr="00F55BD8">
        <w:rPr>
          <w:rFonts w:ascii="Verdana" w:eastAsia="Times New Roman" w:hAnsi="Verdana" w:cs="Times New Roman"/>
          <w:b/>
          <w:bCs/>
          <w:u w:val="single"/>
        </w:rPr>
        <w:t xml:space="preserve"> </w:t>
      </w:r>
    </w:p>
    <w:p w14:paraId="7824C835" w14:textId="5BB8E06A" w:rsidR="00DF2D75" w:rsidRPr="00C50DC5" w:rsidRDefault="008853DF" w:rsidP="00F55BD8">
      <w:pPr>
        <w:tabs>
          <w:tab w:val="left" w:pos="0"/>
        </w:tabs>
        <w:rPr>
          <w:rFonts w:asciiTheme="minorHAnsi" w:eastAsia="Times New Roman" w:hAnsiTheme="minorHAnsi" w:cstheme="minorHAnsi"/>
          <w:sz w:val="24"/>
          <w:szCs w:val="24"/>
        </w:rPr>
      </w:pPr>
      <w:r w:rsidRPr="008853DF">
        <w:rPr>
          <w:rFonts w:asciiTheme="minorHAnsi" w:eastAsia="Times New Roman" w:hAnsiTheme="minorHAnsi" w:cstheme="minorHAnsi"/>
          <w:b/>
          <w:bCs/>
          <w:sz w:val="24"/>
          <w:szCs w:val="24"/>
        </w:rPr>
        <w:t>Safeguarding Adult Reviews (SAR)</w:t>
      </w:r>
      <w:r>
        <w:rPr>
          <w:rFonts w:asciiTheme="minorHAnsi" w:eastAsia="Times New Roman" w:hAnsiTheme="minorHAnsi" w:cstheme="minorHAnsi"/>
          <w:sz w:val="24"/>
          <w:szCs w:val="24"/>
        </w:rPr>
        <w:t xml:space="preserve"> - </w:t>
      </w:r>
      <w:r w:rsidR="00DF2D75" w:rsidRPr="00C50DC5">
        <w:rPr>
          <w:rFonts w:asciiTheme="minorHAnsi" w:eastAsia="Times New Roman" w:hAnsiTheme="minorHAnsi" w:cstheme="minorHAnsi"/>
          <w:sz w:val="24"/>
          <w:szCs w:val="24"/>
        </w:rPr>
        <w:t>The Care Act 2014 and the accompanying statutory guidance sets out the requirement on Safeguarding Adults Boards (SABs) to conduct Safeguarding Adults Reviews</w:t>
      </w:r>
      <w:r w:rsidR="00F55BD8" w:rsidRPr="00C50DC5">
        <w:rPr>
          <w:rFonts w:asciiTheme="minorHAnsi" w:eastAsia="Times New Roman" w:hAnsiTheme="minorHAnsi" w:cstheme="minorHAnsi"/>
          <w:sz w:val="24"/>
          <w:szCs w:val="24"/>
        </w:rPr>
        <w:t xml:space="preserve"> (SARs)</w:t>
      </w:r>
      <w:r w:rsidR="00DF2D75" w:rsidRPr="00C50DC5">
        <w:rPr>
          <w:rFonts w:asciiTheme="minorHAnsi" w:eastAsia="Times New Roman" w:hAnsiTheme="minorHAnsi" w:cstheme="minorHAnsi"/>
          <w:sz w:val="24"/>
          <w:szCs w:val="24"/>
        </w:rPr>
        <w:t>.</w:t>
      </w:r>
    </w:p>
    <w:p w14:paraId="7C603890" w14:textId="77777777" w:rsidR="005C2BA8" w:rsidRPr="00C50DC5" w:rsidRDefault="005C2BA8" w:rsidP="00F55BD8">
      <w:pPr>
        <w:tabs>
          <w:tab w:val="left" w:pos="0"/>
        </w:tabs>
        <w:rPr>
          <w:rFonts w:asciiTheme="minorHAnsi" w:eastAsia="Times New Roman" w:hAnsiTheme="minorHAnsi" w:cstheme="minorHAnsi"/>
          <w:sz w:val="24"/>
          <w:szCs w:val="24"/>
        </w:rPr>
      </w:pPr>
    </w:p>
    <w:p w14:paraId="425F2B5F" w14:textId="12A73DBE" w:rsidR="00DF2D75" w:rsidRPr="00C50DC5" w:rsidRDefault="00DF2D75" w:rsidP="00F55BD8">
      <w:pPr>
        <w:rPr>
          <w:rFonts w:asciiTheme="minorHAnsi" w:eastAsia="Times New Roman" w:hAnsiTheme="minorHAnsi" w:cstheme="minorHAnsi"/>
          <w:sz w:val="24"/>
          <w:szCs w:val="24"/>
        </w:rPr>
      </w:pPr>
      <w:r w:rsidRPr="00C50DC5">
        <w:rPr>
          <w:rFonts w:asciiTheme="minorHAnsi" w:eastAsia="Times New Roman" w:hAnsiTheme="minorHAnsi" w:cstheme="minorHAnsi"/>
          <w:sz w:val="24"/>
          <w:szCs w:val="24"/>
        </w:rPr>
        <w:t xml:space="preserve">Under the Care Act 2014, Safeguarding Adults Boards must arrange a SAR when an adult in its area dies as a result of abuse or neglect, whether known or suspected, </w:t>
      </w:r>
      <w:r w:rsidRPr="00C50DC5">
        <w:rPr>
          <w:rFonts w:asciiTheme="minorHAnsi" w:eastAsia="Times New Roman" w:hAnsiTheme="minorHAnsi" w:cstheme="minorHAnsi"/>
          <w:bCs/>
          <w:sz w:val="24"/>
          <w:szCs w:val="24"/>
        </w:rPr>
        <w:t>and the</w:t>
      </w:r>
      <w:r w:rsidRPr="00C50DC5">
        <w:rPr>
          <w:rFonts w:asciiTheme="minorHAnsi" w:eastAsia="Times New Roman" w:hAnsiTheme="minorHAnsi" w:cstheme="minorHAnsi"/>
          <w:sz w:val="24"/>
          <w:szCs w:val="24"/>
        </w:rPr>
        <w:t>re is concern that partner agencies could have worked more effectively to protect the adult.</w:t>
      </w:r>
    </w:p>
    <w:p w14:paraId="580FB354" w14:textId="77777777" w:rsidR="00DF2D75" w:rsidRPr="00C50DC5" w:rsidRDefault="00DF2D75" w:rsidP="00DF2D75">
      <w:pPr>
        <w:ind w:left="720"/>
        <w:rPr>
          <w:rFonts w:asciiTheme="minorHAnsi" w:eastAsia="Times New Roman" w:hAnsiTheme="minorHAnsi" w:cstheme="minorHAnsi"/>
          <w:sz w:val="24"/>
          <w:szCs w:val="24"/>
        </w:rPr>
      </w:pPr>
    </w:p>
    <w:p w14:paraId="240C001F" w14:textId="77777777" w:rsidR="00AC5287" w:rsidRPr="00C50DC5" w:rsidRDefault="00DF2D75" w:rsidP="00F55BD8">
      <w:pPr>
        <w:rPr>
          <w:rFonts w:asciiTheme="minorHAnsi" w:eastAsia="Times New Roman" w:hAnsiTheme="minorHAnsi" w:cstheme="minorHAnsi"/>
          <w:sz w:val="24"/>
          <w:szCs w:val="24"/>
        </w:rPr>
      </w:pPr>
      <w:r w:rsidRPr="00C50DC5">
        <w:rPr>
          <w:rFonts w:asciiTheme="minorHAnsi" w:eastAsia="Times New Roman" w:hAnsiTheme="minorHAnsi" w:cstheme="minorHAnsi"/>
          <w:sz w:val="24"/>
          <w:szCs w:val="24"/>
        </w:rPr>
        <w:t xml:space="preserve">SABs must also arrange a SAR if an adult in its area has not died, but the CIoS SAB knows or suspects that the adult has experienced serious abuse or neglect and there is concern that partner agencies could have worked more effectively to protect the adult.     </w:t>
      </w:r>
    </w:p>
    <w:p w14:paraId="2D9E9493" w14:textId="77777777" w:rsidR="00AC5287" w:rsidRPr="00C50DC5" w:rsidRDefault="00AC5287" w:rsidP="00F55BD8">
      <w:pPr>
        <w:rPr>
          <w:rFonts w:asciiTheme="minorHAnsi" w:eastAsia="Times New Roman" w:hAnsiTheme="minorHAnsi" w:cstheme="minorHAnsi"/>
          <w:sz w:val="24"/>
          <w:szCs w:val="24"/>
        </w:rPr>
      </w:pPr>
    </w:p>
    <w:p w14:paraId="44D63B18" w14:textId="3BA738A9" w:rsidR="00DE4CDC" w:rsidRPr="00C50DC5" w:rsidRDefault="008853DF" w:rsidP="00AC5287">
      <w:pPr>
        <w:tabs>
          <w:tab w:val="left" w:pos="0"/>
        </w:tabs>
        <w:rPr>
          <w:sz w:val="24"/>
          <w:szCs w:val="24"/>
        </w:rPr>
      </w:pPr>
      <w:r w:rsidRPr="008853DF">
        <w:rPr>
          <w:b/>
          <w:bCs/>
          <w:sz w:val="24"/>
          <w:szCs w:val="24"/>
        </w:rPr>
        <w:t>Domestic Homicide Review (DHR)</w:t>
      </w:r>
      <w:r>
        <w:rPr>
          <w:b/>
          <w:bCs/>
          <w:sz w:val="24"/>
          <w:szCs w:val="24"/>
        </w:rPr>
        <w:t xml:space="preserve"> </w:t>
      </w:r>
      <w:r w:rsidR="001D6EE0">
        <w:rPr>
          <w:b/>
          <w:bCs/>
          <w:sz w:val="24"/>
          <w:szCs w:val="24"/>
        </w:rPr>
        <w:t>–</w:t>
      </w:r>
      <w:r>
        <w:rPr>
          <w:b/>
          <w:bCs/>
          <w:sz w:val="24"/>
          <w:szCs w:val="24"/>
        </w:rPr>
        <w:t xml:space="preserve"> </w:t>
      </w:r>
      <w:r w:rsidR="001D6EE0" w:rsidRPr="00362E66">
        <w:rPr>
          <w:sz w:val="24"/>
          <w:szCs w:val="24"/>
        </w:rPr>
        <w:t xml:space="preserve">The </w:t>
      </w:r>
      <w:r w:rsidR="00362E66">
        <w:rPr>
          <w:sz w:val="24"/>
          <w:szCs w:val="24"/>
        </w:rPr>
        <w:t>S</w:t>
      </w:r>
      <w:r w:rsidR="001D6EE0" w:rsidRPr="00362E66">
        <w:rPr>
          <w:sz w:val="24"/>
          <w:szCs w:val="24"/>
        </w:rPr>
        <w:t xml:space="preserve">afer </w:t>
      </w:r>
      <w:r w:rsidR="00362E66" w:rsidRPr="00362E66">
        <w:rPr>
          <w:sz w:val="24"/>
          <w:szCs w:val="24"/>
        </w:rPr>
        <w:t>Cornwall</w:t>
      </w:r>
      <w:r w:rsidR="001D6EE0" w:rsidRPr="00362E66">
        <w:rPr>
          <w:sz w:val="24"/>
          <w:szCs w:val="24"/>
        </w:rPr>
        <w:t xml:space="preserve"> </w:t>
      </w:r>
      <w:r w:rsidR="00362E66">
        <w:rPr>
          <w:sz w:val="24"/>
          <w:szCs w:val="24"/>
        </w:rPr>
        <w:t>P</w:t>
      </w:r>
      <w:r w:rsidR="001D6EE0" w:rsidRPr="00362E66">
        <w:rPr>
          <w:sz w:val="24"/>
          <w:szCs w:val="24"/>
        </w:rPr>
        <w:t xml:space="preserve">artnership </w:t>
      </w:r>
      <w:r w:rsidR="00362E66">
        <w:rPr>
          <w:sz w:val="24"/>
          <w:szCs w:val="24"/>
        </w:rPr>
        <w:t>B</w:t>
      </w:r>
      <w:r w:rsidR="001D6EE0" w:rsidRPr="00362E66">
        <w:rPr>
          <w:sz w:val="24"/>
          <w:szCs w:val="24"/>
        </w:rPr>
        <w:t xml:space="preserve">oard </w:t>
      </w:r>
      <w:r w:rsidR="00362E66">
        <w:rPr>
          <w:sz w:val="24"/>
          <w:szCs w:val="24"/>
        </w:rPr>
        <w:t>(SCPB)</w:t>
      </w:r>
      <w:r w:rsidR="007250E8">
        <w:rPr>
          <w:sz w:val="24"/>
          <w:szCs w:val="24"/>
        </w:rPr>
        <w:t xml:space="preserve"> has a duty </w:t>
      </w:r>
      <w:r w:rsidR="00362E66">
        <w:rPr>
          <w:sz w:val="24"/>
          <w:szCs w:val="24"/>
        </w:rPr>
        <w:t xml:space="preserve"> </w:t>
      </w:r>
      <w:r w:rsidR="001C1E50">
        <w:rPr>
          <w:sz w:val="24"/>
          <w:szCs w:val="24"/>
        </w:rPr>
        <w:t>to undertake DHR</w:t>
      </w:r>
      <w:r w:rsidR="00562165">
        <w:rPr>
          <w:sz w:val="24"/>
          <w:szCs w:val="24"/>
        </w:rPr>
        <w:t>s</w:t>
      </w:r>
      <w:r w:rsidR="001C1E50">
        <w:rPr>
          <w:sz w:val="24"/>
          <w:szCs w:val="24"/>
        </w:rPr>
        <w:t xml:space="preserve"> for any cases referred to it that meet</w:t>
      </w:r>
      <w:r w:rsidR="00562165">
        <w:rPr>
          <w:sz w:val="24"/>
          <w:szCs w:val="24"/>
        </w:rPr>
        <w:t xml:space="preserve">s the </w:t>
      </w:r>
      <w:r w:rsidR="00562165">
        <w:rPr>
          <w:rFonts w:asciiTheme="minorHAnsi" w:hAnsiTheme="minorHAnsi" w:cstheme="minorHAnsi"/>
          <w:sz w:val="24"/>
          <w:szCs w:val="24"/>
        </w:rPr>
        <w:t>Home Office multi agency Statutory guidance for the conduct of Domestic Homicide reviews 2016</w:t>
      </w:r>
      <w:r w:rsidR="00216C6E">
        <w:rPr>
          <w:rFonts w:asciiTheme="minorHAnsi" w:hAnsiTheme="minorHAnsi" w:cstheme="minorHAnsi"/>
          <w:sz w:val="24"/>
          <w:szCs w:val="24"/>
        </w:rPr>
        <w:t xml:space="preserve">. </w:t>
      </w:r>
      <w:r w:rsidR="00AC5287" w:rsidRPr="00C50DC5">
        <w:rPr>
          <w:sz w:val="24"/>
          <w:szCs w:val="24"/>
        </w:rPr>
        <w:t xml:space="preserve">Under section 9(1) of the 2004 Act, domestic homicide review means a review of the circumstances in which the death of a person aged 16 or over has, or appears to have, resulted from violence, abuse or neglect by— (a) a person to whom he2 was related or with whom he was or had been in an intimate personal relationship, or (b) a member of the same household as himself, held with a view to identifying the lessons to be learnt from the death. </w:t>
      </w:r>
    </w:p>
    <w:p w14:paraId="1DB68682" w14:textId="77777777" w:rsidR="00DE4CDC" w:rsidRPr="00C50DC5" w:rsidRDefault="00DE4CDC" w:rsidP="00AC5287">
      <w:pPr>
        <w:tabs>
          <w:tab w:val="left" w:pos="0"/>
        </w:tabs>
        <w:rPr>
          <w:sz w:val="24"/>
          <w:szCs w:val="24"/>
        </w:rPr>
      </w:pPr>
    </w:p>
    <w:p w14:paraId="37B693DC" w14:textId="69A5EE5E" w:rsidR="00AC5287" w:rsidRPr="00C50DC5" w:rsidRDefault="00AC5287" w:rsidP="00AC5287">
      <w:pPr>
        <w:tabs>
          <w:tab w:val="left" w:pos="0"/>
        </w:tabs>
        <w:rPr>
          <w:rFonts w:asciiTheme="minorHAnsi" w:eastAsia="Times New Roman" w:hAnsiTheme="minorHAnsi" w:cstheme="minorHAnsi"/>
          <w:sz w:val="24"/>
          <w:szCs w:val="24"/>
        </w:rPr>
      </w:pPr>
      <w:r w:rsidRPr="00C50DC5">
        <w:rPr>
          <w:sz w:val="24"/>
          <w:szCs w:val="24"/>
        </w:rPr>
        <w:t>Where the definition set out in this paragraph has been met, then a Domestic Homicide Review should be undertaken.</w:t>
      </w:r>
    </w:p>
    <w:p w14:paraId="6D5F72DB" w14:textId="7B6D5D3B" w:rsidR="00DF2D75" w:rsidRPr="00C50DC5" w:rsidRDefault="00DF2D75" w:rsidP="00F55BD8">
      <w:pPr>
        <w:rPr>
          <w:rFonts w:asciiTheme="minorHAnsi" w:eastAsia="Times New Roman" w:hAnsiTheme="minorHAnsi" w:cstheme="minorHAnsi"/>
          <w:sz w:val="24"/>
          <w:szCs w:val="24"/>
        </w:rPr>
      </w:pPr>
      <w:r w:rsidRPr="00C50DC5">
        <w:rPr>
          <w:rFonts w:asciiTheme="minorHAnsi" w:eastAsia="Times New Roman" w:hAnsiTheme="minorHAnsi" w:cstheme="minorHAnsi"/>
          <w:sz w:val="24"/>
          <w:szCs w:val="24"/>
        </w:rPr>
        <w:t xml:space="preserve">  </w:t>
      </w:r>
    </w:p>
    <w:p w14:paraId="7C1817C0" w14:textId="25B8F434" w:rsidR="00DF2D75" w:rsidRPr="00F55BD8" w:rsidRDefault="00DF2D75" w:rsidP="00E071B5">
      <w:pPr>
        <w:rPr>
          <w:rFonts w:asciiTheme="minorHAnsi" w:hAnsiTheme="minorHAnsi" w:cstheme="minorHAnsi"/>
          <w:b/>
          <w:bCs/>
          <w:sz w:val="24"/>
          <w:szCs w:val="24"/>
          <w:u w:val="single"/>
        </w:rPr>
      </w:pPr>
      <w:r w:rsidRPr="00F55BD8">
        <w:rPr>
          <w:rFonts w:asciiTheme="minorHAnsi" w:hAnsiTheme="minorHAnsi" w:cstheme="minorHAnsi"/>
          <w:b/>
          <w:bCs/>
          <w:sz w:val="24"/>
          <w:szCs w:val="24"/>
          <w:u w:val="single"/>
        </w:rPr>
        <w:t>2.Background</w:t>
      </w:r>
      <w:r w:rsidR="00FD00EE" w:rsidRPr="00F55BD8">
        <w:rPr>
          <w:rFonts w:asciiTheme="minorHAnsi" w:hAnsiTheme="minorHAnsi" w:cstheme="minorHAnsi"/>
          <w:b/>
          <w:bCs/>
          <w:sz w:val="24"/>
          <w:szCs w:val="24"/>
          <w:u w:val="single"/>
        </w:rPr>
        <w:t>:</w:t>
      </w:r>
    </w:p>
    <w:p w14:paraId="4B66A94C" w14:textId="42151521" w:rsidR="00FD00EE" w:rsidRPr="00F55BD8" w:rsidRDefault="00FD00EE" w:rsidP="00E071B5">
      <w:pPr>
        <w:rPr>
          <w:rFonts w:asciiTheme="minorHAnsi" w:hAnsiTheme="minorHAnsi" w:cstheme="minorHAnsi"/>
          <w:sz w:val="24"/>
          <w:szCs w:val="24"/>
        </w:rPr>
      </w:pPr>
      <w:r w:rsidRPr="00F55BD8">
        <w:rPr>
          <w:rFonts w:asciiTheme="minorHAnsi" w:hAnsiTheme="minorHAnsi" w:cstheme="minorHAnsi"/>
          <w:sz w:val="24"/>
          <w:szCs w:val="24"/>
        </w:rPr>
        <w:t xml:space="preserve">The CIOS SAB </w:t>
      </w:r>
      <w:r w:rsidR="00C50DC5">
        <w:rPr>
          <w:rFonts w:asciiTheme="minorHAnsi" w:hAnsiTheme="minorHAnsi" w:cstheme="minorHAnsi"/>
          <w:sz w:val="24"/>
          <w:szCs w:val="24"/>
        </w:rPr>
        <w:t xml:space="preserve">and SCPB </w:t>
      </w:r>
      <w:r w:rsidRPr="00F55BD8">
        <w:rPr>
          <w:rFonts w:asciiTheme="minorHAnsi" w:hAnsiTheme="minorHAnsi" w:cstheme="minorHAnsi"/>
          <w:sz w:val="24"/>
          <w:szCs w:val="24"/>
        </w:rPr>
        <w:t xml:space="preserve">has received a </w:t>
      </w:r>
      <w:r w:rsidR="00E17F69">
        <w:rPr>
          <w:rFonts w:asciiTheme="minorHAnsi" w:hAnsiTheme="minorHAnsi" w:cstheme="minorHAnsi"/>
          <w:sz w:val="24"/>
          <w:szCs w:val="24"/>
        </w:rPr>
        <w:t>DHR/</w:t>
      </w:r>
      <w:r w:rsidRPr="00F55BD8">
        <w:rPr>
          <w:rFonts w:asciiTheme="minorHAnsi" w:hAnsiTheme="minorHAnsi" w:cstheme="minorHAnsi"/>
          <w:sz w:val="24"/>
          <w:szCs w:val="24"/>
        </w:rPr>
        <w:t>SAR referral which in</w:t>
      </w:r>
      <w:r w:rsidR="00FD028A">
        <w:rPr>
          <w:rFonts w:asciiTheme="minorHAnsi" w:hAnsiTheme="minorHAnsi" w:cstheme="minorHAnsi"/>
          <w:sz w:val="24"/>
          <w:szCs w:val="24"/>
        </w:rPr>
        <w:t>-</w:t>
      </w:r>
      <w:r w:rsidRPr="00F55BD8">
        <w:rPr>
          <w:rFonts w:asciiTheme="minorHAnsi" w:hAnsiTheme="minorHAnsi" w:cstheme="minorHAnsi"/>
          <w:sz w:val="24"/>
          <w:szCs w:val="24"/>
        </w:rPr>
        <w:t xml:space="preserve">line with our local </w:t>
      </w:r>
      <w:r w:rsidR="008220F0">
        <w:rPr>
          <w:rFonts w:asciiTheme="minorHAnsi" w:hAnsiTheme="minorHAnsi" w:cstheme="minorHAnsi"/>
          <w:sz w:val="24"/>
          <w:szCs w:val="24"/>
        </w:rPr>
        <w:t xml:space="preserve">joint </w:t>
      </w:r>
      <w:r w:rsidR="00D26021">
        <w:rPr>
          <w:rFonts w:asciiTheme="minorHAnsi" w:hAnsiTheme="minorHAnsi" w:cstheme="minorHAnsi"/>
          <w:sz w:val="24"/>
          <w:szCs w:val="24"/>
        </w:rPr>
        <w:t>DHR/</w:t>
      </w:r>
      <w:r w:rsidRPr="00F55BD8">
        <w:rPr>
          <w:rFonts w:asciiTheme="minorHAnsi" w:hAnsiTheme="minorHAnsi" w:cstheme="minorHAnsi"/>
          <w:sz w:val="24"/>
          <w:szCs w:val="24"/>
        </w:rPr>
        <w:t xml:space="preserve">SAR </w:t>
      </w:r>
      <w:r w:rsidR="008220F0">
        <w:rPr>
          <w:rFonts w:asciiTheme="minorHAnsi" w:hAnsiTheme="minorHAnsi" w:cstheme="minorHAnsi"/>
          <w:sz w:val="24"/>
          <w:szCs w:val="24"/>
        </w:rPr>
        <w:t xml:space="preserve">procedure </w:t>
      </w:r>
      <w:r w:rsidRPr="00F55BD8">
        <w:rPr>
          <w:rFonts w:asciiTheme="minorHAnsi" w:hAnsiTheme="minorHAnsi" w:cstheme="minorHAnsi"/>
          <w:sz w:val="24"/>
          <w:szCs w:val="24"/>
        </w:rPr>
        <w:t xml:space="preserve">has been assessed against the criteria set out in </w:t>
      </w:r>
      <w:r w:rsidR="00CB3929">
        <w:rPr>
          <w:rFonts w:asciiTheme="minorHAnsi" w:hAnsiTheme="minorHAnsi" w:cstheme="minorHAnsi"/>
          <w:sz w:val="24"/>
          <w:szCs w:val="24"/>
        </w:rPr>
        <w:t xml:space="preserve">the Home Office </w:t>
      </w:r>
      <w:r w:rsidR="0054753B">
        <w:rPr>
          <w:rFonts w:asciiTheme="minorHAnsi" w:hAnsiTheme="minorHAnsi" w:cstheme="minorHAnsi"/>
          <w:sz w:val="24"/>
          <w:szCs w:val="24"/>
        </w:rPr>
        <w:t xml:space="preserve">multi </w:t>
      </w:r>
      <w:r w:rsidR="003F7FDE">
        <w:rPr>
          <w:rFonts w:asciiTheme="minorHAnsi" w:hAnsiTheme="minorHAnsi" w:cstheme="minorHAnsi"/>
          <w:sz w:val="24"/>
          <w:szCs w:val="24"/>
        </w:rPr>
        <w:t>agency</w:t>
      </w:r>
      <w:r w:rsidR="0054753B">
        <w:rPr>
          <w:rFonts w:asciiTheme="minorHAnsi" w:hAnsiTheme="minorHAnsi" w:cstheme="minorHAnsi"/>
          <w:sz w:val="24"/>
          <w:szCs w:val="24"/>
        </w:rPr>
        <w:t xml:space="preserve"> </w:t>
      </w:r>
      <w:r w:rsidR="00CB3929">
        <w:rPr>
          <w:rFonts w:asciiTheme="minorHAnsi" w:hAnsiTheme="minorHAnsi" w:cstheme="minorHAnsi"/>
          <w:sz w:val="24"/>
          <w:szCs w:val="24"/>
        </w:rPr>
        <w:t xml:space="preserve">Statutory guidance </w:t>
      </w:r>
      <w:r w:rsidR="0054753B">
        <w:rPr>
          <w:rFonts w:asciiTheme="minorHAnsi" w:hAnsiTheme="minorHAnsi" w:cstheme="minorHAnsi"/>
          <w:sz w:val="24"/>
          <w:szCs w:val="24"/>
        </w:rPr>
        <w:t xml:space="preserve">for the conduct of </w:t>
      </w:r>
      <w:r w:rsidR="003F7FDE">
        <w:rPr>
          <w:rFonts w:asciiTheme="minorHAnsi" w:hAnsiTheme="minorHAnsi" w:cstheme="minorHAnsi"/>
          <w:sz w:val="24"/>
          <w:szCs w:val="24"/>
        </w:rPr>
        <w:t xml:space="preserve">Domestic Homicide reviews </w:t>
      </w:r>
      <w:r w:rsidR="00CB3929">
        <w:rPr>
          <w:rFonts w:asciiTheme="minorHAnsi" w:hAnsiTheme="minorHAnsi" w:cstheme="minorHAnsi"/>
          <w:sz w:val="24"/>
          <w:szCs w:val="24"/>
        </w:rPr>
        <w:t xml:space="preserve">2016 </w:t>
      </w:r>
      <w:r w:rsidR="003F7FDE">
        <w:rPr>
          <w:rFonts w:asciiTheme="minorHAnsi" w:hAnsiTheme="minorHAnsi" w:cstheme="minorHAnsi"/>
          <w:sz w:val="24"/>
          <w:szCs w:val="24"/>
        </w:rPr>
        <w:t xml:space="preserve">and </w:t>
      </w:r>
      <w:r w:rsidRPr="00F55BD8">
        <w:rPr>
          <w:rFonts w:asciiTheme="minorHAnsi" w:hAnsiTheme="minorHAnsi" w:cstheme="minorHAnsi"/>
          <w:sz w:val="24"/>
          <w:szCs w:val="24"/>
        </w:rPr>
        <w:t xml:space="preserve">section 44 of the Care act 2014 by </w:t>
      </w:r>
      <w:r w:rsidR="00496006">
        <w:rPr>
          <w:rFonts w:asciiTheme="minorHAnsi" w:hAnsiTheme="minorHAnsi" w:cstheme="minorHAnsi"/>
          <w:sz w:val="24"/>
          <w:szCs w:val="24"/>
        </w:rPr>
        <w:t>a joint DHR/</w:t>
      </w:r>
      <w:r w:rsidRPr="00F55BD8">
        <w:rPr>
          <w:rFonts w:asciiTheme="minorHAnsi" w:hAnsiTheme="minorHAnsi" w:cstheme="minorHAnsi"/>
          <w:sz w:val="24"/>
          <w:szCs w:val="24"/>
        </w:rPr>
        <w:t xml:space="preserve">SAR </w:t>
      </w:r>
      <w:r w:rsidR="00496006">
        <w:rPr>
          <w:rFonts w:asciiTheme="minorHAnsi" w:hAnsiTheme="minorHAnsi" w:cstheme="minorHAnsi"/>
          <w:sz w:val="24"/>
          <w:szCs w:val="24"/>
        </w:rPr>
        <w:t>review panel</w:t>
      </w:r>
      <w:r w:rsidRPr="00F55BD8">
        <w:rPr>
          <w:rFonts w:asciiTheme="minorHAnsi" w:hAnsiTheme="minorHAnsi" w:cstheme="minorHAnsi"/>
          <w:sz w:val="24"/>
          <w:szCs w:val="24"/>
        </w:rPr>
        <w:t xml:space="preserve">. A descion has been made by the </w:t>
      </w:r>
      <w:r w:rsidR="00460C75">
        <w:rPr>
          <w:rFonts w:asciiTheme="minorHAnsi" w:hAnsiTheme="minorHAnsi" w:cstheme="minorHAnsi"/>
          <w:sz w:val="24"/>
          <w:szCs w:val="24"/>
        </w:rPr>
        <w:t xml:space="preserve">Panel </w:t>
      </w:r>
      <w:r w:rsidRPr="00F55BD8">
        <w:rPr>
          <w:rFonts w:asciiTheme="minorHAnsi" w:hAnsiTheme="minorHAnsi" w:cstheme="minorHAnsi"/>
          <w:sz w:val="24"/>
          <w:szCs w:val="24"/>
        </w:rPr>
        <w:t xml:space="preserve">that this referral will go now forward to a full </w:t>
      </w:r>
      <w:r w:rsidR="00460C75">
        <w:rPr>
          <w:rFonts w:asciiTheme="minorHAnsi" w:hAnsiTheme="minorHAnsi" w:cstheme="minorHAnsi"/>
          <w:sz w:val="24"/>
          <w:szCs w:val="24"/>
        </w:rPr>
        <w:t>joint DHR/</w:t>
      </w:r>
      <w:r w:rsidRPr="00F55BD8">
        <w:rPr>
          <w:rFonts w:asciiTheme="minorHAnsi" w:hAnsiTheme="minorHAnsi" w:cstheme="minorHAnsi"/>
          <w:sz w:val="24"/>
          <w:szCs w:val="24"/>
        </w:rPr>
        <w:t xml:space="preserve">SAR. </w:t>
      </w:r>
    </w:p>
    <w:p w14:paraId="23878E5D" w14:textId="77777777" w:rsidR="00FD00EE" w:rsidRPr="00F55BD8" w:rsidRDefault="00FD00EE" w:rsidP="00E071B5">
      <w:pPr>
        <w:rPr>
          <w:rFonts w:asciiTheme="minorHAnsi" w:hAnsiTheme="minorHAnsi" w:cstheme="minorHAnsi"/>
          <w:sz w:val="24"/>
          <w:szCs w:val="24"/>
        </w:rPr>
      </w:pPr>
    </w:p>
    <w:p w14:paraId="4F574746" w14:textId="2E31C817" w:rsidR="00F55BD8" w:rsidRPr="00F55BD8" w:rsidRDefault="00FD00EE" w:rsidP="00E071B5">
      <w:pPr>
        <w:rPr>
          <w:rFonts w:asciiTheme="minorHAnsi" w:hAnsiTheme="minorHAnsi" w:cstheme="minorHAnsi"/>
          <w:sz w:val="24"/>
          <w:szCs w:val="24"/>
        </w:rPr>
      </w:pPr>
      <w:r w:rsidRPr="00F55BD8">
        <w:rPr>
          <w:rFonts w:asciiTheme="minorHAnsi" w:hAnsiTheme="minorHAnsi" w:cstheme="minorHAnsi"/>
          <w:sz w:val="24"/>
          <w:szCs w:val="24"/>
        </w:rPr>
        <w:t xml:space="preserve">The CIOS SAB </w:t>
      </w:r>
      <w:r w:rsidR="003626A4">
        <w:rPr>
          <w:rFonts w:asciiTheme="minorHAnsi" w:hAnsiTheme="minorHAnsi" w:cstheme="minorHAnsi"/>
          <w:sz w:val="24"/>
          <w:szCs w:val="24"/>
        </w:rPr>
        <w:t xml:space="preserve">and </w:t>
      </w:r>
      <w:r w:rsidR="00E865A0">
        <w:rPr>
          <w:rFonts w:asciiTheme="minorHAnsi" w:hAnsiTheme="minorHAnsi" w:cstheme="minorHAnsi"/>
          <w:sz w:val="24"/>
          <w:szCs w:val="24"/>
        </w:rPr>
        <w:t xml:space="preserve">SCPB </w:t>
      </w:r>
      <w:r w:rsidRPr="00F55BD8">
        <w:rPr>
          <w:rFonts w:asciiTheme="minorHAnsi" w:hAnsiTheme="minorHAnsi" w:cstheme="minorHAnsi"/>
          <w:sz w:val="24"/>
          <w:szCs w:val="24"/>
        </w:rPr>
        <w:t xml:space="preserve">now needs to commission an independent author to work with our </w:t>
      </w:r>
      <w:r w:rsidR="003626A4">
        <w:rPr>
          <w:rFonts w:asciiTheme="minorHAnsi" w:hAnsiTheme="minorHAnsi" w:cstheme="minorHAnsi"/>
          <w:sz w:val="24"/>
          <w:szCs w:val="24"/>
        </w:rPr>
        <w:t>joint DHR</w:t>
      </w:r>
      <w:r w:rsidR="00E865A0">
        <w:rPr>
          <w:rFonts w:asciiTheme="minorHAnsi" w:hAnsiTheme="minorHAnsi" w:cstheme="minorHAnsi"/>
          <w:sz w:val="24"/>
          <w:szCs w:val="24"/>
        </w:rPr>
        <w:t>/</w:t>
      </w:r>
      <w:r w:rsidRPr="00F55BD8">
        <w:rPr>
          <w:rFonts w:asciiTheme="minorHAnsi" w:hAnsiTheme="minorHAnsi" w:cstheme="minorHAnsi"/>
          <w:sz w:val="24"/>
          <w:szCs w:val="24"/>
        </w:rPr>
        <w:t xml:space="preserve">SAR </w:t>
      </w:r>
      <w:r w:rsidR="00E865A0">
        <w:rPr>
          <w:rFonts w:asciiTheme="minorHAnsi" w:hAnsiTheme="minorHAnsi" w:cstheme="minorHAnsi"/>
          <w:sz w:val="24"/>
          <w:szCs w:val="24"/>
        </w:rPr>
        <w:t>review panel</w:t>
      </w:r>
      <w:r w:rsidRPr="00F55BD8">
        <w:rPr>
          <w:rFonts w:asciiTheme="minorHAnsi" w:hAnsiTheme="minorHAnsi" w:cstheme="minorHAnsi"/>
          <w:sz w:val="24"/>
          <w:szCs w:val="24"/>
        </w:rPr>
        <w:t>, partners</w:t>
      </w:r>
      <w:r w:rsidR="00E865A0">
        <w:rPr>
          <w:rFonts w:asciiTheme="minorHAnsi" w:hAnsiTheme="minorHAnsi" w:cstheme="minorHAnsi"/>
          <w:sz w:val="24"/>
          <w:szCs w:val="24"/>
        </w:rPr>
        <w:t xml:space="preserve">, agencies </w:t>
      </w:r>
      <w:r w:rsidRPr="00F55BD8">
        <w:rPr>
          <w:rFonts w:asciiTheme="minorHAnsi" w:hAnsiTheme="minorHAnsi" w:cstheme="minorHAnsi"/>
          <w:sz w:val="24"/>
          <w:szCs w:val="24"/>
        </w:rPr>
        <w:t>and family members to complete this review</w:t>
      </w:r>
      <w:r w:rsidR="00F55BD8" w:rsidRPr="00F55BD8">
        <w:rPr>
          <w:rFonts w:asciiTheme="minorHAnsi" w:hAnsiTheme="minorHAnsi" w:cstheme="minorHAnsi"/>
          <w:sz w:val="24"/>
          <w:szCs w:val="24"/>
        </w:rPr>
        <w:t>.</w:t>
      </w:r>
    </w:p>
    <w:p w14:paraId="3DBF1124" w14:textId="77777777" w:rsidR="00F55BD8" w:rsidRPr="00F55BD8" w:rsidRDefault="00F55BD8" w:rsidP="00F55BD8">
      <w:pPr>
        <w:autoSpaceDE w:val="0"/>
        <w:autoSpaceDN w:val="0"/>
        <w:adjustRightInd w:val="0"/>
        <w:rPr>
          <w:rFonts w:asciiTheme="minorHAnsi" w:eastAsia="Times New Roman" w:hAnsiTheme="minorHAnsi" w:cstheme="minorHAnsi"/>
          <w:color w:val="000000"/>
          <w:sz w:val="24"/>
          <w:szCs w:val="24"/>
          <w:lang w:eastAsia="en-GB"/>
        </w:rPr>
      </w:pPr>
    </w:p>
    <w:p w14:paraId="6B4FFC12" w14:textId="4084B275" w:rsidR="00F55BD8" w:rsidRPr="00F55BD8" w:rsidRDefault="00F55BD8" w:rsidP="00F55BD8">
      <w:pPr>
        <w:autoSpaceDE w:val="0"/>
        <w:autoSpaceDN w:val="0"/>
        <w:adjustRightInd w:val="0"/>
        <w:rPr>
          <w:rFonts w:asciiTheme="minorHAnsi" w:eastAsia="Times New Roman" w:hAnsiTheme="minorHAnsi" w:cstheme="minorHAnsi"/>
          <w:color w:val="000000"/>
          <w:sz w:val="24"/>
          <w:szCs w:val="24"/>
          <w:lang w:eastAsia="en-GB"/>
        </w:rPr>
      </w:pPr>
      <w:r w:rsidRPr="00F55BD8">
        <w:rPr>
          <w:rFonts w:asciiTheme="minorHAnsi" w:eastAsia="Times New Roman" w:hAnsiTheme="minorHAnsi" w:cstheme="minorHAnsi"/>
          <w:color w:val="000000"/>
          <w:sz w:val="24"/>
          <w:szCs w:val="24"/>
          <w:lang w:eastAsia="en-GB"/>
        </w:rPr>
        <w:t>The purpose of conducting a SAR is to establish whether there are any lessons to be learnt from the circumstances of the case, about the way in which local professionals and agencies work together to safeguard adults at risk. The SAR brings together and analyses the findings from individual agencies involved in order to make recommendations for future practice where this is necessary.</w:t>
      </w:r>
    </w:p>
    <w:p w14:paraId="768637C6" w14:textId="77777777" w:rsidR="00F55BD8" w:rsidRPr="00F55BD8" w:rsidRDefault="00F55BD8" w:rsidP="00F55BD8">
      <w:pPr>
        <w:rPr>
          <w:rFonts w:asciiTheme="minorHAnsi" w:eastAsia="Calibri" w:hAnsiTheme="minorHAnsi" w:cstheme="minorHAnsi"/>
          <w:b/>
          <w:sz w:val="24"/>
          <w:szCs w:val="24"/>
        </w:rPr>
      </w:pPr>
    </w:p>
    <w:p w14:paraId="3297465C" w14:textId="77777777" w:rsidR="00C25E1F" w:rsidRDefault="00C25E1F" w:rsidP="00F55BD8">
      <w:pPr>
        <w:autoSpaceDE w:val="0"/>
        <w:autoSpaceDN w:val="0"/>
        <w:adjustRightInd w:val="0"/>
        <w:spacing w:after="120"/>
        <w:rPr>
          <w:rFonts w:asciiTheme="minorHAnsi" w:eastAsia="Times New Roman" w:hAnsiTheme="minorHAnsi" w:cstheme="minorHAnsi"/>
          <w:color w:val="000000"/>
          <w:sz w:val="24"/>
          <w:szCs w:val="24"/>
          <w:lang w:eastAsia="en-GB"/>
        </w:rPr>
      </w:pPr>
    </w:p>
    <w:p w14:paraId="06C3A789" w14:textId="77777777" w:rsidR="00C25E1F" w:rsidRDefault="00C25E1F" w:rsidP="00F55BD8">
      <w:pPr>
        <w:autoSpaceDE w:val="0"/>
        <w:autoSpaceDN w:val="0"/>
        <w:adjustRightInd w:val="0"/>
        <w:spacing w:after="120"/>
        <w:rPr>
          <w:rFonts w:asciiTheme="minorHAnsi" w:eastAsia="Times New Roman" w:hAnsiTheme="minorHAnsi" w:cstheme="minorHAnsi"/>
          <w:color w:val="000000"/>
          <w:sz w:val="24"/>
          <w:szCs w:val="24"/>
          <w:lang w:eastAsia="en-GB"/>
        </w:rPr>
      </w:pPr>
    </w:p>
    <w:p w14:paraId="02B98B09" w14:textId="7072FF93" w:rsidR="00F55BD8" w:rsidRPr="00F55BD8" w:rsidRDefault="002A6A26" w:rsidP="00F55BD8">
      <w:pPr>
        <w:autoSpaceDE w:val="0"/>
        <w:autoSpaceDN w:val="0"/>
        <w:adjustRightInd w:val="0"/>
        <w:spacing w:after="120"/>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w:t>
      </w:r>
      <w:r w:rsidR="00F55BD8" w:rsidRPr="00F55BD8">
        <w:rPr>
          <w:rFonts w:asciiTheme="minorHAnsi" w:eastAsia="Times New Roman" w:hAnsiTheme="minorHAnsi" w:cstheme="minorHAnsi"/>
          <w:color w:val="000000"/>
          <w:sz w:val="24"/>
          <w:szCs w:val="24"/>
          <w:lang w:eastAsia="en-GB"/>
        </w:rPr>
        <w:t>he purpose of the Safeguarding Adults Review</w:t>
      </w:r>
      <w:r w:rsidR="00F55BD8">
        <w:rPr>
          <w:rFonts w:asciiTheme="minorHAnsi" w:eastAsia="Times New Roman" w:hAnsiTheme="minorHAnsi" w:cstheme="minorHAnsi"/>
          <w:color w:val="000000"/>
          <w:sz w:val="24"/>
          <w:szCs w:val="24"/>
          <w:lang w:eastAsia="en-GB"/>
        </w:rPr>
        <w:t xml:space="preserve"> (SAR)</w:t>
      </w:r>
      <w:r w:rsidR="00F55BD8" w:rsidRPr="00F55BD8">
        <w:rPr>
          <w:rFonts w:asciiTheme="minorHAnsi" w:eastAsia="Times New Roman" w:hAnsiTheme="minorHAnsi" w:cstheme="minorHAnsi"/>
          <w:color w:val="000000"/>
          <w:sz w:val="24"/>
          <w:szCs w:val="24"/>
          <w:lang w:eastAsia="en-GB"/>
        </w:rPr>
        <w:t xml:space="preserve"> is to:</w:t>
      </w:r>
    </w:p>
    <w:p w14:paraId="23179171" w14:textId="166DC8ED" w:rsidR="00F55BD8" w:rsidRPr="00F55BD8" w:rsidRDefault="00F55BD8" w:rsidP="00F55BD8">
      <w:pPr>
        <w:pStyle w:val="ListParagraph"/>
        <w:numPr>
          <w:ilvl w:val="0"/>
          <w:numId w:val="6"/>
        </w:numPr>
        <w:autoSpaceDE w:val="0"/>
        <w:autoSpaceDN w:val="0"/>
        <w:adjustRightInd w:val="0"/>
        <w:spacing w:after="120"/>
        <w:rPr>
          <w:rFonts w:asciiTheme="minorHAnsi" w:eastAsia="Times New Roman" w:hAnsiTheme="minorHAnsi" w:cstheme="minorHAnsi"/>
          <w:color w:val="000000"/>
          <w:sz w:val="24"/>
          <w:szCs w:val="24"/>
          <w:lang w:eastAsia="en-GB"/>
        </w:rPr>
      </w:pPr>
      <w:r w:rsidRPr="00F55BD8">
        <w:rPr>
          <w:rFonts w:asciiTheme="minorHAnsi" w:eastAsia="Times New Roman" w:hAnsiTheme="minorHAnsi" w:cstheme="minorHAnsi"/>
          <w:color w:val="000000"/>
          <w:sz w:val="24"/>
          <w:szCs w:val="24"/>
          <w:lang w:eastAsia="en-GB"/>
        </w:rPr>
        <w:t>Determine what might have been done differently to prevent the harm or death occurring.</w:t>
      </w:r>
    </w:p>
    <w:p w14:paraId="5A33663B" w14:textId="5FC9DC62" w:rsidR="00F55BD8" w:rsidRPr="00F55BD8" w:rsidRDefault="00F55BD8" w:rsidP="00F55BD8">
      <w:pPr>
        <w:pStyle w:val="ListParagraph"/>
        <w:numPr>
          <w:ilvl w:val="0"/>
          <w:numId w:val="6"/>
        </w:numPr>
        <w:autoSpaceDE w:val="0"/>
        <w:autoSpaceDN w:val="0"/>
        <w:adjustRightInd w:val="0"/>
        <w:spacing w:after="120"/>
        <w:rPr>
          <w:rFonts w:asciiTheme="minorHAnsi" w:eastAsia="Times New Roman" w:hAnsiTheme="minorHAnsi" w:cstheme="minorHAnsi"/>
          <w:color w:val="000000"/>
          <w:sz w:val="24"/>
          <w:szCs w:val="24"/>
          <w:lang w:eastAsia="en-GB"/>
        </w:rPr>
      </w:pPr>
      <w:r w:rsidRPr="00F55BD8">
        <w:rPr>
          <w:rFonts w:asciiTheme="minorHAnsi" w:eastAsia="Times New Roman" w:hAnsiTheme="minorHAnsi" w:cstheme="minorHAnsi"/>
          <w:color w:val="000000"/>
          <w:sz w:val="24"/>
          <w:szCs w:val="24"/>
          <w:lang w:eastAsia="en-GB"/>
        </w:rPr>
        <w:t>Identify lessons and apply these to future cases to prevent similar harm or death happening again.</w:t>
      </w:r>
    </w:p>
    <w:p w14:paraId="00E5CF89" w14:textId="0FF7A18A" w:rsidR="00F55BD8" w:rsidRPr="00F55BD8" w:rsidRDefault="00F55BD8" w:rsidP="00F55BD8">
      <w:pPr>
        <w:pStyle w:val="ListParagraph"/>
        <w:numPr>
          <w:ilvl w:val="0"/>
          <w:numId w:val="6"/>
        </w:numPr>
        <w:autoSpaceDE w:val="0"/>
        <w:autoSpaceDN w:val="0"/>
        <w:adjustRightInd w:val="0"/>
        <w:spacing w:after="120"/>
        <w:rPr>
          <w:rFonts w:asciiTheme="minorHAnsi" w:eastAsia="Times New Roman" w:hAnsiTheme="minorHAnsi" w:cstheme="minorHAnsi"/>
          <w:color w:val="000000"/>
          <w:sz w:val="24"/>
          <w:szCs w:val="24"/>
          <w:lang w:eastAsia="en-GB"/>
        </w:rPr>
      </w:pPr>
      <w:r w:rsidRPr="00F55BD8">
        <w:rPr>
          <w:rFonts w:asciiTheme="minorHAnsi" w:eastAsia="Times New Roman" w:hAnsiTheme="minorHAnsi" w:cstheme="minorHAnsi"/>
          <w:color w:val="000000"/>
          <w:sz w:val="24"/>
          <w:szCs w:val="24"/>
          <w:lang w:eastAsia="en-GB"/>
        </w:rPr>
        <w:t>Review the effectiveness of multi-agency safeguarding arrangements and procedures.</w:t>
      </w:r>
    </w:p>
    <w:p w14:paraId="0B57760B" w14:textId="6C66B5D2" w:rsidR="00F55BD8" w:rsidRPr="00F55BD8" w:rsidRDefault="00F55BD8" w:rsidP="00F55BD8">
      <w:pPr>
        <w:pStyle w:val="ListParagraph"/>
        <w:numPr>
          <w:ilvl w:val="0"/>
          <w:numId w:val="6"/>
        </w:numPr>
        <w:autoSpaceDE w:val="0"/>
        <w:autoSpaceDN w:val="0"/>
        <w:adjustRightInd w:val="0"/>
        <w:spacing w:after="120"/>
        <w:rPr>
          <w:rFonts w:asciiTheme="minorHAnsi" w:eastAsia="Times New Roman" w:hAnsiTheme="minorHAnsi" w:cstheme="minorHAnsi"/>
          <w:color w:val="000000"/>
          <w:sz w:val="24"/>
          <w:szCs w:val="24"/>
          <w:lang w:eastAsia="en-GB"/>
        </w:rPr>
      </w:pPr>
      <w:r w:rsidRPr="00F55BD8">
        <w:rPr>
          <w:rFonts w:asciiTheme="minorHAnsi" w:eastAsia="Times New Roman" w:hAnsiTheme="minorHAnsi" w:cstheme="minorHAnsi"/>
          <w:color w:val="000000"/>
          <w:sz w:val="24"/>
          <w:szCs w:val="24"/>
          <w:lang w:eastAsia="en-GB"/>
        </w:rPr>
        <w:t>Inform and improve future practice and partnership working.</w:t>
      </w:r>
    </w:p>
    <w:p w14:paraId="35582B1C" w14:textId="77777777" w:rsidR="00F55BD8" w:rsidRPr="00F55BD8" w:rsidRDefault="00F55BD8" w:rsidP="00F55BD8">
      <w:pPr>
        <w:pStyle w:val="ListParagraph"/>
        <w:numPr>
          <w:ilvl w:val="0"/>
          <w:numId w:val="6"/>
        </w:numPr>
        <w:autoSpaceDE w:val="0"/>
        <w:autoSpaceDN w:val="0"/>
        <w:adjustRightInd w:val="0"/>
        <w:spacing w:after="120"/>
        <w:rPr>
          <w:rFonts w:asciiTheme="minorHAnsi" w:eastAsia="Times New Roman" w:hAnsiTheme="minorHAnsi" w:cstheme="minorHAnsi"/>
          <w:color w:val="000000"/>
          <w:sz w:val="24"/>
          <w:szCs w:val="24"/>
          <w:lang w:eastAsia="en-GB"/>
        </w:rPr>
      </w:pPr>
      <w:r w:rsidRPr="00F55BD8">
        <w:rPr>
          <w:rFonts w:asciiTheme="minorHAnsi" w:eastAsia="Times New Roman" w:hAnsiTheme="minorHAnsi" w:cstheme="minorHAnsi"/>
          <w:color w:val="000000"/>
          <w:sz w:val="24"/>
          <w:szCs w:val="24"/>
          <w:lang w:eastAsia="en-GB"/>
        </w:rPr>
        <w:t>Improve practice by acting on learning (developing best practice); and</w:t>
      </w:r>
    </w:p>
    <w:p w14:paraId="0BBA85C3" w14:textId="7C95CEF0" w:rsidR="009E1C79" w:rsidRDefault="00F55BD8" w:rsidP="009E1C79">
      <w:pPr>
        <w:pStyle w:val="ListParagraph"/>
        <w:numPr>
          <w:ilvl w:val="0"/>
          <w:numId w:val="6"/>
        </w:numPr>
        <w:autoSpaceDE w:val="0"/>
        <w:autoSpaceDN w:val="0"/>
        <w:adjustRightInd w:val="0"/>
        <w:rPr>
          <w:rFonts w:asciiTheme="minorHAnsi" w:eastAsia="Times New Roman" w:hAnsiTheme="minorHAnsi" w:cstheme="minorHAnsi"/>
          <w:color w:val="000000"/>
          <w:sz w:val="24"/>
          <w:szCs w:val="24"/>
          <w:lang w:eastAsia="en-GB"/>
        </w:rPr>
      </w:pPr>
      <w:r w:rsidRPr="00F55BD8">
        <w:rPr>
          <w:rFonts w:asciiTheme="minorHAnsi" w:eastAsia="Times New Roman" w:hAnsiTheme="minorHAnsi" w:cstheme="minorHAnsi"/>
          <w:color w:val="000000"/>
          <w:sz w:val="24"/>
          <w:szCs w:val="24"/>
          <w:lang w:eastAsia="en-GB"/>
        </w:rPr>
        <w:t>Highlight any good practice identified.</w:t>
      </w:r>
    </w:p>
    <w:p w14:paraId="6774038A" w14:textId="77777777" w:rsidR="002A6A26" w:rsidRDefault="002A6A26" w:rsidP="00DB7906">
      <w:pPr>
        <w:autoSpaceDE w:val="0"/>
        <w:autoSpaceDN w:val="0"/>
        <w:adjustRightInd w:val="0"/>
        <w:rPr>
          <w:rFonts w:asciiTheme="minorHAnsi" w:hAnsiTheme="minorHAnsi" w:cstheme="minorHAnsi"/>
          <w:sz w:val="24"/>
          <w:szCs w:val="24"/>
        </w:rPr>
      </w:pPr>
    </w:p>
    <w:p w14:paraId="08A26B31" w14:textId="42431FBC" w:rsidR="00DB7906" w:rsidRDefault="00DB7906" w:rsidP="00DB7906">
      <w:pPr>
        <w:autoSpaceDE w:val="0"/>
        <w:autoSpaceDN w:val="0"/>
        <w:adjustRightInd w:val="0"/>
        <w:rPr>
          <w:rFonts w:asciiTheme="minorHAnsi" w:hAnsiTheme="minorHAnsi" w:cstheme="minorHAnsi"/>
          <w:sz w:val="24"/>
          <w:szCs w:val="24"/>
        </w:rPr>
      </w:pPr>
      <w:r w:rsidRPr="002A6A26">
        <w:rPr>
          <w:rFonts w:asciiTheme="minorHAnsi" w:hAnsiTheme="minorHAnsi" w:cstheme="minorHAnsi"/>
          <w:sz w:val="24"/>
          <w:szCs w:val="24"/>
        </w:rPr>
        <w:t xml:space="preserve">The purpose of </w:t>
      </w:r>
      <w:r w:rsidR="00E8424B">
        <w:rPr>
          <w:rFonts w:asciiTheme="minorHAnsi" w:hAnsiTheme="minorHAnsi" w:cstheme="minorHAnsi"/>
          <w:sz w:val="24"/>
          <w:szCs w:val="24"/>
        </w:rPr>
        <w:t>the</w:t>
      </w:r>
      <w:r w:rsidRPr="002A6A26">
        <w:rPr>
          <w:rFonts w:asciiTheme="minorHAnsi" w:hAnsiTheme="minorHAnsi" w:cstheme="minorHAnsi"/>
          <w:sz w:val="24"/>
          <w:szCs w:val="24"/>
        </w:rPr>
        <w:t xml:space="preserve"> </w:t>
      </w:r>
      <w:r w:rsidR="002A6A26">
        <w:rPr>
          <w:rFonts w:asciiTheme="minorHAnsi" w:hAnsiTheme="minorHAnsi" w:cstheme="minorHAnsi"/>
          <w:sz w:val="24"/>
          <w:szCs w:val="24"/>
        </w:rPr>
        <w:t>Domestic Homicide Review (</w:t>
      </w:r>
      <w:r w:rsidRPr="002A6A26">
        <w:rPr>
          <w:rFonts w:asciiTheme="minorHAnsi" w:hAnsiTheme="minorHAnsi" w:cstheme="minorHAnsi"/>
          <w:sz w:val="24"/>
          <w:szCs w:val="24"/>
        </w:rPr>
        <w:t>DHR</w:t>
      </w:r>
      <w:r w:rsidR="002A6A26">
        <w:rPr>
          <w:rFonts w:asciiTheme="minorHAnsi" w:hAnsiTheme="minorHAnsi" w:cstheme="minorHAnsi"/>
          <w:sz w:val="24"/>
          <w:szCs w:val="24"/>
        </w:rPr>
        <w:t>)</w:t>
      </w:r>
      <w:r w:rsidRPr="002A6A26">
        <w:rPr>
          <w:rFonts w:asciiTheme="minorHAnsi" w:hAnsiTheme="minorHAnsi" w:cstheme="minorHAnsi"/>
          <w:sz w:val="24"/>
          <w:szCs w:val="24"/>
        </w:rPr>
        <w:t xml:space="preserve"> is to: </w:t>
      </w:r>
    </w:p>
    <w:p w14:paraId="0ED6FB33" w14:textId="77777777" w:rsidR="002A6A26" w:rsidRPr="002A6A26" w:rsidRDefault="002A6A26" w:rsidP="00DB7906">
      <w:pPr>
        <w:autoSpaceDE w:val="0"/>
        <w:autoSpaceDN w:val="0"/>
        <w:adjustRightInd w:val="0"/>
        <w:rPr>
          <w:rFonts w:asciiTheme="minorHAnsi" w:hAnsiTheme="minorHAnsi" w:cstheme="minorHAnsi"/>
          <w:sz w:val="24"/>
          <w:szCs w:val="24"/>
        </w:rPr>
      </w:pPr>
    </w:p>
    <w:p w14:paraId="6E223302" w14:textId="77777777" w:rsidR="00DB7906" w:rsidRPr="002A6A26" w:rsidRDefault="00DB7906" w:rsidP="00DB7906">
      <w:pPr>
        <w:autoSpaceDE w:val="0"/>
        <w:autoSpaceDN w:val="0"/>
        <w:adjustRightInd w:val="0"/>
        <w:rPr>
          <w:rFonts w:asciiTheme="minorHAnsi" w:hAnsiTheme="minorHAnsi" w:cstheme="minorHAnsi"/>
          <w:sz w:val="24"/>
          <w:szCs w:val="24"/>
        </w:rPr>
      </w:pPr>
      <w:r w:rsidRPr="002A6A26">
        <w:rPr>
          <w:rFonts w:asciiTheme="minorHAnsi" w:hAnsiTheme="minorHAnsi" w:cstheme="minorHAnsi"/>
          <w:sz w:val="24"/>
          <w:szCs w:val="24"/>
        </w:rPr>
        <w:t xml:space="preserve">a) establish what lessons are to be learned from the domestic homicide regarding the way in which local professionals and organisations work individually and together to safeguard victims; </w:t>
      </w:r>
    </w:p>
    <w:p w14:paraId="2D0D8BCD" w14:textId="77777777" w:rsidR="00DB7906" w:rsidRPr="002A6A26" w:rsidRDefault="00DB7906" w:rsidP="00DB7906">
      <w:pPr>
        <w:autoSpaceDE w:val="0"/>
        <w:autoSpaceDN w:val="0"/>
        <w:adjustRightInd w:val="0"/>
        <w:rPr>
          <w:rFonts w:asciiTheme="minorHAnsi" w:hAnsiTheme="minorHAnsi" w:cstheme="minorHAnsi"/>
          <w:sz w:val="24"/>
          <w:szCs w:val="24"/>
        </w:rPr>
      </w:pPr>
      <w:r w:rsidRPr="002A6A26">
        <w:rPr>
          <w:rFonts w:asciiTheme="minorHAnsi" w:hAnsiTheme="minorHAnsi" w:cstheme="minorHAnsi"/>
          <w:sz w:val="24"/>
          <w:szCs w:val="24"/>
        </w:rPr>
        <w:t xml:space="preserve">b) identify clearly what those lessons are both within and between agencies, how and within what timescales they will be acted on, and what is expected to change as a result; </w:t>
      </w:r>
    </w:p>
    <w:p w14:paraId="012B51AB" w14:textId="77777777" w:rsidR="00DB7906" w:rsidRPr="002A6A26" w:rsidRDefault="00DB7906" w:rsidP="00DB7906">
      <w:pPr>
        <w:autoSpaceDE w:val="0"/>
        <w:autoSpaceDN w:val="0"/>
        <w:adjustRightInd w:val="0"/>
        <w:rPr>
          <w:rFonts w:asciiTheme="minorHAnsi" w:hAnsiTheme="minorHAnsi" w:cstheme="minorHAnsi"/>
          <w:sz w:val="24"/>
          <w:szCs w:val="24"/>
        </w:rPr>
      </w:pPr>
      <w:r w:rsidRPr="002A6A26">
        <w:rPr>
          <w:rFonts w:asciiTheme="minorHAnsi" w:hAnsiTheme="minorHAnsi" w:cstheme="minorHAnsi"/>
          <w:sz w:val="24"/>
          <w:szCs w:val="24"/>
        </w:rPr>
        <w:t>c) apply these lessons to service responses including changes to inform national and local policies and procedures as appropriate;</w:t>
      </w:r>
    </w:p>
    <w:p w14:paraId="01285452" w14:textId="77777777" w:rsidR="002A6A26" w:rsidRPr="002A6A26" w:rsidRDefault="00DB7906" w:rsidP="00DB7906">
      <w:pPr>
        <w:autoSpaceDE w:val="0"/>
        <w:autoSpaceDN w:val="0"/>
        <w:adjustRightInd w:val="0"/>
        <w:rPr>
          <w:rFonts w:asciiTheme="minorHAnsi" w:hAnsiTheme="minorHAnsi" w:cstheme="minorHAnsi"/>
          <w:sz w:val="24"/>
          <w:szCs w:val="24"/>
        </w:rPr>
      </w:pPr>
      <w:r w:rsidRPr="002A6A26">
        <w:rPr>
          <w:rFonts w:asciiTheme="minorHAnsi" w:hAnsiTheme="minorHAnsi" w:cstheme="minorHAnsi"/>
          <w:sz w:val="24"/>
          <w:szCs w:val="24"/>
        </w:rPr>
        <w:t xml:space="preserve"> d) prevent domestic violence and homicide and improve service responses for all domestic violence and abuse victims and their children by developing a co-ordinated multi-agency approach to ensure that domestic abuse is identified and responded to effectively at the earliest opportunity; </w:t>
      </w:r>
    </w:p>
    <w:p w14:paraId="05B144FF" w14:textId="77777777" w:rsidR="002A6A26" w:rsidRPr="002A6A26" w:rsidRDefault="00DB7906" w:rsidP="00DB7906">
      <w:pPr>
        <w:autoSpaceDE w:val="0"/>
        <w:autoSpaceDN w:val="0"/>
        <w:adjustRightInd w:val="0"/>
        <w:rPr>
          <w:rFonts w:asciiTheme="minorHAnsi" w:hAnsiTheme="minorHAnsi" w:cstheme="minorHAnsi"/>
          <w:sz w:val="24"/>
          <w:szCs w:val="24"/>
        </w:rPr>
      </w:pPr>
      <w:r w:rsidRPr="002A6A26">
        <w:rPr>
          <w:rFonts w:asciiTheme="minorHAnsi" w:hAnsiTheme="minorHAnsi" w:cstheme="minorHAnsi"/>
          <w:sz w:val="24"/>
          <w:szCs w:val="24"/>
        </w:rPr>
        <w:t xml:space="preserve">e) contribute to a better understanding of the nature of domestic violence and abuse; and </w:t>
      </w:r>
    </w:p>
    <w:p w14:paraId="20D4F073" w14:textId="77777777" w:rsidR="002A6A26" w:rsidRPr="002A6A26" w:rsidRDefault="00DB7906" w:rsidP="00DB7906">
      <w:pPr>
        <w:autoSpaceDE w:val="0"/>
        <w:autoSpaceDN w:val="0"/>
        <w:adjustRightInd w:val="0"/>
        <w:rPr>
          <w:rFonts w:asciiTheme="minorHAnsi" w:hAnsiTheme="minorHAnsi" w:cstheme="minorHAnsi"/>
          <w:sz w:val="24"/>
          <w:szCs w:val="24"/>
        </w:rPr>
      </w:pPr>
      <w:r w:rsidRPr="002A6A26">
        <w:rPr>
          <w:rFonts w:asciiTheme="minorHAnsi" w:hAnsiTheme="minorHAnsi" w:cstheme="minorHAnsi"/>
          <w:sz w:val="24"/>
          <w:szCs w:val="24"/>
        </w:rPr>
        <w:t xml:space="preserve">f) highlight good practice. </w:t>
      </w:r>
    </w:p>
    <w:p w14:paraId="76012D8E" w14:textId="77777777" w:rsidR="002A6A26" w:rsidRDefault="002A6A26" w:rsidP="00DB7906">
      <w:pPr>
        <w:autoSpaceDE w:val="0"/>
        <w:autoSpaceDN w:val="0"/>
        <w:adjustRightInd w:val="0"/>
      </w:pPr>
    </w:p>
    <w:p w14:paraId="42DCE71C" w14:textId="77777777" w:rsidR="005B012E" w:rsidRDefault="00F55BD8" w:rsidP="005B012E">
      <w:pPr>
        <w:rPr>
          <w:rFonts w:asciiTheme="minorHAnsi" w:hAnsiTheme="minorHAnsi" w:cstheme="minorHAnsi"/>
        </w:rPr>
      </w:pPr>
      <w:r w:rsidRPr="00F55BD8">
        <w:rPr>
          <w:rFonts w:eastAsia="Times New Roman"/>
          <w:sz w:val="24"/>
          <w:szCs w:val="24"/>
        </w:rPr>
        <w:t xml:space="preserve">Below is a </w:t>
      </w:r>
      <w:r w:rsidR="00FD00EE" w:rsidRPr="00F55BD8">
        <w:rPr>
          <w:rFonts w:eastAsia="Times New Roman"/>
          <w:sz w:val="24"/>
          <w:szCs w:val="24"/>
        </w:rPr>
        <w:t>Basic overview of the cas</w:t>
      </w:r>
      <w:r>
        <w:rPr>
          <w:rFonts w:eastAsia="Times New Roman"/>
          <w:sz w:val="24"/>
          <w:szCs w:val="24"/>
        </w:rPr>
        <w:t>e:</w:t>
      </w:r>
      <w:r w:rsidR="005B012E" w:rsidRPr="005B012E">
        <w:rPr>
          <w:rFonts w:asciiTheme="minorHAnsi" w:hAnsiTheme="minorHAnsi" w:cstheme="minorHAnsi"/>
        </w:rPr>
        <w:t xml:space="preserve"> </w:t>
      </w:r>
    </w:p>
    <w:p w14:paraId="6919A7B4" w14:textId="77777777" w:rsidR="005B012E" w:rsidRDefault="005B012E" w:rsidP="005B012E">
      <w:pPr>
        <w:rPr>
          <w:rFonts w:asciiTheme="minorHAnsi" w:hAnsiTheme="minorHAnsi" w:cstheme="minorHAnsi"/>
        </w:rPr>
      </w:pPr>
    </w:p>
    <w:p w14:paraId="709596D8" w14:textId="24E51F89" w:rsidR="005B012E" w:rsidRPr="005B012E" w:rsidRDefault="005B012E" w:rsidP="005B012E">
      <w:pPr>
        <w:rPr>
          <w:rFonts w:asciiTheme="minorHAnsi" w:hAnsiTheme="minorHAnsi" w:cstheme="minorHAnsi"/>
          <w:sz w:val="24"/>
          <w:szCs w:val="24"/>
        </w:rPr>
      </w:pPr>
      <w:r w:rsidRPr="0013018C">
        <w:rPr>
          <w:rFonts w:asciiTheme="minorHAnsi" w:hAnsiTheme="minorHAnsi" w:cstheme="minorHAnsi"/>
          <w:sz w:val="24"/>
          <w:szCs w:val="24"/>
        </w:rPr>
        <w:t>This case will focus on an individual who was known to a number of local services who had a history of poor physical heath, complex mental health support needs and had disclosed a history of childhood trauma. The person also had a recorded history of past harm from alcohol use and poly-pharmacological overdoses. There was alleged psychological abuse from their partner which increased their mental health difficulties. Following a deterioration in their mental well-being an incident was reported to the police, on attending the incident the person was found deceased, the police believed their death to be a purposeful act to complete suicide.</w:t>
      </w:r>
    </w:p>
    <w:p w14:paraId="35C8C179" w14:textId="77777777" w:rsidR="005B012E" w:rsidRPr="005B012E" w:rsidRDefault="005B012E" w:rsidP="005B012E">
      <w:pPr>
        <w:pStyle w:val="ListParagraph"/>
        <w:rPr>
          <w:sz w:val="24"/>
          <w:szCs w:val="24"/>
        </w:rPr>
      </w:pPr>
    </w:p>
    <w:p w14:paraId="00F03926" w14:textId="71B31319" w:rsidR="00F55BD8" w:rsidRDefault="00F55BD8" w:rsidP="00F55BD8">
      <w:pPr>
        <w:rPr>
          <w:rFonts w:eastAsia="Times New Roman"/>
          <w:sz w:val="24"/>
          <w:szCs w:val="24"/>
        </w:rPr>
      </w:pPr>
    </w:p>
    <w:p w14:paraId="482C8FCD" w14:textId="77777777" w:rsidR="005B012E" w:rsidRPr="00F7515A" w:rsidRDefault="005B012E" w:rsidP="00F55BD8">
      <w:pPr>
        <w:rPr>
          <w:rFonts w:asciiTheme="minorHAnsi" w:hAnsiTheme="minorHAnsi" w:cstheme="minorHAnsi"/>
          <w:sz w:val="24"/>
          <w:szCs w:val="24"/>
        </w:rPr>
      </w:pPr>
    </w:p>
    <w:p w14:paraId="0E6F2FF0" w14:textId="77777777" w:rsidR="00F55BD8" w:rsidRPr="00F55BD8" w:rsidRDefault="00F55BD8" w:rsidP="00F55BD8">
      <w:pPr>
        <w:rPr>
          <w:rFonts w:asciiTheme="minorHAnsi" w:hAnsiTheme="minorHAnsi" w:cstheme="minorHAnsi"/>
          <w:sz w:val="24"/>
          <w:szCs w:val="24"/>
        </w:rPr>
      </w:pPr>
    </w:p>
    <w:p w14:paraId="5553EA49" w14:textId="77777777" w:rsidR="00FD00EE" w:rsidRPr="00F55BD8" w:rsidRDefault="00FD00EE" w:rsidP="00FD00EE">
      <w:pPr>
        <w:rPr>
          <w:sz w:val="24"/>
          <w:szCs w:val="24"/>
        </w:rPr>
      </w:pPr>
    </w:p>
    <w:p w14:paraId="6F1E7C86" w14:textId="199428C2" w:rsidR="00DF2D75" w:rsidRPr="00351AB0" w:rsidRDefault="00DF2D75" w:rsidP="00E071B5">
      <w:pPr>
        <w:rPr>
          <w:rFonts w:asciiTheme="minorHAnsi" w:hAnsiTheme="minorHAnsi" w:cstheme="minorHAnsi"/>
          <w:sz w:val="24"/>
          <w:szCs w:val="24"/>
        </w:rPr>
      </w:pPr>
      <w:r w:rsidRPr="00351AB0">
        <w:rPr>
          <w:rFonts w:asciiTheme="minorHAnsi" w:hAnsiTheme="minorHAnsi" w:cstheme="minorHAnsi"/>
          <w:b/>
          <w:bCs/>
          <w:sz w:val="24"/>
          <w:szCs w:val="24"/>
          <w:u w:val="single"/>
        </w:rPr>
        <w:lastRenderedPageBreak/>
        <w:t>3.Scope</w:t>
      </w:r>
      <w:r w:rsidR="00351AB0">
        <w:rPr>
          <w:rFonts w:asciiTheme="minorHAnsi" w:hAnsiTheme="minorHAnsi" w:cstheme="minorHAnsi"/>
          <w:sz w:val="24"/>
          <w:szCs w:val="24"/>
        </w:rPr>
        <w:t>:</w:t>
      </w:r>
      <w:r w:rsidRPr="00351AB0">
        <w:rPr>
          <w:rFonts w:asciiTheme="minorHAnsi" w:hAnsiTheme="minorHAnsi" w:cstheme="minorHAnsi"/>
          <w:sz w:val="24"/>
          <w:szCs w:val="24"/>
        </w:rPr>
        <w:t xml:space="preserve"> </w:t>
      </w:r>
    </w:p>
    <w:p w14:paraId="1ABC0FEA" w14:textId="0C25DDEA" w:rsidR="00F55BD8" w:rsidRDefault="00F55BD8" w:rsidP="00F55BD8">
      <w:pPr>
        <w:rPr>
          <w:rFonts w:eastAsia="Times New Roman"/>
          <w:sz w:val="24"/>
          <w:szCs w:val="24"/>
        </w:rPr>
      </w:pPr>
      <w:r w:rsidRPr="00F55BD8">
        <w:rPr>
          <w:rFonts w:asciiTheme="minorHAnsi" w:hAnsiTheme="minorHAnsi" w:cstheme="minorHAnsi"/>
          <w:sz w:val="24"/>
          <w:szCs w:val="24"/>
        </w:rPr>
        <w:t xml:space="preserve">The CIOS SAB is inviting tenders from experienced </w:t>
      </w:r>
      <w:r w:rsidR="00604692">
        <w:rPr>
          <w:rFonts w:asciiTheme="minorHAnsi" w:hAnsiTheme="minorHAnsi" w:cstheme="minorHAnsi"/>
          <w:sz w:val="24"/>
          <w:szCs w:val="24"/>
        </w:rPr>
        <w:t xml:space="preserve">DHR </w:t>
      </w:r>
      <w:r w:rsidR="00066381">
        <w:rPr>
          <w:rFonts w:asciiTheme="minorHAnsi" w:hAnsiTheme="minorHAnsi" w:cstheme="minorHAnsi"/>
          <w:sz w:val="24"/>
          <w:szCs w:val="24"/>
        </w:rPr>
        <w:t xml:space="preserve">and </w:t>
      </w:r>
      <w:r w:rsidRPr="00F55BD8">
        <w:rPr>
          <w:rFonts w:asciiTheme="minorHAnsi" w:hAnsiTheme="minorHAnsi" w:cstheme="minorHAnsi"/>
          <w:sz w:val="24"/>
          <w:szCs w:val="24"/>
        </w:rPr>
        <w:t xml:space="preserve">SAR authors who </w:t>
      </w:r>
      <w:r w:rsidR="00351AB0">
        <w:rPr>
          <w:rFonts w:asciiTheme="minorHAnsi" w:hAnsiTheme="minorHAnsi" w:cstheme="minorHAnsi"/>
          <w:sz w:val="24"/>
          <w:szCs w:val="24"/>
        </w:rPr>
        <w:t xml:space="preserve">can evidence their knowledge </w:t>
      </w:r>
      <w:r w:rsidRPr="00F55BD8">
        <w:rPr>
          <w:rFonts w:eastAsia="Times New Roman"/>
          <w:sz w:val="24"/>
          <w:szCs w:val="24"/>
        </w:rPr>
        <w:t xml:space="preserve">expertise/experience </w:t>
      </w:r>
      <w:r w:rsidR="00351AB0">
        <w:rPr>
          <w:rFonts w:eastAsia="Times New Roman"/>
          <w:sz w:val="24"/>
          <w:szCs w:val="24"/>
        </w:rPr>
        <w:t xml:space="preserve">in the following areas </w:t>
      </w:r>
      <w:r w:rsidR="00351AB0" w:rsidRPr="00033D14">
        <w:rPr>
          <w:rFonts w:eastAsia="Times New Roman"/>
          <w:sz w:val="24"/>
          <w:szCs w:val="24"/>
        </w:rPr>
        <w:t xml:space="preserve">- </w:t>
      </w:r>
      <w:r w:rsidR="00833CBA" w:rsidRPr="00033D14">
        <w:rPr>
          <w:sz w:val="24"/>
          <w:szCs w:val="24"/>
        </w:rPr>
        <w:t>Domestic abuse , Police, GPs, health trusts, Mental Health Services and Adult Social Care</w:t>
      </w:r>
      <w:r w:rsidR="00833CBA" w:rsidRPr="00033D14">
        <w:rPr>
          <w:rFonts w:eastAsia="Times New Roman"/>
          <w:sz w:val="24"/>
          <w:szCs w:val="24"/>
        </w:rPr>
        <w:t xml:space="preserve"> </w:t>
      </w:r>
      <w:r w:rsidRPr="00033D14">
        <w:rPr>
          <w:rFonts w:eastAsia="Times New Roman"/>
          <w:sz w:val="24"/>
          <w:szCs w:val="24"/>
        </w:rPr>
        <w:t xml:space="preserve">and experience of supporting families </w:t>
      </w:r>
      <w:r w:rsidR="00667054" w:rsidRPr="00033D14">
        <w:rPr>
          <w:rFonts w:eastAsia="Times New Roman"/>
          <w:sz w:val="24"/>
          <w:szCs w:val="24"/>
        </w:rPr>
        <w:t>through the review process</w:t>
      </w:r>
      <w:r w:rsidRPr="00033D14">
        <w:rPr>
          <w:rFonts w:eastAsia="Times New Roman"/>
          <w:sz w:val="24"/>
          <w:szCs w:val="24"/>
        </w:rPr>
        <w:t>.</w:t>
      </w:r>
    </w:p>
    <w:p w14:paraId="4FF795D8" w14:textId="77777777" w:rsidR="005B012E" w:rsidRPr="00033D14" w:rsidRDefault="005B012E" w:rsidP="00F55BD8">
      <w:pPr>
        <w:rPr>
          <w:rFonts w:eastAsia="Times New Roman"/>
          <w:sz w:val="24"/>
          <w:szCs w:val="24"/>
        </w:rPr>
      </w:pPr>
    </w:p>
    <w:p w14:paraId="4A9D8E7A" w14:textId="67D8A4EE" w:rsidR="00351AB0" w:rsidRPr="00351AB0" w:rsidRDefault="00351AB0" w:rsidP="00351AB0">
      <w:pPr>
        <w:pStyle w:val="NoSpacing"/>
        <w:rPr>
          <w:rFonts w:cstheme="minorHAnsi"/>
          <w:sz w:val="24"/>
          <w:szCs w:val="24"/>
        </w:rPr>
      </w:pPr>
      <w:r w:rsidRPr="00351AB0">
        <w:rPr>
          <w:rFonts w:cstheme="minorHAnsi"/>
          <w:sz w:val="24"/>
          <w:szCs w:val="24"/>
        </w:rPr>
        <w:t>The Independent Author will be expected to undertake the following:</w:t>
      </w:r>
    </w:p>
    <w:p w14:paraId="196FC74C" w14:textId="77777777" w:rsidR="00351AB0" w:rsidRPr="00351AB0" w:rsidRDefault="00351AB0" w:rsidP="00351AB0">
      <w:pPr>
        <w:pStyle w:val="ListParagraph"/>
        <w:numPr>
          <w:ilvl w:val="0"/>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 xml:space="preserve">Review and analyse: </w:t>
      </w:r>
    </w:p>
    <w:p w14:paraId="703D7471" w14:textId="77777777" w:rsidR="00351AB0" w:rsidRPr="00351AB0" w:rsidRDefault="00351AB0" w:rsidP="00351AB0">
      <w:pPr>
        <w:pStyle w:val="ListParagraph"/>
        <w:numPr>
          <w:ilvl w:val="1"/>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evidence collected in the course of the review, including the scoping returns from agencies, coroners’ findings and other information available.</w:t>
      </w:r>
    </w:p>
    <w:p w14:paraId="00A8F7FC" w14:textId="77777777" w:rsidR="00351AB0" w:rsidRPr="00351AB0" w:rsidRDefault="00351AB0" w:rsidP="00351AB0">
      <w:pPr>
        <w:pStyle w:val="ListParagraph"/>
        <w:numPr>
          <w:ilvl w:val="1"/>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chronologies and Individual Management Reviews (unless an alternate method agreed)</w:t>
      </w:r>
    </w:p>
    <w:p w14:paraId="6D3E256F" w14:textId="77777777" w:rsidR="00351AB0" w:rsidRPr="00351AB0" w:rsidRDefault="00351AB0" w:rsidP="00351AB0">
      <w:pPr>
        <w:pStyle w:val="ListParagraph"/>
        <w:numPr>
          <w:ilvl w:val="0"/>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Identify any additional information that will be required for this review.</w:t>
      </w:r>
    </w:p>
    <w:p w14:paraId="042EF795" w14:textId="77777777" w:rsidR="00351AB0" w:rsidRPr="00351AB0" w:rsidRDefault="00351AB0" w:rsidP="00351AB0">
      <w:pPr>
        <w:pStyle w:val="ListParagraph"/>
        <w:numPr>
          <w:ilvl w:val="0"/>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Liaise with the family, frontline staff, managers and commissioners as required</w:t>
      </w:r>
    </w:p>
    <w:p w14:paraId="18DCCF7F" w14:textId="31553076" w:rsidR="00351AB0" w:rsidRPr="00351AB0" w:rsidRDefault="00351AB0" w:rsidP="00351AB0">
      <w:pPr>
        <w:pStyle w:val="ListParagraph"/>
        <w:numPr>
          <w:ilvl w:val="0"/>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 xml:space="preserve">Attend and chair meetings with the </w:t>
      </w:r>
      <w:r w:rsidR="0076172C">
        <w:rPr>
          <w:rFonts w:asciiTheme="minorHAnsi" w:hAnsiTheme="minorHAnsi" w:cstheme="minorHAnsi"/>
          <w:sz w:val="24"/>
          <w:szCs w:val="24"/>
        </w:rPr>
        <w:t>DHR/</w:t>
      </w:r>
      <w:r w:rsidRPr="00351AB0">
        <w:rPr>
          <w:rFonts w:asciiTheme="minorHAnsi" w:hAnsiTheme="minorHAnsi" w:cstheme="minorHAnsi"/>
          <w:sz w:val="24"/>
          <w:szCs w:val="24"/>
        </w:rPr>
        <w:t>SAR Panel (if model to be used) and any other relevant meetings (the majority of this work will be conducted virtually using MS Teams).</w:t>
      </w:r>
    </w:p>
    <w:p w14:paraId="6A10EFBC" w14:textId="77777777" w:rsidR="00351AB0" w:rsidRPr="00351AB0" w:rsidRDefault="00351AB0" w:rsidP="00351AB0">
      <w:pPr>
        <w:pStyle w:val="ListParagraph"/>
        <w:numPr>
          <w:ilvl w:val="0"/>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 xml:space="preserve">Produce a succinct written report suitable for publication, which provides: </w:t>
      </w:r>
    </w:p>
    <w:p w14:paraId="26C9ECC5" w14:textId="77777777" w:rsidR="00351AB0" w:rsidRPr="00351AB0" w:rsidRDefault="00351AB0" w:rsidP="00351AB0">
      <w:pPr>
        <w:pStyle w:val="ListParagraph"/>
        <w:numPr>
          <w:ilvl w:val="1"/>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An Executive Summary</w:t>
      </w:r>
    </w:p>
    <w:p w14:paraId="2B8D0381" w14:textId="77777777" w:rsidR="00351AB0" w:rsidRPr="00351AB0" w:rsidRDefault="00351AB0" w:rsidP="00351AB0">
      <w:pPr>
        <w:pStyle w:val="ListParagraph"/>
        <w:numPr>
          <w:ilvl w:val="1"/>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 xml:space="preserve">An Overview Report </w:t>
      </w:r>
    </w:p>
    <w:p w14:paraId="5BCC3FB5" w14:textId="77777777" w:rsidR="00351AB0" w:rsidRPr="00351AB0" w:rsidRDefault="00351AB0" w:rsidP="00351AB0">
      <w:pPr>
        <w:pStyle w:val="ListParagraph"/>
        <w:numPr>
          <w:ilvl w:val="1"/>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A Learning Summary and/or learning event</w:t>
      </w:r>
    </w:p>
    <w:p w14:paraId="45B4E669" w14:textId="77777777" w:rsidR="00351AB0" w:rsidRPr="00351AB0" w:rsidRDefault="00351AB0" w:rsidP="00351AB0">
      <w:pPr>
        <w:pStyle w:val="ListParagraph"/>
        <w:numPr>
          <w:ilvl w:val="1"/>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Answers to the specific questions set in the Terms of Reference, which are to be developed by the author/chair in consultation as appropriate.</w:t>
      </w:r>
    </w:p>
    <w:p w14:paraId="47F813F3" w14:textId="77777777" w:rsidR="00351AB0" w:rsidRPr="00351AB0" w:rsidRDefault="00351AB0" w:rsidP="00351AB0">
      <w:pPr>
        <w:pStyle w:val="ListParagraph"/>
        <w:numPr>
          <w:ilvl w:val="1"/>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Identification of lessons to be learnt, gaps in the current system, and any good practice</w:t>
      </w:r>
    </w:p>
    <w:p w14:paraId="132227E6" w14:textId="77777777" w:rsidR="00351AB0" w:rsidRPr="00351AB0" w:rsidRDefault="00351AB0" w:rsidP="00351AB0">
      <w:pPr>
        <w:pStyle w:val="ListParagraph"/>
        <w:numPr>
          <w:ilvl w:val="1"/>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 xml:space="preserve">Ensure SMART recommendations </w:t>
      </w:r>
    </w:p>
    <w:p w14:paraId="20615522" w14:textId="74FC3551" w:rsidR="00351AB0" w:rsidRPr="00351AB0" w:rsidRDefault="00351AB0" w:rsidP="00351AB0">
      <w:pPr>
        <w:pStyle w:val="ListParagraph"/>
        <w:numPr>
          <w:ilvl w:val="1"/>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 xml:space="preserve">Develop an action plan based on the </w:t>
      </w:r>
      <w:r w:rsidR="00066381">
        <w:rPr>
          <w:rFonts w:asciiTheme="minorHAnsi" w:hAnsiTheme="minorHAnsi" w:cstheme="minorHAnsi"/>
          <w:sz w:val="24"/>
          <w:szCs w:val="24"/>
        </w:rPr>
        <w:t>DHR/</w:t>
      </w:r>
      <w:r w:rsidRPr="00351AB0">
        <w:rPr>
          <w:rFonts w:asciiTheme="minorHAnsi" w:hAnsiTheme="minorHAnsi" w:cstheme="minorHAnsi"/>
          <w:sz w:val="24"/>
          <w:szCs w:val="24"/>
        </w:rPr>
        <w:t>SAR report</w:t>
      </w:r>
    </w:p>
    <w:p w14:paraId="510BC421" w14:textId="1523EC2E" w:rsidR="00351AB0" w:rsidRPr="00351AB0" w:rsidRDefault="00351AB0" w:rsidP="00351AB0">
      <w:pPr>
        <w:pStyle w:val="ListParagraph"/>
        <w:numPr>
          <w:ilvl w:val="0"/>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To present the report to th</w:t>
      </w:r>
      <w:r w:rsidR="00C56541">
        <w:rPr>
          <w:rFonts w:asciiTheme="minorHAnsi" w:hAnsiTheme="minorHAnsi" w:cstheme="minorHAnsi"/>
          <w:sz w:val="24"/>
          <w:szCs w:val="24"/>
        </w:rPr>
        <w:t xml:space="preserve">e </w:t>
      </w:r>
      <w:r w:rsidR="00CF7E9B">
        <w:rPr>
          <w:rFonts w:asciiTheme="minorHAnsi" w:hAnsiTheme="minorHAnsi" w:cstheme="minorHAnsi"/>
          <w:sz w:val="24"/>
          <w:szCs w:val="24"/>
        </w:rPr>
        <w:t xml:space="preserve">Safer Cornwall Partnership Board and </w:t>
      </w:r>
      <w:r w:rsidRPr="00351AB0">
        <w:rPr>
          <w:rFonts w:asciiTheme="minorHAnsi" w:hAnsiTheme="minorHAnsi" w:cstheme="minorHAnsi"/>
          <w:sz w:val="24"/>
          <w:szCs w:val="24"/>
        </w:rPr>
        <w:t xml:space="preserve">Safeguarding Adults Board or a subgroup of the </w:t>
      </w:r>
      <w:r w:rsidR="007D219A">
        <w:rPr>
          <w:rFonts w:asciiTheme="minorHAnsi" w:hAnsiTheme="minorHAnsi" w:cstheme="minorHAnsi"/>
          <w:sz w:val="24"/>
          <w:szCs w:val="24"/>
        </w:rPr>
        <w:t>SCPB/</w:t>
      </w:r>
      <w:r w:rsidRPr="00351AB0">
        <w:rPr>
          <w:rFonts w:asciiTheme="minorHAnsi" w:hAnsiTheme="minorHAnsi" w:cstheme="minorHAnsi"/>
          <w:sz w:val="24"/>
          <w:szCs w:val="24"/>
        </w:rPr>
        <w:t>SAB</w:t>
      </w:r>
      <w:r w:rsidR="007D219A">
        <w:rPr>
          <w:rFonts w:asciiTheme="minorHAnsi" w:hAnsiTheme="minorHAnsi" w:cstheme="minorHAnsi"/>
          <w:sz w:val="24"/>
          <w:szCs w:val="24"/>
        </w:rPr>
        <w:t>.</w:t>
      </w:r>
    </w:p>
    <w:p w14:paraId="4B700A77" w14:textId="22F37230" w:rsidR="00351AB0" w:rsidRPr="00351AB0" w:rsidRDefault="00351AB0" w:rsidP="00351AB0">
      <w:pPr>
        <w:pStyle w:val="ListParagraph"/>
        <w:numPr>
          <w:ilvl w:val="0"/>
          <w:numId w:val="10"/>
        </w:numPr>
        <w:spacing w:after="160" w:line="259" w:lineRule="auto"/>
        <w:rPr>
          <w:rFonts w:asciiTheme="minorHAnsi" w:hAnsiTheme="minorHAnsi" w:cstheme="minorHAnsi"/>
          <w:sz w:val="24"/>
          <w:szCs w:val="24"/>
        </w:rPr>
      </w:pPr>
      <w:r w:rsidRPr="00351AB0">
        <w:rPr>
          <w:rFonts w:asciiTheme="minorHAnsi" w:hAnsiTheme="minorHAnsi" w:cstheme="minorHAnsi"/>
          <w:sz w:val="24"/>
          <w:szCs w:val="24"/>
        </w:rPr>
        <w:t xml:space="preserve">To undertake any other tasks that the </w:t>
      </w:r>
      <w:r w:rsidR="00805C2A">
        <w:rPr>
          <w:rFonts w:asciiTheme="minorHAnsi" w:hAnsiTheme="minorHAnsi" w:cstheme="minorHAnsi"/>
          <w:sz w:val="24"/>
          <w:szCs w:val="24"/>
        </w:rPr>
        <w:t>DHR/</w:t>
      </w:r>
      <w:r w:rsidRPr="00351AB0">
        <w:rPr>
          <w:rFonts w:asciiTheme="minorHAnsi" w:hAnsiTheme="minorHAnsi" w:cstheme="minorHAnsi"/>
          <w:sz w:val="24"/>
          <w:szCs w:val="24"/>
        </w:rPr>
        <w:t xml:space="preserve">SAR and Learning subgroup identifies during this </w:t>
      </w:r>
      <w:r w:rsidR="0054432E">
        <w:rPr>
          <w:rFonts w:asciiTheme="minorHAnsi" w:hAnsiTheme="minorHAnsi" w:cstheme="minorHAnsi"/>
          <w:sz w:val="24"/>
          <w:szCs w:val="24"/>
        </w:rPr>
        <w:t>DHR/</w:t>
      </w:r>
      <w:r w:rsidRPr="00351AB0">
        <w:rPr>
          <w:rFonts w:asciiTheme="minorHAnsi" w:hAnsiTheme="minorHAnsi" w:cstheme="minorHAnsi"/>
          <w:sz w:val="24"/>
          <w:szCs w:val="24"/>
        </w:rPr>
        <w:t>SAR process.</w:t>
      </w:r>
    </w:p>
    <w:p w14:paraId="05F40AFD" w14:textId="77777777" w:rsidR="00EC2170" w:rsidRDefault="00EC2170" w:rsidP="00351AB0">
      <w:pPr>
        <w:rPr>
          <w:rFonts w:asciiTheme="minorHAnsi" w:hAnsiTheme="minorHAnsi" w:cstheme="minorHAnsi"/>
          <w:sz w:val="24"/>
          <w:szCs w:val="24"/>
        </w:rPr>
      </w:pPr>
    </w:p>
    <w:p w14:paraId="00C69F37" w14:textId="16251C45" w:rsidR="00351AB0" w:rsidRPr="00351AB0" w:rsidRDefault="00351AB0" w:rsidP="00351AB0">
      <w:pPr>
        <w:rPr>
          <w:rFonts w:asciiTheme="minorHAnsi" w:eastAsia="Verdana" w:hAnsiTheme="minorHAnsi" w:cstheme="minorHAnsi"/>
          <w:sz w:val="24"/>
          <w:szCs w:val="24"/>
        </w:rPr>
      </w:pPr>
      <w:r w:rsidRPr="00351AB0">
        <w:rPr>
          <w:rFonts w:asciiTheme="minorHAnsi" w:hAnsiTheme="minorHAnsi" w:cstheme="minorHAnsi"/>
          <w:sz w:val="24"/>
          <w:szCs w:val="24"/>
        </w:rPr>
        <w:t xml:space="preserve">The purpose of employing an </w:t>
      </w:r>
      <w:r w:rsidR="00EC2170" w:rsidRPr="00351AB0">
        <w:rPr>
          <w:rFonts w:asciiTheme="minorHAnsi" w:hAnsiTheme="minorHAnsi" w:cstheme="minorHAnsi"/>
          <w:sz w:val="24"/>
          <w:szCs w:val="24"/>
        </w:rPr>
        <w:t>independent</w:t>
      </w:r>
      <w:r w:rsidRPr="00351AB0">
        <w:rPr>
          <w:rFonts w:asciiTheme="minorHAnsi" w:hAnsiTheme="minorHAnsi" w:cstheme="minorHAnsi"/>
          <w:sz w:val="24"/>
          <w:szCs w:val="24"/>
        </w:rPr>
        <w:t xml:space="preserve"> author is to ensure that Reviews are:</w:t>
      </w:r>
    </w:p>
    <w:p w14:paraId="5ED69FED" w14:textId="77777777" w:rsidR="00351AB0" w:rsidRPr="00351AB0" w:rsidRDefault="00351AB0" w:rsidP="00351AB0">
      <w:pPr>
        <w:ind w:left="426"/>
        <w:rPr>
          <w:rFonts w:asciiTheme="minorHAnsi" w:eastAsia="Verdana" w:hAnsiTheme="minorHAnsi" w:cstheme="minorHAnsi"/>
          <w:sz w:val="24"/>
          <w:szCs w:val="24"/>
        </w:rPr>
      </w:pPr>
    </w:p>
    <w:p w14:paraId="6AC2219C" w14:textId="77777777" w:rsidR="00351AB0" w:rsidRPr="00351AB0" w:rsidRDefault="00351AB0" w:rsidP="00351AB0">
      <w:pPr>
        <w:numPr>
          <w:ilvl w:val="0"/>
          <w:numId w:val="12"/>
        </w:numPr>
        <w:pBdr>
          <w:top w:val="nil"/>
          <w:left w:val="nil"/>
          <w:bottom w:val="nil"/>
          <w:right w:val="nil"/>
          <w:between w:val="nil"/>
          <w:bar w:val="nil"/>
        </w:pBdr>
        <w:rPr>
          <w:rFonts w:asciiTheme="minorHAnsi" w:hAnsiTheme="minorHAnsi" w:cstheme="minorHAnsi"/>
          <w:sz w:val="24"/>
          <w:szCs w:val="24"/>
        </w:rPr>
      </w:pPr>
      <w:r w:rsidRPr="00351AB0">
        <w:rPr>
          <w:rStyle w:val="PageNumber"/>
          <w:rFonts w:asciiTheme="minorHAnsi" w:hAnsiTheme="minorHAnsi" w:cstheme="minorHAnsi"/>
          <w:sz w:val="24"/>
          <w:szCs w:val="24"/>
        </w:rPr>
        <w:t>Independent, unbiased and objective</w:t>
      </w:r>
    </w:p>
    <w:p w14:paraId="34905329" w14:textId="186D235D" w:rsidR="00351AB0" w:rsidRPr="00351AB0" w:rsidRDefault="00351AB0" w:rsidP="00351AB0">
      <w:pPr>
        <w:numPr>
          <w:ilvl w:val="0"/>
          <w:numId w:val="12"/>
        </w:numPr>
        <w:pBdr>
          <w:top w:val="nil"/>
          <w:left w:val="nil"/>
          <w:bottom w:val="nil"/>
          <w:right w:val="nil"/>
          <w:between w:val="nil"/>
          <w:bar w:val="nil"/>
        </w:pBdr>
        <w:rPr>
          <w:rFonts w:asciiTheme="minorHAnsi" w:hAnsiTheme="minorHAnsi" w:cstheme="minorHAnsi"/>
          <w:sz w:val="24"/>
          <w:szCs w:val="24"/>
        </w:rPr>
      </w:pPr>
      <w:r w:rsidRPr="00351AB0">
        <w:rPr>
          <w:rStyle w:val="PageNumber"/>
          <w:rFonts w:asciiTheme="minorHAnsi" w:hAnsiTheme="minorHAnsi" w:cstheme="minorHAnsi"/>
          <w:sz w:val="24"/>
          <w:szCs w:val="24"/>
        </w:rPr>
        <w:t xml:space="preserve">Open and Transparent, act in the </w:t>
      </w:r>
      <w:r w:rsidR="00EC2170" w:rsidRPr="00351AB0">
        <w:rPr>
          <w:rStyle w:val="PageNumber"/>
          <w:rFonts w:asciiTheme="minorHAnsi" w:hAnsiTheme="minorHAnsi" w:cstheme="minorHAnsi"/>
          <w:sz w:val="24"/>
          <w:szCs w:val="24"/>
        </w:rPr>
        <w:t>public</w:t>
      </w:r>
      <w:r w:rsidRPr="00351AB0">
        <w:rPr>
          <w:rStyle w:val="PageNumber"/>
          <w:rFonts w:asciiTheme="minorHAnsi" w:hAnsiTheme="minorHAnsi" w:cstheme="minorHAnsi"/>
          <w:sz w:val="24"/>
          <w:szCs w:val="24"/>
        </w:rPr>
        <w:t xml:space="preserve"> interest</w:t>
      </w:r>
    </w:p>
    <w:p w14:paraId="1FD31E8B" w14:textId="77777777" w:rsidR="00351AB0" w:rsidRPr="00351AB0" w:rsidRDefault="00351AB0" w:rsidP="00351AB0">
      <w:pPr>
        <w:numPr>
          <w:ilvl w:val="0"/>
          <w:numId w:val="12"/>
        </w:numPr>
        <w:pBdr>
          <w:top w:val="nil"/>
          <w:left w:val="nil"/>
          <w:bottom w:val="nil"/>
          <w:right w:val="nil"/>
          <w:between w:val="nil"/>
          <w:bar w:val="nil"/>
        </w:pBdr>
        <w:rPr>
          <w:rFonts w:asciiTheme="minorHAnsi" w:hAnsiTheme="minorHAnsi" w:cstheme="minorHAnsi"/>
          <w:sz w:val="24"/>
          <w:szCs w:val="24"/>
        </w:rPr>
      </w:pPr>
      <w:r w:rsidRPr="00351AB0">
        <w:rPr>
          <w:rStyle w:val="PageNumber"/>
          <w:rFonts w:asciiTheme="minorHAnsi" w:hAnsiTheme="minorHAnsi" w:cstheme="minorHAnsi"/>
          <w:sz w:val="24"/>
          <w:szCs w:val="24"/>
        </w:rPr>
        <w:t>Sensitive to the experience of all involved</w:t>
      </w:r>
    </w:p>
    <w:p w14:paraId="01477B63" w14:textId="77777777" w:rsidR="00351AB0" w:rsidRPr="00351AB0" w:rsidRDefault="00351AB0" w:rsidP="00351AB0">
      <w:pPr>
        <w:numPr>
          <w:ilvl w:val="0"/>
          <w:numId w:val="12"/>
        </w:numPr>
        <w:pBdr>
          <w:top w:val="nil"/>
          <w:left w:val="nil"/>
          <w:bottom w:val="nil"/>
          <w:right w:val="nil"/>
          <w:between w:val="nil"/>
          <w:bar w:val="nil"/>
        </w:pBdr>
        <w:rPr>
          <w:rFonts w:asciiTheme="minorHAnsi" w:hAnsiTheme="minorHAnsi" w:cstheme="minorHAnsi"/>
          <w:sz w:val="24"/>
          <w:szCs w:val="24"/>
        </w:rPr>
      </w:pPr>
      <w:r w:rsidRPr="00351AB0">
        <w:rPr>
          <w:rStyle w:val="PageNumber"/>
          <w:rFonts w:asciiTheme="minorHAnsi" w:hAnsiTheme="minorHAnsi" w:cstheme="minorHAnsi"/>
          <w:sz w:val="24"/>
          <w:szCs w:val="24"/>
        </w:rPr>
        <w:t xml:space="preserve">Thoroughness and Meticulous </w:t>
      </w:r>
    </w:p>
    <w:p w14:paraId="2E5543FB" w14:textId="5063D0F1" w:rsidR="00351AB0" w:rsidRDefault="00351AB0" w:rsidP="00351AB0">
      <w:pPr>
        <w:numPr>
          <w:ilvl w:val="0"/>
          <w:numId w:val="12"/>
        </w:numPr>
        <w:pBdr>
          <w:top w:val="nil"/>
          <w:left w:val="nil"/>
          <w:bottom w:val="nil"/>
          <w:right w:val="nil"/>
          <w:between w:val="nil"/>
          <w:bar w:val="nil"/>
        </w:pBdr>
        <w:rPr>
          <w:rStyle w:val="PageNumber"/>
          <w:rFonts w:asciiTheme="minorHAnsi" w:hAnsiTheme="minorHAnsi" w:cstheme="minorHAnsi"/>
          <w:sz w:val="24"/>
          <w:szCs w:val="24"/>
        </w:rPr>
      </w:pPr>
      <w:r w:rsidRPr="00351AB0">
        <w:rPr>
          <w:rStyle w:val="PageNumber"/>
          <w:rFonts w:asciiTheme="minorHAnsi" w:hAnsiTheme="minorHAnsi" w:cstheme="minorHAnsi"/>
          <w:sz w:val="24"/>
          <w:szCs w:val="24"/>
        </w:rPr>
        <w:t>Challenging and positioned to deliver change, where required.</w:t>
      </w:r>
    </w:p>
    <w:p w14:paraId="20539C13" w14:textId="4297354E" w:rsidR="00F7515A" w:rsidRDefault="00F7515A" w:rsidP="00F7515A">
      <w:pPr>
        <w:pBdr>
          <w:top w:val="nil"/>
          <w:left w:val="nil"/>
          <w:bottom w:val="nil"/>
          <w:right w:val="nil"/>
          <w:between w:val="nil"/>
          <w:bar w:val="nil"/>
        </w:pBdr>
        <w:rPr>
          <w:rStyle w:val="PageNumber"/>
          <w:rFonts w:asciiTheme="minorHAnsi" w:hAnsiTheme="minorHAnsi" w:cstheme="minorHAnsi"/>
          <w:sz w:val="24"/>
          <w:szCs w:val="24"/>
        </w:rPr>
      </w:pPr>
    </w:p>
    <w:p w14:paraId="3DE4D837" w14:textId="3F42E9D5" w:rsidR="00F7515A" w:rsidRPr="00351AB0" w:rsidRDefault="00F7515A" w:rsidP="00F7515A">
      <w:pPr>
        <w:pBdr>
          <w:top w:val="nil"/>
          <w:left w:val="nil"/>
          <w:bottom w:val="nil"/>
          <w:right w:val="nil"/>
          <w:between w:val="nil"/>
          <w:bar w:val="nil"/>
        </w:pBdr>
        <w:rPr>
          <w:rFonts w:asciiTheme="minorHAnsi" w:hAnsiTheme="minorHAnsi" w:cstheme="minorHAnsi"/>
          <w:sz w:val="24"/>
          <w:szCs w:val="24"/>
        </w:rPr>
      </w:pPr>
      <w:r>
        <w:rPr>
          <w:rFonts w:asciiTheme="minorHAnsi" w:hAnsiTheme="minorHAnsi" w:cstheme="minorHAnsi"/>
          <w:sz w:val="24"/>
          <w:szCs w:val="24"/>
        </w:rPr>
        <w:lastRenderedPageBreak/>
        <w:t xml:space="preserve">The independent author will be expected to complete and comply with the Terms set out in the </w:t>
      </w:r>
      <w:r w:rsidR="00B85AEA">
        <w:rPr>
          <w:rFonts w:asciiTheme="minorHAnsi" w:hAnsiTheme="minorHAnsi" w:cstheme="minorHAnsi"/>
          <w:sz w:val="24"/>
          <w:szCs w:val="24"/>
        </w:rPr>
        <w:t>DHR/</w:t>
      </w:r>
      <w:r>
        <w:rPr>
          <w:rFonts w:asciiTheme="minorHAnsi" w:hAnsiTheme="minorHAnsi" w:cstheme="minorHAnsi"/>
          <w:sz w:val="24"/>
          <w:szCs w:val="24"/>
        </w:rPr>
        <w:t xml:space="preserve">SAR author Service level agreement (SLA) specification. </w:t>
      </w:r>
    </w:p>
    <w:p w14:paraId="181DC4CF" w14:textId="77777777" w:rsidR="00351AB0" w:rsidRDefault="00351AB0" w:rsidP="00351AB0">
      <w:pPr>
        <w:rPr>
          <w:rFonts w:ascii="Arial" w:eastAsia="Arial" w:hAnsi="Arial" w:cs="Arial"/>
          <w:b/>
          <w:bCs/>
        </w:rPr>
      </w:pPr>
    </w:p>
    <w:p w14:paraId="345BB9A9" w14:textId="7FD1B834" w:rsidR="00DF2D75" w:rsidRDefault="00DF2D75" w:rsidP="00E071B5">
      <w:pPr>
        <w:rPr>
          <w:rFonts w:asciiTheme="minorHAnsi" w:hAnsiTheme="minorHAnsi" w:cstheme="minorHAnsi"/>
          <w:b/>
          <w:bCs/>
          <w:sz w:val="24"/>
          <w:szCs w:val="24"/>
          <w:u w:val="single"/>
          <w:lang w:val="en"/>
        </w:rPr>
      </w:pPr>
      <w:r w:rsidRPr="00F7515A">
        <w:rPr>
          <w:rFonts w:asciiTheme="minorHAnsi" w:hAnsiTheme="minorHAnsi" w:cstheme="minorHAnsi"/>
          <w:b/>
          <w:bCs/>
          <w:sz w:val="24"/>
          <w:szCs w:val="24"/>
          <w:u w:val="single"/>
        </w:rPr>
        <w:t>4.</w:t>
      </w:r>
      <w:r w:rsidRPr="00F7515A">
        <w:rPr>
          <w:rFonts w:asciiTheme="minorHAnsi" w:hAnsiTheme="minorHAnsi" w:cstheme="minorHAnsi"/>
          <w:b/>
          <w:bCs/>
          <w:sz w:val="24"/>
          <w:szCs w:val="24"/>
          <w:u w:val="single"/>
          <w:lang w:val="en"/>
        </w:rPr>
        <w:t xml:space="preserve"> Statement of Requirements</w:t>
      </w:r>
      <w:r w:rsidR="00351AB0" w:rsidRPr="00F7515A">
        <w:rPr>
          <w:rFonts w:asciiTheme="minorHAnsi" w:hAnsiTheme="minorHAnsi" w:cstheme="minorHAnsi"/>
          <w:b/>
          <w:bCs/>
          <w:sz w:val="24"/>
          <w:szCs w:val="24"/>
          <w:u w:val="single"/>
          <w:lang w:val="en"/>
        </w:rPr>
        <w:t>:</w:t>
      </w:r>
    </w:p>
    <w:p w14:paraId="2B94A1BF" w14:textId="000DE3CC" w:rsidR="00831FBB" w:rsidRDefault="00831FBB" w:rsidP="00E071B5">
      <w:pPr>
        <w:rPr>
          <w:rFonts w:asciiTheme="minorHAnsi" w:hAnsiTheme="minorHAnsi" w:cstheme="minorHAnsi"/>
          <w:b/>
          <w:bCs/>
          <w:sz w:val="24"/>
          <w:szCs w:val="24"/>
          <w:u w:val="single"/>
          <w:lang w:val="en"/>
        </w:rPr>
      </w:pPr>
    </w:p>
    <w:p w14:paraId="0F2FF150" w14:textId="3B7AF572" w:rsidR="00831FBB" w:rsidRDefault="00831FBB" w:rsidP="00831FBB">
      <w:pPr>
        <w:pBdr>
          <w:top w:val="nil"/>
          <w:left w:val="nil"/>
          <w:bottom w:val="nil"/>
          <w:right w:val="nil"/>
          <w:between w:val="nil"/>
          <w:bar w:val="nil"/>
        </w:pBdr>
        <w:ind w:left="720" w:hanging="720"/>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Following a decision by the safeguarding adult review (SAR) subgroup and</w:t>
      </w:r>
      <w:r>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independen</w:t>
      </w:r>
      <w:r>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t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chair to undertake a SAR the CIOS SAB will commission an </w:t>
      </w:r>
      <w:r w:rsidR="00EC2170"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independent</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 author to manage the process.  The Independent author should not be involved in the </w:t>
      </w:r>
      <w:r w:rsidR="00880F48">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DHR/</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SAR or an employee of any of the agencies involved in the </w:t>
      </w:r>
      <w:r w:rsidR="00880F48">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DHR/</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SAR. The author can be someone from another </w:t>
      </w:r>
      <w:r w:rsidR="00880F48">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SPB</w:t>
      </w:r>
      <w:r w:rsidR="00CF114A">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SAB which is not involved in the </w:t>
      </w:r>
      <w:r w:rsidR="00880F48">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DHR/</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SAR or from an agency which is not involved in the case or an independent person considered to be suitable and commissioned by the </w:t>
      </w:r>
      <w:r w:rsidR="00CF114A">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SCPB/</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CIOS SAB. The independent author and review process will be supported by the </w:t>
      </w:r>
      <w:r w:rsidR="00CF114A">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DHR implementation Lead </w:t>
      </w:r>
      <w:r w:rsidR="009D186A">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and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SAB Safeguarding adult reviews and Development manager.</w:t>
      </w:r>
    </w:p>
    <w:p w14:paraId="51DE7576" w14:textId="77777777" w:rsidR="00831FBB" w:rsidRDefault="00831FBB" w:rsidP="00831FBB">
      <w:pPr>
        <w:pBdr>
          <w:top w:val="nil"/>
          <w:left w:val="nil"/>
          <w:bottom w:val="nil"/>
          <w:right w:val="nil"/>
          <w:between w:val="nil"/>
          <w:bar w:val="nil"/>
        </w:pBdr>
        <w:jc w:val="both"/>
        <w:rPr>
          <w:rFonts w:ascii="Verdana" w:eastAsia="Arial Unicode MS" w:hAnsi="Verdana" w:cs="Arial Unicode MS"/>
          <w:b/>
          <w:bCs/>
          <w:color w:val="000000"/>
          <w:u w:color="000000"/>
          <w:bdr w:val="nil"/>
          <w:lang w:val="en-US" w:eastAsia="en-GB"/>
          <w14:textOutline w14:w="0" w14:cap="flat" w14:cmpd="sng" w14:algn="ctr">
            <w14:noFill/>
            <w14:prstDash w14:val="solid"/>
            <w14:bevel/>
          </w14:textOutline>
        </w:rPr>
      </w:pPr>
    </w:p>
    <w:p w14:paraId="52C99620" w14:textId="6D82E6D5" w:rsidR="00831FBB" w:rsidRPr="00831FBB" w:rsidRDefault="00831FBB" w:rsidP="00831FBB">
      <w:pPr>
        <w:pBdr>
          <w:top w:val="nil"/>
          <w:left w:val="nil"/>
          <w:bottom w:val="nil"/>
          <w:right w:val="nil"/>
          <w:between w:val="nil"/>
          <w:bar w:val="nil"/>
        </w:pBdr>
        <w:jc w:val="both"/>
        <w:rPr>
          <w:rFonts w:asciiTheme="minorHAnsi" w:eastAsia="Verdana" w:hAnsiTheme="minorHAnsi" w:cstheme="minorHAnsi"/>
          <w:b/>
          <w:bCs/>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b/>
          <w:bCs/>
          <w:color w:val="000000"/>
          <w:sz w:val="24"/>
          <w:szCs w:val="24"/>
          <w:u w:color="000000"/>
          <w:bdr w:val="nil"/>
          <w:lang w:val="en-US" w:eastAsia="en-GB"/>
          <w14:textOutline w14:w="0" w14:cap="flat" w14:cmpd="sng" w14:algn="ctr">
            <w14:noFill/>
            <w14:prstDash w14:val="solid"/>
            <w14:bevel/>
          </w14:textOutline>
        </w:rPr>
        <w:t>MAIN DUTIES AND RESPONSIBILITIES</w:t>
      </w:r>
    </w:p>
    <w:p w14:paraId="1A913CB8" w14:textId="55D1562B" w:rsidR="00831FBB" w:rsidRPr="00831FBB" w:rsidRDefault="00831FBB" w:rsidP="00831FBB">
      <w:pPr>
        <w:pStyle w:val="ListParagraph"/>
        <w:numPr>
          <w:ilvl w:val="0"/>
          <w:numId w:val="9"/>
        </w:numPr>
        <w:pBdr>
          <w:top w:val="nil"/>
          <w:left w:val="nil"/>
          <w:bottom w:val="nil"/>
          <w:right w:val="nil"/>
          <w:between w:val="nil"/>
          <w:bar w:val="nil"/>
        </w:pBdr>
        <w:spacing w:line="276" w:lineRule="auto"/>
        <w:jc w:val="both"/>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To lead </w:t>
      </w:r>
      <w:r w:rsidR="009D186A">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the joint Domestic Homicide review/</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Safeguarding adult Reviews in accordance with the </w:t>
      </w:r>
      <w:r w:rsidR="00E570E5">
        <w:rPr>
          <w:rFonts w:asciiTheme="minorHAnsi" w:hAnsiTheme="minorHAnsi" w:cstheme="minorHAnsi"/>
          <w:sz w:val="24"/>
          <w:szCs w:val="24"/>
        </w:rPr>
        <w:t xml:space="preserve">Statutory guidance for the conduct of Domestic Homicide reviews 2016 and the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Care Act 2014, the CIOS local SAR procedure and SCIE national quality SAR markers. </w:t>
      </w:r>
    </w:p>
    <w:p w14:paraId="50D31252" w14:textId="003E6CBF"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To provide the independent perspective to the work of the Review and ensure that the process remains within those set out in national and local guidance.</w:t>
      </w:r>
    </w:p>
    <w:p w14:paraId="4C72A576" w14:textId="18E34141"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To ensure the Review actively manages the </w:t>
      </w:r>
      <w:r w:rsidR="00C23BFC">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DHR/</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SAR process, seeking legal advice as necessary, so that the findings from other relevant processes such as criminal proceedings, an inquest or inquiry/investigation are managed alongside the </w:t>
      </w:r>
      <w:r w:rsidR="00C23BFC">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DHR/</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SAR report.</w:t>
      </w:r>
    </w:p>
    <w:p w14:paraId="65427941" w14:textId="696A7F14"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To use the knowledge and experience of the </w:t>
      </w:r>
      <w:r w:rsidR="00C23BFC">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DHR</w:t>
      </w:r>
      <w:r w:rsidR="001E751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 panel and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SAR subgroup members to coproduce and establish the Key lines of enquiry (KLOE) and terms of reference for the review. </w:t>
      </w:r>
    </w:p>
    <w:p w14:paraId="4232A734" w14:textId="392CA4EF"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To ensure that the </w:t>
      </w:r>
      <w:r w:rsidR="001E751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SCPB chair and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CIOS SAB independent Chair and </w:t>
      </w:r>
      <w:r w:rsidR="00BF2D48">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DHR/</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SAR </w:t>
      </w:r>
      <w:r w:rsidR="00BF2D48">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panel members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are kept informed of the progress of the Review and any potential difficulties or delays in meeting the locally agreed timescales.</w:t>
      </w:r>
    </w:p>
    <w:p w14:paraId="2C4541A5" w14:textId="51E80EB6"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To maintain good working relationships with all those involved in the safeguarding adult review process.</w:t>
      </w:r>
    </w:p>
    <w:p w14:paraId="77F422EA" w14:textId="1E4852A0"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To ensure that a process is developed for relevant family members/friends and employers/colleagues to be consulted as part of the Review process and to undertake that role on behalf of the Review.  Any decision not to involve family members will need to be recorded clearly detailing the appropriate decision-making process.</w:t>
      </w:r>
    </w:p>
    <w:p w14:paraId="6BEC7240" w14:textId="3B10CE38"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To ensure that contributing organizations and individuals are satisfied that their information is fully and fairly represented in the overview report.</w:t>
      </w:r>
    </w:p>
    <w:p w14:paraId="68E7FC35" w14:textId="32C8DCF5"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To ensure that the overview report is of a sufficiently high standard and is written in a format suitable for publication.</w:t>
      </w:r>
    </w:p>
    <w:p w14:paraId="26C359F1" w14:textId="64727CFB" w:rsidR="00831FBB" w:rsidRPr="00831FBB" w:rsidRDefault="00831FBB" w:rsidP="00831FBB">
      <w:pPr>
        <w:pStyle w:val="ListParagraph"/>
        <w:numPr>
          <w:ilvl w:val="0"/>
          <w:numId w:val="9"/>
        </w:numPr>
        <w:pBdr>
          <w:top w:val="nil"/>
          <w:left w:val="nil"/>
          <w:bottom w:val="nil"/>
          <w:right w:val="nil"/>
          <w:between w:val="nil"/>
          <w:bar w:val="nil"/>
        </w:pBdr>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lastRenderedPageBreak/>
        <w:t xml:space="preserve">If there is disagreement around the contents and/or recommendations of the Overview Report, the </w:t>
      </w:r>
      <w:r w:rsidR="00014A16">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SCPB Chair,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CIOS SAB independent Chair and </w:t>
      </w:r>
      <w:r w:rsidR="00014A16">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joint DHR/</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SAR </w:t>
      </w:r>
      <w:r w:rsidR="00014A16">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panel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must be consulted.</w:t>
      </w:r>
    </w:p>
    <w:p w14:paraId="2F5E407A" w14:textId="03420BD9"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With the</w:t>
      </w:r>
      <w:r w:rsidR="00F60DD4">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 joint DHR/SAR panel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members translate findings and recommendations into an action plan that should be signed up to by the senior manager in each of the organizations which will be involved in implementing the action plan. The plan should set out who will do what, by when, with what intended outcome and how success will be measured. The plan should set out the means by which improvements in practice/systems will be monitored and reviewed by the </w:t>
      </w:r>
      <w:r w:rsidR="008A0BB0">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SCPB action plan subgroup and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CIOS SAB quality </w:t>
      </w:r>
      <w:r w:rsidR="008A0BB0">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assurance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subgroup and will consider the local ongoing actions from previous SARs detailed in the CIOS SAB joint thematic action plan template and process.</w:t>
      </w:r>
    </w:p>
    <w:p w14:paraId="4DDC5E90" w14:textId="455A159A"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Ensure arrangements are made to provide feedback and debriefing to the family members/carers of the subject person as appropriate, following completion of the overview report.</w:t>
      </w:r>
    </w:p>
    <w:p w14:paraId="1A2496C7" w14:textId="69640231"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To attend relevant board meetings as required in order to present the work of the </w:t>
      </w:r>
      <w:r w:rsidR="00F9605C">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DHR/</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SAR subgroup, in particular identifying key findings and recommendations for action.</w:t>
      </w:r>
    </w:p>
    <w:p w14:paraId="08B90951" w14:textId="3FADE349" w:rsidR="00831FBB" w:rsidRPr="00831FBB" w:rsidRDefault="00831FBB" w:rsidP="00831FBB">
      <w:pPr>
        <w:pStyle w:val="ListParagraph"/>
        <w:numPr>
          <w:ilvl w:val="0"/>
          <w:numId w:val="9"/>
        </w:numPr>
        <w:pBdr>
          <w:top w:val="nil"/>
          <w:left w:val="nil"/>
          <w:bottom w:val="nil"/>
          <w:right w:val="nil"/>
          <w:between w:val="nil"/>
          <w:bar w:val="nil"/>
        </w:pBdr>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Ensure consent is sought from those involved in the review, and information sharing frameworks are put in place as appropriate.</w:t>
      </w:r>
    </w:p>
    <w:p w14:paraId="3DA724AB" w14:textId="77777777" w:rsidR="00831FBB" w:rsidRPr="00831FBB" w:rsidRDefault="00831FBB" w:rsidP="00831FBB">
      <w:pPr>
        <w:pBdr>
          <w:top w:val="nil"/>
          <w:left w:val="nil"/>
          <w:bottom w:val="nil"/>
          <w:right w:val="nil"/>
          <w:between w:val="nil"/>
          <w:bar w:val="nil"/>
        </w:pBdr>
        <w:ind w:left="720" w:hanging="720"/>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p>
    <w:p w14:paraId="14527DD2" w14:textId="7BD5574F" w:rsidR="00831FBB" w:rsidRPr="00831FBB" w:rsidRDefault="00831FBB" w:rsidP="00831FBB">
      <w:pPr>
        <w:pBdr>
          <w:top w:val="nil"/>
          <w:left w:val="nil"/>
          <w:bottom w:val="nil"/>
          <w:right w:val="nil"/>
          <w:between w:val="nil"/>
          <w:bar w:val="nil"/>
        </w:pBdr>
        <w:jc w:val="both"/>
        <w:rPr>
          <w:rFonts w:asciiTheme="minorHAnsi" w:eastAsia="Verdana" w:hAnsiTheme="minorHAnsi" w:cstheme="minorHAnsi"/>
          <w:color w:val="000000"/>
          <w:sz w:val="24"/>
          <w:szCs w:val="24"/>
          <w:u w:color="000000"/>
          <w:bdr w:val="nil"/>
          <w:lang w:val="en-US" w:eastAsia="en-GB"/>
          <w14:textOutline w14:w="0" w14:cap="flat" w14:cmpd="sng" w14:algn="ctr">
            <w14:noFill/>
            <w14:prstDash w14:val="solid"/>
            <w14:bevel/>
          </w14:textOutline>
        </w:rPr>
      </w:pP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The </w:t>
      </w:r>
      <w:bookmarkStart w:id="0" w:name="_Hlk93655191"/>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Independent author </w:t>
      </w:r>
      <w:bookmarkEnd w:id="0"/>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will be responsible to the </w:t>
      </w:r>
      <w:r w:rsidR="005F731E">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SCPB and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CIOS SAB who discharge their duties through the </w:t>
      </w:r>
      <w:r w:rsidR="005F731E">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DHR review panel,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Safeguarding adult review (SAR) subgroup</w:t>
      </w:r>
      <w:r w:rsidR="008665CC">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the </w:t>
      </w:r>
      <w:r w:rsidR="008665CC">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 xml:space="preserve">DHR Implementation led and </w:t>
      </w:r>
      <w:r w:rsidRPr="00831FBB">
        <w:rPr>
          <w:rFonts w:asciiTheme="minorHAnsi" w:eastAsia="Arial Unicode MS" w:hAnsiTheme="minorHAnsi" w:cstheme="minorHAnsi"/>
          <w:color w:val="000000"/>
          <w:sz w:val="24"/>
          <w:szCs w:val="24"/>
          <w:u w:color="000000"/>
          <w:bdr w:val="nil"/>
          <w:lang w:val="en-US" w:eastAsia="en-GB"/>
          <w14:textOutline w14:w="0" w14:cap="flat" w14:cmpd="sng" w14:algn="ctr">
            <w14:noFill/>
            <w14:prstDash w14:val="solid"/>
            <w14:bevel/>
          </w14:textOutline>
        </w:rPr>
        <w:t>Safeguarding adult reviews and Development Manager.</w:t>
      </w:r>
    </w:p>
    <w:p w14:paraId="4DB7301E" w14:textId="07BDC299" w:rsidR="00DF2D75" w:rsidRPr="00DF2D75" w:rsidRDefault="00DF2D75" w:rsidP="00E071B5">
      <w:pPr>
        <w:rPr>
          <w:rFonts w:asciiTheme="minorHAnsi" w:hAnsiTheme="minorHAnsi" w:cstheme="minorHAnsi"/>
          <w:sz w:val="24"/>
          <w:szCs w:val="24"/>
          <w:lang w:val="en"/>
        </w:rPr>
      </w:pPr>
    </w:p>
    <w:p w14:paraId="2F3538FD" w14:textId="5122583C" w:rsidR="00DF2D75" w:rsidRDefault="00DF2D75" w:rsidP="00DF2D75">
      <w:pPr>
        <w:pStyle w:val="Heading1"/>
        <w:spacing w:before="120" w:after="120" w:line="360" w:lineRule="auto"/>
        <w:rPr>
          <w:rFonts w:asciiTheme="minorHAnsi" w:hAnsiTheme="minorHAnsi" w:cstheme="minorHAnsi"/>
          <w:color w:val="auto"/>
          <w:sz w:val="24"/>
          <w:szCs w:val="24"/>
          <w:u w:val="single"/>
        </w:rPr>
      </w:pPr>
      <w:r w:rsidRPr="00831FBB">
        <w:rPr>
          <w:rFonts w:asciiTheme="minorHAnsi" w:hAnsiTheme="minorHAnsi" w:cstheme="minorHAnsi"/>
          <w:color w:val="auto"/>
          <w:sz w:val="24"/>
          <w:szCs w:val="24"/>
          <w:u w:val="single"/>
        </w:rPr>
        <w:t>5. Quality Requirements (Evaluation Criteria)</w:t>
      </w:r>
      <w:r w:rsidR="00831FBB">
        <w:rPr>
          <w:rFonts w:asciiTheme="minorHAnsi" w:hAnsiTheme="minorHAnsi" w:cstheme="minorHAnsi"/>
          <w:color w:val="auto"/>
          <w:sz w:val="24"/>
          <w:szCs w:val="24"/>
          <w:u w:val="singl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B1E80" w:rsidRPr="00274F64" w14:paraId="7C1CA597" w14:textId="77777777" w:rsidTr="007D3765">
        <w:trPr>
          <w:trHeight w:val="463"/>
        </w:trPr>
        <w:tc>
          <w:tcPr>
            <w:tcW w:w="9322" w:type="dxa"/>
            <w:shd w:val="clear" w:color="auto" w:fill="B4C6E7" w:themeFill="accent1" w:themeFillTint="66"/>
          </w:tcPr>
          <w:p w14:paraId="5A3C7EA9" w14:textId="77777777" w:rsidR="003B1E80" w:rsidRPr="00E95283" w:rsidRDefault="003B1E80" w:rsidP="007D3765">
            <w:r>
              <w:rPr>
                <w:b/>
                <w:bCs/>
              </w:rPr>
              <w:t>I</w:t>
            </w:r>
            <w:r w:rsidRPr="00E95283">
              <w:rPr>
                <w:b/>
                <w:bCs/>
              </w:rPr>
              <w:t>ndependence Statement: Have you previously been employed by any agency working in Cornwall &amp; The Isles of Scilly including</w:t>
            </w:r>
            <w:r>
              <w:rPr>
                <w:b/>
                <w:bCs/>
              </w:rPr>
              <w:t xml:space="preserve"> Devon &amp; Cornwall</w:t>
            </w:r>
            <w:r w:rsidRPr="00E95283">
              <w:rPr>
                <w:b/>
                <w:bCs/>
              </w:rPr>
              <w:t xml:space="preserve"> Police, Cornwall Council, Council of the Isles of Scilly, NHS Cornwall and Isles of Scilly Integrated Care Board </w:t>
            </w:r>
            <w:r w:rsidRPr="00E95283">
              <w:t>(</w:t>
            </w:r>
            <w:r w:rsidRPr="00E95283">
              <w:rPr>
                <w:b/>
                <w:bCs/>
              </w:rPr>
              <w:t>ICB) or any other agencies that could potentially lead to a ‘conflict of interest’.</w:t>
            </w:r>
          </w:p>
          <w:p w14:paraId="5DD3F58E" w14:textId="77777777" w:rsidR="003B1E80" w:rsidRPr="00274F64" w:rsidRDefault="003B1E80" w:rsidP="007D3765">
            <w:pPr>
              <w:pStyle w:val="ListParagraph"/>
              <w:rPr>
                <w:bCs/>
              </w:rPr>
            </w:pPr>
          </w:p>
          <w:p w14:paraId="27803276" w14:textId="29C1185F" w:rsidR="003B1E80" w:rsidRPr="00274F64" w:rsidRDefault="003B1E80" w:rsidP="007D3765">
            <w:pPr>
              <w:spacing w:after="200"/>
              <w:rPr>
                <w:b/>
                <w:bCs/>
              </w:rPr>
            </w:pPr>
            <w:r w:rsidRPr="00974504">
              <w:rPr>
                <w:b/>
                <w:bCs/>
                <w:highlight w:val="yellow"/>
              </w:rPr>
              <w:t>PLEASE NOTE: If you are unable to demonstrate your independence, you will unfortunately be unable to be considered for the role of Chair/Author for this Review.</w:t>
            </w:r>
          </w:p>
        </w:tc>
      </w:tr>
      <w:tr w:rsidR="003B1E80" w:rsidRPr="00274F64" w14:paraId="04E0C25C" w14:textId="77777777" w:rsidTr="007D3765">
        <w:trPr>
          <w:trHeight w:val="463"/>
        </w:trPr>
        <w:tc>
          <w:tcPr>
            <w:tcW w:w="9322" w:type="dxa"/>
            <w:shd w:val="clear" w:color="auto" w:fill="auto"/>
          </w:tcPr>
          <w:p w14:paraId="0781887C" w14:textId="77777777" w:rsidR="003B1E80" w:rsidRDefault="003B1E80" w:rsidP="007D3765">
            <w:pPr>
              <w:spacing w:after="200"/>
              <w:rPr>
                <w:b/>
                <w:bCs/>
              </w:rPr>
            </w:pPr>
          </w:p>
          <w:p w14:paraId="4067EEB9" w14:textId="77777777" w:rsidR="00DA4757" w:rsidRDefault="00DA4757" w:rsidP="007D3765">
            <w:pPr>
              <w:spacing w:after="200"/>
              <w:rPr>
                <w:b/>
                <w:bCs/>
              </w:rPr>
            </w:pPr>
          </w:p>
          <w:p w14:paraId="5D46FF05" w14:textId="77777777" w:rsidR="00017211" w:rsidRDefault="00017211" w:rsidP="007D3765">
            <w:pPr>
              <w:spacing w:after="200"/>
              <w:rPr>
                <w:b/>
                <w:bCs/>
              </w:rPr>
            </w:pPr>
          </w:p>
          <w:p w14:paraId="5F995EFD" w14:textId="77777777" w:rsidR="00017211" w:rsidRDefault="00017211" w:rsidP="007D3765">
            <w:pPr>
              <w:spacing w:after="200"/>
              <w:rPr>
                <w:b/>
                <w:bCs/>
              </w:rPr>
            </w:pPr>
          </w:p>
          <w:p w14:paraId="36DE2FE9" w14:textId="07B255FC" w:rsidR="00017211" w:rsidRPr="00274F64" w:rsidRDefault="00017211" w:rsidP="007D3765">
            <w:pPr>
              <w:spacing w:after="200"/>
              <w:rPr>
                <w:b/>
                <w:bCs/>
              </w:rPr>
            </w:pPr>
          </w:p>
        </w:tc>
      </w:tr>
      <w:tr w:rsidR="003B1E80" w:rsidRPr="00274F64" w14:paraId="6167A411" w14:textId="77777777" w:rsidTr="007D3765">
        <w:trPr>
          <w:trHeight w:val="463"/>
        </w:trPr>
        <w:tc>
          <w:tcPr>
            <w:tcW w:w="9322" w:type="dxa"/>
            <w:shd w:val="clear" w:color="auto" w:fill="B4C6E7" w:themeFill="accent1" w:themeFillTint="66"/>
          </w:tcPr>
          <w:p w14:paraId="3D8CE630" w14:textId="77777777" w:rsidR="003B1E80" w:rsidRPr="00274F64" w:rsidRDefault="003B1E80" w:rsidP="003B1E80">
            <w:pPr>
              <w:numPr>
                <w:ilvl w:val="0"/>
                <w:numId w:val="13"/>
              </w:numPr>
              <w:spacing w:after="200"/>
              <w:rPr>
                <w:bCs/>
              </w:rPr>
            </w:pPr>
            <w:r w:rsidRPr="00274F64">
              <w:rPr>
                <w:b/>
                <w:bCs/>
              </w:rPr>
              <w:lastRenderedPageBreak/>
              <w:t xml:space="preserve">Applicant’s name and contact details. </w:t>
            </w:r>
          </w:p>
        </w:tc>
      </w:tr>
      <w:tr w:rsidR="003B1E80" w:rsidRPr="00274F64" w14:paraId="46A658CE" w14:textId="77777777" w:rsidTr="00DA4757">
        <w:trPr>
          <w:trHeight w:val="644"/>
        </w:trPr>
        <w:tc>
          <w:tcPr>
            <w:tcW w:w="9322" w:type="dxa"/>
            <w:shd w:val="clear" w:color="auto" w:fill="auto"/>
          </w:tcPr>
          <w:p w14:paraId="01A3768E" w14:textId="77777777" w:rsidR="003B1E80" w:rsidRDefault="003B1E80" w:rsidP="007D3765">
            <w:pPr>
              <w:spacing w:after="160" w:line="259" w:lineRule="auto"/>
              <w:rPr>
                <w:b/>
                <w:bCs/>
              </w:rPr>
            </w:pPr>
          </w:p>
          <w:p w14:paraId="00562C90" w14:textId="77777777" w:rsidR="00CF1FF4" w:rsidRDefault="00CF1FF4" w:rsidP="007D3765">
            <w:pPr>
              <w:spacing w:after="160" w:line="259" w:lineRule="auto"/>
              <w:rPr>
                <w:b/>
                <w:bCs/>
              </w:rPr>
            </w:pPr>
          </w:p>
          <w:p w14:paraId="307654F7" w14:textId="0A9D12CA" w:rsidR="00CF1FF4" w:rsidRPr="00274F64" w:rsidRDefault="00CF1FF4" w:rsidP="007D3765">
            <w:pPr>
              <w:spacing w:after="160" w:line="259" w:lineRule="auto"/>
              <w:rPr>
                <w:b/>
                <w:bCs/>
              </w:rPr>
            </w:pPr>
          </w:p>
        </w:tc>
      </w:tr>
    </w:tbl>
    <w:tbl>
      <w:tblPr>
        <w:tblpPr w:leftFromText="180" w:rightFromText="180" w:vertAnchor="text" w:horzAnchor="margin" w:tblpY="5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5"/>
        <w:gridCol w:w="1276"/>
      </w:tblGrid>
      <w:tr w:rsidR="00DB3329" w:rsidRPr="00274F64" w14:paraId="0CCD760E" w14:textId="77777777" w:rsidTr="007D3765">
        <w:trPr>
          <w:trHeight w:val="454"/>
        </w:trPr>
        <w:tc>
          <w:tcPr>
            <w:tcW w:w="8075" w:type="dxa"/>
            <w:shd w:val="clear" w:color="auto" w:fill="B4C6E7" w:themeFill="accent1" w:themeFillTint="66"/>
          </w:tcPr>
          <w:p w14:paraId="1CD81D11" w14:textId="77777777" w:rsidR="00DB3329" w:rsidRPr="00274F64" w:rsidRDefault="00DB3329" w:rsidP="00DB3329">
            <w:pPr>
              <w:numPr>
                <w:ilvl w:val="0"/>
                <w:numId w:val="13"/>
              </w:numPr>
              <w:spacing w:after="200"/>
              <w:rPr>
                <w:b/>
              </w:rPr>
            </w:pPr>
            <w:r w:rsidRPr="00274F64">
              <w:rPr>
                <w:b/>
                <w:bCs/>
              </w:rPr>
              <w:t xml:space="preserve">Relevant qualifications   </w:t>
            </w:r>
          </w:p>
        </w:tc>
        <w:tc>
          <w:tcPr>
            <w:tcW w:w="1276" w:type="dxa"/>
            <w:shd w:val="clear" w:color="auto" w:fill="B4C6E7" w:themeFill="accent1" w:themeFillTint="66"/>
          </w:tcPr>
          <w:p w14:paraId="29DFE128" w14:textId="77777777" w:rsidR="00DB3329" w:rsidRPr="00274F64" w:rsidRDefault="00DB3329" w:rsidP="007D3765">
            <w:pPr>
              <w:spacing w:after="200"/>
              <w:rPr>
                <w:b/>
                <w:bCs/>
              </w:rPr>
            </w:pPr>
            <w:r>
              <w:rPr>
                <w:b/>
                <w:bCs/>
              </w:rPr>
              <w:t xml:space="preserve">5 points: </w:t>
            </w:r>
          </w:p>
        </w:tc>
      </w:tr>
      <w:tr w:rsidR="00DB3329" w:rsidRPr="00274F64" w14:paraId="4D119F93" w14:textId="77777777" w:rsidTr="007D3765">
        <w:trPr>
          <w:trHeight w:val="416"/>
        </w:trPr>
        <w:tc>
          <w:tcPr>
            <w:tcW w:w="8075" w:type="dxa"/>
            <w:tcBorders>
              <w:bottom w:val="single" w:sz="4" w:space="0" w:color="auto"/>
            </w:tcBorders>
          </w:tcPr>
          <w:p w14:paraId="4136A53E" w14:textId="77777777" w:rsidR="00DB3329" w:rsidRDefault="00DB3329" w:rsidP="007D3765">
            <w:pPr>
              <w:rPr>
                <w:bCs/>
              </w:rPr>
            </w:pPr>
            <w:r w:rsidRPr="00971FC7">
              <w:rPr>
                <w:bCs/>
              </w:rPr>
              <w:t xml:space="preserve">(no more than </w:t>
            </w:r>
            <w:r>
              <w:rPr>
                <w:bCs/>
              </w:rPr>
              <w:t>500</w:t>
            </w:r>
            <w:r w:rsidRPr="00971FC7">
              <w:rPr>
                <w:bCs/>
              </w:rPr>
              <w:t xml:space="preserve"> words)</w:t>
            </w:r>
          </w:p>
          <w:p w14:paraId="686E112A" w14:textId="77777777" w:rsidR="00DB3329" w:rsidRDefault="00DB3329" w:rsidP="007D3765">
            <w:pPr>
              <w:rPr>
                <w:bCs/>
              </w:rPr>
            </w:pPr>
          </w:p>
          <w:p w14:paraId="7B0F3EFE" w14:textId="77777777" w:rsidR="00DB3329" w:rsidRDefault="00DB3329" w:rsidP="007D3765">
            <w:pPr>
              <w:spacing w:after="160" w:line="259" w:lineRule="auto"/>
              <w:rPr>
                <w:bCs/>
              </w:rPr>
            </w:pPr>
            <w:r>
              <w:rPr>
                <w:bCs/>
              </w:rPr>
              <w:t xml:space="preserve"> </w:t>
            </w:r>
          </w:p>
          <w:p w14:paraId="3459262B" w14:textId="77777777" w:rsidR="00DA4757" w:rsidRDefault="00DA4757" w:rsidP="007D3765">
            <w:pPr>
              <w:spacing w:after="160" w:line="259" w:lineRule="auto"/>
              <w:rPr>
                <w:bCs/>
              </w:rPr>
            </w:pPr>
          </w:p>
          <w:p w14:paraId="0FF9DBF4" w14:textId="77777777" w:rsidR="00DA4757" w:rsidRDefault="00DA4757" w:rsidP="007D3765">
            <w:pPr>
              <w:spacing w:after="160" w:line="259" w:lineRule="auto"/>
              <w:rPr>
                <w:bCs/>
              </w:rPr>
            </w:pPr>
          </w:p>
          <w:p w14:paraId="324CDEAF" w14:textId="77777777" w:rsidR="00DA4757" w:rsidRDefault="00DA4757" w:rsidP="007D3765">
            <w:pPr>
              <w:spacing w:after="160" w:line="259" w:lineRule="auto"/>
              <w:rPr>
                <w:bCs/>
              </w:rPr>
            </w:pPr>
          </w:p>
          <w:p w14:paraId="4BBD0DF6" w14:textId="4A07B584" w:rsidR="00DA4757" w:rsidRPr="00274F64" w:rsidRDefault="00DA4757" w:rsidP="007D3765">
            <w:pPr>
              <w:spacing w:after="160" w:line="259" w:lineRule="auto"/>
              <w:rPr>
                <w:bCs/>
              </w:rPr>
            </w:pPr>
          </w:p>
        </w:tc>
        <w:tc>
          <w:tcPr>
            <w:tcW w:w="1276" w:type="dxa"/>
            <w:tcBorders>
              <w:bottom w:val="single" w:sz="4" w:space="0" w:color="auto"/>
            </w:tcBorders>
            <w:shd w:val="clear" w:color="auto" w:fill="DBDBDB" w:themeFill="accent3" w:themeFillTint="66"/>
          </w:tcPr>
          <w:p w14:paraId="2ECD6558" w14:textId="77777777" w:rsidR="00DB3329" w:rsidRDefault="00DB3329" w:rsidP="007D3765">
            <w:pPr>
              <w:rPr>
                <w:bCs/>
              </w:rPr>
            </w:pPr>
          </w:p>
          <w:p w14:paraId="18B5A5AE" w14:textId="77777777" w:rsidR="00DB3329" w:rsidRDefault="00DB3329" w:rsidP="007D3765">
            <w:pPr>
              <w:rPr>
                <w:bCs/>
              </w:rPr>
            </w:pPr>
          </w:p>
          <w:p w14:paraId="0BA1CD58" w14:textId="77777777" w:rsidR="00DB3329" w:rsidRDefault="00DB3329" w:rsidP="007D3765">
            <w:pPr>
              <w:rPr>
                <w:bCs/>
              </w:rPr>
            </w:pPr>
          </w:p>
          <w:p w14:paraId="594F673C" w14:textId="77777777" w:rsidR="00DB3329" w:rsidRDefault="00DB3329" w:rsidP="007D3765">
            <w:pPr>
              <w:rPr>
                <w:bCs/>
              </w:rPr>
            </w:pPr>
          </w:p>
          <w:p w14:paraId="56384076" w14:textId="77777777" w:rsidR="00DB3329" w:rsidRDefault="00DB3329" w:rsidP="007D3765">
            <w:pPr>
              <w:rPr>
                <w:bCs/>
              </w:rPr>
            </w:pPr>
          </w:p>
          <w:p w14:paraId="470DDCA3" w14:textId="77777777" w:rsidR="00DB3329" w:rsidRDefault="00DB3329" w:rsidP="007D3765">
            <w:pPr>
              <w:rPr>
                <w:bCs/>
              </w:rPr>
            </w:pPr>
          </w:p>
          <w:p w14:paraId="79D63706" w14:textId="77777777" w:rsidR="00DB3329" w:rsidRDefault="00DB3329" w:rsidP="007D3765">
            <w:pPr>
              <w:rPr>
                <w:bCs/>
              </w:rPr>
            </w:pPr>
          </w:p>
          <w:p w14:paraId="2A09CAE8" w14:textId="77777777" w:rsidR="00DB3329" w:rsidRDefault="00DB3329" w:rsidP="007D3765">
            <w:pPr>
              <w:rPr>
                <w:bCs/>
              </w:rPr>
            </w:pPr>
          </w:p>
          <w:p w14:paraId="54B9E525" w14:textId="77777777" w:rsidR="00DB3329" w:rsidRDefault="00DB3329" w:rsidP="007D3765">
            <w:pPr>
              <w:rPr>
                <w:bCs/>
              </w:rPr>
            </w:pPr>
          </w:p>
          <w:p w14:paraId="7A98A57D" w14:textId="77777777" w:rsidR="00DB3329" w:rsidRDefault="00DB3329" w:rsidP="007D3765">
            <w:pPr>
              <w:rPr>
                <w:bCs/>
              </w:rPr>
            </w:pPr>
          </w:p>
        </w:tc>
      </w:tr>
      <w:tr w:rsidR="00DB3329" w:rsidRPr="00274F64" w14:paraId="782F2946" w14:textId="77777777" w:rsidTr="007D3765">
        <w:trPr>
          <w:trHeight w:val="416"/>
        </w:trPr>
        <w:tc>
          <w:tcPr>
            <w:tcW w:w="8075" w:type="dxa"/>
            <w:shd w:val="clear" w:color="auto" w:fill="B4C6E7" w:themeFill="accent1" w:themeFillTint="66"/>
          </w:tcPr>
          <w:p w14:paraId="3823AB49" w14:textId="21CAF764" w:rsidR="00DB3329" w:rsidRPr="00274F64" w:rsidRDefault="00DB3329" w:rsidP="00DB3329">
            <w:pPr>
              <w:pStyle w:val="ListParagraph"/>
              <w:numPr>
                <w:ilvl w:val="0"/>
                <w:numId w:val="13"/>
              </w:numPr>
              <w:rPr>
                <w:b/>
                <w:bCs/>
              </w:rPr>
            </w:pPr>
            <w:r w:rsidRPr="00274F64">
              <w:rPr>
                <w:b/>
                <w:bCs/>
              </w:rPr>
              <w:t xml:space="preserve">Experience of chairing and authoring </w:t>
            </w:r>
            <w:r w:rsidR="002B77FC">
              <w:rPr>
                <w:b/>
                <w:bCs/>
              </w:rPr>
              <w:t xml:space="preserve">Domestic Homicide reviews and </w:t>
            </w:r>
            <w:r w:rsidRPr="00274F64">
              <w:rPr>
                <w:b/>
                <w:bCs/>
              </w:rPr>
              <w:t xml:space="preserve">safeguarding reviews i.e. DHRs </w:t>
            </w:r>
            <w:r>
              <w:rPr>
                <w:b/>
                <w:bCs/>
              </w:rPr>
              <w:t xml:space="preserve">/ SARs/ SCR including any ‘joint’ review experiences. </w:t>
            </w:r>
          </w:p>
        </w:tc>
        <w:tc>
          <w:tcPr>
            <w:tcW w:w="1276" w:type="dxa"/>
            <w:shd w:val="clear" w:color="auto" w:fill="B4C6E7" w:themeFill="accent1" w:themeFillTint="66"/>
          </w:tcPr>
          <w:p w14:paraId="4B6EE40A" w14:textId="77777777" w:rsidR="00DB3329" w:rsidRPr="00626C7A" w:rsidRDefault="00DB3329" w:rsidP="007D3765">
            <w:pPr>
              <w:rPr>
                <w:b/>
                <w:bCs/>
              </w:rPr>
            </w:pPr>
            <w:r>
              <w:rPr>
                <w:b/>
                <w:bCs/>
              </w:rPr>
              <w:t xml:space="preserve">10 points: </w:t>
            </w:r>
          </w:p>
        </w:tc>
      </w:tr>
      <w:tr w:rsidR="00DB3329" w:rsidRPr="00274F64" w14:paraId="54E92270" w14:textId="77777777" w:rsidTr="007D3765">
        <w:trPr>
          <w:trHeight w:val="458"/>
        </w:trPr>
        <w:tc>
          <w:tcPr>
            <w:tcW w:w="8075" w:type="dxa"/>
            <w:tcBorders>
              <w:bottom w:val="single" w:sz="4" w:space="0" w:color="auto"/>
            </w:tcBorders>
          </w:tcPr>
          <w:p w14:paraId="444F53DF" w14:textId="77777777" w:rsidR="00DB3329" w:rsidRPr="00971FC7" w:rsidRDefault="00DB3329" w:rsidP="007D3765">
            <w:pPr>
              <w:rPr>
                <w:bCs/>
              </w:rPr>
            </w:pPr>
            <w:r w:rsidRPr="00971FC7">
              <w:rPr>
                <w:bCs/>
              </w:rPr>
              <w:t xml:space="preserve">(no more than </w:t>
            </w:r>
            <w:r>
              <w:rPr>
                <w:bCs/>
              </w:rPr>
              <w:t>500</w:t>
            </w:r>
            <w:r w:rsidRPr="00971FC7">
              <w:rPr>
                <w:bCs/>
              </w:rPr>
              <w:t xml:space="preserve"> words)</w:t>
            </w:r>
          </w:p>
          <w:p w14:paraId="32516C27" w14:textId="77777777" w:rsidR="00DB3329" w:rsidRDefault="00DB3329" w:rsidP="007D3765">
            <w:pPr>
              <w:rPr>
                <w:b/>
                <w:bCs/>
              </w:rPr>
            </w:pPr>
          </w:p>
          <w:p w14:paraId="5EBD8CF1" w14:textId="77777777" w:rsidR="00DB3329" w:rsidRDefault="00DB3329" w:rsidP="00134C9C">
            <w:pPr>
              <w:widowControl w:val="0"/>
              <w:spacing w:before="80" w:after="80" w:line="280" w:lineRule="atLeast"/>
              <w:rPr>
                <w:b/>
                <w:bCs/>
              </w:rPr>
            </w:pPr>
          </w:p>
          <w:p w14:paraId="073FFAB2" w14:textId="77777777" w:rsidR="00134C9C" w:rsidRDefault="00134C9C" w:rsidP="00134C9C">
            <w:pPr>
              <w:widowControl w:val="0"/>
              <w:spacing w:before="80" w:after="80" w:line="280" w:lineRule="atLeast"/>
              <w:rPr>
                <w:b/>
                <w:bCs/>
              </w:rPr>
            </w:pPr>
          </w:p>
          <w:p w14:paraId="41C9B3A2" w14:textId="77777777" w:rsidR="00134C9C" w:rsidRDefault="00134C9C" w:rsidP="00134C9C">
            <w:pPr>
              <w:widowControl w:val="0"/>
              <w:spacing w:before="80" w:after="80" w:line="280" w:lineRule="atLeast"/>
              <w:rPr>
                <w:b/>
                <w:bCs/>
              </w:rPr>
            </w:pPr>
          </w:p>
          <w:p w14:paraId="160598B4" w14:textId="77777777" w:rsidR="00134C9C" w:rsidRDefault="00134C9C" w:rsidP="00134C9C">
            <w:pPr>
              <w:widowControl w:val="0"/>
              <w:spacing w:before="80" w:after="80" w:line="280" w:lineRule="atLeast"/>
              <w:rPr>
                <w:b/>
                <w:bCs/>
              </w:rPr>
            </w:pPr>
          </w:p>
          <w:p w14:paraId="2FF567BC" w14:textId="77777777" w:rsidR="00134C9C" w:rsidRDefault="00134C9C" w:rsidP="00134C9C">
            <w:pPr>
              <w:widowControl w:val="0"/>
              <w:spacing w:before="80" w:after="80" w:line="280" w:lineRule="atLeast"/>
              <w:rPr>
                <w:b/>
                <w:bCs/>
              </w:rPr>
            </w:pPr>
          </w:p>
          <w:p w14:paraId="3CB027BC" w14:textId="77777777" w:rsidR="00134C9C" w:rsidRDefault="00134C9C" w:rsidP="00134C9C">
            <w:pPr>
              <w:widowControl w:val="0"/>
              <w:spacing w:before="80" w:after="80" w:line="280" w:lineRule="atLeast"/>
              <w:rPr>
                <w:b/>
                <w:bCs/>
              </w:rPr>
            </w:pPr>
          </w:p>
          <w:p w14:paraId="599578CD" w14:textId="77777777" w:rsidR="00134C9C" w:rsidRDefault="00134C9C" w:rsidP="00134C9C">
            <w:pPr>
              <w:widowControl w:val="0"/>
              <w:spacing w:before="80" w:after="80" w:line="280" w:lineRule="atLeast"/>
              <w:rPr>
                <w:b/>
                <w:bCs/>
              </w:rPr>
            </w:pPr>
          </w:p>
          <w:p w14:paraId="6D49015A" w14:textId="4CF12140" w:rsidR="00134C9C" w:rsidRPr="00134C9C" w:rsidRDefault="00134C9C" w:rsidP="00134C9C">
            <w:pPr>
              <w:widowControl w:val="0"/>
              <w:spacing w:before="80" w:after="80" w:line="280" w:lineRule="atLeast"/>
              <w:rPr>
                <w:b/>
                <w:bCs/>
              </w:rPr>
            </w:pPr>
          </w:p>
        </w:tc>
        <w:tc>
          <w:tcPr>
            <w:tcW w:w="1276" w:type="dxa"/>
            <w:tcBorders>
              <w:bottom w:val="single" w:sz="4" w:space="0" w:color="auto"/>
            </w:tcBorders>
            <w:shd w:val="clear" w:color="auto" w:fill="DBDBDB" w:themeFill="accent3" w:themeFillTint="66"/>
          </w:tcPr>
          <w:p w14:paraId="24C5D780" w14:textId="77777777" w:rsidR="00DB3329" w:rsidRPr="00971FC7" w:rsidRDefault="00DB3329" w:rsidP="007D3765">
            <w:pPr>
              <w:rPr>
                <w:bCs/>
              </w:rPr>
            </w:pPr>
          </w:p>
        </w:tc>
      </w:tr>
      <w:tr w:rsidR="00DB3329" w:rsidRPr="00274F64" w14:paraId="2F7821DE" w14:textId="77777777" w:rsidTr="007D3765">
        <w:trPr>
          <w:trHeight w:val="458"/>
        </w:trPr>
        <w:tc>
          <w:tcPr>
            <w:tcW w:w="8075" w:type="dxa"/>
            <w:shd w:val="clear" w:color="auto" w:fill="B4C6E7" w:themeFill="accent1" w:themeFillTint="66"/>
          </w:tcPr>
          <w:p w14:paraId="0EDB13D5" w14:textId="77777777" w:rsidR="00DB3329" w:rsidRPr="00274F64" w:rsidRDefault="00DB3329" w:rsidP="00DB3329">
            <w:pPr>
              <w:pStyle w:val="ListParagraph"/>
              <w:numPr>
                <w:ilvl w:val="0"/>
                <w:numId w:val="13"/>
              </w:numPr>
              <w:rPr>
                <w:b/>
                <w:bCs/>
              </w:rPr>
            </w:pPr>
            <w:r>
              <w:rPr>
                <w:b/>
                <w:bCs/>
              </w:rPr>
              <w:t xml:space="preserve">Outline any </w:t>
            </w:r>
            <w:r w:rsidRPr="00274F64">
              <w:rPr>
                <w:b/>
                <w:bCs/>
              </w:rPr>
              <w:t xml:space="preserve">training </w:t>
            </w:r>
            <w:r>
              <w:rPr>
                <w:b/>
                <w:bCs/>
              </w:rPr>
              <w:t xml:space="preserve">you have completed </w:t>
            </w:r>
            <w:r w:rsidRPr="00274F64">
              <w:rPr>
                <w:b/>
                <w:bCs/>
              </w:rPr>
              <w:t>on</w:t>
            </w:r>
            <w:r>
              <w:rPr>
                <w:b/>
                <w:bCs/>
              </w:rPr>
              <w:t xml:space="preserve"> leading r</w:t>
            </w:r>
            <w:r w:rsidRPr="00274F64">
              <w:rPr>
                <w:b/>
                <w:bCs/>
              </w:rPr>
              <w:t>eviews</w:t>
            </w:r>
            <w:r>
              <w:rPr>
                <w:b/>
                <w:bCs/>
              </w:rPr>
              <w:t xml:space="preserve"> </w:t>
            </w:r>
            <w:r w:rsidRPr="00274F64">
              <w:rPr>
                <w:b/>
                <w:bCs/>
              </w:rPr>
              <w:t xml:space="preserve"> </w:t>
            </w:r>
          </w:p>
        </w:tc>
        <w:tc>
          <w:tcPr>
            <w:tcW w:w="1276" w:type="dxa"/>
            <w:shd w:val="clear" w:color="auto" w:fill="B4C6E7" w:themeFill="accent1" w:themeFillTint="66"/>
          </w:tcPr>
          <w:p w14:paraId="05949080" w14:textId="77777777" w:rsidR="00DB3329" w:rsidRPr="00626C7A" w:rsidRDefault="00DB3329" w:rsidP="007D3765">
            <w:pPr>
              <w:rPr>
                <w:b/>
                <w:bCs/>
              </w:rPr>
            </w:pPr>
            <w:r>
              <w:rPr>
                <w:b/>
                <w:bCs/>
              </w:rPr>
              <w:t>5 points:</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5"/>
        <w:gridCol w:w="1276"/>
      </w:tblGrid>
      <w:tr w:rsidR="00153637" w:rsidRPr="00274F64" w14:paraId="779DE6A2" w14:textId="77777777" w:rsidTr="007D3765">
        <w:trPr>
          <w:trHeight w:val="1157"/>
        </w:trPr>
        <w:tc>
          <w:tcPr>
            <w:tcW w:w="8075" w:type="dxa"/>
            <w:tcBorders>
              <w:bottom w:val="single" w:sz="4" w:space="0" w:color="auto"/>
            </w:tcBorders>
            <w:shd w:val="clear" w:color="auto" w:fill="auto"/>
          </w:tcPr>
          <w:p w14:paraId="6799D9AE" w14:textId="77777777" w:rsidR="00153637" w:rsidRPr="00971FC7" w:rsidRDefault="00153637" w:rsidP="007D3765">
            <w:pPr>
              <w:rPr>
                <w:bCs/>
              </w:rPr>
            </w:pPr>
            <w:r w:rsidRPr="00971FC7">
              <w:rPr>
                <w:bCs/>
              </w:rPr>
              <w:t xml:space="preserve">(no more than </w:t>
            </w:r>
            <w:r>
              <w:rPr>
                <w:bCs/>
              </w:rPr>
              <w:t>500</w:t>
            </w:r>
            <w:r w:rsidRPr="00971FC7">
              <w:rPr>
                <w:bCs/>
              </w:rPr>
              <w:t xml:space="preserve"> words)</w:t>
            </w:r>
          </w:p>
          <w:p w14:paraId="1440E7F7" w14:textId="77777777" w:rsidR="00153637" w:rsidRDefault="00153637" w:rsidP="007D3765">
            <w:pPr>
              <w:jc w:val="both"/>
              <w:rPr>
                <w:b/>
                <w:bCs/>
              </w:rPr>
            </w:pPr>
          </w:p>
          <w:p w14:paraId="2DED1E4C" w14:textId="77777777" w:rsidR="00134C9C" w:rsidRDefault="00134C9C" w:rsidP="007D3765">
            <w:pPr>
              <w:jc w:val="both"/>
              <w:rPr>
                <w:b/>
                <w:bCs/>
              </w:rPr>
            </w:pPr>
          </w:p>
          <w:p w14:paraId="0CD6BE3F" w14:textId="77777777" w:rsidR="00134C9C" w:rsidRDefault="00134C9C" w:rsidP="007D3765">
            <w:pPr>
              <w:jc w:val="both"/>
              <w:rPr>
                <w:b/>
                <w:bCs/>
              </w:rPr>
            </w:pPr>
          </w:p>
          <w:p w14:paraId="1B6D8E53" w14:textId="77777777" w:rsidR="00134C9C" w:rsidRDefault="00134C9C" w:rsidP="007D3765">
            <w:pPr>
              <w:jc w:val="both"/>
              <w:rPr>
                <w:b/>
                <w:bCs/>
              </w:rPr>
            </w:pPr>
          </w:p>
          <w:p w14:paraId="0B646663" w14:textId="77777777" w:rsidR="00134C9C" w:rsidRDefault="00134C9C" w:rsidP="007D3765">
            <w:pPr>
              <w:jc w:val="both"/>
              <w:rPr>
                <w:b/>
                <w:bCs/>
              </w:rPr>
            </w:pPr>
          </w:p>
          <w:p w14:paraId="379084F6" w14:textId="77777777" w:rsidR="00134C9C" w:rsidRDefault="00134C9C" w:rsidP="007D3765">
            <w:pPr>
              <w:jc w:val="both"/>
              <w:rPr>
                <w:b/>
                <w:bCs/>
              </w:rPr>
            </w:pPr>
          </w:p>
          <w:p w14:paraId="2BB29C7F" w14:textId="77777777" w:rsidR="00134C9C" w:rsidRDefault="00134C9C" w:rsidP="007D3765">
            <w:pPr>
              <w:jc w:val="both"/>
              <w:rPr>
                <w:b/>
                <w:bCs/>
              </w:rPr>
            </w:pPr>
          </w:p>
          <w:p w14:paraId="77C765B2" w14:textId="67622D05" w:rsidR="00017211" w:rsidRPr="00017211" w:rsidRDefault="00017211" w:rsidP="007D3765">
            <w:pPr>
              <w:pStyle w:val="ListParagraph"/>
              <w:spacing w:after="160" w:line="259" w:lineRule="auto"/>
              <w:ind w:left="0"/>
              <w:contextualSpacing w:val="0"/>
            </w:pPr>
          </w:p>
        </w:tc>
        <w:tc>
          <w:tcPr>
            <w:tcW w:w="1276" w:type="dxa"/>
            <w:tcBorders>
              <w:bottom w:val="single" w:sz="4" w:space="0" w:color="auto"/>
            </w:tcBorders>
            <w:shd w:val="clear" w:color="auto" w:fill="DBDBDB" w:themeFill="accent3" w:themeFillTint="66"/>
          </w:tcPr>
          <w:p w14:paraId="379559AC" w14:textId="77777777" w:rsidR="00153637" w:rsidRDefault="00153637" w:rsidP="007D3765">
            <w:pPr>
              <w:pStyle w:val="ListParagraph"/>
              <w:jc w:val="both"/>
              <w:rPr>
                <w:b/>
                <w:bCs/>
              </w:rPr>
            </w:pPr>
          </w:p>
        </w:tc>
      </w:tr>
      <w:tr w:rsidR="00153637" w:rsidRPr="00274F64" w14:paraId="24ED364C" w14:textId="77777777" w:rsidTr="007D3765">
        <w:trPr>
          <w:trHeight w:val="463"/>
        </w:trPr>
        <w:tc>
          <w:tcPr>
            <w:tcW w:w="8075" w:type="dxa"/>
            <w:shd w:val="clear" w:color="auto" w:fill="B4C6E7" w:themeFill="accent1" w:themeFillTint="66"/>
          </w:tcPr>
          <w:p w14:paraId="7FA5DC2B" w14:textId="77777777" w:rsidR="00153637" w:rsidRPr="00274F64" w:rsidRDefault="00153637" w:rsidP="00153637">
            <w:pPr>
              <w:pStyle w:val="ListParagraph"/>
              <w:numPr>
                <w:ilvl w:val="0"/>
                <w:numId w:val="13"/>
              </w:numPr>
              <w:spacing w:after="200"/>
              <w:rPr>
                <w:b/>
                <w:bCs/>
              </w:rPr>
            </w:pPr>
            <w:r w:rsidRPr="00274F64">
              <w:rPr>
                <w:b/>
                <w:bCs/>
              </w:rPr>
              <w:lastRenderedPageBreak/>
              <w:t>Outline your relevant</w:t>
            </w:r>
            <w:r>
              <w:rPr>
                <w:b/>
                <w:bCs/>
              </w:rPr>
              <w:t xml:space="preserve"> managerial experience</w:t>
            </w:r>
          </w:p>
        </w:tc>
        <w:tc>
          <w:tcPr>
            <w:tcW w:w="1276" w:type="dxa"/>
            <w:shd w:val="clear" w:color="auto" w:fill="B4C6E7" w:themeFill="accent1" w:themeFillTint="66"/>
          </w:tcPr>
          <w:p w14:paraId="18FC5FA0" w14:textId="77777777" w:rsidR="00153637" w:rsidRPr="00626C7A" w:rsidRDefault="00153637" w:rsidP="007D3765">
            <w:pPr>
              <w:spacing w:after="200"/>
              <w:rPr>
                <w:b/>
                <w:bCs/>
              </w:rPr>
            </w:pPr>
            <w:r>
              <w:rPr>
                <w:b/>
                <w:bCs/>
              </w:rPr>
              <w:t>5 points:</w:t>
            </w:r>
          </w:p>
        </w:tc>
      </w:tr>
      <w:tr w:rsidR="00153637" w:rsidRPr="00274F64" w14:paraId="72929262" w14:textId="77777777" w:rsidTr="007D3765">
        <w:trPr>
          <w:trHeight w:val="463"/>
        </w:trPr>
        <w:tc>
          <w:tcPr>
            <w:tcW w:w="8075" w:type="dxa"/>
            <w:tcBorders>
              <w:bottom w:val="single" w:sz="4" w:space="0" w:color="auto"/>
            </w:tcBorders>
            <w:shd w:val="clear" w:color="auto" w:fill="auto"/>
          </w:tcPr>
          <w:p w14:paraId="3B48CBCA" w14:textId="77777777" w:rsidR="00153637" w:rsidRDefault="00153637" w:rsidP="007D3765">
            <w:pPr>
              <w:rPr>
                <w:bCs/>
              </w:rPr>
            </w:pPr>
            <w:r w:rsidRPr="00971FC7">
              <w:rPr>
                <w:bCs/>
              </w:rPr>
              <w:t xml:space="preserve">(no more than </w:t>
            </w:r>
            <w:r>
              <w:rPr>
                <w:bCs/>
              </w:rPr>
              <w:t>500</w:t>
            </w:r>
            <w:r w:rsidRPr="00971FC7">
              <w:rPr>
                <w:bCs/>
              </w:rPr>
              <w:t xml:space="preserve"> words)</w:t>
            </w:r>
          </w:p>
          <w:p w14:paraId="72BED77A" w14:textId="77777777" w:rsidR="00153637" w:rsidRPr="00971FC7" w:rsidRDefault="00153637" w:rsidP="007D3765">
            <w:pPr>
              <w:rPr>
                <w:bCs/>
              </w:rPr>
            </w:pPr>
          </w:p>
          <w:p w14:paraId="5311C5EF" w14:textId="77777777" w:rsidR="00153637" w:rsidRPr="00091F7A" w:rsidRDefault="00153637" w:rsidP="00153637">
            <w:pPr>
              <w:spacing w:after="80"/>
              <w:rPr>
                <w:rFonts w:asciiTheme="minorHAnsi" w:hAnsiTheme="minorHAnsi" w:cstheme="minorHAnsi"/>
                <w:i/>
              </w:rPr>
            </w:pPr>
          </w:p>
        </w:tc>
        <w:tc>
          <w:tcPr>
            <w:tcW w:w="1276" w:type="dxa"/>
            <w:tcBorders>
              <w:bottom w:val="single" w:sz="4" w:space="0" w:color="auto"/>
            </w:tcBorders>
            <w:shd w:val="clear" w:color="auto" w:fill="DBDBDB" w:themeFill="accent3" w:themeFillTint="66"/>
          </w:tcPr>
          <w:p w14:paraId="6BE351B1" w14:textId="77777777" w:rsidR="00153637" w:rsidRDefault="00153637" w:rsidP="007D3765">
            <w:pPr>
              <w:rPr>
                <w:bCs/>
              </w:rPr>
            </w:pPr>
          </w:p>
          <w:p w14:paraId="0AC1DFE0" w14:textId="77777777" w:rsidR="00153637" w:rsidRDefault="00153637" w:rsidP="007D3765">
            <w:pPr>
              <w:rPr>
                <w:bCs/>
              </w:rPr>
            </w:pPr>
          </w:p>
          <w:p w14:paraId="4AB64F7E" w14:textId="77777777" w:rsidR="00153637" w:rsidRDefault="00153637" w:rsidP="007D3765">
            <w:pPr>
              <w:rPr>
                <w:bCs/>
              </w:rPr>
            </w:pPr>
          </w:p>
          <w:p w14:paraId="4F147AAD" w14:textId="77777777" w:rsidR="00153637" w:rsidRDefault="00153637" w:rsidP="007D3765">
            <w:pPr>
              <w:rPr>
                <w:bCs/>
              </w:rPr>
            </w:pPr>
          </w:p>
          <w:p w14:paraId="5FB319E2" w14:textId="77777777" w:rsidR="00153637" w:rsidRDefault="00153637" w:rsidP="007D3765">
            <w:pPr>
              <w:rPr>
                <w:bCs/>
              </w:rPr>
            </w:pPr>
          </w:p>
          <w:p w14:paraId="74F4E78A" w14:textId="77777777" w:rsidR="00153637" w:rsidRDefault="00153637" w:rsidP="007D3765">
            <w:pPr>
              <w:rPr>
                <w:bCs/>
              </w:rPr>
            </w:pPr>
          </w:p>
          <w:p w14:paraId="72637D4F" w14:textId="77777777" w:rsidR="00153637" w:rsidRDefault="00153637" w:rsidP="007D3765">
            <w:pPr>
              <w:rPr>
                <w:bCs/>
              </w:rPr>
            </w:pPr>
          </w:p>
          <w:p w14:paraId="6DCB3A5B" w14:textId="77777777" w:rsidR="00153637" w:rsidRDefault="00153637" w:rsidP="007D3765">
            <w:pPr>
              <w:rPr>
                <w:bCs/>
              </w:rPr>
            </w:pPr>
          </w:p>
          <w:p w14:paraId="288A9C3D" w14:textId="77777777" w:rsidR="00153637" w:rsidRDefault="00153637" w:rsidP="007D3765">
            <w:pPr>
              <w:rPr>
                <w:bCs/>
              </w:rPr>
            </w:pPr>
          </w:p>
          <w:p w14:paraId="68988848" w14:textId="77777777" w:rsidR="00153637" w:rsidRDefault="00153637" w:rsidP="007D3765">
            <w:pPr>
              <w:rPr>
                <w:bCs/>
              </w:rPr>
            </w:pPr>
          </w:p>
          <w:p w14:paraId="3EB10DDE" w14:textId="77777777" w:rsidR="00153637" w:rsidRDefault="00153637" w:rsidP="007D3765">
            <w:pPr>
              <w:rPr>
                <w:bCs/>
              </w:rPr>
            </w:pPr>
          </w:p>
          <w:p w14:paraId="296DE414" w14:textId="77777777" w:rsidR="00153637" w:rsidRDefault="00153637" w:rsidP="007D3765">
            <w:pPr>
              <w:rPr>
                <w:bCs/>
              </w:rPr>
            </w:pPr>
          </w:p>
          <w:p w14:paraId="70366A22" w14:textId="77777777" w:rsidR="00153637" w:rsidRPr="00971FC7" w:rsidRDefault="00153637" w:rsidP="007D3765">
            <w:pPr>
              <w:rPr>
                <w:bCs/>
              </w:rPr>
            </w:pPr>
          </w:p>
        </w:tc>
      </w:tr>
      <w:tr w:rsidR="00153637" w:rsidRPr="00274F64" w14:paraId="5E633E7E" w14:textId="77777777" w:rsidTr="007D3765">
        <w:trPr>
          <w:trHeight w:val="463"/>
        </w:trPr>
        <w:tc>
          <w:tcPr>
            <w:tcW w:w="8075" w:type="dxa"/>
            <w:shd w:val="clear" w:color="auto" w:fill="B4C6E7" w:themeFill="accent1" w:themeFillTint="66"/>
          </w:tcPr>
          <w:p w14:paraId="7C06B980" w14:textId="77777777" w:rsidR="00153637" w:rsidRPr="00FB1F1F" w:rsidRDefault="00153637" w:rsidP="00153637">
            <w:pPr>
              <w:pStyle w:val="ListParagraph"/>
              <w:numPr>
                <w:ilvl w:val="0"/>
                <w:numId w:val="13"/>
              </w:numPr>
            </w:pPr>
            <w:r w:rsidRPr="00FB1F1F">
              <w:rPr>
                <w:b/>
                <w:bCs/>
              </w:rPr>
              <w:t>Outline your enhanced knowledge of abuse issues including your experiences of leading previous Thematic SARs, supporting families through the SAR process and also your expertise in the areas defined in the basic overview of the case below:</w:t>
            </w:r>
          </w:p>
          <w:p w14:paraId="0A7A4139" w14:textId="0932F6F8" w:rsidR="00C5294E" w:rsidRPr="001B0C55" w:rsidRDefault="00C5294E" w:rsidP="00C5294E">
            <w:pPr>
              <w:rPr>
                <w:rFonts w:asciiTheme="minorHAnsi" w:hAnsiTheme="minorHAnsi" w:cstheme="minorHAnsi"/>
              </w:rPr>
            </w:pPr>
            <w:r w:rsidRPr="001B0C55">
              <w:rPr>
                <w:rFonts w:asciiTheme="minorHAnsi" w:hAnsiTheme="minorHAnsi" w:cstheme="minorHAnsi"/>
              </w:rPr>
              <w:t xml:space="preserve">This case will focus on an individual who was known to </w:t>
            </w:r>
            <w:r>
              <w:rPr>
                <w:rFonts w:asciiTheme="minorHAnsi" w:hAnsiTheme="minorHAnsi" w:cstheme="minorHAnsi"/>
              </w:rPr>
              <w:t xml:space="preserve">a number of </w:t>
            </w:r>
            <w:r w:rsidRPr="001B0C55">
              <w:rPr>
                <w:rFonts w:asciiTheme="minorHAnsi" w:hAnsiTheme="minorHAnsi" w:cstheme="minorHAnsi"/>
              </w:rPr>
              <w:t>local services who had a history of poor physical heath, complex mental health support needs and had disclosed a history of childhood trauma. The person also had a recorded history of past harm from alcohol use and poly-pharmacological overdoses. There was alleged psychological abuse from their partner which increased their mental health difficulties. Following a</w:t>
            </w:r>
            <w:r>
              <w:rPr>
                <w:rFonts w:asciiTheme="minorHAnsi" w:hAnsiTheme="minorHAnsi" w:cstheme="minorHAnsi"/>
              </w:rPr>
              <w:t xml:space="preserve"> deterioration in their mental well-being an i</w:t>
            </w:r>
            <w:r w:rsidRPr="001B0C55">
              <w:rPr>
                <w:rFonts w:asciiTheme="minorHAnsi" w:hAnsiTheme="minorHAnsi" w:cstheme="minorHAnsi"/>
              </w:rPr>
              <w:t xml:space="preserve">ncident </w:t>
            </w:r>
            <w:r>
              <w:rPr>
                <w:rFonts w:asciiTheme="minorHAnsi" w:hAnsiTheme="minorHAnsi" w:cstheme="minorHAnsi"/>
              </w:rPr>
              <w:t xml:space="preserve">was </w:t>
            </w:r>
            <w:r w:rsidRPr="001B0C55">
              <w:rPr>
                <w:rFonts w:asciiTheme="minorHAnsi" w:hAnsiTheme="minorHAnsi" w:cstheme="minorHAnsi"/>
              </w:rPr>
              <w:t>reported to the police</w:t>
            </w:r>
            <w:r>
              <w:rPr>
                <w:rFonts w:asciiTheme="minorHAnsi" w:hAnsiTheme="minorHAnsi" w:cstheme="minorHAnsi"/>
              </w:rPr>
              <w:t xml:space="preserve">, on attending the incident </w:t>
            </w:r>
            <w:r w:rsidRPr="001B0C55">
              <w:rPr>
                <w:rFonts w:asciiTheme="minorHAnsi" w:hAnsiTheme="minorHAnsi" w:cstheme="minorHAnsi"/>
              </w:rPr>
              <w:t>the</w:t>
            </w:r>
            <w:r>
              <w:rPr>
                <w:rFonts w:asciiTheme="minorHAnsi" w:hAnsiTheme="minorHAnsi" w:cstheme="minorHAnsi"/>
              </w:rPr>
              <w:t xml:space="preserve"> person was </w:t>
            </w:r>
            <w:r w:rsidRPr="001B0C55">
              <w:rPr>
                <w:rFonts w:asciiTheme="minorHAnsi" w:hAnsiTheme="minorHAnsi" w:cstheme="minorHAnsi"/>
              </w:rPr>
              <w:t>found deceased</w:t>
            </w:r>
            <w:r>
              <w:rPr>
                <w:rFonts w:asciiTheme="minorHAnsi" w:hAnsiTheme="minorHAnsi" w:cstheme="minorHAnsi"/>
              </w:rPr>
              <w:t>,</w:t>
            </w:r>
            <w:r w:rsidRPr="001B0C55">
              <w:rPr>
                <w:rFonts w:asciiTheme="minorHAnsi" w:hAnsiTheme="minorHAnsi" w:cstheme="minorHAnsi"/>
              </w:rPr>
              <w:t xml:space="preserve"> the police believed their death to be a purposeful act to complete suicide</w:t>
            </w:r>
            <w:r w:rsidR="001C0C08">
              <w:rPr>
                <w:rFonts w:asciiTheme="minorHAnsi" w:hAnsiTheme="minorHAnsi" w:cstheme="minorHAnsi"/>
              </w:rPr>
              <w:t>.</w:t>
            </w:r>
          </w:p>
          <w:p w14:paraId="2907661A" w14:textId="0F24E168" w:rsidR="00153637" w:rsidRPr="00FB1F1F" w:rsidRDefault="00153637" w:rsidP="007D3765">
            <w:pPr>
              <w:pStyle w:val="ListParagraph"/>
            </w:pPr>
          </w:p>
          <w:p w14:paraId="1BE4BE00" w14:textId="77777777" w:rsidR="00153637" w:rsidRPr="00B318B6" w:rsidRDefault="00153637" w:rsidP="007D3765">
            <w:pPr>
              <w:pStyle w:val="ListParagraph"/>
              <w:rPr>
                <w:b/>
                <w:bCs/>
              </w:rPr>
            </w:pPr>
          </w:p>
        </w:tc>
        <w:tc>
          <w:tcPr>
            <w:tcW w:w="1276" w:type="dxa"/>
            <w:shd w:val="clear" w:color="auto" w:fill="B4C6E7" w:themeFill="accent1" w:themeFillTint="66"/>
          </w:tcPr>
          <w:p w14:paraId="3159D593" w14:textId="77777777" w:rsidR="00153637" w:rsidRPr="0020269E" w:rsidRDefault="00153637" w:rsidP="007D3765">
            <w:pPr>
              <w:rPr>
                <w:b/>
                <w:bCs/>
              </w:rPr>
            </w:pPr>
            <w:r w:rsidRPr="0020269E">
              <w:rPr>
                <w:b/>
                <w:bCs/>
              </w:rPr>
              <w:t>20</w:t>
            </w:r>
            <w:r>
              <w:rPr>
                <w:b/>
                <w:bCs/>
              </w:rPr>
              <w:t xml:space="preserve"> points: </w:t>
            </w:r>
          </w:p>
        </w:tc>
      </w:tr>
      <w:tr w:rsidR="00153637" w:rsidRPr="00274F64" w14:paraId="59E48447" w14:textId="77777777" w:rsidTr="007D3765">
        <w:trPr>
          <w:trHeight w:val="463"/>
        </w:trPr>
        <w:tc>
          <w:tcPr>
            <w:tcW w:w="8075" w:type="dxa"/>
            <w:tcBorders>
              <w:bottom w:val="single" w:sz="4" w:space="0" w:color="auto"/>
            </w:tcBorders>
            <w:shd w:val="clear" w:color="auto" w:fill="auto"/>
          </w:tcPr>
          <w:p w14:paraId="20615CAA" w14:textId="77777777" w:rsidR="00153637" w:rsidRDefault="00153637" w:rsidP="007D3765">
            <w:pPr>
              <w:rPr>
                <w:bCs/>
              </w:rPr>
            </w:pPr>
            <w:r w:rsidRPr="00971FC7">
              <w:rPr>
                <w:bCs/>
              </w:rPr>
              <w:t>(no more than</w:t>
            </w:r>
            <w:r>
              <w:rPr>
                <w:bCs/>
              </w:rPr>
              <w:t xml:space="preserve"> 500</w:t>
            </w:r>
            <w:r w:rsidRPr="00971FC7">
              <w:rPr>
                <w:bCs/>
              </w:rPr>
              <w:t xml:space="preserve"> words)</w:t>
            </w:r>
          </w:p>
          <w:p w14:paraId="1EE7F16E" w14:textId="77777777" w:rsidR="00134C9C" w:rsidRDefault="00134C9C" w:rsidP="007D3765">
            <w:pPr>
              <w:rPr>
                <w:bCs/>
              </w:rPr>
            </w:pPr>
          </w:p>
          <w:p w14:paraId="1A86FD2E" w14:textId="77777777" w:rsidR="00134C9C" w:rsidRDefault="00134C9C" w:rsidP="007D3765">
            <w:pPr>
              <w:rPr>
                <w:bCs/>
              </w:rPr>
            </w:pPr>
          </w:p>
          <w:p w14:paraId="1B9BA830" w14:textId="77777777" w:rsidR="00134C9C" w:rsidRDefault="00134C9C" w:rsidP="007D3765">
            <w:pPr>
              <w:rPr>
                <w:bCs/>
              </w:rPr>
            </w:pPr>
          </w:p>
          <w:p w14:paraId="562A370C" w14:textId="77777777" w:rsidR="00134C9C" w:rsidRDefault="00134C9C" w:rsidP="007D3765">
            <w:pPr>
              <w:rPr>
                <w:bCs/>
              </w:rPr>
            </w:pPr>
          </w:p>
          <w:p w14:paraId="7A882821" w14:textId="77777777" w:rsidR="00134C9C" w:rsidRDefault="00134C9C" w:rsidP="007D3765">
            <w:pPr>
              <w:rPr>
                <w:bCs/>
              </w:rPr>
            </w:pPr>
          </w:p>
          <w:p w14:paraId="2BF8A1E2" w14:textId="77777777" w:rsidR="00017211" w:rsidRDefault="00017211" w:rsidP="007D3765">
            <w:pPr>
              <w:rPr>
                <w:bCs/>
              </w:rPr>
            </w:pPr>
          </w:p>
          <w:p w14:paraId="1CDD04F1" w14:textId="77777777" w:rsidR="00017211" w:rsidRDefault="00017211" w:rsidP="007D3765">
            <w:pPr>
              <w:rPr>
                <w:bCs/>
              </w:rPr>
            </w:pPr>
          </w:p>
          <w:p w14:paraId="105C8067" w14:textId="77777777" w:rsidR="00017211" w:rsidRDefault="00017211" w:rsidP="007D3765">
            <w:pPr>
              <w:rPr>
                <w:bCs/>
              </w:rPr>
            </w:pPr>
          </w:p>
          <w:p w14:paraId="45297623" w14:textId="77777777" w:rsidR="00017211" w:rsidRDefault="00017211" w:rsidP="007D3765">
            <w:pPr>
              <w:rPr>
                <w:bCs/>
              </w:rPr>
            </w:pPr>
          </w:p>
          <w:p w14:paraId="16409C9F" w14:textId="77777777" w:rsidR="00017211" w:rsidRDefault="00017211" w:rsidP="007D3765">
            <w:pPr>
              <w:rPr>
                <w:bCs/>
              </w:rPr>
            </w:pPr>
          </w:p>
          <w:p w14:paraId="727C8624" w14:textId="77777777" w:rsidR="00017211" w:rsidRDefault="00017211" w:rsidP="007D3765">
            <w:pPr>
              <w:rPr>
                <w:bCs/>
              </w:rPr>
            </w:pPr>
          </w:p>
          <w:p w14:paraId="76DF5544" w14:textId="77777777" w:rsidR="00017211" w:rsidRDefault="00017211" w:rsidP="007D3765">
            <w:pPr>
              <w:rPr>
                <w:bCs/>
              </w:rPr>
            </w:pPr>
          </w:p>
          <w:p w14:paraId="0286C91C" w14:textId="77777777" w:rsidR="00017211" w:rsidRDefault="00017211" w:rsidP="007D3765">
            <w:pPr>
              <w:rPr>
                <w:bCs/>
              </w:rPr>
            </w:pPr>
          </w:p>
          <w:p w14:paraId="65A84930" w14:textId="77777777" w:rsidR="00017211" w:rsidRPr="00971FC7" w:rsidRDefault="00017211" w:rsidP="007D3765">
            <w:pPr>
              <w:rPr>
                <w:bCs/>
              </w:rPr>
            </w:pPr>
          </w:p>
          <w:p w14:paraId="522CA705" w14:textId="77777777" w:rsidR="00153637" w:rsidRPr="003B34B4" w:rsidRDefault="00153637" w:rsidP="007D3765"/>
          <w:p w14:paraId="18B11F7A" w14:textId="77777777" w:rsidR="00153637" w:rsidRPr="0094518E" w:rsidRDefault="00153637" w:rsidP="00153637">
            <w:pPr>
              <w:spacing w:after="80"/>
              <w:rPr>
                <w:b/>
                <w:bCs/>
              </w:rPr>
            </w:pPr>
          </w:p>
        </w:tc>
        <w:tc>
          <w:tcPr>
            <w:tcW w:w="1276" w:type="dxa"/>
            <w:tcBorders>
              <w:bottom w:val="single" w:sz="4" w:space="0" w:color="auto"/>
            </w:tcBorders>
            <w:shd w:val="clear" w:color="auto" w:fill="DBDBDB" w:themeFill="accent3" w:themeFillTint="66"/>
          </w:tcPr>
          <w:p w14:paraId="5E115486" w14:textId="77777777" w:rsidR="00153637" w:rsidRPr="00971FC7" w:rsidRDefault="00153637" w:rsidP="007D3765">
            <w:pPr>
              <w:rPr>
                <w:bCs/>
              </w:rPr>
            </w:pPr>
          </w:p>
        </w:tc>
      </w:tr>
      <w:tr w:rsidR="00153637" w:rsidRPr="00274F64" w14:paraId="1BF0B2BC" w14:textId="77777777" w:rsidTr="007D3765">
        <w:trPr>
          <w:trHeight w:val="463"/>
        </w:trPr>
        <w:tc>
          <w:tcPr>
            <w:tcW w:w="8075" w:type="dxa"/>
            <w:shd w:val="clear" w:color="auto" w:fill="B4C6E7" w:themeFill="accent1" w:themeFillTint="66"/>
          </w:tcPr>
          <w:p w14:paraId="2EB36B57" w14:textId="26EB5469" w:rsidR="00153637" w:rsidRPr="00311A9B" w:rsidRDefault="00153637" w:rsidP="00153637">
            <w:pPr>
              <w:pStyle w:val="ListParagraph"/>
              <w:numPr>
                <w:ilvl w:val="0"/>
                <w:numId w:val="13"/>
              </w:numPr>
              <w:rPr>
                <w:b/>
                <w:bCs/>
              </w:rPr>
            </w:pPr>
            <w:r w:rsidRPr="00274F64">
              <w:rPr>
                <w:b/>
                <w:bCs/>
              </w:rPr>
              <w:lastRenderedPageBreak/>
              <w:t xml:space="preserve">The main agencies / organisations likely to be involved in this review include: </w:t>
            </w:r>
            <w:r w:rsidR="009D6F88">
              <w:rPr>
                <w:b/>
                <w:bCs/>
              </w:rPr>
              <w:t>Dome</w:t>
            </w:r>
            <w:r w:rsidR="00311A9B">
              <w:rPr>
                <w:b/>
                <w:bCs/>
              </w:rPr>
              <w:t xml:space="preserve">stic </w:t>
            </w:r>
            <w:r w:rsidR="009D6F88">
              <w:rPr>
                <w:b/>
                <w:bCs/>
              </w:rPr>
              <w:t>a</w:t>
            </w:r>
            <w:r w:rsidR="00311A9B">
              <w:rPr>
                <w:b/>
                <w:bCs/>
              </w:rPr>
              <w:t xml:space="preserve">buse support services, </w:t>
            </w:r>
            <w:r w:rsidRPr="00311A9B">
              <w:rPr>
                <w:b/>
                <w:bCs/>
              </w:rPr>
              <w:t>Police, GPs, health trusts, Mental Health Services and Adult Social Care. Please outline your previous experience working for or understanding of the role and context of any of these agencies</w:t>
            </w:r>
          </w:p>
          <w:p w14:paraId="3429B063" w14:textId="77777777" w:rsidR="00153637" w:rsidRPr="00274F64" w:rsidRDefault="00153637" w:rsidP="007D3765">
            <w:pPr>
              <w:pStyle w:val="ListParagraph"/>
              <w:rPr>
                <w:b/>
                <w:bCs/>
              </w:rPr>
            </w:pPr>
          </w:p>
        </w:tc>
        <w:tc>
          <w:tcPr>
            <w:tcW w:w="1276" w:type="dxa"/>
            <w:shd w:val="clear" w:color="auto" w:fill="B4C6E7" w:themeFill="accent1" w:themeFillTint="66"/>
          </w:tcPr>
          <w:p w14:paraId="3E60A041" w14:textId="77777777" w:rsidR="00153637" w:rsidRPr="00626C7A" w:rsidRDefault="00153637" w:rsidP="007D3765">
            <w:pPr>
              <w:rPr>
                <w:b/>
                <w:bCs/>
              </w:rPr>
            </w:pPr>
            <w:r>
              <w:rPr>
                <w:b/>
                <w:bCs/>
              </w:rPr>
              <w:t xml:space="preserve">15 points: </w:t>
            </w:r>
          </w:p>
        </w:tc>
      </w:tr>
      <w:tr w:rsidR="00153637" w:rsidRPr="00274F64" w14:paraId="64FC556D" w14:textId="77777777" w:rsidTr="007D3765">
        <w:trPr>
          <w:trHeight w:val="463"/>
        </w:trPr>
        <w:tc>
          <w:tcPr>
            <w:tcW w:w="8075" w:type="dxa"/>
            <w:shd w:val="clear" w:color="auto" w:fill="auto"/>
          </w:tcPr>
          <w:p w14:paraId="7C0596F5" w14:textId="77777777" w:rsidR="00153637" w:rsidRPr="00971FC7" w:rsidRDefault="00153637" w:rsidP="007D3765">
            <w:pPr>
              <w:rPr>
                <w:bCs/>
              </w:rPr>
            </w:pPr>
            <w:r w:rsidRPr="00971FC7">
              <w:rPr>
                <w:bCs/>
              </w:rPr>
              <w:t xml:space="preserve">(no more than </w:t>
            </w:r>
            <w:r>
              <w:rPr>
                <w:bCs/>
              </w:rPr>
              <w:t>500</w:t>
            </w:r>
            <w:r w:rsidRPr="00971FC7">
              <w:rPr>
                <w:bCs/>
              </w:rPr>
              <w:t xml:space="preserve"> words)</w:t>
            </w:r>
          </w:p>
          <w:p w14:paraId="7D7D2BD6" w14:textId="77777777" w:rsidR="00153637" w:rsidRDefault="00153637" w:rsidP="007D3765">
            <w:pPr>
              <w:rPr>
                <w:b/>
                <w:bCs/>
              </w:rPr>
            </w:pPr>
          </w:p>
          <w:p w14:paraId="2E338D45" w14:textId="77777777" w:rsidR="00134C9C" w:rsidRDefault="00134C9C" w:rsidP="007D3765">
            <w:pPr>
              <w:rPr>
                <w:b/>
                <w:bCs/>
              </w:rPr>
            </w:pPr>
          </w:p>
          <w:p w14:paraId="690480D8" w14:textId="77777777" w:rsidR="00134C9C" w:rsidRDefault="00134C9C" w:rsidP="007D3765">
            <w:pPr>
              <w:rPr>
                <w:b/>
                <w:bCs/>
              </w:rPr>
            </w:pPr>
          </w:p>
          <w:p w14:paraId="7A87C1B8" w14:textId="77777777" w:rsidR="00134C9C" w:rsidRDefault="00134C9C" w:rsidP="007D3765">
            <w:pPr>
              <w:rPr>
                <w:b/>
                <w:bCs/>
              </w:rPr>
            </w:pPr>
          </w:p>
          <w:p w14:paraId="68FFAD24" w14:textId="77777777" w:rsidR="00134C9C" w:rsidRDefault="00134C9C" w:rsidP="007D3765">
            <w:pPr>
              <w:rPr>
                <w:b/>
                <w:bCs/>
              </w:rPr>
            </w:pPr>
          </w:p>
          <w:p w14:paraId="71F4450F" w14:textId="77777777" w:rsidR="00134C9C" w:rsidRDefault="00134C9C" w:rsidP="007D3765">
            <w:pPr>
              <w:rPr>
                <w:b/>
                <w:bCs/>
              </w:rPr>
            </w:pPr>
          </w:p>
          <w:p w14:paraId="7BE4DDEF" w14:textId="77777777" w:rsidR="00134C9C" w:rsidRDefault="00134C9C" w:rsidP="007D3765">
            <w:pPr>
              <w:rPr>
                <w:b/>
                <w:bCs/>
              </w:rPr>
            </w:pPr>
          </w:p>
          <w:p w14:paraId="5B3FF526" w14:textId="77777777" w:rsidR="00134C9C" w:rsidRDefault="00134C9C" w:rsidP="007D3765">
            <w:pPr>
              <w:rPr>
                <w:b/>
                <w:bCs/>
              </w:rPr>
            </w:pPr>
          </w:p>
          <w:p w14:paraId="5B7C7204" w14:textId="77777777" w:rsidR="00134C9C" w:rsidRDefault="00134C9C" w:rsidP="007D3765">
            <w:pPr>
              <w:rPr>
                <w:b/>
                <w:bCs/>
              </w:rPr>
            </w:pPr>
          </w:p>
          <w:p w14:paraId="313434B0" w14:textId="77777777" w:rsidR="00134C9C" w:rsidRDefault="00134C9C" w:rsidP="007D3765">
            <w:pPr>
              <w:rPr>
                <w:b/>
                <w:bCs/>
              </w:rPr>
            </w:pPr>
          </w:p>
          <w:p w14:paraId="3F3EFB22" w14:textId="77777777" w:rsidR="00134C9C" w:rsidRDefault="00134C9C" w:rsidP="007D3765">
            <w:pPr>
              <w:rPr>
                <w:b/>
                <w:bCs/>
              </w:rPr>
            </w:pPr>
          </w:p>
          <w:p w14:paraId="0938701A" w14:textId="77777777" w:rsidR="00134C9C" w:rsidRDefault="00134C9C" w:rsidP="007D3765">
            <w:pPr>
              <w:rPr>
                <w:b/>
                <w:bCs/>
              </w:rPr>
            </w:pPr>
          </w:p>
          <w:p w14:paraId="14F2D808" w14:textId="2D932013" w:rsidR="00153637" w:rsidRPr="00274F64" w:rsidRDefault="00153637" w:rsidP="00153637">
            <w:pPr>
              <w:spacing w:after="160"/>
              <w:rPr>
                <w:b/>
                <w:bCs/>
              </w:rPr>
            </w:pPr>
          </w:p>
        </w:tc>
        <w:tc>
          <w:tcPr>
            <w:tcW w:w="1276" w:type="dxa"/>
            <w:shd w:val="clear" w:color="auto" w:fill="DBDBDB" w:themeFill="accent3" w:themeFillTint="66"/>
          </w:tcPr>
          <w:p w14:paraId="435668B9" w14:textId="77777777" w:rsidR="00153637" w:rsidRPr="00971FC7" w:rsidRDefault="00153637" w:rsidP="007D3765">
            <w:pPr>
              <w:rPr>
                <w:bCs/>
              </w:rPr>
            </w:pPr>
          </w:p>
        </w:tc>
      </w:tr>
      <w:tr w:rsidR="00153637" w:rsidRPr="00274F64" w14:paraId="660B7521" w14:textId="77777777" w:rsidTr="007D3765">
        <w:trPr>
          <w:trHeight w:val="463"/>
        </w:trPr>
        <w:tc>
          <w:tcPr>
            <w:tcW w:w="8075" w:type="dxa"/>
            <w:shd w:val="clear" w:color="auto" w:fill="B4C6E7" w:themeFill="accent1" w:themeFillTint="66"/>
          </w:tcPr>
          <w:p w14:paraId="3F6616BB" w14:textId="4CEEA055" w:rsidR="00153637" w:rsidRDefault="00153637" w:rsidP="00153637">
            <w:pPr>
              <w:numPr>
                <w:ilvl w:val="0"/>
                <w:numId w:val="13"/>
              </w:numPr>
              <w:spacing w:after="200"/>
              <w:rPr>
                <w:b/>
                <w:bCs/>
              </w:rPr>
            </w:pPr>
            <w:r w:rsidRPr="00274F64">
              <w:rPr>
                <w:b/>
                <w:bCs/>
              </w:rPr>
              <w:t>Please outline your approac</w:t>
            </w:r>
            <w:r>
              <w:rPr>
                <w:b/>
                <w:bCs/>
              </w:rPr>
              <w:t xml:space="preserve">h and plan to completing the </w:t>
            </w:r>
            <w:r w:rsidR="00B5158E">
              <w:rPr>
                <w:b/>
                <w:bCs/>
              </w:rPr>
              <w:t>DHR/</w:t>
            </w:r>
            <w:r>
              <w:rPr>
                <w:b/>
                <w:bCs/>
              </w:rPr>
              <w:t>SAR</w:t>
            </w:r>
            <w:r w:rsidRPr="00274F64">
              <w:rPr>
                <w:b/>
                <w:bCs/>
              </w:rPr>
              <w:t xml:space="preserve"> process including completion of </w:t>
            </w:r>
            <w:r>
              <w:rPr>
                <w:b/>
                <w:bCs/>
              </w:rPr>
              <w:t xml:space="preserve">the </w:t>
            </w:r>
            <w:r w:rsidRPr="00274F64">
              <w:rPr>
                <w:b/>
                <w:bCs/>
              </w:rPr>
              <w:t xml:space="preserve">overview report. </w:t>
            </w:r>
          </w:p>
          <w:p w14:paraId="4A82DF7F" w14:textId="77777777" w:rsidR="00153637" w:rsidRDefault="00153637" w:rsidP="007D3765">
            <w:pPr>
              <w:spacing w:after="200"/>
              <w:ind w:left="720"/>
              <w:rPr>
                <w:b/>
                <w:bCs/>
              </w:rPr>
            </w:pPr>
            <w:r w:rsidRPr="00D94E47">
              <w:rPr>
                <w:b/>
                <w:bCs/>
                <w:highlight w:val="yellow"/>
              </w:rPr>
              <w:t>This is to include your daily rate and overall cost.</w:t>
            </w:r>
            <w:r w:rsidRPr="008E7032">
              <w:rPr>
                <w:b/>
                <w:bCs/>
              </w:rPr>
              <w:t xml:space="preserve"> </w:t>
            </w:r>
          </w:p>
          <w:p w14:paraId="19C4E3A1" w14:textId="77777777" w:rsidR="00153637" w:rsidRPr="008E7032" w:rsidRDefault="00153637" w:rsidP="007D3765">
            <w:pPr>
              <w:spacing w:after="200"/>
              <w:ind w:left="720"/>
              <w:rPr>
                <w:b/>
                <w:bCs/>
              </w:rPr>
            </w:pPr>
            <w:r w:rsidRPr="008E7032">
              <w:rPr>
                <w:b/>
                <w:bCs/>
              </w:rPr>
              <w:t>State clearly whether your costs include the ‘co-ordination’ minute taking and meeting arrangement etc or whether this would need to be sourced separately</w:t>
            </w:r>
            <w:r>
              <w:rPr>
                <w:b/>
                <w:bCs/>
              </w:rPr>
              <w:t>/provided by the SAB</w:t>
            </w:r>
            <w:r w:rsidRPr="008E7032">
              <w:rPr>
                <w:b/>
                <w:bCs/>
              </w:rPr>
              <w:t xml:space="preserve">. </w:t>
            </w:r>
          </w:p>
        </w:tc>
        <w:tc>
          <w:tcPr>
            <w:tcW w:w="1276" w:type="dxa"/>
            <w:shd w:val="clear" w:color="auto" w:fill="B4C6E7" w:themeFill="accent1" w:themeFillTint="66"/>
          </w:tcPr>
          <w:p w14:paraId="315D5ED2" w14:textId="77777777" w:rsidR="00153637" w:rsidRPr="00274F64" w:rsidRDefault="00153637" w:rsidP="007D3765">
            <w:pPr>
              <w:spacing w:after="200"/>
              <w:rPr>
                <w:b/>
                <w:bCs/>
              </w:rPr>
            </w:pPr>
            <w:r>
              <w:rPr>
                <w:b/>
                <w:bCs/>
              </w:rPr>
              <w:t xml:space="preserve">20 points: </w:t>
            </w:r>
          </w:p>
        </w:tc>
      </w:tr>
      <w:tr w:rsidR="00153637" w:rsidRPr="00274F64" w14:paraId="23204FB4" w14:textId="77777777" w:rsidTr="007D3765">
        <w:trPr>
          <w:trHeight w:val="463"/>
        </w:trPr>
        <w:tc>
          <w:tcPr>
            <w:tcW w:w="8075" w:type="dxa"/>
            <w:tcBorders>
              <w:bottom w:val="single" w:sz="4" w:space="0" w:color="auto"/>
            </w:tcBorders>
            <w:shd w:val="clear" w:color="auto" w:fill="auto"/>
          </w:tcPr>
          <w:tbl>
            <w:tblPr>
              <w:tblW w:w="7500" w:type="dxa"/>
              <w:tblLook w:val="04A0" w:firstRow="1" w:lastRow="0" w:firstColumn="1" w:lastColumn="0" w:noHBand="0" w:noVBand="1"/>
            </w:tblPr>
            <w:tblGrid>
              <w:gridCol w:w="6540"/>
              <w:gridCol w:w="960"/>
            </w:tblGrid>
            <w:tr w:rsidR="00153637" w:rsidRPr="00355F3E" w14:paraId="142F3170" w14:textId="77777777" w:rsidTr="00153637">
              <w:trPr>
                <w:trHeight w:val="300"/>
              </w:trPr>
              <w:tc>
                <w:tcPr>
                  <w:tcW w:w="6540" w:type="dxa"/>
                  <w:tcBorders>
                    <w:top w:val="nil"/>
                    <w:left w:val="nil"/>
                    <w:bottom w:val="nil"/>
                    <w:right w:val="nil"/>
                  </w:tcBorders>
                  <w:shd w:val="clear" w:color="auto" w:fill="auto"/>
                  <w:noWrap/>
                  <w:vAlign w:val="bottom"/>
                </w:tcPr>
                <w:p w14:paraId="5F9E6D96" w14:textId="1225059B" w:rsidR="00153637" w:rsidRPr="00355F3E" w:rsidRDefault="00153637" w:rsidP="00153637">
                  <w:pPr>
                    <w:spacing w:after="160" w:line="259" w:lineRule="auto"/>
                    <w:rPr>
                      <w:color w:val="000000"/>
                      <w:lang w:eastAsia="en-GB"/>
                    </w:rPr>
                  </w:pPr>
                </w:p>
              </w:tc>
              <w:tc>
                <w:tcPr>
                  <w:tcW w:w="960" w:type="dxa"/>
                  <w:tcBorders>
                    <w:top w:val="nil"/>
                    <w:left w:val="nil"/>
                    <w:bottom w:val="nil"/>
                    <w:right w:val="nil"/>
                  </w:tcBorders>
                  <w:shd w:val="clear" w:color="auto" w:fill="auto"/>
                  <w:noWrap/>
                  <w:vAlign w:val="bottom"/>
                </w:tcPr>
                <w:p w14:paraId="5BDEFA24" w14:textId="5E879326" w:rsidR="00153637" w:rsidRPr="00355F3E" w:rsidRDefault="00153637" w:rsidP="007D3765">
                  <w:pPr>
                    <w:jc w:val="center"/>
                    <w:rPr>
                      <w:color w:val="000000"/>
                      <w:lang w:eastAsia="en-GB"/>
                    </w:rPr>
                  </w:pPr>
                </w:p>
              </w:tc>
            </w:tr>
            <w:tr w:rsidR="00153637" w:rsidRPr="00355F3E" w14:paraId="0D612045" w14:textId="77777777" w:rsidTr="00153637">
              <w:trPr>
                <w:trHeight w:val="300"/>
              </w:trPr>
              <w:tc>
                <w:tcPr>
                  <w:tcW w:w="6540" w:type="dxa"/>
                  <w:tcBorders>
                    <w:top w:val="nil"/>
                    <w:left w:val="nil"/>
                    <w:bottom w:val="nil"/>
                    <w:right w:val="nil"/>
                  </w:tcBorders>
                  <w:shd w:val="clear" w:color="auto" w:fill="auto"/>
                  <w:noWrap/>
                  <w:vAlign w:val="bottom"/>
                </w:tcPr>
                <w:p w14:paraId="718860EA" w14:textId="19AC87C4" w:rsidR="00153637" w:rsidRPr="00355F3E" w:rsidRDefault="00153637" w:rsidP="007D3765">
                  <w:pPr>
                    <w:rPr>
                      <w:color w:val="000000"/>
                      <w:lang w:eastAsia="en-GB"/>
                    </w:rPr>
                  </w:pPr>
                </w:p>
              </w:tc>
              <w:tc>
                <w:tcPr>
                  <w:tcW w:w="960" w:type="dxa"/>
                  <w:tcBorders>
                    <w:top w:val="nil"/>
                    <w:left w:val="nil"/>
                    <w:bottom w:val="nil"/>
                    <w:right w:val="nil"/>
                  </w:tcBorders>
                  <w:shd w:val="clear" w:color="auto" w:fill="auto"/>
                  <w:noWrap/>
                  <w:vAlign w:val="bottom"/>
                </w:tcPr>
                <w:p w14:paraId="17FAD8F0" w14:textId="3154B4E5" w:rsidR="00153637" w:rsidRPr="00355F3E" w:rsidRDefault="00153637" w:rsidP="007D3765">
                  <w:pPr>
                    <w:jc w:val="center"/>
                    <w:rPr>
                      <w:color w:val="000000"/>
                      <w:lang w:eastAsia="en-GB"/>
                    </w:rPr>
                  </w:pPr>
                </w:p>
              </w:tc>
            </w:tr>
            <w:tr w:rsidR="00153637" w:rsidRPr="00355F3E" w14:paraId="1CBBB26F" w14:textId="77777777" w:rsidTr="00153637">
              <w:trPr>
                <w:trHeight w:val="300"/>
              </w:trPr>
              <w:tc>
                <w:tcPr>
                  <w:tcW w:w="6540" w:type="dxa"/>
                  <w:tcBorders>
                    <w:top w:val="nil"/>
                    <w:left w:val="nil"/>
                    <w:bottom w:val="nil"/>
                    <w:right w:val="nil"/>
                  </w:tcBorders>
                  <w:shd w:val="clear" w:color="auto" w:fill="auto"/>
                  <w:noWrap/>
                  <w:vAlign w:val="bottom"/>
                </w:tcPr>
                <w:p w14:paraId="621FA991" w14:textId="7A33A2C2" w:rsidR="00153637" w:rsidRPr="00355F3E" w:rsidRDefault="00153637" w:rsidP="007D3765">
                  <w:pPr>
                    <w:rPr>
                      <w:color w:val="000000"/>
                      <w:lang w:eastAsia="en-GB"/>
                    </w:rPr>
                  </w:pPr>
                </w:p>
              </w:tc>
              <w:tc>
                <w:tcPr>
                  <w:tcW w:w="960" w:type="dxa"/>
                  <w:tcBorders>
                    <w:top w:val="nil"/>
                    <w:left w:val="nil"/>
                    <w:bottom w:val="nil"/>
                    <w:right w:val="nil"/>
                  </w:tcBorders>
                  <w:shd w:val="clear" w:color="auto" w:fill="auto"/>
                  <w:noWrap/>
                  <w:vAlign w:val="bottom"/>
                </w:tcPr>
                <w:p w14:paraId="73B909D9" w14:textId="0AE12420" w:rsidR="00153637" w:rsidRPr="00355F3E" w:rsidRDefault="00153637" w:rsidP="007D3765">
                  <w:pPr>
                    <w:jc w:val="center"/>
                    <w:rPr>
                      <w:color w:val="000000"/>
                      <w:lang w:eastAsia="en-GB"/>
                    </w:rPr>
                  </w:pPr>
                </w:p>
              </w:tc>
            </w:tr>
            <w:tr w:rsidR="00153637" w:rsidRPr="00355F3E" w14:paraId="7E3385E7" w14:textId="77777777" w:rsidTr="00153637">
              <w:trPr>
                <w:trHeight w:val="300"/>
              </w:trPr>
              <w:tc>
                <w:tcPr>
                  <w:tcW w:w="6540" w:type="dxa"/>
                  <w:tcBorders>
                    <w:top w:val="nil"/>
                    <w:left w:val="nil"/>
                    <w:bottom w:val="nil"/>
                    <w:right w:val="nil"/>
                  </w:tcBorders>
                  <w:shd w:val="clear" w:color="auto" w:fill="auto"/>
                  <w:noWrap/>
                  <w:vAlign w:val="bottom"/>
                </w:tcPr>
                <w:p w14:paraId="67B915AD" w14:textId="25CFB183" w:rsidR="00153637" w:rsidRPr="00355F3E" w:rsidRDefault="00153637" w:rsidP="007D3765">
                  <w:pPr>
                    <w:rPr>
                      <w:color w:val="000000"/>
                      <w:lang w:eastAsia="en-GB"/>
                    </w:rPr>
                  </w:pPr>
                </w:p>
              </w:tc>
              <w:tc>
                <w:tcPr>
                  <w:tcW w:w="960" w:type="dxa"/>
                  <w:tcBorders>
                    <w:top w:val="nil"/>
                    <w:left w:val="nil"/>
                    <w:bottom w:val="nil"/>
                    <w:right w:val="nil"/>
                  </w:tcBorders>
                  <w:shd w:val="clear" w:color="auto" w:fill="auto"/>
                  <w:noWrap/>
                  <w:vAlign w:val="bottom"/>
                </w:tcPr>
                <w:p w14:paraId="42818762" w14:textId="29F7E317" w:rsidR="00153637" w:rsidRPr="00355F3E" w:rsidRDefault="00153637" w:rsidP="007D3765">
                  <w:pPr>
                    <w:jc w:val="center"/>
                    <w:rPr>
                      <w:color w:val="000000"/>
                      <w:lang w:eastAsia="en-GB"/>
                    </w:rPr>
                  </w:pPr>
                </w:p>
              </w:tc>
            </w:tr>
            <w:tr w:rsidR="00153637" w:rsidRPr="00355F3E" w14:paraId="3E75A279" w14:textId="77777777" w:rsidTr="00153637">
              <w:trPr>
                <w:trHeight w:val="300"/>
              </w:trPr>
              <w:tc>
                <w:tcPr>
                  <w:tcW w:w="6540" w:type="dxa"/>
                  <w:tcBorders>
                    <w:top w:val="nil"/>
                    <w:left w:val="nil"/>
                    <w:bottom w:val="nil"/>
                    <w:right w:val="nil"/>
                  </w:tcBorders>
                  <w:shd w:val="clear" w:color="auto" w:fill="auto"/>
                  <w:noWrap/>
                  <w:vAlign w:val="bottom"/>
                </w:tcPr>
                <w:p w14:paraId="19A4DDD1" w14:textId="5C751AEF" w:rsidR="00153637" w:rsidRPr="00355F3E" w:rsidRDefault="00153637" w:rsidP="007D3765">
                  <w:pPr>
                    <w:rPr>
                      <w:color w:val="000000"/>
                      <w:lang w:eastAsia="en-GB"/>
                    </w:rPr>
                  </w:pPr>
                </w:p>
              </w:tc>
              <w:tc>
                <w:tcPr>
                  <w:tcW w:w="960" w:type="dxa"/>
                  <w:tcBorders>
                    <w:top w:val="nil"/>
                    <w:left w:val="nil"/>
                    <w:bottom w:val="nil"/>
                    <w:right w:val="nil"/>
                  </w:tcBorders>
                  <w:shd w:val="clear" w:color="auto" w:fill="auto"/>
                  <w:noWrap/>
                  <w:vAlign w:val="bottom"/>
                </w:tcPr>
                <w:p w14:paraId="64DE47CE" w14:textId="2BD9C55C" w:rsidR="00153637" w:rsidRPr="00355F3E" w:rsidRDefault="00153637" w:rsidP="007D3765">
                  <w:pPr>
                    <w:jc w:val="center"/>
                    <w:rPr>
                      <w:color w:val="000000"/>
                      <w:lang w:eastAsia="en-GB"/>
                    </w:rPr>
                  </w:pPr>
                </w:p>
              </w:tc>
            </w:tr>
            <w:tr w:rsidR="00153637" w:rsidRPr="00355F3E" w14:paraId="4C73B951" w14:textId="77777777" w:rsidTr="00153637">
              <w:trPr>
                <w:trHeight w:val="300"/>
              </w:trPr>
              <w:tc>
                <w:tcPr>
                  <w:tcW w:w="6540" w:type="dxa"/>
                  <w:tcBorders>
                    <w:top w:val="nil"/>
                    <w:left w:val="nil"/>
                    <w:bottom w:val="nil"/>
                    <w:right w:val="nil"/>
                  </w:tcBorders>
                  <w:shd w:val="clear" w:color="auto" w:fill="auto"/>
                  <w:noWrap/>
                  <w:vAlign w:val="bottom"/>
                </w:tcPr>
                <w:p w14:paraId="41E6C05E" w14:textId="29753D70" w:rsidR="00153637" w:rsidRPr="00355F3E" w:rsidRDefault="00153637" w:rsidP="007D3765">
                  <w:pPr>
                    <w:rPr>
                      <w:color w:val="000000"/>
                      <w:lang w:eastAsia="en-GB"/>
                    </w:rPr>
                  </w:pPr>
                </w:p>
              </w:tc>
              <w:tc>
                <w:tcPr>
                  <w:tcW w:w="960" w:type="dxa"/>
                  <w:tcBorders>
                    <w:top w:val="nil"/>
                    <w:left w:val="nil"/>
                    <w:bottom w:val="nil"/>
                    <w:right w:val="nil"/>
                  </w:tcBorders>
                  <w:shd w:val="clear" w:color="auto" w:fill="auto"/>
                  <w:noWrap/>
                  <w:vAlign w:val="bottom"/>
                </w:tcPr>
                <w:p w14:paraId="4C6EA9C5" w14:textId="13972BBA" w:rsidR="00153637" w:rsidRPr="00355F3E" w:rsidRDefault="00153637" w:rsidP="007D3765">
                  <w:pPr>
                    <w:jc w:val="center"/>
                    <w:rPr>
                      <w:color w:val="000000"/>
                      <w:lang w:eastAsia="en-GB"/>
                    </w:rPr>
                  </w:pPr>
                </w:p>
              </w:tc>
            </w:tr>
            <w:tr w:rsidR="00153637" w:rsidRPr="00355F3E" w14:paraId="1F7AF3A0" w14:textId="77777777" w:rsidTr="00153637">
              <w:trPr>
                <w:trHeight w:val="300"/>
              </w:trPr>
              <w:tc>
                <w:tcPr>
                  <w:tcW w:w="6540" w:type="dxa"/>
                  <w:tcBorders>
                    <w:top w:val="nil"/>
                    <w:left w:val="nil"/>
                    <w:bottom w:val="nil"/>
                    <w:right w:val="nil"/>
                  </w:tcBorders>
                  <w:shd w:val="clear" w:color="auto" w:fill="auto"/>
                  <w:noWrap/>
                  <w:vAlign w:val="bottom"/>
                </w:tcPr>
                <w:p w14:paraId="0E992E99" w14:textId="758E93AC" w:rsidR="00153637" w:rsidRPr="00355F3E" w:rsidRDefault="00153637" w:rsidP="007D3765">
                  <w:pPr>
                    <w:rPr>
                      <w:color w:val="000000"/>
                      <w:lang w:eastAsia="en-GB"/>
                    </w:rPr>
                  </w:pPr>
                </w:p>
              </w:tc>
              <w:tc>
                <w:tcPr>
                  <w:tcW w:w="960" w:type="dxa"/>
                  <w:tcBorders>
                    <w:top w:val="nil"/>
                    <w:left w:val="nil"/>
                    <w:bottom w:val="nil"/>
                    <w:right w:val="nil"/>
                  </w:tcBorders>
                  <w:shd w:val="clear" w:color="auto" w:fill="auto"/>
                  <w:noWrap/>
                  <w:vAlign w:val="bottom"/>
                </w:tcPr>
                <w:p w14:paraId="259D52B7" w14:textId="11C2B460" w:rsidR="00153637" w:rsidRPr="00355F3E" w:rsidRDefault="00153637" w:rsidP="007D3765">
                  <w:pPr>
                    <w:jc w:val="center"/>
                    <w:rPr>
                      <w:color w:val="000000"/>
                      <w:lang w:eastAsia="en-GB"/>
                    </w:rPr>
                  </w:pPr>
                </w:p>
              </w:tc>
            </w:tr>
            <w:tr w:rsidR="00153637" w:rsidRPr="00355F3E" w14:paraId="74BE9F8A" w14:textId="77777777" w:rsidTr="00153637">
              <w:trPr>
                <w:trHeight w:val="300"/>
              </w:trPr>
              <w:tc>
                <w:tcPr>
                  <w:tcW w:w="6540" w:type="dxa"/>
                  <w:tcBorders>
                    <w:top w:val="nil"/>
                    <w:left w:val="nil"/>
                    <w:bottom w:val="nil"/>
                    <w:right w:val="nil"/>
                  </w:tcBorders>
                  <w:shd w:val="clear" w:color="auto" w:fill="auto"/>
                  <w:noWrap/>
                  <w:vAlign w:val="bottom"/>
                </w:tcPr>
                <w:p w14:paraId="4AE0FCFE" w14:textId="7724DE94" w:rsidR="00153637" w:rsidRPr="00355F3E" w:rsidRDefault="00153637" w:rsidP="007D3765">
                  <w:pPr>
                    <w:rPr>
                      <w:color w:val="000000"/>
                      <w:lang w:eastAsia="en-GB"/>
                    </w:rPr>
                  </w:pPr>
                </w:p>
              </w:tc>
              <w:tc>
                <w:tcPr>
                  <w:tcW w:w="960" w:type="dxa"/>
                  <w:tcBorders>
                    <w:top w:val="nil"/>
                    <w:left w:val="nil"/>
                    <w:bottom w:val="nil"/>
                    <w:right w:val="nil"/>
                  </w:tcBorders>
                  <w:shd w:val="clear" w:color="auto" w:fill="auto"/>
                  <w:noWrap/>
                  <w:vAlign w:val="bottom"/>
                </w:tcPr>
                <w:p w14:paraId="34567B22" w14:textId="79C434A7" w:rsidR="00153637" w:rsidRPr="00355F3E" w:rsidRDefault="00153637" w:rsidP="007D3765">
                  <w:pPr>
                    <w:jc w:val="center"/>
                    <w:rPr>
                      <w:color w:val="000000"/>
                      <w:lang w:eastAsia="en-GB"/>
                    </w:rPr>
                  </w:pPr>
                </w:p>
              </w:tc>
            </w:tr>
            <w:tr w:rsidR="00153637" w:rsidRPr="00355F3E" w14:paraId="6AA8C518" w14:textId="77777777" w:rsidTr="00153637">
              <w:trPr>
                <w:trHeight w:val="300"/>
              </w:trPr>
              <w:tc>
                <w:tcPr>
                  <w:tcW w:w="6540" w:type="dxa"/>
                  <w:tcBorders>
                    <w:top w:val="nil"/>
                    <w:left w:val="nil"/>
                    <w:bottom w:val="nil"/>
                    <w:right w:val="nil"/>
                  </w:tcBorders>
                  <w:shd w:val="clear" w:color="auto" w:fill="auto"/>
                  <w:noWrap/>
                  <w:vAlign w:val="bottom"/>
                </w:tcPr>
                <w:p w14:paraId="4FFB6951" w14:textId="157FA2D8" w:rsidR="00153637" w:rsidRPr="00355F3E" w:rsidRDefault="00153637" w:rsidP="007D3765">
                  <w:pPr>
                    <w:rPr>
                      <w:color w:val="000000"/>
                      <w:lang w:eastAsia="en-GB"/>
                    </w:rPr>
                  </w:pPr>
                </w:p>
              </w:tc>
              <w:tc>
                <w:tcPr>
                  <w:tcW w:w="960" w:type="dxa"/>
                  <w:tcBorders>
                    <w:top w:val="nil"/>
                    <w:left w:val="nil"/>
                    <w:bottom w:val="nil"/>
                    <w:right w:val="nil"/>
                  </w:tcBorders>
                  <w:shd w:val="clear" w:color="auto" w:fill="auto"/>
                  <w:noWrap/>
                  <w:vAlign w:val="bottom"/>
                </w:tcPr>
                <w:p w14:paraId="7B042FC0" w14:textId="5C7BD3F7" w:rsidR="00153637" w:rsidRPr="00355F3E" w:rsidRDefault="00153637" w:rsidP="007D3765">
                  <w:pPr>
                    <w:jc w:val="center"/>
                    <w:rPr>
                      <w:color w:val="000000"/>
                      <w:lang w:eastAsia="en-GB"/>
                    </w:rPr>
                  </w:pPr>
                </w:p>
              </w:tc>
            </w:tr>
            <w:tr w:rsidR="00153637" w:rsidRPr="00355F3E" w14:paraId="08A1E66B" w14:textId="77777777" w:rsidTr="00153637">
              <w:trPr>
                <w:trHeight w:val="300"/>
              </w:trPr>
              <w:tc>
                <w:tcPr>
                  <w:tcW w:w="6540" w:type="dxa"/>
                  <w:tcBorders>
                    <w:top w:val="nil"/>
                    <w:left w:val="nil"/>
                    <w:bottom w:val="nil"/>
                    <w:right w:val="nil"/>
                  </w:tcBorders>
                  <w:shd w:val="clear" w:color="auto" w:fill="auto"/>
                  <w:noWrap/>
                  <w:vAlign w:val="bottom"/>
                </w:tcPr>
                <w:p w14:paraId="679E1CBB" w14:textId="25E08956" w:rsidR="00153637" w:rsidRPr="00355F3E" w:rsidRDefault="00153637" w:rsidP="007D3765">
                  <w:pPr>
                    <w:rPr>
                      <w:color w:val="000000"/>
                      <w:lang w:eastAsia="en-GB"/>
                    </w:rPr>
                  </w:pPr>
                </w:p>
              </w:tc>
              <w:tc>
                <w:tcPr>
                  <w:tcW w:w="960" w:type="dxa"/>
                  <w:tcBorders>
                    <w:top w:val="nil"/>
                    <w:left w:val="nil"/>
                    <w:bottom w:val="nil"/>
                    <w:right w:val="nil"/>
                  </w:tcBorders>
                  <w:shd w:val="clear" w:color="auto" w:fill="auto"/>
                  <w:noWrap/>
                  <w:vAlign w:val="bottom"/>
                </w:tcPr>
                <w:p w14:paraId="37C12B2B" w14:textId="5C96F276" w:rsidR="00153637" w:rsidRPr="00355F3E" w:rsidRDefault="00153637" w:rsidP="007D3765">
                  <w:pPr>
                    <w:jc w:val="center"/>
                    <w:rPr>
                      <w:color w:val="000000"/>
                      <w:lang w:eastAsia="en-GB"/>
                    </w:rPr>
                  </w:pPr>
                </w:p>
              </w:tc>
            </w:tr>
          </w:tbl>
          <w:p w14:paraId="72353BDF" w14:textId="77777777" w:rsidR="00153637" w:rsidRDefault="00153637" w:rsidP="007D3765">
            <w:pPr>
              <w:spacing w:before="160" w:after="160"/>
              <w:rPr>
                <w:rFonts w:eastAsia="Calibri"/>
              </w:rPr>
            </w:pPr>
            <w:r>
              <w:rPr>
                <w:rFonts w:eastAsia="Calibri"/>
              </w:rPr>
              <w:t xml:space="preserve"> </w:t>
            </w:r>
          </w:p>
          <w:p w14:paraId="5A3178B1" w14:textId="77777777" w:rsidR="00017211" w:rsidRDefault="00017211" w:rsidP="007D3765">
            <w:pPr>
              <w:spacing w:before="160" w:after="160"/>
              <w:rPr>
                <w:rFonts w:eastAsia="Calibri"/>
              </w:rPr>
            </w:pPr>
          </w:p>
          <w:p w14:paraId="7310456D" w14:textId="7F46CCF3" w:rsidR="00017211" w:rsidRPr="005110F5" w:rsidRDefault="00017211" w:rsidP="007D3765">
            <w:pPr>
              <w:spacing w:before="160" w:after="160"/>
              <w:rPr>
                <w:rFonts w:eastAsia="Calibri"/>
              </w:rPr>
            </w:pPr>
          </w:p>
        </w:tc>
        <w:tc>
          <w:tcPr>
            <w:tcW w:w="1276" w:type="dxa"/>
            <w:tcBorders>
              <w:bottom w:val="single" w:sz="4" w:space="0" w:color="auto"/>
            </w:tcBorders>
            <w:shd w:val="clear" w:color="auto" w:fill="DBDBDB" w:themeFill="accent3" w:themeFillTint="66"/>
          </w:tcPr>
          <w:p w14:paraId="5244593D" w14:textId="77777777" w:rsidR="00153637" w:rsidRPr="00971FC7" w:rsidRDefault="00153637" w:rsidP="007D3765">
            <w:pPr>
              <w:rPr>
                <w:bCs/>
              </w:rPr>
            </w:pPr>
          </w:p>
        </w:tc>
      </w:tr>
      <w:tr w:rsidR="00153637" w:rsidRPr="00274F64" w14:paraId="0B780D77" w14:textId="77777777" w:rsidTr="007D3765">
        <w:trPr>
          <w:trHeight w:val="463"/>
        </w:trPr>
        <w:tc>
          <w:tcPr>
            <w:tcW w:w="8075" w:type="dxa"/>
            <w:tcBorders>
              <w:bottom w:val="single" w:sz="4" w:space="0" w:color="auto"/>
            </w:tcBorders>
            <w:shd w:val="clear" w:color="auto" w:fill="B4C6E7" w:themeFill="accent1" w:themeFillTint="66"/>
          </w:tcPr>
          <w:p w14:paraId="299E7E5D" w14:textId="77777777" w:rsidR="00153637" w:rsidRDefault="00153637" w:rsidP="00153637">
            <w:pPr>
              <w:pStyle w:val="ListParagraph"/>
              <w:numPr>
                <w:ilvl w:val="0"/>
                <w:numId w:val="13"/>
              </w:numPr>
              <w:rPr>
                <w:b/>
                <w:bCs/>
              </w:rPr>
            </w:pPr>
            <w:r w:rsidRPr="00D56D20">
              <w:rPr>
                <w:b/>
                <w:bCs/>
              </w:rPr>
              <w:lastRenderedPageBreak/>
              <w:t>Please provide evidence of your skills and experience of engaging in difficult conversation with affected adults and their families?</w:t>
            </w:r>
          </w:p>
          <w:p w14:paraId="406284AF" w14:textId="77777777" w:rsidR="00153637" w:rsidRPr="00D56D20" w:rsidRDefault="00153637" w:rsidP="007D3765">
            <w:pPr>
              <w:pStyle w:val="ListParagraph"/>
              <w:rPr>
                <w:b/>
                <w:bCs/>
              </w:rPr>
            </w:pPr>
          </w:p>
        </w:tc>
        <w:tc>
          <w:tcPr>
            <w:tcW w:w="1276" w:type="dxa"/>
            <w:tcBorders>
              <w:bottom w:val="single" w:sz="4" w:space="0" w:color="auto"/>
            </w:tcBorders>
            <w:shd w:val="clear" w:color="auto" w:fill="B4C6E7" w:themeFill="accent1" w:themeFillTint="66"/>
          </w:tcPr>
          <w:p w14:paraId="1E8911AE" w14:textId="77777777" w:rsidR="00153637" w:rsidRPr="00626C7A" w:rsidRDefault="00153637" w:rsidP="007D3765">
            <w:pPr>
              <w:rPr>
                <w:b/>
                <w:bCs/>
              </w:rPr>
            </w:pPr>
            <w:r>
              <w:rPr>
                <w:b/>
                <w:bCs/>
              </w:rPr>
              <w:t xml:space="preserve">10 points: </w:t>
            </w:r>
          </w:p>
        </w:tc>
      </w:tr>
      <w:tr w:rsidR="00153637" w:rsidRPr="00274F64" w14:paraId="22E9F54E" w14:textId="77777777" w:rsidTr="007D3765">
        <w:trPr>
          <w:trHeight w:val="463"/>
        </w:trPr>
        <w:tc>
          <w:tcPr>
            <w:tcW w:w="8075" w:type="dxa"/>
            <w:tcBorders>
              <w:bottom w:val="single" w:sz="4" w:space="0" w:color="auto"/>
            </w:tcBorders>
            <w:shd w:val="clear" w:color="auto" w:fill="auto"/>
          </w:tcPr>
          <w:p w14:paraId="17A94C20" w14:textId="77777777" w:rsidR="00153637" w:rsidRDefault="00153637" w:rsidP="007D3765">
            <w:pPr>
              <w:rPr>
                <w:bCs/>
              </w:rPr>
            </w:pPr>
            <w:r w:rsidRPr="00971FC7">
              <w:rPr>
                <w:bCs/>
              </w:rPr>
              <w:t>(no more than</w:t>
            </w:r>
            <w:r>
              <w:rPr>
                <w:bCs/>
              </w:rPr>
              <w:t xml:space="preserve"> 500</w:t>
            </w:r>
            <w:r w:rsidRPr="00971FC7">
              <w:rPr>
                <w:bCs/>
              </w:rPr>
              <w:t xml:space="preserve"> words)</w:t>
            </w:r>
          </w:p>
          <w:p w14:paraId="6EC04A0C" w14:textId="77777777" w:rsidR="00B5158E" w:rsidRDefault="00B5158E" w:rsidP="007D3765">
            <w:pPr>
              <w:rPr>
                <w:bCs/>
              </w:rPr>
            </w:pPr>
          </w:p>
          <w:p w14:paraId="431BDF6C" w14:textId="77777777" w:rsidR="00B5158E" w:rsidRDefault="00B5158E" w:rsidP="007D3765">
            <w:pPr>
              <w:rPr>
                <w:bCs/>
              </w:rPr>
            </w:pPr>
          </w:p>
          <w:p w14:paraId="69406907" w14:textId="77777777" w:rsidR="00B5158E" w:rsidRDefault="00B5158E" w:rsidP="007D3765">
            <w:pPr>
              <w:rPr>
                <w:bCs/>
              </w:rPr>
            </w:pPr>
          </w:p>
          <w:p w14:paraId="0D4E5C1F" w14:textId="77777777" w:rsidR="00B5158E" w:rsidRDefault="00B5158E" w:rsidP="007D3765">
            <w:pPr>
              <w:rPr>
                <w:bCs/>
              </w:rPr>
            </w:pPr>
          </w:p>
          <w:p w14:paraId="76231F5E" w14:textId="77777777" w:rsidR="00B5158E" w:rsidRDefault="00B5158E" w:rsidP="007D3765">
            <w:pPr>
              <w:rPr>
                <w:bCs/>
              </w:rPr>
            </w:pPr>
          </w:p>
          <w:p w14:paraId="4B243293" w14:textId="77777777" w:rsidR="00B5158E" w:rsidRDefault="00B5158E" w:rsidP="007D3765">
            <w:pPr>
              <w:rPr>
                <w:bCs/>
              </w:rPr>
            </w:pPr>
          </w:p>
          <w:p w14:paraId="2C1828B4" w14:textId="77777777" w:rsidR="00B5158E" w:rsidRDefault="00B5158E" w:rsidP="007D3765">
            <w:pPr>
              <w:rPr>
                <w:bCs/>
              </w:rPr>
            </w:pPr>
          </w:p>
          <w:p w14:paraId="2C39B0CF" w14:textId="77777777" w:rsidR="00B5158E" w:rsidRDefault="00B5158E" w:rsidP="007D3765">
            <w:pPr>
              <w:rPr>
                <w:bCs/>
              </w:rPr>
            </w:pPr>
          </w:p>
          <w:p w14:paraId="1A7C4507" w14:textId="77777777" w:rsidR="00B5158E" w:rsidRDefault="00B5158E" w:rsidP="007D3765">
            <w:pPr>
              <w:rPr>
                <w:bCs/>
              </w:rPr>
            </w:pPr>
          </w:p>
          <w:p w14:paraId="54DA1C73" w14:textId="77777777" w:rsidR="00153637" w:rsidRDefault="00153637" w:rsidP="007D3765">
            <w:pPr>
              <w:rPr>
                <w:bCs/>
              </w:rPr>
            </w:pPr>
          </w:p>
          <w:p w14:paraId="34109822" w14:textId="08DC7CFD" w:rsidR="00017211" w:rsidRPr="00017211" w:rsidRDefault="00017211" w:rsidP="007D3765">
            <w:pPr>
              <w:spacing w:after="160"/>
              <w:rPr>
                <w:bCs/>
              </w:rPr>
            </w:pPr>
          </w:p>
        </w:tc>
        <w:tc>
          <w:tcPr>
            <w:tcW w:w="1276" w:type="dxa"/>
            <w:tcBorders>
              <w:bottom w:val="single" w:sz="4" w:space="0" w:color="auto"/>
            </w:tcBorders>
            <w:shd w:val="clear" w:color="auto" w:fill="DBDBDB" w:themeFill="accent3" w:themeFillTint="66"/>
          </w:tcPr>
          <w:p w14:paraId="7BA9247E" w14:textId="77777777" w:rsidR="00153637" w:rsidRPr="00971FC7" w:rsidRDefault="00153637" w:rsidP="007D3765">
            <w:pPr>
              <w:rPr>
                <w:bCs/>
              </w:rPr>
            </w:pPr>
          </w:p>
        </w:tc>
      </w:tr>
      <w:tr w:rsidR="00153637" w:rsidRPr="00274F64" w14:paraId="3A7EC3E3" w14:textId="77777777" w:rsidTr="007D3765">
        <w:trPr>
          <w:trHeight w:val="213"/>
        </w:trPr>
        <w:tc>
          <w:tcPr>
            <w:tcW w:w="8075" w:type="dxa"/>
            <w:shd w:val="clear" w:color="auto" w:fill="B4C6E7" w:themeFill="accent1" w:themeFillTint="66"/>
          </w:tcPr>
          <w:p w14:paraId="04746ACF" w14:textId="4E9F8AD1" w:rsidR="00153637" w:rsidRPr="00274F64" w:rsidRDefault="00153637" w:rsidP="00153637">
            <w:pPr>
              <w:pStyle w:val="ListParagraph"/>
              <w:numPr>
                <w:ilvl w:val="0"/>
                <w:numId w:val="13"/>
              </w:numPr>
              <w:rPr>
                <w:bCs/>
              </w:rPr>
            </w:pPr>
            <w:r>
              <w:rPr>
                <w:b/>
                <w:bCs/>
              </w:rPr>
              <w:t xml:space="preserve">Please confirm your availability from </w:t>
            </w:r>
            <w:r w:rsidR="00CF1FF4">
              <w:rPr>
                <w:b/>
                <w:bCs/>
              </w:rPr>
              <w:t>April 2024</w:t>
            </w:r>
            <w:r>
              <w:rPr>
                <w:b/>
                <w:bCs/>
              </w:rPr>
              <w:t xml:space="preserve"> and any dates you are not available</w:t>
            </w:r>
            <w:r w:rsidRPr="00274F64">
              <w:rPr>
                <w:b/>
                <w:bCs/>
              </w:rPr>
              <w:t xml:space="preserve">. </w:t>
            </w:r>
          </w:p>
          <w:p w14:paraId="013246E4" w14:textId="77777777" w:rsidR="00153637" w:rsidRPr="0035357F" w:rsidRDefault="00153637" w:rsidP="007D3765">
            <w:pPr>
              <w:rPr>
                <w:bCs/>
              </w:rPr>
            </w:pPr>
          </w:p>
        </w:tc>
        <w:tc>
          <w:tcPr>
            <w:tcW w:w="1276" w:type="dxa"/>
            <w:shd w:val="clear" w:color="auto" w:fill="B4C6E7" w:themeFill="accent1" w:themeFillTint="66"/>
          </w:tcPr>
          <w:p w14:paraId="00D65B72" w14:textId="77777777" w:rsidR="00153637" w:rsidRPr="00626C7A" w:rsidRDefault="00153637" w:rsidP="007D3765">
            <w:pPr>
              <w:rPr>
                <w:b/>
                <w:bCs/>
              </w:rPr>
            </w:pPr>
            <w:r>
              <w:rPr>
                <w:b/>
                <w:bCs/>
              </w:rPr>
              <w:t xml:space="preserve">5 points: </w:t>
            </w:r>
          </w:p>
        </w:tc>
      </w:tr>
      <w:tr w:rsidR="00153637" w:rsidRPr="00274F64" w14:paraId="42BB0B99" w14:textId="77777777" w:rsidTr="007D3765">
        <w:trPr>
          <w:trHeight w:val="213"/>
        </w:trPr>
        <w:tc>
          <w:tcPr>
            <w:tcW w:w="8075" w:type="dxa"/>
            <w:tcBorders>
              <w:bottom w:val="single" w:sz="4" w:space="0" w:color="auto"/>
            </w:tcBorders>
            <w:shd w:val="clear" w:color="auto" w:fill="auto"/>
          </w:tcPr>
          <w:p w14:paraId="2C2DA588" w14:textId="77777777" w:rsidR="00153637" w:rsidRDefault="00153637" w:rsidP="007D3765">
            <w:pPr>
              <w:pStyle w:val="ListParagraph"/>
              <w:rPr>
                <w:bCs/>
              </w:rPr>
            </w:pPr>
          </w:p>
          <w:p w14:paraId="0003D380" w14:textId="77777777" w:rsidR="00153637" w:rsidRDefault="00153637" w:rsidP="00153637">
            <w:pPr>
              <w:pStyle w:val="ListParagraph"/>
              <w:spacing w:after="80" w:line="259" w:lineRule="auto"/>
              <w:ind w:left="0"/>
              <w:contextualSpacing w:val="0"/>
              <w:rPr>
                <w:bCs/>
              </w:rPr>
            </w:pPr>
          </w:p>
          <w:p w14:paraId="7322D9EE" w14:textId="77777777" w:rsidR="00B5158E" w:rsidRDefault="00B5158E" w:rsidP="00153637">
            <w:pPr>
              <w:pStyle w:val="ListParagraph"/>
              <w:spacing w:after="80" w:line="259" w:lineRule="auto"/>
              <w:ind w:left="0"/>
              <w:contextualSpacing w:val="0"/>
              <w:rPr>
                <w:bCs/>
              </w:rPr>
            </w:pPr>
          </w:p>
          <w:p w14:paraId="3DB9B1EF" w14:textId="77777777" w:rsidR="00B5158E" w:rsidRDefault="00B5158E" w:rsidP="00153637">
            <w:pPr>
              <w:pStyle w:val="ListParagraph"/>
              <w:spacing w:after="80" w:line="259" w:lineRule="auto"/>
              <w:ind w:left="0"/>
              <w:contextualSpacing w:val="0"/>
              <w:rPr>
                <w:bCs/>
              </w:rPr>
            </w:pPr>
          </w:p>
          <w:p w14:paraId="4286F4D7" w14:textId="77777777" w:rsidR="00017211" w:rsidRDefault="00017211" w:rsidP="00153637">
            <w:pPr>
              <w:pStyle w:val="ListParagraph"/>
              <w:spacing w:after="80" w:line="259" w:lineRule="auto"/>
              <w:ind w:left="0"/>
              <w:contextualSpacing w:val="0"/>
              <w:rPr>
                <w:bCs/>
              </w:rPr>
            </w:pPr>
          </w:p>
          <w:p w14:paraId="167787D8" w14:textId="77777777" w:rsidR="00017211" w:rsidRDefault="00017211" w:rsidP="00153637">
            <w:pPr>
              <w:pStyle w:val="ListParagraph"/>
              <w:spacing w:after="80" w:line="259" w:lineRule="auto"/>
              <w:ind w:left="0"/>
              <w:contextualSpacing w:val="0"/>
              <w:rPr>
                <w:bCs/>
              </w:rPr>
            </w:pPr>
          </w:p>
          <w:p w14:paraId="4ADE9071" w14:textId="77777777" w:rsidR="00017211" w:rsidRDefault="00017211" w:rsidP="00153637">
            <w:pPr>
              <w:pStyle w:val="ListParagraph"/>
              <w:spacing w:after="80" w:line="259" w:lineRule="auto"/>
              <w:ind w:left="0"/>
              <w:contextualSpacing w:val="0"/>
              <w:rPr>
                <w:bCs/>
              </w:rPr>
            </w:pPr>
          </w:p>
          <w:p w14:paraId="6AB70061" w14:textId="77777777" w:rsidR="00017211" w:rsidRDefault="00017211" w:rsidP="00153637">
            <w:pPr>
              <w:pStyle w:val="ListParagraph"/>
              <w:spacing w:after="80" w:line="259" w:lineRule="auto"/>
              <w:ind w:left="0"/>
              <w:contextualSpacing w:val="0"/>
              <w:rPr>
                <w:bCs/>
              </w:rPr>
            </w:pPr>
          </w:p>
          <w:p w14:paraId="1BF9DD6B" w14:textId="77777777" w:rsidR="00E33D39" w:rsidRDefault="00E33D39" w:rsidP="00153637">
            <w:pPr>
              <w:pStyle w:val="ListParagraph"/>
              <w:spacing w:after="80" w:line="259" w:lineRule="auto"/>
              <w:ind w:left="0"/>
              <w:contextualSpacing w:val="0"/>
              <w:rPr>
                <w:bCs/>
              </w:rPr>
            </w:pPr>
          </w:p>
          <w:p w14:paraId="0F6483FC" w14:textId="77777777" w:rsidR="00E33D39" w:rsidRDefault="00E33D39" w:rsidP="00153637">
            <w:pPr>
              <w:pStyle w:val="ListParagraph"/>
              <w:spacing w:after="80" w:line="259" w:lineRule="auto"/>
              <w:ind w:left="0"/>
              <w:contextualSpacing w:val="0"/>
              <w:rPr>
                <w:bCs/>
              </w:rPr>
            </w:pPr>
          </w:p>
          <w:p w14:paraId="015E517A" w14:textId="77777777" w:rsidR="00E33D39" w:rsidRDefault="00E33D39" w:rsidP="00153637">
            <w:pPr>
              <w:pStyle w:val="ListParagraph"/>
              <w:spacing w:after="80" w:line="259" w:lineRule="auto"/>
              <w:ind w:left="0"/>
              <w:contextualSpacing w:val="0"/>
              <w:rPr>
                <w:bCs/>
              </w:rPr>
            </w:pPr>
          </w:p>
          <w:p w14:paraId="32836C0B" w14:textId="77777777" w:rsidR="00E33D39" w:rsidRDefault="00E33D39" w:rsidP="00153637">
            <w:pPr>
              <w:pStyle w:val="ListParagraph"/>
              <w:spacing w:after="80" w:line="259" w:lineRule="auto"/>
              <w:ind w:left="0"/>
              <w:contextualSpacing w:val="0"/>
              <w:rPr>
                <w:bCs/>
              </w:rPr>
            </w:pPr>
          </w:p>
          <w:p w14:paraId="575B4354" w14:textId="77777777" w:rsidR="00E33D39" w:rsidRDefault="00E33D39" w:rsidP="00153637">
            <w:pPr>
              <w:pStyle w:val="ListParagraph"/>
              <w:spacing w:after="80" w:line="259" w:lineRule="auto"/>
              <w:ind w:left="0"/>
              <w:contextualSpacing w:val="0"/>
              <w:rPr>
                <w:bCs/>
              </w:rPr>
            </w:pPr>
          </w:p>
          <w:p w14:paraId="2D19CB1D" w14:textId="77777777" w:rsidR="00E33D39" w:rsidRDefault="00E33D39" w:rsidP="00153637">
            <w:pPr>
              <w:pStyle w:val="ListParagraph"/>
              <w:spacing w:after="80" w:line="259" w:lineRule="auto"/>
              <w:ind w:left="0"/>
              <w:contextualSpacing w:val="0"/>
              <w:rPr>
                <w:bCs/>
              </w:rPr>
            </w:pPr>
          </w:p>
          <w:p w14:paraId="63AFA688" w14:textId="77777777" w:rsidR="00E33D39" w:rsidRDefault="00E33D39" w:rsidP="00153637">
            <w:pPr>
              <w:pStyle w:val="ListParagraph"/>
              <w:spacing w:after="80" w:line="259" w:lineRule="auto"/>
              <w:ind w:left="0"/>
              <w:contextualSpacing w:val="0"/>
              <w:rPr>
                <w:bCs/>
              </w:rPr>
            </w:pPr>
          </w:p>
          <w:p w14:paraId="3578587C" w14:textId="77777777" w:rsidR="00E33D39" w:rsidRDefault="00E33D39" w:rsidP="00153637">
            <w:pPr>
              <w:pStyle w:val="ListParagraph"/>
              <w:spacing w:after="80" w:line="259" w:lineRule="auto"/>
              <w:ind w:left="0"/>
              <w:contextualSpacing w:val="0"/>
              <w:rPr>
                <w:bCs/>
              </w:rPr>
            </w:pPr>
          </w:p>
          <w:p w14:paraId="1BBC2BA4" w14:textId="77777777" w:rsidR="00E33D39" w:rsidRDefault="00E33D39" w:rsidP="00153637">
            <w:pPr>
              <w:pStyle w:val="ListParagraph"/>
              <w:spacing w:after="80" w:line="259" w:lineRule="auto"/>
              <w:ind w:left="0"/>
              <w:contextualSpacing w:val="0"/>
              <w:rPr>
                <w:bCs/>
              </w:rPr>
            </w:pPr>
          </w:p>
          <w:p w14:paraId="48E26A46" w14:textId="77777777" w:rsidR="00E33D39" w:rsidRDefault="00E33D39" w:rsidP="00153637">
            <w:pPr>
              <w:pStyle w:val="ListParagraph"/>
              <w:spacing w:after="80" w:line="259" w:lineRule="auto"/>
              <w:ind w:left="0"/>
              <w:contextualSpacing w:val="0"/>
              <w:rPr>
                <w:bCs/>
              </w:rPr>
            </w:pPr>
          </w:p>
          <w:p w14:paraId="6143C095" w14:textId="77777777" w:rsidR="00E33D39" w:rsidRDefault="00E33D39" w:rsidP="00153637">
            <w:pPr>
              <w:pStyle w:val="ListParagraph"/>
              <w:spacing w:after="80" w:line="259" w:lineRule="auto"/>
              <w:ind w:left="0"/>
              <w:contextualSpacing w:val="0"/>
              <w:rPr>
                <w:bCs/>
              </w:rPr>
            </w:pPr>
          </w:p>
          <w:p w14:paraId="0272FC1B" w14:textId="1B0F86F9" w:rsidR="00B5158E" w:rsidRPr="00274F64" w:rsidRDefault="00B5158E" w:rsidP="00153637">
            <w:pPr>
              <w:pStyle w:val="ListParagraph"/>
              <w:spacing w:after="80" w:line="259" w:lineRule="auto"/>
              <w:ind w:left="0"/>
              <w:contextualSpacing w:val="0"/>
              <w:rPr>
                <w:bCs/>
              </w:rPr>
            </w:pPr>
          </w:p>
        </w:tc>
        <w:tc>
          <w:tcPr>
            <w:tcW w:w="1276" w:type="dxa"/>
            <w:tcBorders>
              <w:bottom w:val="single" w:sz="4" w:space="0" w:color="auto"/>
            </w:tcBorders>
            <w:shd w:val="clear" w:color="auto" w:fill="DBDBDB" w:themeFill="accent3" w:themeFillTint="66"/>
          </w:tcPr>
          <w:p w14:paraId="103E57CD" w14:textId="77777777" w:rsidR="00153637" w:rsidRDefault="00153637" w:rsidP="007D3765">
            <w:pPr>
              <w:pStyle w:val="ListParagraph"/>
              <w:rPr>
                <w:bCs/>
              </w:rPr>
            </w:pPr>
          </w:p>
        </w:tc>
      </w:tr>
      <w:tr w:rsidR="00153637" w:rsidRPr="00274F64" w14:paraId="1C511D63" w14:textId="77777777" w:rsidTr="007D3765">
        <w:trPr>
          <w:trHeight w:val="213"/>
        </w:trPr>
        <w:tc>
          <w:tcPr>
            <w:tcW w:w="8075" w:type="dxa"/>
            <w:shd w:val="clear" w:color="auto" w:fill="B4C6E7" w:themeFill="accent1" w:themeFillTint="66"/>
          </w:tcPr>
          <w:p w14:paraId="1CB8B8F0" w14:textId="77777777" w:rsidR="00153637" w:rsidRPr="00DD4D20" w:rsidRDefault="00153637" w:rsidP="007D3765">
            <w:pPr>
              <w:ind w:left="720"/>
              <w:rPr>
                <w:b/>
                <w:lang w:val="en-US"/>
              </w:rPr>
            </w:pPr>
            <w:r w:rsidRPr="00DD4D20">
              <w:rPr>
                <w:b/>
                <w:bCs/>
              </w:rPr>
              <w:lastRenderedPageBreak/>
              <w:t>1</w:t>
            </w:r>
            <w:r>
              <w:rPr>
                <w:b/>
                <w:bCs/>
              </w:rPr>
              <w:t xml:space="preserve">1 </w:t>
            </w:r>
            <w:r w:rsidRPr="00DD4D20">
              <w:rPr>
                <w:b/>
                <w:bCs/>
              </w:rPr>
              <w:t xml:space="preserve">. Please confirm the limit of indemnity of </w:t>
            </w:r>
            <w:r w:rsidRPr="00DD4D20">
              <w:rPr>
                <w:b/>
                <w:lang w:val="en-US"/>
              </w:rPr>
              <w:t>public liability insurance held and also limit of indemnity of professional indemnity insurance held.  If you have employees to assist with the review please also advise the amount held for employee liability. The expected amounts are as follows:</w:t>
            </w:r>
          </w:p>
          <w:p w14:paraId="759B862F" w14:textId="77777777" w:rsidR="00153637" w:rsidRDefault="00153637" w:rsidP="007D3765">
            <w:pPr>
              <w:pStyle w:val="ListParagraph"/>
              <w:rPr>
                <w:rFonts w:asciiTheme="minorHAnsi" w:hAnsiTheme="minorHAnsi" w:cstheme="minorHAnsi"/>
                <w:bCs/>
              </w:rPr>
            </w:pPr>
            <w:r>
              <w:rPr>
                <w:rFonts w:asciiTheme="minorHAnsi" w:hAnsiTheme="minorHAnsi" w:cstheme="minorHAnsi"/>
                <w:bCs/>
              </w:rPr>
              <w:t>Public Liability Insurance Limit: £5 million</w:t>
            </w:r>
          </w:p>
          <w:p w14:paraId="6A779F59" w14:textId="77777777" w:rsidR="00153637" w:rsidRDefault="00153637" w:rsidP="007D3765">
            <w:pPr>
              <w:ind w:left="720"/>
              <w:rPr>
                <w:rFonts w:asciiTheme="minorHAnsi" w:hAnsiTheme="minorHAnsi" w:cstheme="minorHAnsi"/>
                <w:bCs/>
              </w:rPr>
            </w:pPr>
            <w:r>
              <w:rPr>
                <w:rFonts w:asciiTheme="minorHAnsi" w:hAnsiTheme="minorHAnsi" w:cstheme="minorHAnsi"/>
                <w:bCs/>
              </w:rPr>
              <w:t>Professional Indemnity Insurance Limit: £1 million</w:t>
            </w:r>
          </w:p>
          <w:p w14:paraId="0A29174A" w14:textId="77777777" w:rsidR="00153637" w:rsidRDefault="00153637" w:rsidP="007D3765">
            <w:pPr>
              <w:ind w:left="720"/>
              <w:rPr>
                <w:rFonts w:asciiTheme="minorHAnsi" w:hAnsiTheme="minorHAnsi" w:cstheme="minorHAnsi"/>
                <w:bCs/>
              </w:rPr>
            </w:pPr>
            <w:r>
              <w:rPr>
                <w:rFonts w:asciiTheme="minorHAnsi" w:hAnsiTheme="minorHAnsi" w:cstheme="minorHAnsi"/>
                <w:bCs/>
              </w:rPr>
              <w:t>Employee Liability Insurance Limit: £5 million (if applicable)</w:t>
            </w:r>
          </w:p>
          <w:p w14:paraId="656F3252" w14:textId="77777777" w:rsidR="00153637" w:rsidRDefault="00153637" w:rsidP="007D3765">
            <w:pPr>
              <w:ind w:left="360"/>
              <w:rPr>
                <w:b/>
                <w:lang w:val="en-US"/>
              </w:rPr>
            </w:pPr>
          </w:p>
          <w:p w14:paraId="75EA55B8" w14:textId="77777777" w:rsidR="00153637" w:rsidRDefault="00153637" w:rsidP="007D3765">
            <w:pPr>
              <w:pStyle w:val="ListParagraph"/>
              <w:ind w:left="0"/>
              <w:rPr>
                <w:bCs/>
              </w:rPr>
            </w:pPr>
          </w:p>
          <w:p w14:paraId="39E75D32" w14:textId="77777777" w:rsidR="00153637" w:rsidRPr="0035357F" w:rsidRDefault="00153637" w:rsidP="007D3765">
            <w:pPr>
              <w:pStyle w:val="ListParagraph"/>
              <w:rPr>
                <w:b/>
                <w:bCs/>
              </w:rPr>
            </w:pPr>
            <w:r>
              <w:rPr>
                <w:b/>
                <w:bCs/>
              </w:rPr>
              <w:t>PLEASE NOTE: If you do not have or are unable to obtain public liability professional indemnity insurance and employee liability insurance (if applicable)  you will unfortunately be unable to be considered for the role of Chair/Author for this Safeguarding Adults Review. If they are not within the expected levels please contact the SSAB directly to discuss.</w:t>
            </w:r>
          </w:p>
        </w:tc>
        <w:tc>
          <w:tcPr>
            <w:tcW w:w="1276" w:type="dxa"/>
            <w:shd w:val="clear" w:color="auto" w:fill="B4C6E7" w:themeFill="accent1" w:themeFillTint="66"/>
          </w:tcPr>
          <w:p w14:paraId="7BEF099F" w14:textId="77777777" w:rsidR="00153637" w:rsidRPr="00DD4D20" w:rsidRDefault="00153637" w:rsidP="007D3765">
            <w:pPr>
              <w:rPr>
                <w:b/>
                <w:bCs/>
              </w:rPr>
            </w:pPr>
            <w:r>
              <w:rPr>
                <w:b/>
                <w:bCs/>
              </w:rPr>
              <w:t xml:space="preserve">5 points: </w:t>
            </w:r>
          </w:p>
        </w:tc>
      </w:tr>
      <w:tr w:rsidR="00153637" w:rsidRPr="00274F64" w14:paraId="5DF2993C" w14:textId="77777777" w:rsidTr="007D3765">
        <w:trPr>
          <w:trHeight w:val="213"/>
        </w:trPr>
        <w:tc>
          <w:tcPr>
            <w:tcW w:w="8075" w:type="dxa"/>
            <w:shd w:val="clear" w:color="auto" w:fill="auto"/>
          </w:tcPr>
          <w:p w14:paraId="6EE125EB" w14:textId="77777777" w:rsidR="00153637" w:rsidRDefault="00153637" w:rsidP="007D3765">
            <w:pPr>
              <w:pStyle w:val="ListParagraph"/>
              <w:ind w:left="0"/>
              <w:rPr>
                <w:rFonts w:asciiTheme="minorHAnsi" w:hAnsiTheme="minorHAnsi" w:cstheme="minorHAnsi"/>
                <w:bCs/>
              </w:rPr>
            </w:pPr>
          </w:p>
          <w:p w14:paraId="514FB487" w14:textId="77777777" w:rsidR="00153637" w:rsidRDefault="00153637" w:rsidP="00153637">
            <w:pPr>
              <w:pStyle w:val="ListParagraph"/>
              <w:ind w:left="0"/>
              <w:rPr>
                <w:bCs/>
              </w:rPr>
            </w:pPr>
          </w:p>
          <w:p w14:paraId="58E5BBD1" w14:textId="77777777" w:rsidR="00B5158E" w:rsidRDefault="00B5158E" w:rsidP="00153637">
            <w:pPr>
              <w:pStyle w:val="ListParagraph"/>
              <w:ind w:left="0"/>
              <w:rPr>
                <w:bCs/>
              </w:rPr>
            </w:pPr>
          </w:p>
          <w:p w14:paraId="78B57874" w14:textId="77777777" w:rsidR="00B5158E" w:rsidRDefault="00B5158E" w:rsidP="00153637">
            <w:pPr>
              <w:pStyle w:val="ListParagraph"/>
              <w:ind w:left="0"/>
              <w:rPr>
                <w:bCs/>
              </w:rPr>
            </w:pPr>
          </w:p>
          <w:p w14:paraId="3E58B266" w14:textId="77777777" w:rsidR="00B5158E" w:rsidRDefault="00B5158E" w:rsidP="00153637">
            <w:pPr>
              <w:pStyle w:val="ListParagraph"/>
              <w:ind w:left="0"/>
              <w:rPr>
                <w:bCs/>
              </w:rPr>
            </w:pPr>
          </w:p>
          <w:p w14:paraId="5C173AAB" w14:textId="77777777" w:rsidR="00B5158E" w:rsidRDefault="00B5158E" w:rsidP="00153637">
            <w:pPr>
              <w:pStyle w:val="ListParagraph"/>
              <w:ind w:left="0"/>
              <w:rPr>
                <w:bCs/>
              </w:rPr>
            </w:pPr>
          </w:p>
          <w:p w14:paraId="68AEA859" w14:textId="77777777" w:rsidR="00B5158E" w:rsidRDefault="00B5158E" w:rsidP="00153637">
            <w:pPr>
              <w:pStyle w:val="ListParagraph"/>
              <w:ind w:left="0"/>
              <w:rPr>
                <w:bCs/>
              </w:rPr>
            </w:pPr>
          </w:p>
          <w:p w14:paraId="53620754" w14:textId="77777777" w:rsidR="00B5158E" w:rsidRDefault="00B5158E" w:rsidP="00153637">
            <w:pPr>
              <w:pStyle w:val="ListParagraph"/>
              <w:ind w:left="0"/>
              <w:rPr>
                <w:bCs/>
              </w:rPr>
            </w:pPr>
          </w:p>
          <w:p w14:paraId="4C28AC10" w14:textId="77777777" w:rsidR="00B5158E" w:rsidRDefault="00B5158E" w:rsidP="00153637">
            <w:pPr>
              <w:pStyle w:val="ListParagraph"/>
              <w:ind w:left="0"/>
              <w:rPr>
                <w:bCs/>
              </w:rPr>
            </w:pPr>
          </w:p>
          <w:p w14:paraId="0DD37C2E" w14:textId="72C00910" w:rsidR="00B5158E" w:rsidRPr="00274F64" w:rsidRDefault="00B5158E" w:rsidP="00153637">
            <w:pPr>
              <w:pStyle w:val="ListParagraph"/>
              <w:ind w:left="0"/>
              <w:rPr>
                <w:bCs/>
              </w:rPr>
            </w:pPr>
          </w:p>
        </w:tc>
        <w:tc>
          <w:tcPr>
            <w:tcW w:w="1276" w:type="dxa"/>
            <w:shd w:val="clear" w:color="auto" w:fill="DBDBDB" w:themeFill="accent3" w:themeFillTint="66"/>
          </w:tcPr>
          <w:p w14:paraId="054FB580" w14:textId="77777777" w:rsidR="00153637" w:rsidRDefault="00153637" w:rsidP="007D3765">
            <w:pPr>
              <w:pStyle w:val="ListParagraph"/>
              <w:ind w:left="0"/>
              <w:rPr>
                <w:rFonts w:asciiTheme="minorHAnsi" w:hAnsiTheme="minorHAnsi" w:cstheme="minorHAnsi"/>
                <w:bCs/>
              </w:rPr>
            </w:pPr>
          </w:p>
        </w:tc>
      </w:tr>
      <w:tr w:rsidR="005E6FCF" w:rsidRPr="00274F64" w14:paraId="5AE6CE81" w14:textId="77777777" w:rsidTr="007D3765">
        <w:trPr>
          <w:trHeight w:val="213"/>
        </w:trPr>
        <w:tc>
          <w:tcPr>
            <w:tcW w:w="8075" w:type="dxa"/>
            <w:shd w:val="clear" w:color="auto" w:fill="auto"/>
          </w:tcPr>
          <w:p w14:paraId="672164F0" w14:textId="0582DB73" w:rsidR="005E6FCF" w:rsidRPr="005E6FCF" w:rsidRDefault="005E6FCF" w:rsidP="007D3765">
            <w:pPr>
              <w:pStyle w:val="ListParagraph"/>
              <w:ind w:left="0"/>
              <w:rPr>
                <w:rFonts w:asciiTheme="minorHAnsi" w:hAnsiTheme="minorHAnsi" w:cstheme="minorHAnsi"/>
                <w:b/>
              </w:rPr>
            </w:pPr>
            <w:r w:rsidRPr="005E6FCF">
              <w:rPr>
                <w:rFonts w:asciiTheme="minorHAnsi" w:hAnsiTheme="minorHAnsi" w:cstheme="minorHAnsi"/>
                <w:b/>
                <w:sz w:val="24"/>
                <w:szCs w:val="24"/>
              </w:rPr>
              <w:t>Please return completed author application forms to</w:t>
            </w:r>
            <w:r>
              <w:rPr>
                <w:rFonts w:asciiTheme="minorHAnsi" w:hAnsiTheme="minorHAnsi" w:cstheme="minorHAnsi"/>
                <w:bCs/>
              </w:rPr>
              <w:t>:</w:t>
            </w:r>
            <w:r w:rsidRPr="005E6FCF">
              <w:rPr>
                <w:rFonts w:asciiTheme="minorHAnsi" w:hAnsiTheme="minorHAnsi" w:cstheme="minorHAnsi"/>
                <w:bCs/>
              </w:rPr>
              <w:t xml:space="preserve"> </w:t>
            </w:r>
            <w:hyperlink r:id="rId7" w:history="1">
              <w:r w:rsidRPr="005E6FCF">
                <w:rPr>
                  <w:rStyle w:val="Hyperlink"/>
                  <w:rFonts w:asciiTheme="minorHAnsi" w:hAnsiTheme="minorHAnsi" w:cstheme="minorHAnsi"/>
                  <w:bCs/>
                </w:rPr>
                <w:t>safeguardingadultsboard@cornwall.gov.uk</w:t>
              </w:r>
            </w:hyperlink>
          </w:p>
          <w:p w14:paraId="3125B2D6" w14:textId="714B0C3D" w:rsidR="005E6FCF" w:rsidRDefault="005E6FCF" w:rsidP="007D3765">
            <w:pPr>
              <w:pStyle w:val="ListParagraph"/>
              <w:ind w:left="0"/>
              <w:rPr>
                <w:rFonts w:asciiTheme="minorHAnsi" w:hAnsiTheme="minorHAnsi" w:cstheme="minorHAnsi"/>
                <w:bCs/>
              </w:rPr>
            </w:pPr>
          </w:p>
        </w:tc>
        <w:tc>
          <w:tcPr>
            <w:tcW w:w="1276" w:type="dxa"/>
            <w:shd w:val="clear" w:color="auto" w:fill="DBDBDB" w:themeFill="accent3" w:themeFillTint="66"/>
          </w:tcPr>
          <w:p w14:paraId="0E4A7E95" w14:textId="77777777" w:rsidR="005E6FCF" w:rsidRDefault="005E6FCF" w:rsidP="007D3765">
            <w:pPr>
              <w:pStyle w:val="ListParagraph"/>
              <w:ind w:left="0"/>
              <w:rPr>
                <w:rFonts w:asciiTheme="minorHAnsi" w:hAnsiTheme="minorHAnsi" w:cstheme="minorHAnsi"/>
                <w:bCs/>
              </w:rPr>
            </w:pPr>
          </w:p>
        </w:tc>
      </w:tr>
      <w:tr w:rsidR="00153637" w:rsidRPr="000C25A2" w14:paraId="02AA749E" w14:textId="77777777" w:rsidTr="007D3765">
        <w:trPr>
          <w:trHeight w:val="213"/>
        </w:trPr>
        <w:tc>
          <w:tcPr>
            <w:tcW w:w="8075" w:type="dxa"/>
            <w:shd w:val="clear" w:color="auto" w:fill="DBDBDB" w:themeFill="accent3" w:themeFillTint="66"/>
          </w:tcPr>
          <w:p w14:paraId="3EED734E" w14:textId="77777777" w:rsidR="00153637" w:rsidRPr="0020269E" w:rsidRDefault="00153637" w:rsidP="007D3765">
            <w:pPr>
              <w:pStyle w:val="ListParagraph"/>
              <w:ind w:left="0"/>
              <w:rPr>
                <w:rFonts w:asciiTheme="minorHAnsi" w:hAnsiTheme="minorHAnsi" w:cstheme="minorHAnsi"/>
                <w:b/>
              </w:rPr>
            </w:pPr>
            <w:r w:rsidRPr="0020269E">
              <w:rPr>
                <w:rFonts w:asciiTheme="minorHAnsi" w:hAnsiTheme="minorHAnsi" w:cstheme="minorHAnsi"/>
                <w:b/>
              </w:rPr>
              <w:t>Total score</w:t>
            </w:r>
            <w:r>
              <w:rPr>
                <w:rFonts w:asciiTheme="minorHAnsi" w:hAnsiTheme="minorHAnsi" w:cstheme="minorHAnsi"/>
                <w:b/>
              </w:rPr>
              <w:t xml:space="preserve"> out of 100 points</w:t>
            </w:r>
            <w:r w:rsidRPr="0020269E">
              <w:rPr>
                <w:rFonts w:asciiTheme="minorHAnsi" w:hAnsiTheme="minorHAnsi" w:cstheme="minorHAnsi"/>
                <w:b/>
              </w:rPr>
              <w:t>:</w:t>
            </w:r>
          </w:p>
          <w:p w14:paraId="366D4F61" w14:textId="77777777" w:rsidR="00153637" w:rsidRDefault="00153637" w:rsidP="007D3765">
            <w:pPr>
              <w:pStyle w:val="ListParagraph"/>
              <w:ind w:left="0"/>
              <w:rPr>
                <w:rFonts w:asciiTheme="minorHAnsi" w:hAnsiTheme="minorHAnsi" w:cstheme="minorHAnsi"/>
                <w:bCs/>
              </w:rPr>
            </w:pPr>
          </w:p>
        </w:tc>
        <w:tc>
          <w:tcPr>
            <w:tcW w:w="1276" w:type="dxa"/>
            <w:shd w:val="clear" w:color="auto" w:fill="DBDBDB" w:themeFill="accent3" w:themeFillTint="66"/>
          </w:tcPr>
          <w:p w14:paraId="1A8B0020" w14:textId="77777777" w:rsidR="00153637" w:rsidRPr="000C25A2" w:rsidRDefault="00153637" w:rsidP="007D3765">
            <w:pPr>
              <w:pStyle w:val="ListParagraph"/>
              <w:ind w:left="0"/>
              <w:rPr>
                <w:rFonts w:asciiTheme="minorHAnsi" w:hAnsiTheme="minorHAnsi" w:cstheme="minorHAnsi"/>
                <w:bCs/>
                <w:i/>
                <w:iCs/>
                <w:highlight w:val="yellow"/>
              </w:rPr>
            </w:pPr>
            <w:r w:rsidRPr="000C25A2">
              <w:rPr>
                <w:rFonts w:asciiTheme="minorHAnsi" w:hAnsiTheme="minorHAnsi" w:cstheme="minorHAnsi"/>
                <w:bCs/>
                <w:i/>
                <w:iCs/>
                <w:highlight w:val="yellow"/>
              </w:rPr>
              <w:t>ADD</w:t>
            </w:r>
          </w:p>
          <w:p w14:paraId="619094D4" w14:textId="77777777" w:rsidR="00153637" w:rsidRPr="000C25A2" w:rsidRDefault="00153637" w:rsidP="007D3765">
            <w:pPr>
              <w:pStyle w:val="ListParagraph"/>
              <w:ind w:left="0"/>
              <w:rPr>
                <w:rFonts w:asciiTheme="minorHAnsi" w:hAnsiTheme="minorHAnsi" w:cstheme="minorHAnsi"/>
                <w:bCs/>
                <w:highlight w:val="yellow"/>
              </w:rPr>
            </w:pPr>
          </w:p>
        </w:tc>
      </w:tr>
      <w:tr w:rsidR="00153637" w:rsidRPr="00274F64" w14:paraId="17513B6E" w14:textId="77777777" w:rsidTr="007D3765">
        <w:trPr>
          <w:trHeight w:val="213"/>
        </w:trPr>
        <w:tc>
          <w:tcPr>
            <w:tcW w:w="8075" w:type="dxa"/>
            <w:shd w:val="clear" w:color="auto" w:fill="DBDBDB" w:themeFill="accent3" w:themeFillTint="66"/>
          </w:tcPr>
          <w:p w14:paraId="60487E94" w14:textId="77777777" w:rsidR="00153637" w:rsidRDefault="00153637" w:rsidP="007D3765">
            <w:pPr>
              <w:pStyle w:val="ListParagraph"/>
              <w:ind w:left="0"/>
              <w:rPr>
                <w:rFonts w:asciiTheme="minorHAnsi" w:hAnsiTheme="minorHAnsi" w:cstheme="minorHAnsi"/>
                <w:b/>
              </w:rPr>
            </w:pPr>
            <w:r w:rsidRPr="0020269E">
              <w:rPr>
                <w:rFonts w:asciiTheme="minorHAnsi" w:hAnsiTheme="minorHAnsi" w:cstheme="minorHAnsi"/>
                <w:b/>
              </w:rPr>
              <w:t>Comments/feedback</w:t>
            </w:r>
            <w:r>
              <w:rPr>
                <w:rFonts w:asciiTheme="minorHAnsi" w:hAnsiTheme="minorHAnsi" w:cstheme="minorHAnsi"/>
                <w:b/>
              </w:rPr>
              <w:t>:</w:t>
            </w:r>
          </w:p>
          <w:p w14:paraId="582CE1E9" w14:textId="77777777" w:rsidR="00153637" w:rsidRDefault="00153637" w:rsidP="007D3765">
            <w:pPr>
              <w:pStyle w:val="ListParagraph"/>
              <w:ind w:left="0"/>
              <w:rPr>
                <w:rFonts w:asciiTheme="minorHAnsi" w:hAnsiTheme="minorHAnsi" w:cstheme="minorHAnsi"/>
                <w:b/>
              </w:rPr>
            </w:pPr>
          </w:p>
          <w:p w14:paraId="4CE398F0" w14:textId="77777777" w:rsidR="00153637" w:rsidRDefault="00153637" w:rsidP="007D3765">
            <w:pPr>
              <w:pStyle w:val="ListParagraph"/>
              <w:ind w:left="0"/>
              <w:rPr>
                <w:rFonts w:asciiTheme="minorHAnsi" w:hAnsiTheme="minorHAnsi" w:cstheme="minorHAnsi"/>
                <w:b/>
              </w:rPr>
            </w:pPr>
          </w:p>
          <w:p w14:paraId="526EFB3D" w14:textId="77777777" w:rsidR="00153637" w:rsidRPr="0020269E" w:rsidRDefault="00153637" w:rsidP="007D3765">
            <w:pPr>
              <w:pStyle w:val="ListParagraph"/>
              <w:ind w:left="0"/>
              <w:rPr>
                <w:rFonts w:asciiTheme="minorHAnsi" w:hAnsiTheme="minorHAnsi" w:cstheme="minorHAnsi"/>
                <w:b/>
              </w:rPr>
            </w:pPr>
            <w:r w:rsidRPr="0020269E">
              <w:rPr>
                <w:rFonts w:asciiTheme="minorHAnsi" w:hAnsiTheme="minorHAnsi" w:cstheme="minorHAnsi"/>
                <w:b/>
              </w:rPr>
              <w:t xml:space="preserve"> </w:t>
            </w:r>
          </w:p>
        </w:tc>
        <w:tc>
          <w:tcPr>
            <w:tcW w:w="1276" w:type="dxa"/>
            <w:shd w:val="clear" w:color="auto" w:fill="DBDBDB" w:themeFill="accent3" w:themeFillTint="66"/>
          </w:tcPr>
          <w:p w14:paraId="06A93B04" w14:textId="77777777" w:rsidR="00153637" w:rsidRDefault="00153637" w:rsidP="007D3765">
            <w:pPr>
              <w:pStyle w:val="ListParagraph"/>
              <w:ind w:left="0"/>
              <w:rPr>
                <w:rFonts w:asciiTheme="minorHAnsi" w:hAnsiTheme="minorHAnsi" w:cstheme="minorHAnsi"/>
                <w:bCs/>
              </w:rPr>
            </w:pPr>
          </w:p>
          <w:p w14:paraId="2549B27D" w14:textId="77777777" w:rsidR="00153637" w:rsidRDefault="00153637" w:rsidP="007D3765">
            <w:pPr>
              <w:pStyle w:val="ListParagraph"/>
              <w:ind w:left="0"/>
              <w:rPr>
                <w:rFonts w:asciiTheme="minorHAnsi" w:hAnsiTheme="minorHAnsi" w:cstheme="minorHAnsi"/>
                <w:bCs/>
              </w:rPr>
            </w:pPr>
          </w:p>
        </w:tc>
      </w:tr>
      <w:tr w:rsidR="005E5712" w:rsidRPr="00274F64" w14:paraId="04B51710" w14:textId="77777777" w:rsidTr="007D3765">
        <w:trPr>
          <w:trHeight w:val="213"/>
        </w:trPr>
        <w:tc>
          <w:tcPr>
            <w:tcW w:w="8075" w:type="dxa"/>
            <w:shd w:val="clear" w:color="auto" w:fill="DBDBDB" w:themeFill="accent3" w:themeFillTint="66"/>
          </w:tcPr>
          <w:p w14:paraId="3A74DF1C" w14:textId="4BDFE773" w:rsidR="005E5712" w:rsidRPr="0020269E" w:rsidRDefault="005E5712" w:rsidP="007D3765">
            <w:pPr>
              <w:pStyle w:val="ListParagraph"/>
              <w:ind w:left="0"/>
              <w:rPr>
                <w:rFonts w:asciiTheme="minorHAnsi" w:hAnsiTheme="minorHAnsi" w:cstheme="minorHAnsi"/>
                <w:b/>
              </w:rPr>
            </w:pPr>
            <w:r>
              <w:rPr>
                <w:rFonts w:asciiTheme="minorHAnsi" w:hAnsiTheme="minorHAnsi" w:cstheme="minorHAnsi"/>
                <w:b/>
              </w:rPr>
              <w:t xml:space="preserve">Attach CV here – </w:t>
            </w:r>
            <w:r w:rsidRPr="004D50E5">
              <w:rPr>
                <w:rFonts w:asciiTheme="minorHAnsi" w:hAnsiTheme="minorHAnsi" w:cstheme="minorHAnsi"/>
                <w:b/>
                <w:highlight w:val="cyan"/>
              </w:rPr>
              <w:t>please not</w:t>
            </w:r>
            <w:r w:rsidR="00D42A00" w:rsidRPr="004D50E5">
              <w:rPr>
                <w:rFonts w:asciiTheme="minorHAnsi" w:hAnsiTheme="minorHAnsi" w:cstheme="minorHAnsi"/>
                <w:b/>
                <w:highlight w:val="cyan"/>
              </w:rPr>
              <w:t>e</w:t>
            </w:r>
            <w:r w:rsidRPr="004D50E5">
              <w:rPr>
                <w:rFonts w:asciiTheme="minorHAnsi" w:hAnsiTheme="minorHAnsi" w:cstheme="minorHAnsi"/>
                <w:b/>
                <w:highlight w:val="cyan"/>
              </w:rPr>
              <w:t xml:space="preserve"> th</w:t>
            </w:r>
            <w:r w:rsidR="00527946" w:rsidRPr="004D50E5">
              <w:rPr>
                <w:rFonts w:asciiTheme="minorHAnsi" w:hAnsiTheme="minorHAnsi" w:cstheme="minorHAnsi"/>
                <w:b/>
                <w:highlight w:val="cyan"/>
              </w:rPr>
              <w:t xml:space="preserve">is </w:t>
            </w:r>
            <w:r w:rsidRPr="004D50E5">
              <w:rPr>
                <w:rFonts w:asciiTheme="minorHAnsi" w:hAnsiTheme="minorHAnsi" w:cstheme="minorHAnsi"/>
                <w:b/>
                <w:highlight w:val="cyan"/>
              </w:rPr>
              <w:t xml:space="preserve">application form must be </w:t>
            </w:r>
            <w:r w:rsidR="00D42A00" w:rsidRPr="004D50E5">
              <w:rPr>
                <w:rFonts w:asciiTheme="minorHAnsi" w:hAnsiTheme="minorHAnsi" w:cstheme="minorHAnsi"/>
                <w:b/>
                <w:highlight w:val="cyan"/>
              </w:rPr>
              <w:t>fully completed, C</w:t>
            </w:r>
            <w:r w:rsidR="003C61BA" w:rsidRPr="004D50E5">
              <w:rPr>
                <w:rFonts w:asciiTheme="minorHAnsi" w:hAnsiTheme="minorHAnsi" w:cstheme="minorHAnsi"/>
                <w:b/>
                <w:highlight w:val="cyan"/>
              </w:rPr>
              <w:t xml:space="preserve">Vs </w:t>
            </w:r>
            <w:r w:rsidR="003F4425" w:rsidRPr="004D50E5">
              <w:rPr>
                <w:rFonts w:asciiTheme="minorHAnsi" w:hAnsiTheme="minorHAnsi" w:cstheme="minorHAnsi"/>
                <w:b/>
                <w:highlight w:val="cyan"/>
              </w:rPr>
              <w:t>attached on their own</w:t>
            </w:r>
            <w:r w:rsidR="003C61BA" w:rsidRPr="004D50E5">
              <w:rPr>
                <w:rFonts w:asciiTheme="minorHAnsi" w:hAnsiTheme="minorHAnsi" w:cstheme="minorHAnsi"/>
                <w:b/>
                <w:highlight w:val="cyan"/>
              </w:rPr>
              <w:t xml:space="preserve"> will not be </w:t>
            </w:r>
            <w:r w:rsidR="00527946" w:rsidRPr="004D50E5">
              <w:rPr>
                <w:rFonts w:asciiTheme="minorHAnsi" w:hAnsiTheme="minorHAnsi" w:cstheme="minorHAnsi"/>
                <w:b/>
                <w:highlight w:val="cyan"/>
              </w:rPr>
              <w:t>considered</w:t>
            </w:r>
            <w:r w:rsidR="003C61BA" w:rsidRPr="004D50E5">
              <w:rPr>
                <w:rFonts w:asciiTheme="minorHAnsi" w:hAnsiTheme="minorHAnsi" w:cstheme="minorHAnsi"/>
                <w:b/>
                <w:highlight w:val="cyan"/>
              </w:rPr>
              <w:t xml:space="preserve"> as completed applications</w:t>
            </w:r>
            <w:r w:rsidR="004D50E5" w:rsidRPr="004D50E5">
              <w:rPr>
                <w:rFonts w:asciiTheme="minorHAnsi" w:hAnsiTheme="minorHAnsi" w:cstheme="minorHAnsi"/>
                <w:b/>
                <w:highlight w:val="cyan"/>
              </w:rPr>
              <w:t xml:space="preserve"> for this review</w:t>
            </w:r>
            <w:r w:rsidR="003C61BA" w:rsidRPr="004D50E5">
              <w:rPr>
                <w:rFonts w:asciiTheme="minorHAnsi" w:hAnsiTheme="minorHAnsi" w:cstheme="minorHAnsi"/>
                <w:b/>
                <w:highlight w:val="cyan"/>
              </w:rPr>
              <w:t>.</w:t>
            </w:r>
            <w:r w:rsidR="003C61BA">
              <w:rPr>
                <w:rFonts w:asciiTheme="minorHAnsi" w:hAnsiTheme="minorHAnsi" w:cstheme="minorHAnsi"/>
                <w:b/>
              </w:rPr>
              <w:t xml:space="preserve"> </w:t>
            </w:r>
            <w:r w:rsidR="00D42A00">
              <w:rPr>
                <w:rFonts w:asciiTheme="minorHAnsi" w:hAnsiTheme="minorHAnsi" w:cstheme="minorHAnsi"/>
                <w:b/>
              </w:rPr>
              <w:t xml:space="preserve"> </w:t>
            </w:r>
          </w:p>
        </w:tc>
        <w:tc>
          <w:tcPr>
            <w:tcW w:w="1276" w:type="dxa"/>
            <w:shd w:val="clear" w:color="auto" w:fill="DBDBDB" w:themeFill="accent3" w:themeFillTint="66"/>
          </w:tcPr>
          <w:p w14:paraId="37F34887" w14:textId="77777777" w:rsidR="005E5712" w:rsidRDefault="005E5712" w:rsidP="007D3765">
            <w:pPr>
              <w:pStyle w:val="ListParagraph"/>
              <w:ind w:left="0"/>
              <w:rPr>
                <w:rFonts w:asciiTheme="minorHAnsi" w:hAnsiTheme="minorHAnsi" w:cstheme="minorHAnsi"/>
                <w:bCs/>
              </w:rPr>
            </w:pPr>
          </w:p>
          <w:p w14:paraId="2245110B" w14:textId="77777777" w:rsidR="00D42A00" w:rsidRDefault="00D42A00" w:rsidP="007D3765">
            <w:pPr>
              <w:pStyle w:val="ListParagraph"/>
              <w:ind w:left="0"/>
              <w:rPr>
                <w:rFonts w:asciiTheme="minorHAnsi" w:hAnsiTheme="minorHAnsi" w:cstheme="minorHAnsi"/>
                <w:bCs/>
              </w:rPr>
            </w:pPr>
          </w:p>
          <w:p w14:paraId="25BCFCD9" w14:textId="77777777" w:rsidR="00D42A00" w:rsidRDefault="00D42A00" w:rsidP="007D3765">
            <w:pPr>
              <w:pStyle w:val="ListParagraph"/>
              <w:ind w:left="0"/>
              <w:rPr>
                <w:rFonts w:asciiTheme="minorHAnsi" w:hAnsiTheme="minorHAnsi" w:cstheme="minorHAnsi"/>
                <w:bCs/>
              </w:rPr>
            </w:pPr>
          </w:p>
          <w:p w14:paraId="309FFCE1" w14:textId="4EAB893E" w:rsidR="00D42A00" w:rsidRDefault="00D42A00" w:rsidP="007D3765">
            <w:pPr>
              <w:pStyle w:val="ListParagraph"/>
              <w:ind w:left="0"/>
              <w:rPr>
                <w:rFonts w:asciiTheme="minorHAnsi" w:hAnsiTheme="minorHAnsi" w:cstheme="minorHAnsi"/>
                <w:bCs/>
              </w:rPr>
            </w:pPr>
          </w:p>
        </w:tc>
      </w:tr>
    </w:tbl>
    <w:p w14:paraId="2D9FD974" w14:textId="77777777" w:rsidR="00760C17" w:rsidRPr="00760C17" w:rsidRDefault="00760C17" w:rsidP="00760C17">
      <w:pPr>
        <w:rPr>
          <w:lang w:eastAsia="en-GB"/>
        </w:rPr>
      </w:pPr>
    </w:p>
    <w:p w14:paraId="633C9C07" w14:textId="77777777" w:rsidR="00831FBB" w:rsidRPr="00831FBB" w:rsidRDefault="00831FBB" w:rsidP="00831FBB">
      <w:pPr>
        <w:rPr>
          <w:lang w:eastAsia="en-GB"/>
        </w:rPr>
      </w:pPr>
    </w:p>
    <w:p w14:paraId="0B90A115" w14:textId="77777777" w:rsidR="00831FBB" w:rsidRPr="00831FBB" w:rsidRDefault="00831FBB" w:rsidP="00831FBB">
      <w:pPr>
        <w:rPr>
          <w:lang w:eastAsia="en-GB"/>
        </w:rPr>
      </w:pPr>
    </w:p>
    <w:p w14:paraId="2EF2AB90" w14:textId="44731A1B" w:rsidR="00DF2D75" w:rsidRPr="00EC2170" w:rsidRDefault="00DF2D75" w:rsidP="00DF2D75">
      <w:pPr>
        <w:pStyle w:val="Heading1"/>
        <w:spacing w:before="120" w:after="120" w:line="360" w:lineRule="auto"/>
        <w:rPr>
          <w:rFonts w:asciiTheme="minorHAnsi" w:hAnsiTheme="minorHAnsi" w:cstheme="minorHAnsi"/>
          <w:color w:val="auto"/>
          <w:sz w:val="24"/>
          <w:szCs w:val="24"/>
          <w:u w:val="single"/>
          <w:lang w:val="en-US"/>
        </w:rPr>
      </w:pPr>
      <w:r w:rsidRPr="00EC2170">
        <w:rPr>
          <w:rFonts w:asciiTheme="minorHAnsi" w:hAnsiTheme="minorHAnsi" w:cstheme="minorHAnsi"/>
          <w:color w:val="auto"/>
          <w:sz w:val="24"/>
          <w:szCs w:val="24"/>
          <w:u w:val="single"/>
          <w:lang w:val="en-US"/>
        </w:rPr>
        <w:t>6.Submitting Quotes</w:t>
      </w:r>
      <w:r w:rsidR="00EC2170">
        <w:rPr>
          <w:rFonts w:asciiTheme="minorHAnsi" w:hAnsiTheme="minorHAnsi" w:cstheme="minorHAnsi"/>
          <w:color w:val="auto"/>
          <w:sz w:val="24"/>
          <w:szCs w:val="24"/>
          <w:u w:val="single"/>
          <w:lang w:val="en-US"/>
        </w:rPr>
        <w:t>:</w:t>
      </w:r>
    </w:p>
    <w:p w14:paraId="247AA664" w14:textId="77777777" w:rsidR="00EC2170" w:rsidRPr="00EC2170" w:rsidRDefault="00EC2170" w:rsidP="00EC2170">
      <w:pPr>
        <w:spacing w:before="120" w:after="120" w:line="276" w:lineRule="auto"/>
        <w:ind w:left="720" w:hanging="720"/>
        <w:rPr>
          <w:rFonts w:asciiTheme="minorHAnsi" w:hAnsiTheme="minorHAnsi" w:cstheme="minorHAnsi"/>
          <w:sz w:val="24"/>
          <w:szCs w:val="24"/>
        </w:rPr>
      </w:pPr>
      <w:r w:rsidRPr="00EC2170">
        <w:rPr>
          <w:rFonts w:asciiTheme="minorHAnsi" w:hAnsiTheme="minorHAnsi" w:cstheme="minorHAnsi"/>
          <w:sz w:val="24"/>
          <w:szCs w:val="24"/>
        </w:rPr>
        <w:t xml:space="preserve">All Quotes must be written in English and costs submitted are to be presented in Pounds Sterling, exclusive of VAT, but inclusive of all other costs where not stated in </w:t>
      </w:r>
      <w:r w:rsidRPr="00EC2170">
        <w:rPr>
          <w:rFonts w:asciiTheme="minorHAnsi" w:hAnsiTheme="minorHAnsi" w:cstheme="minorHAnsi"/>
          <w:color w:val="000000"/>
          <w:sz w:val="24"/>
          <w:szCs w:val="24"/>
        </w:rPr>
        <w:t>the Pricing</w:t>
      </w:r>
      <w:r w:rsidRPr="00EC2170">
        <w:rPr>
          <w:rFonts w:asciiTheme="minorHAnsi" w:hAnsiTheme="minorHAnsi" w:cstheme="minorHAnsi"/>
          <w:sz w:val="24"/>
          <w:szCs w:val="24"/>
        </w:rPr>
        <w:t xml:space="preserve"> Schedule.</w:t>
      </w:r>
    </w:p>
    <w:p w14:paraId="104E2226" w14:textId="222B9D51" w:rsidR="00EC2170" w:rsidRPr="00EC2170" w:rsidRDefault="00EC2170" w:rsidP="00EC2170">
      <w:pPr>
        <w:spacing w:before="120" w:after="120" w:line="276" w:lineRule="auto"/>
        <w:ind w:left="720" w:hanging="720"/>
        <w:rPr>
          <w:rFonts w:asciiTheme="minorHAnsi" w:hAnsiTheme="minorHAnsi" w:cstheme="minorHAnsi"/>
          <w:sz w:val="24"/>
          <w:szCs w:val="24"/>
        </w:rPr>
      </w:pPr>
      <w:r w:rsidRPr="00EC2170">
        <w:rPr>
          <w:rFonts w:asciiTheme="minorHAnsi" w:hAnsiTheme="minorHAnsi" w:cstheme="minorHAnsi"/>
          <w:sz w:val="24"/>
          <w:szCs w:val="24"/>
        </w:rPr>
        <w:lastRenderedPageBreak/>
        <w:t>8.2</w:t>
      </w:r>
      <w:r w:rsidRPr="00EC2170">
        <w:rPr>
          <w:rFonts w:asciiTheme="minorHAnsi" w:hAnsiTheme="minorHAnsi" w:cstheme="minorHAnsi"/>
          <w:sz w:val="24"/>
          <w:szCs w:val="24"/>
        </w:rPr>
        <w:tab/>
      </w:r>
      <w:r w:rsidRPr="00EC2170">
        <w:rPr>
          <w:rFonts w:asciiTheme="minorHAnsi" w:hAnsiTheme="minorHAnsi" w:cstheme="minorHAnsi"/>
          <w:color w:val="000000"/>
          <w:sz w:val="24"/>
          <w:szCs w:val="24"/>
        </w:rPr>
        <w:t>Only Quotes submitted for th</w:t>
      </w:r>
      <w:r>
        <w:rPr>
          <w:rFonts w:asciiTheme="minorHAnsi" w:hAnsiTheme="minorHAnsi" w:cstheme="minorHAnsi"/>
          <w:color w:val="000000"/>
          <w:sz w:val="24"/>
          <w:szCs w:val="24"/>
        </w:rPr>
        <w:t>is</w:t>
      </w:r>
      <w:r w:rsidRPr="00EC2170">
        <w:rPr>
          <w:rFonts w:asciiTheme="minorHAnsi" w:hAnsiTheme="minorHAnsi" w:cstheme="minorHAnsi"/>
          <w:color w:val="000000"/>
          <w:sz w:val="24"/>
          <w:szCs w:val="24"/>
        </w:rPr>
        <w:t xml:space="preserve"> </w:t>
      </w:r>
      <w:r w:rsidR="001D23B0">
        <w:rPr>
          <w:rFonts w:asciiTheme="minorHAnsi" w:hAnsiTheme="minorHAnsi" w:cstheme="minorHAnsi"/>
          <w:color w:val="000000"/>
          <w:sz w:val="24"/>
          <w:szCs w:val="24"/>
        </w:rPr>
        <w:t xml:space="preserve">joint </w:t>
      </w:r>
      <w:r w:rsidR="00952C05">
        <w:rPr>
          <w:rFonts w:asciiTheme="minorHAnsi" w:hAnsiTheme="minorHAnsi" w:cstheme="minorHAnsi"/>
          <w:color w:val="000000"/>
          <w:sz w:val="24"/>
          <w:szCs w:val="24"/>
        </w:rPr>
        <w:t>Domestic homicide review</w:t>
      </w:r>
      <w:r w:rsidR="001D23B0">
        <w:rPr>
          <w:rFonts w:asciiTheme="minorHAnsi" w:hAnsiTheme="minorHAnsi" w:cstheme="minorHAnsi"/>
          <w:color w:val="000000"/>
          <w:sz w:val="24"/>
          <w:szCs w:val="24"/>
        </w:rPr>
        <w:t>/</w:t>
      </w:r>
      <w:r w:rsidRPr="00EC2170">
        <w:rPr>
          <w:rFonts w:asciiTheme="minorHAnsi" w:hAnsiTheme="minorHAnsi" w:cstheme="minorHAnsi"/>
          <w:color w:val="000000"/>
          <w:sz w:val="24"/>
          <w:szCs w:val="24"/>
        </w:rPr>
        <w:t>Safeguardi</w:t>
      </w:r>
      <w:r>
        <w:rPr>
          <w:rFonts w:asciiTheme="minorHAnsi" w:hAnsiTheme="minorHAnsi" w:cstheme="minorHAnsi"/>
          <w:color w:val="000000"/>
          <w:sz w:val="24"/>
          <w:szCs w:val="24"/>
        </w:rPr>
        <w:t xml:space="preserve">ng adult review SAR authorship </w:t>
      </w:r>
      <w:r w:rsidRPr="00EC2170">
        <w:rPr>
          <w:rFonts w:asciiTheme="minorHAnsi" w:hAnsiTheme="minorHAnsi" w:cstheme="minorHAnsi"/>
          <w:color w:val="000000"/>
          <w:sz w:val="24"/>
          <w:szCs w:val="24"/>
        </w:rPr>
        <w:t xml:space="preserve">which meet the Council’s stated requirements in terms of timescale for delivery/performance/completion will be considered. Bidders shall include responses to all of the Council’s requirements and questions listed in this document. This includes identification of how the stated learning outcomes will be demonstrated. </w:t>
      </w:r>
    </w:p>
    <w:p w14:paraId="2080BAC9" w14:textId="77777777" w:rsidR="00EC2170" w:rsidRPr="00EC2170" w:rsidRDefault="00EC2170" w:rsidP="00EC2170">
      <w:pPr>
        <w:spacing w:before="120" w:after="120" w:line="276" w:lineRule="auto"/>
        <w:ind w:left="720" w:hanging="720"/>
        <w:rPr>
          <w:rFonts w:asciiTheme="minorHAnsi" w:hAnsiTheme="minorHAnsi" w:cstheme="minorHAnsi"/>
          <w:sz w:val="24"/>
          <w:szCs w:val="24"/>
        </w:rPr>
      </w:pPr>
      <w:r w:rsidRPr="00EC2170">
        <w:rPr>
          <w:rFonts w:asciiTheme="minorHAnsi" w:hAnsiTheme="minorHAnsi" w:cstheme="minorHAnsi"/>
          <w:sz w:val="24"/>
          <w:szCs w:val="24"/>
        </w:rPr>
        <w:t>8.3</w:t>
      </w:r>
      <w:r w:rsidRPr="00EC2170">
        <w:rPr>
          <w:rFonts w:asciiTheme="minorHAnsi" w:hAnsiTheme="minorHAnsi" w:cstheme="minorHAnsi"/>
          <w:sz w:val="24"/>
          <w:szCs w:val="24"/>
        </w:rPr>
        <w:tab/>
        <w:t xml:space="preserve">The Quote Proposal must contain good and sufficient details to give a full and fair representation of the proposal and to allow the Council to fully and properly evaluate the Quote Proposal. </w:t>
      </w:r>
    </w:p>
    <w:p w14:paraId="058A8697" w14:textId="77777777" w:rsidR="00EC2170" w:rsidRPr="00EC2170" w:rsidRDefault="00EC2170" w:rsidP="00EC2170">
      <w:pPr>
        <w:spacing w:before="120" w:after="120" w:line="276" w:lineRule="auto"/>
        <w:ind w:left="720" w:hanging="720"/>
        <w:rPr>
          <w:rFonts w:asciiTheme="minorHAnsi" w:hAnsiTheme="minorHAnsi" w:cstheme="minorHAnsi"/>
          <w:sz w:val="24"/>
          <w:szCs w:val="24"/>
        </w:rPr>
      </w:pPr>
      <w:r w:rsidRPr="00EC2170">
        <w:rPr>
          <w:rFonts w:asciiTheme="minorHAnsi" w:hAnsiTheme="minorHAnsi" w:cstheme="minorHAnsi"/>
          <w:sz w:val="24"/>
          <w:szCs w:val="24"/>
        </w:rPr>
        <w:t xml:space="preserve"> 8.4</w:t>
      </w:r>
      <w:r w:rsidRPr="00EC2170">
        <w:rPr>
          <w:rFonts w:asciiTheme="minorHAnsi" w:hAnsiTheme="minorHAnsi" w:cstheme="minorHAnsi"/>
          <w:sz w:val="24"/>
          <w:szCs w:val="24"/>
        </w:rPr>
        <w:tab/>
        <w:t>The Bidder shall be deemed to have obtained all necessary and relevant information for the completion of a quote and to have allowed for all costs in the quote price.  No claim or variation shall be allowed by reason of any failure so to do.</w:t>
      </w:r>
    </w:p>
    <w:p w14:paraId="1D754544" w14:textId="0739F5E0" w:rsidR="00DF2D75" w:rsidRDefault="00DF2D75" w:rsidP="00DF2D75">
      <w:pPr>
        <w:rPr>
          <w:lang w:val="en-US" w:eastAsia="en-GB"/>
        </w:rPr>
      </w:pPr>
    </w:p>
    <w:p w14:paraId="559A3896" w14:textId="77777777" w:rsidR="00EC2170" w:rsidRPr="00DF2D75" w:rsidRDefault="00EC2170" w:rsidP="00DF2D75">
      <w:pPr>
        <w:rPr>
          <w:rFonts w:asciiTheme="minorHAnsi" w:hAnsiTheme="minorHAnsi" w:cstheme="minorHAnsi"/>
          <w:sz w:val="24"/>
          <w:szCs w:val="24"/>
          <w:lang w:val="en-US" w:eastAsia="en-GB"/>
        </w:rPr>
      </w:pPr>
    </w:p>
    <w:p w14:paraId="28FDE2CD" w14:textId="77777777" w:rsidR="00DF2D75" w:rsidRPr="00DF2D75" w:rsidRDefault="00DF2D75" w:rsidP="00DF2D75">
      <w:pPr>
        <w:rPr>
          <w:rFonts w:asciiTheme="minorHAnsi" w:hAnsiTheme="minorHAnsi" w:cstheme="minorHAnsi"/>
          <w:sz w:val="24"/>
          <w:szCs w:val="24"/>
          <w:lang w:eastAsia="en-GB"/>
        </w:rPr>
      </w:pPr>
    </w:p>
    <w:p w14:paraId="15DF16F1" w14:textId="29610C84" w:rsidR="00DF2D75" w:rsidRDefault="00DF2D75" w:rsidP="00E071B5"/>
    <w:p w14:paraId="50253922" w14:textId="3F0DB893" w:rsidR="00DF2D75" w:rsidRDefault="00DF2D75" w:rsidP="00E071B5"/>
    <w:p w14:paraId="0C6EB679" w14:textId="77777777" w:rsidR="00DF2D75" w:rsidRDefault="00DF2D75" w:rsidP="00E071B5"/>
    <w:p w14:paraId="15475BEE" w14:textId="77777777" w:rsidR="00DF2D75" w:rsidRDefault="00DF2D75" w:rsidP="00E071B5"/>
    <w:sectPr w:rsidR="00DF2D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613D" w14:textId="77777777" w:rsidR="002709E5" w:rsidRDefault="002709E5" w:rsidP="00F7515A">
      <w:r>
        <w:separator/>
      </w:r>
    </w:p>
  </w:endnote>
  <w:endnote w:type="continuationSeparator" w:id="0">
    <w:p w14:paraId="15AB3451" w14:textId="77777777" w:rsidR="002709E5" w:rsidRDefault="002709E5" w:rsidP="00F7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C04F" w14:textId="77777777" w:rsidR="00EC2170" w:rsidRDefault="00EC2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14E8" w14:textId="77777777" w:rsidR="00EC2170" w:rsidRDefault="00EC2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D961" w14:textId="77777777" w:rsidR="00EC2170" w:rsidRDefault="00EC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8142" w14:textId="77777777" w:rsidR="002709E5" w:rsidRDefault="002709E5" w:rsidP="00F7515A">
      <w:r>
        <w:separator/>
      </w:r>
    </w:p>
  </w:footnote>
  <w:footnote w:type="continuationSeparator" w:id="0">
    <w:p w14:paraId="78785B07" w14:textId="77777777" w:rsidR="002709E5" w:rsidRDefault="002709E5" w:rsidP="00F7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1F32" w14:textId="77777777" w:rsidR="00EC2170" w:rsidRDefault="00EC2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CDE5" w14:textId="44DBE89F" w:rsidR="00F7515A" w:rsidRPr="00F7515A" w:rsidRDefault="00EC2170" w:rsidP="00F7515A">
    <w:pPr>
      <w:pStyle w:val="Header"/>
    </w:pPr>
    <w:r>
      <w:rPr>
        <w:noProof/>
        <w:color w:val="000000"/>
        <w:sz w:val="24"/>
        <w:szCs w:val="24"/>
        <w:lang w:eastAsia="en-GB"/>
      </w:rPr>
      <mc:AlternateContent>
        <mc:Choice Requires="wps">
          <w:drawing>
            <wp:anchor distT="0" distB="0" distL="114300" distR="114300" simplePos="0" relativeHeight="251659264" behindDoc="0" locked="0" layoutInCell="0" allowOverlap="1" wp14:anchorId="4378015D" wp14:editId="4308CC9F">
              <wp:simplePos x="0" y="0"/>
              <wp:positionH relativeFrom="page">
                <wp:posOffset>0</wp:posOffset>
              </wp:positionH>
              <wp:positionV relativeFrom="page">
                <wp:posOffset>190500</wp:posOffset>
              </wp:positionV>
              <wp:extent cx="7560310" cy="273050"/>
              <wp:effectExtent l="0" t="0" r="0" b="12700"/>
              <wp:wrapNone/>
              <wp:docPr id="2" name="MSIPCM940543158bd4c5b123b49be7" descr="{&quot;HashCode&quot;:111175604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FE9C18" w14:textId="240EB7D0" w:rsidR="00EC2170" w:rsidRPr="00EC2170" w:rsidRDefault="00EC2170" w:rsidP="00EC2170">
                          <w:pPr>
                            <w:jc w:val="right"/>
                            <w:rPr>
                              <w:color w:val="FF0000"/>
                              <w:sz w:val="20"/>
                            </w:rPr>
                          </w:pPr>
                          <w:r w:rsidRPr="00EC2170">
                            <w:rPr>
                              <w:color w:val="FF0000"/>
                              <w:sz w:val="20"/>
                            </w:rPr>
                            <w:t xml:space="preserve">Information Classification: CONFIDENTIAL </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378015D" id="_x0000_t202" coordsize="21600,21600" o:spt="202" path="m,l,21600r21600,l21600,xe">
              <v:stroke joinstyle="miter"/>
              <v:path gradientshapeok="t" o:connecttype="rect"/>
            </v:shapetype>
            <v:shape id="MSIPCM940543158bd4c5b123b49be7" o:spid="_x0000_s1026" type="#_x0000_t202" alt="{&quot;HashCode&quot;:111175604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79FE9C18" w14:textId="240EB7D0" w:rsidR="00EC2170" w:rsidRPr="00EC2170" w:rsidRDefault="00EC2170" w:rsidP="00EC2170">
                    <w:pPr>
                      <w:jc w:val="right"/>
                      <w:rPr>
                        <w:color w:val="FF0000"/>
                        <w:sz w:val="20"/>
                      </w:rPr>
                    </w:pPr>
                    <w:r w:rsidRPr="00EC2170">
                      <w:rPr>
                        <w:color w:val="FF0000"/>
                        <w:sz w:val="20"/>
                      </w:rPr>
                      <w:t xml:space="preserve">Information Classification: CONFIDENTIAL </w:t>
                    </w:r>
                  </w:p>
                </w:txbxContent>
              </v:textbox>
              <w10:wrap anchorx="page" anchory="page"/>
            </v:shape>
          </w:pict>
        </mc:Fallback>
      </mc:AlternateContent>
    </w:r>
    <w:r w:rsidR="00F7515A">
      <w:rPr>
        <w:noProof/>
        <w:color w:val="000000"/>
        <w:sz w:val="24"/>
        <w:szCs w:val="24"/>
        <w:lang w:eastAsia="en-GB"/>
      </w:rPr>
      <w:drawing>
        <wp:inline distT="0" distB="0" distL="0" distR="0" wp14:anchorId="5E355839" wp14:editId="70C9B40D">
          <wp:extent cx="1552575" cy="1164590"/>
          <wp:effectExtent l="0" t="0" r="952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11645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6878" w14:textId="77777777" w:rsidR="00EC2170" w:rsidRDefault="00EC2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31C"/>
    <w:multiLevelType w:val="hybridMultilevel"/>
    <w:tmpl w:val="E6EC9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F1873"/>
    <w:multiLevelType w:val="hybridMultilevel"/>
    <w:tmpl w:val="84F4172A"/>
    <w:numStyleLink w:val="ImportedStyle4"/>
  </w:abstractNum>
  <w:abstractNum w:abstractNumId="2" w15:restartNumberingAfterBreak="0">
    <w:nsid w:val="0D4E2636"/>
    <w:multiLevelType w:val="multilevel"/>
    <w:tmpl w:val="C50E5F64"/>
    <w:lvl w:ilvl="0">
      <w:start w:val="1"/>
      <w:numFmt w:val="bullet"/>
      <w:lvlText w:val=""/>
      <w:lvlJc w:val="left"/>
      <w:pPr>
        <w:ind w:left="1440" w:hanging="360"/>
      </w:pPr>
      <w:rPr>
        <w:rFonts w:ascii="Wingdings" w:hAnsi="Wingdings" w:hint="default"/>
      </w:rPr>
    </w:lvl>
    <w:lvl w:ilvl="1">
      <w:start w:val="1"/>
      <w:numFmt w:val="decimal"/>
      <w:lvlText w:val="%1.%2"/>
      <w:lvlJc w:val="left"/>
      <w:pPr>
        <w:ind w:left="180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5760" w:hanging="1800"/>
      </w:pPr>
      <w:rPr>
        <w:rFonts w:hint="default"/>
      </w:rPr>
    </w:lvl>
  </w:abstractNum>
  <w:abstractNum w:abstractNumId="3" w15:restartNumberingAfterBreak="0">
    <w:nsid w:val="146B093C"/>
    <w:multiLevelType w:val="hybridMultilevel"/>
    <w:tmpl w:val="B164D2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8E714AF"/>
    <w:multiLevelType w:val="hybridMultilevel"/>
    <w:tmpl w:val="84F4172A"/>
    <w:styleLink w:val="ImportedStyle4"/>
    <w:lvl w:ilvl="0" w:tplc="E3A48798">
      <w:start w:val="1"/>
      <w:numFmt w:val="bullet"/>
      <w:lvlText w:val="▪"/>
      <w:lvlJc w:val="left"/>
      <w:pPr>
        <w:tabs>
          <w:tab w:val="num" w:pos="993"/>
        </w:tabs>
        <w:ind w:left="426" w:firstLine="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2E9282">
      <w:start w:val="1"/>
      <w:numFmt w:val="bullet"/>
      <w:lvlText w:val="o"/>
      <w:lvlJc w:val="left"/>
      <w:pPr>
        <w:tabs>
          <w:tab w:val="left" w:pos="993"/>
          <w:tab w:val="num" w:pos="1713"/>
        </w:tabs>
        <w:ind w:left="1146" w:hanging="11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EB8EA84">
      <w:start w:val="1"/>
      <w:numFmt w:val="bullet"/>
      <w:lvlText w:val="▪"/>
      <w:lvlJc w:val="left"/>
      <w:pPr>
        <w:tabs>
          <w:tab w:val="left" w:pos="993"/>
          <w:tab w:val="num" w:pos="2433"/>
        </w:tabs>
        <w:ind w:left="1866" w:hanging="1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12659E">
      <w:start w:val="1"/>
      <w:numFmt w:val="bullet"/>
      <w:lvlText w:val="•"/>
      <w:lvlJc w:val="left"/>
      <w:pPr>
        <w:tabs>
          <w:tab w:val="left" w:pos="993"/>
          <w:tab w:val="num" w:pos="3153"/>
        </w:tabs>
        <w:ind w:left="2586" w:hanging="1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8CCF6C2">
      <w:start w:val="1"/>
      <w:numFmt w:val="bullet"/>
      <w:lvlText w:val="o"/>
      <w:lvlJc w:val="left"/>
      <w:pPr>
        <w:tabs>
          <w:tab w:val="left" w:pos="993"/>
          <w:tab w:val="num" w:pos="3873"/>
        </w:tabs>
        <w:ind w:left="3306" w:hanging="11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EC494DA">
      <w:start w:val="1"/>
      <w:numFmt w:val="bullet"/>
      <w:lvlText w:val="▪"/>
      <w:lvlJc w:val="left"/>
      <w:pPr>
        <w:tabs>
          <w:tab w:val="left" w:pos="993"/>
          <w:tab w:val="num" w:pos="4593"/>
        </w:tabs>
        <w:ind w:left="4026" w:hanging="1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4ECCE0">
      <w:start w:val="1"/>
      <w:numFmt w:val="bullet"/>
      <w:lvlText w:val="•"/>
      <w:lvlJc w:val="left"/>
      <w:pPr>
        <w:tabs>
          <w:tab w:val="left" w:pos="993"/>
          <w:tab w:val="num" w:pos="5313"/>
        </w:tabs>
        <w:ind w:left="4746" w:hanging="1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325126">
      <w:start w:val="1"/>
      <w:numFmt w:val="bullet"/>
      <w:lvlText w:val="o"/>
      <w:lvlJc w:val="left"/>
      <w:pPr>
        <w:tabs>
          <w:tab w:val="left" w:pos="993"/>
          <w:tab w:val="num" w:pos="6033"/>
        </w:tabs>
        <w:ind w:left="5466" w:hanging="11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5FAA666">
      <w:start w:val="1"/>
      <w:numFmt w:val="bullet"/>
      <w:lvlText w:val="▪"/>
      <w:lvlJc w:val="left"/>
      <w:pPr>
        <w:tabs>
          <w:tab w:val="left" w:pos="993"/>
          <w:tab w:val="num" w:pos="6753"/>
        </w:tabs>
        <w:ind w:left="6186" w:hanging="1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6B25C0"/>
    <w:multiLevelType w:val="hybridMultilevel"/>
    <w:tmpl w:val="BF2C7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C49DF"/>
    <w:multiLevelType w:val="hybridMultilevel"/>
    <w:tmpl w:val="82543B9E"/>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72B49B8"/>
    <w:multiLevelType w:val="hybridMultilevel"/>
    <w:tmpl w:val="6FC42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354AE"/>
    <w:multiLevelType w:val="hybridMultilevel"/>
    <w:tmpl w:val="981E26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385282"/>
    <w:multiLevelType w:val="hybridMultilevel"/>
    <w:tmpl w:val="34BE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A3AF7"/>
    <w:multiLevelType w:val="hybridMultilevel"/>
    <w:tmpl w:val="28F242FC"/>
    <w:lvl w:ilvl="0" w:tplc="588ED4C8">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1212F0"/>
    <w:multiLevelType w:val="hybridMultilevel"/>
    <w:tmpl w:val="69C8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B4F18"/>
    <w:multiLevelType w:val="hybridMultilevel"/>
    <w:tmpl w:val="1700A1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57F2E"/>
    <w:multiLevelType w:val="hybridMultilevel"/>
    <w:tmpl w:val="1D862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80A1E"/>
    <w:multiLevelType w:val="hybridMultilevel"/>
    <w:tmpl w:val="A3406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23B59"/>
    <w:multiLevelType w:val="hybridMultilevel"/>
    <w:tmpl w:val="C79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823F0"/>
    <w:multiLevelType w:val="hybridMultilevel"/>
    <w:tmpl w:val="BE70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2A005E"/>
    <w:multiLevelType w:val="hybridMultilevel"/>
    <w:tmpl w:val="9AB47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92570"/>
    <w:multiLevelType w:val="hybridMultilevel"/>
    <w:tmpl w:val="28F242FC"/>
    <w:lvl w:ilvl="0" w:tplc="588ED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6571015">
    <w:abstractNumId w:val="16"/>
  </w:num>
  <w:num w:numId="2" w16cid:durableId="1493791966">
    <w:abstractNumId w:val="12"/>
  </w:num>
  <w:num w:numId="3" w16cid:durableId="2006861224">
    <w:abstractNumId w:val="9"/>
  </w:num>
  <w:num w:numId="4" w16cid:durableId="1582519571">
    <w:abstractNumId w:val="2"/>
  </w:num>
  <w:num w:numId="5" w16cid:durableId="366217889">
    <w:abstractNumId w:val="8"/>
  </w:num>
  <w:num w:numId="6" w16cid:durableId="644511154">
    <w:abstractNumId w:val="7"/>
  </w:num>
  <w:num w:numId="7" w16cid:durableId="1274285247">
    <w:abstractNumId w:val="6"/>
  </w:num>
  <w:num w:numId="8" w16cid:durableId="814378480">
    <w:abstractNumId w:val="5"/>
  </w:num>
  <w:num w:numId="9" w16cid:durableId="361829071">
    <w:abstractNumId w:val="13"/>
  </w:num>
  <w:num w:numId="10" w16cid:durableId="1289312295">
    <w:abstractNumId w:val="17"/>
  </w:num>
  <w:num w:numId="11" w16cid:durableId="1461613110">
    <w:abstractNumId w:val="4"/>
  </w:num>
  <w:num w:numId="12" w16cid:durableId="1486704517">
    <w:abstractNumId w:val="1"/>
  </w:num>
  <w:num w:numId="13" w16cid:durableId="1186403144">
    <w:abstractNumId w:val="10"/>
  </w:num>
  <w:num w:numId="14" w16cid:durableId="279149062">
    <w:abstractNumId w:val="18"/>
  </w:num>
  <w:num w:numId="15" w16cid:durableId="1020472402">
    <w:abstractNumId w:val="0"/>
  </w:num>
  <w:num w:numId="16" w16cid:durableId="2038306611">
    <w:abstractNumId w:val="14"/>
  </w:num>
  <w:num w:numId="17" w16cid:durableId="932933510">
    <w:abstractNumId w:val="3"/>
  </w:num>
  <w:num w:numId="18" w16cid:durableId="1565408957">
    <w:abstractNumId w:val="15"/>
  </w:num>
  <w:num w:numId="19" w16cid:durableId="3735821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B5"/>
    <w:rsid w:val="00014A16"/>
    <w:rsid w:val="00016F77"/>
    <w:rsid w:val="00017211"/>
    <w:rsid w:val="00033D14"/>
    <w:rsid w:val="00040265"/>
    <w:rsid w:val="0005250D"/>
    <w:rsid w:val="00066381"/>
    <w:rsid w:val="0008534C"/>
    <w:rsid w:val="00125457"/>
    <w:rsid w:val="00126E67"/>
    <w:rsid w:val="0013018C"/>
    <w:rsid w:val="00134C9C"/>
    <w:rsid w:val="00153637"/>
    <w:rsid w:val="0016334A"/>
    <w:rsid w:val="00165279"/>
    <w:rsid w:val="00165376"/>
    <w:rsid w:val="0019496D"/>
    <w:rsid w:val="001C0C08"/>
    <w:rsid w:val="001C1B70"/>
    <w:rsid w:val="001C1E50"/>
    <w:rsid w:val="001D23B0"/>
    <w:rsid w:val="001D6EE0"/>
    <w:rsid w:val="001E4BE7"/>
    <w:rsid w:val="001E751B"/>
    <w:rsid w:val="001F7381"/>
    <w:rsid w:val="00216C6E"/>
    <w:rsid w:val="002709E5"/>
    <w:rsid w:val="00294445"/>
    <w:rsid w:val="002A6A26"/>
    <w:rsid w:val="002B77FC"/>
    <w:rsid w:val="002C4D79"/>
    <w:rsid w:val="00311A9B"/>
    <w:rsid w:val="00351AB0"/>
    <w:rsid w:val="00355FBE"/>
    <w:rsid w:val="0036230F"/>
    <w:rsid w:val="003626A4"/>
    <w:rsid w:val="00362E66"/>
    <w:rsid w:val="003B1E80"/>
    <w:rsid w:val="003C61BA"/>
    <w:rsid w:val="003F4425"/>
    <w:rsid w:val="003F7FDE"/>
    <w:rsid w:val="00460C75"/>
    <w:rsid w:val="00496006"/>
    <w:rsid w:val="004A3A6C"/>
    <w:rsid w:val="004C003D"/>
    <w:rsid w:val="004D50E5"/>
    <w:rsid w:val="0052776C"/>
    <w:rsid w:val="00527946"/>
    <w:rsid w:val="0054432E"/>
    <w:rsid w:val="0054753B"/>
    <w:rsid w:val="00562165"/>
    <w:rsid w:val="005A3BC6"/>
    <w:rsid w:val="005B012E"/>
    <w:rsid w:val="005C2BA8"/>
    <w:rsid w:val="005E5712"/>
    <w:rsid w:val="005E6FCF"/>
    <w:rsid w:val="005F731E"/>
    <w:rsid w:val="00604692"/>
    <w:rsid w:val="00667054"/>
    <w:rsid w:val="00690F6C"/>
    <w:rsid w:val="006F6343"/>
    <w:rsid w:val="007250E8"/>
    <w:rsid w:val="00730EBE"/>
    <w:rsid w:val="00760C17"/>
    <w:rsid w:val="0076172C"/>
    <w:rsid w:val="0078457D"/>
    <w:rsid w:val="007D219A"/>
    <w:rsid w:val="00805C2A"/>
    <w:rsid w:val="00821F28"/>
    <w:rsid w:val="008220F0"/>
    <w:rsid w:val="00831FBB"/>
    <w:rsid w:val="00833CBA"/>
    <w:rsid w:val="008665CC"/>
    <w:rsid w:val="00874C6E"/>
    <w:rsid w:val="00880F48"/>
    <w:rsid w:val="008853DF"/>
    <w:rsid w:val="008A0BB0"/>
    <w:rsid w:val="00943CE3"/>
    <w:rsid w:val="009506E3"/>
    <w:rsid w:val="00952C05"/>
    <w:rsid w:val="009D186A"/>
    <w:rsid w:val="009D6F88"/>
    <w:rsid w:val="009E1C79"/>
    <w:rsid w:val="00A414D8"/>
    <w:rsid w:val="00A6149A"/>
    <w:rsid w:val="00A76C1F"/>
    <w:rsid w:val="00AC5287"/>
    <w:rsid w:val="00AD1A4D"/>
    <w:rsid w:val="00B5114A"/>
    <w:rsid w:val="00B5158E"/>
    <w:rsid w:val="00B73393"/>
    <w:rsid w:val="00B843CF"/>
    <w:rsid w:val="00B85AEA"/>
    <w:rsid w:val="00BF2D48"/>
    <w:rsid w:val="00C02132"/>
    <w:rsid w:val="00C23BFC"/>
    <w:rsid w:val="00C25E1F"/>
    <w:rsid w:val="00C40273"/>
    <w:rsid w:val="00C50DC5"/>
    <w:rsid w:val="00C5294E"/>
    <w:rsid w:val="00C56541"/>
    <w:rsid w:val="00CB0904"/>
    <w:rsid w:val="00CB3929"/>
    <w:rsid w:val="00CF114A"/>
    <w:rsid w:val="00CF1FF4"/>
    <w:rsid w:val="00CF7E9B"/>
    <w:rsid w:val="00D26021"/>
    <w:rsid w:val="00D42A00"/>
    <w:rsid w:val="00DA4757"/>
    <w:rsid w:val="00DB3329"/>
    <w:rsid w:val="00DB7906"/>
    <w:rsid w:val="00DE4CDC"/>
    <w:rsid w:val="00DF2D75"/>
    <w:rsid w:val="00E028AB"/>
    <w:rsid w:val="00E071B5"/>
    <w:rsid w:val="00E17F69"/>
    <w:rsid w:val="00E33D39"/>
    <w:rsid w:val="00E437BF"/>
    <w:rsid w:val="00E570E5"/>
    <w:rsid w:val="00E8424B"/>
    <w:rsid w:val="00E865A0"/>
    <w:rsid w:val="00E938B4"/>
    <w:rsid w:val="00EC2170"/>
    <w:rsid w:val="00ED444F"/>
    <w:rsid w:val="00F55BD8"/>
    <w:rsid w:val="00F60DD4"/>
    <w:rsid w:val="00F7515A"/>
    <w:rsid w:val="00F9605C"/>
    <w:rsid w:val="00FD00EE"/>
    <w:rsid w:val="00FD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B1C99"/>
  <w15:chartTrackingRefBased/>
  <w15:docId w15:val="{CBDCCF4B-C537-4DD8-873E-A5B9B49E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B5"/>
    <w:pPr>
      <w:spacing w:after="0" w:line="240" w:lineRule="auto"/>
    </w:pPr>
    <w:rPr>
      <w:rFonts w:ascii="Calibri" w:hAnsi="Calibri" w:cs="Calibri"/>
    </w:rPr>
  </w:style>
  <w:style w:type="paragraph" w:styleId="Heading1">
    <w:name w:val="heading 1"/>
    <w:basedOn w:val="Normal"/>
    <w:next w:val="Normal"/>
    <w:link w:val="Heading1Char"/>
    <w:uiPriority w:val="9"/>
    <w:qFormat/>
    <w:rsid w:val="00DF2D7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D75"/>
    <w:rPr>
      <w:rFonts w:asciiTheme="majorHAnsi" w:eastAsiaTheme="majorEastAsia" w:hAnsiTheme="majorHAnsi" w:cstheme="majorBidi"/>
      <w:b/>
      <w:bCs/>
      <w:color w:val="2F5496" w:themeColor="accent1" w:themeShade="BF"/>
      <w:sz w:val="28"/>
      <w:szCs w:val="28"/>
      <w:lang w:eastAsia="en-GB"/>
    </w:rPr>
  </w:style>
  <w:style w:type="paragraph" w:styleId="ListParagraph">
    <w:name w:val="List Paragraph"/>
    <w:basedOn w:val="Normal"/>
    <w:uiPriority w:val="34"/>
    <w:qFormat/>
    <w:rsid w:val="00FD00EE"/>
    <w:pPr>
      <w:ind w:left="720"/>
      <w:contextualSpacing/>
    </w:pPr>
  </w:style>
  <w:style w:type="paragraph" w:styleId="NoSpacing">
    <w:name w:val="No Spacing"/>
    <w:uiPriority w:val="1"/>
    <w:qFormat/>
    <w:rsid w:val="00351AB0"/>
    <w:pPr>
      <w:spacing w:after="0" w:line="240" w:lineRule="auto"/>
    </w:pPr>
  </w:style>
  <w:style w:type="character" w:styleId="PageNumber">
    <w:name w:val="page number"/>
    <w:rsid w:val="00351AB0"/>
  </w:style>
  <w:style w:type="numbering" w:customStyle="1" w:styleId="ImportedStyle4">
    <w:name w:val="Imported Style 4"/>
    <w:rsid w:val="00351AB0"/>
    <w:pPr>
      <w:numPr>
        <w:numId w:val="11"/>
      </w:numPr>
    </w:pPr>
  </w:style>
  <w:style w:type="paragraph" w:styleId="Header">
    <w:name w:val="header"/>
    <w:basedOn w:val="Normal"/>
    <w:link w:val="HeaderChar"/>
    <w:uiPriority w:val="99"/>
    <w:unhideWhenUsed/>
    <w:rsid w:val="00F7515A"/>
    <w:pPr>
      <w:tabs>
        <w:tab w:val="center" w:pos="4513"/>
        <w:tab w:val="right" w:pos="9026"/>
      </w:tabs>
    </w:pPr>
  </w:style>
  <w:style w:type="character" w:customStyle="1" w:styleId="HeaderChar">
    <w:name w:val="Header Char"/>
    <w:basedOn w:val="DefaultParagraphFont"/>
    <w:link w:val="Header"/>
    <w:uiPriority w:val="99"/>
    <w:rsid w:val="00F7515A"/>
    <w:rPr>
      <w:rFonts w:ascii="Calibri" w:hAnsi="Calibri" w:cs="Calibri"/>
    </w:rPr>
  </w:style>
  <w:style w:type="paragraph" w:styleId="Footer">
    <w:name w:val="footer"/>
    <w:basedOn w:val="Normal"/>
    <w:link w:val="FooterChar"/>
    <w:uiPriority w:val="99"/>
    <w:unhideWhenUsed/>
    <w:rsid w:val="00F7515A"/>
    <w:pPr>
      <w:tabs>
        <w:tab w:val="center" w:pos="4513"/>
        <w:tab w:val="right" w:pos="9026"/>
      </w:tabs>
    </w:pPr>
  </w:style>
  <w:style w:type="character" w:customStyle="1" w:styleId="FooterChar">
    <w:name w:val="Footer Char"/>
    <w:basedOn w:val="DefaultParagraphFont"/>
    <w:link w:val="Footer"/>
    <w:uiPriority w:val="99"/>
    <w:rsid w:val="00F7515A"/>
    <w:rPr>
      <w:rFonts w:ascii="Calibri" w:hAnsi="Calibri" w:cs="Calibri"/>
    </w:rPr>
  </w:style>
  <w:style w:type="character" w:styleId="Hyperlink">
    <w:name w:val="Hyperlink"/>
    <w:basedOn w:val="DefaultParagraphFont"/>
    <w:uiPriority w:val="99"/>
    <w:unhideWhenUsed/>
    <w:rsid w:val="00DB3329"/>
    <w:rPr>
      <w:color w:val="0563C1" w:themeColor="hyperlink"/>
      <w:u w:val="single"/>
    </w:rPr>
  </w:style>
  <w:style w:type="character" w:styleId="UnresolvedMention">
    <w:name w:val="Unresolved Mention"/>
    <w:basedOn w:val="DefaultParagraphFont"/>
    <w:uiPriority w:val="99"/>
    <w:semiHidden/>
    <w:unhideWhenUsed/>
    <w:rsid w:val="005E6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1281">
      <w:bodyDiv w:val="1"/>
      <w:marLeft w:val="0"/>
      <w:marRight w:val="0"/>
      <w:marTop w:val="0"/>
      <w:marBottom w:val="0"/>
      <w:divBdr>
        <w:top w:val="none" w:sz="0" w:space="0" w:color="auto"/>
        <w:left w:val="none" w:sz="0" w:space="0" w:color="auto"/>
        <w:bottom w:val="none" w:sz="0" w:space="0" w:color="auto"/>
        <w:right w:val="none" w:sz="0" w:space="0" w:color="auto"/>
      </w:divBdr>
    </w:div>
    <w:div w:id="1229927149">
      <w:bodyDiv w:val="1"/>
      <w:marLeft w:val="0"/>
      <w:marRight w:val="0"/>
      <w:marTop w:val="0"/>
      <w:marBottom w:val="0"/>
      <w:divBdr>
        <w:top w:val="none" w:sz="0" w:space="0" w:color="auto"/>
        <w:left w:val="none" w:sz="0" w:space="0" w:color="auto"/>
        <w:bottom w:val="none" w:sz="0" w:space="0" w:color="auto"/>
        <w:right w:val="none" w:sz="0" w:space="0" w:color="auto"/>
      </w:divBdr>
    </w:div>
    <w:div w:id="1887521880">
      <w:bodyDiv w:val="1"/>
      <w:marLeft w:val="0"/>
      <w:marRight w:val="0"/>
      <w:marTop w:val="0"/>
      <w:marBottom w:val="0"/>
      <w:divBdr>
        <w:top w:val="none" w:sz="0" w:space="0" w:color="auto"/>
        <w:left w:val="none" w:sz="0" w:space="0" w:color="auto"/>
        <w:bottom w:val="none" w:sz="0" w:space="0" w:color="auto"/>
        <w:right w:val="none" w:sz="0" w:space="0" w:color="auto"/>
      </w:divBdr>
    </w:div>
    <w:div w:id="20650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feguardingadultsboard@cornwall.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90958.0DE602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Bassett</cp:lastModifiedBy>
  <cp:revision>8</cp:revision>
  <dcterms:created xsi:type="dcterms:W3CDTF">2024-03-07T13:46:00Z</dcterms:created>
  <dcterms:modified xsi:type="dcterms:W3CDTF">2024-04-04T13:50:00Z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6fbf66-0409-43ad-a1a7-9f18b408c743_Enabled">
    <vt:lpwstr>true</vt:lpwstr>
  </property>
  <property fmtid="{D5CDD505-2E9C-101B-9397-08002B2CF9AE}" pid="3" name="MSIP_Label_516fbf66-0409-43ad-a1a7-9f18b408c743_SetDate">
    <vt:lpwstr>2022-12-06T11:09:22Z</vt:lpwstr>
  </property>
  <property fmtid="{D5CDD505-2E9C-101B-9397-08002B2CF9AE}" pid="4" name="MSIP_Label_516fbf66-0409-43ad-a1a7-9f18b408c743_Method">
    <vt:lpwstr>Privileged</vt:lpwstr>
  </property>
  <property fmtid="{D5CDD505-2E9C-101B-9397-08002B2CF9AE}" pid="5" name="MSIP_Label_516fbf66-0409-43ad-a1a7-9f18b408c743_Name">
    <vt:lpwstr>CONFIDENTIAL</vt:lpwstr>
  </property>
  <property fmtid="{D5CDD505-2E9C-101B-9397-08002B2CF9AE}" pid="6" name="MSIP_Label_516fbf66-0409-43ad-a1a7-9f18b408c743_SiteId">
    <vt:lpwstr>efaa16aa-d1de-4d58-ba2e-2833fdfdd29f</vt:lpwstr>
  </property>
  <property fmtid="{D5CDD505-2E9C-101B-9397-08002B2CF9AE}" pid="7" name="MSIP_Label_516fbf66-0409-43ad-a1a7-9f18b408c743_ActionId">
    <vt:lpwstr>dc72100e-6660-45a7-93e6-fe7b2bc26667</vt:lpwstr>
  </property>
  <property fmtid="{D5CDD505-2E9C-101B-9397-08002B2CF9AE}" pid="8" name="MSIP_Label_516fbf66-0409-43ad-a1a7-9f18b408c743_ContentBits">
    <vt:lpwstr>1</vt:lpwstr>
  </property>
</Properties>
</file>