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D5F4" w14:textId="77777777" w:rsidR="00C43190" w:rsidRPr="008330BA" w:rsidRDefault="00C43190" w:rsidP="00C43190">
      <w:pPr>
        <w:tabs>
          <w:tab w:val="left" w:pos="720"/>
          <w:tab w:val="left" w:pos="1440"/>
        </w:tabs>
        <w:ind w:left="1440" w:hanging="1440"/>
        <w:jc w:val="center"/>
        <w:rPr>
          <w:u w:val="single"/>
        </w:rPr>
      </w:pPr>
      <w:r w:rsidRPr="008330BA">
        <w:rPr>
          <w:b/>
          <w:bCs/>
        </w:rPr>
        <w:t>THE SPECIFICATION</w:t>
      </w:r>
    </w:p>
    <w:p w14:paraId="58EEE614" w14:textId="77777777" w:rsidR="00C43190" w:rsidRPr="008330BA" w:rsidRDefault="00C43190" w:rsidP="00C43190">
      <w:pPr>
        <w:tabs>
          <w:tab w:val="left" w:pos="720"/>
          <w:tab w:val="left" w:pos="1440"/>
        </w:tabs>
        <w:jc w:val="both"/>
        <w:rPr>
          <w:b/>
          <w:u w:val="single"/>
        </w:rPr>
      </w:pPr>
    </w:p>
    <w:p w14:paraId="5FFD7171" w14:textId="77777777" w:rsidR="00C43190" w:rsidRPr="002B1415" w:rsidRDefault="00C43190" w:rsidP="00C43190">
      <w:pPr>
        <w:ind w:left="709" w:hanging="709"/>
        <w:jc w:val="both"/>
        <w:rPr>
          <w:b/>
        </w:rPr>
      </w:pPr>
      <w:r w:rsidRPr="002B1415">
        <w:rPr>
          <w:b/>
        </w:rPr>
        <w:t>1.0</w:t>
      </w:r>
      <w:r w:rsidRPr="002B1415">
        <w:rPr>
          <w:b/>
        </w:rPr>
        <w:tab/>
        <w:t>INTRODUCTION</w:t>
      </w:r>
    </w:p>
    <w:p w14:paraId="18F5F6A3" w14:textId="77777777" w:rsidR="00C43190" w:rsidRPr="00650022" w:rsidRDefault="00C43190" w:rsidP="00C43190">
      <w:pPr>
        <w:rPr>
          <w:lang w:eastAsia="en-GB"/>
        </w:rPr>
      </w:pPr>
    </w:p>
    <w:p w14:paraId="2F0384FC" w14:textId="77777777" w:rsidR="00C43190" w:rsidRDefault="00C43190" w:rsidP="00C43190">
      <w:pPr>
        <w:autoSpaceDE w:val="0"/>
        <w:autoSpaceDN w:val="0"/>
        <w:adjustRightInd w:val="0"/>
        <w:ind w:left="720" w:hanging="720"/>
        <w:jc w:val="both"/>
        <w:rPr>
          <w:bCs/>
        </w:rPr>
      </w:pPr>
      <w:r>
        <w:rPr>
          <w:bCs/>
        </w:rPr>
        <w:t>1.1</w:t>
      </w:r>
      <w:r>
        <w:rPr>
          <w:bCs/>
        </w:rPr>
        <w:tab/>
      </w:r>
      <w:r w:rsidRPr="00E637E2">
        <w:rPr>
          <w:bCs/>
        </w:rPr>
        <w:t xml:space="preserve">The </w:t>
      </w:r>
      <w:r>
        <w:rPr>
          <w:bCs/>
        </w:rPr>
        <w:t xml:space="preserve">Contractor </w:t>
      </w:r>
      <w:r w:rsidRPr="00E637E2">
        <w:rPr>
          <w:bCs/>
        </w:rPr>
        <w:t xml:space="preserve">will provide </w:t>
      </w:r>
      <w:r>
        <w:rPr>
          <w:bCs/>
        </w:rPr>
        <w:t xml:space="preserve">radiation protection adviser services </w:t>
      </w:r>
      <w:r w:rsidRPr="00E637E2">
        <w:rPr>
          <w:bCs/>
        </w:rPr>
        <w:t>(“the Services”)</w:t>
      </w:r>
      <w:r>
        <w:rPr>
          <w:bCs/>
        </w:rPr>
        <w:t xml:space="preserve"> to at</w:t>
      </w:r>
      <w:r w:rsidRPr="00E637E2">
        <w:rPr>
          <w:bCs/>
        </w:rPr>
        <w:t xml:space="preserve"> the Port of Felixstowe, Suffolk</w:t>
      </w:r>
      <w:r>
        <w:rPr>
          <w:bCs/>
        </w:rPr>
        <w:t xml:space="preserve">, Harwich International Port, Essex </w:t>
      </w:r>
      <w:r w:rsidRPr="00E637E2">
        <w:rPr>
          <w:bCs/>
        </w:rPr>
        <w:t xml:space="preserve">and London </w:t>
      </w:r>
      <w:proofErr w:type="spellStart"/>
      <w:r w:rsidRPr="00E637E2">
        <w:rPr>
          <w:bCs/>
        </w:rPr>
        <w:t>Thamesport</w:t>
      </w:r>
      <w:proofErr w:type="spellEnd"/>
      <w:r w:rsidRPr="00E637E2">
        <w:rPr>
          <w:bCs/>
        </w:rPr>
        <w:t xml:space="preserve">, Isle of Grain, Kent. </w:t>
      </w:r>
    </w:p>
    <w:p w14:paraId="3511931C" w14:textId="77777777" w:rsidR="00C43190" w:rsidRDefault="00C43190" w:rsidP="00C43190">
      <w:pPr>
        <w:autoSpaceDE w:val="0"/>
        <w:autoSpaceDN w:val="0"/>
        <w:adjustRightInd w:val="0"/>
        <w:ind w:left="720" w:hanging="720"/>
        <w:jc w:val="both"/>
        <w:rPr>
          <w:bCs/>
        </w:rPr>
      </w:pPr>
    </w:p>
    <w:p w14:paraId="7E4571A9" w14:textId="77777777" w:rsidR="00C43190" w:rsidRPr="00374B06" w:rsidRDefault="00C43190" w:rsidP="00C43190">
      <w:pPr>
        <w:autoSpaceDE w:val="0"/>
        <w:autoSpaceDN w:val="0"/>
        <w:adjustRightInd w:val="0"/>
        <w:ind w:left="720" w:hanging="720"/>
        <w:jc w:val="both"/>
        <w:rPr>
          <w:bCs/>
        </w:rPr>
      </w:pPr>
      <w:r>
        <w:rPr>
          <w:bCs/>
        </w:rPr>
        <w:t>1.2</w:t>
      </w:r>
      <w:r>
        <w:rPr>
          <w:bCs/>
        </w:rPr>
        <w:tab/>
      </w:r>
      <w:r w:rsidRPr="00374B06">
        <w:rPr>
          <w:bCs/>
        </w:rPr>
        <w:t xml:space="preserve">Each Port is operated by a separate subsidiary of Hutchison Ports (UK) </w:t>
      </w:r>
      <w:proofErr w:type="gramStart"/>
      <w:r w:rsidRPr="00374B06">
        <w:rPr>
          <w:bCs/>
        </w:rPr>
        <w:t>Limited</w:t>
      </w:r>
      <w:proofErr w:type="gramEnd"/>
      <w:r w:rsidRPr="00374B06">
        <w:rPr>
          <w:bCs/>
        </w:rPr>
        <w:t xml:space="preserve"> and each subsidiary company shall be responsible for meeting the obligations in the Agreement for their respective port.</w:t>
      </w:r>
      <w:r>
        <w:rPr>
          <w:bCs/>
        </w:rPr>
        <w:t xml:space="preserve">  The Felixstowe Dock and Railway Company operates the Port of Felixstowe, Harwich International Port Limited operates Harwich International Port and </w:t>
      </w:r>
      <w:proofErr w:type="spellStart"/>
      <w:r>
        <w:rPr>
          <w:bCs/>
        </w:rPr>
        <w:t>Thamesport</w:t>
      </w:r>
      <w:proofErr w:type="spellEnd"/>
      <w:r>
        <w:rPr>
          <w:bCs/>
        </w:rPr>
        <w:t xml:space="preserve"> (London) Limited operates London </w:t>
      </w:r>
      <w:proofErr w:type="spellStart"/>
      <w:r>
        <w:rPr>
          <w:bCs/>
        </w:rPr>
        <w:t>Thamesport</w:t>
      </w:r>
      <w:proofErr w:type="spellEnd"/>
      <w:r>
        <w:rPr>
          <w:bCs/>
        </w:rPr>
        <w:t>.</w:t>
      </w:r>
    </w:p>
    <w:p w14:paraId="49264E17" w14:textId="77777777" w:rsidR="00C43190" w:rsidRDefault="00C43190" w:rsidP="00C43190">
      <w:pPr>
        <w:autoSpaceDE w:val="0"/>
        <w:autoSpaceDN w:val="0"/>
        <w:adjustRightInd w:val="0"/>
        <w:ind w:left="720" w:hanging="720"/>
        <w:jc w:val="both"/>
        <w:rPr>
          <w:bCs/>
        </w:rPr>
      </w:pPr>
    </w:p>
    <w:p w14:paraId="5D8E9F32" w14:textId="77777777" w:rsidR="00C43190" w:rsidRPr="00E637E2" w:rsidRDefault="00C43190" w:rsidP="00C43190">
      <w:pPr>
        <w:tabs>
          <w:tab w:val="left" w:pos="720"/>
          <w:tab w:val="left" w:pos="1440"/>
        </w:tabs>
        <w:ind w:left="720" w:hanging="720"/>
        <w:jc w:val="both"/>
        <w:rPr>
          <w:bCs/>
        </w:rPr>
      </w:pPr>
      <w:r>
        <w:rPr>
          <w:bCs/>
        </w:rPr>
        <w:t>1.3</w:t>
      </w:r>
      <w:r>
        <w:rPr>
          <w:bCs/>
        </w:rPr>
        <w:tab/>
        <w:t xml:space="preserve">The Contractor’s performance will be monitored against Key Performance Indicators (“KPI’s”), see Schedule 3. </w:t>
      </w:r>
    </w:p>
    <w:p w14:paraId="437E2F02" w14:textId="77777777" w:rsidR="00C43190" w:rsidRPr="00E637E2" w:rsidRDefault="00C43190" w:rsidP="00C43190">
      <w:pPr>
        <w:tabs>
          <w:tab w:val="left" w:pos="720"/>
          <w:tab w:val="left" w:pos="1440"/>
        </w:tabs>
        <w:jc w:val="both"/>
        <w:rPr>
          <w:bCs/>
        </w:rPr>
      </w:pPr>
    </w:p>
    <w:p w14:paraId="5ADE4481" w14:textId="77777777" w:rsidR="00C43190" w:rsidRDefault="00C43190" w:rsidP="00C43190">
      <w:pPr>
        <w:tabs>
          <w:tab w:val="left" w:pos="720"/>
          <w:tab w:val="left" w:pos="1440"/>
        </w:tabs>
        <w:ind w:left="720" w:hanging="720"/>
        <w:jc w:val="both"/>
      </w:pPr>
      <w:r>
        <w:t>1.4</w:t>
      </w:r>
      <w:r>
        <w:tab/>
      </w:r>
      <w:r w:rsidRPr="00E637E2">
        <w:t xml:space="preserve">The </w:t>
      </w:r>
      <w:r>
        <w:t xml:space="preserve">Contractor </w:t>
      </w:r>
      <w:r w:rsidRPr="00E637E2">
        <w:t xml:space="preserve">will be </w:t>
      </w:r>
      <w:r>
        <w:t xml:space="preserve">required to attend </w:t>
      </w:r>
      <w:r w:rsidRPr="00E637E2">
        <w:t>MANDATORY Port Health and Safety</w:t>
      </w:r>
      <w:r>
        <w:t xml:space="preserve"> inductions prior to obtaining access to secure areas on the Ports</w:t>
      </w:r>
      <w:r w:rsidRPr="00E637E2">
        <w:t>.  No access to secure areas shall be granted without the pass card.</w:t>
      </w:r>
    </w:p>
    <w:p w14:paraId="1BF6EE78" w14:textId="77777777" w:rsidR="00C43190" w:rsidRDefault="00C43190" w:rsidP="00C43190">
      <w:pPr>
        <w:tabs>
          <w:tab w:val="left" w:pos="720"/>
          <w:tab w:val="left" w:pos="1440"/>
        </w:tabs>
        <w:ind w:left="720" w:hanging="720"/>
        <w:jc w:val="both"/>
      </w:pPr>
    </w:p>
    <w:p w14:paraId="6B2730C2" w14:textId="77777777" w:rsidR="00C43190" w:rsidRDefault="00C43190" w:rsidP="00C43190">
      <w:pPr>
        <w:tabs>
          <w:tab w:val="left" w:pos="720"/>
          <w:tab w:val="left" w:pos="1440"/>
        </w:tabs>
        <w:ind w:left="720" w:hanging="720"/>
        <w:jc w:val="both"/>
      </w:pPr>
      <w:r>
        <w:t>1.5</w:t>
      </w:r>
      <w:r>
        <w:tab/>
        <w:t>At all times the Contractor must hold a certificate of competence awarded by a Health and Safety Executive approved assessing body.  Any revocation of such certification must be notified to the Purchasers immediately.</w:t>
      </w:r>
    </w:p>
    <w:p w14:paraId="59866109" w14:textId="77777777" w:rsidR="00C43190" w:rsidRPr="00E637E2" w:rsidRDefault="00C43190" w:rsidP="00C43190">
      <w:pPr>
        <w:tabs>
          <w:tab w:val="left" w:pos="720"/>
          <w:tab w:val="left" w:pos="1440"/>
        </w:tabs>
        <w:ind w:left="720" w:hanging="720"/>
        <w:jc w:val="both"/>
      </w:pPr>
    </w:p>
    <w:p w14:paraId="1345791A" w14:textId="77777777" w:rsidR="00C43190" w:rsidRPr="002B1415" w:rsidRDefault="00C43190" w:rsidP="00C43190">
      <w:pPr>
        <w:autoSpaceDE w:val="0"/>
        <w:autoSpaceDN w:val="0"/>
        <w:adjustRightInd w:val="0"/>
        <w:ind w:left="720" w:hanging="720"/>
        <w:jc w:val="both"/>
        <w:rPr>
          <w:b/>
          <w:bCs/>
        </w:rPr>
      </w:pPr>
      <w:r>
        <w:rPr>
          <w:b/>
          <w:bCs/>
        </w:rPr>
        <w:t>2.0</w:t>
      </w:r>
      <w:r>
        <w:rPr>
          <w:b/>
          <w:bCs/>
        </w:rPr>
        <w:tab/>
        <w:t>SCOPE OF SERVICES</w:t>
      </w:r>
    </w:p>
    <w:p w14:paraId="6B43A453" w14:textId="77777777" w:rsidR="00C43190" w:rsidRDefault="00C43190" w:rsidP="00C43190">
      <w:pPr>
        <w:jc w:val="both"/>
        <w:rPr>
          <w:b/>
          <w:bCs/>
        </w:rPr>
      </w:pPr>
    </w:p>
    <w:p w14:paraId="1D03E1BE" w14:textId="77777777" w:rsidR="00C43190" w:rsidRDefault="00C43190" w:rsidP="00C43190">
      <w:pPr>
        <w:jc w:val="both"/>
      </w:pPr>
      <w:r>
        <w:rPr>
          <w:bCs/>
        </w:rPr>
        <w:t>2.1</w:t>
      </w:r>
      <w:r>
        <w:rPr>
          <w:bCs/>
        </w:rPr>
        <w:tab/>
        <w:t>The Purchasers’</w:t>
      </w:r>
      <w:r>
        <w:t xml:space="preserve"> radiation hazards fall broadly into three brackets:</w:t>
      </w:r>
    </w:p>
    <w:p w14:paraId="38F7E48E" w14:textId="77777777" w:rsidR="00C43190" w:rsidRDefault="00C43190" w:rsidP="00C43190">
      <w:pPr>
        <w:jc w:val="both"/>
      </w:pPr>
    </w:p>
    <w:p w14:paraId="1907EDB6" w14:textId="77777777" w:rsidR="00C43190" w:rsidRDefault="00C43190" w:rsidP="00C43190">
      <w:pPr>
        <w:pStyle w:val="ListParagraph"/>
        <w:numPr>
          <w:ilvl w:val="1"/>
          <w:numId w:val="1"/>
        </w:numPr>
        <w:contextualSpacing w:val="0"/>
      </w:pPr>
      <w:r>
        <w:t xml:space="preserve">X-ray container and baggage </w:t>
      </w:r>
      <w:proofErr w:type="gramStart"/>
      <w:r>
        <w:t>scanners;</w:t>
      </w:r>
      <w:proofErr w:type="gramEnd"/>
    </w:p>
    <w:p w14:paraId="60371597" w14:textId="77777777" w:rsidR="00C43190" w:rsidRDefault="00C43190" w:rsidP="00C43190">
      <w:pPr>
        <w:pStyle w:val="ListParagraph"/>
        <w:numPr>
          <w:ilvl w:val="1"/>
          <w:numId w:val="1"/>
        </w:numPr>
        <w:contextualSpacing w:val="0"/>
      </w:pPr>
      <w:r>
        <w:t>Legitimate Class 7 cargo; and</w:t>
      </w:r>
    </w:p>
    <w:p w14:paraId="3C441DB8" w14:textId="77777777" w:rsidR="00C43190" w:rsidRDefault="00C43190" w:rsidP="00C43190">
      <w:pPr>
        <w:pStyle w:val="ListParagraph"/>
        <w:numPr>
          <w:ilvl w:val="1"/>
          <w:numId w:val="1"/>
        </w:numPr>
        <w:contextualSpacing w:val="0"/>
      </w:pPr>
      <w:r>
        <w:t>Rogue sources inside, and contamination of, other cargo</w:t>
      </w:r>
    </w:p>
    <w:p w14:paraId="1C34E9D9" w14:textId="77777777" w:rsidR="00C43190" w:rsidRDefault="00C43190" w:rsidP="00C43190">
      <w:pPr>
        <w:ind w:left="720" w:hanging="720"/>
        <w:jc w:val="both"/>
      </w:pPr>
    </w:p>
    <w:p w14:paraId="34FBE0AE" w14:textId="77777777" w:rsidR="00C43190" w:rsidRDefault="00C43190" w:rsidP="00C43190">
      <w:pPr>
        <w:ind w:left="720" w:hanging="720"/>
        <w:jc w:val="both"/>
      </w:pPr>
      <w:r>
        <w:t>2.2</w:t>
      </w:r>
      <w:r>
        <w:tab/>
        <w:t>The Contractor will provide comprehensive Services to include but not be limited to:</w:t>
      </w:r>
    </w:p>
    <w:p w14:paraId="3DE74B8D" w14:textId="77777777" w:rsidR="00C43190" w:rsidRDefault="00C43190" w:rsidP="00C43190">
      <w:pPr>
        <w:ind w:left="720" w:hanging="720"/>
        <w:jc w:val="both"/>
      </w:pPr>
    </w:p>
    <w:p w14:paraId="6D4A3FFB" w14:textId="77777777" w:rsidR="00C43190" w:rsidRDefault="00C43190" w:rsidP="00C43190">
      <w:pPr>
        <w:ind w:left="1440" w:hanging="720"/>
        <w:jc w:val="both"/>
      </w:pPr>
      <w:r>
        <w:t>2.2.1</w:t>
      </w:r>
      <w:r>
        <w:tab/>
        <w:t>Advice to ensure compliance with the following statutory instruments, and will include routine liaison with the relevant Regulator:</w:t>
      </w:r>
    </w:p>
    <w:p w14:paraId="54855F44" w14:textId="77777777" w:rsidR="00C43190" w:rsidRDefault="00C43190" w:rsidP="00C43190">
      <w:pPr>
        <w:ind w:left="1440" w:hanging="720"/>
      </w:pPr>
    </w:p>
    <w:p w14:paraId="1BA4A0E0" w14:textId="77777777" w:rsidR="00C43190" w:rsidRDefault="00C43190" w:rsidP="00C43190">
      <w:pPr>
        <w:ind w:left="792"/>
      </w:pPr>
      <w:r>
        <w:tab/>
        <w:t>a)</w:t>
      </w:r>
      <w:r>
        <w:tab/>
        <w:t xml:space="preserve">Ionising Radiations Regulations </w:t>
      </w:r>
      <w:proofErr w:type="gramStart"/>
      <w:r>
        <w:t>1999;</w:t>
      </w:r>
      <w:proofErr w:type="gramEnd"/>
    </w:p>
    <w:p w14:paraId="15BC7DCE" w14:textId="77777777" w:rsidR="00C43190" w:rsidRDefault="00C43190" w:rsidP="00C43190">
      <w:pPr>
        <w:ind w:left="792"/>
      </w:pPr>
      <w:r>
        <w:tab/>
        <w:t>b)</w:t>
      </w:r>
      <w:r>
        <w:tab/>
        <w:t xml:space="preserve">Environmental Permitting Regulations </w:t>
      </w:r>
      <w:proofErr w:type="gramStart"/>
      <w:r>
        <w:t>2010;</w:t>
      </w:r>
      <w:proofErr w:type="gramEnd"/>
    </w:p>
    <w:p w14:paraId="7B3305CC" w14:textId="77777777" w:rsidR="00C43190" w:rsidRDefault="00C43190" w:rsidP="00C43190">
      <w:pPr>
        <w:ind w:left="2157" w:hanging="717"/>
      </w:pPr>
      <w:r>
        <w:t>c)</w:t>
      </w:r>
      <w:r>
        <w:tab/>
        <w:t xml:space="preserve">The Carriage of Dangerous Goods and Use of Transportable Pressure Equipment Regulations </w:t>
      </w:r>
      <w:proofErr w:type="gramStart"/>
      <w:r>
        <w:t>2009;</w:t>
      </w:r>
      <w:proofErr w:type="gramEnd"/>
    </w:p>
    <w:p w14:paraId="6F726BA0" w14:textId="77777777" w:rsidR="00C43190" w:rsidRDefault="00C43190" w:rsidP="00C43190">
      <w:pPr>
        <w:ind w:left="792" w:firstLine="648"/>
      </w:pPr>
      <w:r>
        <w:t>d)</w:t>
      </w:r>
      <w:r>
        <w:tab/>
        <w:t xml:space="preserve">Management of Health and Safety at Work Regulations </w:t>
      </w:r>
      <w:proofErr w:type="gramStart"/>
      <w:r>
        <w:t>1999;</w:t>
      </w:r>
      <w:proofErr w:type="gramEnd"/>
    </w:p>
    <w:p w14:paraId="1397D788" w14:textId="77777777" w:rsidR="00C43190" w:rsidRDefault="00C43190" w:rsidP="00C43190">
      <w:pPr>
        <w:ind w:left="2160" w:hanging="720"/>
      </w:pPr>
      <w:r>
        <w:t>e)</w:t>
      </w:r>
      <w:r>
        <w:tab/>
        <w:t>European Agreement Concerning the International Carriage of Dangerous Goods by Road (ADR); and</w:t>
      </w:r>
    </w:p>
    <w:p w14:paraId="4334405E" w14:textId="77777777" w:rsidR="00C43190" w:rsidRDefault="00C43190" w:rsidP="00C43190">
      <w:pPr>
        <w:ind w:left="792" w:firstLine="648"/>
      </w:pPr>
      <w:r>
        <w:t>f)</w:t>
      </w:r>
      <w:r>
        <w:tab/>
        <w:t>International Maritime Dangerous Goods Code (IMDG)</w:t>
      </w:r>
    </w:p>
    <w:p w14:paraId="46962652" w14:textId="77777777" w:rsidR="00C43190" w:rsidRDefault="00C43190" w:rsidP="00C43190">
      <w:pPr>
        <w:ind w:left="1440" w:hanging="720"/>
      </w:pPr>
      <w:r>
        <w:t>2.2.2</w:t>
      </w:r>
      <w:r>
        <w:tab/>
        <w:t>Routine site visits to each Port for the purpose of:</w:t>
      </w:r>
    </w:p>
    <w:p w14:paraId="0948FF45" w14:textId="77777777" w:rsidR="00C43190" w:rsidRDefault="00C43190" w:rsidP="00C43190"/>
    <w:p w14:paraId="5075A79F" w14:textId="77777777" w:rsidR="00C43190" w:rsidRDefault="00C43190" w:rsidP="00C43190">
      <w:pPr>
        <w:ind w:left="2160" w:hanging="720"/>
      </w:pPr>
      <w:r>
        <w:t>a)</w:t>
      </w:r>
      <w:r>
        <w:tab/>
        <w:t>Management and training (including refresher) of Radiation Protection Supervisors (indicative one visit per annum</w:t>
      </w:r>
      <w:proofErr w:type="gramStart"/>
      <w:r>
        <w:t>);</w:t>
      </w:r>
      <w:proofErr w:type="gramEnd"/>
    </w:p>
    <w:p w14:paraId="4CAC6962" w14:textId="77777777" w:rsidR="00C43190" w:rsidRDefault="00C43190" w:rsidP="00C43190">
      <w:pPr>
        <w:ind w:left="2160" w:hanging="720"/>
      </w:pPr>
      <w:r>
        <w:lastRenderedPageBreak/>
        <w:t>b)</w:t>
      </w:r>
      <w:r>
        <w:tab/>
        <w:t xml:space="preserve">Assessment of class 7 cargo, contaminated cargo and rogue sources as required (indicative six visits per annum) </w:t>
      </w:r>
    </w:p>
    <w:p w14:paraId="0D53C0A7" w14:textId="77777777" w:rsidR="00C43190" w:rsidRDefault="00C43190" w:rsidP="00C43190">
      <w:pPr>
        <w:ind w:left="2160" w:hanging="720"/>
      </w:pPr>
    </w:p>
    <w:p w14:paraId="6112774B" w14:textId="77777777" w:rsidR="00C43190" w:rsidRDefault="00C43190" w:rsidP="00C43190">
      <w:pPr>
        <w:ind w:left="1440" w:hanging="720"/>
      </w:pPr>
      <w:r>
        <w:t>2.2.3</w:t>
      </w:r>
      <w:r>
        <w:tab/>
      </w:r>
      <w:r>
        <w:rPr>
          <w:bCs/>
        </w:rPr>
        <w:t>Servicing/recalibration and recertification of equipment at the Ports as more particularly described in paragraph 2.6 below.</w:t>
      </w:r>
    </w:p>
    <w:p w14:paraId="1C777408" w14:textId="77777777" w:rsidR="00C43190" w:rsidRDefault="00C43190" w:rsidP="00C43190">
      <w:pPr>
        <w:ind w:left="360"/>
      </w:pPr>
      <w:r>
        <w:t> </w:t>
      </w:r>
    </w:p>
    <w:p w14:paraId="2DAB0D15" w14:textId="77777777" w:rsidR="00C43190" w:rsidRDefault="00C43190" w:rsidP="00C43190">
      <w:pPr>
        <w:ind w:left="720" w:hanging="720"/>
        <w:jc w:val="both"/>
      </w:pPr>
      <w:r>
        <w:t>2.3</w:t>
      </w:r>
      <w:r>
        <w:tab/>
        <w:t>Annual site visit to each Port for review/audit of the Purchasers’ documents produced in accordance with paragraph 2.2.1 above. This will include at least the following procedures, where necessary:</w:t>
      </w:r>
    </w:p>
    <w:p w14:paraId="16219E9F" w14:textId="77777777" w:rsidR="00C43190" w:rsidRDefault="00C43190" w:rsidP="00C43190">
      <w:pPr>
        <w:ind w:left="720" w:hanging="720"/>
        <w:jc w:val="both"/>
      </w:pPr>
    </w:p>
    <w:p w14:paraId="22CEF1E3" w14:textId="77777777" w:rsidR="00C43190" w:rsidRDefault="00C43190" w:rsidP="00C43190">
      <w:pPr>
        <w:ind w:left="792" w:firstLine="648"/>
        <w:jc w:val="both"/>
      </w:pPr>
      <w:r>
        <w:t>a)</w:t>
      </w:r>
      <w:r>
        <w:tab/>
        <w:t xml:space="preserve">Radiation Protection </w:t>
      </w:r>
      <w:proofErr w:type="gramStart"/>
      <w:r>
        <w:t>Plan;</w:t>
      </w:r>
      <w:proofErr w:type="gramEnd"/>
    </w:p>
    <w:p w14:paraId="782246D0" w14:textId="77777777" w:rsidR="00C43190" w:rsidRDefault="00C43190" w:rsidP="00C43190">
      <w:pPr>
        <w:ind w:left="792" w:firstLine="648"/>
        <w:jc w:val="both"/>
      </w:pPr>
      <w:r>
        <w:t>b)</w:t>
      </w:r>
      <w:r>
        <w:tab/>
        <w:t xml:space="preserve">Establishing and monitoring Controlled </w:t>
      </w:r>
      <w:proofErr w:type="gramStart"/>
      <w:r>
        <w:t>Areas;</w:t>
      </w:r>
      <w:proofErr w:type="gramEnd"/>
    </w:p>
    <w:p w14:paraId="56037FFD" w14:textId="77777777" w:rsidR="00C43190" w:rsidRDefault="00C43190" w:rsidP="00C43190">
      <w:pPr>
        <w:ind w:left="792" w:firstLine="648"/>
        <w:jc w:val="both"/>
      </w:pPr>
      <w:r>
        <w:t>c)</w:t>
      </w:r>
      <w:r>
        <w:tab/>
        <w:t xml:space="preserve">Risk Assessment(s) including relevant Contingency </w:t>
      </w:r>
      <w:proofErr w:type="gramStart"/>
      <w:r>
        <w:t>Plans;</w:t>
      </w:r>
      <w:proofErr w:type="gramEnd"/>
    </w:p>
    <w:p w14:paraId="5F51F270" w14:textId="77777777" w:rsidR="00C43190" w:rsidRDefault="00C43190" w:rsidP="00C43190">
      <w:pPr>
        <w:ind w:left="2160" w:hanging="720"/>
        <w:jc w:val="both"/>
      </w:pPr>
      <w:r>
        <w:t>d)</w:t>
      </w:r>
      <w:r>
        <w:tab/>
        <w:t xml:space="preserve">Local Rules including written arrangements required by point 2.2.1a </w:t>
      </w:r>
      <w:proofErr w:type="gramStart"/>
      <w:r>
        <w:t>above;</w:t>
      </w:r>
      <w:proofErr w:type="gramEnd"/>
    </w:p>
    <w:p w14:paraId="65CE913F" w14:textId="77777777" w:rsidR="00C43190" w:rsidRDefault="00C43190" w:rsidP="00C43190">
      <w:pPr>
        <w:ind w:left="792" w:firstLine="648"/>
        <w:jc w:val="both"/>
      </w:pPr>
      <w:r>
        <w:t>e)</w:t>
      </w:r>
      <w:r>
        <w:tab/>
        <w:t xml:space="preserve">Arrangements for instrument </w:t>
      </w:r>
      <w:proofErr w:type="gramStart"/>
      <w:r>
        <w:t>calibration;</w:t>
      </w:r>
      <w:proofErr w:type="gramEnd"/>
    </w:p>
    <w:p w14:paraId="40A70091" w14:textId="77777777" w:rsidR="00C43190" w:rsidRDefault="00C43190" w:rsidP="00C43190">
      <w:pPr>
        <w:ind w:left="792" w:firstLine="648"/>
        <w:jc w:val="both"/>
      </w:pPr>
      <w:r>
        <w:t>f)</w:t>
      </w:r>
      <w:r>
        <w:tab/>
        <w:t>X-ray scanner leakage and boundaries; and</w:t>
      </w:r>
    </w:p>
    <w:p w14:paraId="61CD9CFB" w14:textId="77777777" w:rsidR="00C43190" w:rsidRDefault="00C43190" w:rsidP="00C43190">
      <w:pPr>
        <w:ind w:left="792" w:firstLine="648"/>
        <w:jc w:val="both"/>
      </w:pPr>
      <w:r>
        <w:t>g)</w:t>
      </w:r>
      <w:r>
        <w:tab/>
        <w:t>Follow up of audit actions.</w:t>
      </w:r>
    </w:p>
    <w:p w14:paraId="280C2F03" w14:textId="77777777" w:rsidR="00C43190" w:rsidRDefault="00C43190" w:rsidP="00C43190">
      <w:pPr>
        <w:ind w:left="360"/>
        <w:jc w:val="both"/>
      </w:pPr>
    </w:p>
    <w:p w14:paraId="76745A28" w14:textId="77777777" w:rsidR="00C43190" w:rsidRDefault="00C43190" w:rsidP="00C43190">
      <w:pPr>
        <w:jc w:val="both"/>
      </w:pPr>
      <w:r>
        <w:t>2.4</w:t>
      </w:r>
      <w:r>
        <w:tab/>
        <w:t>Provision of off-site support, during normal office hours, by phone or email.</w:t>
      </w:r>
    </w:p>
    <w:p w14:paraId="68B3A917" w14:textId="77777777" w:rsidR="00C43190" w:rsidRDefault="00C43190" w:rsidP="00C43190">
      <w:pPr>
        <w:ind w:left="720"/>
        <w:jc w:val="both"/>
      </w:pPr>
    </w:p>
    <w:p w14:paraId="4F6ABB3C" w14:textId="77777777" w:rsidR="00C43190" w:rsidRDefault="00C43190" w:rsidP="00C43190">
      <w:pPr>
        <w:ind w:left="720" w:hanging="720"/>
        <w:jc w:val="both"/>
      </w:pPr>
      <w:r>
        <w:t>2.5</w:t>
      </w:r>
      <w:r>
        <w:tab/>
        <w:t xml:space="preserve">Provision of 24/7 emergency callout facility. This is rarely (if ever) needed, but in the event of a radiological incident the Purchasers would require the Contractor’s attendance on-site as soon as practicable to assess the degree of hazard and advise on appropriate controls. </w:t>
      </w:r>
    </w:p>
    <w:p w14:paraId="4C9DCB81" w14:textId="77777777" w:rsidR="00C43190" w:rsidRDefault="00C43190" w:rsidP="00C43190">
      <w:pPr>
        <w:ind w:left="720" w:hanging="720"/>
        <w:jc w:val="both"/>
      </w:pPr>
    </w:p>
    <w:p w14:paraId="5C95047B" w14:textId="77777777" w:rsidR="00C43190" w:rsidRDefault="00C43190" w:rsidP="00C43190">
      <w:pPr>
        <w:ind w:left="720" w:hanging="720"/>
        <w:jc w:val="both"/>
      </w:pPr>
      <w:r>
        <w:tab/>
        <w:t>Timeframe to attendance to site in the event of emergency callout:</w:t>
      </w:r>
    </w:p>
    <w:p w14:paraId="5BD9BCBF" w14:textId="77777777" w:rsidR="00C43190" w:rsidRDefault="00C43190" w:rsidP="00C43190">
      <w:pPr>
        <w:ind w:left="720" w:hanging="720"/>
        <w:jc w:val="both"/>
      </w:pPr>
    </w:p>
    <w:tbl>
      <w:tblPr>
        <w:tblStyle w:val="TableGrid"/>
        <w:tblW w:w="0" w:type="auto"/>
        <w:tblInd w:w="817" w:type="dxa"/>
        <w:tblLook w:val="04A0" w:firstRow="1" w:lastRow="0" w:firstColumn="1" w:lastColumn="0" w:noHBand="0" w:noVBand="1"/>
      </w:tblPr>
      <w:tblGrid>
        <w:gridCol w:w="3807"/>
        <w:gridCol w:w="2288"/>
      </w:tblGrid>
      <w:tr w:rsidR="00C43190" w14:paraId="710D8AD3" w14:textId="77777777" w:rsidTr="002B3A9A">
        <w:tc>
          <w:tcPr>
            <w:tcW w:w="3807" w:type="dxa"/>
            <w:shd w:val="clear" w:color="auto" w:fill="D9D9D9" w:themeFill="background1" w:themeFillShade="D9"/>
          </w:tcPr>
          <w:p w14:paraId="4B2AD1F7" w14:textId="77777777" w:rsidR="00C43190" w:rsidRDefault="00C43190" w:rsidP="002B3A9A">
            <w:pPr>
              <w:jc w:val="both"/>
            </w:pPr>
            <w:r>
              <w:t>Port</w:t>
            </w:r>
          </w:p>
        </w:tc>
        <w:tc>
          <w:tcPr>
            <w:tcW w:w="2288" w:type="dxa"/>
            <w:shd w:val="clear" w:color="auto" w:fill="D9D9D9" w:themeFill="background1" w:themeFillShade="D9"/>
          </w:tcPr>
          <w:p w14:paraId="44C5BDC2" w14:textId="77777777" w:rsidR="00C43190" w:rsidRDefault="00C43190" w:rsidP="002B3A9A">
            <w:pPr>
              <w:jc w:val="both"/>
            </w:pPr>
            <w:r>
              <w:t>Time to site (hours)</w:t>
            </w:r>
          </w:p>
        </w:tc>
      </w:tr>
      <w:tr w:rsidR="00C43190" w14:paraId="38255189" w14:textId="77777777" w:rsidTr="002B3A9A">
        <w:tc>
          <w:tcPr>
            <w:tcW w:w="3807" w:type="dxa"/>
          </w:tcPr>
          <w:p w14:paraId="2F93A834" w14:textId="77777777" w:rsidR="00C43190" w:rsidRDefault="00C43190" w:rsidP="002B3A9A">
            <w:pPr>
              <w:jc w:val="both"/>
            </w:pPr>
            <w:r>
              <w:t>Port of Felixstowe</w:t>
            </w:r>
          </w:p>
        </w:tc>
        <w:tc>
          <w:tcPr>
            <w:tcW w:w="2288" w:type="dxa"/>
          </w:tcPr>
          <w:p w14:paraId="4EA8ADEE" w14:textId="36622375" w:rsidR="00C43190" w:rsidRDefault="00C43190" w:rsidP="002B3A9A">
            <w:pPr>
              <w:jc w:val="both"/>
            </w:pPr>
            <w:r>
              <w:t>3</w:t>
            </w:r>
            <w:r>
              <w:t xml:space="preserve"> hour</w:t>
            </w:r>
            <w:r>
              <w:t>s</w:t>
            </w:r>
          </w:p>
        </w:tc>
      </w:tr>
      <w:tr w:rsidR="00C43190" w14:paraId="1C760646" w14:textId="77777777" w:rsidTr="002B3A9A">
        <w:tc>
          <w:tcPr>
            <w:tcW w:w="3807" w:type="dxa"/>
          </w:tcPr>
          <w:p w14:paraId="0AB5D8F4" w14:textId="77777777" w:rsidR="00C43190" w:rsidRDefault="00C43190" w:rsidP="002B3A9A">
            <w:pPr>
              <w:jc w:val="both"/>
            </w:pPr>
            <w:r>
              <w:t>Harwich International Port</w:t>
            </w:r>
          </w:p>
        </w:tc>
        <w:tc>
          <w:tcPr>
            <w:tcW w:w="2288" w:type="dxa"/>
          </w:tcPr>
          <w:p w14:paraId="7D50B67E" w14:textId="3C578DD9" w:rsidR="00C43190" w:rsidRDefault="00C43190" w:rsidP="002B3A9A">
            <w:pPr>
              <w:jc w:val="both"/>
            </w:pPr>
            <w:r>
              <w:t>3</w:t>
            </w:r>
            <w:r>
              <w:t xml:space="preserve"> hours</w:t>
            </w:r>
          </w:p>
        </w:tc>
      </w:tr>
      <w:tr w:rsidR="00C43190" w14:paraId="4AD5468E" w14:textId="77777777" w:rsidTr="002B3A9A">
        <w:tc>
          <w:tcPr>
            <w:tcW w:w="3807" w:type="dxa"/>
          </w:tcPr>
          <w:p w14:paraId="76DB60B3" w14:textId="77777777" w:rsidR="00C43190" w:rsidRDefault="00C43190" w:rsidP="002B3A9A">
            <w:pPr>
              <w:jc w:val="both"/>
            </w:pPr>
            <w:r>
              <w:t xml:space="preserve">London </w:t>
            </w:r>
            <w:proofErr w:type="spellStart"/>
            <w:r>
              <w:t>Thamesport</w:t>
            </w:r>
            <w:proofErr w:type="spellEnd"/>
          </w:p>
        </w:tc>
        <w:tc>
          <w:tcPr>
            <w:tcW w:w="2288" w:type="dxa"/>
          </w:tcPr>
          <w:p w14:paraId="5919B8D9" w14:textId="6BA087D9" w:rsidR="00C43190" w:rsidRDefault="00C43190" w:rsidP="002B3A9A">
            <w:pPr>
              <w:jc w:val="both"/>
            </w:pPr>
            <w:r>
              <w:t>3</w:t>
            </w:r>
            <w:r>
              <w:t xml:space="preserve"> hours</w:t>
            </w:r>
          </w:p>
        </w:tc>
      </w:tr>
    </w:tbl>
    <w:p w14:paraId="73009ABD" w14:textId="77777777" w:rsidR="00C43190" w:rsidRDefault="00C43190" w:rsidP="00C43190">
      <w:pPr>
        <w:rPr>
          <w:color w:val="1F497D"/>
        </w:rPr>
      </w:pPr>
    </w:p>
    <w:p w14:paraId="793D26BD" w14:textId="77777777" w:rsidR="00C43190" w:rsidRDefault="00C43190" w:rsidP="00C43190">
      <w:pPr>
        <w:jc w:val="both"/>
        <w:rPr>
          <w:bCs/>
        </w:rPr>
      </w:pPr>
      <w:r>
        <w:rPr>
          <w:bCs/>
        </w:rPr>
        <w:t>2.6</w:t>
      </w:r>
      <w:r>
        <w:rPr>
          <w:bCs/>
        </w:rPr>
        <w:tab/>
        <w:t>Servicing/Recalibration and Recertification of Equipment:</w:t>
      </w:r>
    </w:p>
    <w:p w14:paraId="3A041806" w14:textId="77777777" w:rsidR="00C43190" w:rsidRDefault="00C43190" w:rsidP="00C43190">
      <w:pPr>
        <w:jc w:val="both"/>
        <w:rPr>
          <w:bCs/>
        </w:rPr>
      </w:pPr>
    </w:p>
    <w:p w14:paraId="4A1A5F4B" w14:textId="77777777" w:rsidR="00C43190" w:rsidRDefault="00C43190" w:rsidP="00C43190">
      <w:pPr>
        <w:ind w:firstLine="720"/>
        <w:jc w:val="both"/>
        <w:rPr>
          <w:bCs/>
          <w:u w:val="single"/>
        </w:rPr>
      </w:pPr>
      <w:r>
        <w:rPr>
          <w:bCs/>
        </w:rPr>
        <w:t>2.6.1</w:t>
      </w:r>
      <w:r>
        <w:rPr>
          <w:bCs/>
        </w:rPr>
        <w:tab/>
      </w:r>
      <w:r w:rsidRPr="00E070AD">
        <w:rPr>
          <w:bCs/>
          <w:u w:val="single"/>
        </w:rPr>
        <w:t>Harwich International Port</w:t>
      </w:r>
    </w:p>
    <w:p w14:paraId="70C6942A" w14:textId="77777777" w:rsidR="00C43190" w:rsidRDefault="00C43190" w:rsidP="00C43190">
      <w:pPr>
        <w:jc w:val="both"/>
        <w:rPr>
          <w:bCs/>
          <w:u w:val="single"/>
        </w:rPr>
      </w:pPr>
    </w:p>
    <w:p w14:paraId="0D2EF9E2" w14:textId="77777777" w:rsidR="00C43190" w:rsidRDefault="00C43190" w:rsidP="00C43190">
      <w:pPr>
        <w:ind w:left="720"/>
        <w:jc w:val="both"/>
        <w:rPr>
          <w:bCs/>
        </w:rPr>
      </w:pPr>
      <w:r>
        <w:rPr>
          <w:bCs/>
        </w:rPr>
        <w:t xml:space="preserve">Before the commencement of the cruise season (normally April but this will be confirmed on an annual basis in January of each year), the Contractor will be required to check the Port’s x-ray equipment for leakage and ensure that there is an </w:t>
      </w:r>
      <w:proofErr w:type="gramStart"/>
      <w:r>
        <w:rPr>
          <w:bCs/>
        </w:rPr>
        <w:t>up to date</w:t>
      </w:r>
      <w:proofErr w:type="gramEnd"/>
      <w:r>
        <w:rPr>
          <w:bCs/>
        </w:rPr>
        <w:t xml:space="preserve"> copy of local working instructions attached to each x-ray machine.  Currently there are nine x-ray machines. Applicable charges are included in Appendix 2. </w:t>
      </w:r>
    </w:p>
    <w:p w14:paraId="5E3518DC" w14:textId="77777777" w:rsidR="00C43190" w:rsidRDefault="00C43190" w:rsidP="00C43190">
      <w:pPr>
        <w:jc w:val="both"/>
        <w:rPr>
          <w:bCs/>
        </w:rPr>
      </w:pPr>
    </w:p>
    <w:p w14:paraId="36078DE2" w14:textId="77777777" w:rsidR="00C43190" w:rsidRDefault="00C43190" w:rsidP="00C43190">
      <w:pPr>
        <w:ind w:left="720"/>
        <w:jc w:val="both"/>
        <w:rPr>
          <w:bCs/>
        </w:rPr>
      </w:pPr>
      <w:r>
        <w:rPr>
          <w:bCs/>
        </w:rPr>
        <w:t xml:space="preserve">The Contractor will also be required to service and calibrate on an annual basis, the Port’s radiation detector: </w:t>
      </w:r>
      <w:r w:rsidRPr="001D0616">
        <w:rPr>
          <w:bCs/>
        </w:rPr>
        <w:t xml:space="preserve">Mini 900R – Serial No 032107.  </w:t>
      </w:r>
      <w:r>
        <w:rPr>
          <w:bCs/>
        </w:rPr>
        <w:t xml:space="preserve">The unit must be delivered back to the Port and a certificate of calibration provided to the Purchaser. </w:t>
      </w:r>
    </w:p>
    <w:p w14:paraId="5ADAE866" w14:textId="77777777" w:rsidR="00C43190" w:rsidRDefault="00C43190" w:rsidP="00C43190">
      <w:pPr>
        <w:ind w:left="720"/>
        <w:jc w:val="both"/>
        <w:rPr>
          <w:bCs/>
        </w:rPr>
      </w:pPr>
    </w:p>
    <w:p w14:paraId="1B126DF8" w14:textId="77777777" w:rsidR="00C43190" w:rsidRDefault="00C43190" w:rsidP="00C43190">
      <w:pPr>
        <w:ind w:left="720"/>
        <w:jc w:val="both"/>
        <w:rPr>
          <w:bCs/>
        </w:rPr>
      </w:pPr>
      <w:r>
        <w:rPr>
          <w:bCs/>
        </w:rPr>
        <w:t>Timeframe for return of equipment to the Port following servicing/calibration in the table below:</w:t>
      </w:r>
    </w:p>
    <w:p w14:paraId="2D117F90" w14:textId="77777777" w:rsidR="00C43190" w:rsidRDefault="00C43190" w:rsidP="00C43190">
      <w:pPr>
        <w:ind w:left="720"/>
        <w:jc w:val="both"/>
        <w:rPr>
          <w:bCs/>
        </w:rPr>
      </w:pPr>
    </w:p>
    <w:tbl>
      <w:tblPr>
        <w:tblStyle w:val="TableGrid"/>
        <w:tblW w:w="0" w:type="auto"/>
        <w:tblInd w:w="817" w:type="dxa"/>
        <w:tblLook w:val="04A0" w:firstRow="1" w:lastRow="0" w:firstColumn="1" w:lastColumn="0" w:noHBand="0" w:noVBand="1"/>
      </w:tblPr>
      <w:tblGrid>
        <w:gridCol w:w="3804"/>
        <w:gridCol w:w="3901"/>
      </w:tblGrid>
      <w:tr w:rsidR="00C43190" w14:paraId="7A4234C8" w14:textId="77777777" w:rsidTr="002B3A9A">
        <w:tc>
          <w:tcPr>
            <w:tcW w:w="3804" w:type="dxa"/>
          </w:tcPr>
          <w:p w14:paraId="13578132" w14:textId="77777777" w:rsidR="00C43190" w:rsidRDefault="00C43190" w:rsidP="002B3A9A">
            <w:pPr>
              <w:jc w:val="both"/>
              <w:rPr>
                <w:bCs/>
              </w:rPr>
            </w:pPr>
            <w:r>
              <w:rPr>
                <w:bCs/>
              </w:rPr>
              <w:lastRenderedPageBreak/>
              <w:t>Return of equipment to the Port</w:t>
            </w:r>
          </w:p>
        </w:tc>
        <w:tc>
          <w:tcPr>
            <w:tcW w:w="3901" w:type="dxa"/>
          </w:tcPr>
          <w:p w14:paraId="1F041263" w14:textId="77777777" w:rsidR="00C43190" w:rsidRDefault="00C43190" w:rsidP="002B3A9A">
            <w:pPr>
              <w:rPr>
                <w:bCs/>
              </w:rPr>
            </w:pPr>
            <w:r>
              <w:rPr>
                <w:bCs/>
              </w:rPr>
              <w:t xml:space="preserve"> Less than 14 days</w:t>
            </w:r>
          </w:p>
        </w:tc>
      </w:tr>
    </w:tbl>
    <w:p w14:paraId="58EFCE2C" w14:textId="77777777" w:rsidR="00C43190" w:rsidRPr="00DA0CD6" w:rsidRDefault="00C43190" w:rsidP="00C43190">
      <w:pPr>
        <w:ind w:left="720"/>
        <w:jc w:val="both"/>
        <w:rPr>
          <w:bCs/>
        </w:rPr>
      </w:pPr>
    </w:p>
    <w:p w14:paraId="02C54F05" w14:textId="77777777" w:rsidR="00C43190" w:rsidRDefault="00C43190" w:rsidP="00C43190">
      <w:pPr>
        <w:ind w:left="720"/>
        <w:jc w:val="both"/>
        <w:rPr>
          <w:bCs/>
        </w:rPr>
      </w:pPr>
      <w:r>
        <w:rPr>
          <w:bCs/>
        </w:rPr>
        <w:t>If repairs are required the Contractor must advise the Purchaser before any repairs are undertaken detailing the nature of the repair, the applicable charges and any delays in return of the equipment to the Port.  In the event the equipment is considered beyond repair the Purchaser must be advised immediately.</w:t>
      </w:r>
    </w:p>
    <w:p w14:paraId="66752EE8" w14:textId="77777777" w:rsidR="00C43190" w:rsidRDefault="00C43190" w:rsidP="00C43190">
      <w:pPr>
        <w:ind w:left="720"/>
        <w:jc w:val="both"/>
        <w:rPr>
          <w:bCs/>
        </w:rPr>
      </w:pPr>
    </w:p>
    <w:p w14:paraId="38956E0C" w14:textId="77777777" w:rsidR="00C43190" w:rsidRDefault="00C43190" w:rsidP="00C43190">
      <w:pPr>
        <w:ind w:firstLine="720"/>
        <w:jc w:val="both"/>
        <w:rPr>
          <w:bCs/>
          <w:u w:val="single"/>
        </w:rPr>
      </w:pPr>
      <w:r>
        <w:rPr>
          <w:bCs/>
        </w:rPr>
        <w:t>2.6.2</w:t>
      </w:r>
      <w:r>
        <w:rPr>
          <w:bCs/>
        </w:rPr>
        <w:tab/>
      </w:r>
      <w:r>
        <w:rPr>
          <w:bCs/>
          <w:u w:val="single"/>
        </w:rPr>
        <w:t xml:space="preserve">London </w:t>
      </w:r>
      <w:proofErr w:type="spellStart"/>
      <w:r>
        <w:rPr>
          <w:bCs/>
          <w:u w:val="single"/>
        </w:rPr>
        <w:t>Thamesport</w:t>
      </w:r>
      <w:proofErr w:type="spellEnd"/>
    </w:p>
    <w:p w14:paraId="57ABA530" w14:textId="77777777" w:rsidR="00C43190" w:rsidRDefault="00C43190" w:rsidP="00C43190">
      <w:pPr>
        <w:jc w:val="both"/>
        <w:rPr>
          <w:bCs/>
          <w:u w:val="single"/>
        </w:rPr>
      </w:pPr>
    </w:p>
    <w:p w14:paraId="6EED12AD" w14:textId="77777777" w:rsidR="00C43190" w:rsidRDefault="00C43190" w:rsidP="00C43190">
      <w:pPr>
        <w:ind w:left="720"/>
        <w:jc w:val="both"/>
        <w:rPr>
          <w:bCs/>
        </w:rPr>
      </w:pPr>
      <w:r>
        <w:rPr>
          <w:bCs/>
        </w:rPr>
        <w:t xml:space="preserve">Annual recalibration of radiation monitors: Radiation alert MC1K and </w:t>
      </w:r>
      <w:proofErr w:type="spellStart"/>
      <w:r>
        <w:rPr>
          <w:bCs/>
        </w:rPr>
        <w:t>Rotem</w:t>
      </w:r>
      <w:proofErr w:type="spellEnd"/>
      <w:r>
        <w:rPr>
          <w:bCs/>
        </w:rPr>
        <w:t xml:space="preserve"> RAM GENE-1Mark II. Certificate of conformance required for each.  </w:t>
      </w:r>
    </w:p>
    <w:p w14:paraId="17F27ACD" w14:textId="77777777" w:rsidR="00C43190" w:rsidRDefault="00C43190" w:rsidP="00C43190">
      <w:pPr>
        <w:ind w:left="720"/>
        <w:jc w:val="both"/>
        <w:rPr>
          <w:bCs/>
        </w:rPr>
      </w:pPr>
    </w:p>
    <w:p w14:paraId="4C5DB901" w14:textId="77777777" w:rsidR="00C43190" w:rsidRDefault="00C43190" w:rsidP="00C43190">
      <w:pPr>
        <w:ind w:left="720"/>
        <w:jc w:val="both"/>
        <w:rPr>
          <w:bCs/>
        </w:rPr>
      </w:pPr>
      <w:r>
        <w:rPr>
          <w:bCs/>
        </w:rPr>
        <w:t>Timeframe for return of equipment to the Port following recertification in the table below:</w:t>
      </w:r>
    </w:p>
    <w:p w14:paraId="428F2D7C" w14:textId="77777777" w:rsidR="00C43190" w:rsidRDefault="00C43190" w:rsidP="00C43190">
      <w:pPr>
        <w:ind w:left="720"/>
        <w:jc w:val="both"/>
        <w:rPr>
          <w:bCs/>
        </w:rPr>
      </w:pPr>
    </w:p>
    <w:tbl>
      <w:tblPr>
        <w:tblStyle w:val="TableGrid"/>
        <w:tblW w:w="0" w:type="auto"/>
        <w:tblInd w:w="817" w:type="dxa"/>
        <w:tblLook w:val="04A0" w:firstRow="1" w:lastRow="0" w:firstColumn="1" w:lastColumn="0" w:noHBand="0" w:noVBand="1"/>
      </w:tblPr>
      <w:tblGrid>
        <w:gridCol w:w="3804"/>
        <w:gridCol w:w="3901"/>
      </w:tblGrid>
      <w:tr w:rsidR="00C43190" w14:paraId="7AB1A0BA" w14:textId="77777777" w:rsidTr="002B3A9A">
        <w:tc>
          <w:tcPr>
            <w:tcW w:w="3804" w:type="dxa"/>
          </w:tcPr>
          <w:p w14:paraId="09D0CAE3" w14:textId="77777777" w:rsidR="00C43190" w:rsidRDefault="00C43190" w:rsidP="002B3A9A">
            <w:pPr>
              <w:jc w:val="both"/>
              <w:rPr>
                <w:bCs/>
              </w:rPr>
            </w:pPr>
            <w:r>
              <w:rPr>
                <w:bCs/>
              </w:rPr>
              <w:t>Return of equipment to the Port</w:t>
            </w:r>
          </w:p>
        </w:tc>
        <w:tc>
          <w:tcPr>
            <w:tcW w:w="3901" w:type="dxa"/>
          </w:tcPr>
          <w:p w14:paraId="2A041BF7" w14:textId="77777777" w:rsidR="00C43190" w:rsidRDefault="00C43190" w:rsidP="002B3A9A">
            <w:pPr>
              <w:jc w:val="both"/>
              <w:rPr>
                <w:bCs/>
              </w:rPr>
            </w:pPr>
            <w:r>
              <w:rPr>
                <w:bCs/>
              </w:rPr>
              <w:t xml:space="preserve">   Less than 14 days                                    </w:t>
            </w:r>
          </w:p>
        </w:tc>
      </w:tr>
    </w:tbl>
    <w:p w14:paraId="0B700326" w14:textId="77777777" w:rsidR="00C43190" w:rsidRDefault="00C43190" w:rsidP="00C43190">
      <w:pPr>
        <w:jc w:val="both"/>
        <w:rPr>
          <w:bCs/>
        </w:rPr>
      </w:pPr>
    </w:p>
    <w:p w14:paraId="63357AC8" w14:textId="77777777" w:rsidR="00C43190" w:rsidRDefault="00C43190" w:rsidP="00C43190">
      <w:pPr>
        <w:ind w:firstLine="720"/>
        <w:jc w:val="both"/>
        <w:rPr>
          <w:bCs/>
          <w:u w:val="single"/>
        </w:rPr>
      </w:pPr>
      <w:r>
        <w:rPr>
          <w:bCs/>
        </w:rPr>
        <w:t>2.6.3</w:t>
      </w:r>
      <w:r>
        <w:rPr>
          <w:bCs/>
        </w:rPr>
        <w:tab/>
      </w:r>
      <w:r>
        <w:rPr>
          <w:bCs/>
          <w:u w:val="single"/>
        </w:rPr>
        <w:t>Port of Felixstowe</w:t>
      </w:r>
    </w:p>
    <w:p w14:paraId="15B42A6B" w14:textId="77777777" w:rsidR="00C43190" w:rsidRDefault="00C43190" w:rsidP="00C43190">
      <w:pPr>
        <w:jc w:val="both"/>
        <w:rPr>
          <w:bCs/>
          <w:u w:val="single"/>
        </w:rPr>
      </w:pPr>
    </w:p>
    <w:p w14:paraId="3BCC0398" w14:textId="77777777" w:rsidR="00C43190" w:rsidRDefault="00C43190" w:rsidP="00C43190">
      <w:pPr>
        <w:ind w:left="720"/>
        <w:jc w:val="both"/>
        <w:rPr>
          <w:bCs/>
        </w:rPr>
      </w:pPr>
      <w:r>
        <w:rPr>
          <w:bCs/>
        </w:rPr>
        <w:t xml:space="preserve">Annual recalibration of (a) approximately 14 </w:t>
      </w:r>
      <w:proofErr w:type="spellStart"/>
      <w:r>
        <w:rPr>
          <w:bCs/>
        </w:rPr>
        <w:t>Thermo</w:t>
      </w:r>
      <w:proofErr w:type="spellEnd"/>
      <w:r>
        <w:rPr>
          <w:bCs/>
        </w:rPr>
        <w:t xml:space="preserve"> Mk2 EPD’s and (b) 1 NE Technology Electra Plus 1A ratemeter with MC71 probe. The Contractor will advise the Purchaser of the address to which the equipment is to be sent.  Test certificates shall be provided to the Purchaser. Test dates shall be agreed between the Contractor and the Purchaser based on expiry of existing calibrations.  The Contractor shall liaise with any third parties directly so that the Purchaser only deals with the Contractor.</w:t>
      </w:r>
    </w:p>
    <w:p w14:paraId="1CB2A4F4" w14:textId="77777777" w:rsidR="00C43190" w:rsidRDefault="00C43190" w:rsidP="00C43190">
      <w:pPr>
        <w:ind w:left="720"/>
        <w:jc w:val="both"/>
        <w:rPr>
          <w:bCs/>
        </w:rPr>
      </w:pPr>
    </w:p>
    <w:p w14:paraId="0C6EEA1A" w14:textId="77777777" w:rsidR="00C43190" w:rsidRDefault="00C43190" w:rsidP="00C43190">
      <w:pPr>
        <w:ind w:left="720"/>
        <w:jc w:val="both"/>
        <w:rPr>
          <w:bCs/>
        </w:rPr>
      </w:pPr>
      <w:r>
        <w:rPr>
          <w:bCs/>
        </w:rPr>
        <w:t>EPD’s will be released by the Customer in batches of two, and the Contractor’s pricing/scheduling of work shall take this into account.</w:t>
      </w:r>
    </w:p>
    <w:p w14:paraId="1617A989" w14:textId="77777777" w:rsidR="00C43190" w:rsidRDefault="00C43190" w:rsidP="00C43190">
      <w:pPr>
        <w:ind w:left="720"/>
        <w:jc w:val="both"/>
        <w:rPr>
          <w:bCs/>
        </w:rPr>
      </w:pPr>
    </w:p>
    <w:p w14:paraId="24CFA831" w14:textId="77777777" w:rsidR="00C43190" w:rsidRDefault="00C43190" w:rsidP="00C43190">
      <w:pPr>
        <w:ind w:left="720"/>
        <w:jc w:val="both"/>
        <w:rPr>
          <w:bCs/>
        </w:rPr>
      </w:pPr>
      <w:r>
        <w:rPr>
          <w:bCs/>
        </w:rPr>
        <w:t>Timeframe for return of equipment to the Port following calibration in the table below:</w:t>
      </w:r>
    </w:p>
    <w:p w14:paraId="4D7414D9" w14:textId="77777777" w:rsidR="00C43190" w:rsidRDefault="00C43190" w:rsidP="00C43190">
      <w:pPr>
        <w:ind w:left="720"/>
        <w:jc w:val="both"/>
        <w:rPr>
          <w:bCs/>
        </w:rPr>
      </w:pPr>
    </w:p>
    <w:tbl>
      <w:tblPr>
        <w:tblStyle w:val="TableGrid"/>
        <w:tblW w:w="0" w:type="auto"/>
        <w:tblInd w:w="817" w:type="dxa"/>
        <w:tblLook w:val="04A0" w:firstRow="1" w:lastRow="0" w:firstColumn="1" w:lastColumn="0" w:noHBand="0" w:noVBand="1"/>
      </w:tblPr>
      <w:tblGrid>
        <w:gridCol w:w="3804"/>
        <w:gridCol w:w="3901"/>
      </w:tblGrid>
      <w:tr w:rsidR="00C43190" w14:paraId="0548A866" w14:textId="77777777" w:rsidTr="002B3A9A">
        <w:tc>
          <w:tcPr>
            <w:tcW w:w="3804" w:type="dxa"/>
          </w:tcPr>
          <w:p w14:paraId="7950B9BF" w14:textId="77777777" w:rsidR="00C43190" w:rsidRDefault="00C43190" w:rsidP="002B3A9A">
            <w:pPr>
              <w:jc w:val="both"/>
              <w:rPr>
                <w:bCs/>
              </w:rPr>
            </w:pPr>
            <w:r>
              <w:rPr>
                <w:bCs/>
              </w:rPr>
              <w:t>Return of equipment to the Port</w:t>
            </w:r>
          </w:p>
        </w:tc>
        <w:tc>
          <w:tcPr>
            <w:tcW w:w="3901" w:type="dxa"/>
          </w:tcPr>
          <w:p w14:paraId="28F2CA53" w14:textId="77777777" w:rsidR="00C43190" w:rsidRDefault="00C43190" w:rsidP="002B3A9A">
            <w:pPr>
              <w:jc w:val="both"/>
              <w:rPr>
                <w:bCs/>
              </w:rPr>
            </w:pPr>
            <w:r>
              <w:rPr>
                <w:bCs/>
              </w:rPr>
              <w:t xml:space="preserve"> Less than 14 days                                                                      </w:t>
            </w:r>
          </w:p>
        </w:tc>
      </w:tr>
    </w:tbl>
    <w:p w14:paraId="4F710727" w14:textId="77777777" w:rsidR="00C43190" w:rsidRPr="00E070AD" w:rsidRDefault="00C43190" w:rsidP="00C43190">
      <w:pPr>
        <w:jc w:val="both"/>
        <w:rPr>
          <w:bCs/>
        </w:rPr>
      </w:pPr>
      <w:r>
        <w:rPr>
          <w:bCs/>
        </w:rPr>
        <w:tab/>
      </w:r>
    </w:p>
    <w:p w14:paraId="3E2C428D" w14:textId="77777777" w:rsidR="00C43190" w:rsidRDefault="00C43190" w:rsidP="00C43190">
      <w:pPr>
        <w:jc w:val="center"/>
        <w:rPr>
          <w:b/>
          <w:bCs/>
        </w:rPr>
      </w:pPr>
    </w:p>
    <w:p w14:paraId="4301FDD4" w14:textId="77777777" w:rsidR="00C43190" w:rsidRDefault="00C43190" w:rsidP="00C43190">
      <w:pPr>
        <w:jc w:val="center"/>
        <w:rPr>
          <w:b/>
          <w:bCs/>
        </w:rPr>
      </w:pPr>
    </w:p>
    <w:p w14:paraId="3965B70F" w14:textId="77777777" w:rsidR="00024F00" w:rsidRDefault="00024F00"/>
    <w:sectPr w:rsidR="00024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87BCE"/>
    <w:multiLevelType w:val="hybridMultilevel"/>
    <w:tmpl w:val="B0820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81257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90"/>
    <w:rsid w:val="00024F00"/>
    <w:rsid w:val="00C4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04AA"/>
  <w15:chartTrackingRefBased/>
  <w15:docId w15:val="{EF8B498B-9637-4B4E-B26B-BF1540BA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90"/>
    <w:pPr>
      <w:ind w:left="720"/>
      <w:contextualSpacing/>
    </w:pPr>
  </w:style>
  <w:style w:type="table" w:styleId="TableGrid">
    <w:name w:val="Table Grid"/>
    <w:basedOn w:val="TableNormal"/>
    <w:uiPriority w:val="59"/>
    <w:rsid w:val="00C431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5136</Characters>
  <Application>Microsoft Office Word</Application>
  <DocSecurity>0</DocSecurity>
  <Lines>42</Lines>
  <Paragraphs>12</Paragraphs>
  <ScaleCrop>false</ScaleCrop>
  <Company>Hutchison Ports UK</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Werrett, Matthew</dc:creator>
  <cp:keywords/>
  <dc:description/>
  <cp:lastModifiedBy>Werrett, Matthew</cp:lastModifiedBy>
  <cp:revision>1</cp:revision>
  <dcterms:created xsi:type="dcterms:W3CDTF">2022-05-30T10:26:00Z</dcterms:created>
  <dcterms:modified xsi:type="dcterms:W3CDTF">2022-05-30T10:27:00Z</dcterms:modified>
</cp:coreProperties>
</file>