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32C68" w14:textId="55E640E5" w:rsidR="00D812A3" w:rsidRPr="00A9135F" w:rsidRDefault="00D812A3" w:rsidP="00694548">
      <w:pPr>
        <w:ind w:left="426" w:hanging="1134"/>
        <w:rPr>
          <w:sz w:val="22"/>
          <w:szCs w:val="22"/>
        </w:rPr>
      </w:pPr>
      <w:r>
        <w:rPr>
          <w:noProof/>
          <w:sz w:val="22"/>
          <w:szCs w:val="22"/>
        </w:rPr>
        <mc:AlternateContent>
          <mc:Choice Requires="wps">
            <w:drawing>
              <wp:anchor distT="0" distB="0" distL="114300" distR="114300" simplePos="0" relativeHeight="251658240" behindDoc="0" locked="0" layoutInCell="1" allowOverlap="1" wp14:anchorId="692440B3" wp14:editId="195476D7">
                <wp:simplePos x="0" y="0"/>
                <wp:positionH relativeFrom="column">
                  <wp:posOffset>145991</wp:posOffset>
                </wp:positionH>
                <wp:positionV relativeFrom="paragraph">
                  <wp:posOffset>575079</wp:posOffset>
                </wp:positionV>
                <wp:extent cx="5631873" cy="1008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73" cy="1008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63A8C2" w14:textId="77777777" w:rsidR="00810ED8" w:rsidRDefault="00810ED8" w:rsidP="00911981">
                            <w:pPr>
                              <w:rPr>
                                <w:sz w:val="32"/>
                              </w:rPr>
                            </w:pPr>
                          </w:p>
                          <w:p w14:paraId="644DD5D1" w14:textId="77777777" w:rsidR="00810ED8" w:rsidRPr="00500F59" w:rsidRDefault="00810ED8" w:rsidP="00911981">
                            <w:pPr>
                              <w:rPr>
                                <w:color w:val="FFFFFF" w:themeColor="background1"/>
                                <w:sz w:val="32"/>
                              </w:rPr>
                            </w:pPr>
                          </w:p>
                          <w:p w14:paraId="1ABA203A" w14:textId="77777777" w:rsidR="00810ED8" w:rsidRPr="004D4DDA" w:rsidRDefault="00810ED8" w:rsidP="008F6C3F">
                            <w:pPr>
                              <w:pStyle w:val="ListParagraph"/>
                              <w:jc w:val="center"/>
                              <w:rPr>
                                <w:rFonts w:ascii="Arial" w:hAnsi="Arial" w:cs="Arial"/>
                                <w:b/>
                                <w:caps/>
                                <w:color w:val="FFFFFF" w:themeColor="background1"/>
                                <w:sz w:val="28"/>
                                <w:szCs w:val="28"/>
                              </w:rPr>
                            </w:pPr>
                            <w:r>
                              <w:rPr>
                                <w:rFonts w:ascii="Arial" w:hAnsi="Arial" w:cs="Arial"/>
                                <w:b/>
                                <w:caps/>
                                <w:color w:val="FFFFFF" w:themeColor="background1"/>
                                <w:sz w:val="28"/>
                                <w:szCs w:val="28"/>
                              </w:rPr>
                              <w:t>Section 3. InSTRUCTIONS TO TENDERERS AND INvitation TO TENDER</w:t>
                            </w:r>
                          </w:p>
                          <w:p w14:paraId="1910ADBC" w14:textId="77777777" w:rsidR="00810ED8" w:rsidRPr="00414634" w:rsidRDefault="00810ED8" w:rsidP="00911981">
                            <w:pPr>
                              <w:rPr>
                                <w:sz w:val="32"/>
                              </w:rPr>
                            </w:pPr>
                          </w:p>
                          <w:p w14:paraId="2FE5D3F9" w14:textId="77777777" w:rsidR="00810ED8" w:rsidRPr="00B81CCC" w:rsidRDefault="00810ED8" w:rsidP="00850007">
                            <w:pPr>
                              <w:ind w:left="397"/>
                              <w:jc w:val="center"/>
                              <w:rPr>
                                <w:b/>
                                <w:color w:val="800080"/>
                                <w:sz w:val="32"/>
                                <w:szCs w:val="32"/>
                              </w:rPr>
                            </w:pPr>
                          </w:p>
                          <w:p w14:paraId="1F01C6A9" w14:textId="77777777" w:rsidR="00810ED8" w:rsidRPr="00613312" w:rsidRDefault="00810ED8" w:rsidP="00850007">
                            <w:pPr>
                              <w:jc w:val="center"/>
                              <w:rPr>
                                <w:b/>
                                <w:color w:val="800080"/>
                                <w:sz w:val="30"/>
                                <w:szCs w:val="30"/>
                              </w:rPr>
                            </w:pPr>
                          </w:p>
                          <w:p w14:paraId="7E6C4111" w14:textId="77777777" w:rsidR="00810ED8" w:rsidRPr="00613312" w:rsidRDefault="00810ED8" w:rsidP="00850007">
                            <w:pPr>
                              <w:jc w:val="center"/>
                              <w:rPr>
                                <w:b/>
                                <w:caps/>
                                <w:color w:val="800080"/>
                                <w:sz w:val="30"/>
                                <w:szCs w:val="30"/>
                              </w:rPr>
                            </w:pPr>
                          </w:p>
                          <w:p w14:paraId="1A09354B" w14:textId="77777777" w:rsidR="00810ED8" w:rsidRPr="00613312" w:rsidRDefault="00810ED8" w:rsidP="00850007">
                            <w:pPr>
                              <w:jc w:val="center"/>
                              <w:rPr>
                                <w:b/>
                                <w:caps/>
                                <w:color w:val="800080"/>
                                <w:sz w:val="30"/>
                                <w:szCs w:val="30"/>
                              </w:rPr>
                            </w:pPr>
                          </w:p>
                          <w:p w14:paraId="2A9941B5" w14:textId="76BEF408" w:rsidR="00810ED8" w:rsidRPr="00613312" w:rsidRDefault="00810ED8" w:rsidP="00500F59">
                            <w:pPr>
                              <w:rPr>
                                <w:b/>
                                <w:caps/>
                                <w:color w:val="800080"/>
                                <w:sz w:val="30"/>
                                <w:szCs w:val="30"/>
                              </w:rPr>
                            </w:pPr>
                          </w:p>
                          <w:p w14:paraId="547A9073" w14:textId="77777777" w:rsidR="00810ED8" w:rsidRPr="00613312" w:rsidRDefault="00810ED8" w:rsidP="00850007">
                            <w:pPr>
                              <w:jc w:val="center"/>
                              <w:rPr>
                                <w:b/>
                                <w:color w:val="800080"/>
                                <w:sz w:val="30"/>
                                <w:szCs w:val="30"/>
                              </w:rPr>
                            </w:pPr>
                          </w:p>
                          <w:p w14:paraId="7D04617E" w14:textId="77777777" w:rsidR="00810ED8" w:rsidRPr="00613312" w:rsidRDefault="00810ED8" w:rsidP="00850007">
                            <w:pPr>
                              <w:jc w:val="center"/>
                              <w:rPr>
                                <w:b/>
                                <w:color w:val="800080"/>
                                <w:sz w:val="30"/>
                                <w:szCs w:val="30"/>
                              </w:rPr>
                            </w:pPr>
                          </w:p>
                          <w:p w14:paraId="3177C6BB" w14:textId="77777777" w:rsidR="00810ED8" w:rsidRPr="00613312" w:rsidRDefault="00810ED8" w:rsidP="008F6C3F">
                            <w:pPr>
                              <w:jc w:val="center"/>
                              <w:rPr>
                                <w:b/>
                                <w:color w:val="800080"/>
                                <w:sz w:val="30"/>
                                <w:szCs w:val="30"/>
                              </w:rPr>
                            </w:pPr>
                            <w:r w:rsidRPr="00613312">
                              <w:rPr>
                                <w:b/>
                                <w:color w:val="800080"/>
                                <w:sz w:val="30"/>
                                <w:szCs w:val="30"/>
                              </w:rPr>
                              <w:t xml:space="preserve">Procurement of </w:t>
                            </w:r>
                            <w:r>
                              <w:rPr>
                                <w:b/>
                                <w:color w:val="800080"/>
                                <w:sz w:val="30"/>
                                <w:szCs w:val="30"/>
                              </w:rPr>
                              <w:t>The Insurance London Consortium’s Insurance Legal Panel</w:t>
                            </w:r>
                            <w:r w:rsidRPr="00613312">
                              <w:rPr>
                                <w:b/>
                                <w:color w:val="800080"/>
                                <w:sz w:val="30"/>
                                <w:szCs w:val="30"/>
                              </w:rPr>
                              <w:t xml:space="preserve"> Services</w:t>
                            </w:r>
                          </w:p>
                          <w:p w14:paraId="5B0FD26B" w14:textId="77777777" w:rsidR="00810ED8" w:rsidRPr="00613312" w:rsidRDefault="00810ED8" w:rsidP="008F6C3F">
                            <w:pPr>
                              <w:jc w:val="center"/>
                              <w:rPr>
                                <w:b/>
                                <w:color w:val="800080"/>
                                <w:sz w:val="30"/>
                                <w:szCs w:val="30"/>
                              </w:rPr>
                            </w:pPr>
                          </w:p>
                          <w:p w14:paraId="09082E96" w14:textId="77777777" w:rsidR="00810ED8" w:rsidRPr="00613312" w:rsidRDefault="00810ED8" w:rsidP="008F6C3F">
                            <w:pPr>
                              <w:jc w:val="center"/>
                              <w:rPr>
                                <w:b/>
                                <w:color w:val="800080"/>
                                <w:sz w:val="30"/>
                                <w:szCs w:val="30"/>
                              </w:rPr>
                            </w:pPr>
                          </w:p>
                          <w:p w14:paraId="19EFF08F" w14:textId="77777777" w:rsidR="00810ED8" w:rsidRPr="00613312" w:rsidRDefault="00810ED8" w:rsidP="008F6C3F">
                            <w:pPr>
                              <w:jc w:val="center"/>
                              <w:rPr>
                                <w:b/>
                                <w:color w:val="800080"/>
                                <w:sz w:val="30"/>
                                <w:szCs w:val="30"/>
                              </w:rPr>
                            </w:pPr>
                            <w:r>
                              <w:rPr>
                                <w:b/>
                                <w:color w:val="800080"/>
                                <w:sz w:val="30"/>
                                <w:szCs w:val="30"/>
                              </w:rPr>
                              <w:t>Contract number: 630</w:t>
                            </w:r>
                            <w:r w:rsidRPr="00613312">
                              <w:rPr>
                                <w:b/>
                                <w:color w:val="800080"/>
                                <w:sz w:val="30"/>
                                <w:szCs w:val="30"/>
                              </w:rPr>
                              <w:t>/2017 CED</w:t>
                            </w:r>
                          </w:p>
                          <w:p w14:paraId="189FB755" w14:textId="77777777" w:rsidR="00810ED8" w:rsidRPr="00E11BFE" w:rsidRDefault="00810ED8" w:rsidP="00850007">
                            <w:pPr>
                              <w:jc w:val="center"/>
                              <w:rPr>
                                <w:b/>
                                <w:color w:val="800080"/>
                                <w:sz w:val="28"/>
                                <w:szCs w:val="28"/>
                              </w:rPr>
                            </w:pPr>
                          </w:p>
                          <w:p w14:paraId="05DDECAE" w14:textId="77777777" w:rsidR="00810ED8" w:rsidRPr="00E11BFE" w:rsidRDefault="00810ED8" w:rsidP="00850007">
                            <w:pPr>
                              <w:jc w:val="center"/>
                              <w:rPr>
                                <w:b/>
                                <w:bCs/>
                                <w:color w:val="800080"/>
                                <w:sz w:val="28"/>
                                <w:szCs w:val="28"/>
                              </w:rPr>
                            </w:pPr>
                          </w:p>
                          <w:p w14:paraId="2DCD714E" w14:textId="4C2DC6E2" w:rsidR="00810ED8" w:rsidRPr="00E11BFE" w:rsidRDefault="00810ED8" w:rsidP="00850007">
                            <w:pPr>
                              <w:jc w:val="center"/>
                              <w:rPr>
                                <w:b/>
                                <w:color w:val="800080"/>
                                <w:sz w:val="28"/>
                                <w:szCs w:val="28"/>
                              </w:rPr>
                            </w:pPr>
                          </w:p>
                          <w:p w14:paraId="3D80899D" w14:textId="77777777" w:rsidR="00810ED8" w:rsidRPr="00E11BFE" w:rsidRDefault="00810ED8" w:rsidP="00850007">
                            <w:pPr>
                              <w:rPr>
                                <w:sz w:val="28"/>
                                <w:szCs w:val="28"/>
                              </w:rPr>
                            </w:pPr>
                          </w:p>
                          <w:p w14:paraId="072C226E" w14:textId="77777777" w:rsidR="00810ED8" w:rsidRPr="00E11BFE" w:rsidRDefault="00810ED8" w:rsidP="00850007">
                            <w:pPr>
                              <w:rPr>
                                <w:sz w:val="28"/>
                                <w:szCs w:val="28"/>
                              </w:rPr>
                            </w:pPr>
                          </w:p>
                          <w:p w14:paraId="433199FF" w14:textId="3330C6CC" w:rsidR="00810ED8" w:rsidRDefault="00810ED8" w:rsidP="00E11BFE">
                            <w:pPr>
                              <w:ind w:firstLine="851"/>
                              <w:rPr>
                                <w:b/>
                                <w:color w:val="800080"/>
                                <w:sz w:val="28"/>
                                <w:szCs w:val="28"/>
                              </w:rPr>
                            </w:pPr>
                            <w:r>
                              <w:rPr>
                                <w:b/>
                                <w:color w:val="800080"/>
                                <w:sz w:val="28"/>
                                <w:szCs w:val="28"/>
                              </w:rPr>
                              <w:t>Issue Date: 11 January 2018</w:t>
                            </w:r>
                          </w:p>
                          <w:p w14:paraId="546CF6B4" w14:textId="77777777" w:rsidR="00810ED8" w:rsidRPr="00E11BFE" w:rsidRDefault="00810ED8" w:rsidP="00850007">
                            <w:pPr>
                              <w:rPr>
                                <w:b/>
                                <w:color w:val="800080"/>
                                <w:sz w:val="28"/>
                                <w:szCs w:val="28"/>
                              </w:rPr>
                            </w:pPr>
                          </w:p>
                          <w:p w14:paraId="41C69D6F" w14:textId="77777777" w:rsidR="00810ED8" w:rsidRDefault="00810ED8" w:rsidP="00E11BFE">
                            <w:pPr>
                              <w:ind w:left="851"/>
                              <w:jc w:val="left"/>
                              <w:rPr>
                                <w:b/>
                                <w:color w:val="800080"/>
                                <w:sz w:val="28"/>
                                <w:szCs w:val="28"/>
                              </w:rPr>
                            </w:pPr>
                            <w:r w:rsidRPr="00E11BFE">
                              <w:rPr>
                                <w:b/>
                                <w:color w:val="800080"/>
                                <w:sz w:val="28"/>
                                <w:szCs w:val="28"/>
                              </w:rPr>
                              <w:t xml:space="preserve">Tender Response deadline:  </w:t>
                            </w:r>
                          </w:p>
                          <w:p w14:paraId="60EDA2C7" w14:textId="3AE4E321" w:rsidR="00810ED8" w:rsidRPr="00E11BFE" w:rsidRDefault="00810ED8" w:rsidP="00E11BFE">
                            <w:pPr>
                              <w:ind w:left="851"/>
                              <w:jc w:val="left"/>
                              <w:rPr>
                                <w:b/>
                                <w:color w:val="800080"/>
                                <w:sz w:val="28"/>
                                <w:szCs w:val="28"/>
                              </w:rPr>
                            </w:pPr>
                            <w:r w:rsidRPr="00DE577B">
                              <w:rPr>
                                <w:b/>
                                <w:bCs/>
                                <w:iCs/>
                                <w:color w:val="800080"/>
                                <w:sz w:val="28"/>
                                <w:szCs w:val="28"/>
                                <w:lang w:eastAsia="x-none"/>
                              </w:rPr>
                              <w:t xml:space="preserve">12:00 noon on </w:t>
                            </w:r>
                            <w:r w:rsidRPr="00DE577B">
                              <w:rPr>
                                <w:b/>
                                <w:color w:val="800080"/>
                                <w:sz w:val="28"/>
                                <w:szCs w:val="28"/>
                              </w:rPr>
                              <w:t>26 March 2018</w:t>
                            </w:r>
                          </w:p>
                          <w:p w14:paraId="178A8FA7" w14:textId="77777777" w:rsidR="00810ED8" w:rsidRDefault="00810ED8" w:rsidP="00850007">
                            <w:pPr>
                              <w:ind w:left="10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0B3" id="_x0000_t202" coordsize="21600,21600" o:spt="202" path="m,l,21600r21600,l21600,xe">
                <v:stroke joinstyle="miter"/>
                <v:path gradientshapeok="t" o:connecttype="rect"/>
              </v:shapetype>
              <v:shape id="Text Box 2" o:spid="_x0000_s1026" type="#_x0000_t202" style="position:absolute;left:0;text-align:left;margin-left:11.5pt;margin-top:45.3pt;width:443.45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" filled="f" stroked="f" strokeweight="0">
                <v:textbox>
                  <w:txbxContent>
                    <w:p w14:paraId="2263A8C2" w14:textId="77777777" w:rsidR="00810ED8" w:rsidRDefault="00810ED8" w:rsidP="00911981">
                      <w:pPr>
                        <w:rPr>
                          <w:sz w:val="32"/>
                        </w:rPr>
                      </w:pPr>
                    </w:p>
                    <w:p w14:paraId="644DD5D1" w14:textId="77777777" w:rsidR="00810ED8" w:rsidRPr="00500F59" w:rsidRDefault="00810ED8" w:rsidP="00911981">
                      <w:pPr>
                        <w:rPr>
                          <w:color w:val="FFFFFF" w:themeColor="background1"/>
                          <w:sz w:val="32"/>
                        </w:rPr>
                      </w:pPr>
                    </w:p>
                    <w:p w14:paraId="1ABA203A" w14:textId="77777777" w:rsidR="00810ED8" w:rsidRPr="004D4DDA" w:rsidRDefault="00810ED8" w:rsidP="008F6C3F">
                      <w:pPr>
                        <w:pStyle w:val="ListParagraph"/>
                        <w:jc w:val="center"/>
                        <w:rPr>
                          <w:rFonts w:ascii="Arial" w:hAnsi="Arial" w:cs="Arial"/>
                          <w:b/>
                          <w:caps/>
                          <w:color w:val="FFFFFF" w:themeColor="background1"/>
                          <w:sz w:val="28"/>
                          <w:szCs w:val="28"/>
                        </w:rPr>
                      </w:pPr>
                      <w:r>
                        <w:rPr>
                          <w:rFonts w:ascii="Arial" w:hAnsi="Arial" w:cs="Arial"/>
                          <w:b/>
                          <w:caps/>
                          <w:color w:val="FFFFFF" w:themeColor="background1"/>
                          <w:sz w:val="28"/>
                          <w:szCs w:val="28"/>
                        </w:rPr>
                        <w:t>Section 3. InSTRUCTIONS TO TENDERERS AND INvitation TO TENDER</w:t>
                      </w:r>
                    </w:p>
                    <w:p w14:paraId="1910ADBC" w14:textId="77777777" w:rsidR="00810ED8" w:rsidRPr="00414634" w:rsidRDefault="00810ED8" w:rsidP="00911981">
                      <w:pPr>
                        <w:rPr>
                          <w:sz w:val="32"/>
                        </w:rPr>
                      </w:pPr>
                    </w:p>
                    <w:p w14:paraId="2FE5D3F9" w14:textId="77777777" w:rsidR="00810ED8" w:rsidRPr="00B81CCC" w:rsidRDefault="00810ED8" w:rsidP="00850007">
                      <w:pPr>
                        <w:ind w:left="397"/>
                        <w:jc w:val="center"/>
                        <w:rPr>
                          <w:b/>
                          <w:color w:val="800080"/>
                          <w:sz w:val="32"/>
                          <w:szCs w:val="32"/>
                        </w:rPr>
                      </w:pPr>
                    </w:p>
                    <w:p w14:paraId="1F01C6A9" w14:textId="77777777" w:rsidR="00810ED8" w:rsidRPr="00613312" w:rsidRDefault="00810ED8" w:rsidP="00850007">
                      <w:pPr>
                        <w:jc w:val="center"/>
                        <w:rPr>
                          <w:b/>
                          <w:color w:val="800080"/>
                          <w:sz w:val="30"/>
                          <w:szCs w:val="30"/>
                        </w:rPr>
                      </w:pPr>
                    </w:p>
                    <w:p w14:paraId="7E6C4111" w14:textId="77777777" w:rsidR="00810ED8" w:rsidRPr="00613312" w:rsidRDefault="00810ED8" w:rsidP="00850007">
                      <w:pPr>
                        <w:jc w:val="center"/>
                        <w:rPr>
                          <w:b/>
                          <w:caps/>
                          <w:color w:val="800080"/>
                          <w:sz w:val="30"/>
                          <w:szCs w:val="30"/>
                        </w:rPr>
                      </w:pPr>
                    </w:p>
                    <w:p w14:paraId="1A09354B" w14:textId="77777777" w:rsidR="00810ED8" w:rsidRPr="00613312" w:rsidRDefault="00810ED8" w:rsidP="00850007">
                      <w:pPr>
                        <w:jc w:val="center"/>
                        <w:rPr>
                          <w:b/>
                          <w:caps/>
                          <w:color w:val="800080"/>
                          <w:sz w:val="30"/>
                          <w:szCs w:val="30"/>
                        </w:rPr>
                      </w:pPr>
                    </w:p>
                    <w:p w14:paraId="2A9941B5" w14:textId="76BEF408" w:rsidR="00810ED8" w:rsidRPr="00613312" w:rsidRDefault="00810ED8" w:rsidP="00500F59">
                      <w:pPr>
                        <w:rPr>
                          <w:b/>
                          <w:caps/>
                          <w:color w:val="800080"/>
                          <w:sz w:val="30"/>
                          <w:szCs w:val="30"/>
                        </w:rPr>
                      </w:pPr>
                    </w:p>
                    <w:p w14:paraId="547A9073" w14:textId="77777777" w:rsidR="00810ED8" w:rsidRPr="00613312" w:rsidRDefault="00810ED8" w:rsidP="00850007">
                      <w:pPr>
                        <w:jc w:val="center"/>
                        <w:rPr>
                          <w:b/>
                          <w:color w:val="800080"/>
                          <w:sz w:val="30"/>
                          <w:szCs w:val="30"/>
                        </w:rPr>
                      </w:pPr>
                    </w:p>
                    <w:p w14:paraId="7D04617E" w14:textId="77777777" w:rsidR="00810ED8" w:rsidRPr="00613312" w:rsidRDefault="00810ED8" w:rsidP="00850007">
                      <w:pPr>
                        <w:jc w:val="center"/>
                        <w:rPr>
                          <w:b/>
                          <w:color w:val="800080"/>
                          <w:sz w:val="30"/>
                          <w:szCs w:val="30"/>
                        </w:rPr>
                      </w:pPr>
                    </w:p>
                    <w:p w14:paraId="3177C6BB" w14:textId="77777777" w:rsidR="00810ED8" w:rsidRPr="00613312" w:rsidRDefault="00810ED8" w:rsidP="008F6C3F">
                      <w:pPr>
                        <w:jc w:val="center"/>
                        <w:rPr>
                          <w:b/>
                          <w:color w:val="800080"/>
                          <w:sz w:val="30"/>
                          <w:szCs w:val="30"/>
                        </w:rPr>
                      </w:pPr>
                      <w:r w:rsidRPr="00613312">
                        <w:rPr>
                          <w:b/>
                          <w:color w:val="800080"/>
                          <w:sz w:val="30"/>
                          <w:szCs w:val="30"/>
                        </w:rPr>
                        <w:t xml:space="preserve">Procurement of </w:t>
                      </w:r>
                      <w:r>
                        <w:rPr>
                          <w:b/>
                          <w:color w:val="800080"/>
                          <w:sz w:val="30"/>
                          <w:szCs w:val="30"/>
                        </w:rPr>
                        <w:t>The Insurance London Consortium’s Insurance Legal Panel</w:t>
                      </w:r>
                      <w:r w:rsidRPr="00613312">
                        <w:rPr>
                          <w:b/>
                          <w:color w:val="800080"/>
                          <w:sz w:val="30"/>
                          <w:szCs w:val="30"/>
                        </w:rPr>
                        <w:t xml:space="preserve"> Services</w:t>
                      </w:r>
                    </w:p>
                    <w:p w14:paraId="5B0FD26B" w14:textId="77777777" w:rsidR="00810ED8" w:rsidRPr="00613312" w:rsidRDefault="00810ED8" w:rsidP="008F6C3F">
                      <w:pPr>
                        <w:jc w:val="center"/>
                        <w:rPr>
                          <w:b/>
                          <w:color w:val="800080"/>
                          <w:sz w:val="30"/>
                          <w:szCs w:val="30"/>
                        </w:rPr>
                      </w:pPr>
                    </w:p>
                    <w:p w14:paraId="09082E96" w14:textId="77777777" w:rsidR="00810ED8" w:rsidRPr="00613312" w:rsidRDefault="00810ED8" w:rsidP="008F6C3F">
                      <w:pPr>
                        <w:jc w:val="center"/>
                        <w:rPr>
                          <w:b/>
                          <w:color w:val="800080"/>
                          <w:sz w:val="30"/>
                          <w:szCs w:val="30"/>
                        </w:rPr>
                      </w:pPr>
                    </w:p>
                    <w:p w14:paraId="19EFF08F" w14:textId="77777777" w:rsidR="00810ED8" w:rsidRPr="00613312" w:rsidRDefault="00810ED8" w:rsidP="008F6C3F">
                      <w:pPr>
                        <w:jc w:val="center"/>
                        <w:rPr>
                          <w:b/>
                          <w:color w:val="800080"/>
                          <w:sz w:val="30"/>
                          <w:szCs w:val="30"/>
                        </w:rPr>
                      </w:pPr>
                      <w:r>
                        <w:rPr>
                          <w:b/>
                          <w:color w:val="800080"/>
                          <w:sz w:val="30"/>
                          <w:szCs w:val="30"/>
                        </w:rPr>
                        <w:t>Contract number: 630</w:t>
                      </w:r>
                      <w:r w:rsidRPr="00613312">
                        <w:rPr>
                          <w:b/>
                          <w:color w:val="800080"/>
                          <w:sz w:val="30"/>
                          <w:szCs w:val="30"/>
                        </w:rPr>
                        <w:t>/2017 CED</w:t>
                      </w:r>
                    </w:p>
                    <w:p w14:paraId="189FB755" w14:textId="77777777" w:rsidR="00810ED8" w:rsidRPr="00E11BFE" w:rsidRDefault="00810ED8" w:rsidP="00850007">
                      <w:pPr>
                        <w:jc w:val="center"/>
                        <w:rPr>
                          <w:b/>
                          <w:color w:val="800080"/>
                          <w:sz w:val="28"/>
                          <w:szCs w:val="28"/>
                        </w:rPr>
                      </w:pPr>
                    </w:p>
                    <w:p w14:paraId="05DDECAE" w14:textId="77777777" w:rsidR="00810ED8" w:rsidRPr="00E11BFE" w:rsidRDefault="00810ED8" w:rsidP="00850007">
                      <w:pPr>
                        <w:jc w:val="center"/>
                        <w:rPr>
                          <w:b/>
                          <w:bCs/>
                          <w:color w:val="800080"/>
                          <w:sz w:val="28"/>
                          <w:szCs w:val="28"/>
                        </w:rPr>
                      </w:pPr>
                    </w:p>
                    <w:p w14:paraId="2DCD714E" w14:textId="4C2DC6E2" w:rsidR="00810ED8" w:rsidRPr="00E11BFE" w:rsidRDefault="00810ED8" w:rsidP="00850007">
                      <w:pPr>
                        <w:jc w:val="center"/>
                        <w:rPr>
                          <w:b/>
                          <w:color w:val="800080"/>
                          <w:sz w:val="28"/>
                          <w:szCs w:val="28"/>
                        </w:rPr>
                      </w:pPr>
                    </w:p>
                    <w:p w14:paraId="3D80899D" w14:textId="77777777" w:rsidR="00810ED8" w:rsidRPr="00E11BFE" w:rsidRDefault="00810ED8" w:rsidP="00850007">
                      <w:pPr>
                        <w:rPr>
                          <w:sz w:val="28"/>
                          <w:szCs w:val="28"/>
                        </w:rPr>
                      </w:pPr>
                    </w:p>
                    <w:p w14:paraId="072C226E" w14:textId="77777777" w:rsidR="00810ED8" w:rsidRPr="00E11BFE" w:rsidRDefault="00810ED8" w:rsidP="00850007">
                      <w:pPr>
                        <w:rPr>
                          <w:sz w:val="28"/>
                          <w:szCs w:val="28"/>
                        </w:rPr>
                      </w:pPr>
                    </w:p>
                    <w:p w14:paraId="433199FF" w14:textId="3330C6CC" w:rsidR="00810ED8" w:rsidRDefault="00810ED8" w:rsidP="00E11BFE">
                      <w:pPr>
                        <w:ind w:firstLine="851"/>
                        <w:rPr>
                          <w:b/>
                          <w:color w:val="800080"/>
                          <w:sz w:val="28"/>
                          <w:szCs w:val="28"/>
                        </w:rPr>
                      </w:pPr>
                      <w:r>
                        <w:rPr>
                          <w:b/>
                          <w:color w:val="800080"/>
                          <w:sz w:val="28"/>
                          <w:szCs w:val="28"/>
                        </w:rPr>
                        <w:t>Issue Date: 11 January 2018</w:t>
                      </w:r>
                    </w:p>
                    <w:p w14:paraId="546CF6B4" w14:textId="77777777" w:rsidR="00810ED8" w:rsidRPr="00E11BFE" w:rsidRDefault="00810ED8" w:rsidP="00850007">
                      <w:pPr>
                        <w:rPr>
                          <w:b/>
                          <w:color w:val="800080"/>
                          <w:sz w:val="28"/>
                          <w:szCs w:val="28"/>
                        </w:rPr>
                      </w:pPr>
                    </w:p>
                    <w:p w14:paraId="41C69D6F" w14:textId="77777777" w:rsidR="00810ED8" w:rsidRDefault="00810ED8" w:rsidP="00E11BFE">
                      <w:pPr>
                        <w:ind w:left="851"/>
                        <w:jc w:val="left"/>
                        <w:rPr>
                          <w:b/>
                          <w:color w:val="800080"/>
                          <w:sz w:val="28"/>
                          <w:szCs w:val="28"/>
                        </w:rPr>
                      </w:pPr>
                      <w:r w:rsidRPr="00E11BFE">
                        <w:rPr>
                          <w:b/>
                          <w:color w:val="800080"/>
                          <w:sz w:val="28"/>
                          <w:szCs w:val="28"/>
                        </w:rPr>
                        <w:t xml:space="preserve">Tender Response deadline:  </w:t>
                      </w:r>
                    </w:p>
                    <w:p w14:paraId="60EDA2C7" w14:textId="3AE4E321" w:rsidR="00810ED8" w:rsidRPr="00E11BFE" w:rsidRDefault="00810ED8" w:rsidP="00E11BFE">
                      <w:pPr>
                        <w:ind w:left="851"/>
                        <w:jc w:val="left"/>
                        <w:rPr>
                          <w:b/>
                          <w:color w:val="800080"/>
                          <w:sz w:val="28"/>
                          <w:szCs w:val="28"/>
                        </w:rPr>
                      </w:pPr>
                      <w:r w:rsidRPr="00DE577B">
                        <w:rPr>
                          <w:b/>
                          <w:bCs/>
                          <w:iCs/>
                          <w:color w:val="800080"/>
                          <w:sz w:val="28"/>
                          <w:szCs w:val="28"/>
                          <w:lang w:eastAsia="x-none"/>
                        </w:rPr>
                        <w:t xml:space="preserve">12:00 noon on </w:t>
                      </w:r>
                      <w:r w:rsidRPr="00DE577B">
                        <w:rPr>
                          <w:b/>
                          <w:color w:val="800080"/>
                          <w:sz w:val="28"/>
                          <w:szCs w:val="28"/>
                        </w:rPr>
                        <w:t>26 March 2018</w:t>
                      </w:r>
                    </w:p>
                    <w:p w14:paraId="178A8FA7" w14:textId="77777777" w:rsidR="00810ED8" w:rsidRDefault="00810ED8" w:rsidP="00850007">
                      <w:pPr>
                        <w:ind w:left="1077"/>
                      </w:pPr>
                    </w:p>
                  </w:txbxContent>
                </v:textbox>
              </v:shape>
            </w:pict>
          </mc:Fallback>
        </mc:AlternateContent>
      </w:r>
      <w:r>
        <w:rPr>
          <w:noProof/>
          <w:sz w:val="22"/>
          <w:szCs w:val="22"/>
        </w:rPr>
        <w:drawing>
          <wp:inline distT="0" distB="0" distL="0" distR="0" wp14:anchorId="6F8D7305" wp14:editId="55B6424E">
            <wp:extent cx="6686550" cy="9124950"/>
            <wp:effectExtent l="0" t="0" r="0" b="0"/>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9124950"/>
                    </a:xfrm>
                    <a:prstGeom prst="rect">
                      <a:avLst/>
                    </a:prstGeom>
                    <a:noFill/>
                    <a:ln>
                      <a:noFill/>
                    </a:ln>
                  </pic:spPr>
                </pic:pic>
              </a:graphicData>
            </a:graphic>
          </wp:inline>
        </w:drawing>
      </w:r>
    </w:p>
    <w:p w14:paraId="19E471C2" w14:textId="0E43209A" w:rsidR="00D812A3" w:rsidRDefault="006B5EA5" w:rsidP="00D812A3">
      <w:pPr>
        <w:tabs>
          <w:tab w:val="left" w:pos="20"/>
          <w:tab w:val="left" w:pos="740"/>
          <w:tab w:val="right" w:pos="9360"/>
        </w:tabs>
        <w:rPr>
          <w:b/>
          <w:color w:val="800080"/>
          <w:sz w:val="24"/>
          <w:szCs w:val="24"/>
        </w:rPr>
      </w:pPr>
      <w:r>
        <w:rPr>
          <w:b/>
          <w:color w:val="800080"/>
          <w:sz w:val="24"/>
          <w:szCs w:val="24"/>
        </w:rPr>
        <w:lastRenderedPageBreak/>
        <w:t>Contents</w:t>
      </w:r>
    </w:p>
    <w:p w14:paraId="386B7A64" w14:textId="77777777" w:rsidR="006B5EA5" w:rsidRPr="00D812A3" w:rsidRDefault="006B5EA5" w:rsidP="00D812A3">
      <w:pPr>
        <w:tabs>
          <w:tab w:val="left" w:pos="20"/>
          <w:tab w:val="left" w:pos="740"/>
          <w:tab w:val="right" w:pos="9360"/>
        </w:tabs>
        <w:rPr>
          <w:color w:val="000000"/>
        </w:rPr>
      </w:pPr>
    </w:p>
    <w:p w14:paraId="0B6DC9D9" w14:textId="638DF807" w:rsidR="006B5EA5" w:rsidRPr="006B5EA5" w:rsidRDefault="00600521" w:rsidP="006B5EA5">
      <w:pPr>
        <w:numPr>
          <w:ilvl w:val="0"/>
          <w:numId w:val="7"/>
        </w:numPr>
        <w:tabs>
          <w:tab w:val="left" w:pos="20"/>
          <w:tab w:val="left" w:pos="740"/>
          <w:tab w:val="right" w:pos="9360"/>
        </w:tabs>
        <w:adjustRightInd/>
        <w:rPr>
          <w:color w:val="000000"/>
          <w:sz w:val="22"/>
          <w:szCs w:val="22"/>
        </w:rPr>
      </w:pPr>
      <w:r w:rsidRPr="00923945">
        <w:rPr>
          <w:color w:val="000000"/>
          <w:sz w:val="22"/>
          <w:szCs w:val="22"/>
        </w:rPr>
        <w:t>Introduction</w:t>
      </w:r>
    </w:p>
    <w:p w14:paraId="0DE54986" w14:textId="77777777" w:rsidR="006B5EA5" w:rsidRPr="006B5EA5" w:rsidRDefault="006B5EA5" w:rsidP="006B5EA5">
      <w:pPr>
        <w:rPr>
          <w:color w:val="000000"/>
          <w:szCs w:val="22"/>
        </w:rPr>
      </w:pPr>
    </w:p>
    <w:p w14:paraId="33FD7D93"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Instructions for Tendering</w:t>
      </w:r>
    </w:p>
    <w:p w14:paraId="1EC74FCA" w14:textId="77777777" w:rsidR="00D812A3" w:rsidRPr="00923945" w:rsidRDefault="00D812A3" w:rsidP="00D812A3">
      <w:pPr>
        <w:tabs>
          <w:tab w:val="left" w:pos="20"/>
          <w:tab w:val="left" w:pos="740"/>
          <w:tab w:val="right" w:pos="9360"/>
        </w:tabs>
        <w:rPr>
          <w:color w:val="000000"/>
          <w:sz w:val="22"/>
          <w:szCs w:val="22"/>
        </w:rPr>
      </w:pPr>
    </w:p>
    <w:p w14:paraId="5F4CB4A0" w14:textId="77777777" w:rsidR="00D812A3" w:rsidRPr="00923945" w:rsidRDefault="00D812A3" w:rsidP="00826171">
      <w:pPr>
        <w:numPr>
          <w:ilvl w:val="0"/>
          <w:numId w:val="7"/>
        </w:numPr>
        <w:tabs>
          <w:tab w:val="left" w:pos="142"/>
          <w:tab w:val="left" w:pos="740"/>
          <w:tab w:val="right" w:pos="9360"/>
        </w:tabs>
        <w:adjustRightInd/>
        <w:rPr>
          <w:color w:val="000000"/>
          <w:sz w:val="22"/>
          <w:szCs w:val="22"/>
        </w:rPr>
      </w:pPr>
      <w:r w:rsidRPr="00923945">
        <w:rPr>
          <w:color w:val="000000"/>
          <w:sz w:val="22"/>
          <w:szCs w:val="22"/>
        </w:rPr>
        <w:t>Outline Timetable</w:t>
      </w:r>
    </w:p>
    <w:p w14:paraId="1CBA3977" w14:textId="77777777" w:rsidR="00D812A3" w:rsidRPr="00923945" w:rsidRDefault="00D812A3" w:rsidP="00D812A3">
      <w:pPr>
        <w:ind w:left="720"/>
        <w:contextualSpacing/>
        <w:rPr>
          <w:color w:val="000000"/>
          <w:sz w:val="22"/>
          <w:szCs w:val="22"/>
        </w:rPr>
      </w:pPr>
    </w:p>
    <w:p w14:paraId="2F3B4DD1"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Information to Tenderers</w:t>
      </w:r>
    </w:p>
    <w:p w14:paraId="11251EA0" w14:textId="77777777" w:rsidR="00D812A3" w:rsidRPr="00923945" w:rsidRDefault="00D812A3" w:rsidP="00D812A3">
      <w:pPr>
        <w:tabs>
          <w:tab w:val="left" w:pos="20"/>
          <w:tab w:val="left" w:pos="740"/>
          <w:tab w:val="right" w:pos="9360"/>
        </w:tabs>
        <w:rPr>
          <w:color w:val="000000"/>
          <w:sz w:val="22"/>
          <w:szCs w:val="22"/>
        </w:rPr>
      </w:pPr>
    </w:p>
    <w:p w14:paraId="58148F7B"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London Living Wage</w:t>
      </w:r>
    </w:p>
    <w:p w14:paraId="27D133BB" w14:textId="77777777" w:rsidR="00D812A3" w:rsidRPr="00923945" w:rsidRDefault="00D812A3" w:rsidP="00D812A3">
      <w:pPr>
        <w:tabs>
          <w:tab w:val="left" w:pos="20"/>
          <w:tab w:val="left" w:pos="740"/>
          <w:tab w:val="right" w:pos="9360"/>
        </w:tabs>
        <w:rPr>
          <w:color w:val="000000"/>
          <w:sz w:val="22"/>
          <w:szCs w:val="22"/>
        </w:rPr>
      </w:pPr>
    </w:p>
    <w:p w14:paraId="1FBA62CE" w14:textId="6CBB6239"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Premier Supplier Programme (PSP)</w:t>
      </w:r>
      <w:r w:rsidR="00B90755">
        <w:rPr>
          <w:color w:val="000000"/>
          <w:sz w:val="22"/>
          <w:szCs w:val="22"/>
        </w:rPr>
        <w:t xml:space="preserve">  </w:t>
      </w:r>
      <w:r w:rsidR="00B90755" w:rsidRPr="009F6934">
        <w:rPr>
          <w:b/>
          <w:color w:val="000000"/>
          <w:sz w:val="22"/>
          <w:szCs w:val="22"/>
        </w:rPr>
        <w:t>Not applicable</w:t>
      </w:r>
    </w:p>
    <w:p w14:paraId="4C6D3275" w14:textId="77777777" w:rsidR="00D812A3" w:rsidRPr="00923945" w:rsidRDefault="00D812A3" w:rsidP="00D812A3">
      <w:pPr>
        <w:tabs>
          <w:tab w:val="left" w:pos="8364"/>
        </w:tabs>
        <w:ind w:left="720"/>
        <w:contextualSpacing/>
        <w:rPr>
          <w:color w:val="000000"/>
          <w:sz w:val="22"/>
          <w:szCs w:val="22"/>
        </w:rPr>
      </w:pPr>
    </w:p>
    <w:p w14:paraId="14358022" w14:textId="628907AD" w:rsidR="00D812A3" w:rsidRPr="00923945" w:rsidRDefault="00B90755" w:rsidP="002B3D3A">
      <w:pPr>
        <w:pStyle w:val="Level1"/>
        <w:keepNext/>
        <w:numPr>
          <w:ilvl w:val="0"/>
          <w:numId w:val="7"/>
        </w:numPr>
        <w:rPr>
          <w:b/>
          <w:bCs/>
          <w:caps/>
          <w:sz w:val="22"/>
          <w:szCs w:val="22"/>
        </w:rPr>
      </w:pPr>
      <w:r>
        <w:rPr>
          <w:rStyle w:val="Level1asHeadingtext"/>
          <w:b w:val="0"/>
          <w:caps w:val="0"/>
          <w:sz w:val="22"/>
          <w:szCs w:val="22"/>
        </w:rPr>
        <w:t>Partnership Arrangements and Subcon</w:t>
      </w:r>
      <w:r w:rsidR="009F6934">
        <w:rPr>
          <w:rStyle w:val="Level1asHeadingtext"/>
          <w:b w:val="0"/>
          <w:caps w:val="0"/>
          <w:sz w:val="22"/>
          <w:szCs w:val="22"/>
        </w:rPr>
        <w:t>t</w:t>
      </w:r>
      <w:r>
        <w:rPr>
          <w:rStyle w:val="Level1asHeadingtext"/>
          <w:b w:val="0"/>
          <w:caps w:val="0"/>
          <w:sz w:val="22"/>
          <w:szCs w:val="22"/>
        </w:rPr>
        <w:t>ractors</w:t>
      </w:r>
    </w:p>
    <w:p w14:paraId="638152B8" w14:textId="4C6975EF"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sz w:val="22"/>
          <w:szCs w:val="22"/>
        </w:rPr>
        <w:t>European Acquired Rights Directive 2001/23 and the Transfer of Undertakings (Protection of Employment) Regulations 2006.</w:t>
      </w:r>
      <w:r w:rsidR="0012290A">
        <w:rPr>
          <w:sz w:val="22"/>
          <w:szCs w:val="22"/>
        </w:rPr>
        <w:t xml:space="preserve"> </w:t>
      </w:r>
      <w:r w:rsidR="0012290A" w:rsidRPr="009F6934">
        <w:rPr>
          <w:b/>
          <w:color w:val="000000"/>
          <w:sz w:val="22"/>
          <w:szCs w:val="22"/>
        </w:rPr>
        <w:t>Not applicable</w:t>
      </w:r>
    </w:p>
    <w:p w14:paraId="734F49C9" w14:textId="77777777" w:rsidR="00D812A3" w:rsidRPr="00923945" w:rsidRDefault="00D812A3" w:rsidP="00D812A3">
      <w:pPr>
        <w:tabs>
          <w:tab w:val="left" w:pos="20"/>
          <w:tab w:val="left" w:pos="740"/>
          <w:tab w:val="right" w:pos="9360"/>
        </w:tabs>
        <w:rPr>
          <w:color w:val="000000"/>
          <w:sz w:val="22"/>
          <w:szCs w:val="22"/>
        </w:rPr>
      </w:pPr>
    </w:p>
    <w:p w14:paraId="43CEA845"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Conflicts of interest</w:t>
      </w:r>
    </w:p>
    <w:p w14:paraId="6A1A2978" w14:textId="77777777" w:rsidR="00D812A3" w:rsidRPr="00923945" w:rsidRDefault="00D812A3" w:rsidP="002D4AF0">
      <w:pPr>
        <w:contextualSpacing/>
        <w:rPr>
          <w:color w:val="000000"/>
          <w:sz w:val="22"/>
          <w:szCs w:val="22"/>
        </w:rPr>
      </w:pPr>
    </w:p>
    <w:p w14:paraId="08B5C899"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 xml:space="preserve">Form of Tender and Accompanying Information  </w:t>
      </w:r>
    </w:p>
    <w:p w14:paraId="40DD4D8E" w14:textId="77777777" w:rsidR="00D812A3" w:rsidRPr="00923945" w:rsidRDefault="00D812A3" w:rsidP="00D812A3">
      <w:pPr>
        <w:ind w:left="720"/>
        <w:contextualSpacing/>
        <w:rPr>
          <w:color w:val="000000"/>
          <w:sz w:val="22"/>
          <w:szCs w:val="22"/>
        </w:rPr>
      </w:pPr>
    </w:p>
    <w:p w14:paraId="04F50E5E"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Submission of Tender Response Document</w:t>
      </w:r>
    </w:p>
    <w:p w14:paraId="4834CE17" w14:textId="77777777" w:rsidR="00D812A3" w:rsidRPr="00923945" w:rsidRDefault="00D812A3" w:rsidP="00D812A3">
      <w:pPr>
        <w:tabs>
          <w:tab w:val="left" w:pos="20"/>
          <w:tab w:val="left" w:pos="740"/>
          <w:tab w:val="right" w:pos="9360"/>
        </w:tabs>
        <w:rPr>
          <w:color w:val="000000"/>
          <w:sz w:val="22"/>
          <w:szCs w:val="22"/>
        </w:rPr>
      </w:pPr>
    </w:p>
    <w:p w14:paraId="2CD32D10"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Rejection of Tender Response Document</w:t>
      </w:r>
    </w:p>
    <w:p w14:paraId="3C747716" w14:textId="77777777" w:rsidR="00D812A3" w:rsidRPr="00923945" w:rsidRDefault="00D812A3" w:rsidP="00D812A3">
      <w:pPr>
        <w:tabs>
          <w:tab w:val="left" w:pos="20"/>
          <w:tab w:val="left" w:pos="740"/>
          <w:tab w:val="right" w:pos="9360"/>
        </w:tabs>
        <w:rPr>
          <w:color w:val="000000"/>
          <w:sz w:val="22"/>
          <w:szCs w:val="22"/>
        </w:rPr>
      </w:pPr>
    </w:p>
    <w:p w14:paraId="5B094A47"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Non-Consideration of Tender Response Document</w:t>
      </w:r>
    </w:p>
    <w:p w14:paraId="0E7363FB" w14:textId="77777777" w:rsidR="00D812A3" w:rsidRPr="00923945" w:rsidRDefault="00D812A3" w:rsidP="00D812A3">
      <w:pPr>
        <w:tabs>
          <w:tab w:val="left" w:pos="20"/>
          <w:tab w:val="left" w:pos="740"/>
          <w:tab w:val="right" w:pos="9360"/>
        </w:tabs>
        <w:rPr>
          <w:color w:val="000000"/>
          <w:sz w:val="22"/>
          <w:szCs w:val="22"/>
        </w:rPr>
      </w:pPr>
    </w:p>
    <w:p w14:paraId="7BCF5405"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Acceptance of Form of Tender and Criteria for Evaluation</w:t>
      </w:r>
    </w:p>
    <w:p w14:paraId="5BD73ABA" w14:textId="77777777" w:rsidR="00D812A3" w:rsidRPr="00923945" w:rsidRDefault="00D812A3" w:rsidP="00D812A3">
      <w:pPr>
        <w:tabs>
          <w:tab w:val="left" w:pos="20"/>
          <w:tab w:val="left" w:pos="740"/>
          <w:tab w:val="right" w:pos="9360"/>
        </w:tabs>
        <w:rPr>
          <w:color w:val="000000"/>
          <w:sz w:val="22"/>
          <w:szCs w:val="22"/>
        </w:rPr>
      </w:pPr>
    </w:p>
    <w:p w14:paraId="6AF4D599" w14:textId="3523BB19" w:rsidR="00D812A3" w:rsidRPr="00923945" w:rsidRDefault="000C0AF5" w:rsidP="00826171">
      <w:pPr>
        <w:numPr>
          <w:ilvl w:val="0"/>
          <w:numId w:val="7"/>
        </w:numPr>
        <w:tabs>
          <w:tab w:val="left" w:pos="20"/>
          <w:tab w:val="left" w:pos="740"/>
          <w:tab w:val="right" w:pos="9360"/>
        </w:tabs>
        <w:adjustRightInd/>
        <w:rPr>
          <w:color w:val="000000"/>
          <w:sz w:val="22"/>
          <w:szCs w:val="22"/>
        </w:rPr>
      </w:pPr>
      <w:r>
        <w:rPr>
          <w:color w:val="000000"/>
          <w:sz w:val="22"/>
          <w:szCs w:val="22"/>
        </w:rPr>
        <w:t>Commencement</w:t>
      </w:r>
      <w:r w:rsidR="00D812A3" w:rsidRPr="00923945">
        <w:rPr>
          <w:color w:val="000000"/>
          <w:sz w:val="22"/>
          <w:szCs w:val="22"/>
        </w:rPr>
        <w:t xml:space="preserve"> of Services</w:t>
      </w:r>
    </w:p>
    <w:p w14:paraId="4DB33B3A" w14:textId="77777777" w:rsidR="00D812A3" w:rsidRPr="00923945" w:rsidRDefault="00D812A3" w:rsidP="00D812A3">
      <w:pPr>
        <w:tabs>
          <w:tab w:val="left" w:pos="20"/>
          <w:tab w:val="left" w:pos="740"/>
          <w:tab w:val="right" w:pos="9360"/>
        </w:tabs>
        <w:rPr>
          <w:color w:val="000000"/>
          <w:sz w:val="22"/>
          <w:szCs w:val="22"/>
        </w:rPr>
      </w:pPr>
    </w:p>
    <w:p w14:paraId="6FF40898"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Implementation Period</w:t>
      </w:r>
    </w:p>
    <w:p w14:paraId="7FFA97F7" w14:textId="77777777" w:rsidR="00D812A3" w:rsidRPr="00923945" w:rsidRDefault="00D812A3" w:rsidP="00D812A3">
      <w:pPr>
        <w:tabs>
          <w:tab w:val="left" w:pos="20"/>
          <w:tab w:val="left" w:pos="740"/>
          <w:tab w:val="right" w:pos="9360"/>
        </w:tabs>
        <w:rPr>
          <w:color w:val="000000"/>
          <w:sz w:val="22"/>
          <w:szCs w:val="22"/>
        </w:rPr>
      </w:pPr>
    </w:p>
    <w:p w14:paraId="4BA4DC89"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Tenderer Warranties</w:t>
      </w:r>
    </w:p>
    <w:p w14:paraId="0EAD4CB6" w14:textId="77777777" w:rsidR="00D812A3" w:rsidRPr="00923945" w:rsidRDefault="00D812A3" w:rsidP="00D812A3">
      <w:pPr>
        <w:tabs>
          <w:tab w:val="left" w:pos="20"/>
          <w:tab w:val="left" w:pos="740"/>
          <w:tab w:val="right" w:pos="9360"/>
        </w:tabs>
        <w:rPr>
          <w:color w:val="000000"/>
          <w:sz w:val="22"/>
          <w:szCs w:val="22"/>
        </w:rPr>
      </w:pPr>
    </w:p>
    <w:p w14:paraId="2964ACE6"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Freedom of Information</w:t>
      </w:r>
    </w:p>
    <w:p w14:paraId="1649B1AC" w14:textId="77777777" w:rsidR="00D812A3" w:rsidRPr="00923945" w:rsidRDefault="00D812A3" w:rsidP="00D812A3">
      <w:pPr>
        <w:tabs>
          <w:tab w:val="left" w:pos="20"/>
          <w:tab w:val="left" w:pos="740"/>
          <w:tab w:val="right" w:pos="9360"/>
        </w:tabs>
        <w:rPr>
          <w:color w:val="000000"/>
          <w:sz w:val="22"/>
          <w:szCs w:val="22"/>
        </w:rPr>
      </w:pPr>
    </w:p>
    <w:p w14:paraId="2431DD37" w14:textId="77777777" w:rsidR="002B3D3A" w:rsidRPr="00923945" w:rsidRDefault="00D812A3" w:rsidP="00D812A3">
      <w:pPr>
        <w:numPr>
          <w:ilvl w:val="0"/>
          <w:numId w:val="7"/>
        </w:numPr>
        <w:tabs>
          <w:tab w:val="left" w:pos="20"/>
          <w:tab w:val="left" w:pos="740"/>
          <w:tab w:val="right" w:pos="9360"/>
        </w:tabs>
        <w:adjustRightInd/>
        <w:rPr>
          <w:color w:val="000000"/>
          <w:sz w:val="22"/>
          <w:szCs w:val="22"/>
        </w:rPr>
      </w:pPr>
      <w:r w:rsidRPr="00923945">
        <w:rPr>
          <w:color w:val="000000"/>
          <w:sz w:val="22"/>
          <w:szCs w:val="22"/>
        </w:rPr>
        <w:t>General</w:t>
      </w:r>
    </w:p>
    <w:p w14:paraId="280056A2" w14:textId="77777777" w:rsidR="002B3D3A" w:rsidRPr="00923945" w:rsidRDefault="002B3D3A" w:rsidP="002B3D3A">
      <w:pPr>
        <w:tabs>
          <w:tab w:val="left" w:pos="20"/>
          <w:tab w:val="left" w:pos="740"/>
          <w:tab w:val="right" w:pos="9360"/>
        </w:tabs>
        <w:adjustRightInd/>
        <w:rPr>
          <w:color w:val="000000"/>
          <w:sz w:val="22"/>
          <w:szCs w:val="22"/>
        </w:rPr>
      </w:pPr>
    </w:p>
    <w:p w14:paraId="30083B8D" w14:textId="77777777" w:rsidR="00D812A3" w:rsidRPr="00923945" w:rsidRDefault="002B3D3A" w:rsidP="00D812A3">
      <w:pPr>
        <w:numPr>
          <w:ilvl w:val="0"/>
          <w:numId w:val="7"/>
        </w:numPr>
        <w:tabs>
          <w:tab w:val="left" w:pos="20"/>
          <w:tab w:val="left" w:pos="740"/>
          <w:tab w:val="right" w:pos="9360"/>
        </w:tabs>
        <w:adjustRightInd/>
        <w:rPr>
          <w:rStyle w:val="Level1asHeadingtext"/>
          <w:b w:val="0"/>
          <w:bCs w:val="0"/>
          <w:caps w:val="0"/>
          <w:color w:val="000000"/>
          <w:sz w:val="22"/>
          <w:szCs w:val="22"/>
        </w:rPr>
      </w:pPr>
      <w:r w:rsidRPr="00923945">
        <w:rPr>
          <w:rStyle w:val="Level1asHeadingtext"/>
          <w:b w:val="0"/>
          <w:caps w:val="0"/>
          <w:sz w:val="22"/>
          <w:szCs w:val="22"/>
        </w:rPr>
        <w:t>Structure of the Competition</w:t>
      </w:r>
    </w:p>
    <w:p w14:paraId="46E15AA0" w14:textId="77777777" w:rsidR="002B3D3A" w:rsidRPr="00923945" w:rsidRDefault="002B3D3A" w:rsidP="002B3D3A">
      <w:pPr>
        <w:tabs>
          <w:tab w:val="left" w:pos="20"/>
          <w:tab w:val="left" w:pos="740"/>
          <w:tab w:val="right" w:pos="9360"/>
        </w:tabs>
        <w:adjustRightInd/>
        <w:rPr>
          <w:color w:val="000000"/>
          <w:sz w:val="22"/>
          <w:szCs w:val="22"/>
        </w:rPr>
      </w:pPr>
    </w:p>
    <w:p w14:paraId="4E5E9420" w14:textId="62633121" w:rsidR="00D812A3" w:rsidRPr="00923945" w:rsidRDefault="001F2B51" w:rsidP="00D812A3">
      <w:pPr>
        <w:numPr>
          <w:ilvl w:val="0"/>
          <w:numId w:val="7"/>
        </w:numPr>
        <w:tabs>
          <w:tab w:val="left" w:pos="20"/>
          <w:tab w:val="left" w:pos="740"/>
          <w:tab w:val="right" w:pos="9360"/>
        </w:tabs>
        <w:adjustRightInd/>
        <w:rPr>
          <w:color w:val="000000"/>
          <w:sz w:val="22"/>
          <w:szCs w:val="22"/>
        </w:rPr>
      </w:pPr>
      <w:r w:rsidRPr="00923945">
        <w:rPr>
          <w:color w:val="000000"/>
          <w:sz w:val="22"/>
          <w:szCs w:val="22"/>
        </w:rPr>
        <w:t>The Tender Evaluation Process</w:t>
      </w:r>
    </w:p>
    <w:p w14:paraId="528CFD44" w14:textId="77777777" w:rsidR="009E6E72" w:rsidRPr="009E6E72" w:rsidRDefault="009E6E72" w:rsidP="009E6E72">
      <w:pPr>
        <w:rPr>
          <w:color w:val="000000"/>
          <w:szCs w:val="22"/>
        </w:rPr>
      </w:pPr>
    </w:p>
    <w:p w14:paraId="24EDD18E" w14:textId="70566FD5" w:rsidR="009E6E72" w:rsidRPr="00B90755" w:rsidRDefault="00E3335E" w:rsidP="009E6E72">
      <w:pPr>
        <w:numPr>
          <w:ilvl w:val="0"/>
          <w:numId w:val="7"/>
        </w:numPr>
        <w:tabs>
          <w:tab w:val="left" w:pos="20"/>
          <w:tab w:val="left" w:pos="740"/>
          <w:tab w:val="right" w:pos="9360"/>
        </w:tabs>
        <w:adjustRightInd/>
        <w:contextualSpacing/>
        <w:rPr>
          <w:color w:val="000000"/>
          <w:sz w:val="22"/>
          <w:szCs w:val="22"/>
        </w:rPr>
      </w:pPr>
      <w:r>
        <w:rPr>
          <w:color w:val="000000"/>
          <w:sz w:val="22"/>
          <w:szCs w:val="22"/>
        </w:rPr>
        <w:t>Total Score and Award Process</w:t>
      </w:r>
    </w:p>
    <w:p w14:paraId="380D7095" w14:textId="77777777" w:rsidR="00B103C8" w:rsidRPr="00923945" w:rsidRDefault="00B103C8" w:rsidP="00B103C8">
      <w:pPr>
        <w:tabs>
          <w:tab w:val="left" w:pos="20"/>
          <w:tab w:val="left" w:pos="740"/>
          <w:tab w:val="right" w:pos="9360"/>
        </w:tabs>
        <w:adjustRightInd/>
        <w:contextualSpacing/>
        <w:rPr>
          <w:b/>
          <w:i/>
          <w:color w:val="000000"/>
          <w:sz w:val="22"/>
          <w:szCs w:val="22"/>
        </w:rPr>
      </w:pPr>
    </w:p>
    <w:p w14:paraId="76A4C743" w14:textId="77777777" w:rsidR="00D812A3" w:rsidRPr="00923945" w:rsidRDefault="00D812A3" w:rsidP="00D812A3">
      <w:pPr>
        <w:tabs>
          <w:tab w:val="left" w:pos="20"/>
          <w:tab w:val="left" w:pos="740"/>
          <w:tab w:val="right" w:pos="9360"/>
        </w:tabs>
        <w:ind w:left="80"/>
        <w:rPr>
          <w:color w:val="000000"/>
          <w:sz w:val="22"/>
          <w:szCs w:val="22"/>
        </w:rPr>
      </w:pPr>
    </w:p>
    <w:p w14:paraId="2A7D4BF4" w14:textId="77777777" w:rsidR="00FA7898" w:rsidRDefault="00FA7898" w:rsidP="00D812A3">
      <w:pPr>
        <w:tabs>
          <w:tab w:val="left" w:pos="20"/>
          <w:tab w:val="left" w:pos="740"/>
          <w:tab w:val="right" w:pos="9360"/>
        </w:tabs>
        <w:rPr>
          <w:color w:val="000000"/>
          <w:sz w:val="22"/>
          <w:szCs w:val="22"/>
        </w:rPr>
      </w:pPr>
    </w:p>
    <w:p w14:paraId="75F46CAC" w14:textId="77777777" w:rsidR="00E30099" w:rsidRDefault="00E30099" w:rsidP="00D812A3">
      <w:pPr>
        <w:tabs>
          <w:tab w:val="left" w:pos="20"/>
          <w:tab w:val="left" w:pos="740"/>
          <w:tab w:val="right" w:pos="9360"/>
        </w:tabs>
        <w:rPr>
          <w:color w:val="000000"/>
          <w:sz w:val="22"/>
          <w:szCs w:val="22"/>
        </w:rPr>
      </w:pPr>
    </w:p>
    <w:p w14:paraId="3CFA0AB4" w14:textId="77777777" w:rsidR="00E30099" w:rsidRDefault="00E30099" w:rsidP="00D812A3">
      <w:pPr>
        <w:tabs>
          <w:tab w:val="left" w:pos="20"/>
          <w:tab w:val="left" w:pos="740"/>
          <w:tab w:val="right" w:pos="9360"/>
        </w:tabs>
        <w:rPr>
          <w:color w:val="000000"/>
          <w:sz w:val="22"/>
          <w:szCs w:val="22"/>
        </w:rPr>
      </w:pPr>
    </w:p>
    <w:p w14:paraId="5F797DEB" w14:textId="77777777" w:rsidR="00E30099" w:rsidRDefault="00E30099" w:rsidP="00D812A3">
      <w:pPr>
        <w:tabs>
          <w:tab w:val="left" w:pos="20"/>
          <w:tab w:val="left" w:pos="740"/>
          <w:tab w:val="right" w:pos="9360"/>
        </w:tabs>
        <w:rPr>
          <w:color w:val="000000"/>
          <w:sz w:val="22"/>
          <w:szCs w:val="22"/>
        </w:rPr>
      </w:pPr>
    </w:p>
    <w:p w14:paraId="52E09B1A" w14:textId="77777777" w:rsidR="00E30099" w:rsidRPr="00923945" w:rsidRDefault="00E30099" w:rsidP="00D812A3">
      <w:pPr>
        <w:tabs>
          <w:tab w:val="left" w:pos="20"/>
          <w:tab w:val="left" w:pos="740"/>
          <w:tab w:val="right" w:pos="9360"/>
        </w:tabs>
        <w:rPr>
          <w:color w:val="000000"/>
          <w:sz w:val="22"/>
          <w:szCs w:val="22"/>
        </w:rPr>
      </w:pPr>
    </w:p>
    <w:p w14:paraId="20E743E1" w14:textId="7E89AAE1" w:rsidR="00D812A3" w:rsidRDefault="00D812A3" w:rsidP="00D812A3">
      <w:pPr>
        <w:adjustRightInd/>
        <w:jc w:val="left"/>
        <w:rPr>
          <w:rStyle w:val="Level1asHeadingtext"/>
          <w:sz w:val="22"/>
          <w:szCs w:val="22"/>
        </w:rPr>
      </w:pPr>
    </w:p>
    <w:p w14:paraId="1260A8CA" w14:textId="77777777" w:rsidR="008F6C3F" w:rsidRPr="00923945" w:rsidRDefault="008F6C3F" w:rsidP="00D812A3">
      <w:pPr>
        <w:adjustRightInd/>
        <w:jc w:val="left"/>
        <w:rPr>
          <w:rStyle w:val="Level1asHeadingtext"/>
          <w:sz w:val="22"/>
          <w:szCs w:val="22"/>
        </w:rPr>
      </w:pPr>
    </w:p>
    <w:p w14:paraId="6323CF40" w14:textId="77777777" w:rsidR="00600521" w:rsidRPr="00923945" w:rsidRDefault="00600521" w:rsidP="00600521">
      <w:pPr>
        <w:jc w:val="center"/>
        <w:rPr>
          <w:b/>
          <w:color w:val="000000"/>
          <w:sz w:val="22"/>
          <w:szCs w:val="22"/>
          <w:u w:val="single"/>
        </w:rPr>
      </w:pPr>
      <w:r w:rsidRPr="00923945">
        <w:rPr>
          <w:b/>
          <w:color w:val="000000"/>
          <w:sz w:val="22"/>
          <w:szCs w:val="22"/>
          <w:u w:val="single"/>
        </w:rPr>
        <w:lastRenderedPageBreak/>
        <w:t>STRUCTURE OF THE INVITATION TO TENDER</w:t>
      </w:r>
    </w:p>
    <w:p w14:paraId="6FD2B326" w14:textId="77777777" w:rsidR="00600521" w:rsidRPr="00923945" w:rsidRDefault="00600521" w:rsidP="00600521">
      <w:pPr>
        <w:keepLines/>
        <w:suppressLineNumbers/>
        <w:tabs>
          <w:tab w:val="left" w:pos="900"/>
          <w:tab w:val="left" w:pos="3870"/>
        </w:tabs>
        <w:spacing w:before="100" w:after="100"/>
        <w:ind w:left="720" w:hanging="720"/>
        <w:rPr>
          <w:sz w:val="22"/>
          <w:szCs w:val="22"/>
        </w:rPr>
      </w:pPr>
    </w:p>
    <w:p w14:paraId="012F9E09" w14:textId="77777777" w:rsidR="00600521" w:rsidRPr="00923945" w:rsidRDefault="00600521" w:rsidP="00600521">
      <w:pPr>
        <w:pStyle w:val="Body1"/>
        <w:rPr>
          <w:sz w:val="22"/>
          <w:szCs w:val="22"/>
        </w:rPr>
      </w:pPr>
      <w:r w:rsidRPr="00923945">
        <w:rPr>
          <w:sz w:val="22"/>
          <w:szCs w:val="22"/>
        </w:rPr>
        <w:t>The Invitation to Tender comprises the following sections:</w:t>
      </w:r>
    </w:p>
    <w:tbl>
      <w:tblPr>
        <w:tblW w:w="70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5214"/>
      </w:tblGrid>
      <w:tr w:rsidR="008F6C3F" w:rsidRPr="00923945" w14:paraId="60399ADF" w14:textId="77777777" w:rsidTr="008F6C3F">
        <w:tc>
          <w:tcPr>
            <w:tcW w:w="1871" w:type="dxa"/>
            <w:shd w:val="clear" w:color="auto" w:fill="FFFFFF" w:themeFill="background1"/>
          </w:tcPr>
          <w:p w14:paraId="2FF28905" w14:textId="77777777" w:rsidR="008F6C3F" w:rsidRPr="008423BB" w:rsidRDefault="008F6C3F" w:rsidP="008F6C3F">
            <w:pPr>
              <w:keepLines/>
              <w:suppressLineNumbers/>
              <w:tabs>
                <w:tab w:val="left" w:pos="900"/>
                <w:tab w:val="left" w:pos="3870"/>
              </w:tabs>
              <w:spacing w:before="100" w:after="100"/>
              <w:jc w:val="center"/>
              <w:rPr>
                <w:b/>
                <w:sz w:val="22"/>
                <w:szCs w:val="22"/>
              </w:rPr>
            </w:pPr>
            <w:r w:rsidRPr="008423BB">
              <w:rPr>
                <w:b/>
                <w:sz w:val="22"/>
                <w:szCs w:val="22"/>
              </w:rPr>
              <w:t>Section</w:t>
            </w:r>
          </w:p>
        </w:tc>
        <w:tc>
          <w:tcPr>
            <w:tcW w:w="5214" w:type="dxa"/>
            <w:shd w:val="clear" w:color="auto" w:fill="FFFFFF" w:themeFill="background1"/>
          </w:tcPr>
          <w:p w14:paraId="067F645B" w14:textId="77777777" w:rsidR="008F6C3F" w:rsidRPr="008423BB" w:rsidRDefault="008F6C3F" w:rsidP="008F6C3F">
            <w:pPr>
              <w:keepLines/>
              <w:suppressLineNumbers/>
              <w:tabs>
                <w:tab w:val="left" w:pos="900"/>
                <w:tab w:val="left" w:pos="3870"/>
              </w:tabs>
              <w:spacing w:before="100" w:after="100"/>
              <w:jc w:val="left"/>
              <w:rPr>
                <w:b/>
                <w:sz w:val="22"/>
                <w:szCs w:val="22"/>
              </w:rPr>
            </w:pPr>
            <w:r w:rsidRPr="008423BB">
              <w:rPr>
                <w:b/>
                <w:sz w:val="22"/>
                <w:szCs w:val="22"/>
              </w:rPr>
              <w:t>Document</w:t>
            </w:r>
          </w:p>
        </w:tc>
      </w:tr>
      <w:tr w:rsidR="008F6C3F" w:rsidRPr="00923945" w14:paraId="0E261DE7" w14:textId="77777777" w:rsidTr="008F6C3F">
        <w:tc>
          <w:tcPr>
            <w:tcW w:w="1871" w:type="dxa"/>
            <w:shd w:val="clear" w:color="auto" w:fill="FFFFFF" w:themeFill="background1"/>
          </w:tcPr>
          <w:p w14:paraId="1CF75679" w14:textId="77777777" w:rsidR="008F6C3F" w:rsidRPr="001D43DE" w:rsidRDefault="008F6C3F" w:rsidP="008F6C3F">
            <w:pPr>
              <w:keepLines/>
              <w:suppressLineNumbers/>
              <w:tabs>
                <w:tab w:val="left" w:pos="900"/>
                <w:tab w:val="left" w:pos="3870"/>
              </w:tabs>
              <w:spacing w:before="100" w:after="100"/>
              <w:jc w:val="center"/>
              <w:rPr>
                <w:sz w:val="22"/>
                <w:szCs w:val="22"/>
              </w:rPr>
            </w:pPr>
            <w:r w:rsidRPr="001D43DE">
              <w:rPr>
                <w:sz w:val="22"/>
                <w:szCs w:val="22"/>
              </w:rPr>
              <w:t>1</w:t>
            </w:r>
          </w:p>
        </w:tc>
        <w:tc>
          <w:tcPr>
            <w:tcW w:w="5214" w:type="dxa"/>
            <w:shd w:val="clear" w:color="auto" w:fill="FFFFFF" w:themeFill="background1"/>
          </w:tcPr>
          <w:p w14:paraId="57BD244A" w14:textId="77777777" w:rsidR="008F6C3F" w:rsidRPr="008423BB" w:rsidRDefault="008F6C3F" w:rsidP="008F6C3F">
            <w:pPr>
              <w:keepLines/>
              <w:suppressLineNumbers/>
              <w:tabs>
                <w:tab w:val="left" w:pos="900"/>
                <w:tab w:val="left" w:pos="3870"/>
              </w:tabs>
              <w:spacing w:before="100" w:after="100"/>
              <w:jc w:val="left"/>
              <w:rPr>
                <w:b/>
                <w:sz w:val="22"/>
                <w:szCs w:val="22"/>
              </w:rPr>
            </w:pPr>
            <w:r w:rsidRPr="00C24B72">
              <w:rPr>
                <w:sz w:val="22"/>
                <w:szCs w:val="22"/>
              </w:rPr>
              <w:t>Selection Questionnaire Information &amp; Guidance</w:t>
            </w:r>
          </w:p>
        </w:tc>
      </w:tr>
      <w:tr w:rsidR="008F6C3F" w:rsidRPr="00923945" w14:paraId="35401F58" w14:textId="77777777" w:rsidTr="008F6C3F">
        <w:tc>
          <w:tcPr>
            <w:tcW w:w="1871" w:type="dxa"/>
            <w:shd w:val="clear" w:color="auto" w:fill="FFFFFF" w:themeFill="background1"/>
          </w:tcPr>
          <w:p w14:paraId="6755D36C" w14:textId="77777777" w:rsidR="008F6C3F" w:rsidRPr="001D43DE" w:rsidRDefault="008F6C3F" w:rsidP="008F6C3F">
            <w:pPr>
              <w:keepLines/>
              <w:suppressLineNumbers/>
              <w:tabs>
                <w:tab w:val="left" w:pos="900"/>
                <w:tab w:val="left" w:pos="3870"/>
              </w:tabs>
              <w:spacing w:before="100" w:after="100"/>
              <w:jc w:val="center"/>
              <w:rPr>
                <w:sz w:val="22"/>
                <w:szCs w:val="22"/>
              </w:rPr>
            </w:pPr>
            <w:r w:rsidRPr="001D43DE">
              <w:rPr>
                <w:sz w:val="22"/>
                <w:szCs w:val="22"/>
              </w:rPr>
              <w:t>2</w:t>
            </w:r>
          </w:p>
        </w:tc>
        <w:tc>
          <w:tcPr>
            <w:tcW w:w="5214" w:type="dxa"/>
            <w:shd w:val="clear" w:color="auto" w:fill="FFFFFF" w:themeFill="background1"/>
          </w:tcPr>
          <w:p w14:paraId="629CD264" w14:textId="77777777" w:rsidR="008F6C3F" w:rsidRPr="00C24B72" w:rsidRDefault="008F6C3F" w:rsidP="008F6C3F">
            <w:pPr>
              <w:keepLines/>
              <w:suppressLineNumbers/>
              <w:tabs>
                <w:tab w:val="left" w:pos="900"/>
                <w:tab w:val="left" w:pos="3870"/>
              </w:tabs>
              <w:spacing w:before="100" w:after="100"/>
              <w:jc w:val="left"/>
              <w:rPr>
                <w:sz w:val="22"/>
                <w:szCs w:val="22"/>
              </w:rPr>
            </w:pPr>
            <w:r w:rsidRPr="00C24B72">
              <w:rPr>
                <w:sz w:val="22"/>
                <w:szCs w:val="22"/>
              </w:rPr>
              <w:t>Selection Questionnaire</w:t>
            </w:r>
          </w:p>
        </w:tc>
      </w:tr>
      <w:tr w:rsidR="008F6C3F" w:rsidRPr="001D43DE" w14:paraId="5CB9025C" w14:textId="77777777" w:rsidTr="008F6C3F">
        <w:tc>
          <w:tcPr>
            <w:tcW w:w="1871" w:type="dxa"/>
            <w:shd w:val="clear" w:color="auto" w:fill="990099"/>
          </w:tcPr>
          <w:p w14:paraId="77FF44B6" w14:textId="77777777" w:rsidR="008F6C3F" w:rsidRPr="001D43DE" w:rsidRDefault="008F6C3F" w:rsidP="008F6C3F">
            <w:pPr>
              <w:keepLines/>
              <w:suppressLineNumbers/>
              <w:tabs>
                <w:tab w:val="left" w:pos="900"/>
                <w:tab w:val="left" w:pos="3870"/>
              </w:tabs>
              <w:spacing w:before="100" w:after="100"/>
              <w:jc w:val="center"/>
              <w:rPr>
                <w:b/>
                <w:color w:val="FFFFFF" w:themeColor="background1"/>
                <w:sz w:val="22"/>
                <w:szCs w:val="22"/>
              </w:rPr>
            </w:pPr>
            <w:r w:rsidRPr="001D43DE">
              <w:rPr>
                <w:b/>
                <w:color w:val="FFFFFF" w:themeColor="background1"/>
                <w:sz w:val="22"/>
                <w:szCs w:val="22"/>
              </w:rPr>
              <w:t>3</w:t>
            </w:r>
          </w:p>
        </w:tc>
        <w:tc>
          <w:tcPr>
            <w:tcW w:w="5214" w:type="dxa"/>
            <w:shd w:val="clear" w:color="auto" w:fill="990099"/>
          </w:tcPr>
          <w:p w14:paraId="16FC00D7" w14:textId="77777777" w:rsidR="008F6C3F" w:rsidRPr="001D43DE" w:rsidRDefault="008F6C3F" w:rsidP="008F6C3F">
            <w:pPr>
              <w:pStyle w:val="Body"/>
              <w:rPr>
                <w:b/>
                <w:color w:val="FFFFFF" w:themeColor="background1"/>
                <w:sz w:val="22"/>
                <w:szCs w:val="22"/>
              </w:rPr>
            </w:pPr>
            <w:r w:rsidRPr="001D43DE">
              <w:rPr>
                <w:b/>
                <w:color w:val="FFFFFF" w:themeColor="background1"/>
                <w:sz w:val="22"/>
                <w:szCs w:val="22"/>
              </w:rPr>
              <w:t>Instructions to  Tenderers  &amp; Invitation to Tender</w:t>
            </w:r>
          </w:p>
        </w:tc>
      </w:tr>
      <w:tr w:rsidR="008F6C3F" w:rsidRPr="008423BB" w14:paraId="30447B27" w14:textId="77777777" w:rsidTr="008F6C3F">
        <w:tc>
          <w:tcPr>
            <w:tcW w:w="1871" w:type="dxa"/>
          </w:tcPr>
          <w:p w14:paraId="409C5D7C" w14:textId="77777777" w:rsidR="008F6C3F" w:rsidRPr="008423BB" w:rsidRDefault="008F6C3F" w:rsidP="008F6C3F">
            <w:pPr>
              <w:keepLines/>
              <w:suppressLineNumbers/>
              <w:tabs>
                <w:tab w:val="left" w:pos="900"/>
                <w:tab w:val="left" w:pos="3870"/>
              </w:tabs>
              <w:spacing w:before="100" w:after="100"/>
              <w:jc w:val="center"/>
              <w:rPr>
                <w:sz w:val="22"/>
                <w:szCs w:val="22"/>
              </w:rPr>
            </w:pPr>
            <w:r>
              <w:rPr>
                <w:sz w:val="22"/>
                <w:szCs w:val="22"/>
              </w:rPr>
              <w:t>4</w:t>
            </w:r>
          </w:p>
        </w:tc>
        <w:tc>
          <w:tcPr>
            <w:tcW w:w="5214" w:type="dxa"/>
          </w:tcPr>
          <w:p w14:paraId="49BB44A0" w14:textId="77777777" w:rsidR="008F6C3F" w:rsidRPr="008423BB" w:rsidRDefault="008F6C3F" w:rsidP="008F6C3F">
            <w:pPr>
              <w:pStyle w:val="Body"/>
              <w:rPr>
                <w:sz w:val="22"/>
                <w:szCs w:val="22"/>
              </w:rPr>
            </w:pPr>
            <w:r w:rsidRPr="008423BB">
              <w:rPr>
                <w:sz w:val="22"/>
                <w:szCs w:val="22"/>
              </w:rPr>
              <w:t>T</w:t>
            </w:r>
            <w:r w:rsidRPr="008423BB">
              <w:rPr>
                <w:sz w:val="22"/>
                <w:szCs w:val="22"/>
                <w:lang w:val="x-none"/>
              </w:rPr>
              <w:t xml:space="preserve">he </w:t>
            </w:r>
            <w:r w:rsidRPr="008423BB">
              <w:rPr>
                <w:sz w:val="22"/>
                <w:szCs w:val="22"/>
              </w:rPr>
              <w:t xml:space="preserve">Service </w:t>
            </w:r>
            <w:r w:rsidRPr="008423BB">
              <w:rPr>
                <w:sz w:val="22"/>
                <w:szCs w:val="22"/>
                <w:lang w:val="x-none"/>
              </w:rPr>
              <w:t>Specification</w:t>
            </w:r>
          </w:p>
        </w:tc>
      </w:tr>
      <w:tr w:rsidR="008F6C3F" w:rsidRPr="008423BB" w14:paraId="425848C0" w14:textId="77777777" w:rsidTr="008F6C3F">
        <w:tc>
          <w:tcPr>
            <w:tcW w:w="1871" w:type="dxa"/>
          </w:tcPr>
          <w:p w14:paraId="4E355684" w14:textId="77777777" w:rsidR="008F6C3F" w:rsidRDefault="008F6C3F" w:rsidP="008F6C3F">
            <w:pPr>
              <w:keepLines/>
              <w:suppressLineNumbers/>
              <w:tabs>
                <w:tab w:val="left" w:pos="900"/>
                <w:tab w:val="left" w:pos="3870"/>
              </w:tabs>
              <w:spacing w:before="100" w:after="100"/>
              <w:jc w:val="center"/>
              <w:rPr>
                <w:sz w:val="22"/>
                <w:szCs w:val="22"/>
              </w:rPr>
            </w:pPr>
            <w:r>
              <w:rPr>
                <w:sz w:val="22"/>
                <w:szCs w:val="22"/>
              </w:rPr>
              <w:t>5</w:t>
            </w:r>
          </w:p>
        </w:tc>
        <w:tc>
          <w:tcPr>
            <w:tcW w:w="5214" w:type="dxa"/>
          </w:tcPr>
          <w:p w14:paraId="6F44ED80" w14:textId="77777777" w:rsidR="008F6C3F" w:rsidRPr="008423BB" w:rsidRDefault="008F6C3F" w:rsidP="008F6C3F">
            <w:pPr>
              <w:pStyle w:val="Body"/>
              <w:rPr>
                <w:sz w:val="22"/>
                <w:szCs w:val="22"/>
              </w:rPr>
            </w:pPr>
            <w:r>
              <w:rPr>
                <w:sz w:val="22"/>
                <w:szCs w:val="22"/>
              </w:rPr>
              <w:t>Service Specification Appendix A</w:t>
            </w:r>
            <w:r w:rsidRPr="00923945">
              <w:rPr>
                <w:sz w:val="22"/>
                <w:szCs w:val="22"/>
              </w:rPr>
              <w:t xml:space="preserve"> </w:t>
            </w:r>
            <w:r>
              <w:rPr>
                <w:sz w:val="22"/>
                <w:szCs w:val="22"/>
              </w:rPr>
              <w:t>Case Plan</w:t>
            </w:r>
          </w:p>
        </w:tc>
      </w:tr>
      <w:tr w:rsidR="008F6C3F" w:rsidRPr="008423BB" w14:paraId="3FBA0ED8" w14:textId="77777777" w:rsidTr="008F6C3F">
        <w:tc>
          <w:tcPr>
            <w:tcW w:w="1871" w:type="dxa"/>
          </w:tcPr>
          <w:p w14:paraId="4FEBD454" w14:textId="77777777" w:rsidR="008F6C3F" w:rsidRDefault="008F6C3F" w:rsidP="008F6C3F">
            <w:pPr>
              <w:keepLines/>
              <w:suppressLineNumbers/>
              <w:tabs>
                <w:tab w:val="left" w:pos="900"/>
                <w:tab w:val="left" w:pos="3870"/>
              </w:tabs>
              <w:spacing w:before="100" w:after="100"/>
              <w:jc w:val="center"/>
              <w:rPr>
                <w:sz w:val="22"/>
                <w:szCs w:val="22"/>
              </w:rPr>
            </w:pPr>
            <w:r>
              <w:rPr>
                <w:sz w:val="22"/>
                <w:szCs w:val="22"/>
              </w:rPr>
              <w:t>6</w:t>
            </w:r>
          </w:p>
        </w:tc>
        <w:tc>
          <w:tcPr>
            <w:tcW w:w="5214" w:type="dxa"/>
          </w:tcPr>
          <w:p w14:paraId="253D678B" w14:textId="77777777" w:rsidR="008F6C3F" w:rsidRDefault="008F6C3F" w:rsidP="008F6C3F">
            <w:pPr>
              <w:pStyle w:val="Body"/>
              <w:rPr>
                <w:sz w:val="22"/>
                <w:szCs w:val="22"/>
              </w:rPr>
            </w:pPr>
            <w:r>
              <w:rPr>
                <w:sz w:val="22"/>
                <w:szCs w:val="22"/>
              </w:rPr>
              <w:t>Service Specification Appendix B</w:t>
            </w:r>
            <w:r w:rsidRPr="00923945">
              <w:rPr>
                <w:sz w:val="22"/>
                <w:szCs w:val="22"/>
              </w:rPr>
              <w:t xml:space="preserve"> </w:t>
            </w:r>
            <w:r>
              <w:rPr>
                <w:sz w:val="22"/>
                <w:szCs w:val="22"/>
              </w:rPr>
              <w:t>File Sampling Procedure and Forms</w:t>
            </w:r>
          </w:p>
        </w:tc>
      </w:tr>
      <w:tr w:rsidR="008F6C3F" w:rsidRPr="008423BB" w14:paraId="14C10DE5" w14:textId="77777777" w:rsidTr="008F6C3F">
        <w:tc>
          <w:tcPr>
            <w:tcW w:w="1871" w:type="dxa"/>
          </w:tcPr>
          <w:p w14:paraId="5FD85C05" w14:textId="77777777" w:rsidR="008F6C3F" w:rsidRDefault="008F6C3F" w:rsidP="008F6C3F">
            <w:pPr>
              <w:keepLines/>
              <w:suppressLineNumbers/>
              <w:tabs>
                <w:tab w:val="left" w:pos="900"/>
                <w:tab w:val="left" w:pos="3870"/>
              </w:tabs>
              <w:spacing w:before="100" w:after="100"/>
              <w:jc w:val="center"/>
              <w:rPr>
                <w:sz w:val="22"/>
                <w:szCs w:val="22"/>
              </w:rPr>
            </w:pPr>
            <w:r>
              <w:rPr>
                <w:sz w:val="22"/>
                <w:szCs w:val="22"/>
              </w:rPr>
              <w:t>7</w:t>
            </w:r>
          </w:p>
        </w:tc>
        <w:tc>
          <w:tcPr>
            <w:tcW w:w="5214" w:type="dxa"/>
          </w:tcPr>
          <w:p w14:paraId="0A4F06B5" w14:textId="77777777" w:rsidR="008F6C3F" w:rsidRDefault="008F6C3F" w:rsidP="008F6C3F">
            <w:pPr>
              <w:pStyle w:val="Body"/>
              <w:rPr>
                <w:sz w:val="22"/>
                <w:szCs w:val="22"/>
              </w:rPr>
            </w:pPr>
            <w:r>
              <w:rPr>
                <w:sz w:val="22"/>
                <w:szCs w:val="22"/>
              </w:rPr>
              <w:t xml:space="preserve">Service Specification </w:t>
            </w:r>
            <w:r w:rsidRPr="00923945">
              <w:rPr>
                <w:sz w:val="22"/>
                <w:szCs w:val="22"/>
              </w:rPr>
              <w:t xml:space="preserve">Appendix C </w:t>
            </w:r>
            <w:r>
              <w:rPr>
                <w:sz w:val="22"/>
                <w:szCs w:val="22"/>
              </w:rPr>
              <w:t>Procedure for Authorisation and Payment of Disbursements</w:t>
            </w:r>
          </w:p>
        </w:tc>
      </w:tr>
      <w:tr w:rsidR="008F6C3F" w:rsidRPr="008423BB" w14:paraId="7BEA4C04" w14:textId="77777777" w:rsidTr="008F6C3F">
        <w:tc>
          <w:tcPr>
            <w:tcW w:w="1871" w:type="dxa"/>
          </w:tcPr>
          <w:p w14:paraId="4D3ED040" w14:textId="77777777" w:rsidR="008F6C3F" w:rsidRDefault="008F6C3F" w:rsidP="008F6C3F">
            <w:pPr>
              <w:keepLines/>
              <w:suppressLineNumbers/>
              <w:tabs>
                <w:tab w:val="left" w:pos="900"/>
                <w:tab w:val="left" w:pos="3870"/>
              </w:tabs>
              <w:spacing w:before="100" w:after="100"/>
              <w:jc w:val="center"/>
              <w:rPr>
                <w:sz w:val="22"/>
                <w:szCs w:val="22"/>
              </w:rPr>
            </w:pPr>
            <w:r>
              <w:rPr>
                <w:sz w:val="22"/>
                <w:szCs w:val="22"/>
              </w:rPr>
              <w:t>8</w:t>
            </w:r>
          </w:p>
        </w:tc>
        <w:tc>
          <w:tcPr>
            <w:tcW w:w="5214" w:type="dxa"/>
          </w:tcPr>
          <w:p w14:paraId="7DC7FAB7" w14:textId="77777777" w:rsidR="008F6C3F" w:rsidRPr="00923945" w:rsidRDefault="008F6C3F" w:rsidP="008F6C3F">
            <w:pPr>
              <w:pStyle w:val="Body"/>
              <w:rPr>
                <w:sz w:val="22"/>
                <w:szCs w:val="22"/>
              </w:rPr>
            </w:pPr>
            <w:r>
              <w:rPr>
                <w:sz w:val="22"/>
                <w:szCs w:val="22"/>
              </w:rPr>
              <w:t xml:space="preserve">Service Specification </w:t>
            </w:r>
            <w:r w:rsidRPr="00923945">
              <w:rPr>
                <w:sz w:val="22"/>
                <w:szCs w:val="22"/>
              </w:rPr>
              <w:t xml:space="preserve">Appendix D </w:t>
            </w:r>
            <w:r>
              <w:rPr>
                <w:sz w:val="22"/>
                <w:szCs w:val="22"/>
              </w:rPr>
              <w:t>Guidance on the Use of Counsel</w:t>
            </w:r>
          </w:p>
        </w:tc>
      </w:tr>
      <w:tr w:rsidR="008F6C3F" w:rsidRPr="001D43DE" w14:paraId="5A4F3ADF" w14:textId="77777777" w:rsidTr="008F6C3F">
        <w:tc>
          <w:tcPr>
            <w:tcW w:w="1871" w:type="dxa"/>
            <w:shd w:val="clear" w:color="auto" w:fill="auto"/>
          </w:tcPr>
          <w:p w14:paraId="66733A4D" w14:textId="77777777" w:rsidR="008F6C3F" w:rsidRPr="001D43DE" w:rsidRDefault="008F6C3F" w:rsidP="008F6C3F">
            <w:pPr>
              <w:keepLines/>
              <w:suppressLineNumbers/>
              <w:tabs>
                <w:tab w:val="left" w:pos="900"/>
                <w:tab w:val="left" w:pos="3870"/>
              </w:tabs>
              <w:spacing w:before="100" w:after="100"/>
              <w:jc w:val="center"/>
              <w:rPr>
                <w:sz w:val="22"/>
                <w:szCs w:val="22"/>
              </w:rPr>
            </w:pPr>
            <w:r w:rsidRPr="001D43DE">
              <w:rPr>
                <w:sz w:val="22"/>
                <w:szCs w:val="22"/>
              </w:rPr>
              <w:t>9</w:t>
            </w:r>
          </w:p>
        </w:tc>
        <w:tc>
          <w:tcPr>
            <w:tcW w:w="5214" w:type="dxa"/>
            <w:shd w:val="clear" w:color="auto" w:fill="auto"/>
          </w:tcPr>
          <w:p w14:paraId="6D9077C2" w14:textId="77777777" w:rsidR="008F6C3F" w:rsidRPr="001D43DE" w:rsidRDefault="008F6C3F" w:rsidP="008F6C3F">
            <w:pPr>
              <w:pStyle w:val="Body"/>
              <w:rPr>
                <w:sz w:val="22"/>
                <w:szCs w:val="22"/>
              </w:rPr>
            </w:pPr>
            <w:proofErr w:type="spellStart"/>
            <w:r w:rsidRPr="001D43DE">
              <w:rPr>
                <w:sz w:val="22"/>
                <w:szCs w:val="22"/>
              </w:rPr>
              <w:t>T</w:t>
            </w:r>
            <w:r w:rsidRPr="001D43DE">
              <w:rPr>
                <w:sz w:val="22"/>
                <w:szCs w:val="22"/>
                <w:lang w:val="x-none"/>
              </w:rPr>
              <w:t>he</w:t>
            </w:r>
            <w:proofErr w:type="spellEnd"/>
            <w:r w:rsidRPr="001D43DE">
              <w:rPr>
                <w:sz w:val="22"/>
                <w:szCs w:val="22"/>
                <w:lang w:val="x-none"/>
              </w:rPr>
              <w:t xml:space="preserve"> Tender Response Document</w:t>
            </w:r>
            <w:r w:rsidRPr="001D43DE">
              <w:rPr>
                <w:sz w:val="22"/>
                <w:szCs w:val="22"/>
              </w:rPr>
              <w:t xml:space="preserve"> including the Pricing Schedule, Case Study 1, Case Study 2</w:t>
            </w:r>
          </w:p>
        </w:tc>
      </w:tr>
      <w:tr w:rsidR="008F6C3F" w:rsidRPr="008423BB" w14:paraId="01010D1C" w14:textId="77777777" w:rsidTr="008F6C3F">
        <w:tc>
          <w:tcPr>
            <w:tcW w:w="1871" w:type="dxa"/>
          </w:tcPr>
          <w:p w14:paraId="2C925E58" w14:textId="77777777" w:rsidR="008F6C3F" w:rsidRPr="008423BB" w:rsidRDefault="008F6C3F" w:rsidP="008F6C3F">
            <w:pPr>
              <w:keepLines/>
              <w:suppressLineNumbers/>
              <w:tabs>
                <w:tab w:val="left" w:pos="900"/>
                <w:tab w:val="left" w:pos="3870"/>
              </w:tabs>
              <w:spacing w:before="100" w:after="100"/>
              <w:jc w:val="center"/>
              <w:rPr>
                <w:sz w:val="22"/>
                <w:szCs w:val="22"/>
              </w:rPr>
            </w:pPr>
            <w:r>
              <w:rPr>
                <w:sz w:val="22"/>
                <w:szCs w:val="22"/>
              </w:rPr>
              <w:t>10</w:t>
            </w:r>
          </w:p>
        </w:tc>
        <w:tc>
          <w:tcPr>
            <w:tcW w:w="5214" w:type="dxa"/>
          </w:tcPr>
          <w:p w14:paraId="063A2DF0" w14:textId="77777777" w:rsidR="008F6C3F" w:rsidRPr="008423BB" w:rsidRDefault="008F6C3F" w:rsidP="008F6C3F">
            <w:pPr>
              <w:pStyle w:val="Body"/>
              <w:rPr>
                <w:sz w:val="22"/>
                <w:szCs w:val="22"/>
              </w:rPr>
            </w:pPr>
            <w:r w:rsidRPr="008423BB">
              <w:rPr>
                <w:sz w:val="22"/>
                <w:szCs w:val="22"/>
              </w:rPr>
              <w:t xml:space="preserve">The Draft </w:t>
            </w:r>
            <w:r>
              <w:rPr>
                <w:sz w:val="22"/>
                <w:szCs w:val="22"/>
              </w:rPr>
              <w:t>Contract</w:t>
            </w:r>
          </w:p>
        </w:tc>
      </w:tr>
    </w:tbl>
    <w:p w14:paraId="7D6ECCA5" w14:textId="77777777" w:rsidR="00600521" w:rsidRPr="00923945" w:rsidRDefault="00600521" w:rsidP="00600521">
      <w:pPr>
        <w:pStyle w:val="Level1"/>
        <w:keepNext/>
        <w:numPr>
          <w:ilvl w:val="0"/>
          <w:numId w:val="0"/>
        </w:numPr>
        <w:ind w:left="851" w:hanging="851"/>
        <w:rPr>
          <w:rStyle w:val="Level1asHeadingtext"/>
          <w:b w:val="0"/>
          <w:bCs w:val="0"/>
          <w:caps w:val="0"/>
          <w:sz w:val="22"/>
          <w:szCs w:val="22"/>
        </w:rPr>
      </w:pPr>
    </w:p>
    <w:p w14:paraId="1EADC4FD" w14:textId="77777777" w:rsidR="00600521" w:rsidRPr="00923945" w:rsidRDefault="00600521">
      <w:pPr>
        <w:adjustRightInd/>
        <w:jc w:val="left"/>
        <w:rPr>
          <w:rStyle w:val="Level1asHeadingtext"/>
          <w:b w:val="0"/>
          <w:bCs w:val="0"/>
          <w:caps w:val="0"/>
          <w:sz w:val="22"/>
          <w:szCs w:val="22"/>
        </w:rPr>
      </w:pPr>
      <w:r w:rsidRPr="00923945">
        <w:rPr>
          <w:rStyle w:val="Level1asHeadingtext"/>
          <w:b w:val="0"/>
          <w:bCs w:val="0"/>
          <w:caps w:val="0"/>
          <w:sz w:val="22"/>
          <w:szCs w:val="22"/>
        </w:rPr>
        <w:br w:type="page"/>
      </w:r>
    </w:p>
    <w:p w14:paraId="0B6AD8E2" w14:textId="77777777" w:rsidR="008944D2" w:rsidRPr="0036302E" w:rsidRDefault="00600521" w:rsidP="00D812A3">
      <w:pPr>
        <w:pStyle w:val="Level1"/>
        <w:keepNext/>
        <w:rPr>
          <w:rStyle w:val="Level1asHeadingtext"/>
          <w:b w:val="0"/>
          <w:bCs w:val="0"/>
          <w:caps w:val="0"/>
          <w:sz w:val="22"/>
          <w:szCs w:val="22"/>
        </w:rPr>
      </w:pPr>
      <w:r w:rsidRPr="0036302E">
        <w:rPr>
          <w:rStyle w:val="Level1asHeadingtext"/>
          <w:sz w:val="22"/>
          <w:szCs w:val="22"/>
        </w:rPr>
        <w:lastRenderedPageBreak/>
        <w:t>introduction</w:t>
      </w:r>
    </w:p>
    <w:p w14:paraId="3B70C923" w14:textId="26904A03" w:rsidR="00741C7B" w:rsidRDefault="00D812A3" w:rsidP="00D812A3">
      <w:pPr>
        <w:pStyle w:val="Level2"/>
        <w:rPr>
          <w:sz w:val="22"/>
          <w:szCs w:val="22"/>
        </w:rPr>
      </w:pPr>
      <w:r w:rsidRPr="0036302E">
        <w:rPr>
          <w:sz w:val="22"/>
          <w:szCs w:val="22"/>
        </w:rPr>
        <w:t>The London Borough of Croydo</w:t>
      </w:r>
      <w:r w:rsidR="003955D8">
        <w:rPr>
          <w:sz w:val="22"/>
          <w:szCs w:val="22"/>
        </w:rPr>
        <w:t>n</w:t>
      </w:r>
      <w:r w:rsidR="00741C7B">
        <w:rPr>
          <w:sz w:val="22"/>
          <w:szCs w:val="22"/>
        </w:rPr>
        <w:t xml:space="preserve"> (‘the Council’)</w:t>
      </w:r>
      <w:r w:rsidR="003955D8">
        <w:rPr>
          <w:sz w:val="22"/>
          <w:szCs w:val="22"/>
        </w:rPr>
        <w:t xml:space="preserve"> is </w:t>
      </w:r>
      <w:r w:rsidR="00E95FF7">
        <w:rPr>
          <w:sz w:val="22"/>
          <w:szCs w:val="22"/>
        </w:rPr>
        <w:t>the</w:t>
      </w:r>
      <w:r w:rsidR="006F6D17">
        <w:rPr>
          <w:sz w:val="22"/>
          <w:szCs w:val="22"/>
        </w:rPr>
        <w:t xml:space="preserve"> </w:t>
      </w:r>
      <w:r w:rsidR="00741C7B">
        <w:rPr>
          <w:sz w:val="22"/>
          <w:szCs w:val="22"/>
        </w:rPr>
        <w:t>‘</w:t>
      </w:r>
      <w:r w:rsidR="006F6D17">
        <w:rPr>
          <w:sz w:val="22"/>
          <w:szCs w:val="22"/>
        </w:rPr>
        <w:t>Accountable Body</w:t>
      </w:r>
      <w:r w:rsidR="00741C7B">
        <w:rPr>
          <w:sz w:val="22"/>
          <w:szCs w:val="22"/>
        </w:rPr>
        <w:t>’</w:t>
      </w:r>
      <w:r w:rsidR="00507D4C" w:rsidRPr="0036302E">
        <w:rPr>
          <w:sz w:val="22"/>
          <w:szCs w:val="22"/>
        </w:rPr>
        <w:t xml:space="preserve"> for the In</w:t>
      </w:r>
      <w:r w:rsidR="003955D8">
        <w:rPr>
          <w:sz w:val="22"/>
          <w:szCs w:val="22"/>
        </w:rPr>
        <w:t>surance London Consortium (ILC)</w:t>
      </w:r>
      <w:r w:rsidR="00E95FF7">
        <w:rPr>
          <w:sz w:val="22"/>
          <w:szCs w:val="22"/>
        </w:rPr>
        <w:t xml:space="preserve">. </w:t>
      </w:r>
      <w:r w:rsidR="00B33817">
        <w:rPr>
          <w:sz w:val="22"/>
          <w:szCs w:val="22"/>
        </w:rPr>
        <w:t xml:space="preserve"> </w:t>
      </w:r>
      <w:r w:rsidR="00741C7B">
        <w:rPr>
          <w:sz w:val="22"/>
          <w:szCs w:val="22"/>
        </w:rPr>
        <w:t xml:space="preserve">One </w:t>
      </w:r>
      <w:r w:rsidR="00E95FF7">
        <w:rPr>
          <w:sz w:val="22"/>
          <w:szCs w:val="22"/>
        </w:rPr>
        <w:t xml:space="preserve">of the Council’s responsibilities </w:t>
      </w:r>
      <w:r w:rsidR="00741C7B">
        <w:rPr>
          <w:sz w:val="22"/>
          <w:szCs w:val="22"/>
        </w:rPr>
        <w:t xml:space="preserve">as the Accountable Body </w:t>
      </w:r>
      <w:r w:rsidR="00E95FF7">
        <w:rPr>
          <w:sz w:val="22"/>
          <w:szCs w:val="22"/>
        </w:rPr>
        <w:t xml:space="preserve">is to undertake tendering exercises on behalf of the ILC. </w:t>
      </w:r>
    </w:p>
    <w:p w14:paraId="0D452B4D" w14:textId="7150BF2E" w:rsidR="00E95FF7" w:rsidRDefault="00741C7B" w:rsidP="00D812A3">
      <w:pPr>
        <w:pStyle w:val="Level2"/>
        <w:rPr>
          <w:sz w:val="22"/>
          <w:szCs w:val="22"/>
        </w:rPr>
      </w:pPr>
      <w:r w:rsidRPr="001C5DCF">
        <w:rPr>
          <w:sz w:val="22"/>
          <w:szCs w:val="22"/>
        </w:rPr>
        <w:t>Wherever the term ‘the Council’ is used within this document, this will refer to Croydon Council who are the lead authority for procurement. Wherever the term ‘ILC</w:t>
      </w:r>
      <w:r>
        <w:rPr>
          <w:sz w:val="22"/>
          <w:szCs w:val="22"/>
        </w:rPr>
        <w:t>’</w:t>
      </w:r>
      <w:r w:rsidRPr="001C5DCF">
        <w:rPr>
          <w:sz w:val="22"/>
          <w:szCs w:val="22"/>
        </w:rPr>
        <w:t xml:space="preserve"> is used within this document, this will refer to the collective members of the ILC</w:t>
      </w:r>
      <w:r>
        <w:rPr>
          <w:sz w:val="22"/>
          <w:szCs w:val="22"/>
        </w:rPr>
        <w:t>.</w:t>
      </w:r>
    </w:p>
    <w:p w14:paraId="64A767AB" w14:textId="40F10479" w:rsidR="00D812A3" w:rsidRPr="0036302E" w:rsidRDefault="00670631" w:rsidP="00D812A3">
      <w:pPr>
        <w:pStyle w:val="Level2"/>
        <w:rPr>
          <w:sz w:val="22"/>
          <w:szCs w:val="22"/>
        </w:rPr>
      </w:pPr>
      <w:r w:rsidRPr="00670631">
        <w:rPr>
          <w:sz w:val="22"/>
          <w:szCs w:val="22"/>
        </w:rPr>
        <w:t>Any decision made by, or steps taken by, the London Borough of Croydon, Croydon Council, or “the Council” are made or taken on behalf of itself and all other London Boroughs participating in this arrangement, and with their authority</w:t>
      </w:r>
      <w:r w:rsidR="002F7A94">
        <w:rPr>
          <w:sz w:val="22"/>
          <w:szCs w:val="22"/>
        </w:rPr>
        <w:t>.</w:t>
      </w:r>
    </w:p>
    <w:p w14:paraId="060E0D8A" w14:textId="736AF51A" w:rsidR="00670631" w:rsidRPr="00670631" w:rsidRDefault="00670631" w:rsidP="00670631">
      <w:pPr>
        <w:pStyle w:val="Level2"/>
        <w:rPr>
          <w:sz w:val="22"/>
          <w:szCs w:val="22"/>
        </w:rPr>
      </w:pPr>
      <w:r w:rsidRPr="00670631">
        <w:rPr>
          <w:sz w:val="22"/>
          <w:szCs w:val="22"/>
        </w:rPr>
        <w:t xml:space="preserve">The </w:t>
      </w:r>
      <w:r w:rsidR="00AA1CEE">
        <w:rPr>
          <w:sz w:val="22"/>
          <w:szCs w:val="22"/>
        </w:rPr>
        <w:t xml:space="preserve">Council is leading the ILC </w:t>
      </w:r>
      <w:r w:rsidRPr="00670631">
        <w:rPr>
          <w:sz w:val="22"/>
          <w:szCs w:val="22"/>
        </w:rPr>
        <w:t xml:space="preserve">in the tender of their insurance legal services </w:t>
      </w:r>
      <w:r w:rsidRPr="00BE2BB2">
        <w:rPr>
          <w:sz w:val="22"/>
          <w:szCs w:val="22"/>
        </w:rPr>
        <w:t xml:space="preserve">panel as set out in the Official Journal of the European Union (OJEU) Contract Notice </w:t>
      </w:r>
      <w:r w:rsidR="00BE2BB2" w:rsidRPr="00BE2BB2">
        <w:rPr>
          <w:sz w:val="22"/>
          <w:szCs w:val="22"/>
        </w:rPr>
        <w:t>2018/S 009-016053</w:t>
      </w:r>
      <w:r w:rsidR="00BE2BB2">
        <w:rPr>
          <w:sz w:val="22"/>
          <w:szCs w:val="22"/>
        </w:rPr>
        <w:t>.</w:t>
      </w:r>
    </w:p>
    <w:p w14:paraId="317D7A75" w14:textId="77777777" w:rsidR="00670631" w:rsidRPr="00975602" w:rsidRDefault="00670631" w:rsidP="00670631">
      <w:pPr>
        <w:pStyle w:val="Level2"/>
        <w:numPr>
          <w:ilvl w:val="1"/>
          <w:numId w:val="1"/>
        </w:numPr>
        <w:rPr>
          <w:b/>
          <w:bCs/>
          <w:caps/>
          <w:sz w:val="22"/>
          <w:szCs w:val="22"/>
        </w:rPr>
      </w:pPr>
      <w:r w:rsidRPr="00777DD0">
        <w:rPr>
          <w:sz w:val="22"/>
          <w:szCs w:val="22"/>
        </w:rPr>
        <w:t xml:space="preserve">The </w:t>
      </w:r>
      <w:r>
        <w:rPr>
          <w:sz w:val="22"/>
          <w:szCs w:val="22"/>
        </w:rPr>
        <w:t xml:space="preserve">five highest scoring </w:t>
      </w:r>
      <w:r w:rsidRPr="00777DD0">
        <w:rPr>
          <w:sz w:val="22"/>
          <w:szCs w:val="22"/>
        </w:rPr>
        <w:t>Tenderers</w:t>
      </w:r>
      <w:r>
        <w:rPr>
          <w:sz w:val="22"/>
          <w:szCs w:val="22"/>
        </w:rPr>
        <w:t xml:space="preserve"> </w:t>
      </w:r>
      <w:r w:rsidRPr="00777DD0">
        <w:rPr>
          <w:sz w:val="22"/>
          <w:szCs w:val="22"/>
        </w:rPr>
        <w:t xml:space="preserve">will be invited to become a panel member.  </w:t>
      </w:r>
    </w:p>
    <w:p w14:paraId="0540FED0" w14:textId="1BFB7802" w:rsidR="00B90E81" w:rsidRPr="0036302E" w:rsidRDefault="00FF79F6" w:rsidP="00B90E81">
      <w:pPr>
        <w:pStyle w:val="Level2"/>
        <w:rPr>
          <w:sz w:val="22"/>
          <w:szCs w:val="22"/>
        </w:rPr>
      </w:pPr>
      <w:r w:rsidRPr="0036302E">
        <w:rPr>
          <w:sz w:val="22"/>
          <w:szCs w:val="22"/>
        </w:rPr>
        <w:t>The</w:t>
      </w:r>
      <w:r w:rsidR="00D812A3" w:rsidRPr="0036302E">
        <w:rPr>
          <w:sz w:val="22"/>
          <w:szCs w:val="22"/>
        </w:rPr>
        <w:t xml:space="preserve"> </w:t>
      </w:r>
      <w:r w:rsidR="00670631">
        <w:rPr>
          <w:sz w:val="22"/>
          <w:szCs w:val="22"/>
        </w:rPr>
        <w:t>contract</w:t>
      </w:r>
      <w:r w:rsidR="00D812A3" w:rsidRPr="0036302E">
        <w:rPr>
          <w:sz w:val="22"/>
          <w:szCs w:val="22"/>
        </w:rPr>
        <w:t xml:space="preserve"> will commence </w:t>
      </w:r>
      <w:r w:rsidR="007C238C">
        <w:rPr>
          <w:sz w:val="22"/>
          <w:szCs w:val="22"/>
        </w:rPr>
        <w:t>i</w:t>
      </w:r>
      <w:r w:rsidR="007C238C" w:rsidRPr="0036302E">
        <w:rPr>
          <w:sz w:val="22"/>
          <w:szCs w:val="22"/>
        </w:rPr>
        <w:t xml:space="preserve">n </w:t>
      </w:r>
      <w:r w:rsidR="007C238C">
        <w:rPr>
          <w:sz w:val="22"/>
          <w:szCs w:val="22"/>
        </w:rPr>
        <w:t>July</w:t>
      </w:r>
      <w:r w:rsidR="007C238C" w:rsidRPr="0036302E">
        <w:rPr>
          <w:sz w:val="22"/>
          <w:szCs w:val="22"/>
        </w:rPr>
        <w:t xml:space="preserve"> 2018 </w:t>
      </w:r>
      <w:r w:rsidR="00D812A3" w:rsidRPr="0036302E">
        <w:rPr>
          <w:sz w:val="22"/>
          <w:szCs w:val="22"/>
        </w:rPr>
        <w:t>fo</w:t>
      </w:r>
      <w:r w:rsidR="00507D4C" w:rsidRPr="0036302E">
        <w:rPr>
          <w:sz w:val="22"/>
          <w:szCs w:val="22"/>
        </w:rPr>
        <w:t xml:space="preserve">r a </w:t>
      </w:r>
      <w:r w:rsidR="009E742E">
        <w:rPr>
          <w:sz w:val="22"/>
          <w:szCs w:val="22"/>
        </w:rPr>
        <w:t xml:space="preserve">term </w:t>
      </w:r>
      <w:r w:rsidR="00507D4C" w:rsidRPr="0036302E">
        <w:rPr>
          <w:sz w:val="22"/>
          <w:szCs w:val="22"/>
        </w:rPr>
        <w:t>of 5</w:t>
      </w:r>
      <w:r w:rsidR="00C23B65" w:rsidRPr="0036302E">
        <w:rPr>
          <w:sz w:val="22"/>
          <w:szCs w:val="22"/>
        </w:rPr>
        <w:t xml:space="preserve"> years</w:t>
      </w:r>
      <w:r w:rsidR="00507D4C" w:rsidRPr="0036302E">
        <w:rPr>
          <w:sz w:val="22"/>
          <w:szCs w:val="22"/>
        </w:rPr>
        <w:t xml:space="preserve">. </w:t>
      </w:r>
    </w:p>
    <w:p w14:paraId="5C3C63D9" w14:textId="595E5E79" w:rsidR="00FF79F6" w:rsidRDefault="00576E36" w:rsidP="00FF79F6">
      <w:pPr>
        <w:pStyle w:val="Level2"/>
        <w:rPr>
          <w:sz w:val="22"/>
          <w:szCs w:val="22"/>
        </w:rPr>
      </w:pPr>
      <w:r w:rsidRPr="0036302E">
        <w:rPr>
          <w:sz w:val="22"/>
          <w:szCs w:val="22"/>
        </w:rPr>
        <w:t>This tender process has been advertised in the Official</w:t>
      </w:r>
      <w:r w:rsidR="008B6F11" w:rsidRPr="0036302E">
        <w:rPr>
          <w:sz w:val="22"/>
          <w:szCs w:val="22"/>
        </w:rPr>
        <w:t xml:space="preserve"> Journal of the European Union</w:t>
      </w:r>
      <w:r w:rsidRPr="0036302E">
        <w:rPr>
          <w:sz w:val="22"/>
          <w:szCs w:val="22"/>
        </w:rPr>
        <w:t xml:space="preserve"> and Contracts Finder and is being carried out in accordance with the </w:t>
      </w:r>
      <w:r w:rsidR="00810ED8">
        <w:rPr>
          <w:sz w:val="22"/>
          <w:szCs w:val="22"/>
        </w:rPr>
        <w:t>Restricted</w:t>
      </w:r>
      <w:r w:rsidRPr="0036302E">
        <w:rPr>
          <w:sz w:val="22"/>
          <w:szCs w:val="22"/>
        </w:rPr>
        <w:t xml:space="preserve"> Procedure as set out in the Public Contracts Regulations 2015 ("</w:t>
      </w:r>
      <w:r w:rsidRPr="0036302E">
        <w:rPr>
          <w:b/>
          <w:sz w:val="22"/>
          <w:szCs w:val="22"/>
        </w:rPr>
        <w:t>PCR</w:t>
      </w:r>
      <w:r w:rsidRPr="0036302E">
        <w:rPr>
          <w:sz w:val="22"/>
          <w:szCs w:val="22"/>
        </w:rPr>
        <w:t xml:space="preserve"> </w:t>
      </w:r>
      <w:r w:rsidRPr="0036302E">
        <w:rPr>
          <w:b/>
          <w:sz w:val="22"/>
          <w:szCs w:val="22"/>
        </w:rPr>
        <w:t>2015</w:t>
      </w:r>
      <w:r w:rsidRPr="0036302E">
        <w:rPr>
          <w:sz w:val="22"/>
          <w:szCs w:val="22"/>
        </w:rPr>
        <w:t>").</w:t>
      </w:r>
    </w:p>
    <w:p w14:paraId="30B83B72" w14:textId="38577967" w:rsidR="00055AC4" w:rsidRPr="00055AC4" w:rsidRDefault="000F6859" w:rsidP="00055AC4">
      <w:pPr>
        <w:pStyle w:val="Level2"/>
        <w:rPr>
          <w:sz w:val="22"/>
          <w:szCs w:val="22"/>
        </w:rPr>
      </w:pPr>
      <w:r w:rsidRPr="00AB3D6C">
        <w:rPr>
          <w:color w:val="000000"/>
          <w:sz w:val="22"/>
          <w:szCs w:val="22"/>
          <w:lang w:val="x-none"/>
        </w:rPr>
        <w:t xml:space="preserve">The Consortium members are seeking to establish a panel of lawyers with the appropriate expertise to handle all claim types. It is our expectation that the panel members will have a collaborative approach, by way of commonly agreed management information and performance indicators and the establishment of joint legal update seminars attended by </w:t>
      </w:r>
      <w:r>
        <w:rPr>
          <w:color w:val="000000"/>
          <w:sz w:val="22"/>
          <w:szCs w:val="22"/>
          <w:lang w:val="x-none"/>
        </w:rPr>
        <w:t xml:space="preserve">all of the panel and consortium </w:t>
      </w:r>
      <w:r w:rsidRPr="00AB3D6C">
        <w:rPr>
          <w:color w:val="000000"/>
          <w:sz w:val="22"/>
          <w:szCs w:val="22"/>
          <w:lang w:val="x-none"/>
        </w:rPr>
        <w:t>members</w:t>
      </w:r>
      <w:r>
        <w:rPr>
          <w:color w:val="000000"/>
          <w:sz w:val="22"/>
          <w:szCs w:val="22"/>
        </w:rPr>
        <w:t xml:space="preserve">. </w:t>
      </w:r>
      <w:r w:rsidR="00B071C6" w:rsidRPr="000941BF">
        <w:rPr>
          <w:color w:val="000000"/>
          <w:sz w:val="22"/>
          <w:szCs w:val="22"/>
        </w:rPr>
        <w:t>I</w:t>
      </w:r>
      <w:r w:rsidR="00B071C6" w:rsidRPr="000941BF">
        <w:rPr>
          <w:color w:val="000000"/>
          <w:sz w:val="22"/>
          <w:szCs w:val="22"/>
          <w:lang w:val="x-none"/>
        </w:rPr>
        <w:t xml:space="preserve">n order to achieve the collaborative and fair approach as above, the Consortium </w:t>
      </w:r>
      <w:r w:rsidR="00B071C6" w:rsidRPr="000941BF">
        <w:rPr>
          <w:color w:val="000000"/>
          <w:sz w:val="22"/>
          <w:szCs w:val="22"/>
        </w:rPr>
        <w:t>will</w:t>
      </w:r>
      <w:r w:rsidR="00B071C6" w:rsidRPr="000941BF">
        <w:rPr>
          <w:color w:val="000000"/>
          <w:sz w:val="22"/>
          <w:szCs w:val="22"/>
          <w:lang w:val="x-none"/>
        </w:rPr>
        <w:t xml:space="preserve"> set standard rates across all panel members (a London rate and a provincial rate, if necessary / disbursements will be excluded) – this will be </w:t>
      </w:r>
      <w:r w:rsidR="00B071C6" w:rsidRPr="000941BF">
        <w:rPr>
          <w:color w:val="000000"/>
          <w:sz w:val="22"/>
          <w:szCs w:val="22"/>
        </w:rPr>
        <w:t>based on the resultant ‘average tender value’ following the price evaluation of the Award Stage</w:t>
      </w:r>
      <w:r w:rsidR="00055AC4" w:rsidRPr="00055AC4">
        <w:rPr>
          <w:sz w:val="22"/>
          <w:szCs w:val="22"/>
        </w:rPr>
        <w:t xml:space="preserve">. </w:t>
      </w:r>
    </w:p>
    <w:p w14:paraId="786E0B66" w14:textId="75A829C6" w:rsidR="00055AC4" w:rsidRPr="00BE2BB2" w:rsidRDefault="00BE2BB2" w:rsidP="00BE2BB2">
      <w:pPr>
        <w:pStyle w:val="Level2"/>
        <w:rPr>
          <w:sz w:val="22"/>
          <w:szCs w:val="22"/>
        </w:rPr>
      </w:pPr>
      <w:r>
        <w:rPr>
          <w:sz w:val="22"/>
          <w:szCs w:val="22"/>
        </w:rPr>
        <w:t xml:space="preserve">Tenderers </w:t>
      </w:r>
      <w:r w:rsidRPr="00BE2BB2">
        <w:rPr>
          <w:sz w:val="22"/>
          <w:szCs w:val="22"/>
        </w:rPr>
        <w:t xml:space="preserve">will likely have variances around the hourly rates charged for a particular grade of fee earner.  The consortium will make a decision based on the rates quoted using the ‘average tender value’ and set standard rates both within London and provincial.  Those </w:t>
      </w:r>
      <w:r>
        <w:rPr>
          <w:sz w:val="22"/>
          <w:szCs w:val="22"/>
        </w:rPr>
        <w:t>Tenderers</w:t>
      </w:r>
      <w:r w:rsidRPr="00BE2BB2">
        <w:rPr>
          <w:sz w:val="22"/>
          <w:szCs w:val="22"/>
        </w:rPr>
        <w:t xml:space="preserve"> that are successful in being awarded the contract and appointed panel members will be invited to work for these hourly rates.  The reasoning behind this approach is to have consistent rates across all panel law firms so that the taxi rank approach to distributing cases works fairly for all parties.</w:t>
      </w:r>
      <w:r>
        <w:rPr>
          <w:sz w:val="22"/>
          <w:szCs w:val="22"/>
        </w:rPr>
        <w:t xml:space="preserve"> </w:t>
      </w:r>
      <w:r w:rsidR="00055AC4" w:rsidRPr="00BE2BB2">
        <w:rPr>
          <w:sz w:val="22"/>
          <w:szCs w:val="22"/>
        </w:rPr>
        <w:t xml:space="preserve">Appointed Panel members however will be expected to find ways of achieving efficiency improvements, but with no adverse impact on results. Examples of good practice may then be shared amongst the panel members under the collaborative approach.   </w:t>
      </w:r>
    </w:p>
    <w:p w14:paraId="66D3CD9E" w14:textId="4B185E9F" w:rsidR="00FF79F6" w:rsidRPr="0036302E" w:rsidRDefault="00FF79F6" w:rsidP="00FF79F6">
      <w:pPr>
        <w:pStyle w:val="Level2"/>
        <w:rPr>
          <w:sz w:val="22"/>
          <w:szCs w:val="22"/>
        </w:rPr>
      </w:pPr>
      <w:r w:rsidRPr="0036302E">
        <w:rPr>
          <w:b/>
          <w:sz w:val="22"/>
          <w:szCs w:val="22"/>
        </w:rPr>
        <w:t>Background:</w:t>
      </w:r>
      <w:r w:rsidRPr="0036302E">
        <w:rPr>
          <w:sz w:val="22"/>
          <w:szCs w:val="22"/>
        </w:rPr>
        <w:t xml:space="preserve">  </w:t>
      </w:r>
      <w:r w:rsidR="00840E8D">
        <w:rPr>
          <w:sz w:val="22"/>
          <w:szCs w:val="22"/>
        </w:rPr>
        <w:t>The</w:t>
      </w:r>
      <w:r w:rsidRPr="0036302E">
        <w:rPr>
          <w:sz w:val="22"/>
          <w:szCs w:val="22"/>
        </w:rPr>
        <w:t xml:space="preserve"> </w:t>
      </w:r>
      <w:r w:rsidR="006B5EA5">
        <w:rPr>
          <w:sz w:val="22"/>
          <w:szCs w:val="22"/>
        </w:rPr>
        <w:t>‘</w:t>
      </w:r>
      <w:r w:rsidRPr="0036302E">
        <w:rPr>
          <w:sz w:val="22"/>
          <w:szCs w:val="22"/>
        </w:rPr>
        <w:t>Insurance London Consortium</w:t>
      </w:r>
      <w:r w:rsidR="006B5EA5">
        <w:rPr>
          <w:sz w:val="22"/>
          <w:szCs w:val="22"/>
        </w:rPr>
        <w:t>’</w:t>
      </w:r>
      <w:r w:rsidRPr="0036302E">
        <w:rPr>
          <w:sz w:val="22"/>
          <w:szCs w:val="22"/>
        </w:rPr>
        <w:t xml:space="preserve"> was launched in July 2009 to provide strategic focus for insurance</w:t>
      </w:r>
      <w:r w:rsidR="006B5EA5">
        <w:rPr>
          <w:sz w:val="22"/>
          <w:szCs w:val="22"/>
        </w:rPr>
        <w:t xml:space="preserve"> and risk management elements and </w:t>
      </w:r>
      <w:r w:rsidRPr="0036302E">
        <w:rPr>
          <w:sz w:val="22"/>
          <w:szCs w:val="22"/>
        </w:rPr>
        <w:t xml:space="preserve">to </w:t>
      </w:r>
      <w:r w:rsidRPr="0036302E">
        <w:rPr>
          <w:sz w:val="22"/>
          <w:szCs w:val="22"/>
        </w:rPr>
        <w:lastRenderedPageBreak/>
        <w:t xml:space="preserve">support collaborative working between </w:t>
      </w:r>
      <w:r w:rsidR="00840E8D">
        <w:rPr>
          <w:noProof/>
          <w:sz w:val="22"/>
          <w:szCs w:val="22"/>
        </w:rPr>
        <w:t>Consortium M</w:t>
      </w:r>
      <w:r w:rsidRPr="0036302E">
        <w:rPr>
          <w:noProof/>
          <w:sz w:val="22"/>
          <w:szCs w:val="22"/>
        </w:rPr>
        <w:t>embers</w:t>
      </w:r>
      <w:r w:rsidR="006B5EA5">
        <w:rPr>
          <w:noProof/>
          <w:sz w:val="22"/>
          <w:szCs w:val="22"/>
        </w:rPr>
        <w:t>.</w:t>
      </w:r>
      <w:r w:rsidRPr="0036302E">
        <w:rPr>
          <w:sz w:val="22"/>
          <w:szCs w:val="22"/>
        </w:rPr>
        <w:t xml:space="preserve"> </w:t>
      </w:r>
      <w:r w:rsidR="006B5EA5">
        <w:rPr>
          <w:sz w:val="22"/>
          <w:szCs w:val="22"/>
        </w:rPr>
        <w:t>The</w:t>
      </w:r>
      <w:r w:rsidRPr="0036302E">
        <w:rPr>
          <w:sz w:val="22"/>
          <w:szCs w:val="22"/>
        </w:rPr>
        <w:t xml:space="preserve"> Insurance London Consortium Members (“the Consortium Members”)</w:t>
      </w:r>
      <w:r w:rsidR="00702D08">
        <w:rPr>
          <w:sz w:val="22"/>
          <w:szCs w:val="22"/>
        </w:rPr>
        <w:t xml:space="preserve"> are listed in 1.14</w:t>
      </w:r>
      <w:r w:rsidR="00840E8D">
        <w:rPr>
          <w:sz w:val="22"/>
          <w:szCs w:val="22"/>
        </w:rPr>
        <w:t xml:space="preserve"> below</w:t>
      </w:r>
      <w:bookmarkStart w:id="0" w:name="_Ref86569224"/>
      <w:r w:rsidR="00840E8D">
        <w:rPr>
          <w:sz w:val="22"/>
          <w:szCs w:val="22"/>
        </w:rPr>
        <w:t>.</w:t>
      </w:r>
    </w:p>
    <w:p w14:paraId="0C6EAF38" w14:textId="5C5DBC64" w:rsidR="00FF79F6" w:rsidRPr="0036302E" w:rsidRDefault="00FF79F6" w:rsidP="00FF79F6">
      <w:pPr>
        <w:pStyle w:val="Level2"/>
        <w:rPr>
          <w:sz w:val="22"/>
          <w:szCs w:val="22"/>
        </w:rPr>
      </w:pPr>
      <w:r w:rsidRPr="0036302E">
        <w:rPr>
          <w:color w:val="000000"/>
          <w:sz w:val="22"/>
          <w:szCs w:val="22"/>
        </w:rPr>
        <w:t xml:space="preserve">The </w:t>
      </w:r>
      <w:r w:rsidR="00840E8D">
        <w:rPr>
          <w:color w:val="000000"/>
          <w:sz w:val="22"/>
          <w:szCs w:val="22"/>
        </w:rPr>
        <w:t xml:space="preserve">Insurance London Consortium has agreed to adopt an </w:t>
      </w:r>
      <w:r w:rsidR="00C13731">
        <w:rPr>
          <w:color w:val="000000"/>
          <w:sz w:val="22"/>
          <w:szCs w:val="22"/>
        </w:rPr>
        <w:t>‘</w:t>
      </w:r>
      <w:r w:rsidR="00840E8D">
        <w:rPr>
          <w:color w:val="000000"/>
          <w:sz w:val="22"/>
          <w:szCs w:val="22"/>
        </w:rPr>
        <w:t>Accountable B</w:t>
      </w:r>
      <w:r w:rsidRPr="0036302E">
        <w:rPr>
          <w:color w:val="000000"/>
          <w:sz w:val="22"/>
          <w:szCs w:val="22"/>
        </w:rPr>
        <w:t>ody</w:t>
      </w:r>
      <w:r w:rsidR="00C13731">
        <w:rPr>
          <w:color w:val="000000"/>
          <w:sz w:val="22"/>
          <w:szCs w:val="22"/>
        </w:rPr>
        <w:t>’</w:t>
      </w:r>
      <w:r w:rsidRPr="0036302E">
        <w:rPr>
          <w:color w:val="000000"/>
          <w:sz w:val="22"/>
          <w:szCs w:val="22"/>
        </w:rPr>
        <w:t xml:space="preserve"> structure for ILC, and agreed that Croydon Council shall act as the </w:t>
      </w:r>
      <w:r w:rsidR="00C13731">
        <w:rPr>
          <w:color w:val="000000"/>
          <w:sz w:val="22"/>
          <w:szCs w:val="22"/>
        </w:rPr>
        <w:t>‘</w:t>
      </w:r>
      <w:r w:rsidRPr="0036302E">
        <w:rPr>
          <w:color w:val="000000"/>
          <w:sz w:val="22"/>
          <w:szCs w:val="22"/>
        </w:rPr>
        <w:t>Accountable Body</w:t>
      </w:r>
      <w:r w:rsidR="00C13731">
        <w:rPr>
          <w:color w:val="000000"/>
          <w:sz w:val="22"/>
          <w:szCs w:val="22"/>
        </w:rPr>
        <w:t>’</w:t>
      </w:r>
      <w:r w:rsidRPr="0036302E">
        <w:rPr>
          <w:color w:val="000000"/>
          <w:sz w:val="22"/>
          <w:szCs w:val="22"/>
        </w:rPr>
        <w:t xml:space="preserve"> on behalf of the Consortium Members.</w:t>
      </w:r>
      <w:bookmarkEnd w:id="0"/>
    </w:p>
    <w:p w14:paraId="745BD4BA" w14:textId="6F2C50BD" w:rsidR="00FF79F6" w:rsidRPr="0036302E" w:rsidRDefault="00FF79F6" w:rsidP="00FF79F6">
      <w:pPr>
        <w:pStyle w:val="Level2"/>
        <w:rPr>
          <w:sz w:val="22"/>
          <w:szCs w:val="22"/>
        </w:rPr>
      </w:pPr>
      <w:r w:rsidRPr="0036302E">
        <w:rPr>
          <w:sz w:val="22"/>
          <w:szCs w:val="22"/>
        </w:rPr>
        <w:t>The Consortium Members have agreed to formalise their exis</w:t>
      </w:r>
      <w:r w:rsidR="00840E8D">
        <w:rPr>
          <w:sz w:val="22"/>
          <w:szCs w:val="22"/>
        </w:rPr>
        <w:t>ting relationship by way of a Consortium Agreement (</w:t>
      </w:r>
      <w:r w:rsidR="00C13731">
        <w:rPr>
          <w:sz w:val="22"/>
          <w:szCs w:val="22"/>
        </w:rPr>
        <w:t>‘</w:t>
      </w:r>
      <w:r w:rsidR="00840E8D">
        <w:rPr>
          <w:sz w:val="22"/>
          <w:szCs w:val="22"/>
        </w:rPr>
        <w:t>Agreement</w:t>
      </w:r>
      <w:r w:rsidR="00C13731">
        <w:rPr>
          <w:sz w:val="22"/>
          <w:szCs w:val="22"/>
        </w:rPr>
        <w:t>’</w:t>
      </w:r>
      <w:r w:rsidR="00840E8D">
        <w:rPr>
          <w:sz w:val="22"/>
          <w:szCs w:val="22"/>
        </w:rPr>
        <w:t>).</w:t>
      </w:r>
      <w:r w:rsidRPr="0036302E">
        <w:rPr>
          <w:sz w:val="22"/>
          <w:szCs w:val="22"/>
        </w:rPr>
        <w:t xml:space="preserve"> This Agreement sets out how the Consortium Members wish their existing and ongoing relationship to be governed.</w:t>
      </w:r>
    </w:p>
    <w:p w14:paraId="0637EB11" w14:textId="77777777" w:rsidR="00C13731" w:rsidRDefault="00FF79F6" w:rsidP="00FF79F6">
      <w:pPr>
        <w:pStyle w:val="Level2"/>
        <w:rPr>
          <w:sz w:val="22"/>
          <w:szCs w:val="22"/>
        </w:rPr>
      </w:pPr>
      <w:r w:rsidRPr="0036302E">
        <w:rPr>
          <w:sz w:val="22"/>
          <w:szCs w:val="22"/>
        </w:rPr>
        <w:t>Consortium Members have entered into this Agreement pursuant to their powers under section 3 of the Local Government Act 1999, section 2 of the Local Government Act 2000 and section 101 of the Local Government Act 1972.</w:t>
      </w:r>
      <w:r w:rsidR="00C13731" w:rsidRPr="00C13731">
        <w:rPr>
          <w:sz w:val="22"/>
          <w:szCs w:val="22"/>
        </w:rPr>
        <w:t xml:space="preserve"> </w:t>
      </w:r>
    </w:p>
    <w:p w14:paraId="29CD9076" w14:textId="7055D0A0" w:rsidR="00FF79F6" w:rsidRPr="0036302E" w:rsidRDefault="00C13731" w:rsidP="00FF79F6">
      <w:pPr>
        <w:pStyle w:val="Level2"/>
        <w:rPr>
          <w:sz w:val="22"/>
          <w:szCs w:val="22"/>
        </w:rPr>
      </w:pPr>
      <w:r>
        <w:rPr>
          <w:sz w:val="22"/>
          <w:szCs w:val="22"/>
        </w:rPr>
        <w:t>The S101 A</w:t>
      </w:r>
      <w:r w:rsidRPr="0036302E">
        <w:rPr>
          <w:sz w:val="22"/>
          <w:szCs w:val="22"/>
        </w:rPr>
        <w:t>greement s</w:t>
      </w:r>
      <w:r>
        <w:rPr>
          <w:sz w:val="22"/>
          <w:szCs w:val="22"/>
        </w:rPr>
        <w:t>ets out the objectives of the C</w:t>
      </w:r>
      <w:r w:rsidRPr="0036302E">
        <w:rPr>
          <w:sz w:val="22"/>
          <w:szCs w:val="22"/>
        </w:rPr>
        <w:t xml:space="preserve">onsortium and the rules/procedures by which the </w:t>
      </w:r>
      <w:r>
        <w:rPr>
          <w:sz w:val="22"/>
          <w:szCs w:val="22"/>
        </w:rPr>
        <w:t>Consortium works together. The A</w:t>
      </w:r>
      <w:r w:rsidRPr="0036302E">
        <w:rPr>
          <w:sz w:val="22"/>
          <w:szCs w:val="22"/>
        </w:rPr>
        <w:t>greement also makes provision for an ‘Accountable Body</w:t>
      </w:r>
      <w:r>
        <w:rPr>
          <w:sz w:val="22"/>
          <w:szCs w:val="22"/>
        </w:rPr>
        <w:t>’ role</w:t>
      </w:r>
      <w:r w:rsidRPr="0036302E">
        <w:rPr>
          <w:sz w:val="22"/>
          <w:szCs w:val="22"/>
        </w:rPr>
        <w:t xml:space="preserve"> that leads on some functions for the Consortium (for example procurement) and this role is currently discharged by Cr</w:t>
      </w:r>
      <w:r>
        <w:rPr>
          <w:sz w:val="22"/>
          <w:szCs w:val="22"/>
        </w:rPr>
        <w:t>oydon Council on behalf of the C</w:t>
      </w:r>
      <w:r w:rsidRPr="0036302E">
        <w:rPr>
          <w:sz w:val="22"/>
          <w:szCs w:val="22"/>
        </w:rPr>
        <w:t>onsortium.</w:t>
      </w:r>
    </w:p>
    <w:p w14:paraId="1BBCEFD3" w14:textId="578A3D78" w:rsidR="00DD12AA" w:rsidRPr="0036302E" w:rsidRDefault="00B33817" w:rsidP="00DD12AA">
      <w:pPr>
        <w:pStyle w:val="Level2"/>
        <w:rPr>
          <w:sz w:val="22"/>
          <w:szCs w:val="22"/>
        </w:rPr>
      </w:pPr>
      <w:r>
        <w:rPr>
          <w:b/>
          <w:sz w:val="22"/>
          <w:szCs w:val="22"/>
        </w:rPr>
        <w:t xml:space="preserve">Insurance London Consortium </w:t>
      </w:r>
      <w:r w:rsidR="00FF79F6" w:rsidRPr="0036302E">
        <w:rPr>
          <w:b/>
          <w:sz w:val="22"/>
          <w:szCs w:val="22"/>
        </w:rPr>
        <w:t>Objectives:</w:t>
      </w:r>
      <w:r w:rsidR="00FF79F6" w:rsidRPr="0036302E">
        <w:rPr>
          <w:sz w:val="22"/>
          <w:szCs w:val="22"/>
        </w:rPr>
        <w:t xml:space="preserve"> The 9 London Borough Council’s that are part of the  Insurance London Consortium (ILC) work together for the purpose of collectively developing and promoting best practice in risk management and insurance practice. </w:t>
      </w:r>
    </w:p>
    <w:p w14:paraId="082C30C6" w14:textId="0CF4F03E" w:rsidR="00DD12AA" w:rsidRPr="00EA0752" w:rsidRDefault="00DD12AA" w:rsidP="00DD12AA">
      <w:pPr>
        <w:pStyle w:val="Level2"/>
        <w:rPr>
          <w:b/>
          <w:sz w:val="22"/>
          <w:szCs w:val="22"/>
        </w:rPr>
      </w:pPr>
      <w:r w:rsidRPr="0036302E">
        <w:rPr>
          <w:sz w:val="22"/>
          <w:szCs w:val="22"/>
        </w:rPr>
        <w:t xml:space="preserve">The Consortium members are listed below and all are taking part in this tender </w:t>
      </w:r>
      <w:r w:rsidR="0071683C" w:rsidRPr="0036302E">
        <w:rPr>
          <w:sz w:val="22"/>
          <w:szCs w:val="22"/>
        </w:rPr>
        <w:t>exercise.</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4536"/>
      </w:tblGrid>
      <w:tr w:rsidR="00DD12AA" w:rsidRPr="0036302E" w14:paraId="14315C25" w14:textId="77777777" w:rsidTr="008E63C8">
        <w:tc>
          <w:tcPr>
            <w:tcW w:w="5410" w:type="dxa"/>
            <w:tcBorders>
              <w:top w:val="single" w:sz="4" w:space="0" w:color="auto"/>
              <w:left w:val="nil"/>
            </w:tcBorders>
            <w:shd w:val="clear" w:color="auto" w:fill="auto"/>
            <w:vAlign w:val="center"/>
            <w:hideMark/>
          </w:tcPr>
          <w:p w14:paraId="00499650" w14:textId="77777777" w:rsidR="00DD12AA" w:rsidRPr="0036302E" w:rsidRDefault="00DD12AA" w:rsidP="008E63C8">
            <w:pPr>
              <w:spacing w:before="120" w:after="120"/>
              <w:rPr>
                <w:sz w:val="22"/>
                <w:szCs w:val="22"/>
              </w:rPr>
            </w:pPr>
            <w:r w:rsidRPr="0036302E">
              <w:rPr>
                <w:sz w:val="22"/>
                <w:szCs w:val="22"/>
              </w:rPr>
              <w:t>London Borough of Camden</w:t>
            </w:r>
          </w:p>
        </w:tc>
        <w:tc>
          <w:tcPr>
            <w:tcW w:w="4536" w:type="dxa"/>
            <w:tcBorders>
              <w:top w:val="single" w:sz="4" w:space="0" w:color="auto"/>
              <w:right w:val="nil"/>
            </w:tcBorders>
            <w:shd w:val="clear" w:color="auto" w:fill="auto"/>
            <w:vAlign w:val="center"/>
            <w:hideMark/>
          </w:tcPr>
          <w:p w14:paraId="22182ADE" w14:textId="77777777" w:rsidR="00DD12AA" w:rsidRPr="0036302E" w:rsidRDefault="00FA0386" w:rsidP="008E63C8">
            <w:pPr>
              <w:spacing w:before="120" w:after="120"/>
              <w:rPr>
                <w:sz w:val="22"/>
                <w:szCs w:val="22"/>
              </w:rPr>
            </w:pPr>
            <w:hyperlink r:id="rId9" w:history="1">
              <w:r w:rsidR="00DD12AA" w:rsidRPr="0036302E">
                <w:rPr>
                  <w:rStyle w:val="Hyperlink"/>
                  <w:sz w:val="22"/>
                  <w:szCs w:val="22"/>
                </w:rPr>
                <w:t>http://www.camden.gov.uk/</w:t>
              </w:r>
            </w:hyperlink>
          </w:p>
        </w:tc>
      </w:tr>
      <w:tr w:rsidR="00DD12AA" w:rsidRPr="0036302E" w14:paraId="2712054A" w14:textId="77777777" w:rsidTr="008E63C8">
        <w:tc>
          <w:tcPr>
            <w:tcW w:w="5410" w:type="dxa"/>
            <w:tcBorders>
              <w:left w:val="nil"/>
            </w:tcBorders>
            <w:shd w:val="clear" w:color="auto" w:fill="auto"/>
            <w:vAlign w:val="center"/>
            <w:hideMark/>
          </w:tcPr>
          <w:p w14:paraId="44A8C2F8" w14:textId="77777777" w:rsidR="00DD12AA" w:rsidRPr="0036302E" w:rsidRDefault="00DD12AA" w:rsidP="008E63C8">
            <w:pPr>
              <w:spacing w:before="120" w:after="120"/>
              <w:rPr>
                <w:sz w:val="22"/>
                <w:szCs w:val="22"/>
              </w:rPr>
            </w:pPr>
            <w:r w:rsidRPr="0036302E">
              <w:rPr>
                <w:sz w:val="22"/>
                <w:szCs w:val="22"/>
              </w:rPr>
              <w:t>Croydon Council</w:t>
            </w:r>
          </w:p>
        </w:tc>
        <w:tc>
          <w:tcPr>
            <w:tcW w:w="4536" w:type="dxa"/>
            <w:tcBorders>
              <w:right w:val="nil"/>
            </w:tcBorders>
            <w:shd w:val="clear" w:color="auto" w:fill="auto"/>
            <w:vAlign w:val="center"/>
            <w:hideMark/>
          </w:tcPr>
          <w:p w14:paraId="194C8188" w14:textId="77777777" w:rsidR="00DD12AA" w:rsidRPr="0036302E" w:rsidRDefault="00FA0386" w:rsidP="008E63C8">
            <w:pPr>
              <w:spacing w:before="120" w:after="120"/>
              <w:rPr>
                <w:sz w:val="22"/>
                <w:szCs w:val="22"/>
              </w:rPr>
            </w:pPr>
            <w:hyperlink r:id="rId10" w:history="1">
              <w:r w:rsidR="00DD12AA" w:rsidRPr="0036302E">
                <w:rPr>
                  <w:rStyle w:val="Hyperlink"/>
                  <w:sz w:val="22"/>
                  <w:szCs w:val="22"/>
                </w:rPr>
                <w:t>http://www.croydon.gov.uk/</w:t>
              </w:r>
            </w:hyperlink>
          </w:p>
        </w:tc>
      </w:tr>
      <w:tr w:rsidR="00DD12AA" w:rsidRPr="0036302E" w14:paraId="69FAA987" w14:textId="77777777" w:rsidTr="008E63C8">
        <w:tc>
          <w:tcPr>
            <w:tcW w:w="5410" w:type="dxa"/>
            <w:tcBorders>
              <w:left w:val="nil"/>
            </w:tcBorders>
            <w:shd w:val="clear" w:color="auto" w:fill="auto"/>
            <w:vAlign w:val="center"/>
            <w:hideMark/>
          </w:tcPr>
          <w:p w14:paraId="7961BB46" w14:textId="77777777" w:rsidR="00DD12AA" w:rsidRPr="00EA0752" w:rsidRDefault="00DD12AA" w:rsidP="008E63C8">
            <w:pPr>
              <w:spacing w:before="120" w:after="120"/>
              <w:rPr>
                <w:sz w:val="22"/>
                <w:szCs w:val="22"/>
              </w:rPr>
            </w:pPr>
            <w:r w:rsidRPr="00EA0752">
              <w:rPr>
                <w:sz w:val="22"/>
                <w:szCs w:val="22"/>
              </w:rPr>
              <w:t>Haringey Council</w:t>
            </w:r>
          </w:p>
        </w:tc>
        <w:tc>
          <w:tcPr>
            <w:tcW w:w="4536" w:type="dxa"/>
            <w:tcBorders>
              <w:right w:val="nil"/>
            </w:tcBorders>
            <w:shd w:val="clear" w:color="auto" w:fill="auto"/>
            <w:vAlign w:val="center"/>
            <w:hideMark/>
          </w:tcPr>
          <w:p w14:paraId="355A7300" w14:textId="77777777" w:rsidR="00DD12AA" w:rsidRPr="00EA0752" w:rsidRDefault="00FA0386" w:rsidP="008E63C8">
            <w:pPr>
              <w:spacing w:before="120" w:after="120"/>
              <w:rPr>
                <w:sz w:val="22"/>
                <w:szCs w:val="22"/>
              </w:rPr>
            </w:pPr>
            <w:hyperlink r:id="rId11" w:history="1">
              <w:r w:rsidR="00DD12AA" w:rsidRPr="00EA0752">
                <w:rPr>
                  <w:rStyle w:val="Hyperlink"/>
                  <w:sz w:val="22"/>
                  <w:szCs w:val="22"/>
                </w:rPr>
                <w:t>http://www.haringey.gov.uk/</w:t>
              </w:r>
            </w:hyperlink>
          </w:p>
        </w:tc>
      </w:tr>
      <w:tr w:rsidR="00DD12AA" w:rsidRPr="0036302E" w14:paraId="5983AF52" w14:textId="77777777" w:rsidTr="008E63C8">
        <w:tc>
          <w:tcPr>
            <w:tcW w:w="5410" w:type="dxa"/>
            <w:tcBorders>
              <w:left w:val="nil"/>
            </w:tcBorders>
            <w:shd w:val="clear" w:color="auto" w:fill="auto"/>
            <w:vAlign w:val="center"/>
            <w:hideMark/>
          </w:tcPr>
          <w:p w14:paraId="50469AC6" w14:textId="77777777" w:rsidR="00DD12AA" w:rsidRPr="00EA0752" w:rsidRDefault="00DD12AA" w:rsidP="008E63C8">
            <w:pPr>
              <w:spacing w:before="120" w:after="120"/>
              <w:rPr>
                <w:sz w:val="22"/>
                <w:szCs w:val="22"/>
              </w:rPr>
            </w:pPr>
            <w:r w:rsidRPr="00EA0752">
              <w:rPr>
                <w:sz w:val="22"/>
                <w:szCs w:val="22"/>
              </w:rPr>
              <w:t>Harrow Council</w:t>
            </w:r>
          </w:p>
        </w:tc>
        <w:tc>
          <w:tcPr>
            <w:tcW w:w="4536" w:type="dxa"/>
            <w:tcBorders>
              <w:right w:val="nil"/>
            </w:tcBorders>
            <w:shd w:val="clear" w:color="auto" w:fill="auto"/>
            <w:vAlign w:val="center"/>
            <w:hideMark/>
          </w:tcPr>
          <w:p w14:paraId="3FAC8C00" w14:textId="77777777" w:rsidR="00DD12AA" w:rsidRPr="00EA0752" w:rsidRDefault="00FA0386" w:rsidP="008E63C8">
            <w:pPr>
              <w:spacing w:before="120" w:after="120"/>
              <w:rPr>
                <w:sz w:val="22"/>
                <w:szCs w:val="22"/>
              </w:rPr>
            </w:pPr>
            <w:hyperlink r:id="rId12" w:history="1">
              <w:r w:rsidR="00DD12AA" w:rsidRPr="00EA0752">
                <w:rPr>
                  <w:rStyle w:val="Hyperlink"/>
                  <w:sz w:val="22"/>
                  <w:szCs w:val="22"/>
                </w:rPr>
                <w:t>http://www.harrow.gov.uk</w:t>
              </w:r>
            </w:hyperlink>
          </w:p>
        </w:tc>
      </w:tr>
      <w:tr w:rsidR="00DD12AA" w:rsidRPr="0036302E" w14:paraId="51157F28" w14:textId="77777777" w:rsidTr="008E63C8">
        <w:tc>
          <w:tcPr>
            <w:tcW w:w="5410" w:type="dxa"/>
            <w:tcBorders>
              <w:left w:val="nil"/>
            </w:tcBorders>
            <w:shd w:val="clear" w:color="auto" w:fill="auto"/>
            <w:vAlign w:val="center"/>
            <w:hideMark/>
          </w:tcPr>
          <w:p w14:paraId="2BE9B608" w14:textId="77777777" w:rsidR="00DD12AA" w:rsidRPr="0036302E" w:rsidRDefault="00DD12AA" w:rsidP="008E63C8">
            <w:pPr>
              <w:spacing w:before="120" w:after="120"/>
              <w:rPr>
                <w:sz w:val="22"/>
                <w:szCs w:val="22"/>
              </w:rPr>
            </w:pPr>
            <w:r w:rsidRPr="0036302E">
              <w:rPr>
                <w:sz w:val="22"/>
                <w:szCs w:val="22"/>
              </w:rPr>
              <w:t>Islington Council</w:t>
            </w:r>
          </w:p>
        </w:tc>
        <w:tc>
          <w:tcPr>
            <w:tcW w:w="4536" w:type="dxa"/>
            <w:tcBorders>
              <w:right w:val="nil"/>
            </w:tcBorders>
            <w:shd w:val="clear" w:color="auto" w:fill="auto"/>
            <w:vAlign w:val="center"/>
            <w:hideMark/>
          </w:tcPr>
          <w:p w14:paraId="3FF91132" w14:textId="77777777" w:rsidR="00DD12AA" w:rsidRPr="0036302E" w:rsidRDefault="00FA0386" w:rsidP="008E63C8">
            <w:pPr>
              <w:spacing w:before="120" w:after="120"/>
              <w:rPr>
                <w:sz w:val="22"/>
                <w:szCs w:val="22"/>
              </w:rPr>
            </w:pPr>
            <w:hyperlink r:id="rId13" w:history="1">
              <w:r w:rsidR="00DD12AA" w:rsidRPr="0036302E">
                <w:rPr>
                  <w:rStyle w:val="Hyperlink"/>
                  <w:sz w:val="22"/>
                  <w:szCs w:val="22"/>
                </w:rPr>
                <w:t>http://www.islington.gov.uk/</w:t>
              </w:r>
            </w:hyperlink>
          </w:p>
        </w:tc>
      </w:tr>
      <w:tr w:rsidR="00DD12AA" w:rsidRPr="0036302E" w14:paraId="66142CCD" w14:textId="77777777" w:rsidTr="008E63C8">
        <w:tc>
          <w:tcPr>
            <w:tcW w:w="5410" w:type="dxa"/>
            <w:tcBorders>
              <w:left w:val="nil"/>
            </w:tcBorders>
            <w:shd w:val="clear" w:color="auto" w:fill="auto"/>
            <w:vAlign w:val="center"/>
            <w:hideMark/>
          </w:tcPr>
          <w:p w14:paraId="40BC131F" w14:textId="77777777" w:rsidR="00DD12AA" w:rsidRPr="0036302E" w:rsidRDefault="00DD12AA" w:rsidP="008E63C8">
            <w:pPr>
              <w:spacing w:before="120" w:after="120"/>
              <w:rPr>
                <w:sz w:val="22"/>
                <w:szCs w:val="22"/>
              </w:rPr>
            </w:pPr>
            <w:r w:rsidRPr="0036302E">
              <w:rPr>
                <w:sz w:val="22"/>
                <w:szCs w:val="22"/>
              </w:rPr>
              <w:t>Royal Borough of Kingston upon Thames</w:t>
            </w:r>
          </w:p>
        </w:tc>
        <w:tc>
          <w:tcPr>
            <w:tcW w:w="4536" w:type="dxa"/>
            <w:tcBorders>
              <w:right w:val="nil"/>
            </w:tcBorders>
            <w:shd w:val="clear" w:color="auto" w:fill="auto"/>
            <w:vAlign w:val="center"/>
            <w:hideMark/>
          </w:tcPr>
          <w:p w14:paraId="0A367431" w14:textId="77777777" w:rsidR="00DD12AA" w:rsidRPr="0036302E" w:rsidRDefault="00FA0386" w:rsidP="008E63C8">
            <w:pPr>
              <w:spacing w:before="120" w:after="120"/>
              <w:rPr>
                <w:sz w:val="22"/>
                <w:szCs w:val="22"/>
              </w:rPr>
            </w:pPr>
            <w:hyperlink r:id="rId14" w:history="1">
              <w:r w:rsidR="00DD12AA" w:rsidRPr="0036302E">
                <w:rPr>
                  <w:rStyle w:val="Hyperlink"/>
                  <w:sz w:val="22"/>
                  <w:szCs w:val="22"/>
                </w:rPr>
                <w:t>http://www.kingston.gov.uk/</w:t>
              </w:r>
            </w:hyperlink>
          </w:p>
        </w:tc>
      </w:tr>
      <w:tr w:rsidR="00DD12AA" w:rsidRPr="0036302E" w14:paraId="7830494B" w14:textId="77777777" w:rsidTr="008E63C8">
        <w:tc>
          <w:tcPr>
            <w:tcW w:w="5410" w:type="dxa"/>
            <w:tcBorders>
              <w:left w:val="nil"/>
            </w:tcBorders>
            <w:shd w:val="clear" w:color="auto" w:fill="auto"/>
            <w:vAlign w:val="center"/>
            <w:hideMark/>
          </w:tcPr>
          <w:p w14:paraId="2F07ACBC" w14:textId="77777777" w:rsidR="00DD12AA" w:rsidRPr="0036302E" w:rsidRDefault="00DD12AA" w:rsidP="008E63C8">
            <w:pPr>
              <w:spacing w:before="120" w:after="120"/>
              <w:rPr>
                <w:sz w:val="22"/>
                <w:szCs w:val="22"/>
              </w:rPr>
            </w:pPr>
            <w:r w:rsidRPr="0036302E">
              <w:rPr>
                <w:sz w:val="22"/>
                <w:szCs w:val="22"/>
              </w:rPr>
              <w:t>Lambeth Council</w:t>
            </w:r>
          </w:p>
        </w:tc>
        <w:tc>
          <w:tcPr>
            <w:tcW w:w="4536" w:type="dxa"/>
            <w:tcBorders>
              <w:right w:val="nil"/>
            </w:tcBorders>
            <w:shd w:val="clear" w:color="auto" w:fill="auto"/>
            <w:vAlign w:val="center"/>
            <w:hideMark/>
          </w:tcPr>
          <w:p w14:paraId="547A703A" w14:textId="77777777" w:rsidR="00DD12AA" w:rsidRPr="0036302E" w:rsidRDefault="00FA0386" w:rsidP="008E63C8">
            <w:pPr>
              <w:spacing w:before="120" w:after="120"/>
              <w:rPr>
                <w:sz w:val="22"/>
                <w:szCs w:val="22"/>
              </w:rPr>
            </w:pPr>
            <w:hyperlink r:id="rId15" w:history="1">
              <w:r w:rsidR="00DD12AA" w:rsidRPr="0036302E">
                <w:rPr>
                  <w:rStyle w:val="Hyperlink"/>
                  <w:sz w:val="22"/>
                  <w:szCs w:val="22"/>
                </w:rPr>
                <w:t>http://www.lambeth.gov.uk/</w:t>
              </w:r>
            </w:hyperlink>
          </w:p>
        </w:tc>
      </w:tr>
      <w:tr w:rsidR="00DD12AA" w:rsidRPr="0036302E" w14:paraId="507150E6" w14:textId="77777777" w:rsidTr="008E63C8">
        <w:tc>
          <w:tcPr>
            <w:tcW w:w="5410" w:type="dxa"/>
            <w:tcBorders>
              <w:left w:val="nil"/>
              <w:bottom w:val="single" w:sz="4" w:space="0" w:color="auto"/>
            </w:tcBorders>
            <w:shd w:val="clear" w:color="auto" w:fill="auto"/>
            <w:vAlign w:val="center"/>
            <w:hideMark/>
          </w:tcPr>
          <w:p w14:paraId="6F78B57C" w14:textId="77777777" w:rsidR="00DD12AA" w:rsidRPr="0036302E" w:rsidRDefault="00DD12AA" w:rsidP="008E63C8">
            <w:pPr>
              <w:spacing w:before="120" w:after="120"/>
              <w:rPr>
                <w:sz w:val="22"/>
                <w:szCs w:val="22"/>
              </w:rPr>
            </w:pPr>
            <w:r w:rsidRPr="0036302E">
              <w:rPr>
                <w:sz w:val="22"/>
                <w:szCs w:val="22"/>
              </w:rPr>
              <w:t>London Borough of Sutton</w:t>
            </w:r>
          </w:p>
        </w:tc>
        <w:tc>
          <w:tcPr>
            <w:tcW w:w="4536" w:type="dxa"/>
            <w:tcBorders>
              <w:bottom w:val="single" w:sz="4" w:space="0" w:color="auto"/>
              <w:right w:val="nil"/>
            </w:tcBorders>
            <w:shd w:val="clear" w:color="auto" w:fill="auto"/>
            <w:vAlign w:val="center"/>
            <w:hideMark/>
          </w:tcPr>
          <w:p w14:paraId="04D73DFA" w14:textId="77777777" w:rsidR="00DD12AA" w:rsidRPr="0036302E" w:rsidRDefault="00FA0386" w:rsidP="008E63C8">
            <w:pPr>
              <w:spacing w:before="120" w:after="120"/>
              <w:rPr>
                <w:sz w:val="22"/>
                <w:szCs w:val="22"/>
              </w:rPr>
            </w:pPr>
            <w:hyperlink r:id="rId16" w:history="1">
              <w:r w:rsidR="00DD12AA" w:rsidRPr="0036302E">
                <w:rPr>
                  <w:rStyle w:val="Hyperlink"/>
                  <w:sz w:val="22"/>
                  <w:szCs w:val="22"/>
                </w:rPr>
                <w:t>http://www.sutton.gov.uk/</w:t>
              </w:r>
            </w:hyperlink>
          </w:p>
        </w:tc>
      </w:tr>
      <w:tr w:rsidR="00DD12AA" w:rsidRPr="0036302E" w14:paraId="3F913599" w14:textId="77777777" w:rsidTr="008E63C8">
        <w:tc>
          <w:tcPr>
            <w:tcW w:w="5410" w:type="dxa"/>
            <w:tcBorders>
              <w:left w:val="nil"/>
              <w:bottom w:val="single" w:sz="4" w:space="0" w:color="auto"/>
            </w:tcBorders>
            <w:shd w:val="clear" w:color="auto" w:fill="auto"/>
            <w:vAlign w:val="center"/>
            <w:hideMark/>
          </w:tcPr>
          <w:p w14:paraId="2639606C" w14:textId="77777777" w:rsidR="00DD12AA" w:rsidRPr="0036302E" w:rsidRDefault="00DD12AA" w:rsidP="008E63C8">
            <w:pPr>
              <w:spacing w:before="120" w:after="120"/>
              <w:rPr>
                <w:sz w:val="22"/>
                <w:szCs w:val="22"/>
              </w:rPr>
            </w:pPr>
            <w:r w:rsidRPr="0036302E">
              <w:rPr>
                <w:sz w:val="22"/>
                <w:szCs w:val="22"/>
              </w:rPr>
              <w:t>London Borough of Tower Hamlets</w:t>
            </w:r>
          </w:p>
        </w:tc>
        <w:tc>
          <w:tcPr>
            <w:tcW w:w="4536" w:type="dxa"/>
            <w:tcBorders>
              <w:bottom w:val="single" w:sz="4" w:space="0" w:color="auto"/>
              <w:right w:val="nil"/>
            </w:tcBorders>
            <w:shd w:val="clear" w:color="auto" w:fill="auto"/>
            <w:vAlign w:val="center"/>
            <w:hideMark/>
          </w:tcPr>
          <w:p w14:paraId="0234D30C" w14:textId="77777777" w:rsidR="00DD12AA" w:rsidRPr="0036302E" w:rsidRDefault="00FA0386" w:rsidP="008E63C8">
            <w:pPr>
              <w:spacing w:before="120" w:after="120"/>
              <w:rPr>
                <w:sz w:val="22"/>
                <w:szCs w:val="22"/>
              </w:rPr>
            </w:pPr>
            <w:hyperlink r:id="rId17" w:history="1">
              <w:r w:rsidR="00DD12AA" w:rsidRPr="0036302E">
                <w:rPr>
                  <w:rStyle w:val="Hyperlink"/>
                  <w:sz w:val="22"/>
                  <w:szCs w:val="22"/>
                </w:rPr>
                <w:t>http://www.towerhamlets.gov.uk/</w:t>
              </w:r>
            </w:hyperlink>
          </w:p>
        </w:tc>
      </w:tr>
    </w:tbl>
    <w:p w14:paraId="40C1F7F0" w14:textId="77777777" w:rsidR="00DD12AA" w:rsidRPr="0036302E" w:rsidRDefault="00DD12AA" w:rsidP="00DD12AA">
      <w:pPr>
        <w:rPr>
          <w:sz w:val="22"/>
          <w:szCs w:val="22"/>
        </w:rPr>
      </w:pPr>
    </w:p>
    <w:p w14:paraId="11E85E06" w14:textId="319EB0B8" w:rsidR="00DD12AA" w:rsidRPr="0036302E" w:rsidRDefault="00413515" w:rsidP="00B33817">
      <w:pPr>
        <w:tabs>
          <w:tab w:val="left" w:pos="851"/>
        </w:tabs>
        <w:rPr>
          <w:sz w:val="22"/>
          <w:szCs w:val="22"/>
        </w:rPr>
      </w:pPr>
      <w:r>
        <w:rPr>
          <w:sz w:val="22"/>
          <w:szCs w:val="22"/>
        </w:rPr>
        <w:tab/>
      </w:r>
      <w:r w:rsidR="00DD12AA" w:rsidRPr="0036302E">
        <w:rPr>
          <w:sz w:val="22"/>
          <w:szCs w:val="22"/>
        </w:rPr>
        <w:t>The objectives of the Consortium can be summarised as follows:</w:t>
      </w:r>
    </w:p>
    <w:p w14:paraId="35EBBBF1" w14:textId="38EFD951" w:rsidR="00DD12AA" w:rsidRPr="0036302E" w:rsidRDefault="00DD12AA" w:rsidP="00BC4C64">
      <w:pPr>
        <w:pStyle w:val="ListParagraph"/>
        <w:numPr>
          <w:ilvl w:val="0"/>
          <w:numId w:val="10"/>
        </w:numPr>
        <w:ind w:left="851" w:hanging="491"/>
        <w:rPr>
          <w:rFonts w:ascii="Arial" w:hAnsi="Arial" w:cs="Arial"/>
          <w:szCs w:val="22"/>
        </w:rPr>
      </w:pPr>
      <w:r w:rsidRPr="0036302E">
        <w:rPr>
          <w:rFonts w:ascii="Arial" w:hAnsi="Arial" w:cs="Arial"/>
          <w:szCs w:val="22"/>
        </w:rPr>
        <w:t xml:space="preserve">To share best practice in managing risk and develop/deliver projects improving the members risk profile </w:t>
      </w:r>
    </w:p>
    <w:p w14:paraId="2286B517" w14:textId="35E745AB" w:rsidR="00DD12AA" w:rsidRPr="0036302E" w:rsidRDefault="00DD12AA" w:rsidP="00BC4C64">
      <w:pPr>
        <w:pStyle w:val="ListParagraph"/>
        <w:numPr>
          <w:ilvl w:val="0"/>
          <w:numId w:val="10"/>
        </w:numPr>
        <w:ind w:left="851" w:hanging="491"/>
        <w:rPr>
          <w:rFonts w:ascii="Arial" w:hAnsi="Arial" w:cs="Arial"/>
          <w:szCs w:val="22"/>
        </w:rPr>
      </w:pPr>
      <w:r w:rsidRPr="0036302E">
        <w:rPr>
          <w:rFonts w:ascii="Arial" w:hAnsi="Arial" w:cs="Arial"/>
          <w:szCs w:val="22"/>
        </w:rPr>
        <w:t>To drive wider collaboration within the public sector through detailed risk analysis risk management strategies and knowledge sharing</w:t>
      </w:r>
    </w:p>
    <w:p w14:paraId="74B01437" w14:textId="2507CE4E" w:rsidR="00DD12AA" w:rsidRPr="0036302E" w:rsidRDefault="00DD12AA" w:rsidP="00BC4C64">
      <w:pPr>
        <w:pStyle w:val="ListParagraph"/>
        <w:numPr>
          <w:ilvl w:val="0"/>
          <w:numId w:val="10"/>
        </w:numPr>
        <w:ind w:left="851" w:hanging="491"/>
        <w:rPr>
          <w:rFonts w:ascii="Arial" w:hAnsi="Arial" w:cs="Arial"/>
          <w:szCs w:val="22"/>
        </w:rPr>
      </w:pPr>
      <w:r w:rsidRPr="0036302E">
        <w:rPr>
          <w:rFonts w:ascii="Arial" w:hAnsi="Arial" w:cs="Arial"/>
          <w:szCs w:val="22"/>
        </w:rPr>
        <w:lastRenderedPageBreak/>
        <w:t>To introduce best practice in terms of claims management</w:t>
      </w:r>
    </w:p>
    <w:p w14:paraId="40B68931" w14:textId="46EB0628" w:rsidR="00DD12AA" w:rsidRDefault="00DD12AA" w:rsidP="00BC4C64">
      <w:pPr>
        <w:pStyle w:val="ListParagraph"/>
        <w:numPr>
          <w:ilvl w:val="0"/>
          <w:numId w:val="10"/>
        </w:numPr>
        <w:ind w:left="851" w:hanging="491"/>
        <w:rPr>
          <w:rFonts w:ascii="Arial" w:hAnsi="Arial" w:cs="Arial"/>
          <w:szCs w:val="22"/>
        </w:rPr>
      </w:pPr>
      <w:r w:rsidRPr="0036302E">
        <w:rPr>
          <w:rFonts w:ascii="Arial" w:hAnsi="Arial" w:cs="Arial"/>
          <w:szCs w:val="22"/>
        </w:rPr>
        <w:t xml:space="preserve">Develop greater understanding and partnership with the insurance market </w:t>
      </w:r>
    </w:p>
    <w:p w14:paraId="5ADA27F2" w14:textId="77777777" w:rsidR="00B33817" w:rsidRDefault="00B33817" w:rsidP="00B33817">
      <w:pPr>
        <w:pStyle w:val="ListParagraph"/>
        <w:ind w:left="851"/>
        <w:rPr>
          <w:rFonts w:ascii="Arial" w:hAnsi="Arial" w:cs="Arial"/>
          <w:szCs w:val="22"/>
        </w:rPr>
      </w:pPr>
    </w:p>
    <w:p w14:paraId="56B2B5C6" w14:textId="7E3B58C9" w:rsidR="00413515" w:rsidRPr="008F6C3F" w:rsidRDefault="00413515" w:rsidP="00BC4C64">
      <w:pPr>
        <w:pStyle w:val="Level2"/>
        <w:numPr>
          <w:ilvl w:val="1"/>
          <w:numId w:val="11"/>
        </w:numPr>
        <w:rPr>
          <w:sz w:val="22"/>
          <w:szCs w:val="22"/>
        </w:rPr>
      </w:pPr>
      <w:r w:rsidRPr="008F6C3F">
        <w:rPr>
          <w:b/>
          <w:sz w:val="22"/>
          <w:szCs w:val="22"/>
        </w:rPr>
        <w:t>An Overview of the London Borough Councils</w:t>
      </w:r>
      <w:r w:rsidRPr="008F6C3F">
        <w:rPr>
          <w:sz w:val="22"/>
          <w:szCs w:val="22"/>
        </w:rPr>
        <w:t>:  London has a two-tier system of local and regional government. London has 32 boroughs and the City of London (often referred to as the 33rd borough) which, as unitary authorities deliver most of the day-to-day services that keep the capital running. The nine members of the ILC are all London Boroughs. In addition, the Greater London Authority (GLA) plays a strategic role, setting out an overall vision on a range of issues including air quality, development, transport (Transport for London) and wast</w:t>
      </w:r>
      <w:r w:rsidR="00B33817" w:rsidRPr="008F6C3F">
        <w:rPr>
          <w:sz w:val="22"/>
          <w:szCs w:val="22"/>
        </w:rPr>
        <w:t>e.</w:t>
      </w:r>
    </w:p>
    <w:p w14:paraId="5BE5AD8F" w14:textId="77777777" w:rsidR="00413515" w:rsidRPr="008F6C3F" w:rsidRDefault="00413515" w:rsidP="00413515">
      <w:pPr>
        <w:pStyle w:val="Level2"/>
        <w:rPr>
          <w:sz w:val="22"/>
          <w:szCs w:val="22"/>
        </w:rPr>
      </w:pPr>
      <w:r w:rsidRPr="008F6C3F">
        <w:rPr>
          <w:sz w:val="22"/>
          <w:szCs w:val="22"/>
        </w:rPr>
        <w:t>The 32 boroughs were established in 1965, replacing the metropolitan boroughs that had governed London since Victorian times. The GLA was set up in 2000, and essentially replaced the Greater London Council which had been abolished in 1996.</w:t>
      </w:r>
    </w:p>
    <w:p w14:paraId="2B843EA7" w14:textId="77777777" w:rsidR="00413515" w:rsidRPr="008F6C3F" w:rsidRDefault="00413515" w:rsidP="00413515">
      <w:pPr>
        <w:pStyle w:val="Level2"/>
        <w:rPr>
          <w:sz w:val="22"/>
          <w:szCs w:val="22"/>
        </w:rPr>
      </w:pPr>
      <w:r w:rsidRPr="008F6C3F">
        <w:rPr>
          <w:sz w:val="22"/>
          <w:szCs w:val="22"/>
        </w:rPr>
        <w:t>The boroughs (and the City of London) together spend more than £12 billion a year, including about £7 billion on children's services / education, and £2 billion on adult social services. They own and maintain nearly half a million homes (one in seven of all homes in London), run the libraries, deal with planning applications, and are responsible for waste collection and licensing the capital's pubs, clubs and restaurants. They repair and maintain 95 per cent of London's roads, deal with parking enforcement, and also deliver environmental services, including consumer protection, and many arts and leisure services.</w:t>
      </w:r>
    </w:p>
    <w:p w14:paraId="3975F3DA" w14:textId="77777777" w:rsidR="00413515" w:rsidRPr="008F6C3F" w:rsidRDefault="00413515" w:rsidP="00413515">
      <w:pPr>
        <w:pStyle w:val="Level2"/>
        <w:rPr>
          <w:sz w:val="22"/>
          <w:szCs w:val="22"/>
        </w:rPr>
      </w:pPr>
      <w:r w:rsidRPr="008F6C3F">
        <w:rPr>
          <w:b/>
          <w:sz w:val="22"/>
          <w:szCs w:val="22"/>
        </w:rPr>
        <w:t>Funding &amp; Governance:</w:t>
      </w:r>
      <w:r w:rsidRPr="008F6C3F">
        <w:rPr>
          <w:sz w:val="22"/>
          <w:szCs w:val="22"/>
        </w:rPr>
        <w:t xml:space="preserve"> All boroughs funding is raised through a combination of central government funds, council tax, business rates and other smaller fees / charges such as parking.  Funding for specific areas may also be available direct from central government and will be dependent on government priorities and the performance and (perceived) needs of the individual boroughs.</w:t>
      </w:r>
    </w:p>
    <w:p w14:paraId="6E0A5E83" w14:textId="77777777" w:rsidR="00413515" w:rsidRPr="008F6C3F" w:rsidRDefault="00413515" w:rsidP="00413515">
      <w:pPr>
        <w:pStyle w:val="Level2"/>
        <w:rPr>
          <w:sz w:val="22"/>
          <w:szCs w:val="22"/>
        </w:rPr>
      </w:pPr>
      <w:r w:rsidRPr="008F6C3F">
        <w:rPr>
          <w:sz w:val="22"/>
          <w:szCs w:val="22"/>
        </w:rPr>
        <w:t>London Boroughs (including the ILC members) are all subject to extensive regulation including by central government, external audit functions, and other public bodies such as Ofsted.</w:t>
      </w:r>
    </w:p>
    <w:p w14:paraId="1166DF95" w14:textId="77777777" w:rsidR="00413515" w:rsidRPr="008F6C3F" w:rsidRDefault="00413515" w:rsidP="00413515">
      <w:pPr>
        <w:pStyle w:val="Level2"/>
        <w:rPr>
          <w:sz w:val="22"/>
          <w:szCs w:val="22"/>
        </w:rPr>
      </w:pPr>
      <w:r w:rsidRPr="008F6C3F">
        <w:rPr>
          <w:b/>
          <w:sz w:val="22"/>
          <w:szCs w:val="22"/>
        </w:rPr>
        <w:t>Risk Overview:</w:t>
      </w:r>
      <w:r w:rsidRPr="008F6C3F">
        <w:rPr>
          <w:sz w:val="22"/>
          <w:szCs w:val="22"/>
        </w:rPr>
        <w:t xml:space="preserve"> In line with the private sector, local authorities have seen a major move to the outsourcing of a large element of the services they offer in a move to become commissioning led ‘enabling authorities’. This, in general, has led not only to reductions in costs, but also in terms of responsibility and risk. The ILC members outsource a number of higher risk activities such as refuse, street cleaning, premises maintenance, leisure centres and highways maintenance, as examples of trends seen generally in local authorities.</w:t>
      </w:r>
    </w:p>
    <w:p w14:paraId="12A2D25D" w14:textId="77777777" w:rsidR="00413515" w:rsidRPr="008F6C3F" w:rsidRDefault="00413515" w:rsidP="00413515">
      <w:pPr>
        <w:pStyle w:val="Level2"/>
        <w:rPr>
          <w:sz w:val="22"/>
          <w:szCs w:val="22"/>
        </w:rPr>
      </w:pPr>
      <w:r w:rsidRPr="008F6C3F">
        <w:rPr>
          <w:sz w:val="22"/>
          <w:szCs w:val="22"/>
        </w:rPr>
        <w:t>Council property risks mainly relate to social housing, and schools. The boroughs have a statutory responsibility to provide schooling for the children in their area although not all schools are owned or run by the boroughs and some schools are leaving local authority control and converting to academy status.</w:t>
      </w:r>
    </w:p>
    <w:p w14:paraId="19403960" w14:textId="77777777" w:rsidR="00413515" w:rsidRPr="008F6C3F" w:rsidRDefault="00413515" w:rsidP="00413515">
      <w:pPr>
        <w:pStyle w:val="Level2"/>
        <w:rPr>
          <w:sz w:val="22"/>
          <w:szCs w:val="22"/>
        </w:rPr>
      </w:pPr>
      <w:r w:rsidRPr="008F6C3F">
        <w:rPr>
          <w:sz w:val="22"/>
          <w:szCs w:val="22"/>
        </w:rPr>
        <w:t xml:space="preserve">Comprehensive policies &amp; procedures are in place across all areas of Health &amp; Safety backed up by suitable training, management and supervision which is recorded and retained, particularly in high risk areas such as facilities management where procedures and policies include regular inspections, maintenance of electrical installations, completion of fire risk assessments, </w:t>
      </w:r>
      <w:r w:rsidRPr="008F6C3F">
        <w:rPr>
          <w:sz w:val="22"/>
          <w:szCs w:val="22"/>
        </w:rPr>
        <w:lastRenderedPageBreak/>
        <w:t>asbestos registers, manual handling for healthcare workers and new key areas like stress.</w:t>
      </w:r>
    </w:p>
    <w:p w14:paraId="2946EF55" w14:textId="77777777" w:rsidR="00413515" w:rsidRPr="008F6C3F" w:rsidRDefault="00413515" w:rsidP="00413515">
      <w:pPr>
        <w:pStyle w:val="Level2"/>
        <w:rPr>
          <w:sz w:val="22"/>
          <w:szCs w:val="22"/>
        </w:rPr>
      </w:pPr>
      <w:r w:rsidRPr="008F6C3F">
        <w:rPr>
          <w:sz w:val="22"/>
          <w:szCs w:val="22"/>
        </w:rPr>
        <w:t>All consortium members have internal audit, risk and insurance functions monitoring and managing risks around the business. The Risk Management structure within the Boroughs includes the establishment of Risk Registers at all levels, together with the use of scoring systems to classify Risks and action plans to address issues.</w:t>
      </w:r>
    </w:p>
    <w:p w14:paraId="54393D04" w14:textId="77777777" w:rsidR="00413515" w:rsidRPr="008F6C3F" w:rsidRDefault="00413515" w:rsidP="00413515">
      <w:pPr>
        <w:pStyle w:val="Level2"/>
        <w:rPr>
          <w:sz w:val="22"/>
          <w:szCs w:val="22"/>
        </w:rPr>
      </w:pPr>
      <w:r w:rsidRPr="008F6C3F">
        <w:rPr>
          <w:b/>
          <w:sz w:val="22"/>
          <w:szCs w:val="22"/>
        </w:rPr>
        <w:t>Recent changes to Risk Profile / Emerging Risks</w:t>
      </w:r>
      <w:r w:rsidRPr="008F6C3F">
        <w:rPr>
          <w:sz w:val="22"/>
          <w:szCs w:val="22"/>
        </w:rPr>
        <w:t xml:space="preserve">: Budget cuts to local authorities have led London boroughs, including the consortium members, to consider new forms of service delivery including, in some cases, the sharing of particular services between neighbouring boroughs. This is described in more detail in the Underwriting Information. </w:t>
      </w:r>
    </w:p>
    <w:p w14:paraId="19689CDF" w14:textId="2E3CC40B" w:rsidR="00413515" w:rsidRDefault="00413515" w:rsidP="00413515">
      <w:pPr>
        <w:pStyle w:val="Level2"/>
        <w:rPr>
          <w:sz w:val="22"/>
          <w:szCs w:val="22"/>
        </w:rPr>
      </w:pPr>
      <w:r w:rsidRPr="008F6C3F">
        <w:rPr>
          <w:b/>
          <w:sz w:val="22"/>
          <w:szCs w:val="22"/>
        </w:rPr>
        <w:t xml:space="preserve">Building a Claims </w:t>
      </w:r>
      <w:r w:rsidR="002F7A94" w:rsidRPr="008F6C3F">
        <w:rPr>
          <w:b/>
          <w:sz w:val="22"/>
          <w:szCs w:val="22"/>
        </w:rPr>
        <w:t>Investigation</w:t>
      </w:r>
      <w:r w:rsidRPr="008F6C3F">
        <w:rPr>
          <w:b/>
          <w:sz w:val="22"/>
          <w:szCs w:val="22"/>
        </w:rPr>
        <w:t xml:space="preserve"> Culture:</w:t>
      </w:r>
      <w:r w:rsidRPr="008F6C3F">
        <w:rPr>
          <w:sz w:val="22"/>
          <w:szCs w:val="22"/>
        </w:rPr>
        <w:t xml:space="preserve"> All</w:t>
      </w:r>
      <w:r w:rsidR="002F7A94" w:rsidRPr="008F6C3F">
        <w:rPr>
          <w:sz w:val="22"/>
          <w:szCs w:val="22"/>
        </w:rPr>
        <w:t xml:space="preserve"> insurance claims are </w:t>
      </w:r>
      <w:r w:rsidRPr="008F6C3F">
        <w:rPr>
          <w:sz w:val="22"/>
          <w:szCs w:val="22"/>
        </w:rPr>
        <w:t xml:space="preserve">monitored by Consortium Members </w:t>
      </w:r>
      <w:r w:rsidR="002F7A94" w:rsidRPr="008F6C3F">
        <w:rPr>
          <w:sz w:val="22"/>
          <w:szCs w:val="22"/>
        </w:rPr>
        <w:t>and we would expect that</w:t>
      </w:r>
      <w:r w:rsidRPr="008F6C3F">
        <w:rPr>
          <w:sz w:val="22"/>
          <w:szCs w:val="22"/>
        </w:rPr>
        <w:t xml:space="preserve"> those claims that are accepted are regularly investigated by trained staff internally or external lawyers/loss adjustors. </w:t>
      </w:r>
    </w:p>
    <w:p w14:paraId="0AB26578" w14:textId="73E27622" w:rsidR="004D2423" w:rsidRPr="004D2423" w:rsidRDefault="004D2423" w:rsidP="004D2423">
      <w:pPr>
        <w:pStyle w:val="Level2"/>
        <w:rPr>
          <w:sz w:val="22"/>
          <w:szCs w:val="22"/>
        </w:rPr>
      </w:pPr>
      <w:r w:rsidRPr="004D2423">
        <w:rPr>
          <w:sz w:val="22"/>
          <w:szCs w:val="22"/>
        </w:rPr>
        <w:t>8 of the 9 consortium members are also using the JCAD LACHS system (the market leading insurance and claims system for Local Authorities) for improved management, reporting and monitoring of claims and exposures. By assessing this information and understanding it, further mitigation of risks can take place.</w:t>
      </w:r>
    </w:p>
    <w:p w14:paraId="700F7AA5" w14:textId="3C72A238" w:rsidR="00413515" w:rsidRDefault="00413515" w:rsidP="00413515">
      <w:pPr>
        <w:pStyle w:val="Level2"/>
        <w:rPr>
          <w:sz w:val="22"/>
          <w:szCs w:val="22"/>
        </w:rPr>
      </w:pPr>
      <w:r w:rsidRPr="008F6C3F">
        <w:rPr>
          <w:b/>
          <w:sz w:val="22"/>
          <w:szCs w:val="22"/>
        </w:rPr>
        <w:t>Joint Risk Management Initiatives:</w:t>
      </w:r>
      <w:r w:rsidRPr="008F6C3F">
        <w:rPr>
          <w:sz w:val="22"/>
          <w:szCs w:val="22"/>
        </w:rPr>
        <w:t xml:space="preserve"> As stated above, the principal aim of the ILC is to share best practice in managing risk and develop/deliver projects improving the member’s risk profile.  </w:t>
      </w:r>
      <w:r w:rsidR="002F7A94" w:rsidRPr="008F6C3F">
        <w:rPr>
          <w:sz w:val="22"/>
          <w:szCs w:val="22"/>
        </w:rPr>
        <w:t>T</w:t>
      </w:r>
      <w:r w:rsidRPr="008F6C3F">
        <w:rPr>
          <w:sz w:val="22"/>
          <w:szCs w:val="22"/>
        </w:rPr>
        <w:t xml:space="preserve">here is a direct interest in concentrating on initiatives which reduce exposure to claims, both </w:t>
      </w:r>
      <w:proofErr w:type="spellStart"/>
      <w:r w:rsidRPr="008F6C3F">
        <w:rPr>
          <w:sz w:val="22"/>
          <w:szCs w:val="22"/>
        </w:rPr>
        <w:t>attritional</w:t>
      </w:r>
      <w:proofErr w:type="spellEnd"/>
      <w:r w:rsidRPr="008F6C3F">
        <w:rPr>
          <w:sz w:val="22"/>
          <w:szCs w:val="22"/>
        </w:rPr>
        <w:t xml:space="preserve"> and catastrophic and this work is often done in partnership with our insurers.</w:t>
      </w:r>
    </w:p>
    <w:p w14:paraId="10EDEE57" w14:textId="77777777" w:rsidR="004D2423" w:rsidRPr="004D2423" w:rsidRDefault="004D2423" w:rsidP="004D2423">
      <w:pPr>
        <w:ind w:left="142"/>
        <w:rPr>
          <w:b/>
          <w:sz w:val="22"/>
          <w:szCs w:val="22"/>
        </w:rPr>
      </w:pPr>
      <w:r w:rsidRPr="004D2423">
        <w:rPr>
          <w:b/>
          <w:sz w:val="22"/>
          <w:szCs w:val="22"/>
        </w:rPr>
        <w:t>Recent examples of these initiatives include:</w:t>
      </w:r>
    </w:p>
    <w:p w14:paraId="12DD4810" w14:textId="77777777" w:rsidR="004D2423" w:rsidRPr="004D2423" w:rsidRDefault="004D2423" w:rsidP="004D2423">
      <w:pPr>
        <w:ind w:left="142"/>
        <w:rPr>
          <w:b/>
          <w:sz w:val="22"/>
          <w:szCs w:val="22"/>
        </w:rPr>
      </w:pPr>
    </w:p>
    <w:p w14:paraId="4E225A17" w14:textId="77777777" w:rsidR="004D2423" w:rsidRPr="004D2423" w:rsidRDefault="004D2423" w:rsidP="004D2423">
      <w:pPr>
        <w:pStyle w:val="Level2"/>
        <w:rPr>
          <w:sz w:val="22"/>
          <w:szCs w:val="22"/>
        </w:rPr>
      </w:pPr>
      <w:r w:rsidRPr="004D2423">
        <w:rPr>
          <w:sz w:val="22"/>
          <w:szCs w:val="22"/>
        </w:rPr>
        <w:t>Members participated in ILC Tree Root liaison group in looking to revise the current insurance industry ‘Joint Mitigation Protocol’ in relation to tree root encroachment. This involvement was assisted by the data produces for ILC by the LACHS system.</w:t>
      </w:r>
    </w:p>
    <w:p w14:paraId="16E6FAC0" w14:textId="77777777" w:rsidR="004D2423" w:rsidRPr="004D2423" w:rsidRDefault="004D2423" w:rsidP="004D2423">
      <w:pPr>
        <w:pStyle w:val="Level2"/>
        <w:rPr>
          <w:sz w:val="22"/>
          <w:szCs w:val="22"/>
        </w:rPr>
      </w:pPr>
      <w:r w:rsidRPr="004D2423">
        <w:rPr>
          <w:sz w:val="22"/>
          <w:szCs w:val="22"/>
        </w:rPr>
        <w:t>Highways risk management, in responding to the new code of practice in relation to highways maintenance, the ILC are currently presenting proposals to London Highways Engineering Group and London Technical Advisory Group around establishment of a joint working group to look at minimum standards for London which will help with the defence ability of claims in the future.</w:t>
      </w:r>
    </w:p>
    <w:p w14:paraId="362E5BC9" w14:textId="77777777" w:rsidR="004D2423" w:rsidRPr="004D2423" w:rsidRDefault="004D2423" w:rsidP="004D2423">
      <w:pPr>
        <w:pStyle w:val="Level2"/>
        <w:rPr>
          <w:sz w:val="22"/>
          <w:szCs w:val="22"/>
        </w:rPr>
      </w:pPr>
      <w:r w:rsidRPr="004D2423">
        <w:rPr>
          <w:sz w:val="22"/>
          <w:szCs w:val="22"/>
        </w:rPr>
        <w:t>In the short term the consortium is delivering an annual highways inspector training programme to ensure a common and consistent approach across consortium members.</w:t>
      </w:r>
    </w:p>
    <w:p w14:paraId="2B84052A" w14:textId="77777777" w:rsidR="004D2423" w:rsidRPr="004D2423" w:rsidRDefault="004D2423" w:rsidP="004D2423">
      <w:pPr>
        <w:pStyle w:val="Level2"/>
        <w:rPr>
          <w:sz w:val="22"/>
          <w:szCs w:val="22"/>
        </w:rPr>
      </w:pPr>
      <w:r w:rsidRPr="004D2423">
        <w:rPr>
          <w:sz w:val="22"/>
          <w:szCs w:val="22"/>
        </w:rPr>
        <w:t>Supply chain resilience review.  This is a project delivered in conjunction with our current insurers, analysing supply chain spend across nine boroughs in conjunction with London Councils organisation and London Contracts &amp; Supplies group. This is a great example of inter-agency working to map this particular risk against major suppliers across boroughs boundaries and develop business continuity plans which collectively benefit the consortium members in addressing business interruption exposures which the ILC members have.</w:t>
      </w:r>
    </w:p>
    <w:p w14:paraId="02C6D941" w14:textId="77777777" w:rsidR="004D2423" w:rsidRPr="004D2423" w:rsidRDefault="004D2423" w:rsidP="004D2423">
      <w:pPr>
        <w:pStyle w:val="Level2"/>
        <w:rPr>
          <w:sz w:val="22"/>
          <w:szCs w:val="22"/>
        </w:rPr>
      </w:pPr>
      <w:r w:rsidRPr="004D2423">
        <w:rPr>
          <w:sz w:val="22"/>
          <w:szCs w:val="22"/>
        </w:rPr>
        <w:lastRenderedPageBreak/>
        <w:t>Just one example of the types of initiative introduced as a direct result of data produced by LACHS is Harrow Council installing four-way cameras to its refuse vehicles There are many other such initiatives across the membership</w:t>
      </w:r>
    </w:p>
    <w:p w14:paraId="2189408C" w14:textId="77777777" w:rsidR="004D2423" w:rsidRPr="004D2423" w:rsidRDefault="004D2423" w:rsidP="004D2423">
      <w:pPr>
        <w:pStyle w:val="Level2"/>
        <w:rPr>
          <w:sz w:val="22"/>
          <w:szCs w:val="22"/>
        </w:rPr>
      </w:pPr>
      <w:r w:rsidRPr="004D2423">
        <w:rPr>
          <w:sz w:val="22"/>
          <w:szCs w:val="22"/>
        </w:rPr>
        <w:t>Lastly in relation to Public health integration the ILC worked in partnership with insurers and the NHS litigation authority to understand this risk in relation to contingent medical malpractice and to develop a specific public liability extension.</w:t>
      </w:r>
    </w:p>
    <w:p w14:paraId="297DFB9A" w14:textId="77777777" w:rsidR="004D2423" w:rsidRPr="004D2423" w:rsidRDefault="004D2423" w:rsidP="004D2423">
      <w:pPr>
        <w:ind w:left="142"/>
        <w:rPr>
          <w:b/>
          <w:sz w:val="22"/>
          <w:szCs w:val="22"/>
        </w:rPr>
      </w:pPr>
      <w:r w:rsidRPr="004D2423">
        <w:rPr>
          <w:b/>
          <w:sz w:val="22"/>
          <w:szCs w:val="22"/>
        </w:rPr>
        <w:t>Future plans</w:t>
      </w:r>
    </w:p>
    <w:p w14:paraId="612A0B06" w14:textId="77777777" w:rsidR="004D2423" w:rsidRPr="004D2423" w:rsidRDefault="004D2423" w:rsidP="004D2423">
      <w:pPr>
        <w:ind w:left="142"/>
        <w:rPr>
          <w:b/>
          <w:sz w:val="22"/>
          <w:szCs w:val="22"/>
        </w:rPr>
      </w:pPr>
    </w:p>
    <w:p w14:paraId="24F5DB58" w14:textId="77777777" w:rsidR="004D2423" w:rsidRPr="004D2423" w:rsidRDefault="004D2423" w:rsidP="004D2423">
      <w:pPr>
        <w:pStyle w:val="Level2"/>
        <w:rPr>
          <w:sz w:val="22"/>
          <w:szCs w:val="22"/>
        </w:rPr>
      </w:pPr>
      <w:r w:rsidRPr="004D2423">
        <w:rPr>
          <w:sz w:val="22"/>
          <w:szCs w:val="22"/>
        </w:rPr>
        <w:t>Three areas are currently under review.</w:t>
      </w:r>
    </w:p>
    <w:p w14:paraId="06EC839B" w14:textId="77777777" w:rsidR="004D2423" w:rsidRPr="004D2423" w:rsidRDefault="004D2423" w:rsidP="004D2423">
      <w:pPr>
        <w:ind w:left="142"/>
        <w:rPr>
          <w:b/>
          <w:sz w:val="22"/>
          <w:szCs w:val="22"/>
        </w:rPr>
      </w:pPr>
      <w:r w:rsidRPr="004D2423">
        <w:rPr>
          <w:b/>
          <w:sz w:val="22"/>
          <w:szCs w:val="22"/>
        </w:rPr>
        <w:t>Claims handling protocol for outsourced service provision</w:t>
      </w:r>
    </w:p>
    <w:p w14:paraId="3A819379" w14:textId="77777777" w:rsidR="004D2423" w:rsidRPr="004D2423" w:rsidRDefault="004D2423" w:rsidP="004D2423">
      <w:pPr>
        <w:ind w:left="142"/>
        <w:rPr>
          <w:b/>
          <w:sz w:val="22"/>
          <w:szCs w:val="22"/>
        </w:rPr>
      </w:pPr>
    </w:p>
    <w:p w14:paraId="18034B59" w14:textId="77777777" w:rsidR="004D2423" w:rsidRPr="004D2423" w:rsidRDefault="004D2423" w:rsidP="004D2423">
      <w:pPr>
        <w:pStyle w:val="Level2"/>
        <w:rPr>
          <w:sz w:val="22"/>
          <w:szCs w:val="22"/>
        </w:rPr>
      </w:pPr>
      <w:r w:rsidRPr="004D2423">
        <w:rPr>
          <w:sz w:val="22"/>
          <w:szCs w:val="22"/>
        </w:rPr>
        <w:t>A common problem for local authorities is that whilst outsourcing contracts, for example for highways maintenance, building maintenance, waste management and facilities management will contain indemnity clauses, such agreements are usually silent on who actually handles claims in the event of an insured exposure. The ILC is currently working with their legal panel to develop such a protocol that could be applied equally across these different service provisions.</w:t>
      </w:r>
    </w:p>
    <w:p w14:paraId="516E4642" w14:textId="77777777" w:rsidR="004D2423" w:rsidRPr="004D2423" w:rsidRDefault="004D2423" w:rsidP="004D2423">
      <w:pPr>
        <w:rPr>
          <w:sz w:val="22"/>
          <w:szCs w:val="22"/>
        </w:rPr>
      </w:pPr>
    </w:p>
    <w:p w14:paraId="0E8A4345" w14:textId="77777777" w:rsidR="004D2423" w:rsidRPr="004D2423" w:rsidRDefault="004D2423" w:rsidP="004D2423">
      <w:pPr>
        <w:ind w:left="142"/>
        <w:rPr>
          <w:b/>
          <w:sz w:val="22"/>
          <w:szCs w:val="22"/>
        </w:rPr>
      </w:pPr>
      <w:r w:rsidRPr="004D2423">
        <w:rPr>
          <w:b/>
          <w:sz w:val="22"/>
          <w:szCs w:val="22"/>
        </w:rPr>
        <w:t>Social care/health integration</w:t>
      </w:r>
    </w:p>
    <w:p w14:paraId="69437A1E" w14:textId="77777777" w:rsidR="004D2423" w:rsidRPr="004D2423" w:rsidRDefault="004D2423" w:rsidP="004D2423">
      <w:pPr>
        <w:ind w:left="142"/>
        <w:rPr>
          <w:b/>
          <w:sz w:val="22"/>
          <w:szCs w:val="22"/>
        </w:rPr>
      </w:pPr>
    </w:p>
    <w:p w14:paraId="5CB0B8BF" w14:textId="77777777" w:rsidR="004D2423" w:rsidRPr="004D2423" w:rsidRDefault="004D2423" w:rsidP="004D2423">
      <w:pPr>
        <w:pStyle w:val="Level2"/>
        <w:rPr>
          <w:sz w:val="22"/>
          <w:szCs w:val="22"/>
        </w:rPr>
      </w:pPr>
      <w:r w:rsidRPr="004D2423">
        <w:rPr>
          <w:sz w:val="22"/>
          <w:szCs w:val="22"/>
        </w:rPr>
        <w:t>This is one of the biggest agenda items for the public sector currently. In order to have a more holistic person centred approach to providing social and health care, local authorities are being encouraged to work with their local health partners including in particular the Clinical Commissioning Group. Whilst the approach presents exciting opportunities to provide better and more cohesive services for the individual at lower cost, there are also important risk and insurance issues to define and understand and to respond to appropriately. The ILC sees this piece of work as being a key deliverable for the next 12/18 months.</w:t>
      </w:r>
    </w:p>
    <w:p w14:paraId="02AC6E27" w14:textId="77777777" w:rsidR="004D2423" w:rsidRPr="004D2423" w:rsidRDefault="004D2423" w:rsidP="004D2423">
      <w:pPr>
        <w:rPr>
          <w:sz w:val="22"/>
          <w:szCs w:val="22"/>
        </w:rPr>
      </w:pPr>
    </w:p>
    <w:p w14:paraId="2C0A7DD3" w14:textId="77777777" w:rsidR="004D2423" w:rsidRPr="004D2423" w:rsidRDefault="004D2423" w:rsidP="004D2423">
      <w:pPr>
        <w:ind w:left="142"/>
        <w:rPr>
          <w:b/>
          <w:sz w:val="22"/>
          <w:szCs w:val="22"/>
        </w:rPr>
      </w:pPr>
      <w:r w:rsidRPr="004D2423">
        <w:rPr>
          <w:b/>
          <w:sz w:val="22"/>
          <w:szCs w:val="22"/>
        </w:rPr>
        <w:t>Increased Cost of Working project</w:t>
      </w:r>
    </w:p>
    <w:p w14:paraId="2989CF37" w14:textId="77777777" w:rsidR="004D2423" w:rsidRPr="004D2423" w:rsidRDefault="004D2423" w:rsidP="004D2423">
      <w:pPr>
        <w:ind w:left="142"/>
        <w:rPr>
          <w:b/>
          <w:sz w:val="22"/>
          <w:szCs w:val="22"/>
        </w:rPr>
      </w:pPr>
    </w:p>
    <w:p w14:paraId="782079CF" w14:textId="4C989F63" w:rsidR="004D2423" w:rsidRPr="004D2423" w:rsidRDefault="004D2423" w:rsidP="004D2423">
      <w:pPr>
        <w:pStyle w:val="Level2"/>
        <w:rPr>
          <w:sz w:val="22"/>
          <w:szCs w:val="22"/>
        </w:rPr>
      </w:pPr>
      <w:r w:rsidRPr="004D2423">
        <w:rPr>
          <w:sz w:val="22"/>
          <w:szCs w:val="22"/>
        </w:rPr>
        <w:t>The consortium is currently engaged on a project with current insurers to thoroughly review maximum business interruption exposures and the business continuity plans that underpin the recovery of the organisation should a major loss occur. The consortium believes that this project will add significant value to the consortium and its insurers by understanding in more detail how the organisation could recover rapidly through an up to date review of the rapidly changing picture in relation to home, mobile and flexible working and the ICT technologies that could support and underpin this approach following a major loss.</w:t>
      </w:r>
    </w:p>
    <w:p w14:paraId="5BEC6647" w14:textId="14C61CAE" w:rsidR="00413515" w:rsidRPr="004D2423" w:rsidRDefault="00413515" w:rsidP="00413515">
      <w:pPr>
        <w:pStyle w:val="Level2"/>
        <w:rPr>
          <w:sz w:val="22"/>
          <w:szCs w:val="22"/>
        </w:rPr>
      </w:pPr>
      <w:r w:rsidRPr="008F6C3F">
        <w:rPr>
          <w:b/>
          <w:sz w:val="22"/>
          <w:szCs w:val="22"/>
        </w:rPr>
        <w:t>Cover Harmonisation:</w:t>
      </w:r>
      <w:r w:rsidRPr="008F6C3F">
        <w:rPr>
          <w:sz w:val="22"/>
          <w:szCs w:val="22"/>
        </w:rPr>
        <w:t xml:space="preserve"> Through the working group meetings, there has been a significant move towards greater cover harmonisation</w:t>
      </w:r>
      <w:r w:rsidRPr="00413515">
        <w:rPr>
          <w:szCs w:val="24"/>
        </w:rPr>
        <w:t>.</w:t>
      </w:r>
    </w:p>
    <w:p w14:paraId="256C2C19" w14:textId="77777777" w:rsidR="004D2423" w:rsidRPr="004D2423" w:rsidRDefault="004D2423" w:rsidP="004D2423">
      <w:pPr>
        <w:ind w:left="142"/>
        <w:rPr>
          <w:b/>
          <w:sz w:val="22"/>
          <w:szCs w:val="22"/>
        </w:rPr>
      </w:pPr>
      <w:r w:rsidRPr="004D2423">
        <w:rPr>
          <w:b/>
          <w:sz w:val="22"/>
          <w:szCs w:val="22"/>
        </w:rPr>
        <w:t>Long Term Agreement Application</w:t>
      </w:r>
    </w:p>
    <w:p w14:paraId="41E48F9A" w14:textId="77777777" w:rsidR="004D2423" w:rsidRPr="004D2423" w:rsidRDefault="004D2423" w:rsidP="004D2423">
      <w:pPr>
        <w:ind w:left="142"/>
        <w:rPr>
          <w:b/>
          <w:sz w:val="22"/>
          <w:szCs w:val="22"/>
        </w:rPr>
      </w:pPr>
    </w:p>
    <w:p w14:paraId="217876A4" w14:textId="7A830C58" w:rsidR="004D2423" w:rsidRPr="004D2423" w:rsidRDefault="004D2423" w:rsidP="004D2423">
      <w:pPr>
        <w:pStyle w:val="Level2"/>
        <w:rPr>
          <w:sz w:val="22"/>
          <w:szCs w:val="22"/>
        </w:rPr>
      </w:pPr>
      <w:r w:rsidRPr="004D2423">
        <w:rPr>
          <w:sz w:val="22"/>
          <w:szCs w:val="22"/>
        </w:rPr>
        <w:t xml:space="preserve">This tender is offered on the basis of a consortium award. Five Tenderers will be selected to provide panel cover for all ILC members. It is considered by the ILC that the Long Term agreement will work on a consortium basis. This means </w:t>
      </w:r>
      <w:r w:rsidRPr="004D2423">
        <w:rPr>
          <w:sz w:val="22"/>
          <w:szCs w:val="22"/>
        </w:rPr>
        <w:lastRenderedPageBreak/>
        <w:t>that if the agreement is broken for one member of the ILC, it will be deemed to be broken for all members.</w:t>
      </w:r>
    </w:p>
    <w:p w14:paraId="2DE6B750" w14:textId="77777777" w:rsidR="00413515" w:rsidRPr="00B33817" w:rsidRDefault="00413515" w:rsidP="00B33817">
      <w:pPr>
        <w:rPr>
          <w:szCs w:val="22"/>
        </w:rPr>
      </w:pPr>
    </w:p>
    <w:p w14:paraId="0998BF79" w14:textId="77777777" w:rsidR="00576E36" w:rsidRPr="00923945" w:rsidRDefault="00576E36" w:rsidP="00404F4C">
      <w:pPr>
        <w:pStyle w:val="Level1"/>
        <w:keepNext/>
        <w:rPr>
          <w:b/>
          <w:bCs/>
          <w:caps/>
          <w:sz w:val="22"/>
          <w:szCs w:val="22"/>
        </w:rPr>
      </w:pPr>
      <w:r w:rsidRPr="00923945">
        <w:rPr>
          <w:rStyle w:val="Level1asHeadingtext"/>
          <w:sz w:val="22"/>
          <w:szCs w:val="22"/>
        </w:rPr>
        <w:t>instructions</w:t>
      </w:r>
      <w:r w:rsidR="00FA7898" w:rsidRPr="00923945">
        <w:rPr>
          <w:rStyle w:val="Level1asHeadingtext"/>
          <w:sz w:val="22"/>
          <w:szCs w:val="22"/>
        </w:rPr>
        <w:t xml:space="preserve"> for tendering</w:t>
      </w:r>
    </w:p>
    <w:p w14:paraId="56082988" w14:textId="77777777" w:rsidR="004D2423" w:rsidRPr="00923945" w:rsidRDefault="004D2423" w:rsidP="004D2423">
      <w:pPr>
        <w:pStyle w:val="Level2"/>
        <w:numPr>
          <w:ilvl w:val="1"/>
          <w:numId w:val="1"/>
        </w:numPr>
        <w:rPr>
          <w:sz w:val="22"/>
          <w:szCs w:val="22"/>
        </w:rPr>
      </w:pPr>
      <w:r w:rsidRPr="00923945">
        <w:rPr>
          <w:sz w:val="22"/>
          <w:szCs w:val="22"/>
        </w:rPr>
        <w:t>The successful Service Provider</w:t>
      </w:r>
      <w:r>
        <w:rPr>
          <w:sz w:val="22"/>
          <w:szCs w:val="22"/>
        </w:rPr>
        <w:t>s</w:t>
      </w:r>
      <w:r w:rsidRPr="00923945">
        <w:rPr>
          <w:sz w:val="22"/>
          <w:szCs w:val="22"/>
        </w:rPr>
        <w:t xml:space="preserve"> shall enter into </w:t>
      </w:r>
      <w:r>
        <w:rPr>
          <w:sz w:val="22"/>
          <w:szCs w:val="22"/>
        </w:rPr>
        <w:t>Contract</w:t>
      </w:r>
      <w:r w:rsidRPr="00923945">
        <w:rPr>
          <w:sz w:val="22"/>
          <w:szCs w:val="22"/>
        </w:rPr>
        <w:t xml:space="preserve"> with the </w:t>
      </w:r>
      <w:r>
        <w:rPr>
          <w:sz w:val="22"/>
          <w:szCs w:val="22"/>
        </w:rPr>
        <w:t xml:space="preserve">individual consortium members </w:t>
      </w:r>
      <w:r w:rsidRPr="00923945">
        <w:rPr>
          <w:sz w:val="22"/>
          <w:szCs w:val="22"/>
        </w:rPr>
        <w:t xml:space="preserve">to provide the Services which shall be substantially in the form of the draft contained in </w:t>
      </w:r>
      <w:r>
        <w:rPr>
          <w:sz w:val="22"/>
          <w:szCs w:val="22"/>
        </w:rPr>
        <w:t>Section 10</w:t>
      </w:r>
      <w:r w:rsidRPr="00923945">
        <w:rPr>
          <w:sz w:val="22"/>
          <w:szCs w:val="22"/>
        </w:rPr>
        <w:t xml:space="preserve"> of the Invitation to Tender. Tenderers should note that the Council does not anticipate any changes being made to this form of draft </w:t>
      </w:r>
      <w:r>
        <w:rPr>
          <w:sz w:val="22"/>
          <w:szCs w:val="22"/>
        </w:rPr>
        <w:t>Contract</w:t>
      </w:r>
      <w:r w:rsidRPr="00923945">
        <w:rPr>
          <w:sz w:val="22"/>
          <w:szCs w:val="22"/>
        </w:rPr>
        <w:t xml:space="preserve"> and Tenderers are not invited to suggest any amendments to the </w:t>
      </w:r>
      <w:r>
        <w:rPr>
          <w:sz w:val="22"/>
          <w:szCs w:val="22"/>
        </w:rPr>
        <w:t>Contract</w:t>
      </w:r>
      <w:r w:rsidRPr="00923945">
        <w:rPr>
          <w:sz w:val="22"/>
          <w:szCs w:val="22"/>
        </w:rPr>
        <w:t xml:space="preserve">. It is a condition of this tender process that Tenderers accept and agree to abide by the terms and conditions in the </w:t>
      </w:r>
      <w:r>
        <w:rPr>
          <w:sz w:val="22"/>
          <w:szCs w:val="22"/>
        </w:rPr>
        <w:t>Contract</w:t>
      </w:r>
      <w:r w:rsidRPr="00923945">
        <w:rPr>
          <w:sz w:val="22"/>
          <w:szCs w:val="22"/>
        </w:rPr>
        <w:t xml:space="preserve"> (if successful) and Tenderers are required to confirm this as part of their Tender Response.</w:t>
      </w:r>
    </w:p>
    <w:p w14:paraId="7652FDCE" w14:textId="77777777" w:rsidR="004D2423" w:rsidRPr="004D2423" w:rsidRDefault="004D2423" w:rsidP="004D2423">
      <w:pPr>
        <w:pStyle w:val="Level2"/>
        <w:rPr>
          <w:color w:val="000000"/>
          <w:sz w:val="22"/>
          <w:szCs w:val="22"/>
        </w:rPr>
      </w:pPr>
      <w:r w:rsidRPr="004D2423">
        <w:rPr>
          <w:color w:val="000000"/>
          <w:sz w:val="22"/>
          <w:szCs w:val="22"/>
        </w:rPr>
        <w:t>Any appointment will be subject to the terms and conditions of the Contract.</w:t>
      </w:r>
    </w:p>
    <w:p w14:paraId="35C20363" w14:textId="418DBAE5" w:rsidR="00576E36" w:rsidRPr="00923945" w:rsidRDefault="00576E36" w:rsidP="00AB5CAD">
      <w:pPr>
        <w:pStyle w:val="Level2"/>
        <w:rPr>
          <w:color w:val="000000"/>
          <w:sz w:val="22"/>
          <w:szCs w:val="22"/>
        </w:rPr>
      </w:pPr>
      <w:r w:rsidRPr="00923945">
        <w:rPr>
          <w:color w:val="000000"/>
          <w:sz w:val="22"/>
          <w:szCs w:val="22"/>
        </w:rPr>
        <w:t xml:space="preserve">If, for any reason whatsoever, the </w:t>
      </w:r>
      <w:r w:rsidR="009E742E">
        <w:rPr>
          <w:color w:val="000000"/>
          <w:sz w:val="22"/>
          <w:szCs w:val="22"/>
        </w:rPr>
        <w:t>ILC</w:t>
      </w:r>
      <w:r w:rsidRPr="00923945">
        <w:rPr>
          <w:color w:val="000000"/>
          <w:sz w:val="22"/>
          <w:szCs w:val="22"/>
        </w:rPr>
        <w:t xml:space="preserve"> is of the opinion that a clarification of, amendment to, </w:t>
      </w:r>
      <w:r w:rsidRPr="00923945">
        <w:rPr>
          <w:sz w:val="22"/>
          <w:szCs w:val="22"/>
        </w:rPr>
        <w:t xml:space="preserve">or modification of the </w:t>
      </w:r>
      <w:r w:rsidR="009E207E" w:rsidRPr="00923945">
        <w:rPr>
          <w:sz w:val="22"/>
          <w:szCs w:val="22"/>
        </w:rPr>
        <w:t xml:space="preserve">Invitation to Tender </w:t>
      </w:r>
      <w:r w:rsidRPr="00923945">
        <w:rPr>
          <w:sz w:val="22"/>
          <w:szCs w:val="22"/>
        </w:rPr>
        <w:t xml:space="preserve">and/or timetable for the </w:t>
      </w:r>
      <w:r w:rsidR="00C23B65" w:rsidRPr="00923945">
        <w:rPr>
          <w:sz w:val="22"/>
          <w:szCs w:val="22"/>
        </w:rPr>
        <w:t xml:space="preserve">Competition </w:t>
      </w:r>
      <w:r w:rsidRPr="00923945">
        <w:rPr>
          <w:sz w:val="22"/>
          <w:szCs w:val="22"/>
        </w:rPr>
        <w:t xml:space="preserve">and/or additional information is required to be issued, then the </w:t>
      </w:r>
      <w:r w:rsidR="009E742E">
        <w:rPr>
          <w:sz w:val="22"/>
          <w:szCs w:val="22"/>
        </w:rPr>
        <w:t xml:space="preserve">ILC </w:t>
      </w:r>
      <w:r w:rsidRPr="00923945">
        <w:rPr>
          <w:sz w:val="22"/>
          <w:szCs w:val="22"/>
        </w:rPr>
        <w:t xml:space="preserve">will be entitled to make any such clarification, amendment or modification or provide such additional information at any time, </w:t>
      </w:r>
      <w:r w:rsidRPr="00923945">
        <w:rPr>
          <w:color w:val="000000"/>
          <w:sz w:val="22"/>
          <w:szCs w:val="22"/>
        </w:rPr>
        <w:t xml:space="preserve">in which case these will be issued to all Tenderers via the </w:t>
      </w:r>
      <w:r w:rsidR="00B603DC" w:rsidRPr="00923945">
        <w:rPr>
          <w:color w:val="000000"/>
          <w:sz w:val="22"/>
          <w:szCs w:val="22"/>
        </w:rPr>
        <w:t xml:space="preserve">Council's </w:t>
      </w:r>
      <w:r w:rsidR="006009F6" w:rsidRPr="00923945">
        <w:rPr>
          <w:bCs/>
          <w:sz w:val="22"/>
          <w:szCs w:val="22"/>
          <w:lang w:eastAsia="x-none"/>
        </w:rPr>
        <w:t>e-Tendering Portal</w:t>
      </w:r>
      <w:r w:rsidR="006009F6" w:rsidRPr="00923945">
        <w:rPr>
          <w:color w:val="000000"/>
          <w:sz w:val="22"/>
          <w:szCs w:val="22"/>
        </w:rPr>
        <w:t xml:space="preserve"> </w:t>
      </w:r>
      <w:r w:rsidRPr="00923945">
        <w:rPr>
          <w:color w:val="000000"/>
          <w:sz w:val="22"/>
          <w:szCs w:val="22"/>
        </w:rPr>
        <w:t xml:space="preserve">(please check the messaging link). </w:t>
      </w:r>
      <w:r w:rsidRPr="00923945">
        <w:rPr>
          <w:sz w:val="22"/>
          <w:szCs w:val="22"/>
        </w:rPr>
        <w:t xml:space="preserve">Any such clarifications, amendments, modifications or additional information shall form part of the rules of the </w:t>
      </w:r>
      <w:r w:rsidR="00C23B65" w:rsidRPr="00923945">
        <w:rPr>
          <w:sz w:val="22"/>
          <w:szCs w:val="22"/>
        </w:rPr>
        <w:t xml:space="preserve">Competition </w:t>
      </w:r>
      <w:r w:rsidRPr="00923945">
        <w:rPr>
          <w:color w:val="000000"/>
          <w:sz w:val="22"/>
          <w:szCs w:val="22"/>
        </w:rPr>
        <w:t xml:space="preserve">and will be deemed to form part of the </w:t>
      </w:r>
      <w:r w:rsidR="009E207E" w:rsidRPr="00923945">
        <w:rPr>
          <w:sz w:val="22"/>
          <w:szCs w:val="22"/>
        </w:rPr>
        <w:t xml:space="preserve">Invitation to Tender </w:t>
      </w:r>
      <w:r w:rsidRPr="00923945">
        <w:rPr>
          <w:sz w:val="22"/>
          <w:szCs w:val="22"/>
        </w:rPr>
        <w:t>with which Tenderers are required to comply.</w:t>
      </w:r>
    </w:p>
    <w:p w14:paraId="6F08C0CF" w14:textId="5979CC9D" w:rsidR="00576E36" w:rsidRPr="00923945" w:rsidRDefault="00576E36" w:rsidP="00AB5CAD">
      <w:pPr>
        <w:pStyle w:val="Level2"/>
        <w:rPr>
          <w:color w:val="000000"/>
          <w:sz w:val="22"/>
          <w:szCs w:val="22"/>
        </w:rPr>
      </w:pPr>
      <w:r w:rsidRPr="00923945">
        <w:rPr>
          <w:color w:val="000000"/>
          <w:sz w:val="22"/>
          <w:szCs w:val="22"/>
        </w:rPr>
        <w:t>Tender</w:t>
      </w:r>
      <w:r w:rsidRPr="00923945">
        <w:rPr>
          <w:sz w:val="22"/>
          <w:szCs w:val="22"/>
        </w:rPr>
        <w:t xml:space="preserve"> Responses will be assumed to take account of any such amendments, modifications, clarifications or supplements (unless the </w:t>
      </w:r>
      <w:r w:rsidR="009E742E">
        <w:rPr>
          <w:sz w:val="22"/>
          <w:szCs w:val="22"/>
        </w:rPr>
        <w:t>ILC</w:t>
      </w:r>
      <w:r w:rsidRPr="00923945">
        <w:rPr>
          <w:sz w:val="22"/>
          <w:szCs w:val="22"/>
        </w:rPr>
        <w:t xml:space="preserve">, acting reasonably, </w:t>
      </w:r>
      <w:r w:rsidR="00DD4718" w:rsidRPr="00923945">
        <w:rPr>
          <w:sz w:val="22"/>
          <w:szCs w:val="22"/>
        </w:rPr>
        <w:t>expressly indicates otherwise).</w:t>
      </w:r>
      <w:r w:rsidRPr="00923945">
        <w:rPr>
          <w:sz w:val="22"/>
          <w:szCs w:val="22"/>
        </w:rPr>
        <w:t xml:space="preserve"> Any such amendments, modifications, clarifications or supplements will not necessarily lead to an extension of the deadlines for receipt of </w:t>
      </w:r>
      <w:r w:rsidRPr="00923945">
        <w:rPr>
          <w:color w:val="000000"/>
          <w:sz w:val="22"/>
          <w:szCs w:val="22"/>
        </w:rPr>
        <w:t>Tender</w:t>
      </w:r>
      <w:r w:rsidRPr="00923945">
        <w:rPr>
          <w:sz w:val="22"/>
          <w:szCs w:val="22"/>
        </w:rPr>
        <w:t xml:space="preserve"> Responses. Under no circumstances shall the Council</w:t>
      </w:r>
      <w:r w:rsidR="007A15F2">
        <w:rPr>
          <w:sz w:val="22"/>
          <w:szCs w:val="22"/>
        </w:rPr>
        <w:t>, the ILC</w:t>
      </w:r>
      <w:r w:rsidRPr="00923945">
        <w:rPr>
          <w:sz w:val="22"/>
          <w:szCs w:val="22"/>
        </w:rPr>
        <w:t xml:space="preserve"> or its staff, agents or advisors incur any liability whatsoever or be under any obligation to provide Tenderers with reasons or rationale in respect of such matters.</w:t>
      </w:r>
    </w:p>
    <w:p w14:paraId="3DD9A8DB" w14:textId="77777777" w:rsidR="00576E36" w:rsidRPr="00923945" w:rsidRDefault="00576E36" w:rsidP="00AB5CAD">
      <w:pPr>
        <w:pStyle w:val="Level2"/>
        <w:rPr>
          <w:sz w:val="22"/>
          <w:szCs w:val="22"/>
        </w:rPr>
      </w:pPr>
      <w:r w:rsidRPr="00923945">
        <w:rPr>
          <w:sz w:val="22"/>
          <w:szCs w:val="22"/>
        </w:rPr>
        <w:t xml:space="preserve">Tenderers shall ensure that they are familiar with the extent of the submission requirements as outlined in the </w:t>
      </w:r>
      <w:r w:rsidR="009E207E" w:rsidRPr="00923945">
        <w:rPr>
          <w:sz w:val="22"/>
          <w:szCs w:val="22"/>
        </w:rPr>
        <w:t xml:space="preserve">Invitation to Tender </w:t>
      </w:r>
      <w:r w:rsidRPr="00923945">
        <w:rPr>
          <w:sz w:val="22"/>
          <w:szCs w:val="22"/>
        </w:rPr>
        <w:t>and shall in any event be deemed to have done so before submitting a Tender Response.</w:t>
      </w:r>
    </w:p>
    <w:p w14:paraId="622FA383" w14:textId="04D12029" w:rsidR="00576E36" w:rsidRPr="007A15F2" w:rsidRDefault="00576E36" w:rsidP="00AB5CAD">
      <w:pPr>
        <w:pStyle w:val="Level2"/>
        <w:rPr>
          <w:sz w:val="22"/>
          <w:szCs w:val="22"/>
        </w:rPr>
      </w:pPr>
      <w:r w:rsidRPr="007A15F2">
        <w:rPr>
          <w:sz w:val="22"/>
          <w:szCs w:val="22"/>
        </w:rPr>
        <w:t xml:space="preserve">All information supplied by the </w:t>
      </w:r>
      <w:r w:rsidR="000E06AC" w:rsidRPr="007A15F2">
        <w:rPr>
          <w:sz w:val="22"/>
          <w:szCs w:val="22"/>
        </w:rPr>
        <w:t>ILC</w:t>
      </w:r>
      <w:r w:rsidRPr="007A15F2">
        <w:rPr>
          <w:sz w:val="22"/>
          <w:szCs w:val="22"/>
        </w:rPr>
        <w:t xml:space="preserve"> in connection wi</w:t>
      </w:r>
      <w:r w:rsidR="009E207E" w:rsidRPr="007A15F2">
        <w:rPr>
          <w:sz w:val="22"/>
          <w:szCs w:val="22"/>
        </w:rPr>
        <w:t>th the</w:t>
      </w:r>
      <w:r w:rsidRPr="007A15F2">
        <w:rPr>
          <w:sz w:val="22"/>
          <w:szCs w:val="22"/>
        </w:rPr>
        <w:t xml:space="preserve"> Invitation to Tender, shall be treated as confidential by the Tenderer</w:t>
      </w:r>
      <w:r w:rsidR="000E06AC" w:rsidRPr="007A15F2">
        <w:rPr>
          <w:sz w:val="22"/>
          <w:szCs w:val="22"/>
        </w:rPr>
        <w:t>.</w:t>
      </w:r>
    </w:p>
    <w:p w14:paraId="58A0BD24" w14:textId="77777777" w:rsidR="00576E36" w:rsidRPr="00923945" w:rsidRDefault="00576E36" w:rsidP="00AB5CAD">
      <w:pPr>
        <w:pStyle w:val="Level2"/>
        <w:rPr>
          <w:sz w:val="22"/>
          <w:szCs w:val="22"/>
        </w:rPr>
      </w:pPr>
      <w:r w:rsidRPr="00923945">
        <w:rPr>
          <w:sz w:val="22"/>
          <w:szCs w:val="22"/>
        </w:rPr>
        <w:t xml:space="preserve">Should you </w:t>
      </w:r>
      <w:r w:rsidR="009E207E" w:rsidRPr="00923945">
        <w:rPr>
          <w:sz w:val="22"/>
          <w:szCs w:val="22"/>
        </w:rPr>
        <w:t xml:space="preserve">have any queries regarding the Invitation to Tender, </w:t>
      </w:r>
      <w:r w:rsidRPr="00923945">
        <w:rPr>
          <w:sz w:val="22"/>
          <w:szCs w:val="22"/>
        </w:rPr>
        <w:t xml:space="preserve">please use the messaging link of the Council’s </w:t>
      </w:r>
      <w:r w:rsidR="006009F6" w:rsidRPr="00923945">
        <w:rPr>
          <w:bCs/>
          <w:sz w:val="22"/>
          <w:szCs w:val="22"/>
          <w:lang w:eastAsia="x-none"/>
        </w:rPr>
        <w:t>e-Tendering Portal</w:t>
      </w:r>
      <w:r w:rsidR="006009F6" w:rsidRPr="00923945">
        <w:rPr>
          <w:sz w:val="22"/>
          <w:szCs w:val="22"/>
        </w:rPr>
        <w:t xml:space="preserve"> </w:t>
      </w:r>
      <w:r w:rsidRPr="00923945">
        <w:rPr>
          <w:sz w:val="22"/>
          <w:szCs w:val="22"/>
        </w:rPr>
        <w:t>(www.londontenders.org). The messaging link is found on the right hand side of the contract informat</w:t>
      </w:r>
      <w:r w:rsidR="009552E7" w:rsidRPr="00923945">
        <w:rPr>
          <w:sz w:val="22"/>
          <w:szCs w:val="22"/>
        </w:rPr>
        <w:t>ion page.</w:t>
      </w:r>
    </w:p>
    <w:p w14:paraId="29850524" w14:textId="47B6C574" w:rsidR="00576E36" w:rsidRPr="00923945" w:rsidRDefault="00576E36" w:rsidP="00AB5CAD">
      <w:pPr>
        <w:pStyle w:val="Level2"/>
        <w:rPr>
          <w:sz w:val="22"/>
          <w:szCs w:val="22"/>
        </w:rPr>
      </w:pPr>
      <w:r w:rsidRPr="00923945">
        <w:rPr>
          <w:sz w:val="22"/>
          <w:szCs w:val="22"/>
        </w:rPr>
        <w:t xml:space="preserve">The </w:t>
      </w:r>
      <w:r w:rsidR="009E742E">
        <w:rPr>
          <w:sz w:val="22"/>
          <w:szCs w:val="22"/>
        </w:rPr>
        <w:t>ILC</w:t>
      </w:r>
      <w:r w:rsidRPr="00923945">
        <w:rPr>
          <w:sz w:val="22"/>
          <w:szCs w:val="22"/>
        </w:rPr>
        <w:t xml:space="preserve"> will not consider any request for information or clarification made or submitted by any other means except that detailed in the paragraph </w:t>
      </w:r>
      <w:r w:rsidR="007A15F2">
        <w:rPr>
          <w:sz w:val="22"/>
          <w:szCs w:val="22"/>
        </w:rPr>
        <w:t>2.6</w:t>
      </w:r>
      <w:r w:rsidRPr="00923945">
        <w:rPr>
          <w:sz w:val="22"/>
          <w:szCs w:val="22"/>
        </w:rPr>
        <w:t xml:space="preserve"> above. Enquiries by fax, telephone, email or verbal enquiries will NOT be accepted nor responded to.</w:t>
      </w:r>
    </w:p>
    <w:p w14:paraId="6F23019A" w14:textId="77777777" w:rsidR="00576E36" w:rsidRPr="00923945" w:rsidRDefault="00576E36" w:rsidP="00576E36">
      <w:pPr>
        <w:pStyle w:val="Level2"/>
        <w:rPr>
          <w:sz w:val="22"/>
          <w:szCs w:val="22"/>
        </w:rPr>
      </w:pPr>
      <w:r w:rsidRPr="00923945">
        <w:rPr>
          <w:sz w:val="22"/>
          <w:szCs w:val="22"/>
        </w:rPr>
        <w:lastRenderedPageBreak/>
        <w:t xml:space="preserve">Please note that it is your responsibility to review all previous messages that have been asked and answered as well as any additional information that might have been posted by the Council by clicking on the messages link. There will be an email alert to prompt suppliers to log on to the system when a communication is issued, however, it is recommended that Tenderers </w:t>
      </w:r>
      <w:r w:rsidR="006009F6" w:rsidRPr="00923945">
        <w:rPr>
          <w:sz w:val="22"/>
          <w:szCs w:val="22"/>
        </w:rPr>
        <w:t xml:space="preserve">regularly check the Council’s </w:t>
      </w:r>
      <w:r w:rsidR="006009F6" w:rsidRPr="00923945">
        <w:rPr>
          <w:bCs/>
          <w:sz w:val="22"/>
          <w:szCs w:val="22"/>
          <w:lang w:eastAsia="x-none"/>
        </w:rPr>
        <w:t>e-Tendering Portal</w:t>
      </w:r>
      <w:r w:rsidR="00AB5CAD" w:rsidRPr="00923945">
        <w:rPr>
          <w:sz w:val="22"/>
          <w:szCs w:val="22"/>
        </w:rPr>
        <w:t xml:space="preserve"> for messages and updates.</w:t>
      </w:r>
    </w:p>
    <w:p w14:paraId="2D0174BF" w14:textId="286087B2" w:rsidR="00576E36" w:rsidRPr="00923945" w:rsidRDefault="00576E36" w:rsidP="00AB5CAD">
      <w:pPr>
        <w:pStyle w:val="Level2"/>
        <w:rPr>
          <w:sz w:val="22"/>
          <w:szCs w:val="22"/>
        </w:rPr>
      </w:pPr>
      <w:r w:rsidRPr="00923945">
        <w:rPr>
          <w:sz w:val="22"/>
          <w:szCs w:val="22"/>
        </w:rPr>
        <w:t xml:space="preserve">Tenderers must keep their contact details on the </w:t>
      </w:r>
      <w:r w:rsidR="006009F6" w:rsidRPr="00923945">
        <w:rPr>
          <w:bCs/>
          <w:sz w:val="22"/>
          <w:szCs w:val="22"/>
          <w:lang w:eastAsia="x-none"/>
        </w:rPr>
        <w:t>e-Tendering Portal</w:t>
      </w:r>
      <w:r w:rsidR="006009F6" w:rsidRPr="00923945">
        <w:rPr>
          <w:sz w:val="22"/>
          <w:szCs w:val="22"/>
        </w:rPr>
        <w:t xml:space="preserve"> </w:t>
      </w:r>
      <w:r w:rsidRPr="00923945">
        <w:rPr>
          <w:sz w:val="22"/>
          <w:szCs w:val="22"/>
        </w:rPr>
        <w:t xml:space="preserve">up to date or they will be unable to receive communications from the </w:t>
      </w:r>
      <w:r w:rsidR="009E742E">
        <w:rPr>
          <w:sz w:val="22"/>
          <w:szCs w:val="22"/>
        </w:rPr>
        <w:t>ILC</w:t>
      </w:r>
      <w:r w:rsidRPr="00923945">
        <w:rPr>
          <w:sz w:val="22"/>
          <w:szCs w:val="22"/>
        </w:rPr>
        <w:t>.</w:t>
      </w:r>
    </w:p>
    <w:p w14:paraId="2BE88A58" w14:textId="74D4C53D" w:rsidR="00576E36" w:rsidRPr="00923945" w:rsidRDefault="00576E36" w:rsidP="00AB5CAD">
      <w:pPr>
        <w:pStyle w:val="Level2"/>
        <w:rPr>
          <w:sz w:val="22"/>
          <w:szCs w:val="22"/>
        </w:rPr>
      </w:pPr>
      <w:r w:rsidRPr="00923945">
        <w:rPr>
          <w:sz w:val="22"/>
          <w:szCs w:val="22"/>
        </w:rPr>
        <w:t xml:space="preserve">The </w:t>
      </w:r>
      <w:r w:rsidR="009E742E">
        <w:rPr>
          <w:sz w:val="22"/>
          <w:szCs w:val="22"/>
        </w:rPr>
        <w:t>ILC</w:t>
      </w:r>
      <w:r w:rsidRPr="00923945">
        <w:rPr>
          <w:sz w:val="22"/>
          <w:szCs w:val="22"/>
        </w:rPr>
        <w:t xml:space="preserve"> will not be responsible for contacting Tenderers through any route other than </w:t>
      </w:r>
      <w:r w:rsidR="00AB5CAD" w:rsidRPr="00923945">
        <w:rPr>
          <w:sz w:val="22"/>
          <w:szCs w:val="22"/>
        </w:rPr>
        <w:t>via th</w:t>
      </w:r>
      <w:r w:rsidR="006009F6" w:rsidRPr="00923945">
        <w:rPr>
          <w:sz w:val="22"/>
          <w:szCs w:val="22"/>
        </w:rPr>
        <w:t>e Council’s</w:t>
      </w:r>
      <w:r w:rsidR="006009F6" w:rsidRPr="00923945">
        <w:rPr>
          <w:bCs/>
          <w:sz w:val="22"/>
          <w:szCs w:val="22"/>
          <w:lang w:eastAsia="x-none"/>
        </w:rPr>
        <w:t xml:space="preserve"> e-Tendering Portal</w:t>
      </w:r>
      <w:r w:rsidRPr="00923945">
        <w:rPr>
          <w:sz w:val="22"/>
          <w:szCs w:val="22"/>
        </w:rPr>
        <w:t>.</w:t>
      </w:r>
    </w:p>
    <w:p w14:paraId="13102C56" w14:textId="77777777" w:rsidR="00576E36" w:rsidRPr="00923945" w:rsidRDefault="00576E36" w:rsidP="00AB5CAD">
      <w:pPr>
        <w:pStyle w:val="Level2"/>
        <w:rPr>
          <w:sz w:val="22"/>
          <w:szCs w:val="22"/>
        </w:rPr>
      </w:pPr>
      <w:r w:rsidRPr="00923945">
        <w:rPr>
          <w:sz w:val="22"/>
          <w:szCs w:val="22"/>
        </w:rPr>
        <w:t xml:space="preserve">No Council employee other than the Director of Commissioning and Improvement or their nominated representative has the authority to make any representation or explanation to prospective Tenderers on any matter concerning the tendering process. </w:t>
      </w:r>
    </w:p>
    <w:p w14:paraId="6E8194F7" w14:textId="51932900" w:rsidR="00576E36" w:rsidRPr="00923945" w:rsidRDefault="00D35C8D" w:rsidP="00AB5CAD">
      <w:pPr>
        <w:pStyle w:val="Level2"/>
        <w:rPr>
          <w:sz w:val="22"/>
          <w:szCs w:val="22"/>
        </w:rPr>
      </w:pPr>
      <w:r w:rsidRPr="00923945">
        <w:rPr>
          <w:sz w:val="22"/>
          <w:szCs w:val="22"/>
        </w:rPr>
        <w:t>All messages relating to</w:t>
      </w:r>
      <w:r w:rsidR="00576E36" w:rsidRPr="00923945">
        <w:rPr>
          <w:sz w:val="22"/>
          <w:szCs w:val="22"/>
        </w:rPr>
        <w:t xml:space="preserve"> the </w:t>
      </w:r>
      <w:r w:rsidRPr="00923945">
        <w:rPr>
          <w:sz w:val="22"/>
          <w:szCs w:val="22"/>
        </w:rPr>
        <w:t xml:space="preserve">Invitation to </w:t>
      </w:r>
      <w:r w:rsidR="00576E36" w:rsidRPr="00923945">
        <w:rPr>
          <w:sz w:val="22"/>
          <w:szCs w:val="22"/>
        </w:rPr>
        <w:t xml:space="preserve">Tender will be posted on the Council's </w:t>
      </w:r>
      <w:r w:rsidR="006009F6" w:rsidRPr="00923945">
        <w:rPr>
          <w:bCs/>
          <w:sz w:val="22"/>
          <w:szCs w:val="22"/>
          <w:lang w:eastAsia="x-none"/>
        </w:rPr>
        <w:t>e-Tendering Portal</w:t>
      </w:r>
      <w:r w:rsidR="006009F6" w:rsidRPr="00923945">
        <w:rPr>
          <w:sz w:val="22"/>
          <w:szCs w:val="22"/>
        </w:rPr>
        <w:t xml:space="preserve"> </w:t>
      </w:r>
      <w:r w:rsidR="00576E36" w:rsidRPr="00923945">
        <w:rPr>
          <w:sz w:val="22"/>
          <w:szCs w:val="22"/>
        </w:rPr>
        <w:t xml:space="preserve">for all other Tenderers to see (unless the question is deemed confidential by the </w:t>
      </w:r>
      <w:r w:rsidR="009F02EF">
        <w:rPr>
          <w:sz w:val="22"/>
          <w:szCs w:val="22"/>
        </w:rPr>
        <w:t>ILC</w:t>
      </w:r>
      <w:r w:rsidR="00576E36" w:rsidRPr="00923945">
        <w:rPr>
          <w:sz w:val="22"/>
          <w:szCs w:val="22"/>
        </w:rPr>
        <w:t>).</w:t>
      </w:r>
    </w:p>
    <w:p w14:paraId="7C3CAAA2" w14:textId="04B57A23" w:rsidR="00576E36" w:rsidRPr="008E63C8" w:rsidRDefault="00576E36" w:rsidP="00AB5CAD">
      <w:pPr>
        <w:pStyle w:val="Level2"/>
        <w:rPr>
          <w:sz w:val="22"/>
          <w:szCs w:val="22"/>
        </w:rPr>
      </w:pPr>
      <w:r w:rsidRPr="008E63C8">
        <w:rPr>
          <w:color w:val="000000"/>
          <w:sz w:val="22"/>
          <w:szCs w:val="22"/>
        </w:rPr>
        <w:t xml:space="preserve">If a Tenderer considers its question to be commercially sensitive then the question must be clearly marked "In confidence – not to be circulated to other Tenderers" and the Tenderer must set out the reason for the request for non-disclosure to other Tenderers. The </w:t>
      </w:r>
      <w:r w:rsidR="009F02EF">
        <w:rPr>
          <w:color w:val="000000"/>
          <w:sz w:val="22"/>
          <w:szCs w:val="22"/>
        </w:rPr>
        <w:t>ILC</w:t>
      </w:r>
      <w:r w:rsidRPr="008E63C8">
        <w:rPr>
          <w:color w:val="000000"/>
          <w:sz w:val="22"/>
          <w:szCs w:val="22"/>
        </w:rPr>
        <w:t xml:space="preserve"> will consider this request but where, in the </w:t>
      </w:r>
      <w:r w:rsidR="009F02EF">
        <w:rPr>
          <w:color w:val="000000"/>
          <w:sz w:val="22"/>
          <w:szCs w:val="22"/>
        </w:rPr>
        <w:t>ILC’s</w:t>
      </w:r>
      <w:r w:rsidRPr="008E63C8">
        <w:rPr>
          <w:color w:val="000000"/>
          <w:sz w:val="22"/>
          <w:szCs w:val="22"/>
        </w:rPr>
        <w:t xml:space="preserve"> opinion, it is considered that the request does not relate to commercially sensitive information the Tenderer will be informed that it can either withdraw the request or, if not withdrawn, the request and response will be circulated to al</w:t>
      </w:r>
      <w:r w:rsidR="006009F6" w:rsidRPr="008E63C8">
        <w:rPr>
          <w:color w:val="000000"/>
          <w:sz w:val="22"/>
          <w:szCs w:val="22"/>
        </w:rPr>
        <w:t xml:space="preserve">l Tenderers via the Council's </w:t>
      </w:r>
      <w:r w:rsidR="006009F6" w:rsidRPr="008E63C8">
        <w:rPr>
          <w:bCs/>
          <w:sz w:val="22"/>
          <w:szCs w:val="22"/>
          <w:lang w:eastAsia="x-none"/>
        </w:rPr>
        <w:t>e-Tendering Portal</w:t>
      </w:r>
      <w:r w:rsidRPr="008E63C8">
        <w:rPr>
          <w:color w:val="000000"/>
          <w:sz w:val="22"/>
          <w:szCs w:val="22"/>
        </w:rPr>
        <w:t>.</w:t>
      </w:r>
    </w:p>
    <w:p w14:paraId="3E6B0010" w14:textId="08A2C960" w:rsidR="00576E36" w:rsidRPr="00923945" w:rsidRDefault="00576E36" w:rsidP="00AB5CAD">
      <w:pPr>
        <w:pStyle w:val="Level2"/>
        <w:rPr>
          <w:color w:val="000000"/>
          <w:sz w:val="22"/>
          <w:szCs w:val="22"/>
        </w:rPr>
      </w:pPr>
      <w:r w:rsidRPr="00923945">
        <w:rPr>
          <w:color w:val="000000"/>
          <w:sz w:val="22"/>
          <w:szCs w:val="22"/>
        </w:rPr>
        <w:t>All questions in relation to this tender should be sent by T</w:t>
      </w:r>
      <w:r w:rsidR="006009F6" w:rsidRPr="00923945">
        <w:rPr>
          <w:color w:val="000000"/>
          <w:sz w:val="22"/>
          <w:szCs w:val="22"/>
        </w:rPr>
        <w:t xml:space="preserve">enderers and received via the </w:t>
      </w:r>
      <w:r w:rsidR="006009F6" w:rsidRPr="00923945">
        <w:rPr>
          <w:bCs/>
          <w:sz w:val="22"/>
          <w:szCs w:val="22"/>
          <w:lang w:eastAsia="x-none"/>
        </w:rPr>
        <w:t>e-Tendering Portal</w:t>
      </w:r>
      <w:r w:rsidRPr="00923945">
        <w:rPr>
          <w:color w:val="000000"/>
          <w:sz w:val="22"/>
          <w:szCs w:val="22"/>
        </w:rPr>
        <w:t xml:space="preserve"> no later than </w:t>
      </w:r>
      <w:r w:rsidR="003B1041">
        <w:rPr>
          <w:color w:val="000000"/>
          <w:sz w:val="22"/>
          <w:szCs w:val="22"/>
        </w:rPr>
        <w:t xml:space="preserve">12:00 noon on </w:t>
      </w:r>
      <w:r w:rsidR="007C238C">
        <w:rPr>
          <w:b/>
          <w:color w:val="FF0000"/>
          <w:sz w:val="22"/>
          <w:szCs w:val="22"/>
        </w:rPr>
        <w:t>16 March 2018.</w:t>
      </w:r>
    </w:p>
    <w:p w14:paraId="73164662" w14:textId="4E72B934" w:rsidR="00F84EFD" w:rsidRPr="00F84EFD" w:rsidRDefault="00576E36" w:rsidP="00F84EFD">
      <w:pPr>
        <w:pStyle w:val="Level2"/>
        <w:rPr>
          <w:color w:val="000000"/>
          <w:sz w:val="22"/>
          <w:szCs w:val="22"/>
        </w:rPr>
      </w:pPr>
      <w:r w:rsidRPr="00923945">
        <w:rPr>
          <w:color w:val="000000"/>
          <w:sz w:val="22"/>
          <w:szCs w:val="22"/>
          <w:lang w:val="x-none"/>
        </w:rPr>
        <w:t xml:space="preserve">The </w:t>
      </w:r>
      <w:r w:rsidR="009F02EF">
        <w:rPr>
          <w:color w:val="000000"/>
          <w:sz w:val="22"/>
          <w:szCs w:val="22"/>
        </w:rPr>
        <w:t xml:space="preserve">ILC </w:t>
      </w:r>
      <w:r w:rsidRPr="00923945">
        <w:rPr>
          <w:color w:val="000000"/>
          <w:sz w:val="22"/>
          <w:szCs w:val="22"/>
          <w:lang w:val="x-none"/>
        </w:rPr>
        <w:t xml:space="preserve">will administer and manage the process of evaluating each tender in accordance with the process set out in </w:t>
      </w:r>
      <w:r w:rsidR="009552E7" w:rsidRPr="00923945">
        <w:rPr>
          <w:color w:val="000000"/>
          <w:sz w:val="22"/>
          <w:szCs w:val="22"/>
        </w:rPr>
        <w:t>Paragraph</w:t>
      </w:r>
      <w:r w:rsidR="009552E7" w:rsidRPr="00923945">
        <w:rPr>
          <w:color w:val="000000"/>
          <w:sz w:val="22"/>
          <w:szCs w:val="22"/>
          <w:lang w:val="x-none"/>
        </w:rPr>
        <w:t xml:space="preserve"> </w:t>
      </w:r>
      <w:r w:rsidR="009552E7" w:rsidRPr="00923945">
        <w:rPr>
          <w:color w:val="000000"/>
          <w:sz w:val="22"/>
          <w:szCs w:val="22"/>
        </w:rPr>
        <w:t>2</w:t>
      </w:r>
      <w:r w:rsidR="002B3D3A" w:rsidRPr="00923945">
        <w:rPr>
          <w:color w:val="000000"/>
          <w:sz w:val="22"/>
          <w:szCs w:val="22"/>
        </w:rPr>
        <w:t>1</w:t>
      </w:r>
      <w:r w:rsidR="009552E7" w:rsidRPr="00923945">
        <w:rPr>
          <w:color w:val="000000"/>
          <w:sz w:val="22"/>
          <w:szCs w:val="22"/>
        </w:rPr>
        <w:t xml:space="preserve"> below</w:t>
      </w:r>
      <w:r w:rsidR="009552E7" w:rsidRPr="00923945">
        <w:rPr>
          <w:color w:val="000000"/>
          <w:sz w:val="22"/>
          <w:szCs w:val="22"/>
          <w:lang w:val="x-none"/>
        </w:rPr>
        <w:t xml:space="preserve"> </w:t>
      </w:r>
      <w:r w:rsidRPr="00923945">
        <w:rPr>
          <w:color w:val="000000"/>
          <w:sz w:val="22"/>
          <w:szCs w:val="22"/>
          <w:lang w:val="x-none"/>
        </w:rPr>
        <w:t xml:space="preserve">entitled </w:t>
      </w:r>
      <w:r w:rsidR="009552E7" w:rsidRPr="00923945">
        <w:rPr>
          <w:color w:val="000000"/>
          <w:sz w:val="22"/>
          <w:szCs w:val="22"/>
        </w:rPr>
        <w:t>'</w:t>
      </w:r>
      <w:r w:rsidRPr="00923945">
        <w:rPr>
          <w:color w:val="000000"/>
          <w:sz w:val="22"/>
          <w:szCs w:val="22"/>
          <w:lang w:val="x-none"/>
        </w:rPr>
        <w:t xml:space="preserve">The Tender </w:t>
      </w:r>
      <w:r w:rsidRPr="00923945">
        <w:rPr>
          <w:color w:val="000000"/>
          <w:sz w:val="22"/>
          <w:szCs w:val="22"/>
        </w:rPr>
        <w:t xml:space="preserve">Evaluation </w:t>
      </w:r>
      <w:r w:rsidRPr="00923945">
        <w:rPr>
          <w:color w:val="000000"/>
          <w:sz w:val="22"/>
          <w:szCs w:val="22"/>
          <w:lang w:val="x-none"/>
        </w:rPr>
        <w:t>Process</w:t>
      </w:r>
      <w:r w:rsidR="009552E7" w:rsidRPr="00923945">
        <w:rPr>
          <w:color w:val="000000"/>
          <w:sz w:val="22"/>
          <w:szCs w:val="22"/>
        </w:rPr>
        <w:t>'</w:t>
      </w:r>
      <w:r w:rsidR="009552E7" w:rsidRPr="00923945">
        <w:rPr>
          <w:color w:val="000000"/>
          <w:sz w:val="22"/>
          <w:szCs w:val="22"/>
          <w:lang w:val="x-none"/>
        </w:rPr>
        <w:t>.</w:t>
      </w:r>
    </w:p>
    <w:p w14:paraId="770DDF39" w14:textId="77777777" w:rsidR="00820E2C" w:rsidRPr="00923945" w:rsidRDefault="00820E2C" w:rsidP="00820E2C">
      <w:pPr>
        <w:pStyle w:val="Level2"/>
        <w:numPr>
          <w:ilvl w:val="1"/>
          <w:numId w:val="1"/>
        </w:numPr>
        <w:rPr>
          <w:color w:val="000000"/>
          <w:sz w:val="22"/>
          <w:szCs w:val="22"/>
        </w:rPr>
      </w:pPr>
      <w:r w:rsidRPr="00923945">
        <w:rPr>
          <w:color w:val="000000"/>
          <w:sz w:val="22"/>
          <w:szCs w:val="22"/>
          <w:lang w:val="x-none"/>
        </w:rPr>
        <w:t xml:space="preserve">Unless otherwise specified, capitalised terms used in </w:t>
      </w:r>
      <w:r w:rsidRPr="00923945">
        <w:rPr>
          <w:color w:val="000000"/>
          <w:sz w:val="22"/>
          <w:szCs w:val="22"/>
        </w:rPr>
        <w:t>the Invitation to Tender</w:t>
      </w:r>
      <w:r w:rsidRPr="00923945">
        <w:rPr>
          <w:color w:val="000000"/>
          <w:sz w:val="22"/>
          <w:szCs w:val="22"/>
          <w:lang w:val="x-none"/>
        </w:rPr>
        <w:t xml:space="preserve"> shall have the meanings ascribed to them in the </w:t>
      </w:r>
      <w:r w:rsidRPr="00923945">
        <w:rPr>
          <w:color w:val="000000"/>
          <w:sz w:val="22"/>
          <w:szCs w:val="22"/>
        </w:rPr>
        <w:t xml:space="preserve">draft </w:t>
      </w:r>
      <w:r>
        <w:rPr>
          <w:sz w:val="22"/>
          <w:szCs w:val="22"/>
        </w:rPr>
        <w:t>Contract</w:t>
      </w:r>
    </w:p>
    <w:p w14:paraId="2E622A6F" w14:textId="77777777" w:rsidR="0023302A" w:rsidRPr="00923945" w:rsidRDefault="0023302A" w:rsidP="0023302A">
      <w:pPr>
        <w:pStyle w:val="Level1"/>
        <w:keepNext/>
        <w:tabs>
          <w:tab w:val="num" w:pos="2014"/>
        </w:tabs>
        <w:rPr>
          <w:b/>
          <w:bCs/>
          <w:caps/>
          <w:sz w:val="22"/>
          <w:szCs w:val="22"/>
        </w:rPr>
      </w:pPr>
      <w:r w:rsidRPr="00923945">
        <w:rPr>
          <w:rStyle w:val="Level1asHeadingtext"/>
          <w:sz w:val="22"/>
          <w:szCs w:val="22"/>
        </w:rPr>
        <w:t>Outline Timetable</w:t>
      </w:r>
    </w:p>
    <w:p w14:paraId="0702B10E" w14:textId="2454D248" w:rsidR="0023302A" w:rsidRPr="00923945" w:rsidRDefault="0023302A" w:rsidP="0023302A">
      <w:pPr>
        <w:pStyle w:val="Level2"/>
        <w:tabs>
          <w:tab w:val="num" w:pos="2014"/>
        </w:tabs>
        <w:rPr>
          <w:sz w:val="22"/>
          <w:szCs w:val="22"/>
        </w:rPr>
      </w:pPr>
      <w:r w:rsidRPr="00923945">
        <w:rPr>
          <w:sz w:val="22"/>
          <w:szCs w:val="22"/>
        </w:rPr>
        <w:t xml:space="preserve">An indicative timetable for the conduct of the </w:t>
      </w:r>
      <w:r w:rsidR="00C23B65" w:rsidRPr="00923945">
        <w:rPr>
          <w:sz w:val="22"/>
          <w:szCs w:val="22"/>
        </w:rPr>
        <w:t xml:space="preserve">Competition </w:t>
      </w:r>
      <w:r w:rsidRPr="00923945">
        <w:rPr>
          <w:sz w:val="22"/>
          <w:szCs w:val="22"/>
        </w:rPr>
        <w:t>is set out below. This is inte</w:t>
      </w:r>
      <w:r w:rsidR="008E318A">
        <w:rPr>
          <w:sz w:val="22"/>
          <w:szCs w:val="22"/>
        </w:rPr>
        <w:t>nded as a guide and, whilst the ILC</w:t>
      </w:r>
      <w:r w:rsidRPr="00923945">
        <w:rPr>
          <w:sz w:val="22"/>
          <w:szCs w:val="22"/>
        </w:rPr>
        <w:t xml:space="preserve"> does not intend to depart from the timetable, it reserves the right to do so at any time:</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81"/>
        <w:gridCol w:w="6066"/>
      </w:tblGrid>
      <w:tr w:rsidR="007C238C" w:rsidRPr="007C238C" w14:paraId="5F03B100" w14:textId="77777777" w:rsidTr="007C238C">
        <w:trPr>
          <w:tblHeader/>
        </w:trPr>
        <w:tc>
          <w:tcPr>
            <w:tcW w:w="2581" w:type="dxa"/>
            <w:shd w:val="clear" w:color="auto" w:fill="990099"/>
          </w:tcPr>
          <w:p w14:paraId="6FAA1548" w14:textId="77777777" w:rsidR="007C238C" w:rsidRPr="007C238C" w:rsidRDefault="007C238C" w:rsidP="007C238C">
            <w:pPr>
              <w:autoSpaceDE w:val="0"/>
              <w:autoSpaceDN w:val="0"/>
              <w:rPr>
                <w:b/>
                <w:bCs/>
                <w:iCs/>
                <w:color w:val="FFFFFF" w:themeColor="background1"/>
                <w:sz w:val="22"/>
                <w:szCs w:val="22"/>
                <w:lang w:eastAsia="x-none"/>
              </w:rPr>
            </w:pPr>
            <w:r w:rsidRPr="007C238C">
              <w:rPr>
                <w:b/>
                <w:bCs/>
                <w:iCs/>
                <w:color w:val="FFFFFF" w:themeColor="background1"/>
                <w:sz w:val="22"/>
                <w:szCs w:val="22"/>
                <w:lang w:eastAsia="x-none"/>
              </w:rPr>
              <w:t>Indicative Date</w:t>
            </w:r>
          </w:p>
        </w:tc>
        <w:tc>
          <w:tcPr>
            <w:tcW w:w="6066" w:type="dxa"/>
            <w:shd w:val="clear" w:color="auto" w:fill="990099"/>
          </w:tcPr>
          <w:p w14:paraId="6AFF4B96" w14:textId="77777777" w:rsidR="007C238C" w:rsidRPr="007C238C" w:rsidRDefault="007C238C" w:rsidP="007C238C">
            <w:pPr>
              <w:autoSpaceDE w:val="0"/>
              <w:autoSpaceDN w:val="0"/>
              <w:rPr>
                <w:b/>
                <w:bCs/>
                <w:iCs/>
                <w:color w:val="FFFFFF" w:themeColor="background1"/>
                <w:sz w:val="22"/>
                <w:szCs w:val="22"/>
                <w:lang w:eastAsia="x-none"/>
              </w:rPr>
            </w:pPr>
            <w:r w:rsidRPr="007C238C">
              <w:rPr>
                <w:b/>
                <w:bCs/>
                <w:iCs/>
                <w:color w:val="FFFFFF" w:themeColor="background1"/>
                <w:sz w:val="22"/>
                <w:szCs w:val="22"/>
                <w:lang w:eastAsia="x-none"/>
              </w:rPr>
              <w:t>Activity</w:t>
            </w:r>
          </w:p>
        </w:tc>
      </w:tr>
      <w:tr w:rsidR="007C238C" w:rsidRPr="007C238C" w14:paraId="73C0406A" w14:textId="77777777" w:rsidTr="007C238C">
        <w:tc>
          <w:tcPr>
            <w:tcW w:w="2581" w:type="dxa"/>
            <w:shd w:val="clear" w:color="auto" w:fill="auto"/>
          </w:tcPr>
          <w:p w14:paraId="2BAA426A" w14:textId="77777777" w:rsidR="007C238C" w:rsidRPr="007C238C" w:rsidRDefault="007C238C" w:rsidP="007C238C">
            <w:pPr>
              <w:autoSpaceDE w:val="0"/>
              <w:autoSpaceDN w:val="0"/>
              <w:jc w:val="left"/>
              <w:rPr>
                <w:bCs/>
                <w:iCs/>
                <w:color w:val="000000"/>
                <w:sz w:val="22"/>
                <w:szCs w:val="22"/>
                <w:lang w:eastAsia="x-none"/>
              </w:rPr>
            </w:pPr>
          </w:p>
          <w:p w14:paraId="3DC2A830" w14:textId="340359EB" w:rsidR="007C238C" w:rsidRPr="007C238C" w:rsidRDefault="00DE577B" w:rsidP="007C238C">
            <w:pPr>
              <w:autoSpaceDE w:val="0"/>
              <w:autoSpaceDN w:val="0"/>
              <w:jc w:val="left"/>
              <w:rPr>
                <w:bCs/>
                <w:iCs/>
                <w:color w:val="000000"/>
                <w:sz w:val="22"/>
                <w:szCs w:val="22"/>
                <w:lang w:eastAsia="x-none"/>
              </w:rPr>
            </w:pPr>
            <w:r>
              <w:rPr>
                <w:bCs/>
                <w:iCs/>
                <w:color w:val="000000"/>
                <w:sz w:val="22"/>
                <w:szCs w:val="22"/>
                <w:lang w:eastAsia="x-none"/>
              </w:rPr>
              <w:t>11</w:t>
            </w:r>
            <w:r w:rsidR="007C238C" w:rsidRPr="007C238C">
              <w:rPr>
                <w:bCs/>
                <w:iCs/>
                <w:color w:val="000000"/>
                <w:sz w:val="22"/>
                <w:szCs w:val="22"/>
                <w:lang w:eastAsia="x-none"/>
              </w:rPr>
              <w:t xml:space="preserve"> January 2018</w:t>
            </w:r>
          </w:p>
        </w:tc>
        <w:tc>
          <w:tcPr>
            <w:tcW w:w="6066" w:type="dxa"/>
            <w:shd w:val="clear" w:color="auto" w:fill="auto"/>
          </w:tcPr>
          <w:p w14:paraId="6FBAFE72" w14:textId="77777777" w:rsidR="007C238C" w:rsidRPr="007C238C" w:rsidRDefault="007C238C" w:rsidP="007C238C">
            <w:pPr>
              <w:tabs>
                <w:tab w:val="center" w:pos="4320"/>
                <w:tab w:val="right" w:pos="8640"/>
              </w:tabs>
              <w:spacing w:before="120" w:after="120"/>
              <w:rPr>
                <w:sz w:val="22"/>
                <w:szCs w:val="22"/>
              </w:rPr>
            </w:pPr>
            <w:r w:rsidRPr="007C238C">
              <w:rPr>
                <w:sz w:val="22"/>
                <w:szCs w:val="22"/>
              </w:rPr>
              <w:t>Contract notice dispatched and the Selection Questionnaire (SQ) pack, Invitation To Tender and Contract documents made available electronically</w:t>
            </w:r>
          </w:p>
        </w:tc>
      </w:tr>
      <w:tr w:rsidR="007C238C" w:rsidRPr="007C238C" w14:paraId="1E899BF4" w14:textId="77777777" w:rsidTr="007C238C">
        <w:tc>
          <w:tcPr>
            <w:tcW w:w="2581" w:type="dxa"/>
            <w:shd w:val="clear" w:color="auto" w:fill="auto"/>
          </w:tcPr>
          <w:p w14:paraId="31741D04" w14:textId="2F0F6DD8" w:rsidR="007C238C" w:rsidRPr="007C238C" w:rsidRDefault="007C238C" w:rsidP="008C5AE2">
            <w:pPr>
              <w:autoSpaceDE w:val="0"/>
              <w:autoSpaceDN w:val="0"/>
              <w:jc w:val="left"/>
              <w:rPr>
                <w:bCs/>
                <w:iCs/>
                <w:color w:val="000000"/>
                <w:sz w:val="22"/>
                <w:szCs w:val="22"/>
                <w:lang w:eastAsia="x-none"/>
              </w:rPr>
            </w:pPr>
            <w:r w:rsidRPr="007C238C">
              <w:rPr>
                <w:bCs/>
                <w:iCs/>
                <w:color w:val="000000"/>
                <w:sz w:val="22"/>
                <w:szCs w:val="22"/>
                <w:lang w:eastAsia="x-none"/>
              </w:rPr>
              <w:t xml:space="preserve">12:00 pm, </w:t>
            </w:r>
            <w:r w:rsidR="008C5AE2">
              <w:rPr>
                <w:bCs/>
                <w:iCs/>
                <w:color w:val="000000"/>
                <w:sz w:val="22"/>
                <w:szCs w:val="22"/>
                <w:lang w:eastAsia="x-none"/>
              </w:rPr>
              <w:t>2 February</w:t>
            </w:r>
            <w:r w:rsidRPr="007C238C">
              <w:rPr>
                <w:bCs/>
                <w:iCs/>
                <w:color w:val="000000"/>
                <w:sz w:val="22"/>
                <w:szCs w:val="22"/>
                <w:lang w:eastAsia="x-none"/>
              </w:rPr>
              <w:t xml:space="preserve"> 2018</w:t>
            </w:r>
          </w:p>
        </w:tc>
        <w:tc>
          <w:tcPr>
            <w:tcW w:w="6066" w:type="dxa"/>
            <w:shd w:val="clear" w:color="auto" w:fill="auto"/>
          </w:tcPr>
          <w:p w14:paraId="4E89FBB1" w14:textId="77777777" w:rsidR="007C238C" w:rsidRPr="007C238C" w:rsidRDefault="007C238C" w:rsidP="007C238C">
            <w:pPr>
              <w:tabs>
                <w:tab w:val="center" w:pos="4320"/>
                <w:tab w:val="right" w:pos="8640"/>
              </w:tabs>
              <w:spacing w:before="120" w:after="120"/>
              <w:rPr>
                <w:sz w:val="22"/>
                <w:szCs w:val="22"/>
              </w:rPr>
            </w:pPr>
            <w:r w:rsidRPr="007C238C">
              <w:rPr>
                <w:sz w:val="22"/>
                <w:szCs w:val="22"/>
              </w:rPr>
              <w:t>Deadline for SQ clarification questions to be submitted by Potential Suppliers via the Council’s e-Tendering Portal</w:t>
            </w:r>
          </w:p>
        </w:tc>
      </w:tr>
      <w:tr w:rsidR="007C238C" w:rsidRPr="007C238C" w14:paraId="4556B9FA" w14:textId="77777777" w:rsidTr="007C238C">
        <w:tc>
          <w:tcPr>
            <w:tcW w:w="2581" w:type="dxa"/>
            <w:shd w:val="clear" w:color="auto" w:fill="auto"/>
          </w:tcPr>
          <w:p w14:paraId="2030B3A3" w14:textId="6D42A124" w:rsidR="007C238C" w:rsidRPr="007C238C" w:rsidRDefault="00DE577B" w:rsidP="007C238C">
            <w:pPr>
              <w:autoSpaceDE w:val="0"/>
              <w:autoSpaceDN w:val="0"/>
              <w:jc w:val="left"/>
              <w:rPr>
                <w:bCs/>
                <w:iCs/>
                <w:color w:val="000000"/>
                <w:sz w:val="22"/>
                <w:szCs w:val="22"/>
                <w:lang w:eastAsia="x-none"/>
              </w:rPr>
            </w:pPr>
            <w:r>
              <w:rPr>
                <w:bCs/>
                <w:iCs/>
                <w:color w:val="000000"/>
                <w:sz w:val="22"/>
                <w:szCs w:val="22"/>
                <w:lang w:eastAsia="x-none"/>
              </w:rPr>
              <w:lastRenderedPageBreak/>
              <w:t>12:00 pm, 12</w:t>
            </w:r>
            <w:r w:rsidR="007C238C" w:rsidRPr="007C238C">
              <w:rPr>
                <w:bCs/>
                <w:iCs/>
                <w:color w:val="000000"/>
                <w:sz w:val="22"/>
                <w:szCs w:val="22"/>
                <w:lang w:eastAsia="x-none"/>
              </w:rPr>
              <w:t xml:space="preserve"> February 2018</w:t>
            </w:r>
          </w:p>
        </w:tc>
        <w:tc>
          <w:tcPr>
            <w:tcW w:w="6066" w:type="dxa"/>
            <w:shd w:val="clear" w:color="auto" w:fill="auto"/>
          </w:tcPr>
          <w:p w14:paraId="07683F72" w14:textId="77777777" w:rsidR="007C238C" w:rsidRPr="007C238C" w:rsidRDefault="007C238C" w:rsidP="007C238C">
            <w:pPr>
              <w:tabs>
                <w:tab w:val="center" w:pos="4320"/>
                <w:tab w:val="right" w:pos="8640"/>
              </w:tabs>
              <w:spacing w:before="120" w:after="120"/>
              <w:rPr>
                <w:sz w:val="22"/>
                <w:szCs w:val="22"/>
              </w:rPr>
            </w:pPr>
            <w:r w:rsidRPr="007C238C">
              <w:rPr>
                <w:sz w:val="22"/>
                <w:szCs w:val="22"/>
              </w:rPr>
              <w:t>Deadline for SQ submission</w:t>
            </w:r>
          </w:p>
        </w:tc>
      </w:tr>
      <w:tr w:rsidR="007C238C" w:rsidRPr="007C238C" w14:paraId="301F9D2D" w14:textId="77777777" w:rsidTr="007C238C">
        <w:tc>
          <w:tcPr>
            <w:tcW w:w="2581" w:type="dxa"/>
            <w:shd w:val="clear" w:color="auto" w:fill="auto"/>
          </w:tcPr>
          <w:p w14:paraId="2B298330" w14:textId="421796C1" w:rsidR="007C238C" w:rsidRPr="007C238C" w:rsidRDefault="00DE577B" w:rsidP="007C238C">
            <w:pPr>
              <w:autoSpaceDE w:val="0"/>
              <w:autoSpaceDN w:val="0"/>
              <w:jc w:val="left"/>
              <w:rPr>
                <w:bCs/>
                <w:iCs/>
                <w:color w:val="000000"/>
                <w:sz w:val="22"/>
                <w:szCs w:val="22"/>
                <w:lang w:eastAsia="x-none"/>
              </w:rPr>
            </w:pPr>
            <w:r>
              <w:rPr>
                <w:bCs/>
                <w:iCs/>
                <w:color w:val="000000"/>
                <w:sz w:val="22"/>
                <w:szCs w:val="22"/>
                <w:lang w:eastAsia="x-none"/>
              </w:rPr>
              <w:t>12</w:t>
            </w:r>
            <w:r w:rsidR="005770A0">
              <w:rPr>
                <w:bCs/>
                <w:iCs/>
                <w:color w:val="000000"/>
                <w:sz w:val="22"/>
                <w:szCs w:val="22"/>
                <w:lang w:eastAsia="x-none"/>
              </w:rPr>
              <w:t xml:space="preserve">- </w:t>
            </w:r>
            <w:r w:rsidR="007C238C" w:rsidRPr="007C238C">
              <w:rPr>
                <w:bCs/>
                <w:iCs/>
                <w:color w:val="000000"/>
                <w:sz w:val="22"/>
                <w:szCs w:val="22"/>
                <w:lang w:eastAsia="x-none"/>
              </w:rPr>
              <w:t>19 February 2018</w:t>
            </w:r>
          </w:p>
        </w:tc>
        <w:tc>
          <w:tcPr>
            <w:tcW w:w="6066" w:type="dxa"/>
            <w:shd w:val="clear" w:color="auto" w:fill="auto"/>
          </w:tcPr>
          <w:p w14:paraId="729A9A55" w14:textId="77777777" w:rsidR="007C238C" w:rsidRPr="007C238C" w:rsidRDefault="007C238C" w:rsidP="007C238C">
            <w:pPr>
              <w:tabs>
                <w:tab w:val="center" w:pos="4320"/>
                <w:tab w:val="right" w:pos="8640"/>
              </w:tabs>
              <w:spacing w:before="120" w:after="120"/>
              <w:rPr>
                <w:sz w:val="22"/>
                <w:szCs w:val="22"/>
              </w:rPr>
            </w:pPr>
            <w:r w:rsidRPr="007C238C">
              <w:rPr>
                <w:sz w:val="22"/>
                <w:szCs w:val="22"/>
              </w:rPr>
              <w:t>Evaluation of SQ</w:t>
            </w:r>
          </w:p>
        </w:tc>
      </w:tr>
      <w:tr w:rsidR="007C238C" w:rsidRPr="007C238C" w14:paraId="3DA42E8D" w14:textId="77777777" w:rsidTr="007C238C">
        <w:tc>
          <w:tcPr>
            <w:tcW w:w="2581" w:type="dxa"/>
            <w:shd w:val="clear" w:color="auto" w:fill="auto"/>
          </w:tcPr>
          <w:p w14:paraId="47DD8936" w14:textId="77777777" w:rsidR="007C238C" w:rsidRPr="007C238C" w:rsidRDefault="007C238C" w:rsidP="007C238C">
            <w:pPr>
              <w:autoSpaceDE w:val="0"/>
              <w:autoSpaceDN w:val="0"/>
              <w:jc w:val="left"/>
              <w:rPr>
                <w:bCs/>
                <w:iCs/>
                <w:color w:val="000000"/>
                <w:sz w:val="22"/>
                <w:szCs w:val="22"/>
                <w:lang w:eastAsia="x-none"/>
              </w:rPr>
            </w:pPr>
            <w:r w:rsidRPr="007C238C">
              <w:rPr>
                <w:bCs/>
                <w:iCs/>
                <w:color w:val="000000"/>
                <w:sz w:val="22"/>
                <w:szCs w:val="22"/>
                <w:lang w:eastAsia="x-none"/>
              </w:rPr>
              <w:t>23 February 2018</w:t>
            </w:r>
          </w:p>
        </w:tc>
        <w:tc>
          <w:tcPr>
            <w:tcW w:w="6066" w:type="dxa"/>
            <w:shd w:val="clear" w:color="auto" w:fill="auto"/>
          </w:tcPr>
          <w:p w14:paraId="18E5A97F" w14:textId="77777777" w:rsidR="007C238C" w:rsidRPr="007C238C" w:rsidRDefault="007C238C" w:rsidP="007C238C">
            <w:pPr>
              <w:tabs>
                <w:tab w:val="center" w:pos="4320"/>
                <w:tab w:val="right" w:pos="8640"/>
              </w:tabs>
              <w:spacing w:before="120" w:after="120"/>
              <w:rPr>
                <w:sz w:val="22"/>
                <w:szCs w:val="22"/>
              </w:rPr>
            </w:pPr>
            <w:r w:rsidRPr="007C238C">
              <w:rPr>
                <w:sz w:val="22"/>
                <w:szCs w:val="22"/>
              </w:rPr>
              <w:t>Notification of SQ outcome</w:t>
            </w:r>
          </w:p>
        </w:tc>
      </w:tr>
      <w:tr w:rsidR="007C238C" w:rsidRPr="007C238C" w14:paraId="66B5CC61" w14:textId="77777777" w:rsidTr="007C238C">
        <w:tc>
          <w:tcPr>
            <w:tcW w:w="2581" w:type="dxa"/>
            <w:shd w:val="clear" w:color="auto" w:fill="990099"/>
          </w:tcPr>
          <w:p w14:paraId="5E9AA0A7" w14:textId="77777777" w:rsidR="007C238C" w:rsidRPr="007C238C" w:rsidRDefault="007C238C" w:rsidP="007C238C">
            <w:pPr>
              <w:autoSpaceDE w:val="0"/>
              <w:autoSpaceDN w:val="0"/>
              <w:jc w:val="left"/>
              <w:rPr>
                <w:bCs/>
                <w:iCs/>
                <w:color w:val="FFFFFF" w:themeColor="background1"/>
                <w:sz w:val="22"/>
                <w:szCs w:val="22"/>
                <w:lang w:eastAsia="x-none"/>
              </w:rPr>
            </w:pPr>
            <w:r w:rsidRPr="007C238C">
              <w:rPr>
                <w:bCs/>
                <w:iCs/>
                <w:color w:val="FFFFFF" w:themeColor="background1"/>
                <w:sz w:val="22"/>
                <w:szCs w:val="22"/>
                <w:lang w:eastAsia="x-none"/>
              </w:rPr>
              <w:t>Invitation to Tender</w:t>
            </w:r>
          </w:p>
        </w:tc>
        <w:tc>
          <w:tcPr>
            <w:tcW w:w="6066" w:type="dxa"/>
            <w:shd w:val="clear" w:color="auto" w:fill="990099"/>
          </w:tcPr>
          <w:p w14:paraId="6D1200CE" w14:textId="77777777" w:rsidR="007C238C" w:rsidRPr="007C238C" w:rsidRDefault="007C238C" w:rsidP="007C238C">
            <w:pPr>
              <w:tabs>
                <w:tab w:val="center" w:pos="4320"/>
                <w:tab w:val="right" w:pos="8640"/>
              </w:tabs>
              <w:spacing w:before="120" w:after="120"/>
              <w:rPr>
                <w:color w:val="FFFFFF" w:themeColor="background1"/>
                <w:sz w:val="22"/>
                <w:szCs w:val="22"/>
              </w:rPr>
            </w:pPr>
          </w:p>
        </w:tc>
      </w:tr>
      <w:tr w:rsidR="007C238C" w:rsidRPr="007C238C" w14:paraId="2A9D8F94" w14:textId="77777777" w:rsidTr="007C238C">
        <w:tc>
          <w:tcPr>
            <w:tcW w:w="2581" w:type="dxa"/>
            <w:shd w:val="clear" w:color="auto" w:fill="auto"/>
          </w:tcPr>
          <w:p w14:paraId="11F39164" w14:textId="77777777" w:rsidR="007C238C" w:rsidRPr="007C238C" w:rsidRDefault="007C238C" w:rsidP="007C238C">
            <w:pPr>
              <w:autoSpaceDE w:val="0"/>
              <w:autoSpaceDN w:val="0"/>
              <w:jc w:val="left"/>
              <w:rPr>
                <w:bCs/>
                <w:iCs/>
                <w:sz w:val="22"/>
                <w:szCs w:val="22"/>
                <w:lang w:eastAsia="x-none"/>
              </w:rPr>
            </w:pPr>
            <w:r w:rsidRPr="007C238C">
              <w:rPr>
                <w:bCs/>
                <w:iCs/>
                <w:color w:val="000000"/>
                <w:sz w:val="22"/>
                <w:szCs w:val="22"/>
                <w:lang w:eastAsia="x-none"/>
              </w:rPr>
              <w:t>12:00pm, 16 March 2018</w:t>
            </w:r>
          </w:p>
        </w:tc>
        <w:tc>
          <w:tcPr>
            <w:tcW w:w="6066" w:type="dxa"/>
            <w:shd w:val="clear" w:color="auto" w:fill="auto"/>
          </w:tcPr>
          <w:p w14:paraId="481D644C" w14:textId="60CF51B6" w:rsidR="007C238C" w:rsidRPr="007C238C" w:rsidRDefault="007C238C" w:rsidP="007C238C">
            <w:pPr>
              <w:autoSpaceDE w:val="0"/>
              <w:autoSpaceDN w:val="0"/>
              <w:rPr>
                <w:bCs/>
                <w:iCs/>
                <w:sz w:val="22"/>
                <w:szCs w:val="22"/>
                <w:lang w:eastAsia="x-none"/>
              </w:rPr>
            </w:pPr>
            <w:r w:rsidRPr="007C238C">
              <w:rPr>
                <w:bCs/>
                <w:iCs/>
                <w:sz w:val="22"/>
                <w:szCs w:val="22"/>
                <w:lang w:eastAsia="x-none"/>
              </w:rPr>
              <w:t xml:space="preserve">Deadline for </w:t>
            </w:r>
            <w:r w:rsidR="00E710A2">
              <w:rPr>
                <w:bCs/>
                <w:iCs/>
                <w:sz w:val="22"/>
                <w:szCs w:val="22"/>
                <w:lang w:eastAsia="x-none"/>
              </w:rPr>
              <w:t xml:space="preserve">Tender </w:t>
            </w:r>
            <w:r w:rsidRPr="007C238C">
              <w:rPr>
                <w:bCs/>
                <w:iCs/>
                <w:sz w:val="22"/>
                <w:szCs w:val="22"/>
                <w:lang w:eastAsia="x-none"/>
              </w:rPr>
              <w:t>clarification questions to be submitted by Tenderers via the Council’s e-Tendering Portal</w:t>
            </w:r>
          </w:p>
        </w:tc>
      </w:tr>
      <w:tr w:rsidR="007C238C" w:rsidRPr="007C238C" w14:paraId="383815C7" w14:textId="77777777" w:rsidTr="007C238C">
        <w:tc>
          <w:tcPr>
            <w:tcW w:w="2581" w:type="dxa"/>
            <w:shd w:val="clear" w:color="auto" w:fill="auto"/>
          </w:tcPr>
          <w:p w14:paraId="7999DDAE" w14:textId="77777777" w:rsidR="007C238C" w:rsidRPr="007C238C" w:rsidRDefault="007C238C" w:rsidP="007C238C">
            <w:pPr>
              <w:autoSpaceDE w:val="0"/>
              <w:autoSpaceDN w:val="0"/>
              <w:jc w:val="left"/>
              <w:rPr>
                <w:bCs/>
                <w:iCs/>
                <w:sz w:val="22"/>
                <w:szCs w:val="22"/>
                <w:lang w:eastAsia="x-none"/>
              </w:rPr>
            </w:pPr>
            <w:r w:rsidRPr="007C238C">
              <w:rPr>
                <w:bCs/>
                <w:iCs/>
                <w:color w:val="000000"/>
                <w:sz w:val="22"/>
                <w:szCs w:val="22"/>
                <w:lang w:eastAsia="x-none"/>
              </w:rPr>
              <w:t>12:00 pm, 26 March 2018</w:t>
            </w:r>
          </w:p>
        </w:tc>
        <w:tc>
          <w:tcPr>
            <w:tcW w:w="6066" w:type="dxa"/>
            <w:shd w:val="clear" w:color="auto" w:fill="auto"/>
          </w:tcPr>
          <w:p w14:paraId="1EDA4FE7"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Tender return date and time (the "</w:t>
            </w:r>
            <w:r w:rsidRPr="007C238C">
              <w:rPr>
                <w:b/>
                <w:bCs/>
                <w:iCs/>
                <w:sz w:val="22"/>
                <w:szCs w:val="22"/>
                <w:lang w:eastAsia="x-none"/>
              </w:rPr>
              <w:t>Deadline</w:t>
            </w:r>
            <w:r w:rsidRPr="007C238C">
              <w:rPr>
                <w:bCs/>
                <w:iCs/>
                <w:sz w:val="22"/>
                <w:szCs w:val="22"/>
                <w:lang w:eastAsia="x-none"/>
              </w:rPr>
              <w:t>")</w:t>
            </w:r>
          </w:p>
        </w:tc>
      </w:tr>
      <w:tr w:rsidR="007C238C" w:rsidRPr="007C238C" w14:paraId="0B1BE89E" w14:textId="77777777" w:rsidTr="007C238C">
        <w:tc>
          <w:tcPr>
            <w:tcW w:w="2581" w:type="dxa"/>
            <w:shd w:val="clear" w:color="auto" w:fill="auto"/>
          </w:tcPr>
          <w:p w14:paraId="5AA84A5C" w14:textId="469C064F" w:rsidR="007C238C" w:rsidRPr="007C238C" w:rsidRDefault="008C5AE2" w:rsidP="007C238C">
            <w:pPr>
              <w:autoSpaceDE w:val="0"/>
              <w:autoSpaceDN w:val="0"/>
              <w:jc w:val="left"/>
              <w:rPr>
                <w:bCs/>
                <w:iCs/>
                <w:color w:val="000090"/>
                <w:sz w:val="22"/>
                <w:szCs w:val="22"/>
                <w:lang w:eastAsia="x-none"/>
              </w:rPr>
            </w:pPr>
            <w:r>
              <w:rPr>
                <w:bCs/>
                <w:iCs/>
                <w:color w:val="000000"/>
                <w:sz w:val="22"/>
                <w:szCs w:val="22"/>
                <w:lang w:eastAsia="x-none"/>
              </w:rPr>
              <w:t>26 March – 13</w:t>
            </w:r>
            <w:r w:rsidR="007C238C" w:rsidRPr="007C238C">
              <w:rPr>
                <w:bCs/>
                <w:iCs/>
                <w:color w:val="000000"/>
                <w:sz w:val="22"/>
                <w:szCs w:val="22"/>
                <w:lang w:eastAsia="x-none"/>
              </w:rPr>
              <w:t xml:space="preserve"> April 2018</w:t>
            </w:r>
          </w:p>
        </w:tc>
        <w:tc>
          <w:tcPr>
            <w:tcW w:w="6066" w:type="dxa"/>
            <w:shd w:val="clear" w:color="auto" w:fill="auto"/>
          </w:tcPr>
          <w:p w14:paraId="053987D0"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Evaluation of tenders (including clarification interviews if required)</w:t>
            </w:r>
          </w:p>
        </w:tc>
      </w:tr>
      <w:tr w:rsidR="007C238C" w:rsidRPr="007C238C" w14:paraId="7C24A9F1" w14:textId="77777777" w:rsidTr="007C238C">
        <w:tc>
          <w:tcPr>
            <w:tcW w:w="2581" w:type="dxa"/>
            <w:shd w:val="clear" w:color="auto" w:fill="auto"/>
          </w:tcPr>
          <w:p w14:paraId="48B7B5C3" w14:textId="578E9659" w:rsidR="007C238C" w:rsidRPr="007C238C" w:rsidRDefault="008C5AE2" w:rsidP="007C238C">
            <w:pPr>
              <w:autoSpaceDE w:val="0"/>
              <w:autoSpaceDN w:val="0"/>
              <w:jc w:val="left"/>
              <w:rPr>
                <w:bCs/>
                <w:iCs/>
                <w:color w:val="000000"/>
                <w:sz w:val="22"/>
                <w:szCs w:val="22"/>
                <w:lang w:eastAsia="x-none"/>
              </w:rPr>
            </w:pPr>
            <w:r>
              <w:rPr>
                <w:bCs/>
                <w:iCs/>
                <w:color w:val="000000"/>
                <w:sz w:val="22"/>
                <w:szCs w:val="22"/>
                <w:lang w:eastAsia="x-none"/>
              </w:rPr>
              <w:t xml:space="preserve">12 &amp; 13 </w:t>
            </w:r>
            <w:r w:rsidR="007C238C" w:rsidRPr="007C238C">
              <w:rPr>
                <w:bCs/>
                <w:iCs/>
                <w:color w:val="000000"/>
                <w:sz w:val="22"/>
                <w:szCs w:val="22"/>
                <w:lang w:eastAsia="x-none"/>
              </w:rPr>
              <w:t>April 2018</w:t>
            </w:r>
          </w:p>
        </w:tc>
        <w:tc>
          <w:tcPr>
            <w:tcW w:w="6066" w:type="dxa"/>
            <w:shd w:val="clear" w:color="auto" w:fill="auto"/>
          </w:tcPr>
          <w:p w14:paraId="4AC4D4CD"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Presentations</w:t>
            </w:r>
          </w:p>
        </w:tc>
      </w:tr>
      <w:tr w:rsidR="007C238C" w:rsidRPr="007C238C" w14:paraId="5C5CC049" w14:textId="77777777" w:rsidTr="007C238C">
        <w:tc>
          <w:tcPr>
            <w:tcW w:w="2581" w:type="dxa"/>
            <w:shd w:val="clear" w:color="auto" w:fill="auto"/>
          </w:tcPr>
          <w:p w14:paraId="25986ADA" w14:textId="77777777" w:rsidR="007C238C" w:rsidRPr="007C238C" w:rsidRDefault="007C238C" w:rsidP="007C238C">
            <w:pPr>
              <w:autoSpaceDE w:val="0"/>
              <w:autoSpaceDN w:val="0"/>
              <w:jc w:val="left"/>
              <w:rPr>
                <w:bCs/>
                <w:iCs/>
                <w:color w:val="000090"/>
                <w:sz w:val="22"/>
                <w:szCs w:val="22"/>
                <w:lang w:eastAsia="x-none"/>
              </w:rPr>
            </w:pPr>
            <w:r w:rsidRPr="007C238C">
              <w:rPr>
                <w:bCs/>
                <w:iCs/>
                <w:color w:val="000000"/>
                <w:sz w:val="22"/>
                <w:szCs w:val="22"/>
                <w:lang w:eastAsia="x-none"/>
              </w:rPr>
              <w:t>April – June 2018</w:t>
            </w:r>
          </w:p>
        </w:tc>
        <w:tc>
          <w:tcPr>
            <w:tcW w:w="6066" w:type="dxa"/>
            <w:shd w:val="clear" w:color="auto" w:fill="auto"/>
          </w:tcPr>
          <w:p w14:paraId="6348010A"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Report to Council awarding bodies</w:t>
            </w:r>
          </w:p>
        </w:tc>
      </w:tr>
      <w:tr w:rsidR="007C238C" w:rsidRPr="007C238C" w14:paraId="54535E86" w14:textId="77777777" w:rsidTr="007C238C">
        <w:tc>
          <w:tcPr>
            <w:tcW w:w="2581" w:type="dxa"/>
            <w:shd w:val="clear" w:color="auto" w:fill="auto"/>
          </w:tcPr>
          <w:p w14:paraId="6D49A0AF" w14:textId="77777777" w:rsidR="007C238C" w:rsidRPr="007C238C" w:rsidRDefault="007C238C" w:rsidP="007C238C">
            <w:pPr>
              <w:autoSpaceDE w:val="0"/>
              <w:autoSpaceDN w:val="0"/>
              <w:jc w:val="left"/>
              <w:rPr>
                <w:bCs/>
                <w:iCs/>
                <w:color w:val="000090"/>
                <w:sz w:val="22"/>
                <w:szCs w:val="22"/>
                <w:lang w:eastAsia="x-none"/>
              </w:rPr>
            </w:pPr>
            <w:r w:rsidRPr="007C238C">
              <w:rPr>
                <w:bCs/>
                <w:iCs/>
                <w:color w:val="000000"/>
                <w:sz w:val="22"/>
                <w:szCs w:val="22"/>
                <w:lang w:eastAsia="x-none"/>
              </w:rPr>
              <w:t>June 2018</w:t>
            </w:r>
          </w:p>
        </w:tc>
        <w:tc>
          <w:tcPr>
            <w:tcW w:w="6066" w:type="dxa"/>
            <w:shd w:val="clear" w:color="auto" w:fill="auto"/>
          </w:tcPr>
          <w:p w14:paraId="3CA6568E"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Successful and unsuccessful Potential Supplier(s) notified</w:t>
            </w:r>
          </w:p>
        </w:tc>
      </w:tr>
      <w:tr w:rsidR="007C238C" w:rsidRPr="007C238C" w14:paraId="399E7E4C" w14:textId="77777777" w:rsidTr="007C238C">
        <w:tc>
          <w:tcPr>
            <w:tcW w:w="2581" w:type="dxa"/>
            <w:shd w:val="clear" w:color="auto" w:fill="auto"/>
          </w:tcPr>
          <w:p w14:paraId="1D5E2BD3" w14:textId="77777777" w:rsidR="007C238C" w:rsidRPr="007C238C" w:rsidRDefault="007C238C" w:rsidP="007C238C">
            <w:pPr>
              <w:autoSpaceDE w:val="0"/>
              <w:autoSpaceDN w:val="0"/>
              <w:jc w:val="left"/>
              <w:rPr>
                <w:bCs/>
                <w:iCs/>
                <w:color w:val="000090"/>
                <w:sz w:val="22"/>
                <w:szCs w:val="22"/>
                <w:lang w:eastAsia="x-none"/>
              </w:rPr>
            </w:pPr>
            <w:r w:rsidRPr="007C238C">
              <w:rPr>
                <w:bCs/>
                <w:iCs/>
                <w:color w:val="000000"/>
                <w:sz w:val="22"/>
                <w:szCs w:val="22"/>
                <w:lang w:eastAsia="x-none"/>
              </w:rPr>
              <w:t>June 2018</w:t>
            </w:r>
          </w:p>
        </w:tc>
        <w:tc>
          <w:tcPr>
            <w:tcW w:w="6066" w:type="dxa"/>
            <w:shd w:val="clear" w:color="auto" w:fill="auto"/>
          </w:tcPr>
          <w:p w14:paraId="40C3FBC5"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 xml:space="preserve">10-day Standstill Period starts </w:t>
            </w:r>
          </w:p>
        </w:tc>
      </w:tr>
      <w:tr w:rsidR="007C238C" w:rsidRPr="007C238C" w14:paraId="5027E809" w14:textId="77777777" w:rsidTr="007C238C">
        <w:tc>
          <w:tcPr>
            <w:tcW w:w="2581" w:type="dxa"/>
            <w:shd w:val="clear" w:color="auto" w:fill="auto"/>
          </w:tcPr>
          <w:p w14:paraId="105FF943" w14:textId="77777777" w:rsidR="007C238C" w:rsidRPr="007C238C" w:rsidRDefault="007C238C" w:rsidP="007C238C">
            <w:pPr>
              <w:autoSpaceDE w:val="0"/>
              <w:autoSpaceDN w:val="0"/>
              <w:jc w:val="left"/>
              <w:rPr>
                <w:bCs/>
                <w:iCs/>
                <w:color w:val="000090"/>
                <w:sz w:val="22"/>
                <w:szCs w:val="22"/>
                <w:lang w:eastAsia="x-none"/>
              </w:rPr>
            </w:pPr>
            <w:r w:rsidRPr="007C238C">
              <w:rPr>
                <w:bCs/>
                <w:iCs/>
                <w:sz w:val="22"/>
                <w:szCs w:val="22"/>
                <w:lang w:eastAsia="x-none"/>
              </w:rPr>
              <w:t>10 days</w:t>
            </w:r>
          </w:p>
        </w:tc>
        <w:tc>
          <w:tcPr>
            <w:tcW w:w="6066" w:type="dxa"/>
            <w:shd w:val="clear" w:color="auto" w:fill="auto"/>
          </w:tcPr>
          <w:p w14:paraId="4CEA3609"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 xml:space="preserve">Expiry of Standstill Period </w:t>
            </w:r>
          </w:p>
        </w:tc>
      </w:tr>
      <w:tr w:rsidR="007C238C" w:rsidRPr="007C238C" w14:paraId="1D9E0F32" w14:textId="77777777" w:rsidTr="007C238C">
        <w:tc>
          <w:tcPr>
            <w:tcW w:w="2581" w:type="dxa"/>
            <w:shd w:val="clear" w:color="auto" w:fill="auto"/>
          </w:tcPr>
          <w:p w14:paraId="25FD8946" w14:textId="77777777" w:rsidR="007C238C" w:rsidRPr="007C238C" w:rsidRDefault="007C238C" w:rsidP="007C238C">
            <w:pPr>
              <w:autoSpaceDE w:val="0"/>
              <w:autoSpaceDN w:val="0"/>
              <w:jc w:val="left"/>
              <w:rPr>
                <w:bCs/>
                <w:iCs/>
                <w:color w:val="000090"/>
                <w:sz w:val="22"/>
                <w:szCs w:val="22"/>
                <w:lang w:eastAsia="x-none"/>
              </w:rPr>
            </w:pPr>
            <w:r w:rsidRPr="007C238C">
              <w:rPr>
                <w:bCs/>
                <w:iCs/>
                <w:color w:val="000000"/>
                <w:sz w:val="22"/>
                <w:szCs w:val="22"/>
                <w:lang w:eastAsia="x-none"/>
              </w:rPr>
              <w:t>July 2018</w:t>
            </w:r>
          </w:p>
        </w:tc>
        <w:tc>
          <w:tcPr>
            <w:tcW w:w="6066" w:type="dxa"/>
            <w:shd w:val="clear" w:color="auto" w:fill="auto"/>
          </w:tcPr>
          <w:p w14:paraId="0A87FA68"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Contract Execution and Implementation</w:t>
            </w:r>
          </w:p>
        </w:tc>
      </w:tr>
      <w:tr w:rsidR="007C238C" w:rsidRPr="007C238C" w14:paraId="6BF6E33E" w14:textId="77777777" w:rsidTr="007C238C">
        <w:tc>
          <w:tcPr>
            <w:tcW w:w="2581" w:type="dxa"/>
            <w:shd w:val="clear" w:color="auto" w:fill="auto"/>
          </w:tcPr>
          <w:p w14:paraId="53B9B978" w14:textId="77777777" w:rsidR="007C238C" w:rsidRPr="007C238C" w:rsidRDefault="007C238C" w:rsidP="007C238C">
            <w:pPr>
              <w:autoSpaceDE w:val="0"/>
              <w:autoSpaceDN w:val="0"/>
              <w:jc w:val="left"/>
              <w:rPr>
                <w:bCs/>
                <w:iCs/>
                <w:color w:val="000000"/>
                <w:sz w:val="22"/>
                <w:szCs w:val="22"/>
                <w:lang w:eastAsia="x-none"/>
              </w:rPr>
            </w:pPr>
            <w:r w:rsidRPr="007C238C">
              <w:rPr>
                <w:bCs/>
                <w:iCs/>
                <w:color w:val="000000"/>
                <w:sz w:val="22"/>
                <w:szCs w:val="22"/>
                <w:lang w:eastAsia="x-none"/>
              </w:rPr>
              <w:t>July 2018</w:t>
            </w:r>
          </w:p>
        </w:tc>
        <w:tc>
          <w:tcPr>
            <w:tcW w:w="6066" w:type="dxa"/>
            <w:shd w:val="clear" w:color="auto" w:fill="auto"/>
          </w:tcPr>
          <w:p w14:paraId="170D154D" w14:textId="77777777" w:rsidR="007C238C" w:rsidRPr="007C238C" w:rsidRDefault="007C238C" w:rsidP="007C238C">
            <w:pPr>
              <w:autoSpaceDE w:val="0"/>
              <w:autoSpaceDN w:val="0"/>
              <w:rPr>
                <w:bCs/>
                <w:iCs/>
                <w:sz w:val="22"/>
                <w:szCs w:val="22"/>
                <w:lang w:eastAsia="x-none"/>
              </w:rPr>
            </w:pPr>
            <w:r w:rsidRPr="007C238C">
              <w:rPr>
                <w:bCs/>
                <w:iCs/>
                <w:sz w:val="22"/>
                <w:szCs w:val="22"/>
                <w:lang w:eastAsia="x-none"/>
              </w:rPr>
              <w:t>Commencement of the Services</w:t>
            </w:r>
          </w:p>
        </w:tc>
      </w:tr>
    </w:tbl>
    <w:p w14:paraId="37194DCB" w14:textId="77777777" w:rsidR="0023302A" w:rsidRDefault="0023302A" w:rsidP="0023302A">
      <w:pPr>
        <w:tabs>
          <w:tab w:val="left" w:pos="-990"/>
        </w:tabs>
        <w:outlineLvl w:val="0"/>
        <w:rPr>
          <w:b/>
          <w:bCs/>
          <w:color w:val="800080"/>
          <w:kern w:val="32"/>
          <w:sz w:val="22"/>
          <w:szCs w:val="22"/>
        </w:rPr>
      </w:pPr>
    </w:p>
    <w:p w14:paraId="6ED33B2B" w14:textId="77777777" w:rsidR="007C238C" w:rsidRPr="00923945" w:rsidRDefault="007C238C" w:rsidP="0023302A">
      <w:pPr>
        <w:tabs>
          <w:tab w:val="left" w:pos="-990"/>
        </w:tabs>
        <w:outlineLvl w:val="0"/>
        <w:rPr>
          <w:b/>
          <w:bCs/>
          <w:color w:val="800080"/>
          <w:kern w:val="32"/>
          <w:sz w:val="22"/>
          <w:szCs w:val="22"/>
        </w:rPr>
      </w:pPr>
    </w:p>
    <w:p w14:paraId="60CA3451" w14:textId="77777777" w:rsidR="0023302A" w:rsidRPr="00923945" w:rsidRDefault="0023302A" w:rsidP="00951AB1">
      <w:pPr>
        <w:pStyle w:val="Level1"/>
        <w:keepNext/>
        <w:rPr>
          <w:b/>
          <w:bCs/>
          <w:caps/>
          <w:sz w:val="22"/>
          <w:szCs w:val="22"/>
        </w:rPr>
      </w:pPr>
      <w:r w:rsidRPr="00923945">
        <w:rPr>
          <w:rStyle w:val="Level1asHeadingtext"/>
          <w:sz w:val="22"/>
          <w:szCs w:val="22"/>
        </w:rPr>
        <w:t>Information to Tenderers</w:t>
      </w:r>
    </w:p>
    <w:p w14:paraId="484603E2" w14:textId="7F7CA3C1" w:rsidR="0023302A" w:rsidRPr="00923945" w:rsidRDefault="0023302A" w:rsidP="00951AB1">
      <w:pPr>
        <w:pStyle w:val="Level2"/>
        <w:rPr>
          <w:sz w:val="22"/>
          <w:szCs w:val="22"/>
        </w:rPr>
      </w:pPr>
      <w:r w:rsidRPr="00923945">
        <w:rPr>
          <w:sz w:val="22"/>
          <w:szCs w:val="22"/>
        </w:rPr>
        <w:t>Information supplied by the Council</w:t>
      </w:r>
      <w:r w:rsidR="00F84EFD">
        <w:rPr>
          <w:sz w:val="22"/>
          <w:szCs w:val="22"/>
        </w:rPr>
        <w:t>/ ILC Members</w:t>
      </w:r>
      <w:r w:rsidRPr="00923945">
        <w:rPr>
          <w:sz w:val="22"/>
          <w:szCs w:val="22"/>
        </w:rPr>
        <w:t xml:space="preserve"> (whether </w:t>
      </w:r>
      <w:r w:rsidR="00B16F03" w:rsidRPr="00923945">
        <w:rPr>
          <w:sz w:val="22"/>
          <w:szCs w:val="22"/>
        </w:rPr>
        <w:t>as part of</w:t>
      </w:r>
      <w:r w:rsidRPr="00923945">
        <w:rPr>
          <w:sz w:val="22"/>
          <w:szCs w:val="22"/>
        </w:rPr>
        <w:t xml:space="preserve"> the </w:t>
      </w:r>
      <w:r w:rsidR="00951AB1" w:rsidRPr="00923945">
        <w:rPr>
          <w:sz w:val="22"/>
          <w:szCs w:val="22"/>
        </w:rPr>
        <w:t xml:space="preserve">Invitation to Tender </w:t>
      </w:r>
      <w:r w:rsidRPr="00923945">
        <w:rPr>
          <w:sz w:val="22"/>
          <w:szCs w:val="22"/>
        </w:rPr>
        <w:t>or otherwise) is provided in good faith for general guidance.</w:t>
      </w:r>
      <w:r w:rsidR="00AD33F9" w:rsidRPr="00923945">
        <w:rPr>
          <w:sz w:val="22"/>
          <w:szCs w:val="22"/>
        </w:rPr>
        <w:t xml:space="preserve"> </w:t>
      </w:r>
      <w:r w:rsidRPr="00923945">
        <w:rPr>
          <w:sz w:val="22"/>
          <w:szCs w:val="22"/>
        </w:rPr>
        <w:t>Tenderers must satisfy themselves by their own investigations with regard to the accuracy of any such information. The Council</w:t>
      </w:r>
      <w:r w:rsidR="00F84EFD">
        <w:rPr>
          <w:sz w:val="22"/>
          <w:szCs w:val="22"/>
        </w:rPr>
        <w:t xml:space="preserve"> / ILC Members</w:t>
      </w:r>
      <w:r w:rsidRPr="00923945">
        <w:rPr>
          <w:sz w:val="22"/>
          <w:szCs w:val="22"/>
        </w:rPr>
        <w:t xml:space="preserve"> shall not accept any liability or responsibility in relation to the adequacy, accuracy, reasonableness or completeness of any information obtained by any Tenderer whether from a representative of </w:t>
      </w:r>
      <w:r w:rsidR="00B16F03" w:rsidRPr="00923945">
        <w:rPr>
          <w:sz w:val="22"/>
          <w:szCs w:val="22"/>
        </w:rPr>
        <w:t>the Council</w:t>
      </w:r>
      <w:r w:rsidR="00F84EFD">
        <w:rPr>
          <w:sz w:val="22"/>
          <w:szCs w:val="22"/>
        </w:rPr>
        <w:t xml:space="preserve"> / ILC Members</w:t>
      </w:r>
      <w:r w:rsidRPr="00923945">
        <w:rPr>
          <w:sz w:val="22"/>
          <w:szCs w:val="22"/>
        </w:rPr>
        <w:t xml:space="preserve"> or otherwise.</w:t>
      </w:r>
    </w:p>
    <w:p w14:paraId="410FC3A0" w14:textId="6A9CBEFD" w:rsidR="0023302A" w:rsidRPr="00923945" w:rsidRDefault="0023302A" w:rsidP="00951AB1">
      <w:pPr>
        <w:pStyle w:val="Level2"/>
        <w:rPr>
          <w:sz w:val="22"/>
          <w:szCs w:val="22"/>
        </w:rPr>
      </w:pPr>
      <w:r w:rsidRPr="00923945">
        <w:rPr>
          <w:sz w:val="22"/>
          <w:szCs w:val="22"/>
        </w:rPr>
        <w:t>Tenders must be completed in full and submitted without qualification and all tenders must cover the requirements stated in the Service Specification</w:t>
      </w:r>
      <w:r w:rsidR="00910D56">
        <w:rPr>
          <w:sz w:val="22"/>
          <w:szCs w:val="22"/>
        </w:rPr>
        <w:t>.</w:t>
      </w:r>
    </w:p>
    <w:p w14:paraId="14D0B8C1" w14:textId="66FA9EE6" w:rsidR="0023302A" w:rsidRPr="00923945" w:rsidRDefault="0023302A" w:rsidP="00951AB1">
      <w:pPr>
        <w:pStyle w:val="Level2"/>
        <w:rPr>
          <w:sz w:val="22"/>
          <w:szCs w:val="22"/>
        </w:rPr>
      </w:pPr>
      <w:r w:rsidRPr="00923945">
        <w:rPr>
          <w:sz w:val="22"/>
          <w:szCs w:val="22"/>
        </w:rPr>
        <w:t>If a word limit is assigned to any question where a</w:t>
      </w:r>
      <w:r w:rsidR="00AD33F9" w:rsidRPr="00923945">
        <w:rPr>
          <w:sz w:val="22"/>
          <w:szCs w:val="22"/>
        </w:rPr>
        <w:t xml:space="preserve"> response is required from the T</w:t>
      </w:r>
      <w:r w:rsidRPr="00923945">
        <w:rPr>
          <w:sz w:val="22"/>
          <w:szCs w:val="22"/>
        </w:rPr>
        <w:t xml:space="preserve">enderer in accordance with the Tender Response Document then the limit does not include title pages or diagrams (that may be used to enhance responses). Any part of a response included above the word limit </w:t>
      </w:r>
      <w:r w:rsidR="00473CF8">
        <w:rPr>
          <w:sz w:val="22"/>
          <w:szCs w:val="22"/>
        </w:rPr>
        <w:t>may</w:t>
      </w:r>
      <w:r w:rsidRPr="00923945">
        <w:rPr>
          <w:sz w:val="22"/>
          <w:szCs w:val="22"/>
        </w:rPr>
        <w:t xml:space="preserve"> not be evaluated</w:t>
      </w:r>
      <w:r w:rsidR="00AD33F9" w:rsidRPr="00923945">
        <w:rPr>
          <w:sz w:val="22"/>
          <w:szCs w:val="22"/>
        </w:rPr>
        <w:t xml:space="preserve"> by the </w:t>
      </w:r>
      <w:r w:rsidR="00910D56">
        <w:rPr>
          <w:sz w:val="22"/>
          <w:szCs w:val="22"/>
        </w:rPr>
        <w:t>evaluation panel</w:t>
      </w:r>
      <w:r w:rsidRPr="00923945">
        <w:rPr>
          <w:sz w:val="22"/>
          <w:szCs w:val="22"/>
        </w:rPr>
        <w:t>.</w:t>
      </w:r>
    </w:p>
    <w:p w14:paraId="264C7F9C" w14:textId="2E1C161A" w:rsidR="0023302A" w:rsidRPr="00923945" w:rsidRDefault="0023302A" w:rsidP="00951AB1">
      <w:pPr>
        <w:pStyle w:val="Level2"/>
        <w:rPr>
          <w:sz w:val="22"/>
          <w:szCs w:val="22"/>
        </w:rPr>
      </w:pPr>
      <w:r w:rsidRPr="00923945">
        <w:rPr>
          <w:sz w:val="22"/>
          <w:szCs w:val="22"/>
        </w:rPr>
        <w:t xml:space="preserve">Tenderers will also be deemed for all purposes connected with the </w:t>
      </w:r>
      <w:r w:rsidRPr="00923945">
        <w:rPr>
          <w:bCs/>
          <w:sz w:val="22"/>
          <w:szCs w:val="22"/>
        </w:rPr>
        <w:t>Form of Tender</w:t>
      </w:r>
      <w:r w:rsidRPr="00923945">
        <w:rPr>
          <w:sz w:val="22"/>
          <w:szCs w:val="22"/>
        </w:rPr>
        <w:t xml:space="preserve"> to</w:t>
      </w:r>
      <w:r w:rsidR="00AD33F9" w:rsidRPr="00923945">
        <w:rPr>
          <w:sz w:val="22"/>
          <w:szCs w:val="22"/>
        </w:rPr>
        <w:t xml:space="preserve"> have carried out all research</w:t>
      </w:r>
      <w:r w:rsidRPr="00923945">
        <w:rPr>
          <w:sz w:val="22"/>
          <w:szCs w:val="22"/>
        </w:rPr>
        <w:t xml:space="preserve">, investigations and enquiries which can reasonably be carried out and to have satisfied themselves as to the nature, extent, volume and character of the Services to be provided, the extent of the premises, personnel, materials and equipment which may be required, and any other matter which may affect their tender. Tenderers shall have no claim whatsoever against the Council </w:t>
      </w:r>
      <w:r w:rsidR="00910D56">
        <w:rPr>
          <w:sz w:val="22"/>
          <w:szCs w:val="22"/>
        </w:rPr>
        <w:t xml:space="preserve">/ ILC Members </w:t>
      </w:r>
      <w:r w:rsidRPr="00923945">
        <w:rPr>
          <w:sz w:val="22"/>
          <w:szCs w:val="22"/>
        </w:rPr>
        <w:t>in respect of such matters and in particular (but without limitation) the Council</w:t>
      </w:r>
      <w:r w:rsidR="00910D56">
        <w:rPr>
          <w:sz w:val="22"/>
          <w:szCs w:val="22"/>
        </w:rPr>
        <w:t xml:space="preserve"> / ILC Members</w:t>
      </w:r>
      <w:r w:rsidRPr="00923945">
        <w:rPr>
          <w:sz w:val="22"/>
          <w:szCs w:val="22"/>
        </w:rPr>
        <w:t xml:space="preserve"> shall not make </w:t>
      </w:r>
      <w:r w:rsidRPr="00923945">
        <w:rPr>
          <w:sz w:val="22"/>
          <w:szCs w:val="22"/>
        </w:rPr>
        <w:lastRenderedPageBreak/>
        <w:t xml:space="preserve">any payments to Tenderers, save as expressly provided for in the </w:t>
      </w:r>
      <w:r w:rsidR="00910D56">
        <w:rPr>
          <w:sz w:val="22"/>
          <w:szCs w:val="22"/>
        </w:rPr>
        <w:t>Policy</w:t>
      </w:r>
      <w:r w:rsidRPr="00923945">
        <w:rPr>
          <w:sz w:val="22"/>
          <w:szCs w:val="22"/>
        </w:rPr>
        <w:t xml:space="preserve"> and no compensation or remuneration shall otherwise be payable by the Council</w:t>
      </w:r>
      <w:r w:rsidR="00910D56">
        <w:rPr>
          <w:sz w:val="22"/>
          <w:szCs w:val="22"/>
        </w:rPr>
        <w:t xml:space="preserve"> /ILC Members</w:t>
      </w:r>
      <w:r w:rsidRPr="00923945">
        <w:rPr>
          <w:sz w:val="22"/>
          <w:szCs w:val="22"/>
        </w:rPr>
        <w:t xml:space="preserve"> to the successful </w:t>
      </w:r>
      <w:r w:rsidR="00177895" w:rsidRPr="00923945">
        <w:rPr>
          <w:sz w:val="22"/>
          <w:szCs w:val="22"/>
        </w:rPr>
        <w:t xml:space="preserve">Service Provider </w:t>
      </w:r>
      <w:r w:rsidRPr="00923945">
        <w:rPr>
          <w:sz w:val="22"/>
          <w:szCs w:val="22"/>
        </w:rPr>
        <w:t>in respect of the Services by reason of the scope of the Services being different to that envisaged by Tenderers or otherwise.</w:t>
      </w:r>
    </w:p>
    <w:p w14:paraId="5FC83FB0" w14:textId="06889F77" w:rsidR="0023302A" w:rsidRPr="00923945" w:rsidRDefault="0023302A" w:rsidP="00951AB1">
      <w:pPr>
        <w:pStyle w:val="Level2"/>
        <w:rPr>
          <w:b/>
          <w:sz w:val="22"/>
          <w:szCs w:val="22"/>
        </w:rPr>
      </w:pPr>
      <w:r w:rsidRPr="00923945">
        <w:rPr>
          <w:sz w:val="22"/>
          <w:szCs w:val="22"/>
        </w:rPr>
        <w:t xml:space="preserve">Each Tenderer shall bear its own costs of participation in this procurement of whatever nature, and in no circumstances will the Council </w:t>
      </w:r>
      <w:r w:rsidR="00910D56">
        <w:rPr>
          <w:sz w:val="22"/>
          <w:szCs w:val="22"/>
        </w:rPr>
        <w:t xml:space="preserve">/ ILC Members </w:t>
      </w:r>
      <w:r w:rsidRPr="00923945">
        <w:rPr>
          <w:sz w:val="22"/>
          <w:szCs w:val="22"/>
        </w:rPr>
        <w:t>be responsible for any such costs.</w:t>
      </w:r>
    </w:p>
    <w:p w14:paraId="20402FBC" w14:textId="0399E39D" w:rsidR="0023302A" w:rsidRPr="00923945" w:rsidRDefault="0023302A" w:rsidP="00951AB1">
      <w:pPr>
        <w:pStyle w:val="Level2"/>
        <w:rPr>
          <w:color w:val="000000"/>
          <w:sz w:val="22"/>
          <w:szCs w:val="22"/>
        </w:rPr>
      </w:pPr>
      <w:r w:rsidRPr="00923945">
        <w:rPr>
          <w:color w:val="000000"/>
          <w:sz w:val="22"/>
          <w:szCs w:val="22"/>
        </w:rPr>
        <w:t xml:space="preserve">The Council </w:t>
      </w:r>
      <w:r w:rsidR="00910D56">
        <w:rPr>
          <w:color w:val="000000"/>
          <w:sz w:val="22"/>
          <w:szCs w:val="22"/>
        </w:rPr>
        <w:t>/ ILC Members reserve</w:t>
      </w:r>
      <w:r w:rsidRPr="00923945">
        <w:rPr>
          <w:color w:val="000000"/>
          <w:sz w:val="22"/>
          <w:szCs w:val="22"/>
        </w:rPr>
        <w:t xml:space="preserve"> the right to terminate the procurement process </w:t>
      </w:r>
      <w:r w:rsidRPr="00923945">
        <w:rPr>
          <w:sz w:val="22"/>
          <w:szCs w:val="22"/>
        </w:rPr>
        <w:t xml:space="preserve">or any elements thereof </w:t>
      </w:r>
      <w:r w:rsidRPr="00923945">
        <w:rPr>
          <w:color w:val="000000"/>
          <w:sz w:val="22"/>
          <w:szCs w:val="22"/>
        </w:rPr>
        <w:t>at any time prior to award</w:t>
      </w:r>
      <w:r w:rsidR="00AD33F9" w:rsidRPr="00923945">
        <w:rPr>
          <w:color w:val="000000"/>
          <w:sz w:val="22"/>
          <w:szCs w:val="22"/>
        </w:rPr>
        <w:t xml:space="preserve"> </w:t>
      </w:r>
      <w:r w:rsidR="00910D56">
        <w:rPr>
          <w:color w:val="000000"/>
          <w:sz w:val="22"/>
          <w:szCs w:val="22"/>
        </w:rPr>
        <w:t>of the Policy</w:t>
      </w:r>
      <w:r w:rsidRPr="00923945">
        <w:rPr>
          <w:color w:val="000000"/>
          <w:sz w:val="22"/>
          <w:szCs w:val="22"/>
        </w:rPr>
        <w:t xml:space="preserve">. The Council </w:t>
      </w:r>
      <w:r w:rsidR="00910D56">
        <w:rPr>
          <w:color w:val="000000"/>
          <w:sz w:val="22"/>
          <w:szCs w:val="22"/>
        </w:rPr>
        <w:t>/ ILC Members do</w:t>
      </w:r>
      <w:r w:rsidRPr="00923945">
        <w:rPr>
          <w:color w:val="000000"/>
          <w:sz w:val="22"/>
          <w:szCs w:val="22"/>
        </w:rPr>
        <w:t xml:space="preserve"> not bind itself to accept the lowest tender, or any tender received, and reserve the right to call for new tenders should they consider this necessary. The Council </w:t>
      </w:r>
      <w:r w:rsidR="00910D56">
        <w:rPr>
          <w:color w:val="000000"/>
          <w:sz w:val="22"/>
          <w:szCs w:val="22"/>
        </w:rPr>
        <w:t xml:space="preserve">/ ILC Members </w:t>
      </w:r>
      <w:r w:rsidRPr="00923945">
        <w:rPr>
          <w:color w:val="000000"/>
          <w:sz w:val="22"/>
          <w:szCs w:val="22"/>
        </w:rPr>
        <w:t xml:space="preserve">shall not be liable for any costs, expenses or losses incurred by any Tenderer </w:t>
      </w:r>
      <w:r w:rsidRPr="00923945">
        <w:rPr>
          <w:sz w:val="22"/>
          <w:szCs w:val="22"/>
        </w:rPr>
        <w:t xml:space="preserve">regardless of the outcome of the procurement, including where the procurement (or any part thereof) is abandoned or terminated by the Council </w:t>
      </w:r>
      <w:r w:rsidR="00910D56">
        <w:rPr>
          <w:sz w:val="22"/>
          <w:szCs w:val="22"/>
        </w:rPr>
        <w:t xml:space="preserve">/ ILC Members </w:t>
      </w:r>
      <w:r w:rsidRPr="00923945">
        <w:rPr>
          <w:sz w:val="22"/>
          <w:szCs w:val="22"/>
        </w:rPr>
        <w:t>at its absolute discretion.</w:t>
      </w:r>
    </w:p>
    <w:p w14:paraId="59740F3E" w14:textId="362CD7BA" w:rsidR="0023302A" w:rsidRPr="00923945" w:rsidRDefault="0023302A" w:rsidP="00951AB1">
      <w:pPr>
        <w:pStyle w:val="Level2"/>
        <w:rPr>
          <w:sz w:val="22"/>
          <w:szCs w:val="22"/>
        </w:rPr>
      </w:pPr>
      <w:r w:rsidRPr="00923945">
        <w:rPr>
          <w:sz w:val="22"/>
          <w:szCs w:val="22"/>
        </w:rPr>
        <w:t xml:space="preserve">The Council </w:t>
      </w:r>
      <w:r w:rsidR="00910D56">
        <w:rPr>
          <w:sz w:val="22"/>
          <w:szCs w:val="22"/>
        </w:rPr>
        <w:t>/ ILC Members do</w:t>
      </w:r>
      <w:r w:rsidRPr="00923945">
        <w:rPr>
          <w:sz w:val="22"/>
          <w:szCs w:val="22"/>
        </w:rPr>
        <w:t xml:space="preserve"> not give any commitment, warranty or guarantee as to the volume of work (if any) to the contractor </w:t>
      </w:r>
      <w:r w:rsidR="00910D56">
        <w:rPr>
          <w:sz w:val="22"/>
          <w:szCs w:val="22"/>
        </w:rPr>
        <w:t>appointed to deliver the Services.</w:t>
      </w:r>
    </w:p>
    <w:p w14:paraId="5C5986C9" w14:textId="77777777" w:rsidR="0023302A" w:rsidRPr="00923945" w:rsidRDefault="0023302A" w:rsidP="00951AB1">
      <w:pPr>
        <w:pStyle w:val="Level1"/>
        <w:keepNext/>
        <w:rPr>
          <w:b/>
          <w:bCs/>
          <w:caps/>
          <w:sz w:val="22"/>
          <w:szCs w:val="22"/>
        </w:rPr>
      </w:pPr>
      <w:r w:rsidRPr="00923945">
        <w:rPr>
          <w:rStyle w:val="Level1asHeadingtext"/>
          <w:sz w:val="22"/>
          <w:szCs w:val="22"/>
        </w:rPr>
        <w:t>London Living Wage</w:t>
      </w:r>
    </w:p>
    <w:p w14:paraId="7194B684" w14:textId="77777777" w:rsidR="0023302A" w:rsidRPr="00923945" w:rsidRDefault="0023302A" w:rsidP="00951AB1">
      <w:pPr>
        <w:pStyle w:val="Level2"/>
        <w:rPr>
          <w:sz w:val="22"/>
          <w:szCs w:val="22"/>
        </w:rPr>
      </w:pPr>
      <w:r w:rsidRPr="00923945">
        <w:rPr>
          <w:sz w:val="22"/>
          <w:szCs w:val="22"/>
        </w:rPr>
        <w:t xml:space="preserve">The successful </w:t>
      </w:r>
      <w:r w:rsidR="00177895" w:rsidRPr="00923945">
        <w:rPr>
          <w:sz w:val="22"/>
          <w:szCs w:val="22"/>
        </w:rPr>
        <w:t xml:space="preserve">Service Provider </w:t>
      </w:r>
      <w:r w:rsidRPr="00923945">
        <w:rPr>
          <w:sz w:val="22"/>
          <w:szCs w:val="22"/>
        </w:rPr>
        <w:t xml:space="preserve">will be required to pay those whom it engages in performing the </w:t>
      </w:r>
      <w:r w:rsidR="00DB1630" w:rsidRPr="00923945">
        <w:rPr>
          <w:sz w:val="22"/>
          <w:szCs w:val="22"/>
        </w:rPr>
        <w:t>Services</w:t>
      </w:r>
      <w:r w:rsidRPr="00923945">
        <w:rPr>
          <w:sz w:val="22"/>
          <w:szCs w:val="22"/>
        </w:rPr>
        <w:t xml:space="preserve"> a wage equivalent to at least the London Living Wage</w:t>
      </w:r>
      <w:r w:rsidR="00DB1630" w:rsidRPr="00923945">
        <w:rPr>
          <w:sz w:val="22"/>
          <w:szCs w:val="22"/>
        </w:rPr>
        <w:t xml:space="preserve"> ("</w:t>
      </w:r>
      <w:r w:rsidR="00DB1630" w:rsidRPr="00923945">
        <w:rPr>
          <w:b/>
          <w:sz w:val="22"/>
          <w:szCs w:val="22"/>
        </w:rPr>
        <w:t>LLW</w:t>
      </w:r>
      <w:r w:rsidR="00DB1630" w:rsidRPr="00923945">
        <w:rPr>
          <w:sz w:val="22"/>
          <w:szCs w:val="22"/>
        </w:rPr>
        <w:t>")</w:t>
      </w:r>
      <w:r w:rsidRPr="00923945">
        <w:rPr>
          <w:sz w:val="22"/>
          <w:szCs w:val="22"/>
        </w:rPr>
        <w:t xml:space="preserve">. It is considered that </w:t>
      </w:r>
      <w:r w:rsidR="00DB1630" w:rsidRPr="00923945">
        <w:rPr>
          <w:sz w:val="22"/>
          <w:szCs w:val="22"/>
        </w:rPr>
        <w:t>LLW</w:t>
      </w:r>
      <w:r w:rsidRPr="00923945">
        <w:rPr>
          <w:sz w:val="22"/>
          <w:szCs w:val="22"/>
        </w:rPr>
        <w:t xml:space="preserve"> will promote social wellbeing of employees improving the social value of procurement overall in accordance with objectives of the Public Services (Social Value) Act 2012.</w:t>
      </w:r>
    </w:p>
    <w:p w14:paraId="712ADC90" w14:textId="103D9D5B" w:rsidR="0023302A" w:rsidRPr="00923945" w:rsidRDefault="0023302A" w:rsidP="00951AB1">
      <w:pPr>
        <w:pStyle w:val="Level2"/>
        <w:rPr>
          <w:snapToGrid w:val="0"/>
          <w:sz w:val="22"/>
          <w:szCs w:val="22"/>
          <w:lang w:val="en-US"/>
        </w:rPr>
      </w:pPr>
      <w:r w:rsidRPr="00923945">
        <w:rPr>
          <w:sz w:val="22"/>
          <w:szCs w:val="22"/>
        </w:rPr>
        <w:t xml:space="preserve">The </w:t>
      </w:r>
      <w:r w:rsidR="00D35C8D" w:rsidRPr="00923945">
        <w:rPr>
          <w:color w:val="000000"/>
          <w:sz w:val="22"/>
          <w:szCs w:val="22"/>
        </w:rPr>
        <w:t>Invitation to Tender</w:t>
      </w:r>
      <w:r w:rsidR="00D35C8D" w:rsidRPr="00923945">
        <w:rPr>
          <w:color w:val="000000"/>
          <w:sz w:val="22"/>
          <w:szCs w:val="22"/>
          <w:lang w:val="x-none"/>
        </w:rPr>
        <w:t xml:space="preserve"> </w:t>
      </w:r>
      <w:r w:rsidR="00415E86">
        <w:rPr>
          <w:sz w:val="22"/>
          <w:szCs w:val="22"/>
        </w:rPr>
        <w:t>will reflect the ILC’s</w:t>
      </w:r>
      <w:r w:rsidRPr="00923945">
        <w:rPr>
          <w:sz w:val="22"/>
          <w:szCs w:val="22"/>
        </w:rPr>
        <w:t xml:space="preserve"> policy for the provider to pay any person employed or engaged in the performance of the </w:t>
      </w:r>
      <w:r w:rsidR="00DB1630" w:rsidRPr="00923945">
        <w:rPr>
          <w:sz w:val="22"/>
          <w:szCs w:val="22"/>
        </w:rPr>
        <w:t>Services</w:t>
      </w:r>
      <w:r w:rsidRPr="00923945">
        <w:rPr>
          <w:sz w:val="22"/>
          <w:szCs w:val="22"/>
        </w:rPr>
        <w:t xml:space="preserve"> at a rate at least equivalent to any implemented </w:t>
      </w:r>
      <w:r w:rsidR="00DB1630" w:rsidRPr="00923945">
        <w:rPr>
          <w:sz w:val="22"/>
          <w:szCs w:val="22"/>
        </w:rPr>
        <w:t xml:space="preserve">LLW </w:t>
      </w:r>
      <w:r w:rsidRPr="00923945">
        <w:rPr>
          <w:sz w:val="22"/>
          <w:szCs w:val="22"/>
        </w:rPr>
        <w:t xml:space="preserve">in accordance with the guidelines of the Living Wage Foundation (http://www.livingwage.org.uk/). </w:t>
      </w:r>
      <w:r w:rsidR="00DB1630" w:rsidRPr="00923945">
        <w:rPr>
          <w:sz w:val="22"/>
          <w:szCs w:val="22"/>
        </w:rPr>
        <w:t>Tenderers</w:t>
      </w:r>
      <w:r w:rsidRPr="00923945">
        <w:rPr>
          <w:sz w:val="22"/>
          <w:szCs w:val="22"/>
        </w:rPr>
        <w:t xml:space="preserve"> must take this into account when completing the Pricing Schedule. The successful </w:t>
      </w:r>
      <w:r w:rsidR="00177895" w:rsidRPr="00923945">
        <w:rPr>
          <w:sz w:val="22"/>
          <w:szCs w:val="22"/>
        </w:rPr>
        <w:t xml:space="preserve">Service Provider </w:t>
      </w:r>
      <w:r w:rsidRPr="00923945">
        <w:rPr>
          <w:sz w:val="22"/>
          <w:szCs w:val="22"/>
        </w:rPr>
        <w:t xml:space="preserve">will also be obliged to provide management information to assist the Council </w:t>
      </w:r>
      <w:r w:rsidR="00415E86">
        <w:rPr>
          <w:sz w:val="22"/>
          <w:szCs w:val="22"/>
        </w:rPr>
        <w:t xml:space="preserve">/ ILC Members </w:t>
      </w:r>
      <w:r w:rsidRPr="00923945">
        <w:rPr>
          <w:sz w:val="22"/>
          <w:szCs w:val="22"/>
        </w:rPr>
        <w:t>with monitoring the impact of the LLW.</w:t>
      </w:r>
    </w:p>
    <w:p w14:paraId="145C6ED6" w14:textId="7B703B5F" w:rsidR="00CA3AF7" w:rsidRPr="00923945" w:rsidRDefault="00CA3AF7" w:rsidP="00CA3AF7">
      <w:pPr>
        <w:pStyle w:val="Level1"/>
        <w:keepNext/>
        <w:rPr>
          <w:rStyle w:val="Level1asHeadingtext"/>
          <w:sz w:val="22"/>
          <w:szCs w:val="22"/>
        </w:rPr>
      </w:pPr>
      <w:r w:rsidRPr="00923945">
        <w:rPr>
          <w:rStyle w:val="Level1asHeadingtext"/>
          <w:sz w:val="22"/>
          <w:szCs w:val="22"/>
        </w:rPr>
        <w:t xml:space="preserve">Premier Supplier Programme </w:t>
      </w:r>
      <w:r w:rsidR="00AF0833">
        <w:rPr>
          <w:sz w:val="22"/>
          <w:szCs w:val="22"/>
        </w:rPr>
        <w:t xml:space="preserve"> </w:t>
      </w:r>
      <w:r w:rsidR="00673796">
        <w:rPr>
          <w:sz w:val="22"/>
          <w:szCs w:val="22"/>
        </w:rPr>
        <w:t>(</w:t>
      </w:r>
      <w:r w:rsidR="00AF0833" w:rsidRPr="00673796">
        <w:rPr>
          <w:b/>
          <w:sz w:val="22"/>
          <w:szCs w:val="22"/>
        </w:rPr>
        <w:t>NOT APPLICABLE</w:t>
      </w:r>
      <w:r w:rsidR="00673796">
        <w:rPr>
          <w:b/>
          <w:sz w:val="22"/>
          <w:szCs w:val="22"/>
        </w:rPr>
        <w:t xml:space="preserve"> TO THIS TENDER)</w:t>
      </w:r>
    </w:p>
    <w:p w14:paraId="4B75E887" w14:textId="62B260D4" w:rsidR="00411BA3" w:rsidRPr="00923945" w:rsidRDefault="00AF0833" w:rsidP="00411BA3">
      <w:pPr>
        <w:pStyle w:val="Level1"/>
        <w:keepNext/>
        <w:rPr>
          <w:rStyle w:val="Level1asHeadingtext"/>
          <w:sz w:val="22"/>
          <w:szCs w:val="22"/>
        </w:rPr>
      </w:pPr>
      <w:r>
        <w:rPr>
          <w:rStyle w:val="Level1asHeadingtext"/>
          <w:sz w:val="22"/>
          <w:szCs w:val="22"/>
        </w:rPr>
        <w:t>Partnership Arrangements and Subcontractors</w:t>
      </w:r>
    </w:p>
    <w:p w14:paraId="3F054C1F" w14:textId="77777777" w:rsidR="001B3469" w:rsidRPr="000575F4" w:rsidRDefault="001B3469" w:rsidP="001B3469">
      <w:pPr>
        <w:pStyle w:val="Level2"/>
        <w:numPr>
          <w:ilvl w:val="1"/>
          <w:numId w:val="1"/>
        </w:numPr>
        <w:rPr>
          <w:sz w:val="22"/>
          <w:szCs w:val="22"/>
        </w:rPr>
      </w:pPr>
      <w:r w:rsidRPr="00923945">
        <w:rPr>
          <w:sz w:val="22"/>
          <w:szCs w:val="22"/>
        </w:rPr>
        <w:t>Where the Tenderer completing the Tender Response Document is doing so as part of a proposed consortium</w:t>
      </w:r>
      <w:r>
        <w:rPr>
          <w:sz w:val="22"/>
          <w:szCs w:val="22"/>
        </w:rPr>
        <w:t xml:space="preserve"> u</w:t>
      </w:r>
      <w:r w:rsidRPr="000575F4">
        <w:rPr>
          <w:sz w:val="22"/>
          <w:szCs w:val="22"/>
        </w:rPr>
        <w:t>nless individual questions dictate otherwise, a single response should be provided by the lead member in relation to the Tender Response Document on behalf of the entire consortium</w:t>
      </w:r>
      <w:r w:rsidRPr="000575F4">
        <w:rPr>
          <w:rFonts w:eastAsia="Calibri"/>
          <w:bCs/>
          <w:sz w:val="22"/>
          <w:szCs w:val="22"/>
        </w:rPr>
        <w:t xml:space="preserve"> with the proposed involvement of any individual consortium member(s) being identified.  </w:t>
      </w:r>
    </w:p>
    <w:p w14:paraId="224B1D74" w14:textId="77777777" w:rsidR="001B3469" w:rsidRPr="001B3469" w:rsidRDefault="001B3469" w:rsidP="001B3469">
      <w:pPr>
        <w:pStyle w:val="Level2"/>
        <w:numPr>
          <w:ilvl w:val="1"/>
          <w:numId w:val="1"/>
        </w:numPr>
        <w:rPr>
          <w:b/>
          <w:bCs/>
          <w:caps/>
          <w:sz w:val="22"/>
          <w:szCs w:val="22"/>
        </w:rPr>
      </w:pPr>
      <w:r w:rsidRPr="00923945">
        <w:rPr>
          <w:sz w:val="22"/>
          <w:szCs w:val="22"/>
        </w:rPr>
        <w:t xml:space="preserve">The Council will rely on the information provided by the Tenderer including the information concerning consortium members, the structure of the consortium, the membership and/or structure of the proposed supply chain and any entities being relied upon. If, at any time during the procurement process or the term of </w:t>
      </w:r>
      <w:r w:rsidRPr="00923945">
        <w:rPr>
          <w:sz w:val="22"/>
          <w:szCs w:val="22"/>
        </w:rPr>
        <w:lastRenderedPageBreak/>
        <w:t xml:space="preserve">the </w:t>
      </w:r>
      <w:r>
        <w:rPr>
          <w:sz w:val="22"/>
          <w:szCs w:val="22"/>
        </w:rPr>
        <w:t>Contract</w:t>
      </w:r>
      <w:r w:rsidRPr="00923945">
        <w:rPr>
          <w:sz w:val="22"/>
          <w:szCs w:val="22"/>
        </w:rPr>
        <w:t xml:space="preserve">, there are any changes or proposed changes to the membership or structure of the consortium or structure of the supply chain and/or in respect of any entities the Tenderer is relying upon as previously set out in the Tender Response Document, the lead organisation must immediately advise the Council in writing providing full details of the relevant change.  Upon receipt of such information, the Council shall be entitled to revisit the selection or award stage of the procurement process and may de-select the Tenderer based on an assessment of the new information and/or change of circumstances and/or may terminate or suspend the </w:t>
      </w:r>
      <w:r>
        <w:rPr>
          <w:sz w:val="22"/>
          <w:szCs w:val="22"/>
        </w:rPr>
        <w:t>Contract</w:t>
      </w:r>
    </w:p>
    <w:p w14:paraId="23B76E09" w14:textId="586C6D35" w:rsidR="00411BA3" w:rsidRPr="00923945" w:rsidRDefault="00411BA3" w:rsidP="001B3469">
      <w:pPr>
        <w:pStyle w:val="Level1"/>
        <w:keepNext/>
        <w:rPr>
          <w:b/>
          <w:bCs/>
          <w:caps/>
          <w:sz w:val="22"/>
          <w:szCs w:val="22"/>
        </w:rPr>
      </w:pPr>
      <w:r w:rsidRPr="00923945">
        <w:rPr>
          <w:rStyle w:val="Level1asHeadingtext"/>
          <w:sz w:val="22"/>
          <w:szCs w:val="22"/>
        </w:rPr>
        <w:t>European Acquired Rights Directive 2001/23 and the Transfer of Undertakings (Protection of Employment) Regulations 2006</w:t>
      </w:r>
      <w:r w:rsidR="001B3469">
        <w:rPr>
          <w:rStyle w:val="Level1asHeadingtext"/>
          <w:sz w:val="22"/>
          <w:szCs w:val="22"/>
        </w:rPr>
        <w:t xml:space="preserve">  (NOT APPLICABLE TO THIS TENDER)</w:t>
      </w:r>
    </w:p>
    <w:p w14:paraId="1F3608A9" w14:textId="77777777" w:rsidR="001947F0" w:rsidRPr="00923945" w:rsidRDefault="001947F0" w:rsidP="001947F0">
      <w:pPr>
        <w:pStyle w:val="Level1"/>
        <w:keepNext/>
        <w:rPr>
          <w:rStyle w:val="Level1asHeadingtext"/>
          <w:sz w:val="22"/>
          <w:szCs w:val="22"/>
        </w:rPr>
      </w:pPr>
      <w:r w:rsidRPr="00923945">
        <w:rPr>
          <w:rStyle w:val="Level1asHeadingtext"/>
          <w:sz w:val="22"/>
          <w:szCs w:val="22"/>
        </w:rPr>
        <w:t>Conflicts of interest</w:t>
      </w:r>
    </w:p>
    <w:p w14:paraId="76F70D5D" w14:textId="3C586119" w:rsidR="001947F0" w:rsidRPr="00923945" w:rsidRDefault="001947F0" w:rsidP="001947F0">
      <w:pPr>
        <w:pStyle w:val="Level2"/>
        <w:rPr>
          <w:sz w:val="22"/>
          <w:szCs w:val="22"/>
        </w:rPr>
      </w:pPr>
      <w:r w:rsidRPr="00923945">
        <w:rPr>
          <w:sz w:val="22"/>
          <w:szCs w:val="22"/>
        </w:rPr>
        <w:t>In accordance with Regulation</w:t>
      </w:r>
      <w:r w:rsidR="00415E86">
        <w:rPr>
          <w:sz w:val="22"/>
          <w:szCs w:val="22"/>
        </w:rPr>
        <w:t xml:space="preserve"> 24 of the PCR 2015, the ILC</w:t>
      </w:r>
      <w:r w:rsidRPr="00923945">
        <w:rPr>
          <w:sz w:val="22"/>
          <w:szCs w:val="22"/>
        </w:rPr>
        <w:t xml:space="preserve"> may exclude </w:t>
      </w:r>
      <w:r w:rsidR="003B7A3E" w:rsidRPr="00923945">
        <w:rPr>
          <w:sz w:val="22"/>
          <w:szCs w:val="22"/>
        </w:rPr>
        <w:t>a</w:t>
      </w:r>
      <w:r w:rsidRPr="00923945">
        <w:rPr>
          <w:sz w:val="22"/>
          <w:szCs w:val="22"/>
        </w:rPr>
        <w:t xml:space="preserve"> Tenderer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7EC89E0B" w14:textId="65F3D9F9" w:rsidR="001947F0" w:rsidRPr="00923945" w:rsidRDefault="001947F0" w:rsidP="001947F0">
      <w:pPr>
        <w:pStyle w:val="Level2"/>
        <w:rPr>
          <w:sz w:val="22"/>
          <w:szCs w:val="22"/>
        </w:rPr>
      </w:pPr>
      <w:r w:rsidRPr="00923945">
        <w:rPr>
          <w:sz w:val="22"/>
          <w:szCs w:val="22"/>
        </w:rPr>
        <w:t>Any conflict of interest or perceived conflict of interest which arises must be fully dis</w:t>
      </w:r>
      <w:r w:rsidR="00415E86">
        <w:rPr>
          <w:sz w:val="22"/>
          <w:szCs w:val="22"/>
        </w:rPr>
        <w:t>closed in writing to the ILC</w:t>
      </w:r>
      <w:r w:rsidRPr="00923945">
        <w:rPr>
          <w:sz w:val="22"/>
          <w:szCs w:val="22"/>
        </w:rPr>
        <w:t xml:space="preserve"> </w:t>
      </w:r>
      <w:r w:rsidR="003B7A3E" w:rsidRPr="00923945">
        <w:rPr>
          <w:sz w:val="22"/>
          <w:szCs w:val="22"/>
        </w:rPr>
        <w:t xml:space="preserve">in a separate Appendix to the Tender Response Document </w:t>
      </w:r>
      <w:r w:rsidRPr="00923945">
        <w:rPr>
          <w:sz w:val="22"/>
          <w:szCs w:val="22"/>
        </w:rPr>
        <w:t>as soon as such conflict or potential conflict becomes apparent</w:t>
      </w:r>
      <w:r w:rsidR="003B7A3E" w:rsidRPr="00923945">
        <w:rPr>
          <w:sz w:val="22"/>
          <w:szCs w:val="22"/>
        </w:rPr>
        <w:t>.</w:t>
      </w:r>
    </w:p>
    <w:p w14:paraId="71641689" w14:textId="56FE2343" w:rsidR="001947F0" w:rsidRPr="00923945" w:rsidRDefault="001947F0" w:rsidP="001947F0">
      <w:pPr>
        <w:pStyle w:val="Level2"/>
        <w:rPr>
          <w:sz w:val="22"/>
          <w:szCs w:val="22"/>
        </w:rPr>
      </w:pPr>
      <w:r w:rsidRPr="00923945">
        <w:rPr>
          <w:sz w:val="22"/>
          <w:szCs w:val="22"/>
        </w:rPr>
        <w:t>Provided that it has been carried out in a transparent manner, routine pre-market engagement carried out by the Council</w:t>
      </w:r>
      <w:r w:rsidR="00415E86">
        <w:rPr>
          <w:sz w:val="22"/>
          <w:szCs w:val="22"/>
        </w:rPr>
        <w:t xml:space="preserve"> / ILC Members</w:t>
      </w:r>
      <w:r w:rsidRPr="00923945">
        <w:rPr>
          <w:sz w:val="22"/>
          <w:szCs w:val="22"/>
        </w:rPr>
        <w:t xml:space="preserve"> should not represent a conflict of interest for the Tenderer.</w:t>
      </w:r>
    </w:p>
    <w:p w14:paraId="27C1806E" w14:textId="77777777" w:rsidR="001947F0" w:rsidRPr="00923945" w:rsidRDefault="001947F0" w:rsidP="008217BD">
      <w:pPr>
        <w:pStyle w:val="Level1"/>
        <w:keepNext/>
        <w:rPr>
          <w:b/>
          <w:bCs/>
          <w:caps/>
          <w:sz w:val="22"/>
          <w:szCs w:val="22"/>
        </w:rPr>
      </w:pPr>
      <w:r w:rsidRPr="00923945">
        <w:rPr>
          <w:rStyle w:val="Level1asHeadingtext"/>
          <w:sz w:val="22"/>
          <w:szCs w:val="22"/>
        </w:rPr>
        <w:t>Form of Tender and Accompanying Information</w:t>
      </w:r>
    </w:p>
    <w:p w14:paraId="4568BCC6" w14:textId="77777777" w:rsidR="001947F0" w:rsidRPr="00923945" w:rsidRDefault="001947F0" w:rsidP="001947F0">
      <w:pPr>
        <w:pStyle w:val="Level2"/>
        <w:rPr>
          <w:sz w:val="22"/>
          <w:szCs w:val="22"/>
        </w:rPr>
      </w:pPr>
      <w:r w:rsidRPr="00923945">
        <w:rPr>
          <w:sz w:val="22"/>
          <w:szCs w:val="22"/>
        </w:rPr>
        <w:t xml:space="preserve">The Tender Response Document which forms part of the </w:t>
      </w:r>
      <w:r w:rsidR="00D35C8D" w:rsidRPr="00923945">
        <w:rPr>
          <w:color w:val="000000"/>
          <w:sz w:val="22"/>
          <w:szCs w:val="22"/>
        </w:rPr>
        <w:t>Invitation to Tender</w:t>
      </w:r>
      <w:r w:rsidR="00D35C8D" w:rsidRPr="00923945">
        <w:rPr>
          <w:color w:val="000000"/>
          <w:sz w:val="22"/>
          <w:szCs w:val="22"/>
          <w:lang w:val="x-none"/>
        </w:rPr>
        <w:t xml:space="preserve"> </w:t>
      </w:r>
      <w:r w:rsidRPr="00923945">
        <w:rPr>
          <w:sz w:val="22"/>
          <w:szCs w:val="22"/>
        </w:rPr>
        <w:t xml:space="preserve">shall be duly completed in all respects by the Tenderer (and in compliance with the stipulations therein specified) and submitted electronically in the manner and by the date and time stated in </w:t>
      </w:r>
      <w:r w:rsidR="00D34207" w:rsidRPr="00923945">
        <w:rPr>
          <w:sz w:val="22"/>
          <w:szCs w:val="22"/>
        </w:rPr>
        <w:t>Paragraph 11</w:t>
      </w:r>
      <w:r w:rsidRPr="00923945">
        <w:rPr>
          <w:sz w:val="22"/>
          <w:szCs w:val="22"/>
        </w:rPr>
        <w:t xml:space="preserve"> below together with the following documents:</w:t>
      </w:r>
    </w:p>
    <w:p w14:paraId="5E1ED656" w14:textId="13AB1217" w:rsidR="001947F0" w:rsidRDefault="001947F0" w:rsidP="001947F0">
      <w:pPr>
        <w:pStyle w:val="Level3"/>
        <w:rPr>
          <w:sz w:val="22"/>
          <w:szCs w:val="22"/>
        </w:rPr>
      </w:pPr>
      <w:r w:rsidRPr="00923945">
        <w:rPr>
          <w:sz w:val="22"/>
          <w:szCs w:val="22"/>
        </w:rPr>
        <w:t>Completed Tender Response Document</w:t>
      </w:r>
    </w:p>
    <w:p w14:paraId="7BE7BBCD" w14:textId="041C9AA4" w:rsidR="00EF3022" w:rsidRPr="00923945" w:rsidRDefault="00EF3022" w:rsidP="001947F0">
      <w:pPr>
        <w:pStyle w:val="Level3"/>
        <w:rPr>
          <w:sz w:val="22"/>
          <w:szCs w:val="22"/>
        </w:rPr>
      </w:pPr>
      <w:r>
        <w:rPr>
          <w:sz w:val="22"/>
          <w:szCs w:val="22"/>
        </w:rPr>
        <w:t>Copy of all applicable policy wording</w:t>
      </w:r>
    </w:p>
    <w:p w14:paraId="60119C59" w14:textId="3459F67C" w:rsidR="001947F0" w:rsidRPr="00923945" w:rsidRDefault="001947F0" w:rsidP="001947F0">
      <w:pPr>
        <w:pStyle w:val="Level3"/>
        <w:rPr>
          <w:sz w:val="22"/>
          <w:szCs w:val="22"/>
        </w:rPr>
      </w:pPr>
      <w:r w:rsidRPr="00923945">
        <w:rPr>
          <w:sz w:val="22"/>
          <w:szCs w:val="22"/>
        </w:rPr>
        <w:t xml:space="preserve">Completed Pricing Schedule as set out in the Tender Response Document, in compliance with the stipulations </w:t>
      </w:r>
      <w:r w:rsidR="003B7A3E" w:rsidRPr="00923945">
        <w:rPr>
          <w:sz w:val="22"/>
          <w:szCs w:val="22"/>
        </w:rPr>
        <w:t xml:space="preserve">specified </w:t>
      </w:r>
      <w:r w:rsidRPr="00923945">
        <w:rPr>
          <w:sz w:val="22"/>
          <w:szCs w:val="22"/>
        </w:rPr>
        <w:t>therein to</w:t>
      </w:r>
      <w:r w:rsidR="003B7A3E" w:rsidRPr="00923945">
        <w:rPr>
          <w:sz w:val="22"/>
          <w:szCs w:val="22"/>
        </w:rPr>
        <w:t xml:space="preserve"> show prices, charges and rates</w:t>
      </w:r>
      <w:r w:rsidRPr="00923945">
        <w:rPr>
          <w:sz w:val="22"/>
          <w:szCs w:val="22"/>
        </w:rPr>
        <w:t xml:space="preserve">. Please note that all figures submitted must </w:t>
      </w:r>
      <w:r w:rsidR="00AF0833">
        <w:rPr>
          <w:sz w:val="22"/>
          <w:szCs w:val="22"/>
        </w:rPr>
        <w:t>be expressed in pounds sterling</w:t>
      </w:r>
      <w:r w:rsidR="001B3469">
        <w:rPr>
          <w:sz w:val="22"/>
          <w:szCs w:val="22"/>
        </w:rPr>
        <w:t xml:space="preserve"> </w:t>
      </w:r>
      <w:r w:rsidR="00EF3022">
        <w:rPr>
          <w:sz w:val="22"/>
          <w:szCs w:val="22"/>
        </w:rPr>
        <w:t>and VAT.</w:t>
      </w:r>
    </w:p>
    <w:p w14:paraId="1EA7ECE2" w14:textId="74035D4E" w:rsidR="001947F0" w:rsidRPr="00EF3022" w:rsidRDefault="001947F0" w:rsidP="001947F0">
      <w:pPr>
        <w:pStyle w:val="Level3"/>
        <w:rPr>
          <w:sz w:val="22"/>
          <w:szCs w:val="22"/>
        </w:rPr>
      </w:pPr>
      <w:r w:rsidRPr="00EF3022">
        <w:rPr>
          <w:sz w:val="22"/>
          <w:szCs w:val="22"/>
        </w:rPr>
        <w:t>Comp</w:t>
      </w:r>
      <w:r w:rsidR="00AF0833" w:rsidRPr="00EF3022">
        <w:rPr>
          <w:sz w:val="22"/>
          <w:szCs w:val="22"/>
        </w:rPr>
        <w:t>leted and signed Form of Tender</w:t>
      </w:r>
    </w:p>
    <w:p w14:paraId="2B3758D1" w14:textId="77777777" w:rsidR="001947F0" w:rsidRPr="00EF3022" w:rsidRDefault="001947F0" w:rsidP="001947F0">
      <w:pPr>
        <w:pStyle w:val="Level3"/>
        <w:rPr>
          <w:sz w:val="22"/>
          <w:szCs w:val="22"/>
        </w:rPr>
      </w:pPr>
      <w:r w:rsidRPr="00EF3022">
        <w:rPr>
          <w:sz w:val="22"/>
          <w:szCs w:val="22"/>
        </w:rPr>
        <w:t>Completed and signed Non-Collusion D</w:t>
      </w:r>
      <w:r w:rsidR="00D34207" w:rsidRPr="00EF3022">
        <w:rPr>
          <w:sz w:val="22"/>
          <w:szCs w:val="22"/>
        </w:rPr>
        <w:t>eclaration; and</w:t>
      </w:r>
    </w:p>
    <w:p w14:paraId="0557250B" w14:textId="7D905516" w:rsidR="001947F0" w:rsidRPr="00EF3022" w:rsidRDefault="001947F0" w:rsidP="008217BD">
      <w:pPr>
        <w:pStyle w:val="Level3"/>
        <w:rPr>
          <w:sz w:val="22"/>
          <w:szCs w:val="22"/>
        </w:rPr>
      </w:pPr>
      <w:r w:rsidRPr="00EF3022">
        <w:rPr>
          <w:sz w:val="22"/>
          <w:szCs w:val="22"/>
        </w:rPr>
        <w:t>Completed and signed Con</w:t>
      </w:r>
      <w:r w:rsidR="00EF3022" w:rsidRPr="00EF3022">
        <w:rPr>
          <w:sz w:val="22"/>
          <w:szCs w:val="22"/>
        </w:rPr>
        <w:t>fidentiality Undertaking</w:t>
      </w:r>
    </w:p>
    <w:p w14:paraId="58654019" w14:textId="7408A02B" w:rsidR="00EF3022" w:rsidRPr="00EF3022" w:rsidRDefault="00EF3022" w:rsidP="008217BD">
      <w:pPr>
        <w:pStyle w:val="Level3"/>
        <w:rPr>
          <w:sz w:val="22"/>
          <w:szCs w:val="22"/>
        </w:rPr>
      </w:pPr>
      <w:r w:rsidRPr="00EF3022">
        <w:rPr>
          <w:sz w:val="22"/>
          <w:szCs w:val="22"/>
        </w:rPr>
        <w:lastRenderedPageBreak/>
        <w:t>Details of any indication that a conflict of interest exists or may arise within the meaning of Regulation 24 of the Public Contract Regulations 2015</w:t>
      </w:r>
    </w:p>
    <w:p w14:paraId="09F58923" w14:textId="6680FF17" w:rsidR="00EF3022" w:rsidRPr="00EF3022" w:rsidRDefault="00EF3022" w:rsidP="008217BD">
      <w:pPr>
        <w:pStyle w:val="Level3"/>
        <w:rPr>
          <w:sz w:val="22"/>
          <w:szCs w:val="22"/>
        </w:rPr>
      </w:pPr>
      <w:r w:rsidRPr="00EF3022">
        <w:rPr>
          <w:sz w:val="22"/>
          <w:szCs w:val="22"/>
        </w:rPr>
        <w:t>Only information requested within the response document will be evaluated. Please do not include any additional information or attachments unless specifically requested to do so within the response document</w:t>
      </w:r>
    </w:p>
    <w:p w14:paraId="7B34C5AC" w14:textId="6EF9B7A1" w:rsidR="001947F0" w:rsidRPr="00923945" w:rsidRDefault="001947F0" w:rsidP="001947F0">
      <w:pPr>
        <w:pStyle w:val="Level2"/>
        <w:rPr>
          <w:sz w:val="22"/>
          <w:szCs w:val="22"/>
        </w:rPr>
      </w:pPr>
      <w:r w:rsidRPr="00EF3022">
        <w:rPr>
          <w:sz w:val="22"/>
          <w:szCs w:val="22"/>
        </w:rPr>
        <w:t xml:space="preserve">All prices, charges and rates must be </w:t>
      </w:r>
      <w:r w:rsidR="00EF3022" w:rsidRPr="00EF3022">
        <w:rPr>
          <w:sz w:val="22"/>
          <w:szCs w:val="22"/>
        </w:rPr>
        <w:t>in all cases be stated exclusive of Insurance Premium Tax and Value Added Tax ("</w:t>
      </w:r>
      <w:r w:rsidR="00EF3022" w:rsidRPr="00EF3022">
        <w:rPr>
          <w:b/>
          <w:sz w:val="22"/>
          <w:szCs w:val="22"/>
        </w:rPr>
        <w:t>VAT</w:t>
      </w:r>
      <w:r w:rsidR="00EF3022" w:rsidRPr="00EF3022">
        <w:rPr>
          <w:sz w:val="22"/>
          <w:szCs w:val="22"/>
        </w:rPr>
        <w:t>")</w:t>
      </w:r>
      <w:r w:rsidR="00EF3022">
        <w:rPr>
          <w:sz w:val="22"/>
          <w:szCs w:val="22"/>
        </w:rPr>
        <w:t xml:space="preserve"> and</w:t>
      </w:r>
      <w:r w:rsidR="00EF3022" w:rsidRPr="00923945">
        <w:rPr>
          <w:sz w:val="22"/>
          <w:szCs w:val="22"/>
        </w:rPr>
        <w:t xml:space="preserve"> </w:t>
      </w:r>
      <w:r w:rsidR="00EF3022">
        <w:rPr>
          <w:sz w:val="22"/>
          <w:szCs w:val="22"/>
        </w:rPr>
        <w:t xml:space="preserve">in pounds sterling. </w:t>
      </w:r>
      <w:r w:rsidRPr="00923945">
        <w:rPr>
          <w:sz w:val="22"/>
          <w:szCs w:val="22"/>
        </w:rPr>
        <w:t xml:space="preserve">Tenderers should include within their rates appropriate costs relating to, without limitation, staff, vehicles, equipment, materials and to all works being undertaken safely, and the compliance with all statutory provisions and other rules or regulations relating to the Services including the Health and Safety at Work </w:t>
      </w:r>
      <w:r w:rsidR="00A80680" w:rsidRPr="00923945">
        <w:rPr>
          <w:sz w:val="22"/>
          <w:szCs w:val="22"/>
        </w:rPr>
        <w:t>etc.</w:t>
      </w:r>
      <w:r w:rsidRPr="00923945">
        <w:rPr>
          <w:sz w:val="22"/>
          <w:szCs w:val="22"/>
        </w:rPr>
        <w:t xml:space="preserve"> Act 1974 and Control of Substances Hazardous to Health Regulations 2002.</w:t>
      </w:r>
    </w:p>
    <w:p w14:paraId="32905DE8" w14:textId="77777777" w:rsidR="001947F0" w:rsidRPr="00923945" w:rsidRDefault="001947F0" w:rsidP="00EA08E1">
      <w:pPr>
        <w:pStyle w:val="Level2"/>
        <w:rPr>
          <w:sz w:val="22"/>
          <w:szCs w:val="22"/>
        </w:rPr>
      </w:pPr>
      <w:r w:rsidRPr="00923945">
        <w:rPr>
          <w:sz w:val="22"/>
          <w:szCs w:val="22"/>
        </w:rPr>
        <w:t>Tenderers should note that,</w:t>
      </w:r>
      <w:r w:rsidRPr="00923945">
        <w:rPr>
          <w:color w:val="800080"/>
          <w:sz w:val="22"/>
          <w:szCs w:val="22"/>
        </w:rPr>
        <w:t xml:space="preserve"> </w:t>
      </w:r>
      <w:r w:rsidRPr="00923945">
        <w:rPr>
          <w:sz w:val="22"/>
          <w:szCs w:val="22"/>
        </w:rPr>
        <w:t>where the Tenderer is a consortium, the Tender Response Document will be deemed</w:t>
      </w:r>
      <w:r w:rsidR="00A80680" w:rsidRPr="00923945">
        <w:rPr>
          <w:sz w:val="22"/>
          <w:szCs w:val="22"/>
        </w:rPr>
        <w:t xml:space="preserve"> to have been submitted by the l</w:t>
      </w:r>
      <w:r w:rsidRPr="00923945">
        <w:rPr>
          <w:sz w:val="22"/>
          <w:szCs w:val="22"/>
        </w:rPr>
        <w:t xml:space="preserve">ead member of the consortium. </w:t>
      </w:r>
    </w:p>
    <w:p w14:paraId="676F6206" w14:textId="77777777" w:rsidR="001947F0" w:rsidRPr="00923945" w:rsidRDefault="001947F0" w:rsidP="00EA08E1">
      <w:pPr>
        <w:pStyle w:val="Level1"/>
        <w:keepNext/>
        <w:rPr>
          <w:b/>
          <w:bCs/>
          <w:caps/>
          <w:sz w:val="22"/>
          <w:szCs w:val="22"/>
        </w:rPr>
      </w:pPr>
      <w:r w:rsidRPr="00923945">
        <w:rPr>
          <w:rStyle w:val="Level1asHeadingtext"/>
          <w:sz w:val="22"/>
          <w:szCs w:val="22"/>
        </w:rPr>
        <w:t>Submission of Tender Response Document</w:t>
      </w:r>
    </w:p>
    <w:p w14:paraId="37106ABB" w14:textId="77777777" w:rsidR="001947F0" w:rsidRPr="00923945" w:rsidRDefault="001947F0" w:rsidP="00EA08E1">
      <w:pPr>
        <w:pStyle w:val="Level2"/>
        <w:rPr>
          <w:sz w:val="22"/>
          <w:szCs w:val="22"/>
        </w:rPr>
      </w:pPr>
      <w:r w:rsidRPr="00923945">
        <w:rPr>
          <w:sz w:val="22"/>
          <w:szCs w:val="22"/>
        </w:rPr>
        <w:t xml:space="preserve">The Tender Response Document and all other accompanying documentation must be completed as directed and submitted via the Council’s </w:t>
      </w:r>
      <w:r w:rsidR="006009F6" w:rsidRPr="00923945">
        <w:rPr>
          <w:bCs/>
          <w:sz w:val="22"/>
          <w:szCs w:val="22"/>
          <w:lang w:eastAsia="x-none"/>
        </w:rPr>
        <w:t>e-Tendering Portal</w:t>
      </w:r>
      <w:r w:rsidRPr="00923945">
        <w:rPr>
          <w:sz w:val="22"/>
          <w:szCs w:val="22"/>
        </w:rPr>
        <w:t>:</w:t>
      </w:r>
    </w:p>
    <w:p w14:paraId="0BDB46A7" w14:textId="4F39A208" w:rsidR="001947F0" w:rsidRPr="00923945" w:rsidRDefault="00FA0386" w:rsidP="00EA08E1">
      <w:pPr>
        <w:pStyle w:val="Body1"/>
        <w:rPr>
          <w:b/>
          <w:sz w:val="22"/>
          <w:szCs w:val="22"/>
        </w:rPr>
      </w:pPr>
      <w:hyperlink r:id="rId18" w:history="1">
        <w:r w:rsidR="001947F0" w:rsidRPr="00923945">
          <w:rPr>
            <w:rStyle w:val="Hyperlink"/>
            <w:sz w:val="22"/>
            <w:szCs w:val="22"/>
          </w:rPr>
          <w:t>https://procontract.due-north.com/register</w:t>
        </w:r>
      </w:hyperlink>
    </w:p>
    <w:p w14:paraId="7632296A" w14:textId="77777777" w:rsidR="001947F0" w:rsidRPr="00923945" w:rsidRDefault="001947F0" w:rsidP="00EA08E1">
      <w:pPr>
        <w:pStyle w:val="Level2"/>
        <w:rPr>
          <w:sz w:val="22"/>
          <w:szCs w:val="22"/>
        </w:rPr>
      </w:pPr>
      <w:r w:rsidRPr="00923945">
        <w:rPr>
          <w:sz w:val="22"/>
          <w:szCs w:val="22"/>
        </w:rPr>
        <w:t xml:space="preserve">Please ensure that you allow sufficient time to follow the instructions provided as the Council cannot accept responsibility for transmission delays. Documentation which has been uploaded onto </w:t>
      </w:r>
      <w:r w:rsidRPr="00923945">
        <w:rPr>
          <w:color w:val="000000"/>
          <w:sz w:val="22"/>
          <w:szCs w:val="22"/>
        </w:rPr>
        <w:t xml:space="preserve">the Council’s </w:t>
      </w:r>
      <w:r w:rsidR="006009F6" w:rsidRPr="00923945">
        <w:rPr>
          <w:bCs/>
          <w:sz w:val="22"/>
          <w:szCs w:val="22"/>
          <w:lang w:eastAsia="x-none"/>
        </w:rPr>
        <w:t>e-Tendering Portal</w:t>
      </w:r>
      <w:r w:rsidR="006009F6" w:rsidRPr="00923945">
        <w:rPr>
          <w:sz w:val="22"/>
          <w:szCs w:val="22"/>
        </w:rPr>
        <w:t xml:space="preserve"> </w:t>
      </w:r>
      <w:r w:rsidRPr="00923945">
        <w:rPr>
          <w:sz w:val="22"/>
          <w:szCs w:val="22"/>
        </w:rPr>
        <w:t>but not submitted will not be considered.</w:t>
      </w:r>
    </w:p>
    <w:p w14:paraId="7D6BC2E9" w14:textId="77777777" w:rsidR="001947F0" w:rsidRPr="00923945" w:rsidRDefault="001947F0" w:rsidP="00EA08E1">
      <w:pPr>
        <w:pStyle w:val="Level2"/>
        <w:rPr>
          <w:sz w:val="22"/>
          <w:szCs w:val="22"/>
        </w:rPr>
      </w:pPr>
      <w:r w:rsidRPr="00923945">
        <w:rPr>
          <w:sz w:val="22"/>
          <w:szCs w:val="22"/>
        </w:rPr>
        <w:t xml:space="preserve">The Council will not accept printed or hard copy Tender Response Documents. Tender Response Documents are only to be submitted electronically via the </w:t>
      </w:r>
      <w:r w:rsidRPr="00923945">
        <w:rPr>
          <w:color w:val="000000"/>
          <w:sz w:val="22"/>
          <w:szCs w:val="22"/>
        </w:rPr>
        <w:t xml:space="preserve">Council’s </w:t>
      </w:r>
      <w:r w:rsidR="006009F6" w:rsidRPr="00923945">
        <w:rPr>
          <w:bCs/>
          <w:sz w:val="22"/>
          <w:szCs w:val="22"/>
          <w:lang w:eastAsia="x-none"/>
        </w:rPr>
        <w:t>e-Tendering Portal</w:t>
      </w:r>
      <w:r w:rsidRPr="00923945">
        <w:rPr>
          <w:sz w:val="22"/>
          <w:szCs w:val="22"/>
        </w:rPr>
        <w:t>.</w:t>
      </w:r>
    </w:p>
    <w:p w14:paraId="2A216B24" w14:textId="5DC06501" w:rsidR="001947F0" w:rsidRPr="00923945" w:rsidRDefault="001947F0" w:rsidP="00EA08E1">
      <w:pPr>
        <w:pStyle w:val="Level2"/>
        <w:rPr>
          <w:b/>
          <w:sz w:val="22"/>
          <w:szCs w:val="22"/>
        </w:rPr>
      </w:pPr>
      <w:r w:rsidRPr="00923945">
        <w:rPr>
          <w:b/>
          <w:sz w:val="22"/>
          <w:szCs w:val="22"/>
        </w:rPr>
        <w:t xml:space="preserve">Submission of Tender Response </w:t>
      </w:r>
      <w:r w:rsidR="00A80680" w:rsidRPr="00923945">
        <w:rPr>
          <w:b/>
          <w:sz w:val="22"/>
          <w:szCs w:val="22"/>
        </w:rPr>
        <w:t>Documents</w:t>
      </w:r>
      <w:r w:rsidRPr="00923945">
        <w:rPr>
          <w:b/>
          <w:sz w:val="22"/>
          <w:szCs w:val="22"/>
        </w:rPr>
        <w:t xml:space="preserve"> must be completed by </w:t>
      </w:r>
      <w:r w:rsidR="00613312" w:rsidRPr="00923945">
        <w:rPr>
          <w:b/>
          <w:bCs/>
          <w:iCs/>
          <w:color w:val="000000"/>
          <w:sz w:val="22"/>
          <w:szCs w:val="22"/>
          <w:lang w:eastAsia="x-none"/>
        </w:rPr>
        <w:t xml:space="preserve">12:00 </w:t>
      </w:r>
      <w:r w:rsidR="00613312" w:rsidRPr="00DE577B">
        <w:rPr>
          <w:b/>
          <w:bCs/>
          <w:iCs/>
          <w:color w:val="000000"/>
          <w:sz w:val="22"/>
          <w:szCs w:val="22"/>
          <w:lang w:eastAsia="x-none"/>
        </w:rPr>
        <w:t>noon</w:t>
      </w:r>
      <w:r w:rsidR="007C238C" w:rsidRPr="00DE577B">
        <w:rPr>
          <w:b/>
          <w:bCs/>
          <w:iCs/>
          <w:color w:val="000000"/>
          <w:sz w:val="22"/>
          <w:szCs w:val="22"/>
          <w:lang w:eastAsia="x-none"/>
        </w:rPr>
        <w:t xml:space="preserve"> on 26 March 2018</w:t>
      </w:r>
      <w:r w:rsidR="007C238C" w:rsidRPr="00DE577B">
        <w:rPr>
          <w:b/>
          <w:sz w:val="22"/>
          <w:szCs w:val="22"/>
        </w:rPr>
        <w:t xml:space="preserve"> via the </w:t>
      </w:r>
      <w:r w:rsidR="007C238C" w:rsidRPr="00DE577B">
        <w:rPr>
          <w:b/>
          <w:bCs/>
          <w:sz w:val="22"/>
          <w:szCs w:val="22"/>
          <w:lang w:eastAsia="x-none"/>
        </w:rPr>
        <w:t>e-Tendering Portal</w:t>
      </w:r>
      <w:r w:rsidR="00DE577B">
        <w:rPr>
          <w:b/>
          <w:sz w:val="22"/>
          <w:szCs w:val="22"/>
        </w:rPr>
        <w:t>.</w:t>
      </w:r>
    </w:p>
    <w:p w14:paraId="5F181FB7" w14:textId="77777777" w:rsidR="001947F0" w:rsidRPr="00923945" w:rsidRDefault="001947F0" w:rsidP="00EA08E1">
      <w:pPr>
        <w:pStyle w:val="Level2"/>
        <w:rPr>
          <w:sz w:val="22"/>
          <w:szCs w:val="22"/>
        </w:rPr>
      </w:pPr>
      <w:r w:rsidRPr="00923945">
        <w:rPr>
          <w:b/>
          <w:sz w:val="22"/>
          <w:szCs w:val="22"/>
        </w:rPr>
        <w:t>Please note that Tenderers can upload and submit their Tender Response Documents</w:t>
      </w:r>
      <w:r w:rsidRPr="00923945" w:rsidDel="00BA6FEF">
        <w:rPr>
          <w:b/>
          <w:sz w:val="22"/>
          <w:szCs w:val="22"/>
        </w:rPr>
        <w:t xml:space="preserve"> </w:t>
      </w:r>
      <w:r w:rsidRPr="00923945">
        <w:rPr>
          <w:b/>
          <w:sz w:val="22"/>
          <w:szCs w:val="22"/>
        </w:rPr>
        <w:t xml:space="preserve">to the </w:t>
      </w:r>
      <w:r w:rsidR="006009F6" w:rsidRPr="00923945">
        <w:rPr>
          <w:b/>
          <w:bCs/>
          <w:sz w:val="22"/>
          <w:szCs w:val="22"/>
          <w:lang w:eastAsia="x-none"/>
        </w:rPr>
        <w:t>e-Tendering Portal</w:t>
      </w:r>
      <w:r w:rsidR="006009F6" w:rsidRPr="00923945">
        <w:rPr>
          <w:b/>
          <w:sz w:val="22"/>
          <w:szCs w:val="22"/>
        </w:rPr>
        <w:t xml:space="preserve"> </w:t>
      </w:r>
      <w:r w:rsidRPr="00923945">
        <w:rPr>
          <w:b/>
          <w:sz w:val="22"/>
          <w:szCs w:val="22"/>
        </w:rPr>
        <w:t xml:space="preserve">at any time prior to the deadline above. </w:t>
      </w:r>
      <w:r w:rsidRPr="00923945">
        <w:rPr>
          <w:sz w:val="22"/>
          <w:szCs w:val="22"/>
        </w:rPr>
        <w:t xml:space="preserve">When uploading your response, please be aware of the speed of your Internet connection, your system configuration and general web traffic may impact on the time taken to complete the transaction. The Council strongly encourages Tenderers not to leave the upload and submission of documentation until the last moment. </w:t>
      </w:r>
    </w:p>
    <w:p w14:paraId="3B858EF1" w14:textId="51D31FF2" w:rsidR="001947F0" w:rsidRPr="00923945" w:rsidRDefault="001947F0" w:rsidP="00EA08E1">
      <w:pPr>
        <w:pStyle w:val="Level2"/>
        <w:rPr>
          <w:sz w:val="22"/>
          <w:szCs w:val="22"/>
        </w:rPr>
      </w:pPr>
      <w:r w:rsidRPr="00923945">
        <w:rPr>
          <w:sz w:val="22"/>
          <w:szCs w:val="22"/>
        </w:rPr>
        <w:t xml:space="preserve">The </w:t>
      </w:r>
      <w:r w:rsidR="000B06BD">
        <w:rPr>
          <w:sz w:val="22"/>
          <w:szCs w:val="22"/>
        </w:rPr>
        <w:t xml:space="preserve">ILC </w:t>
      </w:r>
      <w:r w:rsidRPr="00923945">
        <w:rPr>
          <w:sz w:val="22"/>
          <w:szCs w:val="22"/>
        </w:rPr>
        <w:t xml:space="preserve">expressly reserves the right to request a Tenderer to provide additional information supplementing or clarifying any of the information provided in response to the requests set out in the </w:t>
      </w:r>
      <w:r w:rsidR="00D35C8D" w:rsidRPr="00923945">
        <w:rPr>
          <w:color w:val="000000"/>
          <w:sz w:val="22"/>
          <w:szCs w:val="22"/>
        </w:rPr>
        <w:t>Invitation to Tender</w:t>
      </w:r>
      <w:r w:rsidRPr="00923945">
        <w:rPr>
          <w:sz w:val="22"/>
          <w:szCs w:val="22"/>
        </w:rPr>
        <w:t xml:space="preserve">. </w:t>
      </w:r>
      <w:r w:rsidR="00415E86">
        <w:rPr>
          <w:sz w:val="22"/>
          <w:szCs w:val="22"/>
        </w:rPr>
        <w:t xml:space="preserve"> </w:t>
      </w:r>
      <w:r w:rsidRPr="00923945">
        <w:rPr>
          <w:sz w:val="22"/>
          <w:szCs w:val="22"/>
        </w:rPr>
        <w:t xml:space="preserve">If the </w:t>
      </w:r>
      <w:r w:rsidR="000B06BD">
        <w:rPr>
          <w:sz w:val="22"/>
          <w:szCs w:val="22"/>
        </w:rPr>
        <w:t>ILC</w:t>
      </w:r>
      <w:r w:rsidRPr="00923945">
        <w:rPr>
          <w:sz w:val="22"/>
          <w:szCs w:val="22"/>
        </w:rPr>
        <w:t xml:space="preserve"> determines a Tender Response Document to be incomplete in any material </w:t>
      </w:r>
      <w:r w:rsidRPr="00923945">
        <w:rPr>
          <w:sz w:val="22"/>
          <w:szCs w:val="22"/>
        </w:rPr>
        <w:lastRenderedPageBreak/>
        <w:t xml:space="preserve">aspect, the </w:t>
      </w:r>
      <w:r w:rsidR="000B06BD">
        <w:rPr>
          <w:sz w:val="22"/>
          <w:szCs w:val="22"/>
        </w:rPr>
        <w:t>ILC</w:t>
      </w:r>
      <w:r w:rsidRPr="00923945">
        <w:rPr>
          <w:sz w:val="22"/>
          <w:szCs w:val="22"/>
        </w:rPr>
        <w:t xml:space="preserve"> expressly reserves the right to reject that </w:t>
      </w:r>
      <w:r w:rsidRPr="00923945">
        <w:rPr>
          <w:color w:val="000000"/>
          <w:sz w:val="22"/>
          <w:szCs w:val="22"/>
        </w:rPr>
        <w:t>Tender</w:t>
      </w:r>
      <w:r w:rsidRPr="00923945">
        <w:rPr>
          <w:sz w:val="22"/>
          <w:szCs w:val="22"/>
        </w:rPr>
        <w:t xml:space="preserve"> Response Document. </w:t>
      </w:r>
    </w:p>
    <w:p w14:paraId="0DC976C4" w14:textId="7D5F4583" w:rsidR="001947F0" w:rsidRPr="00923945" w:rsidRDefault="001947F0" w:rsidP="00EA08E1">
      <w:pPr>
        <w:pStyle w:val="Level2"/>
        <w:rPr>
          <w:sz w:val="22"/>
          <w:szCs w:val="22"/>
        </w:rPr>
      </w:pPr>
      <w:r w:rsidRPr="00923945">
        <w:rPr>
          <w:sz w:val="22"/>
          <w:szCs w:val="22"/>
        </w:rPr>
        <w:t xml:space="preserve">It is each Tenderer's responsibility to ensure that all </w:t>
      </w:r>
      <w:r w:rsidRPr="00923945">
        <w:rPr>
          <w:color w:val="000000"/>
          <w:sz w:val="22"/>
          <w:szCs w:val="22"/>
        </w:rPr>
        <w:t>Tender</w:t>
      </w:r>
      <w:r w:rsidRPr="00923945">
        <w:rPr>
          <w:sz w:val="22"/>
          <w:szCs w:val="22"/>
        </w:rPr>
        <w:t xml:space="preserve"> Response Documents arrive complete and on time. The </w:t>
      </w:r>
      <w:r w:rsidR="000B06BD">
        <w:rPr>
          <w:sz w:val="22"/>
          <w:szCs w:val="22"/>
        </w:rPr>
        <w:t>ILC</w:t>
      </w:r>
      <w:r w:rsidRPr="00923945">
        <w:rPr>
          <w:sz w:val="22"/>
          <w:szCs w:val="22"/>
        </w:rPr>
        <w:t xml:space="preserve"> reserves the right not to accept a </w:t>
      </w:r>
      <w:r w:rsidRPr="00923945">
        <w:rPr>
          <w:color w:val="000000"/>
          <w:sz w:val="22"/>
          <w:szCs w:val="22"/>
        </w:rPr>
        <w:t>Tender</w:t>
      </w:r>
      <w:r w:rsidRPr="00923945">
        <w:rPr>
          <w:sz w:val="22"/>
          <w:szCs w:val="22"/>
        </w:rPr>
        <w:t xml:space="preserve"> Response Document from a Tenderer unless all of the required documentation is submitted in all of the required formats prior to the </w:t>
      </w:r>
      <w:r w:rsidRPr="00923945">
        <w:rPr>
          <w:color w:val="000000"/>
          <w:sz w:val="22"/>
          <w:szCs w:val="22"/>
        </w:rPr>
        <w:t>ITT Response Deadline</w:t>
      </w:r>
      <w:r w:rsidRPr="00923945">
        <w:rPr>
          <w:sz w:val="22"/>
          <w:szCs w:val="22"/>
        </w:rPr>
        <w:t>.</w:t>
      </w:r>
    </w:p>
    <w:p w14:paraId="04DDEE0F" w14:textId="5C9968EE" w:rsidR="001947F0" w:rsidRPr="00923945" w:rsidRDefault="001947F0" w:rsidP="00EA08E1">
      <w:pPr>
        <w:pStyle w:val="Level2"/>
        <w:rPr>
          <w:color w:val="000000"/>
          <w:sz w:val="22"/>
          <w:szCs w:val="22"/>
        </w:rPr>
      </w:pPr>
      <w:r w:rsidRPr="00923945">
        <w:rPr>
          <w:color w:val="000000"/>
          <w:sz w:val="22"/>
          <w:szCs w:val="22"/>
        </w:rPr>
        <w:t xml:space="preserve">All Tenderers shall keep their respective Tender Response Document valid and open for acceptance by the </w:t>
      </w:r>
      <w:r w:rsidR="00D5510C">
        <w:rPr>
          <w:color w:val="000000"/>
          <w:sz w:val="22"/>
          <w:szCs w:val="22"/>
        </w:rPr>
        <w:t>ILC</w:t>
      </w:r>
      <w:r w:rsidRPr="00923945">
        <w:rPr>
          <w:color w:val="000000"/>
          <w:sz w:val="22"/>
          <w:szCs w:val="22"/>
        </w:rPr>
        <w:t xml:space="preserve"> for a period </w:t>
      </w:r>
      <w:r w:rsidR="000B06BD">
        <w:rPr>
          <w:color w:val="000000"/>
          <w:sz w:val="22"/>
          <w:szCs w:val="22"/>
        </w:rPr>
        <w:t xml:space="preserve">until </w:t>
      </w:r>
      <w:r w:rsidR="007C238C">
        <w:rPr>
          <w:color w:val="000000"/>
          <w:sz w:val="22"/>
          <w:szCs w:val="22"/>
        </w:rPr>
        <w:t>September 2018.</w:t>
      </w:r>
    </w:p>
    <w:p w14:paraId="51027969" w14:textId="77777777" w:rsidR="001947F0" w:rsidRPr="00923945" w:rsidRDefault="001947F0" w:rsidP="00EA08E1">
      <w:pPr>
        <w:pStyle w:val="Level1"/>
        <w:keepNext/>
        <w:rPr>
          <w:b/>
          <w:bCs/>
          <w:caps/>
          <w:sz w:val="22"/>
          <w:szCs w:val="22"/>
        </w:rPr>
      </w:pPr>
      <w:r w:rsidRPr="00923945">
        <w:rPr>
          <w:rStyle w:val="Level1asHeadingtext"/>
          <w:sz w:val="22"/>
          <w:szCs w:val="22"/>
        </w:rPr>
        <w:t>Rejection of Tender Response Document</w:t>
      </w:r>
    </w:p>
    <w:p w14:paraId="66F88151" w14:textId="77777777" w:rsidR="001947F0" w:rsidRPr="00923945" w:rsidRDefault="002A7A4B" w:rsidP="00EA08E1">
      <w:pPr>
        <w:pStyle w:val="Level2"/>
        <w:rPr>
          <w:sz w:val="22"/>
          <w:szCs w:val="22"/>
        </w:rPr>
      </w:pPr>
      <w:r w:rsidRPr="00923945">
        <w:rPr>
          <w:sz w:val="22"/>
          <w:szCs w:val="22"/>
        </w:rPr>
        <w:t>A</w:t>
      </w:r>
      <w:r w:rsidR="001947F0" w:rsidRPr="00923945">
        <w:rPr>
          <w:sz w:val="22"/>
          <w:szCs w:val="22"/>
        </w:rPr>
        <w:t xml:space="preserve"> Tender Response Document submitted by </w:t>
      </w:r>
      <w:r w:rsidRPr="00923945">
        <w:rPr>
          <w:sz w:val="22"/>
          <w:szCs w:val="22"/>
        </w:rPr>
        <w:t>a</w:t>
      </w:r>
      <w:r w:rsidR="001947F0" w:rsidRPr="00923945">
        <w:rPr>
          <w:sz w:val="22"/>
          <w:szCs w:val="22"/>
        </w:rPr>
        <w:t xml:space="preserve"> Tenderer in respect of which the Tenderer:</w:t>
      </w:r>
    </w:p>
    <w:p w14:paraId="6685E7E6" w14:textId="4999F7FB" w:rsidR="001947F0" w:rsidRPr="00923945" w:rsidRDefault="001947F0" w:rsidP="00DA3201">
      <w:pPr>
        <w:pStyle w:val="Level3"/>
        <w:rPr>
          <w:sz w:val="22"/>
          <w:szCs w:val="22"/>
        </w:rPr>
      </w:pPr>
      <w:r w:rsidRPr="00923945">
        <w:rPr>
          <w:sz w:val="22"/>
          <w:szCs w:val="22"/>
        </w:rPr>
        <w:t xml:space="preserve">fails to </w:t>
      </w:r>
      <w:r w:rsidR="000B06BD">
        <w:rPr>
          <w:sz w:val="22"/>
          <w:szCs w:val="22"/>
        </w:rPr>
        <w:t>provide the cover specified</w:t>
      </w:r>
    </w:p>
    <w:p w14:paraId="3A1E5CD7" w14:textId="77777777" w:rsidR="001947F0" w:rsidRPr="00923945" w:rsidRDefault="001947F0" w:rsidP="00DA3201">
      <w:pPr>
        <w:pStyle w:val="Level3"/>
        <w:rPr>
          <w:sz w:val="22"/>
          <w:szCs w:val="22"/>
        </w:rPr>
      </w:pPr>
      <w:r w:rsidRPr="00923945">
        <w:rPr>
          <w:sz w:val="22"/>
          <w:szCs w:val="22"/>
        </w:rPr>
        <w:t>fixes or adjusts the prices, charges and rates shown in its Tender Response Document:</w:t>
      </w:r>
    </w:p>
    <w:p w14:paraId="39DC685E" w14:textId="77777777" w:rsidR="001947F0" w:rsidRPr="00923945" w:rsidRDefault="001947F0" w:rsidP="00DA3201">
      <w:pPr>
        <w:pStyle w:val="Level4"/>
        <w:rPr>
          <w:sz w:val="22"/>
          <w:szCs w:val="22"/>
        </w:rPr>
      </w:pPr>
      <w:r w:rsidRPr="00923945">
        <w:rPr>
          <w:sz w:val="22"/>
          <w:szCs w:val="22"/>
        </w:rPr>
        <w:t>by or in connection with any agreement or arrangement with any other person; or</w:t>
      </w:r>
    </w:p>
    <w:p w14:paraId="579CA3D5" w14:textId="77777777" w:rsidR="001947F0" w:rsidRPr="00923945" w:rsidRDefault="001947F0" w:rsidP="00DA3201">
      <w:pPr>
        <w:pStyle w:val="Level4"/>
        <w:rPr>
          <w:color w:val="000000"/>
          <w:sz w:val="22"/>
          <w:szCs w:val="22"/>
        </w:rPr>
      </w:pPr>
      <w:r w:rsidRPr="00923945">
        <w:rPr>
          <w:color w:val="000000"/>
          <w:sz w:val="22"/>
          <w:szCs w:val="22"/>
        </w:rPr>
        <w:t xml:space="preserve">by reference to any other </w:t>
      </w:r>
      <w:r w:rsidRPr="00923945">
        <w:rPr>
          <w:sz w:val="22"/>
          <w:szCs w:val="22"/>
        </w:rPr>
        <w:t>Tender Response Document</w:t>
      </w:r>
      <w:r w:rsidRPr="00923945">
        <w:rPr>
          <w:color w:val="000000"/>
          <w:sz w:val="22"/>
          <w:szCs w:val="22"/>
        </w:rPr>
        <w:t>; or</w:t>
      </w:r>
    </w:p>
    <w:p w14:paraId="2F45F95F" w14:textId="363CD985" w:rsidR="001947F0" w:rsidRPr="00923945" w:rsidRDefault="001947F0" w:rsidP="00DA3201">
      <w:pPr>
        <w:pStyle w:val="Level3"/>
        <w:rPr>
          <w:color w:val="000000"/>
          <w:sz w:val="22"/>
          <w:szCs w:val="22"/>
        </w:rPr>
      </w:pPr>
      <w:r w:rsidRPr="00923945">
        <w:rPr>
          <w:color w:val="000000"/>
          <w:sz w:val="22"/>
          <w:szCs w:val="22"/>
        </w:rPr>
        <w:t xml:space="preserve">communicates to any person other than the </w:t>
      </w:r>
      <w:r w:rsidR="000B06BD">
        <w:rPr>
          <w:color w:val="000000"/>
          <w:sz w:val="22"/>
          <w:szCs w:val="22"/>
        </w:rPr>
        <w:t>ILC</w:t>
      </w:r>
      <w:r w:rsidRPr="00923945">
        <w:rPr>
          <w:color w:val="000000"/>
          <w:sz w:val="22"/>
          <w:szCs w:val="22"/>
        </w:rPr>
        <w:t xml:space="preserve"> the amount or approximate amount of the prices, charges and rates shown in its </w:t>
      </w:r>
      <w:r w:rsidRPr="00923945">
        <w:rPr>
          <w:sz w:val="22"/>
          <w:szCs w:val="22"/>
        </w:rPr>
        <w:t>Tender Response Document</w:t>
      </w:r>
      <w:r w:rsidRPr="00923945">
        <w:rPr>
          <w:color w:val="000000"/>
          <w:sz w:val="22"/>
          <w:szCs w:val="22"/>
        </w:rPr>
        <w:t xml:space="preserve">; </w:t>
      </w:r>
    </w:p>
    <w:p w14:paraId="2A7C86EE" w14:textId="77777777" w:rsidR="001947F0" w:rsidRPr="00923945" w:rsidRDefault="001947F0" w:rsidP="00FE49C2">
      <w:pPr>
        <w:pStyle w:val="Level3"/>
        <w:rPr>
          <w:color w:val="000000"/>
          <w:sz w:val="22"/>
          <w:szCs w:val="22"/>
        </w:rPr>
      </w:pPr>
      <w:r w:rsidRPr="00923945">
        <w:rPr>
          <w:color w:val="000000"/>
          <w:sz w:val="22"/>
          <w:szCs w:val="22"/>
        </w:rPr>
        <w:t xml:space="preserve">enters into any agreement with any other person that such other person shall refrain from submitting a </w:t>
      </w:r>
      <w:r w:rsidRPr="00923945">
        <w:rPr>
          <w:sz w:val="22"/>
          <w:szCs w:val="22"/>
        </w:rPr>
        <w:t>Tender Response Document</w:t>
      </w:r>
      <w:r w:rsidRPr="00923945">
        <w:rPr>
          <w:color w:val="000000"/>
          <w:sz w:val="22"/>
          <w:szCs w:val="22"/>
        </w:rPr>
        <w:t xml:space="preserve"> or shall limit or restrict the prices, charges and rates to be shown by any other Tenderer in its </w:t>
      </w:r>
      <w:r w:rsidRPr="00923945">
        <w:rPr>
          <w:sz w:val="22"/>
          <w:szCs w:val="22"/>
        </w:rPr>
        <w:t>Tender Response Document</w:t>
      </w:r>
      <w:r w:rsidRPr="00923945">
        <w:rPr>
          <w:color w:val="000000"/>
          <w:sz w:val="22"/>
          <w:szCs w:val="22"/>
        </w:rPr>
        <w:t xml:space="preserve">; </w:t>
      </w:r>
    </w:p>
    <w:p w14:paraId="06513500" w14:textId="77777777" w:rsidR="001947F0" w:rsidRPr="00923945" w:rsidRDefault="001947F0" w:rsidP="00FE49C2">
      <w:pPr>
        <w:pStyle w:val="Level3"/>
        <w:rPr>
          <w:sz w:val="22"/>
          <w:szCs w:val="22"/>
        </w:rPr>
      </w:pPr>
      <w:r w:rsidRPr="00923945">
        <w:rPr>
          <w:sz w:val="22"/>
          <w:szCs w:val="22"/>
        </w:rPr>
        <w:t xml:space="preserve">offers or agrees to pay or give or does pay or give any sum of money, inducement or valuable consideration directly or indirectly </w:t>
      </w:r>
      <w:r w:rsidRPr="00923945">
        <w:rPr>
          <w:sz w:val="22"/>
          <w:szCs w:val="22"/>
        </w:rPr>
        <w:tab/>
        <w:t xml:space="preserve">to any person for doing or having done or causing or having caused to be done in relation to any other Tenderer or any other person's proposed Tender Response </w:t>
      </w:r>
      <w:r w:rsidR="002A7A4B" w:rsidRPr="00923945">
        <w:rPr>
          <w:sz w:val="22"/>
          <w:szCs w:val="22"/>
        </w:rPr>
        <w:t xml:space="preserve">Document any act or omission; </w:t>
      </w:r>
    </w:p>
    <w:p w14:paraId="746B00FC" w14:textId="7471A31C" w:rsidR="001947F0" w:rsidRPr="00923945" w:rsidRDefault="001947F0" w:rsidP="00C87220">
      <w:pPr>
        <w:pStyle w:val="Level3"/>
        <w:rPr>
          <w:sz w:val="22"/>
          <w:szCs w:val="22"/>
        </w:rPr>
      </w:pPr>
      <w:r w:rsidRPr="00923945">
        <w:rPr>
          <w:sz w:val="22"/>
          <w:szCs w:val="22"/>
        </w:rPr>
        <w:t xml:space="preserve">in connection with its Tender Response Document or the conclusion of the </w:t>
      </w:r>
      <w:r w:rsidR="003F0A5A">
        <w:rPr>
          <w:sz w:val="22"/>
          <w:szCs w:val="22"/>
        </w:rPr>
        <w:t>Contract/s</w:t>
      </w:r>
      <w:r w:rsidRPr="00923945">
        <w:rPr>
          <w:sz w:val="22"/>
          <w:szCs w:val="22"/>
        </w:rPr>
        <w:t xml:space="preserve"> commits an offence under the Bribery Act 2010 or gives any fee or reward the receipt of which is an offence under Section 117 (2) of t</w:t>
      </w:r>
      <w:r w:rsidR="002A7A4B" w:rsidRPr="00923945">
        <w:rPr>
          <w:sz w:val="22"/>
          <w:szCs w:val="22"/>
        </w:rPr>
        <w:t xml:space="preserve">he Local Government Act 1972; </w:t>
      </w:r>
    </w:p>
    <w:p w14:paraId="4811C865" w14:textId="7A29DFC1" w:rsidR="001947F0" w:rsidRPr="00923945" w:rsidRDefault="001947F0" w:rsidP="009C7D2E">
      <w:pPr>
        <w:pStyle w:val="Level3"/>
        <w:rPr>
          <w:sz w:val="22"/>
          <w:szCs w:val="22"/>
        </w:rPr>
      </w:pPr>
      <w:r w:rsidRPr="00923945">
        <w:rPr>
          <w:sz w:val="22"/>
          <w:szCs w:val="22"/>
        </w:rPr>
        <w:t>has directly or indirectly canvassed any me</w:t>
      </w:r>
      <w:r w:rsidR="00D5510C">
        <w:rPr>
          <w:sz w:val="22"/>
          <w:szCs w:val="22"/>
        </w:rPr>
        <w:t xml:space="preserve">mber or official of the Council / ILC </w:t>
      </w:r>
      <w:r w:rsidRPr="00923945">
        <w:rPr>
          <w:sz w:val="22"/>
          <w:szCs w:val="22"/>
        </w:rPr>
        <w:t>concerning the acceptance of any Tender Response Document or who has directly or indirectly obtained or attempted to obtain information from any such member or official concerning any other tender or Tender Response Document sub</w:t>
      </w:r>
      <w:r w:rsidR="002A7A4B" w:rsidRPr="00923945">
        <w:rPr>
          <w:sz w:val="22"/>
          <w:szCs w:val="22"/>
        </w:rPr>
        <w:t xml:space="preserve">mitted by any other Tenderer; </w:t>
      </w:r>
    </w:p>
    <w:p w14:paraId="6D41A67A" w14:textId="77777777" w:rsidR="009C3BE9" w:rsidRPr="00923945" w:rsidRDefault="009C3BE9" w:rsidP="009C7D2E">
      <w:pPr>
        <w:pStyle w:val="Level3"/>
        <w:rPr>
          <w:sz w:val="22"/>
          <w:szCs w:val="22"/>
        </w:rPr>
      </w:pPr>
      <w:r w:rsidRPr="00923945">
        <w:rPr>
          <w:sz w:val="22"/>
          <w:szCs w:val="22"/>
        </w:rPr>
        <w:t>fails</w:t>
      </w:r>
      <w:r w:rsidR="002A7A4B" w:rsidRPr="00923945">
        <w:rPr>
          <w:sz w:val="22"/>
          <w:szCs w:val="22"/>
        </w:rPr>
        <w:t xml:space="preserve"> to use the English language; </w:t>
      </w:r>
    </w:p>
    <w:p w14:paraId="0A9C83B8" w14:textId="77777777" w:rsidR="009C3BE9" w:rsidRPr="00923945" w:rsidRDefault="009C3BE9" w:rsidP="009C7D2E">
      <w:pPr>
        <w:pStyle w:val="Level3"/>
        <w:rPr>
          <w:sz w:val="22"/>
          <w:szCs w:val="22"/>
        </w:rPr>
      </w:pPr>
      <w:r w:rsidRPr="00923945">
        <w:rPr>
          <w:sz w:val="22"/>
          <w:szCs w:val="22"/>
        </w:rPr>
        <w:lastRenderedPageBreak/>
        <w:t>fails to provide a satisfactory response to any question in the Tender Response document or inadequately or incorr</w:t>
      </w:r>
      <w:r w:rsidR="002A7A4B" w:rsidRPr="00923945">
        <w:rPr>
          <w:sz w:val="22"/>
          <w:szCs w:val="22"/>
        </w:rPr>
        <w:t xml:space="preserve">ectly completes any question; </w:t>
      </w:r>
    </w:p>
    <w:p w14:paraId="3175E4D0" w14:textId="5C78DE0B" w:rsidR="001947F0" w:rsidRPr="00923945" w:rsidRDefault="005F6454" w:rsidP="004A3479">
      <w:pPr>
        <w:pStyle w:val="Level3"/>
        <w:rPr>
          <w:sz w:val="22"/>
          <w:szCs w:val="22"/>
        </w:rPr>
      </w:pPr>
      <w:r w:rsidRPr="00923945">
        <w:rPr>
          <w:sz w:val="22"/>
          <w:szCs w:val="22"/>
        </w:rPr>
        <w:t xml:space="preserve">fails to obtain a </w:t>
      </w:r>
      <w:r w:rsidR="00AF2774">
        <w:rPr>
          <w:sz w:val="22"/>
          <w:szCs w:val="22"/>
        </w:rPr>
        <w:t xml:space="preserve">"pass" at any evaluation stage </w:t>
      </w:r>
      <w:r w:rsidRPr="00923945">
        <w:rPr>
          <w:sz w:val="22"/>
          <w:szCs w:val="22"/>
        </w:rPr>
        <w:t>of t</w:t>
      </w:r>
      <w:r w:rsidR="008E318A">
        <w:rPr>
          <w:sz w:val="22"/>
          <w:szCs w:val="22"/>
        </w:rPr>
        <w:t>he Tender Response Document</w:t>
      </w:r>
      <w:r w:rsidR="002A7A4B" w:rsidRPr="00923945">
        <w:rPr>
          <w:sz w:val="22"/>
          <w:szCs w:val="22"/>
        </w:rPr>
        <w:t xml:space="preserve">; </w:t>
      </w:r>
    </w:p>
    <w:p w14:paraId="7D743952" w14:textId="5D3E6E46" w:rsidR="001947F0" w:rsidRPr="00923945" w:rsidRDefault="001947F0" w:rsidP="0051027D">
      <w:pPr>
        <w:pStyle w:val="Body1"/>
        <w:rPr>
          <w:sz w:val="22"/>
          <w:szCs w:val="22"/>
        </w:rPr>
      </w:pPr>
      <w:r w:rsidRPr="00923945">
        <w:rPr>
          <w:sz w:val="22"/>
          <w:szCs w:val="22"/>
        </w:rPr>
        <w:t xml:space="preserve">shall not be considered for acceptance and shall accordingly be rejected by the </w:t>
      </w:r>
      <w:r w:rsidR="00837D80">
        <w:rPr>
          <w:sz w:val="22"/>
          <w:szCs w:val="22"/>
        </w:rPr>
        <w:t xml:space="preserve">ILC </w:t>
      </w:r>
      <w:r w:rsidRPr="00923945">
        <w:rPr>
          <w:sz w:val="22"/>
          <w:szCs w:val="22"/>
        </w:rPr>
        <w:t>provided always that such non</w:t>
      </w:r>
      <w:r w:rsidRPr="00923945">
        <w:rPr>
          <w:sz w:val="22"/>
          <w:szCs w:val="22"/>
        </w:rPr>
        <w:noBreakHyphen/>
        <w:t xml:space="preserve">acceptance or rejection shall be without prejudice to any other civil remedies available to the </w:t>
      </w:r>
      <w:r w:rsidR="000B06BD">
        <w:rPr>
          <w:sz w:val="22"/>
          <w:szCs w:val="22"/>
        </w:rPr>
        <w:t>ILC</w:t>
      </w:r>
      <w:r w:rsidRPr="00923945">
        <w:rPr>
          <w:sz w:val="22"/>
          <w:szCs w:val="22"/>
        </w:rPr>
        <w:t xml:space="preserve"> in respect thereof or to any criminal liability which such conduct by a Tenderer may attract.</w:t>
      </w:r>
    </w:p>
    <w:p w14:paraId="6EC7F27A" w14:textId="09D964D8" w:rsidR="001947F0" w:rsidRPr="00923945" w:rsidRDefault="001947F0" w:rsidP="0051027D">
      <w:pPr>
        <w:pStyle w:val="Level2"/>
        <w:rPr>
          <w:color w:val="800080"/>
          <w:sz w:val="22"/>
          <w:szCs w:val="22"/>
        </w:rPr>
      </w:pPr>
      <w:r w:rsidRPr="00923945">
        <w:rPr>
          <w:sz w:val="22"/>
          <w:szCs w:val="22"/>
        </w:rPr>
        <w:t xml:space="preserve">Any breach of the terms stipulated in these Instructions for Tendering will entitle the </w:t>
      </w:r>
      <w:r w:rsidR="000B06BD">
        <w:rPr>
          <w:sz w:val="22"/>
          <w:szCs w:val="22"/>
        </w:rPr>
        <w:t>ILC</w:t>
      </w:r>
      <w:r w:rsidRPr="00923945">
        <w:rPr>
          <w:sz w:val="22"/>
          <w:szCs w:val="22"/>
        </w:rPr>
        <w:t xml:space="preserve"> to terminate at any time any </w:t>
      </w:r>
      <w:r w:rsidR="000B06BD">
        <w:rPr>
          <w:sz w:val="22"/>
          <w:szCs w:val="22"/>
        </w:rPr>
        <w:t>Policy entered into between the successful Tenderer(s) and the ILC.</w:t>
      </w:r>
    </w:p>
    <w:p w14:paraId="07AE1D8C" w14:textId="77777777" w:rsidR="001947F0" w:rsidRPr="00923945" w:rsidRDefault="001947F0" w:rsidP="0065389B">
      <w:pPr>
        <w:pStyle w:val="Level1"/>
        <w:keepNext/>
        <w:rPr>
          <w:b/>
          <w:bCs/>
          <w:caps/>
          <w:sz w:val="22"/>
          <w:szCs w:val="22"/>
        </w:rPr>
      </w:pPr>
      <w:r w:rsidRPr="00923945">
        <w:rPr>
          <w:rStyle w:val="Level1asHeadingtext"/>
          <w:sz w:val="22"/>
          <w:szCs w:val="22"/>
        </w:rPr>
        <w:t>Non-Consideration of Tender Response Document</w:t>
      </w:r>
    </w:p>
    <w:p w14:paraId="3DB034A3" w14:textId="490F3DBB" w:rsidR="001947F0" w:rsidRPr="00923945" w:rsidRDefault="001947F0" w:rsidP="0065389B">
      <w:pPr>
        <w:pStyle w:val="Level2"/>
        <w:rPr>
          <w:sz w:val="22"/>
          <w:szCs w:val="22"/>
        </w:rPr>
      </w:pPr>
      <w:r w:rsidRPr="00923945">
        <w:rPr>
          <w:sz w:val="22"/>
          <w:szCs w:val="22"/>
        </w:rPr>
        <w:t xml:space="preserve">The </w:t>
      </w:r>
      <w:r w:rsidR="00837D80">
        <w:rPr>
          <w:sz w:val="22"/>
          <w:szCs w:val="22"/>
        </w:rPr>
        <w:t>ILC</w:t>
      </w:r>
      <w:r w:rsidRPr="00923945">
        <w:rPr>
          <w:sz w:val="22"/>
          <w:szCs w:val="22"/>
        </w:rPr>
        <w:t xml:space="preserve"> may in its absolute discretion refrain from considering a Tender Response Document if:</w:t>
      </w:r>
    </w:p>
    <w:p w14:paraId="2BE03492" w14:textId="78057592" w:rsidR="001947F0" w:rsidRDefault="001947F0" w:rsidP="0065389B">
      <w:pPr>
        <w:pStyle w:val="Level3"/>
        <w:rPr>
          <w:sz w:val="22"/>
          <w:szCs w:val="22"/>
        </w:rPr>
      </w:pPr>
      <w:r w:rsidRPr="00923945">
        <w:rPr>
          <w:sz w:val="22"/>
          <w:szCs w:val="22"/>
        </w:rPr>
        <w:t>in any respect, it does not comply with the requirements of the Tender Response Document and/or these Instructions for Tendering; or</w:t>
      </w:r>
    </w:p>
    <w:p w14:paraId="06851663" w14:textId="7EC7A639" w:rsidR="000B06BD" w:rsidRPr="000B06BD" w:rsidRDefault="000B06BD" w:rsidP="0065389B">
      <w:pPr>
        <w:pStyle w:val="Level3"/>
        <w:rPr>
          <w:sz w:val="22"/>
          <w:szCs w:val="22"/>
        </w:rPr>
      </w:pPr>
      <w:r w:rsidRPr="000B06BD">
        <w:rPr>
          <w:sz w:val="22"/>
          <w:szCs w:val="22"/>
        </w:rPr>
        <w:t xml:space="preserve">The Tenderer makes or attempts </w:t>
      </w:r>
      <w:r w:rsidRPr="000B06BD">
        <w:rPr>
          <w:color w:val="000000"/>
          <w:sz w:val="22"/>
          <w:szCs w:val="22"/>
        </w:rPr>
        <w:t>to make any variation or alteration to the terms of the Tender Documents (subject to any requests made by Tenderers in accordance with Section 1);</w:t>
      </w:r>
    </w:p>
    <w:p w14:paraId="534D9955" w14:textId="080F8938" w:rsidR="001947F0" w:rsidRPr="00923945" w:rsidRDefault="001947F0" w:rsidP="0065389B">
      <w:pPr>
        <w:pStyle w:val="Level3"/>
        <w:rPr>
          <w:sz w:val="22"/>
          <w:szCs w:val="22"/>
        </w:rPr>
      </w:pPr>
      <w:r w:rsidRPr="00923945">
        <w:rPr>
          <w:sz w:val="22"/>
          <w:szCs w:val="22"/>
        </w:rPr>
        <w:t>The Tenderer fails to submit comprehensive pricing inf</w:t>
      </w:r>
      <w:r w:rsidR="00607C35">
        <w:rPr>
          <w:sz w:val="22"/>
          <w:szCs w:val="22"/>
        </w:rPr>
        <w:t xml:space="preserve">ormation for all items required </w:t>
      </w:r>
    </w:p>
    <w:p w14:paraId="630038FA" w14:textId="77777777" w:rsidR="001947F0" w:rsidRPr="00923945" w:rsidRDefault="001947F0" w:rsidP="0065389B">
      <w:pPr>
        <w:pStyle w:val="Level1"/>
        <w:keepNext/>
        <w:rPr>
          <w:b/>
          <w:bCs/>
          <w:caps/>
          <w:sz w:val="22"/>
          <w:szCs w:val="22"/>
        </w:rPr>
      </w:pPr>
      <w:r w:rsidRPr="00923945">
        <w:rPr>
          <w:rStyle w:val="Level1asHeadingtext"/>
          <w:sz w:val="22"/>
          <w:szCs w:val="22"/>
        </w:rPr>
        <w:t>Acceptance of Form of Tender and Criteria for Evaluation</w:t>
      </w:r>
    </w:p>
    <w:p w14:paraId="1A96CCA1" w14:textId="72247DDA" w:rsidR="001947F0" w:rsidRPr="00923945" w:rsidRDefault="001947F0" w:rsidP="0065389B">
      <w:pPr>
        <w:pStyle w:val="Level2"/>
        <w:rPr>
          <w:sz w:val="22"/>
          <w:szCs w:val="22"/>
        </w:rPr>
      </w:pPr>
      <w:r w:rsidRPr="00923945">
        <w:rPr>
          <w:sz w:val="22"/>
          <w:szCs w:val="22"/>
        </w:rPr>
        <w:t xml:space="preserve">The </w:t>
      </w:r>
      <w:r w:rsidR="000B06BD">
        <w:rPr>
          <w:sz w:val="22"/>
          <w:szCs w:val="22"/>
        </w:rPr>
        <w:t>ILC</w:t>
      </w:r>
      <w:r w:rsidRPr="00923945">
        <w:rPr>
          <w:sz w:val="22"/>
          <w:szCs w:val="22"/>
        </w:rPr>
        <w:t xml:space="preserve"> is seeking to identify the most economically advantageous tender taking into account the Tenderer's </w:t>
      </w:r>
      <w:r w:rsidR="003743D2" w:rsidRPr="00923945">
        <w:rPr>
          <w:sz w:val="22"/>
          <w:szCs w:val="22"/>
        </w:rPr>
        <w:t>Quality, Value for Money and Price</w:t>
      </w:r>
      <w:r w:rsidR="00CF1BAC" w:rsidRPr="00923945">
        <w:rPr>
          <w:sz w:val="22"/>
          <w:szCs w:val="22"/>
        </w:rPr>
        <w:t xml:space="preserve"> P</w:t>
      </w:r>
      <w:r w:rsidR="002F7A94">
        <w:rPr>
          <w:sz w:val="22"/>
          <w:szCs w:val="22"/>
        </w:rPr>
        <w:t>roposals.</w:t>
      </w:r>
    </w:p>
    <w:p w14:paraId="2634EEFE" w14:textId="77777777" w:rsidR="001947F0" w:rsidRPr="00923945" w:rsidRDefault="001947F0" w:rsidP="001947F0">
      <w:pPr>
        <w:pStyle w:val="Level2"/>
        <w:rPr>
          <w:sz w:val="22"/>
          <w:szCs w:val="22"/>
        </w:rPr>
      </w:pPr>
      <w:r w:rsidRPr="00923945">
        <w:rPr>
          <w:sz w:val="22"/>
          <w:szCs w:val="22"/>
        </w:rPr>
        <w:t xml:space="preserve">Tender Response Documents shall be evaluated using the following </w:t>
      </w:r>
      <w:r w:rsidR="00CF1BAC" w:rsidRPr="00923945">
        <w:rPr>
          <w:sz w:val="22"/>
          <w:szCs w:val="22"/>
        </w:rPr>
        <w:t>Award Criteria</w:t>
      </w:r>
      <w:r w:rsidRPr="00923945">
        <w:rPr>
          <w:sz w:val="22"/>
          <w:szCs w:val="22"/>
        </w:rPr>
        <w:t>:</w:t>
      </w:r>
    </w:p>
    <w:p w14:paraId="57C14A15" w14:textId="4A8F2752" w:rsidR="001947F0" w:rsidRDefault="001947F0" w:rsidP="0065389B">
      <w:pPr>
        <w:pStyle w:val="Level3"/>
        <w:rPr>
          <w:sz w:val="22"/>
          <w:szCs w:val="22"/>
        </w:rPr>
      </w:pPr>
      <w:r w:rsidRPr="00923945">
        <w:rPr>
          <w:sz w:val="22"/>
          <w:szCs w:val="22"/>
        </w:rPr>
        <w:t xml:space="preserve">Quality </w:t>
      </w:r>
      <w:r w:rsidRPr="00923945">
        <w:rPr>
          <w:sz w:val="22"/>
          <w:szCs w:val="22"/>
        </w:rPr>
        <w:tab/>
      </w:r>
      <w:r w:rsidR="00E34332">
        <w:rPr>
          <w:sz w:val="22"/>
          <w:szCs w:val="22"/>
        </w:rPr>
        <w:tab/>
      </w:r>
      <w:r w:rsidR="00E34332">
        <w:rPr>
          <w:sz w:val="22"/>
          <w:szCs w:val="22"/>
        </w:rPr>
        <w:tab/>
        <w:t>7</w:t>
      </w:r>
      <w:r w:rsidRPr="00923945">
        <w:rPr>
          <w:sz w:val="22"/>
          <w:szCs w:val="22"/>
        </w:rPr>
        <w:t xml:space="preserve">0% </w:t>
      </w:r>
    </w:p>
    <w:p w14:paraId="70C8AEAA" w14:textId="73D319A3" w:rsidR="00E34332" w:rsidRPr="00923945" w:rsidRDefault="00E34332" w:rsidP="0065389B">
      <w:pPr>
        <w:pStyle w:val="Level3"/>
        <w:rPr>
          <w:sz w:val="22"/>
          <w:szCs w:val="22"/>
        </w:rPr>
      </w:pPr>
      <w:r>
        <w:rPr>
          <w:sz w:val="22"/>
          <w:szCs w:val="22"/>
        </w:rPr>
        <w:t xml:space="preserve">Value </w:t>
      </w:r>
      <w:r w:rsidR="00B85FA1">
        <w:rPr>
          <w:sz w:val="22"/>
          <w:szCs w:val="22"/>
        </w:rPr>
        <w:t>for Money</w:t>
      </w:r>
      <w:r>
        <w:rPr>
          <w:sz w:val="22"/>
          <w:szCs w:val="22"/>
        </w:rPr>
        <w:t xml:space="preserve"> </w:t>
      </w:r>
      <w:r>
        <w:rPr>
          <w:sz w:val="22"/>
          <w:szCs w:val="22"/>
        </w:rPr>
        <w:tab/>
        <w:t>10%</w:t>
      </w:r>
    </w:p>
    <w:p w14:paraId="2263D0CA" w14:textId="26AAF331" w:rsidR="001947F0" w:rsidRPr="00923945" w:rsidRDefault="0065389B" w:rsidP="001947F0">
      <w:pPr>
        <w:pStyle w:val="Level3"/>
        <w:rPr>
          <w:sz w:val="22"/>
          <w:szCs w:val="22"/>
        </w:rPr>
      </w:pPr>
      <w:r w:rsidRPr="00923945">
        <w:rPr>
          <w:sz w:val="22"/>
          <w:szCs w:val="22"/>
        </w:rPr>
        <w:t>Price</w:t>
      </w:r>
      <w:r w:rsidR="00AF2774">
        <w:rPr>
          <w:sz w:val="22"/>
          <w:szCs w:val="22"/>
        </w:rPr>
        <w:tab/>
      </w:r>
      <w:r w:rsidR="00E34332">
        <w:rPr>
          <w:sz w:val="22"/>
          <w:szCs w:val="22"/>
        </w:rPr>
        <w:tab/>
      </w:r>
      <w:r w:rsidR="00E34332">
        <w:rPr>
          <w:sz w:val="22"/>
          <w:szCs w:val="22"/>
        </w:rPr>
        <w:tab/>
        <w:t>2</w:t>
      </w:r>
      <w:r w:rsidR="001947F0" w:rsidRPr="00923945">
        <w:rPr>
          <w:sz w:val="22"/>
          <w:szCs w:val="22"/>
        </w:rPr>
        <w:t>0%</w:t>
      </w:r>
    </w:p>
    <w:p w14:paraId="6A4DA88D" w14:textId="170470C0" w:rsidR="001947F0" w:rsidRDefault="000B06BD" w:rsidP="001947F0">
      <w:pPr>
        <w:pStyle w:val="Level2"/>
        <w:rPr>
          <w:sz w:val="22"/>
          <w:szCs w:val="22"/>
        </w:rPr>
      </w:pPr>
      <w:r>
        <w:rPr>
          <w:sz w:val="22"/>
          <w:szCs w:val="22"/>
        </w:rPr>
        <w:t>The ILC</w:t>
      </w:r>
      <w:r w:rsidR="001947F0" w:rsidRPr="00923945">
        <w:rPr>
          <w:sz w:val="22"/>
          <w:szCs w:val="22"/>
        </w:rPr>
        <w:t xml:space="preserve"> shall not be bound to accept the lowest priced submission and reserves the right, at its absolute discretion, to accept or not accept any Tender </w:t>
      </w:r>
      <w:r w:rsidR="00CF1BAC" w:rsidRPr="00923945">
        <w:rPr>
          <w:sz w:val="22"/>
          <w:szCs w:val="22"/>
        </w:rPr>
        <w:t xml:space="preserve">Response </w:t>
      </w:r>
      <w:r w:rsidR="00321817">
        <w:rPr>
          <w:sz w:val="22"/>
          <w:szCs w:val="22"/>
        </w:rPr>
        <w:t>submitted</w:t>
      </w:r>
      <w:bookmarkStart w:id="1" w:name="_GoBack"/>
      <w:bookmarkEnd w:id="1"/>
      <w:r w:rsidR="002F7A94">
        <w:rPr>
          <w:sz w:val="22"/>
          <w:szCs w:val="22"/>
        </w:rPr>
        <w:t>.</w:t>
      </w:r>
    </w:p>
    <w:p w14:paraId="1FEB6701" w14:textId="34785407" w:rsidR="000B06BD" w:rsidRPr="00923945" w:rsidRDefault="000B06BD" w:rsidP="001947F0">
      <w:pPr>
        <w:pStyle w:val="Level2"/>
        <w:rPr>
          <w:sz w:val="22"/>
          <w:szCs w:val="22"/>
        </w:rPr>
      </w:pPr>
      <w:r>
        <w:rPr>
          <w:sz w:val="22"/>
          <w:szCs w:val="22"/>
        </w:rPr>
        <w:t>The evaluation weighs heavily in favour of price.  Please ensure that your quality elements provide as much supporting information as possible within the constraints of the response document to enable us to fully assess your tender.</w:t>
      </w:r>
    </w:p>
    <w:p w14:paraId="40481AE4" w14:textId="3376A706" w:rsidR="001947F0" w:rsidRPr="00923945" w:rsidRDefault="001947F0" w:rsidP="0065389B">
      <w:pPr>
        <w:pStyle w:val="Level2"/>
        <w:rPr>
          <w:sz w:val="22"/>
          <w:szCs w:val="22"/>
        </w:rPr>
      </w:pPr>
      <w:r w:rsidRPr="00923945">
        <w:rPr>
          <w:sz w:val="22"/>
          <w:szCs w:val="22"/>
        </w:rPr>
        <w:t>The</w:t>
      </w:r>
      <w:r w:rsidR="000B06BD">
        <w:rPr>
          <w:sz w:val="22"/>
          <w:szCs w:val="22"/>
        </w:rPr>
        <w:t xml:space="preserve"> ILC</w:t>
      </w:r>
      <w:r w:rsidRPr="00923945">
        <w:rPr>
          <w:sz w:val="22"/>
          <w:szCs w:val="22"/>
        </w:rPr>
        <w:t xml:space="preserve"> reserves the right to clarify with Tendere</w:t>
      </w:r>
      <w:r w:rsidR="00CF1BAC" w:rsidRPr="00923945">
        <w:rPr>
          <w:sz w:val="22"/>
          <w:szCs w:val="22"/>
        </w:rPr>
        <w:t>rs any aspects arising from its</w:t>
      </w:r>
      <w:r w:rsidRPr="00923945">
        <w:rPr>
          <w:sz w:val="22"/>
          <w:szCs w:val="22"/>
        </w:rPr>
        <w:t xml:space="preserve"> Tender Response Document after the submission of Tender</w:t>
      </w:r>
      <w:r w:rsidR="00CF1BAC" w:rsidRPr="00923945">
        <w:rPr>
          <w:sz w:val="22"/>
          <w:szCs w:val="22"/>
        </w:rPr>
        <w:t xml:space="preserve"> Response</w:t>
      </w:r>
      <w:r w:rsidRPr="00923945">
        <w:rPr>
          <w:sz w:val="22"/>
          <w:szCs w:val="22"/>
        </w:rPr>
        <w:t xml:space="preserve">s. Such </w:t>
      </w:r>
      <w:r w:rsidRPr="00923945">
        <w:rPr>
          <w:sz w:val="22"/>
          <w:szCs w:val="22"/>
        </w:rPr>
        <w:lastRenderedPageBreak/>
        <w:t>clarification may include, (but shall not be limited to), the level and application of the prices contained within any Tender</w:t>
      </w:r>
      <w:r w:rsidR="00CF1BAC" w:rsidRPr="00923945">
        <w:rPr>
          <w:sz w:val="22"/>
          <w:szCs w:val="22"/>
        </w:rPr>
        <w:t xml:space="preserve"> Response</w:t>
      </w:r>
      <w:r w:rsidRPr="00923945">
        <w:rPr>
          <w:sz w:val="22"/>
          <w:szCs w:val="22"/>
        </w:rPr>
        <w:t>.</w:t>
      </w:r>
    </w:p>
    <w:p w14:paraId="293C655C" w14:textId="08EFF5A5" w:rsidR="001947F0" w:rsidRPr="00923945" w:rsidRDefault="001947F0" w:rsidP="0065389B">
      <w:pPr>
        <w:pStyle w:val="Level2"/>
        <w:rPr>
          <w:sz w:val="22"/>
          <w:szCs w:val="22"/>
        </w:rPr>
      </w:pPr>
      <w:r w:rsidRPr="00923945">
        <w:rPr>
          <w:sz w:val="22"/>
          <w:szCs w:val="22"/>
        </w:rPr>
        <w:t>In evaluating Tender</w:t>
      </w:r>
      <w:r w:rsidR="00CF1BAC" w:rsidRPr="00923945">
        <w:rPr>
          <w:sz w:val="22"/>
          <w:szCs w:val="22"/>
        </w:rPr>
        <w:t xml:space="preserve"> Responses, </w:t>
      </w:r>
      <w:r w:rsidRPr="00923945">
        <w:rPr>
          <w:sz w:val="22"/>
          <w:szCs w:val="22"/>
        </w:rPr>
        <w:t xml:space="preserve">the </w:t>
      </w:r>
      <w:r w:rsidR="00837D80">
        <w:rPr>
          <w:sz w:val="22"/>
          <w:szCs w:val="22"/>
        </w:rPr>
        <w:t>IL</w:t>
      </w:r>
      <w:r w:rsidR="00327B8C">
        <w:rPr>
          <w:sz w:val="22"/>
          <w:szCs w:val="22"/>
        </w:rPr>
        <w:t>C</w:t>
      </w:r>
      <w:r w:rsidR="00837D80">
        <w:rPr>
          <w:sz w:val="22"/>
          <w:szCs w:val="22"/>
        </w:rPr>
        <w:t xml:space="preserve"> </w:t>
      </w:r>
      <w:r w:rsidRPr="00923945">
        <w:rPr>
          <w:sz w:val="22"/>
          <w:szCs w:val="22"/>
        </w:rPr>
        <w:t xml:space="preserve"> shall have regard to the following: </w:t>
      </w:r>
    </w:p>
    <w:p w14:paraId="0D094DAC" w14:textId="77777777" w:rsidR="001947F0" w:rsidRPr="00923945" w:rsidRDefault="001947F0" w:rsidP="0065389B">
      <w:pPr>
        <w:pStyle w:val="Level3"/>
        <w:rPr>
          <w:sz w:val="22"/>
          <w:szCs w:val="22"/>
        </w:rPr>
      </w:pPr>
      <w:r w:rsidRPr="00923945">
        <w:rPr>
          <w:sz w:val="22"/>
          <w:szCs w:val="22"/>
        </w:rPr>
        <w:t xml:space="preserve">the ability of the Tenderer to provide the Services in accordance with the </w:t>
      </w:r>
      <w:r w:rsidR="00D35C8D" w:rsidRPr="00923945">
        <w:rPr>
          <w:color w:val="000000"/>
          <w:sz w:val="22"/>
          <w:szCs w:val="22"/>
        </w:rPr>
        <w:t>Invitation to Tender</w:t>
      </w:r>
      <w:r w:rsidRPr="00923945">
        <w:rPr>
          <w:sz w:val="22"/>
          <w:szCs w:val="22"/>
        </w:rPr>
        <w:t xml:space="preserve"> with particular reference to: </w:t>
      </w:r>
    </w:p>
    <w:p w14:paraId="38F56B65" w14:textId="77777777" w:rsidR="001947F0" w:rsidRPr="00923945" w:rsidRDefault="001947F0" w:rsidP="007B6177">
      <w:pPr>
        <w:pStyle w:val="Level4"/>
        <w:rPr>
          <w:sz w:val="22"/>
          <w:szCs w:val="22"/>
        </w:rPr>
      </w:pPr>
      <w:r w:rsidRPr="00923945">
        <w:rPr>
          <w:sz w:val="22"/>
          <w:szCs w:val="22"/>
        </w:rPr>
        <w:t>the experience and competence of the Tenderer to provide the Services</w:t>
      </w:r>
      <w:r w:rsidR="00082E26" w:rsidRPr="00923945">
        <w:rPr>
          <w:sz w:val="22"/>
          <w:szCs w:val="22"/>
        </w:rPr>
        <w:t>;</w:t>
      </w:r>
    </w:p>
    <w:p w14:paraId="3A25C61A" w14:textId="77777777" w:rsidR="00E62857" w:rsidRPr="00923945" w:rsidRDefault="001947F0" w:rsidP="00E62857">
      <w:pPr>
        <w:pStyle w:val="Level4"/>
        <w:rPr>
          <w:sz w:val="22"/>
          <w:szCs w:val="22"/>
        </w:rPr>
      </w:pPr>
      <w:r w:rsidRPr="00923945">
        <w:rPr>
          <w:sz w:val="22"/>
          <w:szCs w:val="22"/>
        </w:rPr>
        <w:t>any information and details which the Tenderer is required to submit with its Form of Tender; and</w:t>
      </w:r>
    </w:p>
    <w:p w14:paraId="1AF88C69" w14:textId="77777777" w:rsidR="00E34332" w:rsidRDefault="00E34332" w:rsidP="00E34332">
      <w:pPr>
        <w:pStyle w:val="Level4"/>
        <w:numPr>
          <w:ilvl w:val="3"/>
          <w:numId w:val="1"/>
        </w:numPr>
        <w:rPr>
          <w:sz w:val="22"/>
          <w:szCs w:val="22"/>
        </w:rPr>
      </w:pPr>
      <w:r w:rsidRPr="00923945">
        <w:rPr>
          <w:sz w:val="22"/>
          <w:szCs w:val="22"/>
        </w:rPr>
        <w:t xml:space="preserve">the </w:t>
      </w:r>
      <w:r>
        <w:rPr>
          <w:sz w:val="22"/>
          <w:szCs w:val="22"/>
        </w:rPr>
        <w:t xml:space="preserve">services offered at no extra cost </w:t>
      </w:r>
      <w:r w:rsidRPr="00923945">
        <w:rPr>
          <w:sz w:val="22"/>
          <w:szCs w:val="22"/>
        </w:rPr>
        <w:t>by the Tenderer</w:t>
      </w:r>
    </w:p>
    <w:p w14:paraId="4E1C2BDD" w14:textId="5C13467A" w:rsidR="00E34332" w:rsidRPr="00E34332" w:rsidRDefault="001947F0" w:rsidP="00E34332">
      <w:pPr>
        <w:pStyle w:val="Level4"/>
        <w:rPr>
          <w:sz w:val="22"/>
          <w:szCs w:val="22"/>
        </w:rPr>
      </w:pPr>
      <w:r w:rsidRPr="00923945">
        <w:rPr>
          <w:sz w:val="22"/>
          <w:szCs w:val="22"/>
        </w:rPr>
        <w:t>the rates</w:t>
      </w:r>
      <w:r w:rsidR="00607C35">
        <w:rPr>
          <w:sz w:val="22"/>
          <w:szCs w:val="22"/>
        </w:rPr>
        <w:t xml:space="preserve"> </w:t>
      </w:r>
      <w:r w:rsidRPr="00923945">
        <w:rPr>
          <w:sz w:val="22"/>
          <w:szCs w:val="22"/>
        </w:rPr>
        <w:t>tendered by the Tenderer</w:t>
      </w:r>
    </w:p>
    <w:p w14:paraId="306F05ED" w14:textId="77777777" w:rsidR="001947F0" w:rsidRPr="00923945" w:rsidRDefault="001947F0" w:rsidP="007A0543">
      <w:pPr>
        <w:pStyle w:val="Level1"/>
        <w:keepNext/>
        <w:rPr>
          <w:b/>
          <w:bCs/>
          <w:caps/>
          <w:sz w:val="22"/>
          <w:szCs w:val="22"/>
        </w:rPr>
      </w:pPr>
      <w:r w:rsidRPr="00923945">
        <w:rPr>
          <w:rStyle w:val="Level1asHeadingtext"/>
          <w:sz w:val="22"/>
          <w:szCs w:val="22"/>
        </w:rPr>
        <w:t>Commencement of Services</w:t>
      </w:r>
    </w:p>
    <w:p w14:paraId="2E432B44" w14:textId="554E1383" w:rsidR="001947F0" w:rsidRPr="00923945" w:rsidRDefault="000B06BD" w:rsidP="007A0543">
      <w:pPr>
        <w:pStyle w:val="Level2"/>
        <w:rPr>
          <w:sz w:val="22"/>
          <w:szCs w:val="22"/>
        </w:rPr>
      </w:pPr>
      <w:r>
        <w:rPr>
          <w:sz w:val="22"/>
          <w:szCs w:val="22"/>
        </w:rPr>
        <w:t>The</w:t>
      </w:r>
      <w:r w:rsidR="001947F0" w:rsidRPr="00923945">
        <w:rPr>
          <w:sz w:val="22"/>
          <w:szCs w:val="22"/>
        </w:rPr>
        <w:t xml:space="preserve"> Services </w:t>
      </w:r>
      <w:r>
        <w:rPr>
          <w:sz w:val="22"/>
          <w:szCs w:val="22"/>
        </w:rPr>
        <w:t>are due to</w:t>
      </w:r>
      <w:r w:rsidR="001947F0" w:rsidRPr="00923945">
        <w:rPr>
          <w:sz w:val="22"/>
          <w:szCs w:val="22"/>
        </w:rPr>
        <w:t xml:space="preserve"> comm</w:t>
      </w:r>
      <w:r w:rsidR="007C238C">
        <w:rPr>
          <w:sz w:val="22"/>
          <w:szCs w:val="22"/>
        </w:rPr>
        <w:t>ence in July</w:t>
      </w:r>
      <w:r w:rsidR="001947F0" w:rsidRPr="00923945">
        <w:rPr>
          <w:sz w:val="22"/>
          <w:szCs w:val="22"/>
        </w:rPr>
        <w:t xml:space="preserve"> 2018 </w:t>
      </w:r>
      <w:r>
        <w:rPr>
          <w:sz w:val="22"/>
          <w:szCs w:val="22"/>
        </w:rPr>
        <w:t>(the “Service Commencement Date”)</w:t>
      </w:r>
    </w:p>
    <w:p w14:paraId="61DFA532" w14:textId="77777777" w:rsidR="001947F0" w:rsidRPr="00923945" w:rsidRDefault="001947F0" w:rsidP="007A0543">
      <w:pPr>
        <w:pStyle w:val="Level1"/>
        <w:keepNext/>
        <w:rPr>
          <w:b/>
          <w:bCs/>
          <w:caps/>
          <w:sz w:val="22"/>
          <w:szCs w:val="22"/>
        </w:rPr>
      </w:pPr>
      <w:r w:rsidRPr="00923945">
        <w:rPr>
          <w:rStyle w:val="Level1asHeadingtext"/>
          <w:sz w:val="22"/>
          <w:szCs w:val="22"/>
        </w:rPr>
        <w:t>Implementation Period</w:t>
      </w:r>
      <w:r w:rsidRPr="00923945">
        <w:rPr>
          <w:sz w:val="22"/>
          <w:szCs w:val="22"/>
        </w:rPr>
        <w:t xml:space="preserve"> </w:t>
      </w:r>
    </w:p>
    <w:p w14:paraId="5BD152AB" w14:textId="216368A1" w:rsidR="001947F0" w:rsidRPr="00923945" w:rsidRDefault="001947F0" w:rsidP="007A0543">
      <w:pPr>
        <w:pStyle w:val="Level2"/>
        <w:rPr>
          <w:sz w:val="22"/>
          <w:szCs w:val="22"/>
        </w:rPr>
      </w:pPr>
      <w:r w:rsidRPr="00923945">
        <w:rPr>
          <w:sz w:val="22"/>
          <w:szCs w:val="22"/>
        </w:rPr>
        <w:t xml:space="preserve">It is the </w:t>
      </w:r>
      <w:r w:rsidR="00837D80">
        <w:rPr>
          <w:sz w:val="22"/>
          <w:szCs w:val="22"/>
        </w:rPr>
        <w:t>ILC’s</w:t>
      </w:r>
      <w:r w:rsidRPr="00923945">
        <w:rPr>
          <w:sz w:val="22"/>
          <w:szCs w:val="22"/>
        </w:rPr>
        <w:t xml:space="preserve"> standard practice to conduct an implementation period prior to the Service Commencement Date. </w:t>
      </w:r>
    </w:p>
    <w:p w14:paraId="085D4C5B" w14:textId="58A54155" w:rsidR="002B3D3A" w:rsidRPr="000B06BD" w:rsidRDefault="001947F0" w:rsidP="002B3D3A">
      <w:pPr>
        <w:pStyle w:val="Level2"/>
        <w:rPr>
          <w:sz w:val="22"/>
          <w:szCs w:val="22"/>
        </w:rPr>
      </w:pPr>
      <w:r w:rsidRPr="000B06BD">
        <w:rPr>
          <w:sz w:val="22"/>
          <w:szCs w:val="22"/>
        </w:rPr>
        <w:t xml:space="preserve">The implementation period will take place from the date of </w:t>
      </w:r>
      <w:r w:rsidR="000B06BD" w:rsidRPr="000B06BD">
        <w:rPr>
          <w:sz w:val="22"/>
          <w:szCs w:val="22"/>
        </w:rPr>
        <w:t>contract award</w:t>
      </w:r>
      <w:r w:rsidRPr="000B06BD">
        <w:rPr>
          <w:sz w:val="22"/>
          <w:szCs w:val="22"/>
        </w:rPr>
        <w:t xml:space="preserve"> until the Service Commencement date. </w:t>
      </w:r>
      <w:r w:rsidR="000B06BD" w:rsidRPr="000B06BD">
        <w:rPr>
          <w:sz w:val="22"/>
          <w:szCs w:val="22"/>
        </w:rPr>
        <w:t>It is anticipated that winning tenderers will be invited to meet with ILC Members during this time to agree process and procedures</w:t>
      </w:r>
      <w:r w:rsidR="0092523F">
        <w:rPr>
          <w:sz w:val="22"/>
          <w:szCs w:val="22"/>
        </w:rPr>
        <w:t>.</w:t>
      </w:r>
      <w:bookmarkStart w:id="2" w:name="_BPDCI_18"/>
      <w:r w:rsidRPr="000B06BD">
        <w:rPr>
          <w:color w:val="0000FF"/>
          <w:sz w:val="22"/>
          <w:szCs w:val="22"/>
          <w:u w:val="double"/>
        </w:rPr>
        <w:t xml:space="preserve"> </w:t>
      </w:r>
      <w:bookmarkEnd w:id="2"/>
    </w:p>
    <w:p w14:paraId="7E46F78D" w14:textId="77777777" w:rsidR="001947F0" w:rsidRPr="00923945" w:rsidRDefault="001947F0" w:rsidP="00F848EC">
      <w:pPr>
        <w:pStyle w:val="Level1"/>
        <w:keepNext/>
        <w:rPr>
          <w:b/>
          <w:bCs/>
          <w:caps/>
          <w:sz w:val="22"/>
          <w:szCs w:val="22"/>
        </w:rPr>
      </w:pPr>
      <w:r w:rsidRPr="00923945">
        <w:rPr>
          <w:rStyle w:val="Level1asHeadingtext"/>
          <w:sz w:val="22"/>
          <w:szCs w:val="22"/>
        </w:rPr>
        <w:t>Tenderer Warranties</w:t>
      </w:r>
    </w:p>
    <w:p w14:paraId="0393DAC8" w14:textId="10DF870F" w:rsidR="001947F0" w:rsidRPr="00923945" w:rsidRDefault="001947F0" w:rsidP="00F848EC">
      <w:pPr>
        <w:pStyle w:val="Level2"/>
        <w:rPr>
          <w:sz w:val="22"/>
          <w:szCs w:val="22"/>
        </w:rPr>
      </w:pPr>
      <w:r w:rsidRPr="00923945">
        <w:rPr>
          <w:sz w:val="22"/>
          <w:szCs w:val="22"/>
        </w:rPr>
        <w:t xml:space="preserve">In submitting its Tender Response Document, the Tenderer warrants, represents and undertakes to the </w:t>
      </w:r>
      <w:r w:rsidR="000B06BD">
        <w:rPr>
          <w:sz w:val="22"/>
          <w:szCs w:val="22"/>
        </w:rPr>
        <w:t>ILC</w:t>
      </w:r>
      <w:r w:rsidRPr="00923945">
        <w:rPr>
          <w:sz w:val="22"/>
          <w:szCs w:val="22"/>
        </w:rPr>
        <w:t xml:space="preserve"> that:</w:t>
      </w:r>
    </w:p>
    <w:p w14:paraId="5A3CD630" w14:textId="77777777" w:rsidR="001947F0" w:rsidRPr="00923945" w:rsidRDefault="001947F0" w:rsidP="00F848EC">
      <w:pPr>
        <w:pStyle w:val="Level3"/>
        <w:rPr>
          <w:sz w:val="22"/>
          <w:szCs w:val="22"/>
        </w:rPr>
      </w:pPr>
      <w:r w:rsidRPr="00923945">
        <w:rPr>
          <w:sz w:val="22"/>
          <w:szCs w:val="22"/>
        </w:rPr>
        <w:t xml:space="preserve">it has complied in all respects with </w:t>
      </w:r>
      <w:r w:rsidR="00082E26" w:rsidRPr="00923945">
        <w:rPr>
          <w:sz w:val="22"/>
          <w:szCs w:val="22"/>
        </w:rPr>
        <w:t>the Invitation to Tender</w:t>
      </w:r>
      <w:r w:rsidRPr="00923945">
        <w:rPr>
          <w:sz w:val="22"/>
          <w:szCs w:val="22"/>
        </w:rPr>
        <w:t>;</w:t>
      </w:r>
    </w:p>
    <w:p w14:paraId="6AF1DDBB" w14:textId="257CECDE" w:rsidR="001947F0" w:rsidRPr="00923945" w:rsidRDefault="001947F0" w:rsidP="00F848EC">
      <w:pPr>
        <w:pStyle w:val="Level3"/>
        <w:rPr>
          <w:sz w:val="22"/>
          <w:szCs w:val="22"/>
        </w:rPr>
      </w:pPr>
      <w:r w:rsidRPr="00923945">
        <w:rPr>
          <w:sz w:val="22"/>
          <w:szCs w:val="22"/>
        </w:rPr>
        <w:t xml:space="preserve">all information, representations and other matters of fact communicated (whether in writing or otherwise) to the </w:t>
      </w:r>
      <w:r w:rsidR="000B06BD">
        <w:rPr>
          <w:sz w:val="22"/>
          <w:szCs w:val="22"/>
        </w:rPr>
        <w:t>ILC</w:t>
      </w:r>
      <w:r w:rsidRPr="00923945">
        <w:rPr>
          <w:sz w:val="22"/>
          <w:szCs w:val="22"/>
        </w:rPr>
        <w:t xml:space="preserve"> by the Tenderer, its employees or agents in connection with or arising out of the tender are true, complete and accurate in all respects;</w:t>
      </w:r>
    </w:p>
    <w:p w14:paraId="5BD43728" w14:textId="316325EB" w:rsidR="001947F0" w:rsidRPr="00923945" w:rsidRDefault="001947F0" w:rsidP="00F848EC">
      <w:pPr>
        <w:pStyle w:val="Level3"/>
        <w:rPr>
          <w:sz w:val="22"/>
          <w:szCs w:val="22"/>
        </w:rPr>
      </w:pPr>
      <w:r w:rsidRPr="00923945">
        <w:rPr>
          <w:sz w:val="22"/>
          <w:szCs w:val="22"/>
        </w:rPr>
        <w:t xml:space="preserve">it has made its own investigations and research and has satisfied itself in respect of all matters (whether actual or contingent) relating to the Tender and that it has not submitted the Tender Response Document and will not have entered into the </w:t>
      </w:r>
      <w:r w:rsidR="000B06BD">
        <w:rPr>
          <w:sz w:val="22"/>
          <w:szCs w:val="22"/>
        </w:rPr>
        <w:t>Policy</w:t>
      </w:r>
      <w:r w:rsidRPr="00923945">
        <w:rPr>
          <w:sz w:val="22"/>
          <w:szCs w:val="22"/>
        </w:rPr>
        <w:t xml:space="preserve"> in reliance upon any information, representation or assumption (whether made orally, in writing or otherwise) which may have been mad</w:t>
      </w:r>
      <w:r w:rsidR="001D707D">
        <w:rPr>
          <w:sz w:val="22"/>
          <w:szCs w:val="22"/>
        </w:rPr>
        <w:t>e by or on behalf of the ILC</w:t>
      </w:r>
      <w:r w:rsidRPr="00923945">
        <w:rPr>
          <w:sz w:val="22"/>
          <w:szCs w:val="22"/>
        </w:rPr>
        <w:t>;</w:t>
      </w:r>
    </w:p>
    <w:p w14:paraId="7754ECD8" w14:textId="77777777" w:rsidR="001947F0" w:rsidRPr="00923945" w:rsidRDefault="001947F0" w:rsidP="007A0543">
      <w:pPr>
        <w:pStyle w:val="Level3"/>
        <w:rPr>
          <w:sz w:val="22"/>
          <w:szCs w:val="22"/>
        </w:rPr>
      </w:pPr>
      <w:r w:rsidRPr="00923945">
        <w:rPr>
          <w:sz w:val="22"/>
          <w:szCs w:val="22"/>
        </w:rPr>
        <w:t>it has satisfied itself as to the correctness and sufficiency of the information it has inserted in the Tender Response Document;</w:t>
      </w:r>
    </w:p>
    <w:p w14:paraId="100F0937" w14:textId="142F4DC0" w:rsidR="001947F0" w:rsidRPr="00923945" w:rsidRDefault="001947F0" w:rsidP="007A0543">
      <w:pPr>
        <w:pStyle w:val="Level3"/>
        <w:rPr>
          <w:sz w:val="22"/>
          <w:szCs w:val="22"/>
        </w:rPr>
      </w:pPr>
      <w:r w:rsidRPr="00923945">
        <w:rPr>
          <w:sz w:val="22"/>
          <w:szCs w:val="22"/>
        </w:rPr>
        <w:lastRenderedPageBreak/>
        <w:t xml:space="preserve">it has full power and authority to enter into the </w:t>
      </w:r>
      <w:r w:rsidR="001D707D">
        <w:rPr>
          <w:sz w:val="22"/>
          <w:szCs w:val="22"/>
        </w:rPr>
        <w:t>Policy</w:t>
      </w:r>
      <w:r w:rsidRPr="00923945">
        <w:rPr>
          <w:sz w:val="22"/>
          <w:szCs w:val="22"/>
        </w:rPr>
        <w:t xml:space="preserve"> and to provide the Services;</w:t>
      </w:r>
    </w:p>
    <w:p w14:paraId="2BE14871" w14:textId="22D1B1B1" w:rsidR="001947F0" w:rsidRPr="00923945" w:rsidRDefault="001947F0" w:rsidP="007A0543">
      <w:pPr>
        <w:pStyle w:val="Level3"/>
        <w:rPr>
          <w:sz w:val="22"/>
          <w:szCs w:val="22"/>
        </w:rPr>
      </w:pPr>
      <w:r w:rsidRPr="00923945">
        <w:rPr>
          <w:sz w:val="22"/>
          <w:szCs w:val="22"/>
        </w:rPr>
        <w:t>it is of sound financial standing and has and will have sufficient premises, working capital, skilled staff, vehicles, tools, materials, other equipment and other resources availabl</w:t>
      </w:r>
      <w:r w:rsidR="00755A03">
        <w:rPr>
          <w:sz w:val="22"/>
          <w:szCs w:val="22"/>
        </w:rPr>
        <w:t>e to it to provide the Services;</w:t>
      </w:r>
    </w:p>
    <w:p w14:paraId="7CA4D922" w14:textId="69FE5357" w:rsidR="001947F0" w:rsidRPr="00923945" w:rsidRDefault="001947F0" w:rsidP="007A0543">
      <w:pPr>
        <w:pStyle w:val="Level3"/>
        <w:rPr>
          <w:sz w:val="22"/>
          <w:szCs w:val="22"/>
        </w:rPr>
      </w:pPr>
      <w:r w:rsidRPr="00923945">
        <w:rPr>
          <w:sz w:val="22"/>
          <w:szCs w:val="22"/>
        </w:rPr>
        <w:t xml:space="preserve">at the date of commencement of the Services it will hold all necessary consents, licenses and permissions to enable it to provide the Services and will from time to time throughout the </w:t>
      </w:r>
      <w:r w:rsidR="001D707D">
        <w:rPr>
          <w:sz w:val="22"/>
          <w:szCs w:val="22"/>
        </w:rPr>
        <w:t>Policy Period</w:t>
      </w:r>
      <w:r w:rsidRPr="00923945">
        <w:rPr>
          <w:sz w:val="22"/>
          <w:szCs w:val="22"/>
        </w:rPr>
        <w:t xml:space="preserve"> obtain and maintain all further and other necessary consents, licenses and permissions to enable it to continue to do so; and</w:t>
      </w:r>
    </w:p>
    <w:p w14:paraId="5B2AF57F" w14:textId="74164312" w:rsidR="00F848EC" w:rsidRPr="00923945" w:rsidRDefault="001947F0" w:rsidP="007A0543">
      <w:pPr>
        <w:pStyle w:val="Level3"/>
        <w:rPr>
          <w:sz w:val="22"/>
          <w:szCs w:val="22"/>
        </w:rPr>
      </w:pPr>
      <w:r w:rsidRPr="00923945">
        <w:rPr>
          <w:sz w:val="22"/>
          <w:szCs w:val="22"/>
        </w:rPr>
        <w:t xml:space="preserve">it will not at any time during the </w:t>
      </w:r>
      <w:r w:rsidR="001D707D">
        <w:rPr>
          <w:sz w:val="22"/>
          <w:szCs w:val="22"/>
        </w:rPr>
        <w:t>Policy P</w:t>
      </w:r>
      <w:r w:rsidRPr="00923945">
        <w:rPr>
          <w:sz w:val="22"/>
          <w:szCs w:val="22"/>
        </w:rPr>
        <w:t xml:space="preserve">eriod or at any time thereafter claim or seek to enforce any lien, charge, or other encumbrances over property of whatever nature owned by the </w:t>
      </w:r>
      <w:r w:rsidR="001D707D">
        <w:rPr>
          <w:sz w:val="22"/>
          <w:szCs w:val="22"/>
        </w:rPr>
        <w:t>ILC</w:t>
      </w:r>
      <w:r w:rsidRPr="00923945">
        <w:rPr>
          <w:sz w:val="22"/>
          <w:szCs w:val="22"/>
        </w:rPr>
        <w:t xml:space="preserve"> and which is for the time being in possession of the Tenderer, for the purposes of this </w:t>
      </w:r>
      <w:r w:rsidR="001D707D">
        <w:rPr>
          <w:sz w:val="22"/>
          <w:szCs w:val="22"/>
        </w:rPr>
        <w:t>Policy.</w:t>
      </w:r>
    </w:p>
    <w:p w14:paraId="1A18E4A0" w14:textId="77777777" w:rsidR="001947F0" w:rsidRPr="00923945" w:rsidRDefault="001947F0" w:rsidP="00F848EC">
      <w:pPr>
        <w:pStyle w:val="Level1"/>
        <w:keepNext/>
        <w:rPr>
          <w:b/>
          <w:bCs/>
          <w:caps/>
          <w:sz w:val="22"/>
          <w:szCs w:val="22"/>
        </w:rPr>
      </w:pPr>
      <w:r w:rsidRPr="00923945">
        <w:rPr>
          <w:rStyle w:val="Level1asHeadingtext"/>
          <w:sz w:val="22"/>
          <w:szCs w:val="22"/>
        </w:rPr>
        <w:t>Freedom of Information</w:t>
      </w:r>
      <w:r w:rsidRPr="00923945">
        <w:rPr>
          <w:sz w:val="22"/>
          <w:szCs w:val="22"/>
        </w:rPr>
        <w:t xml:space="preserve"> </w:t>
      </w:r>
    </w:p>
    <w:p w14:paraId="48079FA6" w14:textId="2B523F5C" w:rsidR="001947F0" w:rsidRPr="00923945" w:rsidRDefault="001947F0" w:rsidP="00F848EC">
      <w:pPr>
        <w:pStyle w:val="Level2"/>
        <w:rPr>
          <w:sz w:val="22"/>
          <w:szCs w:val="22"/>
        </w:rPr>
      </w:pPr>
      <w:r w:rsidRPr="00923945">
        <w:rPr>
          <w:sz w:val="22"/>
          <w:szCs w:val="22"/>
        </w:rPr>
        <w:t xml:space="preserve">To allow the </w:t>
      </w:r>
      <w:r w:rsidR="00857DA6">
        <w:rPr>
          <w:sz w:val="22"/>
          <w:szCs w:val="22"/>
        </w:rPr>
        <w:t>ILC Members</w:t>
      </w:r>
      <w:r w:rsidR="00837D80">
        <w:rPr>
          <w:sz w:val="22"/>
          <w:szCs w:val="22"/>
        </w:rPr>
        <w:t xml:space="preserve"> </w:t>
      </w:r>
      <w:r w:rsidRPr="00923945">
        <w:rPr>
          <w:sz w:val="22"/>
          <w:szCs w:val="22"/>
        </w:rPr>
        <w:t>to meet its legal responsibilities under the Freedom of Information Act 2000 (</w:t>
      </w:r>
      <w:r w:rsidRPr="00923945">
        <w:rPr>
          <w:b/>
          <w:sz w:val="22"/>
          <w:szCs w:val="22"/>
        </w:rPr>
        <w:t>FOIA</w:t>
      </w:r>
      <w:r w:rsidRPr="00923945">
        <w:rPr>
          <w:sz w:val="22"/>
          <w:szCs w:val="22"/>
        </w:rPr>
        <w:t xml:space="preserve">), all information submitted to a public authority, such as the </w:t>
      </w:r>
      <w:r w:rsidR="00857DA6">
        <w:rPr>
          <w:sz w:val="22"/>
          <w:szCs w:val="22"/>
        </w:rPr>
        <w:t>ILC Members,</w:t>
      </w:r>
      <w:r w:rsidRPr="00923945">
        <w:rPr>
          <w:sz w:val="22"/>
          <w:szCs w:val="22"/>
        </w:rPr>
        <w:t xml:space="preserve"> may need to be disclosed in response to a request under the FOIA. The </w:t>
      </w:r>
      <w:r w:rsidR="00857DA6">
        <w:rPr>
          <w:sz w:val="22"/>
          <w:szCs w:val="22"/>
        </w:rPr>
        <w:t>ILC Members</w:t>
      </w:r>
      <w:r w:rsidRPr="00923945">
        <w:rPr>
          <w:sz w:val="22"/>
          <w:szCs w:val="22"/>
        </w:rPr>
        <w:t xml:space="preserve"> may also decide to include certain information in the publication scheme, which the </w:t>
      </w:r>
      <w:r w:rsidR="00857DA6">
        <w:rPr>
          <w:sz w:val="22"/>
          <w:szCs w:val="22"/>
        </w:rPr>
        <w:t>ILC Member’s</w:t>
      </w:r>
      <w:r w:rsidR="00837D80">
        <w:rPr>
          <w:sz w:val="22"/>
          <w:szCs w:val="22"/>
        </w:rPr>
        <w:t xml:space="preserve"> </w:t>
      </w:r>
      <w:r w:rsidR="00857DA6">
        <w:rPr>
          <w:sz w:val="22"/>
          <w:szCs w:val="22"/>
        </w:rPr>
        <w:t>maintain</w:t>
      </w:r>
      <w:r w:rsidRPr="00923945">
        <w:rPr>
          <w:sz w:val="22"/>
          <w:szCs w:val="22"/>
        </w:rPr>
        <w:t xml:space="preserve"> under the FOIA.</w:t>
      </w:r>
    </w:p>
    <w:p w14:paraId="67846EC1" w14:textId="77777777" w:rsidR="001947F0" w:rsidRPr="00923945" w:rsidRDefault="001947F0" w:rsidP="00F848EC">
      <w:pPr>
        <w:pStyle w:val="Level2"/>
        <w:rPr>
          <w:sz w:val="22"/>
          <w:szCs w:val="22"/>
        </w:rPr>
      </w:pPr>
      <w:r w:rsidRPr="00923945">
        <w:rPr>
          <w:sz w:val="22"/>
          <w:szCs w:val="22"/>
        </w:rPr>
        <w:t xml:space="preserve">If a Tenderer considers that any of the information included in their Tender Response Document is commercially sensitive, they should identify it and explain, (in broad terms), what harm may result from disclosure if a request is received, and the time period applicable to that sensitivity. </w:t>
      </w:r>
    </w:p>
    <w:p w14:paraId="5E99DEF1" w14:textId="0A5E9FAE" w:rsidR="001947F0" w:rsidRPr="00923945" w:rsidRDefault="001947F0" w:rsidP="00F848EC">
      <w:pPr>
        <w:pStyle w:val="Level2"/>
        <w:rPr>
          <w:sz w:val="22"/>
          <w:szCs w:val="22"/>
        </w:rPr>
      </w:pPr>
      <w:r w:rsidRPr="00923945">
        <w:rPr>
          <w:sz w:val="22"/>
          <w:szCs w:val="22"/>
        </w:rPr>
        <w:t xml:space="preserve">Tenderers should be aware that, even where they have indicated that information is commercially sensitive, the </w:t>
      </w:r>
      <w:r w:rsidR="00857DA6">
        <w:rPr>
          <w:sz w:val="22"/>
          <w:szCs w:val="22"/>
        </w:rPr>
        <w:t>ILC Members</w:t>
      </w:r>
      <w:r w:rsidR="00837D80">
        <w:rPr>
          <w:sz w:val="22"/>
          <w:szCs w:val="22"/>
        </w:rPr>
        <w:t xml:space="preserve"> </w:t>
      </w:r>
      <w:r w:rsidRPr="00923945">
        <w:rPr>
          <w:sz w:val="22"/>
          <w:szCs w:val="22"/>
        </w:rPr>
        <w:t>might be required to disclose it under the FOIA</w:t>
      </w:r>
      <w:r w:rsidRPr="00923945" w:rsidDel="00C25498">
        <w:rPr>
          <w:sz w:val="22"/>
          <w:szCs w:val="22"/>
        </w:rPr>
        <w:t xml:space="preserve"> </w:t>
      </w:r>
      <w:r w:rsidR="00F848EC" w:rsidRPr="00923945">
        <w:rPr>
          <w:sz w:val="22"/>
          <w:szCs w:val="22"/>
        </w:rPr>
        <w:t>if a request i</w:t>
      </w:r>
      <w:r w:rsidRPr="00923945">
        <w:rPr>
          <w:sz w:val="22"/>
          <w:szCs w:val="22"/>
        </w:rPr>
        <w:t xml:space="preserve">s received.  </w:t>
      </w:r>
    </w:p>
    <w:p w14:paraId="500AB4EB" w14:textId="1275E7A8" w:rsidR="00F848EC" w:rsidRPr="00923945" w:rsidRDefault="001947F0" w:rsidP="00F848EC">
      <w:pPr>
        <w:pStyle w:val="Level2"/>
        <w:rPr>
          <w:sz w:val="22"/>
          <w:szCs w:val="22"/>
        </w:rPr>
      </w:pPr>
      <w:r w:rsidRPr="00923945">
        <w:rPr>
          <w:sz w:val="22"/>
          <w:szCs w:val="22"/>
        </w:rPr>
        <w:t>Tenderers should also note that the receipt of any material marked ‘confidenti</w:t>
      </w:r>
      <w:r w:rsidR="00857DA6">
        <w:rPr>
          <w:sz w:val="22"/>
          <w:szCs w:val="22"/>
        </w:rPr>
        <w:t xml:space="preserve">al’ or equivalent by the ILC Members </w:t>
      </w:r>
      <w:r w:rsidRPr="00923945">
        <w:rPr>
          <w:sz w:val="22"/>
          <w:szCs w:val="22"/>
        </w:rPr>
        <w:t xml:space="preserve">should not be taken to mean that the </w:t>
      </w:r>
      <w:r w:rsidR="00857DA6">
        <w:rPr>
          <w:sz w:val="22"/>
          <w:szCs w:val="22"/>
        </w:rPr>
        <w:t xml:space="preserve">ILC Members </w:t>
      </w:r>
      <w:r w:rsidRPr="00923945">
        <w:rPr>
          <w:sz w:val="22"/>
          <w:szCs w:val="22"/>
        </w:rPr>
        <w:t>accepts any duty of confidence by virtue of that marking.</w:t>
      </w:r>
    </w:p>
    <w:p w14:paraId="45CB6E64" w14:textId="77777777" w:rsidR="001947F0" w:rsidRPr="00923945" w:rsidRDefault="001947F0" w:rsidP="00F848EC">
      <w:pPr>
        <w:pStyle w:val="Level1"/>
        <w:keepNext/>
        <w:rPr>
          <w:b/>
          <w:color w:val="800080"/>
          <w:sz w:val="22"/>
          <w:szCs w:val="22"/>
        </w:rPr>
      </w:pPr>
      <w:r w:rsidRPr="00923945">
        <w:rPr>
          <w:rStyle w:val="Level1asHeadingtext"/>
          <w:sz w:val="22"/>
          <w:szCs w:val="22"/>
        </w:rPr>
        <w:t>General</w:t>
      </w:r>
    </w:p>
    <w:p w14:paraId="2856D60F" w14:textId="4815C0AE" w:rsidR="001947F0" w:rsidRDefault="001947F0" w:rsidP="00F848EC">
      <w:pPr>
        <w:pStyle w:val="Level2"/>
        <w:rPr>
          <w:sz w:val="22"/>
          <w:szCs w:val="22"/>
        </w:rPr>
      </w:pPr>
      <w:r w:rsidRPr="00923945">
        <w:rPr>
          <w:sz w:val="22"/>
          <w:szCs w:val="22"/>
        </w:rPr>
        <w:t xml:space="preserve">The </w:t>
      </w:r>
      <w:r w:rsidR="00D35C8D" w:rsidRPr="00923945">
        <w:rPr>
          <w:color w:val="000000"/>
          <w:sz w:val="22"/>
          <w:szCs w:val="22"/>
        </w:rPr>
        <w:t>Invitation to Tender</w:t>
      </w:r>
      <w:r w:rsidR="00D35C8D" w:rsidRPr="00923945">
        <w:rPr>
          <w:color w:val="000000"/>
          <w:sz w:val="22"/>
          <w:szCs w:val="22"/>
          <w:lang w:val="x-none"/>
        </w:rPr>
        <w:t xml:space="preserve"> </w:t>
      </w:r>
      <w:r w:rsidRPr="00923945">
        <w:rPr>
          <w:sz w:val="22"/>
          <w:szCs w:val="22"/>
        </w:rPr>
        <w:t xml:space="preserve">will remain the property </w:t>
      </w:r>
      <w:r w:rsidR="0030700F" w:rsidRPr="00923945">
        <w:rPr>
          <w:sz w:val="22"/>
          <w:szCs w:val="22"/>
        </w:rPr>
        <w:t xml:space="preserve">of the </w:t>
      </w:r>
      <w:r w:rsidR="001D707D">
        <w:rPr>
          <w:sz w:val="22"/>
          <w:szCs w:val="22"/>
        </w:rPr>
        <w:t>ILC</w:t>
      </w:r>
      <w:r w:rsidR="0030700F" w:rsidRPr="00923945">
        <w:rPr>
          <w:sz w:val="22"/>
          <w:szCs w:val="22"/>
        </w:rPr>
        <w:t>. I</w:t>
      </w:r>
      <w:r w:rsidR="00082E26" w:rsidRPr="00923945">
        <w:rPr>
          <w:sz w:val="22"/>
          <w:szCs w:val="22"/>
        </w:rPr>
        <w:t>f no Tender is</w:t>
      </w:r>
      <w:r w:rsidRPr="00923945">
        <w:rPr>
          <w:sz w:val="22"/>
          <w:szCs w:val="22"/>
        </w:rPr>
        <w:t xml:space="preserve"> submitted formally</w:t>
      </w:r>
      <w:r w:rsidR="00082E26" w:rsidRPr="00923945">
        <w:rPr>
          <w:sz w:val="22"/>
          <w:szCs w:val="22"/>
        </w:rPr>
        <w:t>,</w:t>
      </w:r>
      <w:r w:rsidRPr="00923945">
        <w:rPr>
          <w:sz w:val="22"/>
          <w:szCs w:val="22"/>
        </w:rPr>
        <w:t xml:space="preserve"> you will be required to delete the </w:t>
      </w:r>
      <w:r w:rsidR="00D35C8D" w:rsidRPr="00923945">
        <w:rPr>
          <w:color w:val="000000"/>
          <w:sz w:val="22"/>
          <w:szCs w:val="22"/>
        </w:rPr>
        <w:t>Invitation to Tender</w:t>
      </w:r>
      <w:r w:rsidR="00082E26" w:rsidRPr="00923945">
        <w:rPr>
          <w:color w:val="000000"/>
          <w:sz w:val="22"/>
          <w:szCs w:val="22"/>
        </w:rPr>
        <w:t xml:space="preserve"> documents</w:t>
      </w:r>
      <w:r w:rsidRPr="00923945">
        <w:rPr>
          <w:sz w:val="22"/>
          <w:szCs w:val="22"/>
        </w:rPr>
        <w:t>.</w:t>
      </w:r>
    </w:p>
    <w:p w14:paraId="42F59048" w14:textId="62968864" w:rsidR="000C0AF5" w:rsidRPr="000C0AF5" w:rsidRDefault="000C0AF5" w:rsidP="000C0AF5">
      <w:pPr>
        <w:pStyle w:val="Level2"/>
      </w:pPr>
      <w:r w:rsidRPr="008E318A">
        <w:rPr>
          <w:sz w:val="22"/>
          <w:szCs w:val="22"/>
        </w:rPr>
        <w:t>The ILC members will publish the estimated value of each policy and the names of the successful Tenderer/s</w:t>
      </w:r>
      <w:r w:rsidRPr="000305B1">
        <w:t>.</w:t>
      </w:r>
    </w:p>
    <w:p w14:paraId="265ECE39" w14:textId="36CD8CA4" w:rsidR="001947F0" w:rsidRPr="00923945" w:rsidRDefault="001947F0" w:rsidP="00F848EC">
      <w:pPr>
        <w:pStyle w:val="Level2"/>
        <w:rPr>
          <w:b/>
          <w:sz w:val="22"/>
          <w:szCs w:val="22"/>
        </w:rPr>
      </w:pPr>
      <w:r w:rsidRPr="00923945">
        <w:rPr>
          <w:sz w:val="22"/>
          <w:szCs w:val="22"/>
        </w:rPr>
        <w:t xml:space="preserve">The </w:t>
      </w:r>
      <w:r w:rsidR="001D707D">
        <w:rPr>
          <w:sz w:val="22"/>
          <w:szCs w:val="22"/>
        </w:rPr>
        <w:t>ILC</w:t>
      </w:r>
      <w:r w:rsidRPr="00923945">
        <w:rPr>
          <w:sz w:val="22"/>
          <w:szCs w:val="22"/>
        </w:rPr>
        <w:t xml:space="preserve"> reserves the right to issue amendments or modifications to these Instructions for Tendering, the Service Specification and the Tender Response Document during the </w:t>
      </w:r>
      <w:r w:rsidR="0030700F" w:rsidRPr="00923945">
        <w:rPr>
          <w:sz w:val="22"/>
          <w:szCs w:val="22"/>
        </w:rPr>
        <w:t>Procurement process</w:t>
      </w:r>
      <w:r w:rsidRPr="00923945">
        <w:rPr>
          <w:sz w:val="22"/>
          <w:szCs w:val="22"/>
        </w:rPr>
        <w:t>.</w:t>
      </w:r>
    </w:p>
    <w:p w14:paraId="1E1A3335" w14:textId="06995243" w:rsidR="001947F0" w:rsidRPr="00923945" w:rsidRDefault="001947F0" w:rsidP="00F848EC">
      <w:pPr>
        <w:pStyle w:val="Level2"/>
        <w:rPr>
          <w:sz w:val="22"/>
          <w:szCs w:val="22"/>
        </w:rPr>
      </w:pPr>
      <w:r w:rsidRPr="00923945">
        <w:rPr>
          <w:sz w:val="22"/>
          <w:szCs w:val="22"/>
        </w:rPr>
        <w:t xml:space="preserve">The </w:t>
      </w:r>
      <w:r w:rsidR="001D707D">
        <w:rPr>
          <w:sz w:val="22"/>
          <w:szCs w:val="22"/>
        </w:rPr>
        <w:t>ILC</w:t>
      </w:r>
      <w:r w:rsidRPr="00923945">
        <w:rPr>
          <w:sz w:val="22"/>
          <w:szCs w:val="22"/>
        </w:rPr>
        <w:t xml:space="preserve"> reserves the right to abandon or withdraw from the </w:t>
      </w:r>
      <w:r w:rsidR="0030700F" w:rsidRPr="00923945">
        <w:rPr>
          <w:sz w:val="22"/>
          <w:szCs w:val="22"/>
        </w:rPr>
        <w:t xml:space="preserve">Procurement </w:t>
      </w:r>
      <w:r w:rsidRPr="00923945">
        <w:rPr>
          <w:sz w:val="22"/>
          <w:szCs w:val="22"/>
        </w:rPr>
        <w:t>process at any time, to amend the timetable</w:t>
      </w:r>
      <w:r w:rsidR="001D707D">
        <w:rPr>
          <w:sz w:val="22"/>
          <w:szCs w:val="22"/>
        </w:rPr>
        <w:t xml:space="preserve"> to award and/or not to award a policy </w:t>
      </w:r>
      <w:r w:rsidRPr="00923945">
        <w:rPr>
          <w:sz w:val="22"/>
          <w:szCs w:val="22"/>
        </w:rPr>
        <w:t xml:space="preserve">to the lowest or any </w:t>
      </w:r>
      <w:proofErr w:type="gramStart"/>
      <w:r w:rsidR="001D707D">
        <w:rPr>
          <w:sz w:val="22"/>
          <w:szCs w:val="22"/>
        </w:rPr>
        <w:t>T</w:t>
      </w:r>
      <w:r w:rsidR="001D707D" w:rsidRPr="00923945">
        <w:rPr>
          <w:sz w:val="22"/>
          <w:szCs w:val="22"/>
        </w:rPr>
        <w:t>enderer</w:t>
      </w:r>
      <w:proofErr w:type="gramEnd"/>
      <w:r w:rsidRPr="00923945">
        <w:rPr>
          <w:sz w:val="22"/>
          <w:szCs w:val="22"/>
        </w:rPr>
        <w:t>.</w:t>
      </w:r>
    </w:p>
    <w:p w14:paraId="6E2B2B34" w14:textId="6BE2905B" w:rsidR="001947F0" w:rsidRPr="00923945" w:rsidRDefault="001947F0" w:rsidP="00F848EC">
      <w:pPr>
        <w:pStyle w:val="Level2"/>
        <w:rPr>
          <w:sz w:val="22"/>
          <w:szCs w:val="22"/>
        </w:rPr>
      </w:pPr>
      <w:r w:rsidRPr="00923945">
        <w:rPr>
          <w:sz w:val="22"/>
          <w:szCs w:val="22"/>
        </w:rPr>
        <w:lastRenderedPageBreak/>
        <w:t>Any costs and expenses incurred by any Tenderer or other person will not be reimbursed by the Council</w:t>
      </w:r>
      <w:r w:rsidR="001D707D">
        <w:rPr>
          <w:sz w:val="22"/>
          <w:szCs w:val="22"/>
        </w:rPr>
        <w:t xml:space="preserve"> or the ILC</w:t>
      </w:r>
      <w:r w:rsidRPr="00923945">
        <w:rPr>
          <w:sz w:val="22"/>
          <w:szCs w:val="22"/>
        </w:rPr>
        <w:t xml:space="preserve"> and neither the Council</w:t>
      </w:r>
      <w:r w:rsidR="001D707D">
        <w:rPr>
          <w:sz w:val="22"/>
          <w:szCs w:val="22"/>
        </w:rPr>
        <w:t>, the ILC</w:t>
      </w:r>
      <w:r w:rsidRPr="00923945">
        <w:rPr>
          <w:sz w:val="22"/>
          <w:szCs w:val="22"/>
        </w:rPr>
        <w:t xml:space="preserve"> nor any of its representatives will be liable in any way to any Tenderer or other person for any costs, expenses or losses incurred by any Tenderer or other person in connection with this tender process.</w:t>
      </w:r>
    </w:p>
    <w:p w14:paraId="09255784" w14:textId="77777777" w:rsidR="002B3D3A" w:rsidRPr="00923945" w:rsidRDefault="002B3D3A" w:rsidP="002B3D3A">
      <w:pPr>
        <w:pStyle w:val="Level1"/>
        <w:keepNext/>
        <w:rPr>
          <w:rStyle w:val="Level1asHeadingtext"/>
          <w:sz w:val="22"/>
          <w:szCs w:val="22"/>
        </w:rPr>
      </w:pPr>
      <w:bookmarkStart w:id="3" w:name="_Ref424807622"/>
      <w:bookmarkStart w:id="4" w:name="_Ref424807729"/>
      <w:bookmarkStart w:id="5" w:name="_Ref424817168"/>
      <w:bookmarkStart w:id="6" w:name="_Ref425147688"/>
      <w:bookmarkStart w:id="7" w:name="_Ref427106914"/>
      <w:bookmarkStart w:id="8" w:name="_Ref427416608"/>
      <w:bookmarkStart w:id="9" w:name="_Ref427416960"/>
      <w:r w:rsidRPr="00923945">
        <w:rPr>
          <w:rStyle w:val="Level1asHeadingtext"/>
          <w:sz w:val="22"/>
          <w:szCs w:val="22"/>
        </w:rPr>
        <w:t>structure of the competition</w:t>
      </w:r>
      <w:bookmarkEnd w:id="3"/>
      <w:bookmarkEnd w:id="4"/>
      <w:bookmarkEnd w:id="5"/>
      <w:bookmarkEnd w:id="6"/>
      <w:bookmarkEnd w:id="7"/>
      <w:bookmarkEnd w:id="8"/>
      <w:bookmarkEnd w:id="9"/>
      <w:r w:rsidRPr="00923945">
        <w:rPr>
          <w:sz w:val="22"/>
          <w:szCs w:val="22"/>
        </w:rPr>
        <w:t xml:space="preserve"> </w:t>
      </w:r>
    </w:p>
    <w:p w14:paraId="789B0C89" w14:textId="35CE4478" w:rsidR="001947F0" w:rsidRPr="00873962" w:rsidRDefault="001947F0" w:rsidP="00031467">
      <w:pPr>
        <w:pStyle w:val="Level2"/>
        <w:rPr>
          <w:sz w:val="22"/>
          <w:szCs w:val="22"/>
        </w:rPr>
      </w:pPr>
      <w:r w:rsidRPr="00873962">
        <w:rPr>
          <w:sz w:val="22"/>
          <w:szCs w:val="22"/>
        </w:rPr>
        <w:t>The Service Specification set</w:t>
      </w:r>
      <w:r w:rsidR="00C51275">
        <w:rPr>
          <w:sz w:val="22"/>
          <w:szCs w:val="22"/>
        </w:rPr>
        <w:t>s</w:t>
      </w:r>
      <w:r w:rsidRPr="00873962">
        <w:rPr>
          <w:sz w:val="22"/>
          <w:szCs w:val="22"/>
        </w:rPr>
        <w:t xml:space="preserve"> out the</w:t>
      </w:r>
      <w:r w:rsidR="002670B2" w:rsidRPr="00873962">
        <w:rPr>
          <w:sz w:val="22"/>
          <w:szCs w:val="22"/>
        </w:rPr>
        <w:t xml:space="preserve"> ILC’s</w:t>
      </w:r>
      <w:r w:rsidRPr="00873962">
        <w:rPr>
          <w:sz w:val="22"/>
          <w:szCs w:val="22"/>
        </w:rPr>
        <w:t xml:space="preserve"> requirements for the delivery and management of the Services</w:t>
      </w:r>
      <w:r w:rsidR="00594A5C" w:rsidRPr="00873962">
        <w:rPr>
          <w:sz w:val="22"/>
          <w:szCs w:val="22"/>
        </w:rPr>
        <w:t>.</w:t>
      </w:r>
    </w:p>
    <w:p w14:paraId="595083CA" w14:textId="2DE2DEE8" w:rsidR="00A920E1" w:rsidRPr="00873962" w:rsidRDefault="00A920E1" w:rsidP="00031467">
      <w:pPr>
        <w:pStyle w:val="Level2"/>
        <w:rPr>
          <w:sz w:val="22"/>
          <w:szCs w:val="22"/>
        </w:rPr>
      </w:pPr>
      <w:r w:rsidRPr="00873962">
        <w:rPr>
          <w:sz w:val="22"/>
          <w:szCs w:val="22"/>
        </w:rPr>
        <w:t xml:space="preserve">Tenders must be returned electronically via the Council’s </w:t>
      </w:r>
      <w:r w:rsidRPr="00873962">
        <w:rPr>
          <w:bCs/>
          <w:sz w:val="22"/>
          <w:szCs w:val="22"/>
          <w:lang w:eastAsia="x-none"/>
        </w:rPr>
        <w:t>e-Tendering Portal</w:t>
      </w:r>
      <w:r w:rsidRPr="00873962">
        <w:rPr>
          <w:sz w:val="22"/>
          <w:szCs w:val="22"/>
        </w:rPr>
        <w:t>.</w:t>
      </w:r>
    </w:p>
    <w:p w14:paraId="6F3CDCB4" w14:textId="37BE77B0" w:rsidR="001947F0" w:rsidRPr="00873962" w:rsidRDefault="001947F0" w:rsidP="00031467">
      <w:pPr>
        <w:pStyle w:val="Level2"/>
        <w:rPr>
          <w:sz w:val="22"/>
          <w:szCs w:val="22"/>
        </w:rPr>
      </w:pPr>
      <w:r w:rsidRPr="00873962">
        <w:rPr>
          <w:sz w:val="22"/>
          <w:szCs w:val="22"/>
        </w:rPr>
        <w:t>Tenderers are required to submit responses to the questions in a manner that explains how they propose to meet the requirements of the</w:t>
      </w:r>
      <w:r w:rsidR="002670B2" w:rsidRPr="00873962">
        <w:rPr>
          <w:sz w:val="22"/>
          <w:szCs w:val="22"/>
        </w:rPr>
        <w:t xml:space="preserve"> ILC</w:t>
      </w:r>
      <w:r w:rsidR="00082E26" w:rsidRPr="00873962">
        <w:rPr>
          <w:sz w:val="22"/>
          <w:szCs w:val="22"/>
        </w:rPr>
        <w:t>.</w:t>
      </w:r>
      <w:r w:rsidRPr="00873962">
        <w:rPr>
          <w:sz w:val="22"/>
          <w:szCs w:val="22"/>
        </w:rPr>
        <w:t xml:space="preserve"> Details of the question</w:t>
      </w:r>
      <w:r w:rsidR="00082E26" w:rsidRPr="00873962">
        <w:rPr>
          <w:sz w:val="22"/>
          <w:szCs w:val="22"/>
        </w:rPr>
        <w:t>s to be answered as part of these Instructions for Tendering</w:t>
      </w:r>
      <w:r w:rsidRPr="00873962">
        <w:rPr>
          <w:sz w:val="22"/>
          <w:szCs w:val="22"/>
        </w:rPr>
        <w:t xml:space="preserve"> are set out </w:t>
      </w:r>
      <w:r w:rsidR="000772AD" w:rsidRPr="00873962">
        <w:rPr>
          <w:sz w:val="22"/>
          <w:szCs w:val="22"/>
        </w:rPr>
        <w:t xml:space="preserve">below and </w:t>
      </w:r>
      <w:r w:rsidRPr="00873962">
        <w:rPr>
          <w:sz w:val="22"/>
          <w:szCs w:val="22"/>
        </w:rPr>
        <w:t>in the Tender Response Document.</w:t>
      </w:r>
    </w:p>
    <w:p w14:paraId="0CEBC5D4" w14:textId="77777777" w:rsidR="001947F0" w:rsidRPr="00873962" w:rsidRDefault="001947F0" w:rsidP="00031467">
      <w:pPr>
        <w:pStyle w:val="Level2"/>
        <w:rPr>
          <w:sz w:val="22"/>
          <w:szCs w:val="22"/>
        </w:rPr>
      </w:pPr>
      <w:r w:rsidRPr="00873962">
        <w:rPr>
          <w:sz w:val="22"/>
          <w:szCs w:val="22"/>
        </w:rPr>
        <w:t>Res</w:t>
      </w:r>
      <w:r w:rsidR="000772AD" w:rsidRPr="00873962">
        <w:rPr>
          <w:sz w:val="22"/>
          <w:szCs w:val="22"/>
        </w:rPr>
        <w:t>ponses to the questions</w:t>
      </w:r>
      <w:r w:rsidRPr="00873962">
        <w:rPr>
          <w:sz w:val="22"/>
          <w:szCs w:val="22"/>
        </w:rPr>
        <w:t xml:space="preserve"> </w:t>
      </w:r>
      <w:r w:rsidR="000772AD" w:rsidRPr="00873962">
        <w:rPr>
          <w:sz w:val="22"/>
          <w:szCs w:val="22"/>
        </w:rPr>
        <w:t xml:space="preserve">in the Tender Response Document </w:t>
      </w:r>
      <w:r w:rsidRPr="00873962">
        <w:rPr>
          <w:sz w:val="22"/>
          <w:szCs w:val="22"/>
        </w:rPr>
        <w:t>form an important part of the evaluation process. Tenderers are advised to submit all the information requested.</w:t>
      </w:r>
    </w:p>
    <w:p w14:paraId="4C1100CD" w14:textId="522B11A3" w:rsidR="001947F0" w:rsidRPr="00873962" w:rsidRDefault="000772AD" w:rsidP="00031467">
      <w:pPr>
        <w:pStyle w:val="Level2"/>
        <w:rPr>
          <w:sz w:val="22"/>
          <w:szCs w:val="22"/>
        </w:rPr>
      </w:pPr>
      <w:r w:rsidRPr="00873962">
        <w:rPr>
          <w:sz w:val="22"/>
          <w:szCs w:val="22"/>
        </w:rPr>
        <w:t>Responses t</w:t>
      </w:r>
      <w:r w:rsidR="001947F0" w:rsidRPr="00873962">
        <w:rPr>
          <w:sz w:val="22"/>
          <w:szCs w:val="22"/>
        </w:rPr>
        <w:t>o</w:t>
      </w:r>
      <w:r w:rsidRPr="00873962">
        <w:rPr>
          <w:sz w:val="22"/>
          <w:szCs w:val="22"/>
        </w:rPr>
        <w:t xml:space="preserve"> the</w:t>
      </w:r>
      <w:r w:rsidR="001947F0" w:rsidRPr="00873962">
        <w:rPr>
          <w:sz w:val="22"/>
          <w:szCs w:val="22"/>
        </w:rPr>
        <w:t xml:space="preserve"> questions will be evaluate</w:t>
      </w:r>
      <w:r w:rsidR="00374432" w:rsidRPr="00873962">
        <w:rPr>
          <w:sz w:val="22"/>
          <w:szCs w:val="22"/>
        </w:rPr>
        <w:t>d</w:t>
      </w:r>
      <w:r w:rsidR="00A920E1" w:rsidRPr="00873962">
        <w:rPr>
          <w:sz w:val="22"/>
          <w:szCs w:val="22"/>
        </w:rPr>
        <w:t xml:space="preserve"> by ILC Members</w:t>
      </w:r>
      <w:r w:rsidR="00374432" w:rsidRPr="00873962">
        <w:rPr>
          <w:sz w:val="22"/>
          <w:szCs w:val="22"/>
        </w:rPr>
        <w:t xml:space="preserve"> and scored in accordance with</w:t>
      </w:r>
      <w:r w:rsidR="00E53DF4" w:rsidRPr="00873962">
        <w:rPr>
          <w:sz w:val="22"/>
          <w:szCs w:val="22"/>
        </w:rPr>
        <w:t xml:space="preserve"> the evaluation methodology and scoring </w:t>
      </w:r>
      <w:r w:rsidR="00EE5792" w:rsidRPr="00873962">
        <w:rPr>
          <w:sz w:val="22"/>
          <w:szCs w:val="22"/>
        </w:rPr>
        <w:t>tables</w:t>
      </w:r>
      <w:r w:rsidR="00E53DF4" w:rsidRPr="00873962">
        <w:rPr>
          <w:sz w:val="22"/>
          <w:szCs w:val="22"/>
        </w:rPr>
        <w:t xml:space="preserve"> set out in these Instructions to Tenderers</w:t>
      </w:r>
      <w:r w:rsidR="001947F0" w:rsidRPr="00873962">
        <w:rPr>
          <w:sz w:val="22"/>
          <w:szCs w:val="22"/>
        </w:rPr>
        <w:t xml:space="preserve">. Such scores will reflect the extent to which the submissions meet the </w:t>
      </w:r>
      <w:r w:rsidR="003173BF" w:rsidRPr="00873962">
        <w:rPr>
          <w:sz w:val="22"/>
          <w:szCs w:val="22"/>
        </w:rPr>
        <w:t>ILC’s</w:t>
      </w:r>
      <w:r w:rsidR="001947F0" w:rsidRPr="00873962">
        <w:rPr>
          <w:sz w:val="22"/>
          <w:szCs w:val="22"/>
        </w:rPr>
        <w:t xml:space="preserve"> requirements.</w:t>
      </w:r>
    </w:p>
    <w:p w14:paraId="36510B7D" w14:textId="40D2600F" w:rsidR="001947F0" w:rsidRPr="00873962" w:rsidRDefault="00A920E1" w:rsidP="001947F0">
      <w:pPr>
        <w:pStyle w:val="Level2"/>
        <w:rPr>
          <w:sz w:val="22"/>
          <w:szCs w:val="22"/>
        </w:rPr>
      </w:pPr>
      <w:r w:rsidRPr="00873962">
        <w:rPr>
          <w:sz w:val="22"/>
          <w:szCs w:val="22"/>
        </w:rPr>
        <w:t xml:space="preserve">The ILC may request clarifications from Tenderers. </w:t>
      </w:r>
      <w:r w:rsidR="001947F0" w:rsidRPr="00873962">
        <w:rPr>
          <w:sz w:val="22"/>
          <w:szCs w:val="22"/>
        </w:rPr>
        <w:t>Following any clarifications required, members of the evaluation team will individually review and score the Tender Response</w:t>
      </w:r>
      <w:r w:rsidR="00E53DF4" w:rsidRPr="00873962">
        <w:rPr>
          <w:sz w:val="22"/>
          <w:szCs w:val="22"/>
        </w:rPr>
        <w:t>s</w:t>
      </w:r>
      <w:r w:rsidR="001947F0" w:rsidRPr="00873962">
        <w:rPr>
          <w:sz w:val="22"/>
          <w:szCs w:val="22"/>
        </w:rPr>
        <w:t xml:space="preserve"> </w:t>
      </w:r>
      <w:r w:rsidR="00E53DF4" w:rsidRPr="00873962">
        <w:rPr>
          <w:sz w:val="22"/>
          <w:szCs w:val="22"/>
        </w:rPr>
        <w:t>and a</w:t>
      </w:r>
      <w:r w:rsidR="001947F0" w:rsidRPr="00873962">
        <w:rPr>
          <w:sz w:val="22"/>
          <w:szCs w:val="22"/>
        </w:rPr>
        <w:t xml:space="preserve"> moderation meeting will then take place to final</w:t>
      </w:r>
      <w:r w:rsidR="00A53375" w:rsidRPr="00873962">
        <w:rPr>
          <w:sz w:val="22"/>
          <w:szCs w:val="22"/>
        </w:rPr>
        <w:t>ise the scores for each Tenderer.</w:t>
      </w:r>
    </w:p>
    <w:p w14:paraId="2154AD3C" w14:textId="2959260A" w:rsidR="00E3390B" w:rsidRPr="00E3335E" w:rsidRDefault="000E6F13" w:rsidP="002A495B">
      <w:pPr>
        <w:pStyle w:val="Body1"/>
        <w:ind w:left="0"/>
        <w:rPr>
          <w:rStyle w:val="Level1asHeadingtext"/>
          <w:bCs w:val="0"/>
          <w:caps w:val="0"/>
          <w:sz w:val="22"/>
          <w:szCs w:val="22"/>
        </w:rPr>
      </w:pPr>
      <w:r w:rsidRPr="000E6F13">
        <w:rPr>
          <w:rStyle w:val="Level1asHeadingtext"/>
          <w:b w:val="0"/>
          <w:sz w:val="22"/>
          <w:szCs w:val="22"/>
        </w:rPr>
        <w:t>21</w:t>
      </w:r>
      <w:r>
        <w:rPr>
          <w:rStyle w:val="Level1asHeadingtext"/>
          <w:sz w:val="22"/>
          <w:szCs w:val="22"/>
        </w:rPr>
        <w:tab/>
      </w:r>
      <w:r w:rsidR="00E3335E">
        <w:rPr>
          <w:rStyle w:val="Level1asHeadingtext"/>
          <w:sz w:val="22"/>
          <w:szCs w:val="22"/>
        </w:rPr>
        <w:t>The Tender Evaluation Process</w:t>
      </w:r>
      <w:r w:rsidR="00E3335E" w:rsidRPr="00E3335E">
        <w:rPr>
          <w:b/>
          <w:sz w:val="22"/>
          <w:szCs w:val="22"/>
        </w:rPr>
        <w:t xml:space="preserve"> </w:t>
      </w:r>
      <w:r w:rsidR="00E3335E">
        <w:rPr>
          <w:b/>
          <w:sz w:val="22"/>
          <w:szCs w:val="22"/>
        </w:rPr>
        <w:t xml:space="preserve">STAGE </w:t>
      </w:r>
    </w:p>
    <w:p w14:paraId="183C96FB" w14:textId="5B6CCEDB" w:rsidR="00247A1D" w:rsidRDefault="00E3335E" w:rsidP="00247A1D">
      <w:pPr>
        <w:pStyle w:val="Body1"/>
        <w:ind w:left="420" w:firstLine="431"/>
        <w:contextualSpacing/>
        <w:rPr>
          <w:rStyle w:val="Level1asHeadingtext"/>
          <w:sz w:val="22"/>
          <w:szCs w:val="22"/>
        </w:rPr>
      </w:pPr>
      <w:r>
        <w:rPr>
          <w:b/>
          <w:sz w:val="22"/>
          <w:szCs w:val="22"/>
        </w:rPr>
        <w:t>Quality =</w:t>
      </w:r>
      <w:r w:rsidRPr="005E0CAA">
        <w:rPr>
          <w:b/>
          <w:sz w:val="22"/>
          <w:szCs w:val="22"/>
        </w:rPr>
        <w:t xml:space="preserve"> </w:t>
      </w:r>
      <w:r w:rsidR="00013FA6">
        <w:rPr>
          <w:b/>
          <w:sz w:val="22"/>
          <w:szCs w:val="22"/>
        </w:rPr>
        <w:t>7</w:t>
      </w:r>
      <w:r w:rsidRPr="005E0CAA">
        <w:rPr>
          <w:b/>
          <w:sz w:val="22"/>
          <w:szCs w:val="22"/>
        </w:rPr>
        <w:t>0%</w:t>
      </w:r>
      <w:r>
        <w:rPr>
          <w:b/>
          <w:sz w:val="22"/>
          <w:szCs w:val="22"/>
        </w:rPr>
        <w:t xml:space="preserve"> of total score </w:t>
      </w:r>
      <w:r w:rsidRPr="00E3335E">
        <w:rPr>
          <w:rStyle w:val="Level1asHeadingtext"/>
          <w:sz w:val="22"/>
          <w:szCs w:val="22"/>
        </w:rPr>
        <w:t xml:space="preserve"> </w:t>
      </w:r>
    </w:p>
    <w:p w14:paraId="68728B4C" w14:textId="1127EEB7" w:rsidR="00247A1D" w:rsidRDefault="00013FA6" w:rsidP="00013FA6">
      <w:pPr>
        <w:pStyle w:val="Body1"/>
        <w:ind w:left="420" w:firstLine="431"/>
        <w:contextualSpacing/>
        <w:rPr>
          <w:b/>
          <w:sz w:val="22"/>
          <w:szCs w:val="22"/>
        </w:rPr>
      </w:pPr>
      <w:r>
        <w:rPr>
          <w:b/>
          <w:sz w:val="22"/>
          <w:szCs w:val="22"/>
        </w:rPr>
        <w:t xml:space="preserve">Value </w:t>
      </w:r>
      <w:r w:rsidR="00B85FA1">
        <w:rPr>
          <w:b/>
          <w:sz w:val="22"/>
          <w:szCs w:val="22"/>
        </w:rPr>
        <w:t>for Money</w:t>
      </w:r>
      <w:r w:rsidR="00247A1D">
        <w:rPr>
          <w:b/>
          <w:sz w:val="22"/>
          <w:szCs w:val="22"/>
        </w:rPr>
        <w:t xml:space="preserve">  </w:t>
      </w:r>
      <w:r>
        <w:rPr>
          <w:b/>
          <w:sz w:val="22"/>
          <w:szCs w:val="22"/>
        </w:rPr>
        <w:t xml:space="preserve"> = 1</w:t>
      </w:r>
      <w:r w:rsidR="00247A1D" w:rsidRPr="00E3335E">
        <w:rPr>
          <w:b/>
          <w:sz w:val="22"/>
          <w:szCs w:val="22"/>
        </w:rPr>
        <w:t xml:space="preserve">0% of the total score </w:t>
      </w:r>
    </w:p>
    <w:p w14:paraId="611E22C4" w14:textId="78488F68" w:rsidR="00E3335E" w:rsidRDefault="00E3335E" w:rsidP="00013FA6">
      <w:pPr>
        <w:pStyle w:val="Body1"/>
        <w:ind w:left="0" w:firstLine="851"/>
        <w:contextualSpacing/>
        <w:rPr>
          <w:b/>
          <w:sz w:val="22"/>
          <w:szCs w:val="22"/>
        </w:rPr>
      </w:pPr>
      <w:r w:rsidRPr="00E3335E">
        <w:rPr>
          <w:b/>
          <w:sz w:val="22"/>
          <w:szCs w:val="22"/>
        </w:rPr>
        <w:t>Price</w:t>
      </w:r>
      <w:r w:rsidR="00AA1EDD">
        <w:rPr>
          <w:b/>
          <w:sz w:val="22"/>
          <w:szCs w:val="22"/>
        </w:rPr>
        <w:t xml:space="preserve">   </w:t>
      </w:r>
      <w:r w:rsidR="00013FA6">
        <w:rPr>
          <w:b/>
          <w:sz w:val="22"/>
          <w:szCs w:val="22"/>
        </w:rPr>
        <w:t xml:space="preserve"> = 2</w:t>
      </w:r>
      <w:r w:rsidRPr="00E3335E">
        <w:rPr>
          <w:b/>
          <w:sz w:val="22"/>
          <w:szCs w:val="22"/>
        </w:rPr>
        <w:t xml:space="preserve">0% of the total score </w:t>
      </w:r>
    </w:p>
    <w:p w14:paraId="76DEA35B" w14:textId="77777777" w:rsidR="00E3335E" w:rsidRPr="00E3335E" w:rsidRDefault="00E3335E" w:rsidP="00E3335E">
      <w:pPr>
        <w:pStyle w:val="Body1"/>
        <w:contextualSpacing/>
        <w:rPr>
          <w:b/>
          <w:sz w:val="22"/>
          <w:szCs w:val="22"/>
        </w:rPr>
      </w:pPr>
    </w:p>
    <w:p w14:paraId="1F5526F7" w14:textId="77777777" w:rsidR="00FC2823" w:rsidRPr="00FC2823" w:rsidRDefault="00FC2823" w:rsidP="00FC2823">
      <w:pPr>
        <w:pStyle w:val="ListParagraph"/>
        <w:numPr>
          <w:ilvl w:val="0"/>
          <w:numId w:val="2"/>
        </w:numPr>
        <w:adjustRightInd w:val="0"/>
        <w:spacing w:before="0" w:after="240"/>
        <w:contextualSpacing w:val="0"/>
        <w:outlineLvl w:val="0"/>
        <w:rPr>
          <w:rFonts w:ascii="Arial" w:eastAsia="Arial" w:hAnsi="Arial" w:cs="Arial"/>
          <w:vanish/>
          <w:sz w:val="20"/>
          <w:szCs w:val="20"/>
          <w:lang w:eastAsia="en-GB"/>
        </w:rPr>
      </w:pPr>
    </w:p>
    <w:p w14:paraId="2988D76F" w14:textId="27E655EB" w:rsidR="005E0CAA" w:rsidRPr="00FC2823" w:rsidRDefault="005E0CAA" w:rsidP="00FC2823">
      <w:pPr>
        <w:pStyle w:val="Level2"/>
        <w:rPr>
          <w:sz w:val="22"/>
          <w:szCs w:val="22"/>
        </w:rPr>
      </w:pPr>
      <w:r w:rsidRPr="00FC2823">
        <w:rPr>
          <w:sz w:val="22"/>
          <w:szCs w:val="22"/>
        </w:rPr>
        <w:t xml:space="preserve">Each Tenderer's response to Questions </w:t>
      </w:r>
      <w:r w:rsidR="00160C3D" w:rsidRPr="00FC2823">
        <w:rPr>
          <w:sz w:val="22"/>
          <w:szCs w:val="22"/>
        </w:rPr>
        <w:t>9.</w:t>
      </w:r>
      <w:r w:rsidR="00D126DF">
        <w:rPr>
          <w:sz w:val="22"/>
          <w:szCs w:val="22"/>
        </w:rPr>
        <w:t>1</w:t>
      </w:r>
      <w:r w:rsidR="00160C3D" w:rsidRPr="00FC2823">
        <w:rPr>
          <w:sz w:val="22"/>
          <w:szCs w:val="22"/>
        </w:rPr>
        <w:t xml:space="preserve"> – 9.6</w:t>
      </w:r>
      <w:r w:rsidRPr="00FC2823">
        <w:rPr>
          <w:sz w:val="22"/>
          <w:szCs w:val="22"/>
        </w:rPr>
        <w:t xml:space="preserve"> of the Tender Response Document will be evaluated and given </w:t>
      </w:r>
      <w:r w:rsidR="00EE5792" w:rsidRPr="00FC2823">
        <w:rPr>
          <w:sz w:val="22"/>
          <w:szCs w:val="22"/>
        </w:rPr>
        <w:t xml:space="preserve">an un-weighted score. Table 1 outlines the scoring methodology that will be used to evaluate each </w:t>
      </w:r>
      <w:r w:rsidR="00160C3D" w:rsidRPr="00FC2823">
        <w:rPr>
          <w:sz w:val="22"/>
          <w:szCs w:val="22"/>
        </w:rPr>
        <w:t xml:space="preserve">of these </w:t>
      </w:r>
      <w:r w:rsidR="00EE5792" w:rsidRPr="00FC2823">
        <w:rPr>
          <w:sz w:val="22"/>
          <w:szCs w:val="22"/>
        </w:rPr>
        <w:t>question</w:t>
      </w:r>
      <w:r w:rsidR="00160C3D" w:rsidRPr="00FC2823">
        <w:rPr>
          <w:sz w:val="22"/>
          <w:szCs w:val="22"/>
        </w:rPr>
        <w:t>s</w:t>
      </w:r>
      <w:r w:rsidR="00EE5792" w:rsidRPr="00FC2823">
        <w:rPr>
          <w:sz w:val="22"/>
          <w:szCs w:val="22"/>
        </w:rPr>
        <w:t>.</w:t>
      </w:r>
    </w:p>
    <w:p w14:paraId="37F19189" w14:textId="496913B4" w:rsidR="00EE5792" w:rsidRPr="0072390D" w:rsidRDefault="00EE5792" w:rsidP="005E0CAA">
      <w:pPr>
        <w:pStyle w:val="Body1"/>
        <w:rPr>
          <w:b/>
          <w:sz w:val="22"/>
          <w:szCs w:val="22"/>
        </w:rPr>
      </w:pPr>
      <w:r w:rsidRPr="0072390D">
        <w:rPr>
          <w:b/>
          <w:sz w:val="22"/>
          <w:szCs w:val="22"/>
        </w:rPr>
        <w:t>Table 1</w:t>
      </w:r>
    </w:p>
    <w:tbl>
      <w:tblPr>
        <w:tblW w:w="8221" w:type="dxa"/>
        <w:tblInd w:w="959" w:type="dxa"/>
        <w:tblCellMar>
          <w:left w:w="0" w:type="dxa"/>
          <w:right w:w="0" w:type="dxa"/>
        </w:tblCellMar>
        <w:tblLook w:val="0000" w:firstRow="0" w:lastRow="0" w:firstColumn="0" w:lastColumn="0" w:noHBand="0" w:noVBand="0"/>
      </w:tblPr>
      <w:tblGrid>
        <w:gridCol w:w="1263"/>
        <w:gridCol w:w="1562"/>
        <w:gridCol w:w="5396"/>
      </w:tblGrid>
      <w:tr w:rsidR="007017F9" w:rsidRPr="007017F9" w14:paraId="26E8BD23" w14:textId="77777777" w:rsidTr="007017F9">
        <w:trPr>
          <w:trHeight w:val="620"/>
        </w:trPr>
        <w:tc>
          <w:tcPr>
            <w:tcW w:w="1276" w:type="dxa"/>
            <w:tcBorders>
              <w:top w:val="single" w:sz="8" w:space="0" w:color="auto"/>
              <w:left w:val="single" w:sz="8" w:space="0" w:color="auto"/>
              <w:bottom w:val="single" w:sz="8" w:space="0" w:color="auto"/>
              <w:right w:val="single" w:sz="8" w:space="0" w:color="auto"/>
            </w:tcBorders>
            <w:shd w:val="clear" w:color="auto" w:fill="990099"/>
            <w:tcMar>
              <w:top w:w="0" w:type="dxa"/>
              <w:left w:w="108" w:type="dxa"/>
              <w:bottom w:w="0" w:type="dxa"/>
              <w:right w:w="108" w:type="dxa"/>
            </w:tcMar>
            <w:vAlign w:val="center"/>
          </w:tcPr>
          <w:p w14:paraId="1C97191D" w14:textId="77777777" w:rsidR="00EE5792" w:rsidRPr="007017F9" w:rsidRDefault="00EE5792" w:rsidP="00491104">
            <w:pPr>
              <w:jc w:val="center"/>
              <w:rPr>
                <w:b/>
                <w:color w:val="FFFFFF" w:themeColor="background1"/>
                <w:sz w:val="22"/>
                <w:szCs w:val="22"/>
              </w:rPr>
            </w:pPr>
            <w:r w:rsidRPr="007017F9">
              <w:rPr>
                <w:b/>
                <w:color w:val="FFFFFF" w:themeColor="background1"/>
                <w:sz w:val="22"/>
                <w:szCs w:val="22"/>
              </w:rPr>
              <w:t>Score</w:t>
            </w:r>
          </w:p>
        </w:tc>
        <w:tc>
          <w:tcPr>
            <w:tcW w:w="1440" w:type="dxa"/>
            <w:tcBorders>
              <w:top w:val="single" w:sz="8" w:space="0" w:color="auto"/>
              <w:left w:val="nil"/>
              <w:bottom w:val="single" w:sz="8" w:space="0" w:color="auto"/>
              <w:right w:val="single" w:sz="8" w:space="0" w:color="auto"/>
            </w:tcBorders>
            <w:shd w:val="clear" w:color="auto" w:fill="990099"/>
            <w:tcMar>
              <w:top w:w="0" w:type="dxa"/>
              <w:left w:w="108" w:type="dxa"/>
              <w:bottom w:w="0" w:type="dxa"/>
              <w:right w:w="108" w:type="dxa"/>
            </w:tcMar>
            <w:vAlign w:val="center"/>
          </w:tcPr>
          <w:p w14:paraId="6BAB2DD2" w14:textId="77777777" w:rsidR="00EE5792" w:rsidRPr="007017F9" w:rsidRDefault="00EE5792" w:rsidP="00491104">
            <w:pPr>
              <w:jc w:val="center"/>
              <w:rPr>
                <w:b/>
                <w:color w:val="FFFFFF" w:themeColor="background1"/>
                <w:sz w:val="22"/>
                <w:szCs w:val="22"/>
              </w:rPr>
            </w:pPr>
            <w:r w:rsidRPr="007017F9">
              <w:rPr>
                <w:b/>
                <w:color w:val="FFFFFF" w:themeColor="background1"/>
                <w:sz w:val="22"/>
                <w:szCs w:val="22"/>
              </w:rPr>
              <w:t>Rating</w:t>
            </w:r>
          </w:p>
        </w:tc>
        <w:tc>
          <w:tcPr>
            <w:tcW w:w="5505" w:type="dxa"/>
            <w:tcBorders>
              <w:top w:val="single" w:sz="8" w:space="0" w:color="auto"/>
              <w:left w:val="nil"/>
              <w:bottom w:val="single" w:sz="8" w:space="0" w:color="auto"/>
              <w:right w:val="single" w:sz="8" w:space="0" w:color="auto"/>
            </w:tcBorders>
            <w:shd w:val="clear" w:color="auto" w:fill="990099"/>
            <w:tcMar>
              <w:top w:w="0" w:type="dxa"/>
              <w:left w:w="108" w:type="dxa"/>
              <w:bottom w:w="0" w:type="dxa"/>
              <w:right w:w="108" w:type="dxa"/>
            </w:tcMar>
            <w:vAlign w:val="center"/>
          </w:tcPr>
          <w:p w14:paraId="2109CBA6" w14:textId="77777777" w:rsidR="00EE5792" w:rsidRPr="007017F9" w:rsidRDefault="00EE5792" w:rsidP="00491104">
            <w:pPr>
              <w:jc w:val="center"/>
              <w:rPr>
                <w:b/>
                <w:color w:val="FFFFFF" w:themeColor="background1"/>
                <w:sz w:val="22"/>
                <w:szCs w:val="22"/>
              </w:rPr>
            </w:pPr>
          </w:p>
          <w:p w14:paraId="0FD66A9C" w14:textId="77777777" w:rsidR="00EE5792" w:rsidRPr="007017F9" w:rsidRDefault="00EE5792" w:rsidP="00491104">
            <w:pPr>
              <w:jc w:val="center"/>
              <w:rPr>
                <w:b/>
                <w:color w:val="FFFFFF" w:themeColor="background1"/>
                <w:sz w:val="22"/>
                <w:szCs w:val="22"/>
              </w:rPr>
            </w:pPr>
            <w:r w:rsidRPr="007017F9">
              <w:rPr>
                <w:b/>
                <w:color w:val="FFFFFF" w:themeColor="background1"/>
                <w:sz w:val="22"/>
                <w:szCs w:val="22"/>
              </w:rPr>
              <w:t>Criteria for awarding score</w:t>
            </w:r>
          </w:p>
          <w:p w14:paraId="2FC4AB34" w14:textId="77777777" w:rsidR="00EE5792" w:rsidRPr="007017F9" w:rsidRDefault="00EE5792" w:rsidP="00491104">
            <w:pPr>
              <w:jc w:val="center"/>
              <w:rPr>
                <w:b/>
                <w:color w:val="FFFFFF" w:themeColor="background1"/>
                <w:sz w:val="22"/>
                <w:szCs w:val="22"/>
              </w:rPr>
            </w:pPr>
          </w:p>
        </w:tc>
      </w:tr>
      <w:tr w:rsidR="00EE5792" w:rsidRPr="005E0CAA" w14:paraId="000D8037" w14:textId="77777777" w:rsidTr="0004021E">
        <w:trPr>
          <w:trHeight w:val="973"/>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ACB9FC" w14:textId="7061116D" w:rsidR="00EE5792" w:rsidRPr="005E0CAA" w:rsidRDefault="00FB0DBF" w:rsidP="00491104">
            <w:pPr>
              <w:jc w:val="center"/>
              <w:rPr>
                <w:color w:val="000000"/>
                <w:sz w:val="22"/>
                <w:szCs w:val="22"/>
              </w:rPr>
            </w:pPr>
            <w:r>
              <w:rPr>
                <w:color w:val="00000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267E353" w14:textId="77777777" w:rsidR="00EE5792" w:rsidRPr="005E0CAA" w:rsidRDefault="00EE5792" w:rsidP="00491104">
            <w:pPr>
              <w:rPr>
                <w:color w:val="000000"/>
                <w:sz w:val="22"/>
                <w:szCs w:val="22"/>
              </w:rPr>
            </w:pPr>
            <w:r w:rsidRPr="005E0CAA">
              <w:rPr>
                <w:color w:val="000000"/>
                <w:sz w:val="22"/>
                <w:szCs w:val="22"/>
              </w:rPr>
              <w:t>Excellent</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3B8C1903" w14:textId="77777777" w:rsidR="00FB0DBF" w:rsidRPr="00FB0DBF" w:rsidRDefault="00FB0DBF" w:rsidP="00FB0DBF">
            <w:pPr>
              <w:jc w:val="left"/>
              <w:rPr>
                <w:color w:val="000000"/>
                <w:sz w:val="22"/>
                <w:szCs w:val="22"/>
              </w:rPr>
            </w:pPr>
            <w:r w:rsidRPr="00FB0DBF">
              <w:rPr>
                <w:color w:val="000000"/>
                <w:sz w:val="22"/>
                <w:szCs w:val="22"/>
              </w:rPr>
              <w:t>Exceeds the requirement. Exceptional demonstration by the Tenderer of their relevant ability, understanding, skills, resource and quality measures provided in the questions. Response identifies factors that demonstrate added value, with evidence to support the response.</w:t>
            </w:r>
          </w:p>
          <w:p w14:paraId="08A8575E" w14:textId="77777777" w:rsidR="00FB0DBF" w:rsidRPr="00FB0DBF" w:rsidRDefault="00FB0DBF" w:rsidP="00FB0DBF">
            <w:pPr>
              <w:jc w:val="left"/>
              <w:rPr>
                <w:color w:val="000000"/>
                <w:sz w:val="22"/>
                <w:szCs w:val="22"/>
              </w:rPr>
            </w:pPr>
          </w:p>
          <w:p w14:paraId="7D4CB8D9" w14:textId="43CA5EA8" w:rsidR="00F705C8" w:rsidRDefault="0071683C" w:rsidP="00FB0DBF">
            <w:pPr>
              <w:jc w:val="left"/>
              <w:rPr>
                <w:color w:val="000000"/>
                <w:sz w:val="22"/>
                <w:szCs w:val="22"/>
              </w:rPr>
            </w:pPr>
            <w:r>
              <w:rPr>
                <w:color w:val="000000"/>
                <w:sz w:val="22"/>
                <w:szCs w:val="22"/>
              </w:rPr>
              <w:lastRenderedPageBreak/>
              <w:t>The ILC</w:t>
            </w:r>
            <w:r w:rsidR="00FB0DBF" w:rsidRPr="00FB0DBF">
              <w:rPr>
                <w:color w:val="000000"/>
                <w:sz w:val="22"/>
                <w:szCs w:val="22"/>
              </w:rPr>
              <w:t xml:space="preserve"> is completely confident that the Tenderer understands the contract requi</w:t>
            </w:r>
            <w:r w:rsidR="00205CE7">
              <w:rPr>
                <w:color w:val="000000"/>
                <w:sz w:val="22"/>
                <w:szCs w:val="22"/>
              </w:rPr>
              <w:t xml:space="preserve">rements covered by the question </w:t>
            </w:r>
            <w:r w:rsidR="00205CE7" w:rsidRPr="0071683C">
              <w:rPr>
                <w:color w:val="000000"/>
                <w:sz w:val="22"/>
                <w:szCs w:val="22"/>
              </w:rPr>
              <w:t xml:space="preserve">and </w:t>
            </w:r>
            <w:r w:rsidR="00205CE7">
              <w:rPr>
                <w:color w:val="000000"/>
                <w:sz w:val="22"/>
                <w:szCs w:val="22"/>
              </w:rPr>
              <w:t xml:space="preserve">has significantly demonstrated that they </w:t>
            </w:r>
            <w:r w:rsidR="00205CE7" w:rsidRPr="0071683C">
              <w:rPr>
                <w:color w:val="000000"/>
                <w:sz w:val="22"/>
                <w:szCs w:val="22"/>
              </w:rPr>
              <w:t xml:space="preserve">will be able to satisfactorily </w:t>
            </w:r>
            <w:r w:rsidR="00205CE7">
              <w:rPr>
                <w:color w:val="000000"/>
                <w:sz w:val="22"/>
                <w:szCs w:val="22"/>
              </w:rPr>
              <w:t xml:space="preserve">deliver </w:t>
            </w:r>
            <w:r w:rsidR="00205CE7" w:rsidRPr="0071683C">
              <w:rPr>
                <w:color w:val="000000"/>
                <w:sz w:val="22"/>
                <w:szCs w:val="22"/>
              </w:rPr>
              <w:t xml:space="preserve"> the contract requirements covered by this criterion to a very high standard</w:t>
            </w:r>
          </w:p>
          <w:p w14:paraId="7389945C" w14:textId="52D564AA" w:rsidR="00950510" w:rsidRPr="005E0CAA" w:rsidRDefault="00950510" w:rsidP="009C15A8">
            <w:pPr>
              <w:jc w:val="left"/>
              <w:rPr>
                <w:color w:val="000000"/>
                <w:sz w:val="22"/>
                <w:szCs w:val="22"/>
              </w:rPr>
            </w:pPr>
          </w:p>
        </w:tc>
      </w:tr>
      <w:tr w:rsidR="00EE5792" w:rsidRPr="005E0CAA" w14:paraId="0D168622" w14:textId="77777777" w:rsidTr="00491104">
        <w:trPr>
          <w:trHeight w:val="222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FC7BF3" w14:textId="2A2F38BC" w:rsidR="00EE5792" w:rsidRPr="005E0CAA" w:rsidRDefault="00FB0DBF" w:rsidP="00491104">
            <w:pPr>
              <w:jc w:val="center"/>
              <w:rPr>
                <w:color w:val="000000"/>
                <w:sz w:val="22"/>
                <w:szCs w:val="22"/>
              </w:rPr>
            </w:pPr>
            <w:r>
              <w:rPr>
                <w:color w:val="000000"/>
                <w:sz w:val="22"/>
                <w:szCs w:val="22"/>
              </w:rPr>
              <w:lastRenderedPageBreak/>
              <w:t>4</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12BD513" w14:textId="77777777" w:rsidR="00EE5792" w:rsidRPr="005E0CAA" w:rsidRDefault="00EE5792" w:rsidP="00491104">
            <w:pPr>
              <w:rPr>
                <w:color w:val="000000"/>
                <w:sz w:val="22"/>
                <w:szCs w:val="22"/>
              </w:rPr>
            </w:pPr>
            <w:r w:rsidRPr="005E0CAA">
              <w:rPr>
                <w:color w:val="000000"/>
                <w:sz w:val="22"/>
                <w:szCs w:val="22"/>
              </w:rPr>
              <w:t>Good</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69E2E50B" w14:textId="77777777" w:rsidR="00407B1B" w:rsidRDefault="00EE5792" w:rsidP="00EE5792">
            <w:pPr>
              <w:jc w:val="left"/>
              <w:rPr>
                <w:color w:val="000000"/>
                <w:sz w:val="22"/>
                <w:szCs w:val="22"/>
              </w:rPr>
            </w:pPr>
            <w:r w:rsidRPr="005E0CAA">
              <w:rPr>
                <w:color w:val="000000"/>
                <w:sz w:val="22"/>
                <w:szCs w:val="22"/>
              </w:rPr>
              <w:t xml:space="preserve">Satisfies the requirement with minor additional benefits. Above average demonstration by the Tenderer of the relevant ability, understanding, skills, resource and quality measures provided in the questions. </w:t>
            </w:r>
          </w:p>
          <w:p w14:paraId="1CE59557" w14:textId="77777777" w:rsidR="00407B1B" w:rsidRDefault="00407B1B" w:rsidP="00EE5792">
            <w:pPr>
              <w:jc w:val="left"/>
              <w:rPr>
                <w:color w:val="000000"/>
                <w:sz w:val="22"/>
                <w:szCs w:val="22"/>
              </w:rPr>
            </w:pPr>
          </w:p>
          <w:p w14:paraId="073811FB" w14:textId="20F34AE1" w:rsidR="00F066EC" w:rsidRPr="009C15A8" w:rsidRDefault="009C15A8" w:rsidP="009C15A8">
            <w:pPr>
              <w:jc w:val="left"/>
              <w:rPr>
                <w:color w:val="000000"/>
                <w:sz w:val="22"/>
                <w:szCs w:val="22"/>
              </w:rPr>
            </w:pPr>
            <w:r>
              <w:rPr>
                <w:color w:val="000000"/>
                <w:sz w:val="22"/>
                <w:szCs w:val="22"/>
              </w:rPr>
              <w:t>The ILC</w:t>
            </w:r>
            <w:r w:rsidRPr="00FB0DBF">
              <w:rPr>
                <w:color w:val="000000"/>
                <w:sz w:val="22"/>
                <w:szCs w:val="22"/>
              </w:rPr>
              <w:t xml:space="preserve"> is completely confident that the Tenderer understands the contract requi</w:t>
            </w:r>
            <w:r>
              <w:rPr>
                <w:color w:val="000000"/>
                <w:sz w:val="22"/>
                <w:szCs w:val="22"/>
              </w:rPr>
              <w:t xml:space="preserve">rements covered by the question </w:t>
            </w:r>
            <w:r w:rsidRPr="0071683C">
              <w:rPr>
                <w:color w:val="000000"/>
                <w:sz w:val="22"/>
                <w:szCs w:val="22"/>
              </w:rPr>
              <w:t xml:space="preserve">and </w:t>
            </w:r>
            <w:r>
              <w:rPr>
                <w:color w:val="000000"/>
                <w:sz w:val="22"/>
                <w:szCs w:val="22"/>
              </w:rPr>
              <w:t xml:space="preserve">has demonstrated that they </w:t>
            </w:r>
            <w:r w:rsidRPr="0071683C">
              <w:rPr>
                <w:color w:val="000000"/>
                <w:sz w:val="22"/>
                <w:szCs w:val="22"/>
              </w:rPr>
              <w:t xml:space="preserve">will be able to satisfactorily </w:t>
            </w:r>
            <w:r>
              <w:rPr>
                <w:color w:val="000000"/>
                <w:sz w:val="22"/>
                <w:szCs w:val="22"/>
              </w:rPr>
              <w:t xml:space="preserve">deliver </w:t>
            </w:r>
            <w:r w:rsidRPr="0071683C">
              <w:rPr>
                <w:color w:val="000000"/>
                <w:sz w:val="22"/>
                <w:szCs w:val="22"/>
              </w:rPr>
              <w:t xml:space="preserve"> the contract requirements covered by this criterion to a high standard</w:t>
            </w:r>
          </w:p>
        </w:tc>
      </w:tr>
      <w:tr w:rsidR="00EE5792" w:rsidRPr="005E0CAA" w14:paraId="6A59D708" w14:textId="77777777" w:rsidTr="00491104">
        <w:trPr>
          <w:trHeight w:val="98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47672" w14:textId="30C4F77C" w:rsidR="00EE5792" w:rsidRPr="005E0CAA" w:rsidRDefault="00A449A7" w:rsidP="00491104">
            <w:pPr>
              <w:jc w:val="center"/>
              <w:rPr>
                <w:color w:val="000000"/>
                <w:sz w:val="22"/>
                <w:szCs w:val="22"/>
              </w:rPr>
            </w:pPr>
            <w:r>
              <w:rPr>
                <w:color w:val="000000"/>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5E0D585" w14:textId="5661A303" w:rsidR="00EE5792" w:rsidRPr="005E0CAA" w:rsidRDefault="00EE5792" w:rsidP="00EE5792">
            <w:pPr>
              <w:rPr>
                <w:color w:val="000000"/>
                <w:sz w:val="22"/>
                <w:szCs w:val="22"/>
              </w:rPr>
            </w:pPr>
            <w:r>
              <w:rPr>
                <w:color w:val="000000"/>
                <w:sz w:val="22"/>
                <w:szCs w:val="22"/>
              </w:rPr>
              <w:t xml:space="preserve">Acceptable </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4D6C4E05" w14:textId="77777777" w:rsidR="00EE5792" w:rsidRPr="005E0CAA" w:rsidRDefault="00EE5792" w:rsidP="00EE5792">
            <w:pPr>
              <w:jc w:val="left"/>
              <w:rPr>
                <w:color w:val="000000"/>
                <w:sz w:val="22"/>
                <w:szCs w:val="22"/>
              </w:rPr>
            </w:pPr>
            <w:r w:rsidRPr="005E0CAA">
              <w:rPr>
                <w:color w:val="000000"/>
                <w:sz w:val="22"/>
                <w:szCs w:val="22"/>
              </w:rPr>
              <w:t>Satisfies the requirement. Demonstration by the Tenderer of the relevant ability, understanding, skills, resources and quality measures provided in the questions, with evidence to support the response.</w:t>
            </w:r>
          </w:p>
          <w:p w14:paraId="4EF9F5A6" w14:textId="77777777" w:rsidR="00EE5792" w:rsidRPr="005E0CAA" w:rsidRDefault="00EE5792" w:rsidP="00EE5792">
            <w:pPr>
              <w:jc w:val="left"/>
              <w:rPr>
                <w:color w:val="000000"/>
                <w:sz w:val="22"/>
                <w:szCs w:val="22"/>
              </w:rPr>
            </w:pPr>
          </w:p>
          <w:p w14:paraId="6651C75B" w14:textId="7C0AEF3C" w:rsidR="00F066EC" w:rsidRPr="00F066EC" w:rsidRDefault="00EE5792" w:rsidP="00535B04">
            <w:pPr>
              <w:pStyle w:val="BodyText"/>
              <w:tabs>
                <w:tab w:val="left" w:pos="0"/>
                <w:tab w:val="left" w:pos="709"/>
              </w:tabs>
              <w:spacing w:after="120"/>
              <w:jc w:val="left"/>
              <w:rPr>
                <w:color w:val="000000"/>
                <w:szCs w:val="22"/>
              </w:rPr>
            </w:pPr>
            <w:r w:rsidRPr="005E0CAA">
              <w:rPr>
                <w:rFonts w:eastAsia="SimSun" w:cs="Arial"/>
                <w:szCs w:val="22"/>
              </w:rPr>
              <w:t xml:space="preserve">The </w:t>
            </w:r>
            <w:r>
              <w:rPr>
                <w:rFonts w:eastAsia="SimSun" w:cs="Arial"/>
                <w:szCs w:val="22"/>
              </w:rPr>
              <w:t>ILC</w:t>
            </w:r>
            <w:r w:rsidRPr="005E0CAA">
              <w:rPr>
                <w:rFonts w:eastAsia="SimSun" w:cs="Arial"/>
                <w:szCs w:val="22"/>
              </w:rPr>
              <w:t xml:space="preserve"> is reasonably confident</w:t>
            </w:r>
            <w:r w:rsidR="00BE4F1F">
              <w:rPr>
                <w:rFonts w:eastAsia="SimSun" w:cs="Arial"/>
                <w:szCs w:val="22"/>
              </w:rPr>
              <w:t xml:space="preserve">, </w:t>
            </w:r>
            <w:r w:rsidRPr="005E0CAA">
              <w:rPr>
                <w:rFonts w:eastAsia="SimSun" w:cs="Arial"/>
                <w:szCs w:val="22"/>
              </w:rPr>
              <w:t xml:space="preserve">that the Tenderer </w:t>
            </w:r>
            <w:r w:rsidR="009C15A8" w:rsidRPr="00BE4F1F">
              <w:rPr>
                <w:rFonts w:eastAsia="SimSun" w:cs="Arial"/>
                <w:szCs w:val="22"/>
              </w:rPr>
              <w:t xml:space="preserve">understands the contract requirements </w:t>
            </w:r>
            <w:r w:rsidR="00BE4F1F" w:rsidRPr="00BE4F1F">
              <w:rPr>
                <w:rFonts w:eastAsia="SimSun" w:cs="Arial"/>
                <w:szCs w:val="22"/>
              </w:rPr>
              <w:t>covered by this criterion and</w:t>
            </w:r>
            <w:r w:rsidR="009C15A8" w:rsidRPr="00BE4F1F">
              <w:rPr>
                <w:rFonts w:eastAsia="SimSun" w:cs="Arial"/>
                <w:szCs w:val="22"/>
              </w:rPr>
              <w:t xml:space="preserve"> will be able to </w:t>
            </w:r>
            <w:r w:rsidR="00BE4F1F" w:rsidRPr="00BE4F1F">
              <w:rPr>
                <w:rFonts w:eastAsia="SimSun" w:cs="Arial"/>
                <w:szCs w:val="22"/>
              </w:rPr>
              <w:t xml:space="preserve">deliver </w:t>
            </w:r>
            <w:r w:rsidR="009C15A8" w:rsidRPr="00BE4F1F">
              <w:rPr>
                <w:rFonts w:eastAsia="SimSun" w:cs="Arial"/>
                <w:szCs w:val="22"/>
              </w:rPr>
              <w:t>the contract requirements covered by this criterion to a reasonable standard.</w:t>
            </w:r>
          </w:p>
        </w:tc>
      </w:tr>
      <w:tr w:rsidR="00EE5792" w:rsidRPr="005E0CAA" w14:paraId="236EDF3C" w14:textId="77777777" w:rsidTr="0077449F">
        <w:trPr>
          <w:trHeight w:val="60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B3A1B" w14:textId="1C95CAA9" w:rsidR="00EE5792" w:rsidRPr="005E0CAA" w:rsidRDefault="00A449A7" w:rsidP="00491104">
            <w:pPr>
              <w:jc w:val="center"/>
              <w:rPr>
                <w:color w:val="000000"/>
                <w:sz w:val="22"/>
                <w:szCs w:val="22"/>
              </w:rPr>
            </w:pPr>
            <w:r>
              <w:rPr>
                <w:color w:val="000000"/>
                <w:sz w:val="22"/>
                <w:szCs w:val="22"/>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510DC60" w14:textId="77777777" w:rsidR="00EE5792" w:rsidRPr="005E0CAA" w:rsidRDefault="00EE5792" w:rsidP="00491104">
            <w:pPr>
              <w:rPr>
                <w:color w:val="000000"/>
                <w:sz w:val="22"/>
                <w:szCs w:val="22"/>
              </w:rPr>
            </w:pPr>
            <w:r w:rsidRPr="005E0CAA">
              <w:rPr>
                <w:color w:val="000000"/>
                <w:sz w:val="22"/>
                <w:szCs w:val="22"/>
              </w:rPr>
              <w:t>Reservations</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32E31C0D" w14:textId="1C258F41" w:rsidR="00EE5792" w:rsidRPr="005E0CAA" w:rsidRDefault="00EE5792" w:rsidP="00EE5792">
            <w:pPr>
              <w:jc w:val="left"/>
              <w:rPr>
                <w:color w:val="000000"/>
                <w:sz w:val="22"/>
                <w:szCs w:val="22"/>
              </w:rPr>
            </w:pPr>
            <w:r w:rsidRPr="005E0CAA">
              <w:rPr>
                <w:color w:val="000000"/>
                <w:sz w:val="22"/>
                <w:szCs w:val="22"/>
              </w:rPr>
              <w:t xml:space="preserve">Fails to satisfy the </w:t>
            </w:r>
            <w:r w:rsidR="00491104">
              <w:rPr>
                <w:color w:val="000000"/>
                <w:sz w:val="22"/>
                <w:szCs w:val="22"/>
              </w:rPr>
              <w:t>ILC’s</w:t>
            </w:r>
            <w:r w:rsidRPr="005E0CAA">
              <w:rPr>
                <w:color w:val="000000"/>
                <w:sz w:val="22"/>
                <w:szCs w:val="22"/>
              </w:rPr>
              <w:t xml:space="preserve"> minimum requirement.</w:t>
            </w:r>
          </w:p>
          <w:p w14:paraId="4DB7FC02" w14:textId="77777777" w:rsidR="00EE5792" w:rsidRPr="005E0CAA" w:rsidRDefault="00EE5792" w:rsidP="00EE5792">
            <w:pPr>
              <w:jc w:val="left"/>
              <w:rPr>
                <w:color w:val="000000"/>
                <w:sz w:val="22"/>
                <w:szCs w:val="22"/>
              </w:rPr>
            </w:pPr>
          </w:p>
          <w:p w14:paraId="264BB80A" w14:textId="77777777" w:rsidR="00EE5792" w:rsidRPr="005E0CAA" w:rsidRDefault="00EE5792" w:rsidP="00EE5792">
            <w:pPr>
              <w:jc w:val="left"/>
              <w:rPr>
                <w:color w:val="000000"/>
                <w:sz w:val="22"/>
                <w:szCs w:val="22"/>
              </w:rPr>
            </w:pPr>
            <w:r w:rsidRPr="005E0CAA">
              <w:rPr>
                <w:color w:val="000000"/>
                <w:sz w:val="22"/>
                <w:szCs w:val="22"/>
              </w:rPr>
              <w:t>There are reservations of the Tenderer’s relevant ability, understanding, skills, resources and quality measures provided in the questions, with limited evidence to support the response.</w:t>
            </w:r>
          </w:p>
          <w:p w14:paraId="41E00CE8" w14:textId="77777777" w:rsidR="00EE5792" w:rsidRPr="005E0CAA" w:rsidRDefault="00EE5792" w:rsidP="00EE5792">
            <w:pPr>
              <w:jc w:val="left"/>
              <w:rPr>
                <w:color w:val="000000"/>
                <w:sz w:val="22"/>
                <w:szCs w:val="22"/>
              </w:rPr>
            </w:pPr>
          </w:p>
          <w:p w14:paraId="0C202802" w14:textId="77777777" w:rsidR="00EE5792" w:rsidRDefault="00EE5792" w:rsidP="00EE5792">
            <w:pPr>
              <w:jc w:val="left"/>
              <w:rPr>
                <w:rFonts w:eastAsia="SimSun"/>
                <w:sz w:val="22"/>
                <w:szCs w:val="22"/>
              </w:rPr>
            </w:pPr>
            <w:r w:rsidRPr="005E0CAA">
              <w:rPr>
                <w:rFonts w:eastAsia="SimSun"/>
                <w:sz w:val="22"/>
                <w:szCs w:val="22"/>
              </w:rPr>
              <w:t>The response does not address in sufficient detail the needs and requirements covered by the question.</w:t>
            </w:r>
          </w:p>
          <w:p w14:paraId="2781D6A8" w14:textId="77777777" w:rsidR="008367CD" w:rsidRDefault="008367CD" w:rsidP="00EE5792">
            <w:pPr>
              <w:jc w:val="left"/>
              <w:rPr>
                <w:rFonts w:eastAsia="SimSun"/>
                <w:sz w:val="22"/>
                <w:szCs w:val="22"/>
              </w:rPr>
            </w:pPr>
          </w:p>
          <w:p w14:paraId="4B5BFFBD" w14:textId="7CF20850" w:rsidR="00E770D2" w:rsidRPr="005E0CAA" w:rsidRDefault="00E770D2" w:rsidP="0077449F">
            <w:pPr>
              <w:jc w:val="left"/>
              <w:rPr>
                <w:color w:val="000000"/>
                <w:sz w:val="22"/>
                <w:szCs w:val="22"/>
              </w:rPr>
            </w:pPr>
          </w:p>
        </w:tc>
      </w:tr>
      <w:tr w:rsidR="00EE5792" w:rsidRPr="005E0CAA" w14:paraId="720F3C62" w14:textId="77777777" w:rsidTr="00491104">
        <w:trPr>
          <w:trHeight w:val="401"/>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6D803" w14:textId="59EDCCB3" w:rsidR="00EE5792" w:rsidRPr="005E0CAA" w:rsidRDefault="00A449A7" w:rsidP="00491104">
            <w:pPr>
              <w:jc w:val="center"/>
              <w:rPr>
                <w:color w:val="000000"/>
                <w:sz w:val="22"/>
                <w:szCs w:val="22"/>
              </w:rPr>
            </w:pPr>
            <w:r>
              <w:rPr>
                <w:color w:val="000000"/>
                <w:sz w:val="22"/>
                <w:szCs w:val="22"/>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D49D56A" w14:textId="77777777" w:rsidR="00EE5792" w:rsidRPr="005E0CAA" w:rsidRDefault="00EE5792" w:rsidP="00491104">
            <w:pPr>
              <w:rPr>
                <w:color w:val="000000"/>
                <w:sz w:val="22"/>
                <w:szCs w:val="22"/>
              </w:rPr>
            </w:pPr>
            <w:r w:rsidRPr="005E0CAA">
              <w:rPr>
                <w:color w:val="000000"/>
                <w:sz w:val="22"/>
                <w:szCs w:val="22"/>
              </w:rPr>
              <w:t>Serious Reservations</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548D13C1" w14:textId="536E3B0C" w:rsidR="00EE5792" w:rsidRPr="005E0CAA" w:rsidRDefault="00EE5792" w:rsidP="00EE5792">
            <w:pPr>
              <w:jc w:val="left"/>
              <w:rPr>
                <w:color w:val="000000"/>
                <w:sz w:val="22"/>
                <w:szCs w:val="22"/>
              </w:rPr>
            </w:pPr>
            <w:r w:rsidRPr="005E0CAA">
              <w:rPr>
                <w:color w:val="000000"/>
                <w:sz w:val="22"/>
                <w:szCs w:val="22"/>
              </w:rPr>
              <w:t>Serious reservations of the Tenderer’s relevant ability, understanding, skills, and resource and/or quality measures provided in the method statement with little or no evidence to support the Tenderer’s response.</w:t>
            </w:r>
          </w:p>
          <w:p w14:paraId="433BC18F" w14:textId="77777777" w:rsidR="00EE5792" w:rsidRPr="005E0CAA" w:rsidRDefault="00EE5792" w:rsidP="00EE5792">
            <w:pPr>
              <w:jc w:val="left"/>
              <w:rPr>
                <w:color w:val="000000"/>
                <w:sz w:val="22"/>
                <w:szCs w:val="22"/>
              </w:rPr>
            </w:pPr>
          </w:p>
          <w:p w14:paraId="667D5ABF" w14:textId="196D74FD" w:rsidR="00950510" w:rsidRPr="00F25160" w:rsidRDefault="00EE5792" w:rsidP="00535B04">
            <w:pPr>
              <w:pStyle w:val="BodyText"/>
              <w:tabs>
                <w:tab w:val="left" w:pos="0"/>
                <w:tab w:val="left" w:pos="709"/>
              </w:tabs>
              <w:spacing w:after="120"/>
              <w:ind w:left="17"/>
              <w:jc w:val="left"/>
              <w:rPr>
                <w:rFonts w:eastAsia="SimSun" w:cs="Arial"/>
                <w:szCs w:val="22"/>
              </w:rPr>
            </w:pPr>
            <w:r w:rsidRPr="005E0CAA">
              <w:rPr>
                <w:rFonts w:eastAsia="SimSun" w:cs="Arial"/>
                <w:szCs w:val="22"/>
              </w:rPr>
              <w:t>The response does not address the needs and requirements covered by the question.</w:t>
            </w:r>
          </w:p>
        </w:tc>
      </w:tr>
      <w:tr w:rsidR="00EE5792" w:rsidRPr="005E0CAA" w14:paraId="6FC01BA6" w14:textId="77777777" w:rsidTr="00491104">
        <w:trPr>
          <w:trHeight w:val="401"/>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C6420" w14:textId="77777777" w:rsidR="00EE5792" w:rsidRPr="005E0CAA" w:rsidRDefault="00EE5792" w:rsidP="00491104">
            <w:pPr>
              <w:jc w:val="center"/>
              <w:rPr>
                <w:color w:val="000000"/>
                <w:sz w:val="22"/>
                <w:szCs w:val="22"/>
              </w:rPr>
            </w:pPr>
            <w:r w:rsidRPr="005E0CAA">
              <w:rPr>
                <w:color w:val="000000"/>
                <w:sz w:val="22"/>
                <w:szCs w:val="22"/>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DEA0874" w14:textId="77777777" w:rsidR="00EE5792" w:rsidRPr="005E0CAA" w:rsidRDefault="00EE5792" w:rsidP="00491104">
            <w:pPr>
              <w:rPr>
                <w:color w:val="000000"/>
                <w:sz w:val="22"/>
                <w:szCs w:val="22"/>
              </w:rPr>
            </w:pPr>
            <w:r w:rsidRPr="005E0CAA">
              <w:rPr>
                <w:color w:val="000000"/>
                <w:sz w:val="22"/>
                <w:szCs w:val="22"/>
              </w:rPr>
              <w:t>Unacceptable</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3653020A" w14:textId="46DC0D08" w:rsidR="00EE5792" w:rsidRPr="005E0CAA" w:rsidRDefault="00EE5792" w:rsidP="00EE5792">
            <w:pPr>
              <w:jc w:val="left"/>
              <w:rPr>
                <w:color w:val="000000"/>
                <w:sz w:val="22"/>
                <w:szCs w:val="22"/>
              </w:rPr>
            </w:pPr>
            <w:r w:rsidRPr="005E0CAA">
              <w:rPr>
                <w:color w:val="000000"/>
                <w:sz w:val="22"/>
                <w:szCs w:val="22"/>
              </w:rPr>
              <w:t xml:space="preserve">Does not meet the requirement. Does not comply and/or insufficient information provided to demonstrate that the tenderer has the ability, </w:t>
            </w:r>
            <w:r w:rsidRPr="005E0CAA">
              <w:rPr>
                <w:color w:val="000000"/>
                <w:sz w:val="22"/>
                <w:szCs w:val="22"/>
              </w:rPr>
              <w:lastRenderedPageBreak/>
              <w:t>understanding, skills, resource and quality measure, with little or no evidence to support the response.</w:t>
            </w:r>
          </w:p>
          <w:p w14:paraId="29820071" w14:textId="77777777" w:rsidR="00EE5792" w:rsidRPr="005E0CAA" w:rsidRDefault="00EE5792" w:rsidP="00EE5792">
            <w:pPr>
              <w:jc w:val="left"/>
              <w:rPr>
                <w:color w:val="000000"/>
                <w:sz w:val="22"/>
                <w:szCs w:val="22"/>
              </w:rPr>
            </w:pPr>
          </w:p>
          <w:p w14:paraId="7B57BB79" w14:textId="26CAAB91" w:rsidR="002E10DA" w:rsidRPr="005E0CAA" w:rsidRDefault="00EE5792" w:rsidP="00535B04">
            <w:pPr>
              <w:pStyle w:val="BodyText"/>
              <w:tabs>
                <w:tab w:val="left" w:pos="0"/>
                <w:tab w:val="left" w:pos="709"/>
              </w:tabs>
              <w:spacing w:after="120"/>
              <w:ind w:left="17"/>
              <w:jc w:val="left"/>
              <w:rPr>
                <w:rFonts w:eastAsia="SimSun" w:cs="Arial"/>
                <w:szCs w:val="22"/>
              </w:rPr>
            </w:pPr>
            <w:r w:rsidRPr="005E0CAA">
              <w:rPr>
                <w:rFonts w:eastAsia="SimSun" w:cs="Arial"/>
                <w:szCs w:val="22"/>
              </w:rPr>
              <w:t>The response provides no confidence that the approach described satisfies the requirements to which the question relates</w:t>
            </w:r>
          </w:p>
        </w:tc>
      </w:tr>
    </w:tbl>
    <w:p w14:paraId="4E096638" w14:textId="77777777" w:rsidR="00EE5792" w:rsidRDefault="00EE5792" w:rsidP="005E0CAA">
      <w:pPr>
        <w:pStyle w:val="Body1"/>
        <w:rPr>
          <w:sz w:val="22"/>
          <w:szCs w:val="22"/>
        </w:rPr>
      </w:pPr>
    </w:p>
    <w:p w14:paraId="085DFD43" w14:textId="752E6A9A" w:rsidR="00CA3CB7" w:rsidRDefault="005E0CAA" w:rsidP="00FC2823">
      <w:pPr>
        <w:pStyle w:val="Level2"/>
        <w:rPr>
          <w:sz w:val="22"/>
          <w:szCs w:val="22"/>
        </w:rPr>
      </w:pPr>
      <w:r w:rsidRPr="00923945">
        <w:rPr>
          <w:sz w:val="22"/>
          <w:szCs w:val="22"/>
        </w:rPr>
        <w:t xml:space="preserve">Un-weighted scores for each </w:t>
      </w:r>
      <w:r w:rsidR="00EE5792">
        <w:rPr>
          <w:sz w:val="22"/>
          <w:szCs w:val="22"/>
        </w:rPr>
        <w:t>questions</w:t>
      </w:r>
      <w:r w:rsidR="00DE6ADC">
        <w:rPr>
          <w:sz w:val="22"/>
          <w:szCs w:val="22"/>
        </w:rPr>
        <w:t xml:space="preserve"> </w:t>
      </w:r>
      <w:r w:rsidR="00B85FA1">
        <w:rPr>
          <w:sz w:val="22"/>
          <w:szCs w:val="22"/>
        </w:rPr>
        <w:t xml:space="preserve">from </w:t>
      </w:r>
      <w:r w:rsidR="00DE6ADC">
        <w:rPr>
          <w:sz w:val="22"/>
          <w:szCs w:val="22"/>
        </w:rPr>
        <w:t xml:space="preserve">9.1 – 9.6 </w:t>
      </w:r>
      <w:r w:rsidR="007017F9">
        <w:rPr>
          <w:sz w:val="22"/>
          <w:szCs w:val="22"/>
        </w:rPr>
        <w:t xml:space="preserve">will be </w:t>
      </w:r>
      <w:r w:rsidRPr="00923945">
        <w:rPr>
          <w:sz w:val="22"/>
          <w:szCs w:val="22"/>
        </w:rPr>
        <w:t>multiplied by the applica</w:t>
      </w:r>
      <w:r w:rsidR="0088162B">
        <w:rPr>
          <w:sz w:val="22"/>
          <w:szCs w:val="22"/>
        </w:rPr>
        <w:t xml:space="preserve">ble weighting </w:t>
      </w:r>
      <w:r w:rsidRPr="00923945">
        <w:rPr>
          <w:sz w:val="22"/>
          <w:szCs w:val="22"/>
        </w:rPr>
        <w:t>to give a weighted score</w:t>
      </w:r>
      <w:r w:rsidR="00EE5792">
        <w:rPr>
          <w:sz w:val="22"/>
          <w:szCs w:val="22"/>
        </w:rPr>
        <w:t xml:space="preserve">. Table 2 </w:t>
      </w:r>
      <w:r w:rsidR="00DE6ADC">
        <w:rPr>
          <w:sz w:val="22"/>
          <w:szCs w:val="22"/>
        </w:rPr>
        <w:t xml:space="preserve">below </w:t>
      </w:r>
      <w:r w:rsidR="00EE5792">
        <w:rPr>
          <w:sz w:val="22"/>
          <w:szCs w:val="22"/>
        </w:rPr>
        <w:t xml:space="preserve">outlines </w:t>
      </w:r>
      <w:r w:rsidR="00160C3D">
        <w:rPr>
          <w:sz w:val="22"/>
          <w:szCs w:val="22"/>
        </w:rPr>
        <w:t>the weighting for each question.</w:t>
      </w:r>
      <w:r w:rsidR="007017F9">
        <w:rPr>
          <w:sz w:val="22"/>
          <w:szCs w:val="22"/>
        </w:rPr>
        <w:t xml:space="preserve"> </w:t>
      </w:r>
    </w:p>
    <w:p w14:paraId="7497CD3E" w14:textId="77777777" w:rsidR="005E0CAA" w:rsidRPr="0072390D" w:rsidRDefault="005E0CAA" w:rsidP="005E0CAA">
      <w:pPr>
        <w:pStyle w:val="Body1"/>
        <w:rPr>
          <w:b/>
          <w:sz w:val="22"/>
          <w:szCs w:val="22"/>
        </w:rPr>
      </w:pPr>
      <w:r w:rsidRPr="0072390D">
        <w:rPr>
          <w:b/>
          <w:sz w:val="22"/>
          <w:szCs w:val="22"/>
        </w:rPr>
        <w:t>Table 2</w:t>
      </w: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2693"/>
      </w:tblGrid>
      <w:tr w:rsidR="009669D0" w:rsidRPr="009669D0" w14:paraId="2CAD0D22" w14:textId="77777777" w:rsidTr="009669D0">
        <w:trPr>
          <w:trHeight w:val="545"/>
        </w:trPr>
        <w:tc>
          <w:tcPr>
            <w:tcW w:w="5528" w:type="dxa"/>
            <w:shd w:val="clear" w:color="auto" w:fill="990099"/>
            <w:vAlign w:val="center"/>
          </w:tcPr>
          <w:p w14:paraId="7EA9C9CB" w14:textId="70FA0F6F" w:rsidR="005E0CAA" w:rsidRPr="009669D0" w:rsidRDefault="005E0CAA" w:rsidP="00491104">
            <w:pPr>
              <w:adjustRightInd/>
              <w:spacing w:line="276" w:lineRule="auto"/>
              <w:jc w:val="center"/>
              <w:rPr>
                <w:b/>
                <w:color w:val="FFFFFF" w:themeColor="background1"/>
                <w:sz w:val="22"/>
                <w:szCs w:val="22"/>
              </w:rPr>
            </w:pPr>
            <w:r w:rsidRPr="009669D0">
              <w:rPr>
                <w:b/>
                <w:color w:val="FFFFFF" w:themeColor="background1"/>
                <w:sz w:val="22"/>
                <w:szCs w:val="22"/>
              </w:rPr>
              <w:t>Quality</w:t>
            </w:r>
          </w:p>
        </w:tc>
        <w:tc>
          <w:tcPr>
            <w:tcW w:w="2693" w:type="dxa"/>
            <w:shd w:val="clear" w:color="auto" w:fill="990099"/>
            <w:vAlign w:val="center"/>
          </w:tcPr>
          <w:p w14:paraId="52AF5DC4" w14:textId="77777777" w:rsidR="005E0CAA" w:rsidRPr="009669D0" w:rsidRDefault="005E0CAA" w:rsidP="00491104">
            <w:pPr>
              <w:adjustRightInd/>
              <w:spacing w:line="276" w:lineRule="auto"/>
              <w:jc w:val="center"/>
              <w:rPr>
                <w:b/>
                <w:color w:val="FFFFFF" w:themeColor="background1"/>
                <w:sz w:val="22"/>
                <w:szCs w:val="22"/>
              </w:rPr>
            </w:pPr>
            <w:r w:rsidRPr="009669D0">
              <w:rPr>
                <w:b/>
                <w:color w:val="FFFFFF" w:themeColor="background1"/>
                <w:sz w:val="22"/>
                <w:szCs w:val="22"/>
              </w:rPr>
              <w:t xml:space="preserve">Weighting </w:t>
            </w:r>
          </w:p>
        </w:tc>
      </w:tr>
      <w:tr w:rsidR="005E0CAA" w:rsidRPr="00923945" w14:paraId="7A563BD2" w14:textId="77777777" w:rsidTr="00491104">
        <w:trPr>
          <w:trHeight w:val="533"/>
        </w:trPr>
        <w:tc>
          <w:tcPr>
            <w:tcW w:w="5528" w:type="dxa"/>
            <w:shd w:val="clear" w:color="auto" w:fill="FFFFFF"/>
            <w:vAlign w:val="center"/>
          </w:tcPr>
          <w:p w14:paraId="05DD9E88" w14:textId="64CB8CDF" w:rsidR="005E0CAA" w:rsidRPr="0023552C" w:rsidRDefault="009228E9" w:rsidP="00441F12">
            <w:pPr>
              <w:shd w:val="clear" w:color="auto" w:fill="FFFFFF"/>
              <w:adjustRightInd/>
              <w:spacing w:line="276" w:lineRule="auto"/>
              <w:jc w:val="left"/>
              <w:rPr>
                <w:sz w:val="22"/>
                <w:szCs w:val="22"/>
              </w:rPr>
            </w:pPr>
            <w:r>
              <w:rPr>
                <w:sz w:val="22"/>
                <w:szCs w:val="22"/>
              </w:rPr>
              <w:t>Question 9.1</w:t>
            </w:r>
            <w:r w:rsidR="00C01E56" w:rsidRPr="0023552C">
              <w:rPr>
                <w:sz w:val="22"/>
                <w:szCs w:val="22"/>
              </w:rPr>
              <w:t xml:space="preserve"> </w:t>
            </w:r>
            <w:r w:rsidR="00441F12">
              <w:rPr>
                <w:sz w:val="22"/>
                <w:szCs w:val="22"/>
              </w:rPr>
              <w:t>Service Delivery Approach – Case Study 1</w:t>
            </w:r>
          </w:p>
        </w:tc>
        <w:tc>
          <w:tcPr>
            <w:tcW w:w="2693" w:type="dxa"/>
            <w:shd w:val="clear" w:color="auto" w:fill="FFFFFF"/>
            <w:vAlign w:val="center"/>
          </w:tcPr>
          <w:p w14:paraId="22177E55" w14:textId="47303DDD" w:rsidR="005E0CAA" w:rsidRPr="00923945" w:rsidRDefault="00850F95" w:rsidP="00491104">
            <w:pPr>
              <w:adjustRightInd/>
              <w:spacing w:line="276" w:lineRule="auto"/>
              <w:jc w:val="center"/>
              <w:rPr>
                <w:b/>
                <w:sz w:val="22"/>
                <w:szCs w:val="22"/>
              </w:rPr>
            </w:pPr>
            <w:r>
              <w:rPr>
                <w:b/>
                <w:sz w:val="22"/>
                <w:szCs w:val="22"/>
              </w:rPr>
              <w:t>15</w:t>
            </w:r>
          </w:p>
        </w:tc>
      </w:tr>
      <w:tr w:rsidR="005E0CAA" w:rsidRPr="00923945" w14:paraId="161A220E" w14:textId="77777777" w:rsidTr="00491104">
        <w:trPr>
          <w:trHeight w:val="533"/>
        </w:trPr>
        <w:tc>
          <w:tcPr>
            <w:tcW w:w="5528" w:type="dxa"/>
            <w:shd w:val="clear" w:color="auto" w:fill="FFFFFF"/>
            <w:vAlign w:val="center"/>
          </w:tcPr>
          <w:p w14:paraId="5941E94A" w14:textId="6C4C2F5D" w:rsidR="005E0CAA" w:rsidRPr="0023552C" w:rsidRDefault="00850F95" w:rsidP="00491104">
            <w:pPr>
              <w:shd w:val="clear" w:color="auto" w:fill="FFFFFF"/>
              <w:adjustRightInd/>
              <w:spacing w:line="276" w:lineRule="auto"/>
              <w:jc w:val="left"/>
              <w:rPr>
                <w:sz w:val="22"/>
                <w:szCs w:val="22"/>
              </w:rPr>
            </w:pPr>
            <w:r>
              <w:rPr>
                <w:sz w:val="22"/>
                <w:szCs w:val="22"/>
              </w:rPr>
              <w:t>Question 9.2</w:t>
            </w:r>
            <w:r w:rsidRPr="0023552C">
              <w:rPr>
                <w:sz w:val="22"/>
                <w:szCs w:val="22"/>
              </w:rPr>
              <w:t xml:space="preserve"> </w:t>
            </w:r>
            <w:r>
              <w:rPr>
                <w:sz w:val="22"/>
                <w:szCs w:val="22"/>
              </w:rPr>
              <w:t>Service Delivery Approach – Case Study 2</w:t>
            </w:r>
          </w:p>
        </w:tc>
        <w:tc>
          <w:tcPr>
            <w:tcW w:w="2693" w:type="dxa"/>
            <w:shd w:val="clear" w:color="auto" w:fill="FFFFFF"/>
            <w:vAlign w:val="center"/>
          </w:tcPr>
          <w:p w14:paraId="509F9B6A" w14:textId="46DD64FD" w:rsidR="005E0CAA" w:rsidRPr="00923945" w:rsidRDefault="00850F95" w:rsidP="00491104">
            <w:pPr>
              <w:adjustRightInd/>
              <w:spacing w:line="276" w:lineRule="auto"/>
              <w:jc w:val="center"/>
              <w:rPr>
                <w:b/>
                <w:sz w:val="22"/>
                <w:szCs w:val="22"/>
              </w:rPr>
            </w:pPr>
            <w:r>
              <w:rPr>
                <w:b/>
                <w:sz w:val="22"/>
                <w:szCs w:val="22"/>
              </w:rPr>
              <w:t>15</w:t>
            </w:r>
          </w:p>
        </w:tc>
      </w:tr>
      <w:tr w:rsidR="005E0CAA" w:rsidRPr="00923945" w14:paraId="0B3AE9C8" w14:textId="77777777" w:rsidTr="00491104">
        <w:trPr>
          <w:trHeight w:val="459"/>
        </w:trPr>
        <w:tc>
          <w:tcPr>
            <w:tcW w:w="5528" w:type="dxa"/>
            <w:shd w:val="clear" w:color="auto" w:fill="FFFFFF"/>
            <w:vAlign w:val="center"/>
          </w:tcPr>
          <w:p w14:paraId="03991FD2" w14:textId="3AFFB238" w:rsidR="005E0CAA" w:rsidRPr="0023552C" w:rsidRDefault="009228E9" w:rsidP="00850F95">
            <w:pPr>
              <w:shd w:val="clear" w:color="auto" w:fill="FFFFFF"/>
              <w:adjustRightInd/>
              <w:spacing w:line="276" w:lineRule="auto"/>
              <w:jc w:val="left"/>
              <w:rPr>
                <w:sz w:val="22"/>
                <w:szCs w:val="22"/>
              </w:rPr>
            </w:pPr>
            <w:r>
              <w:rPr>
                <w:sz w:val="22"/>
                <w:szCs w:val="22"/>
              </w:rPr>
              <w:t>Question 9.3</w:t>
            </w:r>
            <w:r w:rsidR="00C01E56" w:rsidRPr="0023552C">
              <w:rPr>
                <w:sz w:val="22"/>
                <w:szCs w:val="22"/>
              </w:rPr>
              <w:t xml:space="preserve"> </w:t>
            </w:r>
            <w:r w:rsidR="00850F95">
              <w:rPr>
                <w:sz w:val="22"/>
                <w:szCs w:val="22"/>
              </w:rPr>
              <w:t>Cost Management</w:t>
            </w:r>
          </w:p>
        </w:tc>
        <w:tc>
          <w:tcPr>
            <w:tcW w:w="2693" w:type="dxa"/>
            <w:shd w:val="clear" w:color="auto" w:fill="FFFFFF"/>
            <w:vAlign w:val="center"/>
          </w:tcPr>
          <w:p w14:paraId="24667FA0" w14:textId="018DB4D8" w:rsidR="005E0CAA" w:rsidRPr="00923945" w:rsidRDefault="00850F95" w:rsidP="00491104">
            <w:pPr>
              <w:adjustRightInd/>
              <w:spacing w:before="120" w:line="276" w:lineRule="auto"/>
              <w:jc w:val="center"/>
              <w:rPr>
                <w:b/>
                <w:sz w:val="22"/>
                <w:szCs w:val="22"/>
              </w:rPr>
            </w:pPr>
            <w:r>
              <w:rPr>
                <w:b/>
                <w:sz w:val="22"/>
                <w:szCs w:val="22"/>
              </w:rPr>
              <w:t>10</w:t>
            </w:r>
          </w:p>
        </w:tc>
      </w:tr>
      <w:tr w:rsidR="005E0CAA" w:rsidRPr="00923945" w14:paraId="7C62E2CF" w14:textId="77777777" w:rsidTr="00491104">
        <w:trPr>
          <w:trHeight w:val="545"/>
        </w:trPr>
        <w:tc>
          <w:tcPr>
            <w:tcW w:w="5528" w:type="dxa"/>
            <w:vAlign w:val="center"/>
          </w:tcPr>
          <w:p w14:paraId="6E274A29" w14:textId="44B15EC8" w:rsidR="005E0CAA" w:rsidRPr="0023552C" w:rsidRDefault="009228E9" w:rsidP="00850F95">
            <w:pPr>
              <w:adjustRightInd/>
              <w:spacing w:line="276" w:lineRule="auto"/>
              <w:jc w:val="left"/>
              <w:rPr>
                <w:sz w:val="22"/>
                <w:szCs w:val="22"/>
              </w:rPr>
            </w:pPr>
            <w:r>
              <w:rPr>
                <w:sz w:val="22"/>
                <w:szCs w:val="22"/>
              </w:rPr>
              <w:t>Question 9.4</w:t>
            </w:r>
            <w:r w:rsidR="00850F95">
              <w:rPr>
                <w:sz w:val="22"/>
                <w:szCs w:val="22"/>
              </w:rPr>
              <w:t xml:space="preserve"> Contract and Performance Management</w:t>
            </w:r>
          </w:p>
        </w:tc>
        <w:tc>
          <w:tcPr>
            <w:tcW w:w="2693" w:type="dxa"/>
            <w:vAlign w:val="center"/>
          </w:tcPr>
          <w:p w14:paraId="7455030C" w14:textId="55D110D9" w:rsidR="005E0CAA" w:rsidRPr="00923945" w:rsidRDefault="00850F95" w:rsidP="00491104">
            <w:pPr>
              <w:adjustRightInd/>
              <w:spacing w:before="120" w:line="276" w:lineRule="auto"/>
              <w:jc w:val="center"/>
              <w:rPr>
                <w:b/>
                <w:sz w:val="22"/>
                <w:szCs w:val="22"/>
              </w:rPr>
            </w:pPr>
            <w:r>
              <w:rPr>
                <w:b/>
                <w:sz w:val="22"/>
                <w:szCs w:val="22"/>
              </w:rPr>
              <w:t>10</w:t>
            </w:r>
          </w:p>
        </w:tc>
      </w:tr>
      <w:tr w:rsidR="005E0CAA" w:rsidRPr="00923945" w14:paraId="22E25539" w14:textId="77777777" w:rsidTr="00491104">
        <w:trPr>
          <w:trHeight w:val="545"/>
        </w:trPr>
        <w:tc>
          <w:tcPr>
            <w:tcW w:w="5528" w:type="dxa"/>
            <w:vAlign w:val="center"/>
          </w:tcPr>
          <w:p w14:paraId="78A41E59" w14:textId="5F381D6A" w:rsidR="005E0CAA" w:rsidRPr="0023552C" w:rsidRDefault="009228E9" w:rsidP="00850F95">
            <w:pPr>
              <w:adjustRightInd/>
              <w:spacing w:line="276" w:lineRule="auto"/>
              <w:jc w:val="left"/>
              <w:rPr>
                <w:sz w:val="22"/>
                <w:szCs w:val="22"/>
              </w:rPr>
            </w:pPr>
            <w:r>
              <w:rPr>
                <w:sz w:val="22"/>
                <w:szCs w:val="22"/>
              </w:rPr>
              <w:t>Question 9.5</w:t>
            </w:r>
            <w:r w:rsidR="00C01E56" w:rsidRPr="0023552C">
              <w:rPr>
                <w:sz w:val="22"/>
                <w:szCs w:val="22"/>
              </w:rPr>
              <w:t xml:space="preserve"> </w:t>
            </w:r>
            <w:r w:rsidR="00850F95">
              <w:rPr>
                <w:sz w:val="22"/>
                <w:szCs w:val="22"/>
              </w:rPr>
              <w:t>Transition and Mobilisation</w:t>
            </w:r>
          </w:p>
        </w:tc>
        <w:tc>
          <w:tcPr>
            <w:tcW w:w="2693" w:type="dxa"/>
            <w:vAlign w:val="center"/>
          </w:tcPr>
          <w:p w14:paraId="4B2D45FA" w14:textId="0FBB8D09" w:rsidR="005E0CAA" w:rsidRPr="00923945" w:rsidRDefault="00850F95" w:rsidP="00491104">
            <w:pPr>
              <w:adjustRightInd/>
              <w:spacing w:before="120" w:line="276" w:lineRule="auto"/>
              <w:jc w:val="center"/>
              <w:rPr>
                <w:b/>
                <w:sz w:val="22"/>
                <w:szCs w:val="22"/>
              </w:rPr>
            </w:pPr>
            <w:r>
              <w:rPr>
                <w:b/>
                <w:sz w:val="22"/>
                <w:szCs w:val="22"/>
              </w:rPr>
              <w:t>10</w:t>
            </w:r>
          </w:p>
        </w:tc>
      </w:tr>
      <w:tr w:rsidR="005E0CAA" w:rsidRPr="00923945" w14:paraId="1CA0481D" w14:textId="77777777" w:rsidTr="00491104">
        <w:trPr>
          <w:trHeight w:val="545"/>
        </w:trPr>
        <w:tc>
          <w:tcPr>
            <w:tcW w:w="5528" w:type="dxa"/>
            <w:vAlign w:val="center"/>
          </w:tcPr>
          <w:p w14:paraId="45C5616B" w14:textId="0C12A348" w:rsidR="005E0CAA" w:rsidRPr="0023552C" w:rsidRDefault="009228E9" w:rsidP="00850F95">
            <w:pPr>
              <w:adjustRightInd/>
              <w:spacing w:line="276" w:lineRule="auto"/>
              <w:jc w:val="left"/>
              <w:rPr>
                <w:sz w:val="22"/>
                <w:szCs w:val="22"/>
              </w:rPr>
            </w:pPr>
            <w:r>
              <w:rPr>
                <w:sz w:val="22"/>
                <w:szCs w:val="22"/>
              </w:rPr>
              <w:t>Question 9.6</w:t>
            </w:r>
            <w:r w:rsidR="0023552C" w:rsidRPr="0023552C">
              <w:rPr>
                <w:sz w:val="22"/>
                <w:szCs w:val="22"/>
              </w:rPr>
              <w:t xml:space="preserve"> </w:t>
            </w:r>
            <w:r w:rsidR="00850F95">
              <w:rPr>
                <w:sz w:val="22"/>
                <w:szCs w:val="22"/>
              </w:rPr>
              <w:t xml:space="preserve">Social </w:t>
            </w:r>
            <w:r w:rsidR="0023552C" w:rsidRPr="0023552C">
              <w:rPr>
                <w:sz w:val="22"/>
                <w:szCs w:val="22"/>
              </w:rPr>
              <w:t xml:space="preserve"> Value</w:t>
            </w:r>
          </w:p>
        </w:tc>
        <w:tc>
          <w:tcPr>
            <w:tcW w:w="2693" w:type="dxa"/>
            <w:vAlign w:val="center"/>
          </w:tcPr>
          <w:p w14:paraId="403717FE" w14:textId="4BA16097" w:rsidR="005E0CAA" w:rsidRDefault="00850F95" w:rsidP="00491104">
            <w:pPr>
              <w:adjustRightInd/>
              <w:spacing w:before="120" w:line="276" w:lineRule="auto"/>
              <w:jc w:val="center"/>
              <w:rPr>
                <w:b/>
                <w:sz w:val="22"/>
                <w:szCs w:val="22"/>
              </w:rPr>
            </w:pPr>
            <w:r>
              <w:rPr>
                <w:b/>
                <w:sz w:val="22"/>
                <w:szCs w:val="22"/>
              </w:rPr>
              <w:t>10</w:t>
            </w:r>
          </w:p>
        </w:tc>
      </w:tr>
      <w:tr w:rsidR="005E0CAA" w:rsidRPr="00923945" w14:paraId="7220C546" w14:textId="77777777" w:rsidTr="00491104">
        <w:trPr>
          <w:trHeight w:val="545"/>
        </w:trPr>
        <w:tc>
          <w:tcPr>
            <w:tcW w:w="5528" w:type="dxa"/>
            <w:vAlign w:val="center"/>
          </w:tcPr>
          <w:p w14:paraId="4BFB3609" w14:textId="77777777" w:rsidR="005E0CAA" w:rsidRDefault="005E0CAA" w:rsidP="00491104">
            <w:pPr>
              <w:adjustRightInd/>
              <w:spacing w:line="276" w:lineRule="auto"/>
              <w:jc w:val="left"/>
              <w:rPr>
                <w:b/>
                <w:sz w:val="22"/>
                <w:szCs w:val="22"/>
              </w:rPr>
            </w:pPr>
            <w:r>
              <w:rPr>
                <w:b/>
                <w:sz w:val="22"/>
                <w:szCs w:val="22"/>
              </w:rPr>
              <w:t>Total</w:t>
            </w:r>
          </w:p>
        </w:tc>
        <w:tc>
          <w:tcPr>
            <w:tcW w:w="2693" w:type="dxa"/>
            <w:vAlign w:val="center"/>
          </w:tcPr>
          <w:p w14:paraId="7F54C544" w14:textId="7A4820A4" w:rsidR="005E0CAA" w:rsidRDefault="00600216" w:rsidP="00491104">
            <w:pPr>
              <w:adjustRightInd/>
              <w:spacing w:before="120" w:line="276" w:lineRule="auto"/>
              <w:jc w:val="center"/>
              <w:rPr>
                <w:b/>
                <w:sz w:val="22"/>
                <w:szCs w:val="22"/>
              </w:rPr>
            </w:pPr>
            <w:r>
              <w:rPr>
                <w:b/>
                <w:sz w:val="22"/>
                <w:szCs w:val="22"/>
              </w:rPr>
              <w:t>7</w:t>
            </w:r>
            <w:r w:rsidR="00DE6ADC">
              <w:rPr>
                <w:b/>
                <w:sz w:val="22"/>
                <w:szCs w:val="22"/>
              </w:rPr>
              <w:t>0</w:t>
            </w:r>
          </w:p>
        </w:tc>
      </w:tr>
      <w:tr w:rsidR="004E5371" w:rsidRPr="004E5371" w14:paraId="746BA88F" w14:textId="77777777" w:rsidTr="004E5371">
        <w:trPr>
          <w:trHeight w:val="545"/>
        </w:trPr>
        <w:tc>
          <w:tcPr>
            <w:tcW w:w="5528" w:type="dxa"/>
            <w:shd w:val="clear" w:color="auto" w:fill="990099"/>
            <w:vAlign w:val="center"/>
          </w:tcPr>
          <w:p w14:paraId="0652BCD7" w14:textId="60488BEC" w:rsidR="004E5371" w:rsidRPr="004E5371" w:rsidRDefault="004E5371" w:rsidP="004E5371">
            <w:pPr>
              <w:adjustRightInd/>
              <w:spacing w:line="276" w:lineRule="auto"/>
              <w:jc w:val="center"/>
              <w:rPr>
                <w:b/>
                <w:color w:val="FFFFFF" w:themeColor="background1"/>
                <w:sz w:val="22"/>
                <w:szCs w:val="22"/>
              </w:rPr>
            </w:pPr>
            <w:r>
              <w:rPr>
                <w:b/>
                <w:color w:val="FFFFFF" w:themeColor="background1"/>
                <w:sz w:val="22"/>
                <w:szCs w:val="22"/>
              </w:rPr>
              <w:t>Value for Money</w:t>
            </w:r>
          </w:p>
        </w:tc>
        <w:tc>
          <w:tcPr>
            <w:tcW w:w="2693" w:type="dxa"/>
            <w:shd w:val="clear" w:color="auto" w:fill="990099"/>
            <w:vAlign w:val="center"/>
          </w:tcPr>
          <w:p w14:paraId="2F233316" w14:textId="609B7E27" w:rsidR="004E5371" w:rsidRPr="004E5371" w:rsidRDefault="004E5371" w:rsidP="00491104">
            <w:pPr>
              <w:adjustRightInd/>
              <w:spacing w:before="120" w:line="276" w:lineRule="auto"/>
              <w:jc w:val="center"/>
              <w:rPr>
                <w:b/>
                <w:color w:val="FFFFFF" w:themeColor="background1"/>
                <w:sz w:val="22"/>
                <w:szCs w:val="22"/>
              </w:rPr>
            </w:pPr>
            <w:r w:rsidRPr="009669D0">
              <w:rPr>
                <w:b/>
                <w:color w:val="FFFFFF" w:themeColor="background1"/>
                <w:sz w:val="22"/>
                <w:szCs w:val="22"/>
              </w:rPr>
              <w:t>Weighting</w:t>
            </w:r>
          </w:p>
        </w:tc>
      </w:tr>
      <w:tr w:rsidR="004E5371" w:rsidRPr="004E5371" w14:paraId="2A44CCCF" w14:textId="77777777" w:rsidTr="00491104">
        <w:trPr>
          <w:trHeight w:val="545"/>
        </w:trPr>
        <w:tc>
          <w:tcPr>
            <w:tcW w:w="5528" w:type="dxa"/>
            <w:vAlign w:val="center"/>
          </w:tcPr>
          <w:p w14:paraId="6EE20812" w14:textId="38429FBE" w:rsidR="004E5371" w:rsidRPr="004E5371" w:rsidRDefault="004E5371" w:rsidP="00491104">
            <w:pPr>
              <w:adjustRightInd/>
              <w:spacing w:line="276" w:lineRule="auto"/>
              <w:jc w:val="left"/>
              <w:rPr>
                <w:sz w:val="22"/>
                <w:szCs w:val="22"/>
              </w:rPr>
            </w:pPr>
            <w:r w:rsidRPr="004E5371">
              <w:rPr>
                <w:sz w:val="22"/>
                <w:szCs w:val="22"/>
              </w:rPr>
              <w:t>Question 10.1</w:t>
            </w:r>
            <w:r>
              <w:rPr>
                <w:sz w:val="22"/>
                <w:szCs w:val="22"/>
              </w:rPr>
              <w:t xml:space="preserve"> Value for Mon</w:t>
            </w:r>
            <w:r w:rsidRPr="004E5371">
              <w:rPr>
                <w:sz w:val="22"/>
                <w:szCs w:val="22"/>
              </w:rPr>
              <w:t>ey</w:t>
            </w:r>
          </w:p>
        </w:tc>
        <w:tc>
          <w:tcPr>
            <w:tcW w:w="2693" w:type="dxa"/>
            <w:vAlign w:val="center"/>
          </w:tcPr>
          <w:p w14:paraId="705C9173" w14:textId="4BAAB248" w:rsidR="004E5371" w:rsidRPr="0012290A" w:rsidRDefault="004E5371" w:rsidP="00491104">
            <w:pPr>
              <w:adjustRightInd/>
              <w:spacing w:before="120" w:line="276" w:lineRule="auto"/>
              <w:jc w:val="center"/>
              <w:rPr>
                <w:b/>
                <w:sz w:val="22"/>
                <w:szCs w:val="22"/>
              </w:rPr>
            </w:pPr>
            <w:r w:rsidRPr="0012290A">
              <w:rPr>
                <w:b/>
                <w:sz w:val="22"/>
                <w:szCs w:val="22"/>
              </w:rPr>
              <w:t>10</w:t>
            </w:r>
          </w:p>
        </w:tc>
      </w:tr>
    </w:tbl>
    <w:p w14:paraId="3C0BB81A" w14:textId="009E1CAE" w:rsidR="00DE6ADC" w:rsidRPr="00923945" w:rsidRDefault="00DE6ADC" w:rsidP="005E0CAA">
      <w:pPr>
        <w:pStyle w:val="Body1"/>
        <w:ind w:left="0"/>
        <w:rPr>
          <w:sz w:val="22"/>
          <w:szCs w:val="22"/>
        </w:rPr>
      </w:pPr>
    </w:p>
    <w:p w14:paraId="1208A2FE" w14:textId="5B2C10E8" w:rsidR="00FF2AEE" w:rsidRDefault="009669D0" w:rsidP="00FC2823">
      <w:pPr>
        <w:pStyle w:val="Level2"/>
        <w:rPr>
          <w:b/>
          <w:sz w:val="22"/>
          <w:szCs w:val="22"/>
        </w:rPr>
      </w:pPr>
      <w:r>
        <w:rPr>
          <w:b/>
          <w:sz w:val="22"/>
          <w:szCs w:val="22"/>
        </w:rPr>
        <w:t>Service Delivery Approach</w:t>
      </w:r>
      <w:r w:rsidR="006B0FBF">
        <w:rPr>
          <w:b/>
          <w:sz w:val="22"/>
          <w:szCs w:val="22"/>
        </w:rPr>
        <w:t>:</w:t>
      </w:r>
      <w:r w:rsidR="00782636" w:rsidRPr="00923945">
        <w:rPr>
          <w:b/>
          <w:sz w:val="22"/>
          <w:szCs w:val="22"/>
        </w:rPr>
        <w:t xml:space="preserve"> </w:t>
      </w:r>
      <w:r>
        <w:rPr>
          <w:b/>
          <w:sz w:val="22"/>
          <w:szCs w:val="22"/>
        </w:rPr>
        <w:t xml:space="preserve">Case Studies </w:t>
      </w:r>
      <w:r w:rsidR="007C76D1">
        <w:rPr>
          <w:b/>
          <w:sz w:val="22"/>
          <w:szCs w:val="22"/>
        </w:rPr>
        <w:t>Part 4</w:t>
      </w:r>
      <w:r w:rsidR="00AD007A">
        <w:rPr>
          <w:b/>
          <w:sz w:val="22"/>
          <w:szCs w:val="22"/>
        </w:rPr>
        <w:t xml:space="preserve"> Section 9</w:t>
      </w:r>
      <w:r w:rsidR="0023552C">
        <w:rPr>
          <w:b/>
          <w:sz w:val="22"/>
          <w:szCs w:val="22"/>
        </w:rPr>
        <w:t xml:space="preserve"> </w:t>
      </w:r>
      <w:r w:rsidR="00302D68" w:rsidRPr="00923945">
        <w:rPr>
          <w:b/>
          <w:sz w:val="22"/>
          <w:szCs w:val="22"/>
        </w:rPr>
        <w:t>Question</w:t>
      </w:r>
      <w:r>
        <w:rPr>
          <w:b/>
          <w:sz w:val="22"/>
          <w:szCs w:val="22"/>
        </w:rPr>
        <w:t>s</w:t>
      </w:r>
      <w:r w:rsidR="00302D68" w:rsidRPr="00923945">
        <w:rPr>
          <w:b/>
          <w:sz w:val="22"/>
          <w:szCs w:val="22"/>
        </w:rPr>
        <w:t xml:space="preserve"> </w:t>
      </w:r>
      <w:r w:rsidR="00105206">
        <w:rPr>
          <w:b/>
          <w:sz w:val="22"/>
          <w:szCs w:val="22"/>
        </w:rPr>
        <w:t>9.1</w:t>
      </w:r>
      <w:r>
        <w:rPr>
          <w:b/>
          <w:sz w:val="22"/>
          <w:szCs w:val="22"/>
        </w:rPr>
        <w:t xml:space="preserve">    &amp; 9.2</w:t>
      </w:r>
    </w:p>
    <w:p w14:paraId="404425B6" w14:textId="3001476C" w:rsidR="00E53D7A" w:rsidRDefault="00D126DF" w:rsidP="00D126DF">
      <w:pPr>
        <w:ind w:left="851"/>
        <w:rPr>
          <w:sz w:val="22"/>
          <w:szCs w:val="22"/>
        </w:rPr>
      </w:pPr>
      <w:r>
        <w:rPr>
          <w:sz w:val="22"/>
          <w:szCs w:val="22"/>
        </w:rPr>
        <w:t xml:space="preserve">Tenderers are required to </w:t>
      </w:r>
      <w:r w:rsidRPr="00D126DF">
        <w:rPr>
          <w:sz w:val="22"/>
          <w:szCs w:val="22"/>
        </w:rPr>
        <w:t>produce a report</w:t>
      </w:r>
      <w:r w:rsidR="009F60DE">
        <w:rPr>
          <w:sz w:val="22"/>
          <w:szCs w:val="22"/>
        </w:rPr>
        <w:t xml:space="preserve"> and presentation</w:t>
      </w:r>
      <w:r w:rsidRPr="00D126DF">
        <w:rPr>
          <w:sz w:val="22"/>
          <w:szCs w:val="22"/>
        </w:rPr>
        <w:t xml:space="preserve"> for each scenario detailing how they would manage</w:t>
      </w:r>
      <w:r w:rsidR="00E53D7A">
        <w:rPr>
          <w:sz w:val="22"/>
          <w:szCs w:val="22"/>
        </w:rPr>
        <w:t>;</w:t>
      </w:r>
    </w:p>
    <w:p w14:paraId="1DA64B4F" w14:textId="77777777" w:rsidR="00E53D7A" w:rsidRDefault="00E53D7A" w:rsidP="00D126DF">
      <w:pPr>
        <w:ind w:left="851"/>
        <w:rPr>
          <w:sz w:val="22"/>
          <w:szCs w:val="22"/>
        </w:rPr>
      </w:pPr>
    </w:p>
    <w:p w14:paraId="41AA7003" w14:textId="56413F86" w:rsidR="00D126DF" w:rsidRDefault="00E53D7A" w:rsidP="00E53D7A">
      <w:pPr>
        <w:ind w:left="851"/>
        <w:rPr>
          <w:sz w:val="22"/>
          <w:szCs w:val="22"/>
        </w:rPr>
      </w:pPr>
      <w:r>
        <w:rPr>
          <w:sz w:val="22"/>
          <w:szCs w:val="22"/>
        </w:rPr>
        <w:t>Question 9.1 (Case Study 1) – this s</w:t>
      </w:r>
      <w:r w:rsidR="00B85FA1">
        <w:rPr>
          <w:sz w:val="22"/>
          <w:szCs w:val="22"/>
        </w:rPr>
        <w:t>hould include</w:t>
      </w:r>
      <w:r w:rsidR="00D126DF">
        <w:rPr>
          <w:sz w:val="22"/>
          <w:szCs w:val="22"/>
        </w:rPr>
        <w:t xml:space="preserve"> but </w:t>
      </w:r>
      <w:r w:rsidR="00D126DF" w:rsidRPr="00D126DF">
        <w:rPr>
          <w:sz w:val="22"/>
          <w:szCs w:val="22"/>
        </w:rPr>
        <w:t xml:space="preserve">not </w:t>
      </w:r>
      <w:r w:rsidR="00D03F26">
        <w:rPr>
          <w:sz w:val="22"/>
          <w:szCs w:val="22"/>
        </w:rPr>
        <w:t xml:space="preserve">be </w:t>
      </w:r>
      <w:r w:rsidR="00D126DF" w:rsidRPr="00D126DF">
        <w:rPr>
          <w:sz w:val="22"/>
          <w:szCs w:val="22"/>
        </w:rPr>
        <w:t xml:space="preserve">limited to liability, quantum and recommendations/next steps. </w:t>
      </w:r>
    </w:p>
    <w:p w14:paraId="0A18A421" w14:textId="77777777" w:rsidR="00E53D7A" w:rsidRDefault="00E53D7A" w:rsidP="00D126DF">
      <w:pPr>
        <w:ind w:left="851"/>
        <w:rPr>
          <w:sz w:val="22"/>
          <w:szCs w:val="22"/>
        </w:rPr>
      </w:pPr>
    </w:p>
    <w:p w14:paraId="04119313" w14:textId="50E63964" w:rsidR="00E53D7A" w:rsidRDefault="00E53D7A" w:rsidP="00D126DF">
      <w:pPr>
        <w:ind w:left="851"/>
        <w:rPr>
          <w:sz w:val="22"/>
          <w:szCs w:val="22"/>
        </w:rPr>
      </w:pPr>
      <w:r>
        <w:rPr>
          <w:sz w:val="22"/>
          <w:szCs w:val="22"/>
        </w:rPr>
        <w:t xml:space="preserve">Question 9.2 (Case Study 2) – this should include but </w:t>
      </w:r>
      <w:r w:rsidRPr="00D126DF">
        <w:rPr>
          <w:sz w:val="22"/>
          <w:szCs w:val="22"/>
        </w:rPr>
        <w:t xml:space="preserve">not </w:t>
      </w:r>
      <w:r>
        <w:rPr>
          <w:sz w:val="22"/>
          <w:szCs w:val="22"/>
        </w:rPr>
        <w:t xml:space="preserve">be </w:t>
      </w:r>
      <w:r w:rsidRPr="00D126DF">
        <w:rPr>
          <w:sz w:val="22"/>
          <w:szCs w:val="22"/>
        </w:rPr>
        <w:t xml:space="preserve">limited to </w:t>
      </w:r>
      <w:r>
        <w:rPr>
          <w:sz w:val="22"/>
          <w:szCs w:val="22"/>
        </w:rPr>
        <w:t xml:space="preserve">foreseeability, causation, reasonable care, </w:t>
      </w:r>
      <w:r w:rsidRPr="00D126DF">
        <w:rPr>
          <w:sz w:val="22"/>
          <w:szCs w:val="22"/>
        </w:rPr>
        <w:t>quantum and recommendations/next steps</w:t>
      </w:r>
    </w:p>
    <w:p w14:paraId="08543DD5" w14:textId="77777777" w:rsidR="00B85FA1" w:rsidRDefault="00B85FA1" w:rsidP="00D126DF">
      <w:pPr>
        <w:ind w:left="851"/>
        <w:rPr>
          <w:sz w:val="22"/>
          <w:szCs w:val="22"/>
        </w:rPr>
      </w:pPr>
    </w:p>
    <w:p w14:paraId="59F257FC" w14:textId="14119B6E" w:rsidR="00B85FA1" w:rsidRPr="00D126DF" w:rsidRDefault="00B85FA1" w:rsidP="00B85FA1">
      <w:pPr>
        <w:ind w:left="851"/>
        <w:rPr>
          <w:sz w:val="22"/>
          <w:szCs w:val="22"/>
        </w:rPr>
      </w:pPr>
      <w:r w:rsidRPr="00D126DF">
        <w:rPr>
          <w:sz w:val="22"/>
          <w:szCs w:val="22"/>
        </w:rPr>
        <w:t>The</w:t>
      </w:r>
      <w:r w:rsidR="00D03F26">
        <w:rPr>
          <w:sz w:val="22"/>
          <w:szCs w:val="22"/>
        </w:rPr>
        <w:t xml:space="preserve"> reports </w:t>
      </w:r>
      <w:r w:rsidRPr="00D126DF">
        <w:rPr>
          <w:sz w:val="22"/>
          <w:szCs w:val="22"/>
        </w:rPr>
        <w:t xml:space="preserve">will be evaluated </w:t>
      </w:r>
      <w:r w:rsidR="00FF0184">
        <w:rPr>
          <w:sz w:val="22"/>
          <w:szCs w:val="22"/>
        </w:rPr>
        <w:t xml:space="preserve">using Table 1 </w:t>
      </w:r>
      <w:r w:rsidRPr="00D126DF">
        <w:rPr>
          <w:sz w:val="22"/>
          <w:szCs w:val="22"/>
        </w:rPr>
        <w:t xml:space="preserve">and scored </w:t>
      </w:r>
      <w:r>
        <w:rPr>
          <w:sz w:val="22"/>
          <w:szCs w:val="22"/>
        </w:rPr>
        <w:t>against the following criteria;</w:t>
      </w:r>
    </w:p>
    <w:p w14:paraId="753F1DC0" w14:textId="77777777" w:rsidR="00B85FA1" w:rsidRPr="00D126DF" w:rsidRDefault="00B85FA1" w:rsidP="00B85FA1">
      <w:pPr>
        <w:rPr>
          <w:sz w:val="22"/>
          <w:szCs w:val="22"/>
        </w:rPr>
      </w:pPr>
    </w:p>
    <w:p w14:paraId="116548F6" w14:textId="4E66E41A" w:rsidR="00B85FA1" w:rsidRPr="00B85FA1" w:rsidRDefault="00B85FA1" w:rsidP="00B85FA1">
      <w:pPr>
        <w:pStyle w:val="ListParagraph"/>
        <w:numPr>
          <w:ilvl w:val="0"/>
          <w:numId w:val="17"/>
        </w:numPr>
        <w:rPr>
          <w:rFonts w:ascii="Arial" w:hAnsi="Arial" w:cs="Arial"/>
          <w:szCs w:val="22"/>
        </w:rPr>
      </w:pPr>
      <w:r w:rsidRPr="00B85FA1">
        <w:rPr>
          <w:rFonts w:ascii="Arial" w:hAnsi="Arial" w:cs="Arial"/>
          <w:szCs w:val="22"/>
        </w:rPr>
        <w:lastRenderedPageBreak/>
        <w:t xml:space="preserve">Layout and design of the reports - ability to draft a clear and concise report. </w:t>
      </w:r>
    </w:p>
    <w:p w14:paraId="75ACC2BB" w14:textId="77777777" w:rsidR="00B85FA1" w:rsidRPr="00B85FA1" w:rsidRDefault="00B85FA1" w:rsidP="00B85FA1">
      <w:pPr>
        <w:ind w:left="851"/>
        <w:rPr>
          <w:sz w:val="22"/>
          <w:szCs w:val="22"/>
        </w:rPr>
      </w:pPr>
    </w:p>
    <w:p w14:paraId="7FB77711" w14:textId="3EEAC803" w:rsidR="00B85FA1" w:rsidRPr="00B85FA1" w:rsidRDefault="00B85FA1" w:rsidP="00B85FA1">
      <w:pPr>
        <w:pStyle w:val="ListParagraph"/>
        <w:numPr>
          <w:ilvl w:val="0"/>
          <w:numId w:val="17"/>
        </w:numPr>
        <w:rPr>
          <w:rFonts w:ascii="Arial" w:hAnsi="Arial" w:cs="Arial"/>
          <w:szCs w:val="22"/>
        </w:rPr>
      </w:pPr>
      <w:r w:rsidRPr="00B85FA1">
        <w:rPr>
          <w:rFonts w:ascii="Arial" w:hAnsi="Arial" w:cs="Arial"/>
          <w:szCs w:val="22"/>
        </w:rPr>
        <w:t xml:space="preserve">Knowledge of the legal process </w:t>
      </w:r>
      <w:r>
        <w:rPr>
          <w:rFonts w:ascii="Arial" w:hAnsi="Arial" w:cs="Arial"/>
          <w:szCs w:val="22"/>
        </w:rPr>
        <w:t>–</w:t>
      </w:r>
      <w:r w:rsidRPr="00B85FA1">
        <w:rPr>
          <w:rFonts w:ascii="Arial" w:hAnsi="Arial" w:cs="Arial"/>
          <w:szCs w:val="22"/>
        </w:rPr>
        <w:t xml:space="preserve"> </w:t>
      </w:r>
      <w:r>
        <w:rPr>
          <w:rFonts w:ascii="Arial" w:hAnsi="Arial" w:cs="Arial"/>
          <w:szCs w:val="22"/>
        </w:rPr>
        <w:t xml:space="preserve">demonstration of </w:t>
      </w:r>
      <w:r w:rsidRPr="00B85FA1">
        <w:rPr>
          <w:rFonts w:ascii="Arial" w:hAnsi="Arial" w:cs="Arial"/>
          <w:szCs w:val="22"/>
        </w:rPr>
        <w:t xml:space="preserve">a thorough understanding of the legal process relating to each claim </w:t>
      </w:r>
    </w:p>
    <w:p w14:paraId="3C5FC02F" w14:textId="77777777" w:rsidR="00B85FA1" w:rsidRPr="00B85FA1" w:rsidRDefault="00B85FA1" w:rsidP="00B85FA1">
      <w:pPr>
        <w:ind w:left="851"/>
        <w:rPr>
          <w:sz w:val="22"/>
          <w:szCs w:val="22"/>
        </w:rPr>
      </w:pPr>
    </w:p>
    <w:p w14:paraId="405CB267" w14:textId="57575424" w:rsidR="00B85FA1" w:rsidRPr="00B85FA1" w:rsidRDefault="00B85FA1" w:rsidP="00B85FA1">
      <w:pPr>
        <w:pStyle w:val="ListParagraph"/>
        <w:numPr>
          <w:ilvl w:val="0"/>
          <w:numId w:val="17"/>
        </w:numPr>
        <w:rPr>
          <w:rFonts w:ascii="Arial" w:hAnsi="Arial" w:cs="Arial"/>
          <w:szCs w:val="22"/>
        </w:rPr>
      </w:pPr>
      <w:r w:rsidRPr="00B85FA1">
        <w:rPr>
          <w:rFonts w:ascii="Arial" w:hAnsi="Arial" w:cs="Arial"/>
          <w:szCs w:val="22"/>
        </w:rPr>
        <w:t xml:space="preserve">Claims management - approach to managing claims in a way that delivers the best result (in the circumstances) to the members. </w:t>
      </w:r>
    </w:p>
    <w:p w14:paraId="3F34DF67" w14:textId="77777777" w:rsidR="00B85FA1" w:rsidRPr="00D126DF" w:rsidRDefault="00B85FA1" w:rsidP="00B85FA1">
      <w:pPr>
        <w:ind w:left="851"/>
        <w:rPr>
          <w:sz w:val="22"/>
          <w:szCs w:val="22"/>
        </w:rPr>
      </w:pPr>
    </w:p>
    <w:p w14:paraId="7FC912C2" w14:textId="4574E345" w:rsidR="00DE3AA0" w:rsidRPr="00DE3AA0" w:rsidRDefault="00B85FA1" w:rsidP="00DE3AA0">
      <w:pPr>
        <w:pStyle w:val="ListParagraph"/>
        <w:numPr>
          <w:ilvl w:val="0"/>
          <w:numId w:val="17"/>
        </w:numPr>
        <w:rPr>
          <w:rFonts w:ascii="Arial" w:hAnsi="Arial" w:cs="Arial"/>
          <w:szCs w:val="22"/>
        </w:rPr>
      </w:pPr>
      <w:r w:rsidRPr="00B85FA1">
        <w:rPr>
          <w:rFonts w:ascii="Arial" w:hAnsi="Arial" w:cs="Arial"/>
          <w:szCs w:val="22"/>
        </w:rPr>
        <w:t xml:space="preserve">Cost management - approach to </w:t>
      </w:r>
      <w:r w:rsidR="00D03F26">
        <w:rPr>
          <w:rFonts w:ascii="Arial" w:hAnsi="Arial" w:cs="Arial"/>
          <w:szCs w:val="22"/>
        </w:rPr>
        <w:t>reducing expenditure.</w:t>
      </w:r>
    </w:p>
    <w:p w14:paraId="48BCAF56" w14:textId="47306FF1" w:rsidR="00B85FA1" w:rsidRPr="00DE3AA0" w:rsidRDefault="00DE3AA0" w:rsidP="00DE3AA0">
      <w:pPr>
        <w:pStyle w:val="Level2"/>
        <w:numPr>
          <w:ilvl w:val="0"/>
          <w:numId w:val="0"/>
        </w:numPr>
        <w:ind w:left="1571"/>
        <w:rPr>
          <w:b/>
          <w:sz w:val="22"/>
          <w:szCs w:val="22"/>
        </w:rPr>
      </w:pPr>
      <w:r>
        <w:rPr>
          <w:b/>
          <w:sz w:val="22"/>
          <w:szCs w:val="22"/>
        </w:rPr>
        <w:t>Presentation</w:t>
      </w:r>
      <w:r w:rsidR="008C5AE2">
        <w:rPr>
          <w:b/>
          <w:sz w:val="22"/>
          <w:szCs w:val="22"/>
        </w:rPr>
        <w:t xml:space="preserve"> – </w:t>
      </w:r>
      <w:proofErr w:type="gramStart"/>
      <w:r w:rsidR="008C5AE2">
        <w:rPr>
          <w:b/>
          <w:sz w:val="22"/>
          <w:szCs w:val="22"/>
        </w:rPr>
        <w:t>( Held</w:t>
      </w:r>
      <w:proofErr w:type="gramEnd"/>
      <w:r w:rsidR="008C5AE2">
        <w:rPr>
          <w:b/>
          <w:sz w:val="22"/>
          <w:szCs w:val="22"/>
        </w:rPr>
        <w:t xml:space="preserve"> on 12 &amp; 13 April 2018) </w:t>
      </w:r>
    </w:p>
    <w:p w14:paraId="2B8A6856" w14:textId="0E718683" w:rsidR="00D126DF" w:rsidRPr="00D126DF" w:rsidRDefault="00D126DF" w:rsidP="00DE577B">
      <w:pPr>
        <w:ind w:left="851"/>
        <w:rPr>
          <w:sz w:val="22"/>
          <w:szCs w:val="22"/>
        </w:rPr>
      </w:pPr>
      <w:r>
        <w:rPr>
          <w:sz w:val="22"/>
          <w:szCs w:val="22"/>
        </w:rPr>
        <w:t xml:space="preserve">In addition to the reports submitted </w:t>
      </w:r>
      <w:r w:rsidR="00B85FA1">
        <w:rPr>
          <w:sz w:val="22"/>
          <w:szCs w:val="22"/>
        </w:rPr>
        <w:t xml:space="preserve">as part of </w:t>
      </w:r>
      <w:r>
        <w:rPr>
          <w:sz w:val="22"/>
          <w:szCs w:val="22"/>
        </w:rPr>
        <w:t xml:space="preserve">the Tender Response, Tenderers are required to </w:t>
      </w:r>
      <w:r w:rsidRPr="00D126DF">
        <w:rPr>
          <w:sz w:val="22"/>
          <w:szCs w:val="22"/>
        </w:rPr>
        <w:t xml:space="preserve">prepare a presentation not lasting more than 10 minutes for each case (20 minutes total). This will be followed by a 10 minute question and answer session allowing both parties to clarify any </w:t>
      </w:r>
      <w:r w:rsidR="00DE577B">
        <w:rPr>
          <w:sz w:val="22"/>
          <w:szCs w:val="22"/>
        </w:rPr>
        <w:t xml:space="preserve">ambiguities in the reports. </w:t>
      </w:r>
      <w:r w:rsidR="00BC4731" w:rsidRPr="00D126DF">
        <w:rPr>
          <w:sz w:val="22"/>
          <w:szCs w:val="22"/>
        </w:rPr>
        <w:t>The</w:t>
      </w:r>
      <w:r w:rsidR="00BC4731">
        <w:rPr>
          <w:sz w:val="22"/>
          <w:szCs w:val="22"/>
        </w:rPr>
        <w:t xml:space="preserve"> presentation </w:t>
      </w:r>
      <w:r w:rsidR="009F60DE">
        <w:rPr>
          <w:sz w:val="22"/>
          <w:szCs w:val="22"/>
        </w:rPr>
        <w:t xml:space="preserve">session </w:t>
      </w:r>
      <w:r w:rsidR="00BC4731" w:rsidRPr="00D126DF">
        <w:rPr>
          <w:sz w:val="22"/>
          <w:szCs w:val="22"/>
        </w:rPr>
        <w:t xml:space="preserve">will be </w:t>
      </w:r>
      <w:r w:rsidR="00DE577B">
        <w:rPr>
          <w:sz w:val="22"/>
          <w:szCs w:val="22"/>
        </w:rPr>
        <w:t xml:space="preserve">used by the panel </w:t>
      </w:r>
      <w:r w:rsidR="009F60DE">
        <w:rPr>
          <w:sz w:val="22"/>
          <w:szCs w:val="22"/>
        </w:rPr>
        <w:t>to further probe</w:t>
      </w:r>
      <w:r w:rsidR="009F60DE" w:rsidRPr="009F60DE">
        <w:rPr>
          <w:sz w:val="22"/>
          <w:szCs w:val="22"/>
        </w:rPr>
        <w:t xml:space="preserve"> </w:t>
      </w:r>
      <w:r w:rsidR="00DE577B">
        <w:rPr>
          <w:sz w:val="22"/>
          <w:szCs w:val="22"/>
        </w:rPr>
        <w:t xml:space="preserve">aspects of the reports </w:t>
      </w:r>
      <w:r w:rsidR="009F60DE" w:rsidRPr="009F60DE">
        <w:rPr>
          <w:sz w:val="22"/>
          <w:szCs w:val="22"/>
        </w:rPr>
        <w:t>a</w:t>
      </w:r>
      <w:r w:rsidR="00DE577B">
        <w:rPr>
          <w:sz w:val="22"/>
          <w:szCs w:val="22"/>
        </w:rPr>
        <w:t xml:space="preserve">nd </w:t>
      </w:r>
      <w:r w:rsidR="009F60DE" w:rsidRPr="009F60DE">
        <w:rPr>
          <w:sz w:val="22"/>
          <w:szCs w:val="22"/>
        </w:rPr>
        <w:t>to confirm the scoring of the reports.</w:t>
      </w:r>
    </w:p>
    <w:p w14:paraId="77C008EF" w14:textId="77777777" w:rsidR="00D126DF" w:rsidRPr="00D126DF" w:rsidRDefault="00D126DF" w:rsidP="00BC4731">
      <w:pPr>
        <w:rPr>
          <w:sz w:val="22"/>
          <w:szCs w:val="22"/>
        </w:rPr>
      </w:pPr>
    </w:p>
    <w:p w14:paraId="7FB449B5" w14:textId="77777777" w:rsidR="00227DD8" w:rsidRDefault="00227DD8" w:rsidP="00D126DF">
      <w:pPr>
        <w:ind w:left="851"/>
        <w:rPr>
          <w:sz w:val="22"/>
          <w:szCs w:val="22"/>
        </w:rPr>
      </w:pPr>
    </w:p>
    <w:p w14:paraId="52052ACE" w14:textId="77777777" w:rsidR="00FA33E0" w:rsidRDefault="00FA33E0" w:rsidP="00DE3AA0">
      <w:pPr>
        <w:rPr>
          <w:sz w:val="22"/>
          <w:szCs w:val="22"/>
        </w:rPr>
      </w:pPr>
    </w:p>
    <w:p w14:paraId="4AD18321" w14:textId="0C3F431D" w:rsidR="00FA33E0" w:rsidRPr="00923945" w:rsidRDefault="00FF75CC" w:rsidP="00FC2823">
      <w:pPr>
        <w:pStyle w:val="Level2"/>
        <w:rPr>
          <w:b/>
          <w:sz w:val="22"/>
          <w:szCs w:val="22"/>
        </w:rPr>
      </w:pPr>
      <w:r>
        <w:rPr>
          <w:b/>
          <w:sz w:val="22"/>
          <w:szCs w:val="22"/>
        </w:rPr>
        <w:t xml:space="preserve">Cost Management </w:t>
      </w:r>
      <w:r w:rsidR="00FA33E0">
        <w:rPr>
          <w:b/>
          <w:sz w:val="22"/>
          <w:szCs w:val="22"/>
        </w:rPr>
        <w:t>:</w:t>
      </w:r>
      <w:r w:rsidR="00FA33E0" w:rsidRPr="00923945">
        <w:rPr>
          <w:b/>
          <w:sz w:val="22"/>
          <w:szCs w:val="22"/>
        </w:rPr>
        <w:t xml:space="preserve"> </w:t>
      </w:r>
      <w:r w:rsidR="007C76D1">
        <w:rPr>
          <w:b/>
          <w:sz w:val="22"/>
          <w:szCs w:val="22"/>
        </w:rPr>
        <w:t>Part 4</w:t>
      </w:r>
      <w:r w:rsidR="00AD007A">
        <w:rPr>
          <w:b/>
          <w:sz w:val="22"/>
          <w:szCs w:val="22"/>
        </w:rPr>
        <w:t xml:space="preserve"> Section 9</w:t>
      </w:r>
      <w:r w:rsidR="00FA33E0">
        <w:rPr>
          <w:b/>
          <w:sz w:val="22"/>
          <w:szCs w:val="22"/>
        </w:rPr>
        <w:t xml:space="preserve"> </w:t>
      </w:r>
      <w:r w:rsidR="00FA33E0" w:rsidRPr="00923945">
        <w:rPr>
          <w:b/>
          <w:sz w:val="22"/>
          <w:szCs w:val="22"/>
        </w:rPr>
        <w:t xml:space="preserve">Question </w:t>
      </w:r>
      <w:r w:rsidR="00105206">
        <w:rPr>
          <w:b/>
          <w:sz w:val="22"/>
          <w:szCs w:val="22"/>
        </w:rPr>
        <w:t>9.3</w:t>
      </w:r>
    </w:p>
    <w:p w14:paraId="42E9CE96" w14:textId="0B3B7125" w:rsidR="00FF75CC" w:rsidRDefault="00FA33E0" w:rsidP="00FA33E0">
      <w:pPr>
        <w:ind w:left="851"/>
        <w:rPr>
          <w:sz w:val="22"/>
          <w:szCs w:val="22"/>
        </w:rPr>
      </w:pPr>
      <w:r w:rsidRPr="002B02F4">
        <w:rPr>
          <w:sz w:val="22"/>
          <w:szCs w:val="22"/>
        </w:rPr>
        <w:t xml:space="preserve">The ILC needs to fully understand </w:t>
      </w:r>
      <w:r w:rsidR="00513CCF">
        <w:rPr>
          <w:sz w:val="22"/>
          <w:szCs w:val="22"/>
        </w:rPr>
        <w:t xml:space="preserve">the </w:t>
      </w:r>
      <w:r w:rsidR="00FF75CC">
        <w:rPr>
          <w:sz w:val="22"/>
          <w:szCs w:val="22"/>
        </w:rPr>
        <w:t>approach you would deploy to sustainably lower the whole life cost of claims.</w:t>
      </w:r>
    </w:p>
    <w:p w14:paraId="573E19F1" w14:textId="77777777" w:rsidR="00FD4487" w:rsidRDefault="00FD4487" w:rsidP="00FA33E0">
      <w:pPr>
        <w:ind w:left="851"/>
        <w:rPr>
          <w:sz w:val="22"/>
          <w:szCs w:val="22"/>
        </w:rPr>
      </w:pPr>
    </w:p>
    <w:p w14:paraId="62A06227" w14:textId="78CEBF98" w:rsidR="00FA33E0" w:rsidRDefault="00705D3A" w:rsidP="00FA33E0">
      <w:pPr>
        <w:ind w:left="851"/>
        <w:rPr>
          <w:sz w:val="22"/>
          <w:szCs w:val="22"/>
        </w:rPr>
      </w:pPr>
      <w:r>
        <w:rPr>
          <w:sz w:val="22"/>
          <w:szCs w:val="22"/>
        </w:rPr>
        <w:t xml:space="preserve">In responding Tenderers </w:t>
      </w:r>
      <w:r w:rsidR="00882058">
        <w:rPr>
          <w:sz w:val="22"/>
          <w:szCs w:val="22"/>
        </w:rPr>
        <w:t xml:space="preserve">need to consider all facets of costs that attach to handling claims such as speed of handling, cost negotiation and repudiation rates </w:t>
      </w:r>
      <w:r w:rsidR="0007574F">
        <w:rPr>
          <w:sz w:val="22"/>
          <w:szCs w:val="22"/>
        </w:rPr>
        <w:t>etc.</w:t>
      </w:r>
    </w:p>
    <w:p w14:paraId="3DE268DB" w14:textId="77777777" w:rsidR="00FA33E0" w:rsidRDefault="00FA33E0" w:rsidP="00FA33E0">
      <w:pPr>
        <w:ind w:left="851"/>
        <w:rPr>
          <w:sz w:val="22"/>
          <w:szCs w:val="22"/>
        </w:rPr>
      </w:pPr>
    </w:p>
    <w:p w14:paraId="31DD689C" w14:textId="77777777" w:rsidR="00FA33E0" w:rsidRDefault="00FA33E0" w:rsidP="00FA33E0">
      <w:pPr>
        <w:ind w:left="851"/>
        <w:rPr>
          <w:sz w:val="22"/>
          <w:szCs w:val="22"/>
        </w:rPr>
      </w:pPr>
      <w:r>
        <w:rPr>
          <w:sz w:val="22"/>
          <w:szCs w:val="22"/>
        </w:rPr>
        <w:t>Responses will be evaluated using Table 1.</w:t>
      </w:r>
    </w:p>
    <w:p w14:paraId="2B47F79B" w14:textId="77777777" w:rsidR="00FA33E0" w:rsidRPr="002B02F4" w:rsidRDefault="00FA33E0" w:rsidP="00FA33E0">
      <w:pPr>
        <w:rPr>
          <w:sz w:val="22"/>
          <w:szCs w:val="22"/>
        </w:rPr>
      </w:pPr>
    </w:p>
    <w:p w14:paraId="7316ACFF" w14:textId="77777777" w:rsidR="00E46220" w:rsidRPr="0004293F" w:rsidRDefault="00E46220" w:rsidP="00FC2823">
      <w:pPr>
        <w:pStyle w:val="Level2"/>
        <w:rPr>
          <w:b/>
          <w:sz w:val="22"/>
          <w:szCs w:val="22"/>
        </w:rPr>
      </w:pPr>
      <w:r w:rsidRPr="0004293F">
        <w:rPr>
          <w:b/>
          <w:sz w:val="22"/>
          <w:szCs w:val="22"/>
        </w:rPr>
        <w:t>Contract</w:t>
      </w:r>
      <w:r>
        <w:rPr>
          <w:b/>
          <w:sz w:val="22"/>
          <w:szCs w:val="22"/>
        </w:rPr>
        <w:t xml:space="preserve"> and Performance Management: Part 4 Section 9 Question 9.4</w:t>
      </w:r>
    </w:p>
    <w:p w14:paraId="47F7A20E" w14:textId="77777777" w:rsidR="00E46220" w:rsidRPr="005A1900" w:rsidRDefault="00E46220" w:rsidP="00E46220">
      <w:pPr>
        <w:ind w:left="851"/>
        <w:rPr>
          <w:sz w:val="22"/>
          <w:szCs w:val="22"/>
        </w:rPr>
      </w:pPr>
      <w:r w:rsidRPr="005A1900">
        <w:rPr>
          <w:sz w:val="22"/>
          <w:szCs w:val="22"/>
        </w:rPr>
        <w:t>The ILC needs to be satisfied that you have an effective co</w:t>
      </w:r>
      <w:r>
        <w:rPr>
          <w:sz w:val="22"/>
          <w:szCs w:val="22"/>
        </w:rPr>
        <w:t>ntract and performance management p</w:t>
      </w:r>
      <w:r w:rsidRPr="005A1900">
        <w:rPr>
          <w:sz w:val="22"/>
          <w:szCs w:val="22"/>
        </w:rPr>
        <w:t>rocedure in place t</w:t>
      </w:r>
      <w:r>
        <w:rPr>
          <w:sz w:val="22"/>
          <w:szCs w:val="22"/>
        </w:rPr>
        <w:t xml:space="preserve">hat ensures the contract both delivers a consistently high quality service that meets the requirements and does so demonstrably. </w:t>
      </w:r>
    </w:p>
    <w:p w14:paraId="0210D0D3" w14:textId="77777777" w:rsidR="00E46220" w:rsidRPr="005A1900" w:rsidRDefault="00E46220" w:rsidP="00E46220">
      <w:pPr>
        <w:ind w:left="851"/>
        <w:rPr>
          <w:sz w:val="22"/>
          <w:szCs w:val="22"/>
        </w:rPr>
      </w:pPr>
    </w:p>
    <w:p w14:paraId="5A27EB0B" w14:textId="77777777" w:rsidR="00E46220" w:rsidRDefault="00E46220" w:rsidP="00E46220">
      <w:pPr>
        <w:ind w:left="851"/>
        <w:rPr>
          <w:sz w:val="22"/>
          <w:szCs w:val="22"/>
        </w:rPr>
      </w:pPr>
      <w:r>
        <w:rPr>
          <w:sz w:val="22"/>
          <w:szCs w:val="22"/>
        </w:rPr>
        <w:t xml:space="preserve">Tenderers are to describe the contract and performance management procedures that would be implemented, the tools and processes including Key Performance Indicators that would be used to both monitor, measure and report on performance. </w:t>
      </w:r>
    </w:p>
    <w:p w14:paraId="4870EE46" w14:textId="77777777" w:rsidR="00E46220" w:rsidRDefault="00E46220" w:rsidP="00E46220">
      <w:pPr>
        <w:ind w:left="851"/>
        <w:rPr>
          <w:sz w:val="22"/>
          <w:szCs w:val="22"/>
        </w:rPr>
      </w:pPr>
    </w:p>
    <w:p w14:paraId="1F2B46D8" w14:textId="3ABD2EAC" w:rsidR="00E46220" w:rsidRDefault="00E46220" w:rsidP="00E46220">
      <w:pPr>
        <w:ind w:left="851"/>
        <w:rPr>
          <w:sz w:val="22"/>
          <w:szCs w:val="22"/>
        </w:rPr>
      </w:pPr>
      <w:r>
        <w:rPr>
          <w:sz w:val="22"/>
          <w:szCs w:val="22"/>
        </w:rPr>
        <w:t>Responses will be evaluated using Table 1</w:t>
      </w:r>
    </w:p>
    <w:p w14:paraId="06B44BFD" w14:textId="77777777" w:rsidR="00E46220" w:rsidRPr="00E46220" w:rsidRDefault="00E46220" w:rsidP="00E46220">
      <w:pPr>
        <w:ind w:left="851"/>
        <w:rPr>
          <w:sz w:val="22"/>
          <w:szCs w:val="22"/>
        </w:rPr>
      </w:pPr>
    </w:p>
    <w:p w14:paraId="408746D8" w14:textId="5176148A" w:rsidR="00240F2C" w:rsidRPr="0004293F" w:rsidRDefault="00E46220" w:rsidP="00FC2823">
      <w:pPr>
        <w:pStyle w:val="Level2"/>
        <w:rPr>
          <w:b/>
          <w:sz w:val="22"/>
          <w:szCs w:val="22"/>
        </w:rPr>
      </w:pPr>
      <w:r>
        <w:rPr>
          <w:b/>
          <w:sz w:val="22"/>
          <w:szCs w:val="22"/>
        </w:rPr>
        <w:t>Transition and Mobilisation</w:t>
      </w:r>
      <w:r w:rsidR="007C76D1">
        <w:rPr>
          <w:b/>
          <w:sz w:val="22"/>
          <w:szCs w:val="22"/>
        </w:rPr>
        <w:t>: Part 4</w:t>
      </w:r>
      <w:r w:rsidR="00AD007A">
        <w:rPr>
          <w:b/>
          <w:sz w:val="22"/>
          <w:szCs w:val="22"/>
        </w:rPr>
        <w:t xml:space="preserve"> Section 9</w:t>
      </w:r>
      <w:r>
        <w:rPr>
          <w:b/>
          <w:sz w:val="22"/>
          <w:szCs w:val="22"/>
        </w:rPr>
        <w:t xml:space="preserve"> Question 9.5</w:t>
      </w:r>
    </w:p>
    <w:p w14:paraId="2CD427D6" w14:textId="262D30E7" w:rsidR="00840BE3" w:rsidRDefault="00882058" w:rsidP="00840BE3">
      <w:pPr>
        <w:pStyle w:val="Body1"/>
        <w:rPr>
          <w:rFonts w:eastAsia="SimSun"/>
          <w:sz w:val="22"/>
          <w:szCs w:val="22"/>
        </w:rPr>
      </w:pPr>
      <w:r w:rsidRPr="005A1900">
        <w:rPr>
          <w:sz w:val="22"/>
          <w:szCs w:val="22"/>
        </w:rPr>
        <w:t xml:space="preserve">The ILC needs to be satisfied that </w:t>
      </w:r>
      <w:r w:rsidR="00840BE3">
        <w:rPr>
          <w:sz w:val="22"/>
          <w:szCs w:val="22"/>
        </w:rPr>
        <w:t xml:space="preserve">the successful Service Providers are able to </w:t>
      </w:r>
      <w:r w:rsidR="00840BE3">
        <w:rPr>
          <w:rFonts w:eastAsia="SimSun"/>
          <w:sz w:val="22"/>
          <w:szCs w:val="22"/>
        </w:rPr>
        <w:t xml:space="preserve">mobilise and </w:t>
      </w:r>
      <w:r w:rsidR="00840BE3" w:rsidRPr="00D57D19">
        <w:rPr>
          <w:rFonts w:eastAsia="SimSun"/>
          <w:sz w:val="22"/>
          <w:szCs w:val="22"/>
        </w:rPr>
        <w:t>implement the contract effectively and efficiently across all Participating Bodies by the contract start d</w:t>
      </w:r>
      <w:r w:rsidR="00840BE3">
        <w:rPr>
          <w:rFonts w:eastAsia="SimSun"/>
          <w:sz w:val="22"/>
          <w:szCs w:val="22"/>
        </w:rPr>
        <w:t>ate (1</w:t>
      </w:r>
      <w:r w:rsidR="00840BE3" w:rsidRPr="007D1C48">
        <w:rPr>
          <w:rFonts w:eastAsia="SimSun"/>
          <w:sz w:val="22"/>
          <w:szCs w:val="22"/>
          <w:vertAlign w:val="superscript"/>
        </w:rPr>
        <w:t>st</w:t>
      </w:r>
      <w:r w:rsidR="00840BE3">
        <w:rPr>
          <w:rFonts w:eastAsia="SimSun"/>
          <w:sz w:val="22"/>
          <w:szCs w:val="22"/>
        </w:rPr>
        <w:t xml:space="preserve"> </w:t>
      </w:r>
      <w:r w:rsidR="00FF0184">
        <w:rPr>
          <w:rFonts w:eastAsia="SimSun"/>
          <w:sz w:val="22"/>
          <w:szCs w:val="22"/>
        </w:rPr>
        <w:t>July</w:t>
      </w:r>
      <w:r w:rsidR="00840BE3">
        <w:rPr>
          <w:rFonts w:eastAsia="SimSun"/>
          <w:sz w:val="22"/>
          <w:szCs w:val="22"/>
        </w:rPr>
        <w:t xml:space="preserve"> 2018).</w:t>
      </w:r>
    </w:p>
    <w:p w14:paraId="506138F7" w14:textId="22AF4E9F" w:rsidR="00882058" w:rsidRDefault="00882058" w:rsidP="00097707">
      <w:pPr>
        <w:ind w:left="851"/>
        <w:rPr>
          <w:sz w:val="22"/>
          <w:szCs w:val="22"/>
        </w:rPr>
      </w:pPr>
      <w:r>
        <w:rPr>
          <w:sz w:val="22"/>
          <w:szCs w:val="22"/>
        </w:rPr>
        <w:lastRenderedPageBreak/>
        <w:t xml:space="preserve">Tenderers are to </w:t>
      </w:r>
      <w:r w:rsidR="00840BE3">
        <w:rPr>
          <w:rFonts w:eastAsia="SimSun"/>
          <w:sz w:val="22"/>
          <w:szCs w:val="22"/>
        </w:rPr>
        <w:t xml:space="preserve">clearly demonstrate how they intend to mobilise and implement the contract effectively and efficiently </w:t>
      </w:r>
      <w:r w:rsidR="006B6D32">
        <w:rPr>
          <w:rFonts w:eastAsia="SimSun"/>
          <w:sz w:val="22"/>
          <w:szCs w:val="22"/>
        </w:rPr>
        <w:t xml:space="preserve">across the ILC. </w:t>
      </w:r>
      <w:r w:rsidR="00840BE3">
        <w:rPr>
          <w:rFonts w:eastAsia="SimSun"/>
          <w:sz w:val="22"/>
          <w:szCs w:val="22"/>
        </w:rPr>
        <w:t xml:space="preserve">Your response should include </w:t>
      </w:r>
      <w:r w:rsidR="006B6D32">
        <w:rPr>
          <w:rFonts w:eastAsia="SimSun"/>
          <w:sz w:val="22"/>
          <w:szCs w:val="22"/>
        </w:rPr>
        <w:t>a project plan with roles, responsibilities and indicative timescales.</w:t>
      </w:r>
    </w:p>
    <w:p w14:paraId="3CD32FCD" w14:textId="77777777" w:rsidR="00882058" w:rsidRDefault="00882058" w:rsidP="00882058">
      <w:pPr>
        <w:ind w:left="851"/>
        <w:rPr>
          <w:sz w:val="22"/>
          <w:szCs w:val="22"/>
        </w:rPr>
      </w:pPr>
    </w:p>
    <w:p w14:paraId="0CDD9DAC" w14:textId="77777777" w:rsidR="00882058" w:rsidRDefault="00882058" w:rsidP="00882058">
      <w:pPr>
        <w:ind w:left="851"/>
        <w:rPr>
          <w:sz w:val="22"/>
          <w:szCs w:val="22"/>
        </w:rPr>
      </w:pPr>
      <w:r>
        <w:rPr>
          <w:sz w:val="22"/>
          <w:szCs w:val="22"/>
        </w:rPr>
        <w:t>Responses will be evaluated using Table 1</w:t>
      </w:r>
    </w:p>
    <w:p w14:paraId="4503B3AF" w14:textId="77777777" w:rsidR="00F41EC1" w:rsidRDefault="00F41EC1" w:rsidP="00E46220">
      <w:pPr>
        <w:rPr>
          <w:sz w:val="22"/>
          <w:szCs w:val="22"/>
        </w:rPr>
      </w:pPr>
    </w:p>
    <w:p w14:paraId="427D5573" w14:textId="6FC4C9E6" w:rsidR="00F25160" w:rsidRPr="00923945" w:rsidRDefault="006B6D32" w:rsidP="00FC2823">
      <w:pPr>
        <w:pStyle w:val="Level2"/>
        <w:rPr>
          <w:b/>
          <w:sz w:val="22"/>
          <w:szCs w:val="22"/>
        </w:rPr>
      </w:pPr>
      <w:r>
        <w:rPr>
          <w:b/>
          <w:sz w:val="22"/>
          <w:szCs w:val="22"/>
        </w:rPr>
        <w:t>Social</w:t>
      </w:r>
      <w:r w:rsidR="00F25160">
        <w:rPr>
          <w:b/>
          <w:sz w:val="22"/>
          <w:szCs w:val="22"/>
        </w:rPr>
        <w:t xml:space="preserve"> Value :</w:t>
      </w:r>
      <w:r w:rsidR="00F25160" w:rsidRPr="00923945">
        <w:rPr>
          <w:b/>
          <w:sz w:val="22"/>
          <w:szCs w:val="22"/>
        </w:rPr>
        <w:t xml:space="preserve"> </w:t>
      </w:r>
      <w:r w:rsidR="007C76D1">
        <w:rPr>
          <w:b/>
          <w:sz w:val="22"/>
          <w:szCs w:val="22"/>
        </w:rPr>
        <w:t>Part 4</w:t>
      </w:r>
      <w:r w:rsidR="00AD007A">
        <w:rPr>
          <w:b/>
          <w:sz w:val="22"/>
          <w:szCs w:val="22"/>
        </w:rPr>
        <w:t xml:space="preserve"> Section 9</w:t>
      </w:r>
      <w:r w:rsidR="00F25160">
        <w:rPr>
          <w:b/>
          <w:sz w:val="22"/>
          <w:szCs w:val="22"/>
        </w:rPr>
        <w:t xml:space="preserve"> </w:t>
      </w:r>
      <w:r w:rsidR="00F25160" w:rsidRPr="00923945">
        <w:rPr>
          <w:b/>
          <w:sz w:val="22"/>
          <w:szCs w:val="22"/>
        </w:rPr>
        <w:t xml:space="preserve">Question </w:t>
      </w:r>
      <w:r w:rsidR="00105206">
        <w:rPr>
          <w:b/>
          <w:sz w:val="22"/>
          <w:szCs w:val="22"/>
        </w:rPr>
        <w:t>9.6</w:t>
      </w:r>
    </w:p>
    <w:p w14:paraId="5D43ED19" w14:textId="31C04EE6" w:rsidR="00F25160" w:rsidRDefault="00F25160" w:rsidP="00F25160">
      <w:pPr>
        <w:ind w:left="851"/>
        <w:rPr>
          <w:sz w:val="22"/>
          <w:szCs w:val="22"/>
        </w:rPr>
      </w:pPr>
      <w:r>
        <w:rPr>
          <w:sz w:val="22"/>
          <w:szCs w:val="22"/>
        </w:rPr>
        <w:t>Tender</w:t>
      </w:r>
      <w:r w:rsidR="00CD39C4">
        <w:rPr>
          <w:sz w:val="22"/>
          <w:szCs w:val="22"/>
        </w:rPr>
        <w:t>er</w:t>
      </w:r>
      <w:r>
        <w:rPr>
          <w:sz w:val="22"/>
          <w:szCs w:val="22"/>
        </w:rPr>
        <w:t>s are to detail</w:t>
      </w:r>
      <w:r w:rsidRPr="00F25160">
        <w:rPr>
          <w:sz w:val="22"/>
          <w:szCs w:val="22"/>
        </w:rPr>
        <w:t xml:space="preserve"> </w:t>
      </w:r>
      <w:r w:rsidR="006B6D32">
        <w:rPr>
          <w:sz w:val="22"/>
          <w:szCs w:val="22"/>
        </w:rPr>
        <w:t>how they intend to deliver social value that benefits the individual member’s local businesses/residents. A number of areas that have been identified are listed in the Tender Response Document but these are not exhaustive.</w:t>
      </w:r>
    </w:p>
    <w:p w14:paraId="11EBCD7F" w14:textId="77777777" w:rsidR="00F25160" w:rsidRPr="00923945" w:rsidRDefault="00F25160" w:rsidP="00F25160">
      <w:pPr>
        <w:rPr>
          <w:sz w:val="22"/>
          <w:szCs w:val="22"/>
        </w:rPr>
      </w:pPr>
    </w:p>
    <w:p w14:paraId="0F94A0D0" w14:textId="647F05F7" w:rsidR="00261B0E" w:rsidRDefault="00F25160" w:rsidP="00261B0E">
      <w:pPr>
        <w:pStyle w:val="Body1"/>
        <w:rPr>
          <w:sz w:val="22"/>
          <w:szCs w:val="22"/>
        </w:rPr>
      </w:pPr>
      <w:r w:rsidRPr="00923945">
        <w:rPr>
          <w:sz w:val="22"/>
          <w:szCs w:val="22"/>
        </w:rPr>
        <w:t xml:space="preserve">Responses will be evaluated </w:t>
      </w:r>
      <w:r w:rsidR="00261B0E">
        <w:rPr>
          <w:sz w:val="22"/>
          <w:szCs w:val="22"/>
        </w:rPr>
        <w:t>using Table 1.</w:t>
      </w:r>
    </w:p>
    <w:p w14:paraId="67211BDE" w14:textId="791CED4F" w:rsidR="006B6D32" w:rsidRPr="00E43D2F" w:rsidRDefault="00E43D2F" w:rsidP="00FC2823">
      <w:pPr>
        <w:pStyle w:val="Level2"/>
        <w:rPr>
          <w:b/>
          <w:sz w:val="22"/>
          <w:szCs w:val="22"/>
        </w:rPr>
      </w:pPr>
      <w:r>
        <w:rPr>
          <w:b/>
          <w:sz w:val="22"/>
          <w:szCs w:val="22"/>
        </w:rPr>
        <w:t xml:space="preserve">Award Criteria -  </w:t>
      </w:r>
      <w:r w:rsidR="006B6D32" w:rsidRPr="00E43D2F">
        <w:rPr>
          <w:b/>
          <w:sz w:val="22"/>
          <w:szCs w:val="22"/>
        </w:rPr>
        <w:t>Value</w:t>
      </w:r>
      <w:r w:rsidR="004E5371">
        <w:rPr>
          <w:b/>
          <w:sz w:val="22"/>
          <w:szCs w:val="22"/>
        </w:rPr>
        <w:t xml:space="preserve"> for Money</w:t>
      </w:r>
      <w:r w:rsidR="006B6D32" w:rsidRPr="00E43D2F">
        <w:rPr>
          <w:b/>
          <w:sz w:val="22"/>
          <w:szCs w:val="22"/>
        </w:rPr>
        <w:t xml:space="preserve"> : Part 4</w:t>
      </w:r>
      <w:r w:rsidR="00B751A3">
        <w:rPr>
          <w:b/>
          <w:sz w:val="22"/>
          <w:szCs w:val="22"/>
        </w:rPr>
        <w:t xml:space="preserve"> Section 10</w:t>
      </w:r>
      <w:r w:rsidR="006B6D32" w:rsidRPr="00E43D2F">
        <w:rPr>
          <w:b/>
          <w:sz w:val="22"/>
          <w:szCs w:val="22"/>
        </w:rPr>
        <w:t xml:space="preserve"> Question </w:t>
      </w:r>
      <w:r w:rsidR="00B751A3">
        <w:rPr>
          <w:b/>
          <w:sz w:val="22"/>
          <w:szCs w:val="22"/>
        </w:rPr>
        <w:t>10.1</w:t>
      </w:r>
    </w:p>
    <w:p w14:paraId="4A5BA0EC" w14:textId="179C13CB" w:rsidR="006B6D32" w:rsidRPr="00F25160" w:rsidRDefault="006B6D32" w:rsidP="008A469A">
      <w:pPr>
        <w:ind w:left="851"/>
        <w:rPr>
          <w:rFonts w:eastAsia="Calibri"/>
          <w:snapToGrid w:val="0"/>
          <w:color w:val="000000"/>
          <w:sz w:val="22"/>
          <w:szCs w:val="22"/>
        </w:rPr>
      </w:pPr>
      <w:r>
        <w:rPr>
          <w:sz w:val="22"/>
          <w:szCs w:val="22"/>
        </w:rPr>
        <w:t>Tenderers are to detail</w:t>
      </w:r>
      <w:r w:rsidRPr="00F25160">
        <w:rPr>
          <w:sz w:val="22"/>
          <w:szCs w:val="22"/>
        </w:rPr>
        <w:t xml:space="preserve"> </w:t>
      </w:r>
      <w:r w:rsidR="008A469A">
        <w:rPr>
          <w:sz w:val="22"/>
          <w:szCs w:val="22"/>
        </w:rPr>
        <w:t xml:space="preserve">the value </w:t>
      </w:r>
      <w:r w:rsidRPr="00F25160">
        <w:rPr>
          <w:sz w:val="22"/>
          <w:szCs w:val="22"/>
        </w:rPr>
        <w:t xml:space="preserve">added </w:t>
      </w:r>
      <w:r w:rsidR="008A469A">
        <w:rPr>
          <w:sz w:val="22"/>
          <w:szCs w:val="22"/>
        </w:rPr>
        <w:t xml:space="preserve">services being offered at no extra cost to ILC members as part of this contract.  </w:t>
      </w:r>
    </w:p>
    <w:p w14:paraId="38395D7E" w14:textId="77777777" w:rsidR="006B6D32" w:rsidRPr="00923945" w:rsidRDefault="006B6D32" w:rsidP="006B6D32">
      <w:pPr>
        <w:rPr>
          <w:sz w:val="22"/>
          <w:szCs w:val="22"/>
        </w:rPr>
      </w:pPr>
    </w:p>
    <w:p w14:paraId="0BC489DC" w14:textId="77777777" w:rsidR="006B6D32" w:rsidRDefault="006B6D32" w:rsidP="006B6D32">
      <w:pPr>
        <w:pStyle w:val="Body1"/>
        <w:rPr>
          <w:sz w:val="22"/>
          <w:szCs w:val="22"/>
        </w:rPr>
      </w:pPr>
      <w:r w:rsidRPr="00923945">
        <w:rPr>
          <w:sz w:val="22"/>
          <w:szCs w:val="22"/>
        </w:rPr>
        <w:t xml:space="preserve">Responses will be evaluated </w:t>
      </w:r>
      <w:r>
        <w:rPr>
          <w:sz w:val="22"/>
          <w:szCs w:val="22"/>
        </w:rPr>
        <w:t>using Table 1.</w:t>
      </w:r>
    </w:p>
    <w:p w14:paraId="379C9B17" w14:textId="357A63F5" w:rsidR="00B63A9C" w:rsidRPr="00455919" w:rsidRDefault="008A469A" w:rsidP="00FC2823">
      <w:pPr>
        <w:pStyle w:val="Level2"/>
        <w:rPr>
          <w:b/>
          <w:sz w:val="22"/>
          <w:szCs w:val="22"/>
        </w:rPr>
      </w:pPr>
      <w:r>
        <w:rPr>
          <w:b/>
          <w:sz w:val="22"/>
          <w:szCs w:val="22"/>
        </w:rPr>
        <w:t>Price 2</w:t>
      </w:r>
      <w:r w:rsidR="00455919">
        <w:rPr>
          <w:b/>
          <w:sz w:val="22"/>
          <w:szCs w:val="22"/>
        </w:rPr>
        <w:t>0</w:t>
      </w:r>
      <w:r w:rsidR="00455919" w:rsidRPr="005E0CAA">
        <w:rPr>
          <w:b/>
          <w:sz w:val="22"/>
          <w:szCs w:val="22"/>
        </w:rPr>
        <w:t>%</w:t>
      </w:r>
      <w:r w:rsidR="00455919">
        <w:rPr>
          <w:b/>
          <w:sz w:val="22"/>
          <w:szCs w:val="22"/>
        </w:rPr>
        <w:t xml:space="preserve"> of total score </w:t>
      </w:r>
    </w:p>
    <w:p w14:paraId="0DF6902F" w14:textId="554038A0" w:rsidR="00B63A9C" w:rsidRDefault="00B63A9C" w:rsidP="00261C3F">
      <w:pPr>
        <w:ind w:left="851"/>
        <w:rPr>
          <w:sz w:val="22"/>
          <w:szCs w:val="22"/>
        </w:rPr>
      </w:pPr>
      <w:r w:rsidRPr="00261C3F">
        <w:rPr>
          <w:sz w:val="22"/>
          <w:szCs w:val="22"/>
        </w:rPr>
        <w:t xml:space="preserve">Following evaluation of the Tenderers' Quality </w:t>
      </w:r>
      <w:r w:rsidR="00455919" w:rsidRPr="00261C3F">
        <w:rPr>
          <w:sz w:val="22"/>
          <w:szCs w:val="22"/>
        </w:rPr>
        <w:t xml:space="preserve">Responses </w:t>
      </w:r>
      <w:r w:rsidRPr="00261C3F">
        <w:rPr>
          <w:sz w:val="22"/>
          <w:szCs w:val="22"/>
        </w:rPr>
        <w:t>th</w:t>
      </w:r>
      <w:r w:rsidR="00FD72E8" w:rsidRPr="00261C3F">
        <w:rPr>
          <w:sz w:val="22"/>
          <w:szCs w:val="22"/>
        </w:rPr>
        <w:t xml:space="preserve">e Price Proposals of Tenderers </w:t>
      </w:r>
      <w:r w:rsidRPr="00261C3F">
        <w:rPr>
          <w:sz w:val="22"/>
          <w:szCs w:val="22"/>
        </w:rPr>
        <w:t>shall be evaluated.</w:t>
      </w:r>
    </w:p>
    <w:p w14:paraId="4BA106B6" w14:textId="77777777" w:rsidR="00261C3F" w:rsidRPr="00261C3F" w:rsidRDefault="00261C3F" w:rsidP="00261C3F">
      <w:pPr>
        <w:ind w:left="851"/>
        <w:rPr>
          <w:sz w:val="22"/>
          <w:szCs w:val="22"/>
        </w:rPr>
      </w:pPr>
    </w:p>
    <w:p w14:paraId="4EE78334" w14:textId="037A668C" w:rsidR="00B63A9C" w:rsidRDefault="00B63A9C" w:rsidP="00FD72E8">
      <w:pPr>
        <w:pStyle w:val="Body1"/>
        <w:rPr>
          <w:sz w:val="22"/>
          <w:szCs w:val="22"/>
        </w:rPr>
      </w:pPr>
      <w:r w:rsidRPr="00923945">
        <w:rPr>
          <w:sz w:val="22"/>
          <w:szCs w:val="22"/>
        </w:rPr>
        <w:t>All Tenderers are re</w:t>
      </w:r>
      <w:r w:rsidR="001C61CE">
        <w:rPr>
          <w:sz w:val="22"/>
          <w:szCs w:val="22"/>
        </w:rPr>
        <w:t>quired to complete the Pricing Schedule</w:t>
      </w:r>
      <w:r w:rsidRPr="00923945">
        <w:rPr>
          <w:sz w:val="22"/>
          <w:szCs w:val="22"/>
        </w:rPr>
        <w:t xml:space="preserve"> contained in </w:t>
      </w:r>
      <w:r w:rsidR="00261C3F">
        <w:rPr>
          <w:sz w:val="22"/>
          <w:szCs w:val="22"/>
        </w:rPr>
        <w:t>1.3 Award Criteria – Price</w:t>
      </w:r>
    </w:p>
    <w:p w14:paraId="22A145C6" w14:textId="1F92CF87" w:rsidR="00B63A9C" w:rsidRDefault="00B63A9C" w:rsidP="00B63A9C">
      <w:pPr>
        <w:pStyle w:val="Body1"/>
        <w:rPr>
          <w:sz w:val="22"/>
          <w:szCs w:val="22"/>
        </w:rPr>
      </w:pPr>
      <w:r w:rsidRPr="00923945">
        <w:rPr>
          <w:sz w:val="22"/>
          <w:szCs w:val="22"/>
        </w:rPr>
        <w:t xml:space="preserve">The score for price will be based </w:t>
      </w:r>
      <w:r w:rsidR="00FD72E8">
        <w:rPr>
          <w:sz w:val="22"/>
          <w:szCs w:val="22"/>
        </w:rPr>
        <w:t xml:space="preserve">solely </w:t>
      </w:r>
      <w:r w:rsidRPr="00923945">
        <w:rPr>
          <w:sz w:val="22"/>
          <w:szCs w:val="22"/>
        </w:rPr>
        <w:t xml:space="preserve">on information provided in the Pricing </w:t>
      </w:r>
      <w:r w:rsidR="001C61CE">
        <w:rPr>
          <w:sz w:val="22"/>
          <w:szCs w:val="22"/>
        </w:rPr>
        <w:t>Schedule</w:t>
      </w:r>
      <w:r w:rsidRPr="00923945">
        <w:rPr>
          <w:sz w:val="22"/>
          <w:szCs w:val="22"/>
        </w:rPr>
        <w:t>.</w:t>
      </w:r>
    </w:p>
    <w:p w14:paraId="1FFE7547" w14:textId="146D35DC" w:rsidR="00B63A9C" w:rsidRPr="00923945" w:rsidRDefault="00B63A9C" w:rsidP="00B63A9C">
      <w:pPr>
        <w:pStyle w:val="Body1"/>
        <w:rPr>
          <w:sz w:val="22"/>
          <w:szCs w:val="22"/>
        </w:rPr>
      </w:pPr>
      <w:r w:rsidRPr="00923945">
        <w:rPr>
          <w:sz w:val="22"/>
          <w:szCs w:val="22"/>
        </w:rPr>
        <w:t>Any pr</w:t>
      </w:r>
      <w:r w:rsidR="00837D80">
        <w:rPr>
          <w:sz w:val="22"/>
          <w:szCs w:val="22"/>
        </w:rPr>
        <w:t>ice which appears to the ILC</w:t>
      </w:r>
      <w:r w:rsidRPr="00923945">
        <w:rPr>
          <w:sz w:val="22"/>
          <w:szCs w:val="22"/>
        </w:rPr>
        <w:t xml:space="preserve"> to be abnormally low or high will, in accordance with Regulation 69 of the PCR 2015, be clarified with the relevant Tenderer and an explanation sought to explain the price submitted by the Tenderer. This includes ensuring that this is not as a result of a failure to understand the </w:t>
      </w:r>
      <w:r w:rsidR="00FD72E8">
        <w:rPr>
          <w:sz w:val="22"/>
          <w:szCs w:val="22"/>
        </w:rPr>
        <w:t xml:space="preserve">Service </w:t>
      </w:r>
      <w:r w:rsidRPr="00923945">
        <w:rPr>
          <w:sz w:val="22"/>
          <w:szCs w:val="22"/>
        </w:rPr>
        <w:t xml:space="preserve">requirements or the Invitation to Tender documentation. The </w:t>
      </w:r>
      <w:r w:rsidR="00837D80">
        <w:rPr>
          <w:sz w:val="22"/>
          <w:szCs w:val="22"/>
        </w:rPr>
        <w:t>ILC</w:t>
      </w:r>
      <w:r w:rsidRPr="00923945">
        <w:rPr>
          <w:sz w:val="22"/>
          <w:szCs w:val="22"/>
        </w:rPr>
        <w:t xml:space="preserve"> will assess any information provided by the relevant Tenderer to explain its price and may reject the Tenderer’s Tender Response after following this process where the evidence supplied by the Tenderer does not satisfactorily account for the abnormally low or high price. </w:t>
      </w:r>
    </w:p>
    <w:p w14:paraId="7FE5EF0B" w14:textId="77777777" w:rsidR="00B63A9C" w:rsidRPr="00923945" w:rsidRDefault="00B63A9C" w:rsidP="00B63A9C">
      <w:pPr>
        <w:pStyle w:val="Body1"/>
        <w:rPr>
          <w:sz w:val="22"/>
          <w:szCs w:val="22"/>
        </w:rPr>
      </w:pPr>
      <w:r w:rsidRPr="00923945">
        <w:rPr>
          <w:sz w:val="22"/>
          <w:szCs w:val="22"/>
        </w:rPr>
        <w:t xml:space="preserve">Tender prices must, in all cases, be inclusive of all of the following: </w:t>
      </w:r>
    </w:p>
    <w:p w14:paraId="4E245A54" w14:textId="46410747" w:rsidR="00B63A9C" w:rsidRPr="00923945" w:rsidRDefault="00B63A9C" w:rsidP="00BC4C64">
      <w:pPr>
        <w:pStyle w:val="Level4"/>
        <w:numPr>
          <w:ilvl w:val="0"/>
          <w:numId w:val="14"/>
        </w:numPr>
        <w:ind w:left="1208" w:hanging="357"/>
        <w:contextualSpacing/>
        <w:rPr>
          <w:sz w:val="22"/>
          <w:szCs w:val="22"/>
        </w:rPr>
      </w:pPr>
      <w:r w:rsidRPr="00923945">
        <w:rPr>
          <w:sz w:val="22"/>
          <w:szCs w:val="22"/>
        </w:rPr>
        <w:t>any costs which are the effect of the obligation on the successful Service Provider in relation to the Living Wage</w:t>
      </w:r>
    </w:p>
    <w:p w14:paraId="63AA35FC" w14:textId="46ABC212" w:rsidR="00B63A9C" w:rsidRPr="00923945" w:rsidRDefault="00B63A9C" w:rsidP="00BC4C64">
      <w:pPr>
        <w:pStyle w:val="Level4"/>
        <w:numPr>
          <w:ilvl w:val="0"/>
          <w:numId w:val="14"/>
        </w:numPr>
        <w:ind w:left="1208" w:hanging="357"/>
        <w:contextualSpacing/>
        <w:rPr>
          <w:sz w:val="22"/>
          <w:szCs w:val="22"/>
        </w:rPr>
      </w:pPr>
      <w:r w:rsidRPr="00923945">
        <w:rPr>
          <w:sz w:val="22"/>
          <w:szCs w:val="22"/>
        </w:rPr>
        <w:t>any overheads, ad ho</w:t>
      </w:r>
      <w:r w:rsidR="00227030">
        <w:rPr>
          <w:sz w:val="22"/>
          <w:szCs w:val="22"/>
        </w:rPr>
        <w:t>c administrative costs</w:t>
      </w:r>
    </w:p>
    <w:p w14:paraId="13E5ECDA" w14:textId="4DE60E84" w:rsidR="00B63A9C" w:rsidRPr="00923945" w:rsidRDefault="00B63A9C" w:rsidP="00BC4C64">
      <w:pPr>
        <w:pStyle w:val="Level4"/>
        <w:numPr>
          <w:ilvl w:val="0"/>
          <w:numId w:val="14"/>
        </w:numPr>
        <w:ind w:left="1208" w:hanging="357"/>
        <w:contextualSpacing/>
        <w:rPr>
          <w:sz w:val="22"/>
          <w:szCs w:val="22"/>
        </w:rPr>
      </w:pPr>
      <w:r w:rsidRPr="00923945">
        <w:rPr>
          <w:sz w:val="22"/>
          <w:szCs w:val="22"/>
        </w:rPr>
        <w:t xml:space="preserve">All matters stated in the Specification </w:t>
      </w:r>
    </w:p>
    <w:p w14:paraId="76BC14AC" w14:textId="2B61745C" w:rsidR="00B63A9C" w:rsidRDefault="00B63A9C" w:rsidP="00BC4C64">
      <w:pPr>
        <w:pStyle w:val="Level4"/>
        <w:numPr>
          <w:ilvl w:val="0"/>
          <w:numId w:val="14"/>
        </w:numPr>
        <w:ind w:left="1208" w:hanging="357"/>
        <w:contextualSpacing/>
        <w:rPr>
          <w:sz w:val="22"/>
          <w:szCs w:val="22"/>
        </w:rPr>
      </w:pPr>
      <w:r w:rsidRPr="00923945">
        <w:rPr>
          <w:sz w:val="22"/>
          <w:szCs w:val="22"/>
        </w:rPr>
        <w:t>Tender prices must be shown exclusive of VAT</w:t>
      </w:r>
    </w:p>
    <w:p w14:paraId="16942965" w14:textId="77777777" w:rsidR="009E3E49" w:rsidRDefault="009E3E49" w:rsidP="009E3E49">
      <w:pPr>
        <w:pStyle w:val="Level4"/>
        <w:numPr>
          <w:ilvl w:val="0"/>
          <w:numId w:val="0"/>
        </w:numPr>
        <w:ind w:left="1208"/>
        <w:contextualSpacing/>
        <w:rPr>
          <w:sz w:val="22"/>
          <w:szCs w:val="22"/>
        </w:rPr>
      </w:pPr>
    </w:p>
    <w:p w14:paraId="4D04C535" w14:textId="5E4447F7" w:rsidR="009E3E49" w:rsidRDefault="009E3E49" w:rsidP="00FC2823">
      <w:pPr>
        <w:pStyle w:val="Level2"/>
        <w:rPr>
          <w:b/>
          <w:sz w:val="22"/>
          <w:szCs w:val="22"/>
        </w:rPr>
      </w:pPr>
      <w:r>
        <w:rPr>
          <w:b/>
          <w:sz w:val="22"/>
          <w:szCs w:val="22"/>
        </w:rPr>
        <w:t>Evaluation of Price 20</w:t>
      </w:r>
      <w:r w:rsidRPr="005E0CAA">
        <w:rPr>
          <w:b/>
          <w:sz w:val="22"/>
          <w:szCs w:val="22"/>
        </w:rPr>
        <w:t>%</w:t>
      </w:r>
      <w:r>
        <w:rPr>
          <w:b/>
          <w:sz w:val="22"/>
          <w:szCs w:val="22"/>
        </w:rPr>
        <w:t xml:space="preserve"> of total score </w:t>
      </w:r>
    </w:p>
    <w:p w14:paraId="155D6F54" w14:textId="3C84B7AB" w:rsidR="0076722A" w:rsidRPr="009E3E49" w:rsidRDefault="0076722A" w:rsidP="0076722A">
      <w:pPr>
        <w:pStyle w:val="Level2"/>
        <w:numPr>
          <w:ilvl w:val="0"/>
          <w:numId w:val="0"/>
        </w:numPr>
        <w:ind w:left="851"/>
        <w:rPr>
          <w:b/>
          <w:sz w:val="22"/>
          <w:szCs w:val="22"/>
        </w:rPr>
      </w:pPr>
      <w:r>
        <w:rPr>
          <w:b/>
          <w:sz w:val="22"/>
          <w:szCs w:val="22"/>
        </w:rPr>
        <w:lastRenderedPageBreak/>
        <w:t>For evaluation purposes only the following process will be followed:</w:t>
      </w:r>
    </w:p>
    <w:p w14:paraId="393E2DFD" w14:textId="66835084" w:rsidR="009E3E49" w:rsidRPr="00EE722D" w:rsidRDefault="007478A9" w:rsidP="00BC4C64">
      <w:pPr>
        <w:pStyle w:val="Body1"/>
        <w:numPr>
          <w:ilvl w:val="0"/>
          <w:numId w:val="16"/>
        </w:numPr>
        <w:rPr>
          <w:rFonts w:eastAsia="SimSun"/>
          <w:sz w:val="22"/>
          <w:szCs w:val="22"/>
        </w:rPr>
      </w:pPr>
      <w:r w:rsidRPr="00EE722D">
        <w:rPr>
          <w:sz w:val="22"/>
          <w:szCs w:val="22"/>
        </w:rPr>
        <w:t>The</w:t>
      </w:r>
      <w:r w:rsidR="00DC265C" w:rsidRPr="00EE722D">
        <w:rPr>
          <w:sz w:val="22"/>
          <w:szCs w:val="22"/>
        </w:rPr>
        <w:t xml:space="preserve"> Tenderer’s </w:t>
      </w:r>
      <w:r w:rsidR="009E3E49" w:rsidRPr="00EE722D">
        <w:rPr>
          <w:sz w:val="22"/>
          <w:szCs w:val="22"/>
        </w:rPr>
        <w:t xml:space="preserve">Rate 1 </w:t>
      </w:r>
      <w:r w:rsidRPr="00EE722D">
        <w:rPr>
          <w:sz w:val="22"/>
          <w:szCs w:val="22"/>
        </w:rPr>
        <w:t>for the four Fee Earners will be totalled</w:t>
      </w:r>
      <w:r w:rsidRPr="00EE722D">
        <w:rPr>
          <w:rFonts w:eastAsia="SimSun"/>
          <w:sz w:val="22"/>
          <w:szCs w:val="22"/>
        </w:rPr>
        <w:t xml:space="preserve"> and divided by 4 to give an </w:t>
      </w:r>
      <w:r w:rsidR="009E3E49" w:rsidRPr="00EE722D">
        <w:rPr>
          <w:rFonts w:eastAsia="SimSun"/>
          <w:sz w:val="22"/>
          <w:szCs w:val="22"/>
        </w:rPr>
        <w:t>A</w:t>
      </w:r>
      <w:r w:rsidRPr="00EE722D">
        <w:rPr>
          <w:rFonts w:eastAsia="SimSun"/>
          <w:sz w:val="22"/>
          <w:szCs w:val="22"/>
        </w:rPr>
        <w:t xml:space="preserve">verage </w:t>
      </w:r>
      <w:r w:rsidR="009E3E49" w:rsidRPr="00EE722D">
        <w:rPr>
          <w:rFonts w:eastAsia="SimSun"/>
          <w:sz w:val="22"/>
          <w:szCs w:val="22"/>
        </w:rPr>
        <w:t xml:space="preserve">Rate 1 </w:t>
      </w:r>
      <w:r w:rsidRPr="00EE722D">
        <w:rPr>
          <w:rFonts w:eastAsia="SimSun"/>
          <w:sz w:val="22"/>
          <w:szCs w:val="22"/>
        </w:rPr>
        <w:t>price</w:t>
      </w:r>
    </w:p>
    <w:p w14:paraId="020C7E70" w14:textId="77777777" w:rsidR="009E3E49" w:rsidRPr="00EE722D" w:rsidRDefault="009E3E49" w:rsidP="00BC4C64">
      <w:pPr>
        <w:pStyle w:val="Body1"/>
        <w:numPr>
          <w:ilvl w:val="0"/>
          <w:numId w:val="16"/>
        </w:numPr>
        <w:rPr>
          <w:rFonts w:eastAsia="SimSun"/>
          <w:sz w:val="22"/>
          <w:szCs w:val="22"/>
        </w:rPr>
      </w:pPr>
      <w:r w:rsidRPr="00EE722D">
        <w:rPr>
          <w:rFonts w:eastAsia="SimSun"/>
          <w:sz w:val="22"/>
          <w:szCs w:val="22"/>
        </w:rPr>
        <w:t>The Tenderer’s Rate 2 for the four Fee Earners will be totalled and divided by 4 to give an Average Rate 2 price.</w:t>
      </w:r>
    </w:p>
    <w:p w14:paraId="1E2ADEAB" w14:textId="07F52178" w:rsidR="009E3E49" w:rsidRPr="00EE722D" w:rsidRDefault="009E3E49" w:rsidP="00BC4C64">
      <w:pPr>
        <w:pStyle w:val="Body1"/>
        <w:numPr>
          <w:ilvl w:val="0"/>
          <w:numId w:val="16"/>
        </w:numPr>
        <w:rPr>
          <w:rFonts w:eastAsia="SimSun"/>
          <w:sz w:val="22"/>
          <w:szCs w:val="22"/>
        </w:rPr>
      </w:pPr>
      <w:r w:rsidRPr="00EE722D">
        <w:rPr>
          <w:rFonts w:eastAsia="SimSun"/>
          <w:sz w:val="22"/>
          <w:szCs w:val="22"/>
        </w:rPr>
        <w:t>The two Average Rates will then be totalled and divided by 2 to give the Tendered Price</w:t>
      </w:r>
    </w:p>
    <w:p w14:paraId="28721481" w14:textId="75EC5E78" w:rsidR="00B63A9C" w:rsidRPr="00923945" w:rsidRDefault="00EE722D" w:rsidP="008503C2">
      <w:pPr>
        <w:pStyle w:val="Body1"/>
        <w:rPr>
          <w:sz w:val="22"/>
          <w:szCs w:val="22"/>
        </w:rPr>
      </w:pPr>
      <w:r>
        <w:rPr>
          <w:sz w:val="22"/>
          <w:szCs w:val="22"/>
        </w:rPr>
        <w:t>The Tenderer who</w:t>
      </w:r>
      <w:r w:rsidR="00B63A9C" w:rsidRPr="00923945">
        <w:rPr>
          <w:sz w:val="22"/>
          <w:szCs w:val="22"/>
        </w:rPr>
        <w:t xml:space="preserve"> submits the lowest compliant </w:t>
      </w:r>
      <w:r w:rsidR="00DC265C">
        <w:rPr>
          <w:sz w:val="22"/>
          <w:szCs w:val="22"/>
        </w:rPr>
        <w:t>‘</w:t>
      </w:r>
      <w:r w:rsidR="009E3E49">
        <w:rPr>
          <w:sz w:val="22"/>
          <w:szCs w:val="22"/>
        </w:rPr>
        <w:t xml:space="preserve">Tendered Price’ </w:t>
      </w:r>
      <w:r w:rsidR="00B63A9C" w:rsidRPr="00923945">
        <w:rPr>
          <w:sz w:val="22"/>
          <w:szCs w:val="22"/>
        </w:rPr>
        <w:t>will rece</w:t>
      </w:r>
      <w:r w:rsidR="009E3E49">
        <w:rPr>
          <w:sz w:val="22"/>
          <w:szCs w:val="22"/>
        </w:rPr>
        <w:t>ive the maximum price score of 2</w:t>
      </w:r>
      <w:r w:rsidR="00B63A9C" w:rsidRPr="00923945">
        <w:rPr>
          <w:sz w:val="22"/>
          <w:szCs w:val="22"/>
        </w:rPr>
        <w:t>0%. Scores for other tenderers will be calculated on the following basis:</w:t>
      </w:r>
    </w:p>
    <w:p w14:paraId="3B8962D1" w14:textId="61187F4C" w:rsidR="008503C2" w:rsidRPr="00923945" w:rsidRDefault="008503C2" w:rsidP="008503C2">
      <w:pPr>
        <w:pStyle w:val="Body1"/>
        <w:spacing w:after="0"/>
        <w:rPr>
          <w:b/>
          <w:sz w:val="22"/>
          <w:szCs w:val="22"/>
        </w:rPr>
      </w:pPr>
      <w:r w:rsidRPr="00923945">
        <w:rPr>
          <w:b/>
          <w:sz w:val="22"/>
          <w:szCs w:val="22"/>
        </w:rPr>
        <w:t xml:space="preserve">Lowest submitted </w:t>
      </w:r>
      <w:r w:rsidR="009E3E49">
        <w:rPr>
          <w:b/>
          <w:sz w:val="22"/>
          <w:szCs w:val="22"/>
        </w:rPr>
        <w:t>Tendered Price</w:t>
      </w:r>
    </w:p>
    <w:p w14:paraId="20A0D07B" w14:textId="77101E67" w:rsidR="008503C2" w:rsidRPr="00923945" w:rsidRDefault="008503C2" w:rsidP="008503C2">
      <w:pPr>
        <w:pStyle w:val="Body1"/>
        <w:rPr>
          <w:b/>
          <w:sz w:val="22"/>
          <w:szCs w:val="22"/>
        </w:rPr>
      </w:pPr>
      <w:r w:rsidRPr="00923945">
        <w:rPr>
          <w:b/>
          <w:sz w:val="22"/>
          <w:szCs w:val="22"/>
        </w:rPr>
        <w:t>____</w:t>
      </w:r>
      <w:r w:rsidR="007008F3">
        <w:rPr>
          <w:b/>
          <w:sz w:val="22"/>
          <w:szCs w:val="22"/>
        </w:rPr>
        <w:t>____________________________</w:t>
      </w:r>
      <w:r w:rsidR="007008F3">
        <w:rPr>
          <w:b/>
          <w:sz w:val="22"/>
          <w:szCs w:val="22"/>
        </w:rPr>
        <w:tab/>
      </w:r>
      <w:proofErr w:type="gramStart"/>
      <w:r w:rsidR="007008F3">
        <w:rPr>
          <w:b/>
          <w:sz w:val="22"/>
          <w:szCs w:val="22"/>
        </w:rPr>
        <w:t>x</w:t>
      </w:r>
      <w:proofErr w:type="gramEnd"/>
      <w:r w:rsidR="007008F3">
        <w:rPr>
          <w:b/>
          <w:sz w:val="22"/>
          <w:szCs w:val="22"/>
        </w:rPr>
        <w:t xml:space="preserve"> </w:t>
      </w:r>
      <w:r w:rsidR="000435CC">
        <w:rPr>
          <w:b/>
          <w:sz w:val="22"/>
          <w:szCs w:val="22"/>
        </w:rPr>
        <w:t>2</w:t>
      </w:r>
      <w:r w:rsidR="000B1FC4">
        <w:rPr>
          <w:b/>
          <w:sz w:val="22"/>
          <w:szCs w:val="22"/>
        </w:rPr>
        <w:t>0</w:t>
      </w:r>
    </w:p>
    <w:p w14:paraId="546ACF61" w14:textId="55CBE632" w:rsidR="00B63A9C" w:rsidRPr="00923945" w:rsidRDefault="008503C2" w:rsidP="008503C2">
      <w:pPr>
        <w:pStyle w:val="Body1"/>
        <w:rPr>
          <w:b/>
          <w:sz w:val="22"/>
          <w:szCs w:val="22"/>
        </w:rPr>
      </w:pPr>
      <w:r w:rsidRPr="00923945">
        <w:rPr>
          <w:b/>
          <w:sz w:val="22"/>
          <w:szCs w:val="22"/>
        </w:rPr>
        <w:t xml:space="preserve">Tenderer’s submitted </w:t>
      </w:r>
      <w:r w:rsidR="000435CC">
        <w:rPr>
          <w:b/>
          <w:sz w:val="22"/>
          <w:szCs w:val="22"/>
        </w:rPr>
        <w:t>Tendered Price</w:t>
      </w:r>
    </w:p>
    <w:p w14:paraId="20A2AE22" w14:textId="2982FF3C" w:rsidR="00B63A9C" w:rsidRPr="00923945" w:rsidRDefault="00B63A9C" w:rsidP="00B63A9C">
      <w:pPr>
        <w:pStyle w:val="Body1"/>
        <w:rPr>
          <w:sz w:val="22"/>
          <w:szCs w:val="22"/>
        </w:rPr>
      </w:pPr>
      <w:r w:rsidRPr="00923945">
        <w:rPr>
          <w:sz w:val="22"/>
          <w:szCs w:val="22"/>
        </w:rPr>
        <w:t xml:space="preserve">A worked example is set out in Table </w:t>
      </w:r>
      <w:r w:rsidR="003D1EC3">
        <w:rPr>
          <w:sz w:val="22"/>
          <w:szCs w:val="22"/>
        </w:rPr>
        <w:t>3</w:t>
      </w:r>
      <w:r w:rsidRPr="00923945">
        <w:rPr>
          <w:sz w:val="22"/>
          <w:szCs w:val="22"/>
        </w:rPr>
        <w:t xml:space="preserve"> below.</w:t>
      </w:r>
    </w:p>
    <w:p w14:paraId="2CAFF2CB" w14:textId="77777777" w:rsidR="00EE722D" w:rsidRDefault="00EE722D" w:rsidP="007144AB">
      <w:pPr>
        <w:pStyle w:val="Body1"/>
        <w:ind w:left="0"/>
        <w:rPr>
          <w:b/>
          <w:sz w:val="22"/>
          <w:szCs w:val="22"/>
          <w:u w:val="single"/>
        </w:rPr>
      </w:pPr>
    </w:p>
    <w:p w14:paraId="1BFF056D" w14:textId="67A90B50" w:rsidR="00B63A9C" w:rsidRDefault="00B63A9C" w:rsidP="00B63A9C">
      <w:pPr>
        <w:pStyle w:val="Body1"/>
        <w:rPr>
          <w:b/>
          <w:sz w:val="22"/>
          <w:szCs w:val="22"/>
          <w:u w:val="single"/>
        </w:rPr>
      </w:pPr>
      <w:r w:rsidRPr="00923945">
        <w:rPr>
          <w:b/>
          <w:sz w:val="22"/>
          <w:szCs w:val="22"/>
          <w:u w:val="single"/>
        </w:rPr>
        <w:t xml:space="preserve">Table </w:t>
      </w:r>
      <w:r w:rsidR="007F2106">
        <w:rPr>
          <w:b/>
          <w:sz w:val="22"/>
          <w:szCs w:val="22"/>
          <w:u w:val="single"/>
        </w:rPr>
        <w:t>3</w:t>
      </w:r>
    </w:p>
    <w:p w14:paraId="55ACE035" w14:textId="77777777" w:rsidR="007D27EB" w:rsidRPr="00923945" w:rsidRDefault="007D27EB" w:rsidP="00BC6005">
      <w:pPr>
        <w:pStyle w:val="Body1"/>
        <w:ind w:left="0"/>
        <w:rPr>
          <w:b/>
          <w:sz w:val="22"/>
          <w:szCs w:val="22"/>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1833"/>
        <w:gridCol w:w="2272"/>
      </w:tblGrid>
      <w:tr w:rsidR="001E7B59" w:rsidRPr="001E7B59" w14:paraId="6277F715" w14:textId="77777777" w:rsidTr="001E7B59">
        <w:trPr>
          <w:trHeight w:val="299"/>
        </w:trPr>
        <w:tc>
          <w:tcPr>
            <w:tcW w:w="1730" w:type="dxa"/>
            <w:shd w:val="clear" w:color="auto" w:fill="990099"/>
          </w:tcPr>
          <w:p w14:paraId="217FED7B" w14:textId="77777777" w:rsidR="008503C2" w:rsidRPr="001E7B59" w:rsidRDefault="008503C2" w:rsidP="008503C2">
            <w:pPr>
              <w:pStyle w:val="Heading1"/>
              <w:jc w:val="center"/>
              <w:rPr>
                <w:rFonts w:cs="Arial"/>
                <w:color w:val="FFFFFF" w:themeColor="background1"/>
                <w:szCs w:val="22"/>
              </w:rPr>
            </w:pPr>
          </w:p>
          <w:p w14:paraId="43C65B14" w14:textId="787F3D37" w:rsidR="00B63A9C" w:rsidRPr="001E7B59" w:rsidRDefault="008503C2" w:rsidP="008503C2">
            <w:pPr>
              <w:pStyle w:val="Heading1"/>
              <w:jc w:val="center"/>
              <w:rPr>
                <w:rFonts w:cs="Arial"/>
                <w:color w:val="FFFFFF" w:themeColor="background1"/>
                <w:szCs w:val="22"/>
              </w:rPr>
            </w:pPr>
            <w:r w:rsidRPr="001E7B59">
              <w:rPr>
                <w:rFonts w:cs="Arial"/>
                <w:color w:val="FFFFFF" w:themeColor="background1"/>
                <w:szCs w:val="22"/>
              </w:rPr>
              <w:t>Tenderer</w:t>
            </w:r>
            <w:r w:rsidR="00BC6005" w:rsidRPr="001E7B59">
              <w:rPr>
                <w:rFonts w:cs="Arial"/>
                <w:color w:val="FFFFFF" w:themeColor="background1"/>
                <w:szCs w:val="22"/>
              </w:rPr>
              <w:t xml:space="preserve"> A</w:t>
            </w:r>
          </w:p>
          <w:p w14:paraId="2BA0EE7A" w14:textId="77777777" w:rsidR="008503C2" w:rsidRPr="001E7B59" w:rsidRDefault="008503C2" w:rsidP="008503C2">
            <w:pPr>
              <w:rPr>
                <w:b/>
                <w:color w:val="FFFFFF" w:themeColor="background1"/>
                <w:sz w:val="22"/>
                <w:szCs w:val="22"/>
              </w:rPr>
            </w:pPr>
          </w:p>
        </w:tc>
        <w:tc>
          <w:tcPr>
            <w:tcW w:w="1701" w:type="dxa"/>
            <w:shd w:val="clear" w:color="auto" w:fill="990099"/>
          </w:tcPr>
          <w:p w14:paraId="57E97A7D" w14:textId="77777777" w:rsidR="008503C2" w:rsidRPr="001E7B59" w:rsidRDefault="008503C2" w:rsidP="008503C2">
            <w:pPr>
              <w:pStyle w:val="Heading1"/>
              <w:jc w:val="center"/>
              <w:rPr>
                <w:rFonts w:cs="Arial"/>
                <w:color w:val="FFFFFF" w:themeColor="background1"/>
                <w:szCs w:val="22"/>
              </w:rPr>
            </w:pPr>
          </w:p>
          <w:p w14:paraId="330CE1C8" w14:textId="51E372DB" w:rsidR="00B63A9C" w:rsidRPr="001E7B59" w:rsidRDefault="007B792A" w:rsidP="008503C2">
            <w:pPr>
              <w:pStyle w:val="Heading1"/>
              <w:jc w:val="center"/>
              <w:rPr>
                <w:rFonts w:cs="Arial"/>
                <w:color w:val="FFFFFF" w:themeColor="background1"/>
                <w:szCs w:val="22"/>
              </w:rPr>
            </w:pPr>
            <w:r w:rsidRPr="001E7B59">
              <w:rPr>
                <w:rFonts w:cs="Arial"/>
                <w:color w:val="FFFFFF" w:themeColor="background1"/>
                <w:szCs w:val="22"/>
              </w:rPr>
              <w:t>Hourly Rate 1</w:t>
            </w:r>
          </w:p>
        </w:tc>
        <w:tc>
          <w:tcPr>
            <w:tcW w:w="1833" w:type="dxa"/>
            <w:shd w:val="clear" w:color="auto" w:fill="990099"/>
          </w:tcPr>
          <w:p w14:paraId="103E7D5E" w14:textId="77777777" w:rsidR="008503C2" w:rsidRPr="001E7B59" w:rsidRDefault="008503C2" w:rsidP="008503C2">
            <w:pPr>
              <w:pStyle w:val="Heading1"/>
              <w:jc w:val="center"/>
              <w:rPr>
                <w:rFonts w:cs="Arial"/>
                <w:color w:val="FFFFFF" w:themeColor="background1"/>
                <w:szCs w:val="22"/>
              </w:rPr>
            </w:pPr>
          </w:p>
          <w:p w14:paraId="485C2C1B" w14:textId="48FAB446" w:rsidR="00B63A9C" w:rsidRPr="001E7B59" w:rsidRDefault="007B792A" w:rsidP="008503C2">
            <w:pPr>
              <w:pStyle w:val="Heading1"/>
              <w:jc w:val="center"/>
              <w:rPr>
                <w:rFonts w:cs="Arial"/>
                <w:color w:val="FFFFFF" w:themeColor="background1"/>
                <w:szCs w:val="22"/>
              </w:rPr>
            </w:pPr>
            <w:r w:rsidRPr="001E7B59">
              <w:rPr>
                <w:rFonts w:cs="Arial"/>
                <w:color w:val="FFFFFF" w:themeColor="background1"/>
                <w:szCs w:val="22"/>
              </w:rPr>
              <w:t>Hourly Rate 2</w:t>
            </w:r>
          </w:p>
        </w:tc>
        <w:tc>
          <w:tcPr>
            <w:tcW w:w="2272" w:type="dxa"/>
            <w:shd w:val="clear" w:color="auto" w:fill="990099"/>
          </w:tcPr>
          <w:p w14:paraId="1314E10D" w14:textId="77777777" w:rsidR="008503C2" w:rsidRPr="001E7B59" w:rsidRDefault="008503C2" w:rsidP="008503C2">
            <w:pPr>
              <w:pStyle w:val="Heading1"/>
              <w:jc w:val="center"/>
              <w:rPr>
                <w:rFonts w:cs="Arial"/>
                <w:color w:val="FFFFFF" w:themeColor="background1"/>
                <w:szCs w:val="22"/>
              </w:rPr>
            </w:pPr>
          </w:p>
          <w:p w14:paraId="230A7003" w14:textId="789E1EF2" w:rsidR="00B63A9C" w:rsidRPr="001E7B59" w:rsidRDefault="007B792A" w:rsidP="008503C2">
            <w:pPr>
              <w:pStyle w:val="Heading1"/>
              <w:jc w:val="center"/>
              <w:rPr>
                <w:rFonts w:cs="Arial"/>
                <w:color w:val="FFFFFF" w:themeColor="background1"/>
                <w:szCs w:val="22"/>
              </w:rPr>
            </w:pPr>
            <w:r w:rsidRPr="001E7B59">
              <w:rPr>
                <w:rFonts w:cs="Arial"/>
                <w:color w:val="FFFFFF" w:themeColor="background1"/>
                <w:szCs w:val="22"/>
              </w:rPr>
              <w:t>Tendered Price</w:t>
            </w:r>
          </w:p>
        </w:tc>
      </w:tr>
      <w:tr w:rsidR="00B63A9C" w:rsidRPr="00923945" w14:paraId="6CD14261" w14:textId="77777777" w:rsidTr="007B792A">
        <w:trPr>
          <w:trHeight w:val="227"/>
        </w:trPr>
        <w:tc>
          <w:tcPr>
            <w:tcW w:w="1730" w:type="dxa"/>
          </w:tcPr>
          <w:p w14:paraId="2F4ED239" w14:textId="2B575BA6" w:rsidR="00B63A9C" w:rsidRPr="000B1FC4" w:rsidRDefault="007B792A" w:rsidP="008503C2">
            <w:pPr>
              <w:pStyle w:val="Heading1"/>
              <w:jc w:val="center"/>
              <w:rPr>
                <w:rFonts w:cs="Arial"/>
                <w:b w:val="0"/>
                <w:szCs w:val="22"/>
              </w:rPr>
            </w:pPr>
            <w:r>
              <w:rPr>
                <w:rFonts w:cs="Arial"/>
                <w:b w:val="0"/>
                <w:szCs w:val="22"/>
              </w:rPr>
              <w:t>Band1</w:t>
            </w:r>
          </w:p>
        </w:tc>
        <w:tc>
          <w:tcPr>
            <w:tcW w:w="1701" w:type="dxa"/>
          </w:tcPr>
          <w:p w14:paraId="7DE39644" w14:textId="0222E8D2" w:rsidR="00B63A9C" w:rsidRPr="000B1FC4" w:rsidRDefault="007B792A" w:rsidP="008503C2">
            <w:pPr>
              <w:pStyle w:val="Heading1"/>
              <w:jc w:val="center"/>
              <w:rPr>
                <w:rFonts w:cs="Arial"/>
                <w:b w:val="0"/>
                <w:szCs w:val="22"/>
              </w:rPr>
            </w:pPr>
            <w:r>
              <w:rPr>
                <w:rFonts w:cs="Arial"/>
                <w:b w:val="0"/>
                <w:szCs w:val="22"/>
              </w:rPr>
              <w:t>£75</w:t>
            </w:r>
            <w:r w:rsidR="00B63A9C" w:rsidRPr="000B1FC4">
              <w:rPr>
                <w:rFonts w:cs="Arial"/>
                <w:b w:val="0"/>
                <w:szCs w:val="22"/>
              </w:rPr>
              <w:t>.00</w:t>
            </w:r>
          </w:p>
        </w:tc>
        <w:tc>
          <w:tcPr>
            <w:tcW w:w="1833" w:type="dxa"/>
          </w:tcPr>
          <w:p w14:paraId="1F08AC6F" w14:textId="1925D884" w:rsidR="00B63A9C" w:rsidRPr="000B1FC4" w:rsidRDefault="007B792A" w:rsidP="008503C2">
            <w:pPr>
              <w:pStyle w:val="Heading1"/>
              <w:jc w:val="center"/>
              <w:rPr>
                <w:rFonts w:cs="Arial"/>
                <w:b w:val="0"/>
                <w:szCs w:val="22"/>
              </w:rPr>
            </w:pPr>
            <w:r>
              <w:rPr>
                <w:rFonts w:cs="Arial"/>
                <w:b w:val="0"/>
                <w:szCs w:val="22"/>
              </w:rPr>
              <w:t>£65.00</w:t>
            </w:r>
          </w:p>
        </w:tc>
        <w:tc>
          <w:tcPr>
            <w:tcW w:w="2272" w:type="dxa"/>
          </w:tcPr>
          <w:p w14:paraId="2ACBF05F" w14:textId="65161F40" w:rsidR="00B63A9C" w:rsidRPr="000B1FC4" w:rsidRDefault="00B63A9C" w:rsidP="008503C2">
            <w:pPr>
              <w:pStyle w:val="Heading1"/>
              <w:jc w:val="center"/>
              <w:rPr>
                <w:rFonts w:cs="Arial"/>
                <w:b w:val="0"/>
                <w:szCs w:val="22"/>
              </w:rPr>
            </w:pPr>
          </w:p>
        </w:tc>
      </w:tr>
      <w:tr w:rsidR="00B63A9C" w:rsidRPr="00923945" w14:paraId="7C10A48F" w14:textId="77777777" w:rsidTr="007B792A">
        <w:trPr>
          <w:trHeight w:val="227"/>
        </w:trPr>
        <w:tc>
          <w:tcPr>
            <w:tcW w:w="1730" w:type="dxa"/>
          </w:tcPr>
          <w:p w14:paraId="32EC6339" w14:textId="5163BDAE" w:rsidR="00B63A9C" w:rsidRPr="000B1FC4" w:rsidRDefault="00B63A9C" w:rsidP="008503C2">
            <w:pPr>
              <w:pStyle w:val="Heading1"/>
              <w:jc w:val="center"/>
              <w:rPr>
                <w:rFonts w:cs="Arial"/>
                <w:b w:val="0"/>
                <w:szCs w:val="22"/>
              </w:rPr>
            </w:pPr>
            <w:r w:rsidRPr="000B1FC4">
              <w:rPr>
                <w:rFonts w:cs="Arial"/>
                <w:b w:val="0"/>
                <w:szCs w:val="22"/>
              </w:rPr>
              <w:t>B</w:t>
            </w:r>
            <w:r w:rsidR="007B792A">
              <w:rPr>
                <w:rFonts w:cs="Arial"/>
                <w:b w:val="0"/>
                <w:szCs w:val="22"/>
              </w:rPr>
              <w:t>and 2</w:t>
            </w:r>
          </w:p>
        </w:tc>
        <w:tc>
          <w:tcPr>
            <w:tcW w:w="1701" w:type="dxa"/>
          </w:tcPr>
          <w:p w14:paraId="31A74F69" w14:textId="46203E5F" w:rsidR="00B63A9C" w:rsidRPr="000B1FC4" w:rsidRDefault="007B792A" w:rsidP="000B1FC4">
            <w:pPr>
              <w:pStyle w:val="Heading1"/>
              <w:jc w:val="center"/>
              <w:rPr>
                <w:rFonts w:cs="Arial"/>
                <w:b w:val="0"/>
                <w:szCs w:val="22"/>
              </w:rPr>
            </w:pPr>
            <w:r>
              <w:rPr>
                <w:rFonts w:cs="Arial"/>
                <w:b w:val="0"/>
                <w:szCs w:val="22"/>
              </w:rPr>
              <w:t>£45</w:t>
            </w:r>
            <w:r w:rsidR="00B63A9C" w:rsidRPr="000B1FC4">
              <w:rPr>
                <w:rFonts w:cs="Arial"/>
                <w:b w:val="0"/>
                <w:szCs w:val="22"/>
              </w:rPr>
              <w:t>.00</w:t>
            </w:r>
          </w:p>
        </w:tc>
        <w:tc>
          <w:tcPr>
            <w:tcW w:w="1833" w:type="dxa"/>
          </w:tcPr>
          <w:p w14:paraId="7A9E307B" w14:textId="127BE110" w:rsidR="00B63A9C" w:rsidRPr="000B1FC4" w:rsidRDefault="007B792A" w:rsidP="008503C2">
            <w:pPr>
              <w:pStyle w:val="Heading1"/>
              <w:jc w:val="center"/>
              <w:rPr>
                <w:rFonts w:cs="Arial"/>
                <w:b w:val="0"/>
                <w:szCs w:val="22"/>
              </w:rPr>
            </w:pPr>
            <w:r>
              <w:rPr>
                <w:rFonts w:cs="Arial"/>
                <w:b w:val="0"/>
                <w:szCs w:val="22"/>
              </w:rPr>
              <w:t>£40.00</w:t>
            </w:r>
          </w:p>
        </w:tc>
        <w:tc>
          <w:tcPr>
            <w:tcW w:w="2272" w:type="dxa"/>
          </w:tcPr>
          <w:p w14:paraId="21B6C783" w14:textId="1CB9C57A" w:rsidR="00B63A9C" w:rsidRPr="000B1FC4" w:rsidRDefault="00B63A9C" w:rsidP="008503C2">
            <w:pPr>
              <w:pStyle w:val="Heading1"/>
              <w:jc w:val="center"/>
              <w:rPr>
                <w:rFonts w:cs="Arial"/>
                <w:b w:val="0"/>
                <w:szCs w:val="22"/>
              </w:rPr>
            </w:pPr>
          </w:p>
        </w:tc>
      </w:tr>
      <w:tr w:rsidR="00B63A9C" w:rsidRPr="00923945" w14:paraId="096AEF8A" w14:textId="77777777" w:rsidTr="007B792A">
        <w:trPr>
          <w:trHeight w:val="227"/>
        </w:trPr>
        <w:tc>
          <w:tcPr>
            <w:tcW w:w="1730" w:type="dxa"/>
          </w:tcPr>
          <w:p w14:paraId="2585F617" w14:textId="4C3382A7" w:rsidR="00B63A9C" w:rsidRPr="000B1FC4" w:rsidRDefault="007B792A" w:rsidP="008503C2">
            <w:pPr>
              <w:pStyle w:val="Heading1"/>
              <w:jc w:val="center"/>
              <w:rPr>
                <w:rFonts w:cs="Arial"/>
                <w:b w:val="0"/>
                <w:szCs w:val="22"/>
              </w:rPr>
            </w:pPr>
            <w:r>
              <w:rPr>
                <w:rFonts w:cs="Arial"/>
                <w:b w:val="0"/>
                <w:szCs w:val="22"/>
              </w:rPr>
              <w:t>Band 3</w:t>
            </w:r>
          </w:p>
        </w:tc>
        <w:tc>
          <w:tcPr>
            <w:tcW w:w="1701" w:type="dxa"/>
          </w:tcPr>
          <w:p w14:paraId="1F3E98D0" w14:textId="19153CC8" w:rsidR="00B63A9C" w:rsidRPr="000B1FC4" w:rsidRDefault="007B792A" w:rsidP="008503C2">
            <w:pPr>
              <w:pStyle w:val="Heading1"/>
              <w:jc w:val="center"/>
              <w:rPr>
                <w:rFonts w:cs="Arial"/>
                <w:b w:val="0"/>
                <w:szCs w:val="22"/>
              </w:rPr>
            </w:pPr>
            <w:r>
              <w:rPr>
                <w:rFonts w:cs="Arial"/>
                <w:b w:val="0"/>
                <w:szCs w:val="22"/>
              </w:rPr>
              <w:t>£40</w:t>
            </w:r>
            <w:r w:rsidR="00B63A9C" w:rsidRPr="000B1FC4">
              <w:rPr>
                <w:rFonts w:cs="Arial"/>
                <w:b w:val="0"/>
                <w:szCs w:val="22"/>
              </w:rPr>
              <w:t>.00</w:t>
            </w:r>
          </w:p>
        </w:tc>
        <w:tc>
          <w:tcPr>
            <w:tcW w:w="1833" w:type="dxa"/>
          </w:tcPr>
          <w:p w14:paraId="3F792FD7" w14:textId="05E6D855" w:rsidR="00B63A9C" w:rsidRPr="000B1FC4" w:rsidRDefault="007B792A" w:rsidP="008503C2">
            <w:pPr>
              <w:pStyle w:val="Heading1"/>
              <w:jc w:val="center"/>
              <w:rPr>
                <w:rFonts w:cs="Arial"/>
                <w:b w:val="0"/>
                <w:szCs w:val="22"/>
              </w:rPr>
            </w:pPr>
            <w:r>
              <w:rPr>
                <w:rFonts w:cs="Arial"/>
                <w:b w:val="0"/>
                <w:szCs w:val="22"/>
              </w:rPr>
              <w:t>£35.00</w:t>
            </w:r>
          </w:p>
        </w:tc>
        <w:tc>
          <w:tcPr>
            <w:tcW w:w="2272" w:type="dxa"/>
          </w:tcPr>
          <w:p w14:paraId="272D2180" w14:textId="1DD98A07" w:rsidR="00B63A9C" w:rsidRPr="000B1FC4" w:rsidRDefault="00B63A9C" w:rsidP="008503C2">
            <w:pPr>
              <w:pStyle w:val="Heading1"/>
              <w:jc w:val="center"/>
              <w:rPr>
                <w:rFonts w:cs="Arial"/>
                <w:b w:val="0"/>
                <w:szCs w:val="22"/>
              </w:rPr>
            </w:pPr>
          </w:p>
        </w:tc>
      </w:tr>
      <w:tr w:rsidR="00B63A9C" w:rsidRPr="00923945" w14:paraId="193FBCC7" w14:textId="77777777" w:rsidTr="007B792A">
        <w:trPr>
          <w:trHeight w:val="227"/>
        </w:trPr>
        <w:tc>
          <w:tcPr>
            <w:tcW w:w="1730" w:type="dxa"/>
          </w:tcPr>
          <w:p w14:paraId="667431E9" w14:textId="47E78936" w:rsidR="00B63A9C" w:rsidRPr="000B1FC4" w:rsidRDefault="007B792A" w:rsidP="007B792A">
            <w:pPr>
              <w:pStyle w:val="Heading1"/>
              <w:rPr>
                <w:rFonts w:cs="Arial"/>
                <w:b w:val="0"/>
                <w:szCs w:val="22"/>
              </w:rPr>
            </w:pPr>
            <w:r>
              <w:rPr>
                <w:rFonts w:cs="Arial"/>
                <w:b w:val="0"/>
                <w:szCs w:val="22"/>
              </w:rPr>
              <w:t xml:space="preserve"> </w:t>
            </w:r>
            <w:r w:rsidR="001B4AB2">
              <w:rPr>
                <w:rFonts w:cs="Arial"/>
                <w:b w:val="0"/>
                <w:szCs w:val="22"/>
              </w:rPr>
              <w:t xml:space="preserve">     </w:t>
            </w:r>
            <w:r>
              <w:rPr>
                <w:rFonts w:cs="Arial"/>
                <w:b w:val="0"/>
                <w:szCs w:val="22"/>
              </w:rPr>
              <w:t>Band 4</w:t>
            </w:r>
          </w:p>
        </w:tc>
        <w:tc>
          <w:tcPr>
            <w:tcW w:w="1701" w:type="dxa"/>
          </w:tcPr>
          <w:p w14:paraId="12AB9B01" w14:textId="77777777" w:rsidR="00B63A9C" w:rsidRPr="000B1FC4" w:rsidRDefault="00B63A9C" w:rsidP="008503C2">
            <w:pPr>
              <w:pStyle w:val="Heading1"/>
              <w:jc w:val="center"/>
              <w:rPr>
                <w:rFonts w:cs="Arial"/>
                <w:b w:val="0"/>
                <w:szCs w:val="22"/>
              </w:rPr>
            </w:pPr>
            <w:r w:rsidRPr="000B1FC4">
              <w:rPr>
                <w:rFonts w:cs="Arial"/>
                <w:b w:val="0"/>
                <w:szCs w:val="22"/>
              </w:rPr>
              <w:t>£25.00</w:t>
            </w:r>
          </w:p>
        </w:tc>
        <w:tc>
          <w:tcPr>
            <w:tcW w:w="1833" w:type="dxa"/>
          </w:tcPr>
          <w:p w14:paraId="5C66234B" w14:textId="72ACB159" w:rsidR="00B63A9C" w:rsidRPr="000B1FC4" w:rsidRDefault="007B792A" w:rsidP="008503C2">
            <w:pPr>
              <w:pStyle w:val="Heading1"/>
              <w:jc w:val="center"/>
              <w:rPr>
                <w:rFonts w:cs="Arial"/>
                <w:b w:val="0"/>
                <w:szCs w:val="22"/>
              </w:rPr>
            </w:pPr>
            <w:r>
              <w:rPr>
                <w:rFonts w:cs="Arial"/>
                <w:b w:val="0"/>
                <w:szCs w:val="22"/>
              </w:rPr>
              <w:t>£20.00</w:t>
            </w:r>
          </w:p>
        </w:tc>
        <w:tc>
          <w:tcPr>
            <w:tcW w:w="2272" w:type="dxa"/>
          </w:tcPr>
          <w:p w14:paraId="5564DB59" w14:textId="3D90E491" w:rsidR="00B63A9C" w:rsidRPr="000B1FC4" w:rsidRDefault="00B63A9C" w:rsidP="008503C2">
            <w:pPr>
              <w:pStyle w:val="Heading1"/>
              <w:jc w:val="center"/>
              <w:rPr>
                <w:rFonts w:cs="Arial"/>
                <w:b w:val="0"/>
                <w:szCs w:val="22"/>
              </w:rPr>
            </w:pPr>
          </w:p>
        </w:tc>
      </w:tr>
      <w:tr w:rsidR="007B792A" w:rsidRPr="00923945" w14:paraId="54A2A884" w14:textId="77777777" w:rsidTr="007B792A">
        <w:trPr>
          <w:trHeight w:val="227"/>
        </w:trPr>
        <w:tc>
          <w:tcPr>
            <w:tcW w:w="1730" w:type="dxa"/>
          </w:tcPr>
          <w:p w14:paraId="6AE606ED" w14:textId="6AADFD98" w:rsidR="007B792A" w:rsidRDefault="007B792A" w:rsidP="007B792A">
            <w:pPr>
              <w:pStyle w:val="Heading1"/>
              <w:rPr>
                <w:rFonts w:cs="Arial"/>
                <w:b w:val="0"/>
                <w:szCs w:val="22"/>
              </w:rPr>
            </w:pPr>
            <w:r>
              <w:rPr>
                <w:rFonts w:cs="Arial"/>
                <w:b w:val="0"/>
                <w:szCs w:val="22"/>
              </w:rPr>
              <w:t>Average Rate</w:t>
            </w:r>
          </w:p>
        </w:tc>
        <w:tc>
          <w:tcPr>
            <w:tcW w:w="1701" w:type="dxa"/>
          </w:tcPr>
          <w:p w14:paraId="15A49A7A" w14:textId="5F0EB84C" w:rsidR="007B792A" w:rsidRPr="000B1FC4" w:rsidRDefault="007B792A" w:rsidP="008503C2">
            <w:pPr>
              <w:pStyle w:val="Heading1"/>
              <w:jc w:val="center"/>
              <w:rPr>
                <w:rFonts w:cs="Arial"/>
                <w:b w:val="0"/>
                <w:szCs w:val="22"/>
              </w:rPr>
            </w:pPr>
            <w:r>
              <w:rPr>
                <w:rFonts w:cs="Arial"/>
                <w:b w:val="0"/>
                <w:szCs w:val="22"/>
              </w:rPr>
              <w:t>£46.25</w:t>
            </w:r>
          </w:p>
        </w:tc>
        <w:tc>
          <w:tcPr>
            <w:tcW w:w="1833" w:type="dxa"/>
          </w:tcPr>
          <w:p w14:paraId="66C6EED8" w14:textId="52C11599" w:rsidR="007B792A" w:rsidRDefault="007B792A" w:rsidP="008503C2">
            <w:pPr>
              <w:pStyle w:val="Heading1"/>
              <w:jc w:val="center"/>
              <w:rPr>
                <w:rFonts w:cs="Arial"/>
                <w:b w:val="0"/>
                <w:szCs w:val="22"/>
              </w:rPr>
            </w:pPr>
            <w:r>
              <w:rPr>
                <w:rFonts w:cs="Arial"/>
                <w:b w:val="0"/>
                <w:szCs w:val="22"/>
              </w:rPr>
              <w:t>£40.00</w:t>
            </w:r>
          </w:p>
        </w:tc>
        <w:tc>
          <w:tcPr>
            <w:tcW w:w="2272" w:type="dxa"/>
          </w:tcPr>
          <w:p w14:paraId="78C5BAF8" w14:textId="7A9D6717" w:rsidR="007B792A" w:rsidRPr="000B1FC4" w:rsidRDefault="007B792A" w:rsidP="008503C2">
            <w:pPr>
              <w:pStyle w:val="Heading1"/>
              <w:jc w:val="center"/>
              <w:rPr>
                <w:rFonts w:cs="Arial"/>
                <w:b w:val="0"/>
                <w:szCs w:val="22"/>
              </w:rPr>
            </w:pPr>
            <w:r>
              <w:rPr>
                <w:rFonts w:cs="Arial"/>
                <w:b w:val="0"/>
                <w:szCs w:val="22"/>
              </w:rPr>
              <w:t>£43.13</w:t>
            </w:r>
          </w:p>
        </w:tc>
      </w:tr>
    </w:tbl>
    <w:p w14:paraId="2711C5D4" w14:textId="77777777" w:rsidR="007D27EB" w:rsidRDefault="007D27EB" w:rsidP="00455919">
      <w:pPr>
        <w:pStyle w:val="Body1"/>
        <w:ind w:left="0"/>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1833"/>
        <w:gridCol w:w="2272"/>
      </w:tblGrid>
      <w:tr w:rsidR="001E7B59" w:rsidRPr="001E7B59" w14:paraId="30EC8191" w14:textId="77777777" w:rsidTr="001E7B59">
        <w:trPr>
          <w:trHeight w:val="299"/>
        </w:trPr>
        <w:tc>
          <w:tcPr>
            <w:tcW w:w="1730" w:type="dxa"/>
            <w:shd w:val="clear" w:color="auto" w:fill="990099"/>
          </w:tcPr>
          <w:p w14:paraId="6C25787B" w14:textId="77777777" w:rsidR="007B792A" w:rsidRPr="001E7B59" w:rsidRDefault="007B792A" w:rsidP="00DC60FB">
            <w:pPr>
              <w:pStyle w:val="Heading1"/>
              <w:jc w:val="center"/>
              <w:rPr>
                <w:rFonts w:cs="Arial"/>
                <w:color w:val="FFFFFF" w:themeColor="background1"/>
                <w:szCs w:val="22"/>
              </w:rPr>
            </w:pPr>
          </w:p>
          <w:p w14:paraId="748C060F" w14:textId="445C6C0E" w:rsidR="007B792A" w:rsidRPr="001E7B59" w:rsidRDefault="007B792A" w:rsidP="00DC60FB">
            <w:pPr>
              <w:pStyle w:val="Heading1"/>
              <w:jc w:val="center"/>
              <w:rPr>
                <w:rFonts w:cs="Arial"/>
                <w:color w:val="FFFFFF" w:themeColor="background1"/>
                <w:szCs w:val="22"/>
              </w:rPr>
            </w:pPr>
            <w:r w:rsidRPr="001E7B59">
              <w:rPr>
                <w:rFonts w:cs="Arial"/>
                <w:color w:val="FFFFFF" w:themeColor="background1"/>
                <w:szCs w:val="22"/>
              </w:rPr>
              <w:t>Tenderer</w:t>
            </w:r>
            <w:r w:rsidR="00BC6005" w:rsidRPr="001E7B59">
              <w:rPr>
                <w:rFonts w:cs="Arial"/>
                <w:color w:val="FFFFFF" w:themeColor="background1"/>
                <w:szCs w:val="22"/>
              </w:rPr>
              <w:t xml:space="preserve"> B</w:t>
            </w:r>
          </w:p>
          <w:p w14:paraId="3AD1658F" w14:textId="77777777" w:rsidR="007B792A" w:rsidRPr="001E7B59" w:rsidRDefault="007B792A" w:rsidP="00DC60FB">
            <w:pPr>
              <w:rPr>
                <w:color w:val="FFFFFF" w:themeColor="background1"/>
                <w:sz w:val="22"/>
                <w:szCs w:val="22"/>
              </w:rPr>
            </w:pPr>
          </w:p>
        </w:tc>
        <w:tc>
          <w:tcPr>
            <w:tcW w:w="1701" w:type="dxa"/>
            <w:shd w:val="clear" w:color="auto" w:fill="990099"/>
          </w:tcPr>
          <w:p w14:paraId="0E31FF63" w14:textId="77777777" w:rsidR="007B792A" w:rsidRPr="001E7B59" w:rsidRDefault="007B792A" w:rsidP="00DC60FB">
            <w:pPr>
              <w:pStyle w:val="Heading1"/>
              <w:jc w:val="center"/>
              <w:rPr>
                <w:rFonts w:cs="Arial"/>
                <w:color w:val="FFFFFF" w:themeColor="background1"/>
                <w:szCs w:val="22"/>
              </w:rPr>
            </w:pPr>
          </w:p>
          <w:p w14:paraId="2F1F23AD" w14:textId="77777777" w:rsidR="007B792A" w:rsidRPr="001E7B59" w:rsidRDefault="007B792A" w:rsidP="00DC60FB">
            <w:pPr>
              <w:pStyle w:val="Heading1"/>
              <w:jc w:val="center"/>
              <w:rPr>
                <w:rFonts w:cs="Arial"/>
                <w:b w:val="0"/>
                <w:color w:val="FFFFFF" w:themeColor="background1"/>
                <w:szCs w:val="22"/>
              </w:rPr>
            </w:pPr>
            <w:r w:rsidRPr="001E7B59">
              <w:rPr>
                <w:rFonts w:cs="Arial"/>
                <w:color w:val="FFFFFF" w:themeColor="background1"/>
                <w:szCs w:val="22"/>
              </w:rPr>
              <w:t>Hourly Rate 1</w:t>
            </w:r>
          </w:p>
        </w:tc>
        <w:tc>
          <w:tcPr>
            <w:tcW w:w="1833" w:type="dxa"/>
            <w:shd w:val="clear" w:color="auto" w:fill="990099"/>
          </w:tcPr>
          <w:p w14:paraId="58A86BDA" w14:textId="77777777" w:rsidR="007B792A" w:rsidRPr="001E7B59" w:rsidRDefault="007B792A" w:rsidP="00DC60FB">
            <w:pPr>
              <w:pStyle w:val="Heading1"/>
              <w:jc w:val="center"/>
              <w:rPr>
                <w:rFonts w:cs="Arial"/>
                <w:color w:val="FFFFFF" w:themeColor="background1"/>
                <w:szCs w:val="22"/>
              </w:rPr>
            </w:pPr>
          </w:p>
          <w:p w14:paraId="503E7963" w14:textId="77777777" w:rsidR="007B792A" w:rsidRPr="001E7B59" w:rsidRDefault="007B792A" w:rsidP="00DC60FB">
            <w:pPr>
              <w:pStyle w:val="Heading1"/>
              <w:jc w:val="center"/>
              <w:rPr>
                <w:rFonts w:cs="Arial"/>
                <w:b w:val="0"/>
                <w:color w:val="FFFFFF" w:themeColor="background1"/>
                <w:szCs w:val="22"/>
              </w:rPr>
            </w:pPr>
            <w:r w:rsidRPr="001E7B59">
              <w:rPr>
                <w:rFonts w:cs="Arial"/>
                <w:color w:val="FFFFFF" w:themeColor="background1"/>
                <w:szCs w:val="22"/>
              </w:rPr>
              <w:t>Hourly Rate 2</w:t>
            </w:r>
          </w:p>
        </w:tc>
        <w:tc>
          <w:tcPr>
            <w:tcW w:w="2272" w:type="dxa"/>
            <w:shd w:val="clear" w:color="auto" w:fill="990099"/>
          </w:tcPr>
          <w:p w14:paraId="07C3BA16" w14:textId="77777777" w:rsidR="007B792A" w:rsidRPr="001E7B59" w:rsidRDefault="007B792A" w:rsidP="00DC60FB">
            <w:pPr>
              <w:pStyle w:val="Heading1"/>
              <w:jc w:val="center"/>
              <w:rPr>
                <w:rFonts w:cs="Arial"/>
                <w:color w:val="FFFFFF" w:themeColor="background1"/>
                <w:szCs w:val="22"/>
              </w:rPr>
            </w:pPr>
          </w:p>
          <w:p w14:paraId="7AC69FC7" w14:textId="77777777" w:rsidR="007B792A" w:rsidRPr="001E7B59" w:rsidRDefault="007B792A" w:rsidP="00DC60FB">
            <w:pPr>
              <w:pStyle w:val="Heading1"/>
              <w:jc w:val="center"/>
              <w:rPr>
                <w:rFonts w:cs="Arial"/>
                <w:color w:val="FFFFFF" w:themeColor="background1"/>
                <w:szCs w:val="22"/>
              </w:rPr>
            </w:pPr>
            <w:r w:rsidRPr="001E7B59">
              <w:rPr>
                <w:rFonts w:cs="Arial"/>
                <w:color w:val="FFFFFF" w:themeColor="background1"/>
                <w:szCs w:val="22"/>
              </w:rPr>
              <w:t>Tendered Price</w:t>
            </w:r>
          </w:p>
        </w:tc>
      </w:tr>
      <w:tr w:rsidR="007B792A" w:rsidRPr="00923945" w14:paraId="0DDCF1D7" w14:textId="77777777" w:rsidTr="00DC60FB">
        <w:trPr>
          <w:trHeight w:val="227"/>
        </w:trPr>
        <w:tc>
          <w:tcPr>
            <w:tcW w:w="1730" w:type="dxa"/>
          </w:tcPr>
          <w:p w14:paraId="7C335D48" w14:textId="77777777" w:rsidR="007B792A" w:rsidRPr="000B1FC4" w:rsidRDefault="007B792A" w:rsidP="00DC60FB">
            <w:pPr>
              <w:pStyle w:val="Heading1"/>
              <w:jc w:val="center"/>
              <w:rPr>
                <w:rFonts w:cs="Arial"/>
                <w:b w:val="0"/>
                <w:szCs w:val="22"/>
              </w:rPr>
            </w:pPr>
            <w:r>
              <w:rPr>
                <w:rFonts w:cs="Arial"/>
                <w:b w:val="0"/>
                <w:szCs w:val="22"/>
              </w:rPr>
              <w:t>Band1</w:t>
            </w:r>
          </w:p>
        </w:tc>
        <w:tc>
          <w:tcPr>
            <w:tcW w:w="1701" w:type="dxa"/>
          </w:tcPr>
          <w:p w14:paraId="598E898B" w14:textId="218126AC" w:rsidR="007B792A" w:rsidRPr="000B1FC4" w:rsidRDefault="00BC6005" w:rsidP="00DC60FB">
            <w:pPr>
              <w:pStyle w:val="Heading1"/>
              <w:jc w:val="center"/>
              <w:rPr>
                <w:rFonts w:cs="Arial"/>
                <w:b w:val="0"/>
                <w:szCs w:val="22"/>
              </w:rPr>
            </w:pPr>
            <w:r>
              <w:rPr>
                <w:rFonts w:cs="Arial"/>
                <w:b w:val="0"/>
                <w:szCs w:val="22"/>
              </w:rPr>
              <w:t>£70</w:t>
            </w:r>
            <w:r w:rsidR="007B792A" w:rsidRPr="000B1FC4">
              <w:rPr>
                <w:rFonts w:cs="Arial"/>
                <w:b w:val="0"/>
                <w:szCs w:val="22"/>
              </w:rPr>
              <w:t>.00</w:t>
            </w:r>
          </w:p>
        </w:tc>
        <w:tc>
          <w:tcPr>
            <w:tcW w:w="1833" w:type="dxa"/>
          </w:tcPr>
          <w:p w14:paraId="4C3F7309" w14:textId="740573EA" w:rsidR="007B792A" w:rsidRPr="000B1FC4" w:rsidRDefault="00BC6005" w:rsidP="00DC60FB">
            <w:pPr>
              <w:pStyle w:val="Heading1"/>
              <w:jc w:val="center"/>
              <w:rPr>
                <w:rFonts w:cs="Arial"/>
                <w:b w:val="0"/>
                <w:szCs w:val="22"/>
              </w:rPr>
            </w:pPr>
            <w:r>
              <w:rPr>
                <w:rFonts w:cs="Arial"/>
                <w:b w:val="0"/>
                <w:szCs w:val="22"/>
              </w:rPr>
              <w:t>£55</w:t>
            </w:r>
            <w:r w:rsidR="007B792A">
              <w:rPr>
                <w:rFonts w:cs="Arial"/>
                <w:b w:val="0"/>
                <w:szCs w:val="22"/>
              </w:rPr>
              <w:t>.00</w:t>
            </w:r>
          </w:p>
        </w:tc>
        <w:tc>
          <w:tcPr>
            <w:tcW w:w="2272" w:type="dxa"/>
          </w:tcPr>
          <w:p w14:paraId="392CFC6F" w14:textId="77777777" w:rsidR="007B792A" w:rsidRPr="000B1FC4" w:rsidRDefault="007B792A" w:rsidP="00DC60FB">
            <w:pPr>
              <w:pStyle w:val="Heading1"/>
              <w:jc w:val="center"/>
              <w:rPr>
                <w:rFonts w:cs="Arial"/>
                <w:b w:val="0"/>
                <w:szCs w:val="22"/>
              </w:rPr>
            </w:pPr>
          </w:p>
        </w:tc>
      </w:tr>
      <w:tr w:rsidR="007B792A" w:rsidRPr="00923945" w14:paraId="62C6C387" w14:textId="77777777" w:rsidTr="00DC60FB">
        <w:trPr>
          <w:trHeight w:val="227"/>
        </w:trPr>
        <w:tc>
          <w:tcPr>
            <w:tcW w:w="1730" w:type="dxa"/>
          </w:tcPr>
          <w:p w14:paraId="70366B77" w14:textId="77777777" w:rsidR="007B792A" w:rsidRPr="000B1FC4" w:rsidRDefault="007B792A" w:rsidP="00DC60FB">
            <w:pPr>
              <w:pStyle w:val="Heading1"/>
              <w:jc w:val="center"/>
              <w:rPr>
                <w:rFonts w:cs="Arial"/>
                <w:b w:val="0"/>
                <w:szCs w:val="22"/>
              </w:rPr>
            </w:pPr>
            <w:r w:rsidRPr="000B1FC4">
              <w:rPr>
                <w:rFonts w:cs="Arial"/>
                <w:b w:val="0"/>
                <w:szCs w:val="22"/>
              </w:rPr>
              <w:t>B</w:t>
            </w:r>
            <w:r>
              <w:rPr>
                <w:rFonts w:cs="Arial"/>
                <w:b w:val="0"/>
                <w:szCs w:val="22"/>
              </w:rPr>
              <w:t>and 2</w:t>
            </w:r>
          </w:p>
        </w:tc>
        <w:tc>
          <w:tcPr>
            <w:tcW w:w="1701" w:type="dxa"/>
          </w:tcPr>
          <w:p w14:paraId="72C5B46E" w14:textId="317F240E" w:rsidR="007B792A" w:rsidRPr="000B1FC4" w:rsidRDefault="00BC6005" w:rsidP="00DC60FB">
            <w:pPr>
              <w:pStyle w:val="Heading1"/>
              <w:jc w:val="center"/>
              <w:rPr>
                <w:rFonts w:cs="Arial"/>
                <w:b w:val="0"/>
                <w:szCs w:val="22"/>
              </w:rPr>
            </w:pPr>
            <w:r>
              <w:rPr>
                <w:rFonts w:cs="Arial"/>
                <w:b w:val="0"/>
                <w:szCs w:val="22"/>
              </w:rPr>
              <w:t>£55</w:t>
            </w:r>
            <w:r w:rsidR="007B792A" w:rsidRPr="000B1FC4">
              <w:rPr>
                <w:rFonts w:cs="Arial"/>
                <w:b w:val="0"/>
                <w:szCs w:val="22"/>
              </w:rPr>
              <w:t>.00</w:t>
            </w:r>
          </w:p>
        </w:tc>
        <w:tc>
          <w:tcPr>
            <w:tcW w:w="1833" w:type="dxa"/>
          </w:tcPr>
          <w:p w14:paraId="25A7D813" w14:textId="0A30D681" w:rsidR="007B792A" w:rsidRPr="000B1FC4" w:rsidRDefault="00BC6005" w:rsidP="00DC60FB">
            <w:pPr>
              <w:pStyle w:val="Heading1"/>
              <w:jc w:val="center"/>
              <w:rPr>
                <w:rFonts w:cs="Arial"/>
                <w:b w:val="0"/>
                <w:szCs w:val="22"/>
              </w:rPr>
            </w:pPr>
            <w:r>
              <w:rPr>
                <w:rFonts w:cs="Arial"/>
                <w:b w:val="0"/>
                <w:szCs w:val="22"/>
              </w:rPr>
              <w:t>£50</w:t>
            </w:r>
            <w:r w:rsidR="007B792A">
              <w:rPr>
                <w:rFonts w:cs="Arial"/>
                <w:b w:val="0"/>
                <w:szCs w:val="22"/>
              </w:rPr>
              <w:t>.00</w:t>
            </w:r>
          </w:p>
        </w:tc>
        <w:tc>
          <w:tcPr>
            <w:tcW w:w="2272" w:type="dxa"/>
          </w:tcPr>
          <w:p w14:paraId="33190AF9" w14:textId="77777777" w:rsidR="007B792A" w:rsidRPr="000B1FC4" w:rsidRDefault="007B792A" w:rsidP="00DC60FB">
            <w:pPr>
              <w:pStyle w:val="Heading1"/>
              <w:jc w:val="center"/>
              <w:rPr>
                <w:rFonts w:cs="Arial"/>
                <w:b w:val="0"/>
                <w:szCs w:val="22"/>
              </w:rPr>
            </w:pPr>
          </w:p>
        </w:tc>
      </w:tr>
      <w:tr w:rsidR="007B792A" w:rsidRPr="00923945" w14:paraId="5E5A534F" w14:textId="77777777" w:rsidTr="00DC60FB">
        <w:trPr>
          <w:trHeight w:val="227"/>
        </w:trPr>
        <w:tc>
          <w:tcPr>
            <w:tcW w:w="1730" w:type="dxa"/>
          </w:tcPr>
          <w:p w14:paraId="7E480069" w14:textId="77777777" w:rsidR="007B792A" w:rsidRPr="000B1FC4" w:rsidRDefault="007B792A" w:rsidP="00DC60FB">
            <w:pPr>
              <w:pStyle w:val="Heading1"/>
              <w:jc w:val="center"/>
              <w:rPr>
                <w:rFonts w:cs="Arial"/>
                <w:b w:val="0"/>
                <w:szCs w:val="22"/>
              </w:rPr>
            </w:pPr>
            <w:r>
              <w:rPr>
                <w:rFonts w:cs="Arial"/>
                <w:b w:val="0"/>
                <w:szCs w:val="22"/>
              </w:rPr>
              <w:t>Band 3</w:t>
            </w:r>
          </w:p>
        </w:tc>
        <w:tc>
          <w:tcPr>
            <w:tcW w:w="1701" w:type="dxa"/>
          </w:tcPr>
          <w:p w14:paraId="2B44AB57" w14:textId="3C5F15E0" w:rsidR="007B792A" w:rsidRPr="000B1FC4" w:rsidRDefault="00BC6005" w:rsidP="00DC60FB">
            <w:pPr>
              <w:pStyle w:val="Heading1"/>
              <w:jc w:val="center"/>
              <w:rPr>
                <w:rFonts w:cs="Arial"/>
                <w:b w:val="0"/>
                <w:szCs w:val="22"/>
              </w:rPr>
            </w:pPr>
            <w:r>
              <w:rPr>
                <w:rFonts w:cs="Arial"/>
                <w:b w:val="0"/>
                <w:szCs w:val="22"/>
              </w:rPr>
              <w:t>£45</w:t>
            </w:r>
            <w:r w:rsidR="007B792A" w:rsidRPr="000B1FC4">
              <w:rPr>
                <w:rFonts w:cs="Arial"/>
                <w:b w:val="0"/>
                <w:szCs w:val="22"/>
              </w:rPr>
              <w:t>.00</w:t>
            </w:r>
          </w:p>
        </w:tc>
        <w:tc>
          <w:tcPr>
            <w:tcW w:w="1833" w:type="dxa"/>
          </w:tcPr>
          <w:p w14:paraId="046DF15D" w14:textId="701A5F93" w:rsidR="007B792A" w:rsidRPr="000B1FC4" w:rsidRDefault="00BC6005" w:rsidP="00DC60FB">
            <w:pPr>
              <w:pStyle w:val="Heading1"/>
              <w:jc w:val="center"/>
              <w:rPr>
                <w:rFonts w:cs="Arial"/>
                <w:b w:val="0"/>
                <w:szCs w:val="22"/>
              </w:rPr>
            </w:pPr>
            <w:r>
              <w:rPr>
                <w:rFonts w:cs="Arial"/>
                <w:b w:val="0"/>
                <w:szCs w:val="22"/>
              </w:rPr>
              <w:t>£40</w:t>
            </w:r>
            <w:r w:rsidR="007B792A">
              <w:rPr>
                <w:rFonts w:cs="Arial"/>
                <w:b w:val="0"/>
                <w:szCs w:val="22"/>
              </w:rPr>
              <w:t>.00</w:t>
            </w:r>
          </w:p>
        </w:tc>
        <w:tc>
          <w:tcPr>
            <w:tcW w:w="2272" w:type="dxa"/>
          </w:tcPr>
          <w:p w14:paraId="08D13E93" w14:textId="77777777" w:rsidR="007B792A" w:rsidRPr="000B1FC4" w:rsidRDefault="007B792A" w:rsidP="00DC60FB">
            <w:pPr>
              <w:pStyle w:val="Heading1"/>
              <w:jc w:val="center"/>
              <w:rPr>
                <w:rFonts w:cs="Arial"/>
                <w:b w:val="0"/>
                <w:szCs w:val="22"/>
              </w:rPr>
            </w:pPr>
          </w:p>
        </w:tc>
      </w:tr>
      <w:tr w:rsidR="007B792A" w:rsidRPr="00923945" w14:paraId="4AC18C4A" w14:textId="77777777" w:rsidTr="00DC60FB">
        <w:trPr>
          <w:trHeight w:val="227"/>
        </w:trPr>
        <w:tc>
          <w:tcPr>
            <w:tcW w:w="1730" w:type="dxa"/>
          </w:tcPr>
          <w:p w14:paraId="4A3AE998" w14:textId="1887B230" w:rsidR="007B792A" w:rsidRPr="000B1FC4" w:rsidRDefault="007B792A" w:rsidP="00DC60FB">
            <w:pPr>
              <w:pStyle w:val="Heading1"/>
              <w:rPr>
                <w:rFonts w:cs="Arial"/>
                <w:b w:val="0"/>
                <w:szCs w:val="22"/>
              </w:rPr>
            </w:pPr>
            <w:r>
              <w:rPr>
                <w:rFonts w:cs="Arial"/>
                <w:b w:val="0"/>
                <w:szCs w:val="22"/>
              </w:rPr>
              <w:t xml:space="preserve"> </w:t>
            </w:r>
            <w:r w:rsidR="001B4AB2">
              <w:rPr>
                <w:rFonts w:cs="Arial"/>
                <w:b w:val="0"/>
                <w:szCs w:val="22"/>
              </w:rPr>
              <w:t xml:space="preserve">     </w:t>
            </w:r>
            <w:r>
              <w:rPr>
                <w:rFonts w:cs="Arial"/>
                <w:b w:val="0"/>
                <w:szCs w:val="22"/>
              </w:rPr>
              <w:t>Band 4</w:t>
            </w:r>
          </w:p>
        </w:tc>
        <w:tc>
          <w:tcPr>
            <w:tcW w:w="1701" w:type="dxa"/>
          </w:tcPr>
          <w:p w14:paraId="51205BA3" w14:textId="232A6996" w:rsidR="007B792A" w:rsidRPr="000B1FC4" w:rsidRDefault="00BC6005" w:rsidP="00DC60FB">
            <w:pPr>
              <w:pStyle w:val="Heading1"/>
              <w:jc w:val="center"/>
              <w:rPr>
                <w:rFonts w:cs="Arial"/>
                <w:b w:val="0"/>
                <w:szCs w:val="22"/>
              </w:rPr>
            </w:pPr>
            <w:r>
              <w:rPr>
                <w:rFonts w:cs="Arial"/>
                <w:b w:val="0"/>
                <w:szCs w:val="22"/>
              </w:rPr>
              <w:t>£25</w:t>
            </w:r>
            <w:r w:rsidR="007B792A" w:rsidRPr="000B1FC4">
              <w:rPr>
                <w:rFonts w:cs="Arial"/>
                <w:b w:val="0"/>
                <w:szCs w:val="22"/>
              </w:rPr>
              <w:t>.00</w:t>
            </w:r>
          </w:p>
        </w:tc>
        <w:tc>
          <w:tcPr>
            <w:tcW w:w="1833" w:type="dxa"/>
          </w:tcPr>
          <w:p w14:paraId="616859E0" w14:textId="77777777" w:rsidR="007B792A" w:rsidRPr="000B1FC4" w:rsidRDefault="007B792A" w:rsidP="00DC60FB">
            <w:pPr>
              <w:pStyle w:val="Heading1"/>
              <w:jc w:val="center"/>
              <w:rPr>
                <w:rFonts w:cs="Arial"/>
                <w:b w:val="0"/>
                <w:szCs w:val="22"/>
              </w:rPr>
            </w:pPr>
            <w:r>
              <w:rPr>
                <w:rFonts w:cs="Arial"/>
                <w:b w:val="0"/>
                <w:szCs w:val="22"/>
              </w:rPr>
              <w:t>£20.00</w:t>
            </w:r>
          </w:p>
        </w:tc>
        <w:tc>
          <w:tcPr>
            <w:tcW w:w="2272" w:type="dxa"/>
          </w:tcPr>
          <w:p w14:paraId="7B4CC229" w14:textId="77777777" w:rsidR="007B792A" w:rsidRPr="000B1FC4" w:rsidRDefault="007B792A" w:rsidP="00DC60FB">
            <w:pPr>
              <w:pStyle w:val="Heading1"/>
              <w:jc w:val="center"/>
              <w:rPr>
                <w:rFonts w:cs="Arial"/>
                <w:b w:val="0"/>
                <w:szCs w:val="22"/>
              </w:rPr>
            </w:pPr>
          </w:p>
        </w:tc>
      </w:tr>
      <w:tr w:rsidR="007B792A" w:rsidRPr="00923945" w14:paraId="1FB9D56B" w14:textId="77777777" w:rsidTr="00DC60FB">
        <w:trPr>
          <w:trHeight w:val="227"/>
        </w:trPr>
        <w:tc>
          <w:tcPr>
            <w:tcW w:w="1730" w:type="dxa"/>
          </w:tcPr>
          <w:p w14:paraId="7E2FD436" w14:textId="77777777" w:rsidR="007B792A" w:rsidRDefault="007B792A" w:rsidP="00DC60FB">
            <w:pPr>
              <w:pStyle w:val="Heading1"/>
              <w:rPr>
                <w:rFonts w:cs="Arial"/>
                <w:b w:val="0"/>
                <w:szCs w:val="22"/>
              </w:rPr>
            </w:pPr>
            <w:r>
              <w:rPr>
                <w:rFonts w:cs="Arial"/>
                <w:b w:val="0"/>
                <w:szCs w:val="22"/>
              </w:rPr>
              <w:t>Average Rate</w:t>
            </w:r>
          </w:p>
        </w:tc>
        <w:tc>
          <w:tcPr>
            <w:tcW w:w="1701" w:type="dxa"/>
          </w:tcPr>
          <w:p w14:paraId="0BED19F3" w14:textId="075A9283" w:rsidR="007B792A" w:rsidRPr="000B1FC4" w:rsidRDefault="007B792A" w:rsidP="00BC6005">
            <w:pPr>
              <w:pStyle w:val="Heading1"/>
              <w:jc w:val="center"/>
              <w:rPr>
                <w:rFonts w:cs="Arial"/>
                <w:b w:val="0"/>
                <w:szCs w:val="22"/>
              </w:rPr>
            </w:pPr>
            <w:r>
              <w:rPr>
                <w:rFonts w:cs="Arial"/>
                <w:b w:val="0"/>
                <w:szCs w:val="22"/>
              </w:rPr>
              <w:t>£</w:t>
            </w:r>
            <w:r w:rsidR="00BC6005">
              <w:rPr>
                <w:rFonts w:cs="Arial"/>
                <w:b w:val="0"/>
                <w:szCs w:val="22"/>
              </w:rPr>
              <w:t>48.75</w:t>
            </w:r>
          </w:p>
        </w:tc>
        <w:tc>
          <w:tcPr>
            <w:tcW w:w="1833" w:type="dxa"/>
          </w:tcPr>
          <w:p w14:paraId="22093C59" w14:textId="41983C0D" w:rsidR="007B792A" w:rsidRDefault="007B792A" w:rsidP="00BC6005">
            <w:pPr>
              <w:pStyle w:val="Heading1"/>
              <w:jc w:val="center"/>
              <w:rPr>
                <w:rFonts w:cs="Arial"/>
                <w:b w:val="0"/>
                <w:szCs w:val="22"/>
              </w:rPr>
            </w:pPr>
            <w:r>
              <w:rPr>
                <w:rFonts w:cs="Arial"/>
                <w:b w:val="0"/>
                <w:szCs w:val="22"/>
              </w:rPr>
              <w:t>£</w:t>
            </w:r>
            <w:r w:rsidR="00BC6005">
              <w:rPr>
                <w:rFonts w:cs="Arial"/>
                <w:b w:val="0"/>
                <w:szCs w:val="22"/>
              </w:rPr>
              <w:t>41</w:t>
            </w:r>
            <w:r>
              <w:rPr>
                <w:rFonts w:cs="Arial"/>
                <w:b w:val="0"/>
                <w:szCs w:val="22"/>
              </w:rPr>
              <w:t>.</w:t>
            </w:r>
            <w:r w:rsidR="00BC6005">
              <w:rPr>
                <w:rFonts w:cs="Arial"/>
                <w:b w:val="0"/>
                <w:szCs w:val="22"/>
              </w:rPr>
              <w:t>25</w:t>
            </w:r>
          </w:p>
        </w:tc>
        <w:tc>
          <w:tcPr>
            <w:tcW w:w="2272" w:type="dxa"/>
          </w:tcPr>
          <w:p w14:paraId="575CD73B" w14:textId="4B3BB6DF" w:rsidR="007B792A" w:rsidRPr="000B1FC4" w:rsidRDefault="007B792A" w:rsidP="00BC6005">
            <w:pPr>
              <w:pStyle w:val="Heading1"/>
              <w:jc w:val="center"/>
              <w:rPr>
                <w:rFonts w:cs="Arial"/>
                <w:b w:val="0"/>
                <w:szCs w:val="22"/>
              </w:rPr>
            </w:pPr>
            <w:r>
              <w:rPr>
                <w:rFonts w:cs="Arial"/>
                <w:b w:val="0"/>
                <w:szCs w:val="22"/>
              </w:rPr>
              <w:t>£</w:t>
            </w:r>
            <w:r w:rsidR="00BC6005">
              <w:rPr>
                <w:rFonts w:cs="Arial"/>
                <w:b w:val="0"/>
                <w:szCs w:val="22"/>
              </w:rPr>
              <w:t>45.00</w:t>
            </w:r>
          </w:p>
        </w:tc>
      </w:tr>
    </w:tbl>
    <w:p w14:paraId="70A0D732" w14:textId="77777777" w:rsidR="007B792A" w:rsidRDefault="007B792A" w:rsidP="00455919">
      <w:pPr>
        <w:pStyle w:val="Body1"/>
        <w:ind w:left="0"/>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1833"/>
        <w:gridCol w:w="2272"/>
      </w:tblGrid>
      <w:tr w:rsidR="001E7B59" w:rsidRPr="001E7B59" w14:paraId="287BBFDB" w14:textId="77777777" w:rsidTr="001E7B59">
        <w:trPr>
          <w:trHeight w:val="299"/>
        </w:trPr>
        <w:tc>
          <w:tcPr>
            <w:tcW w:w="1730" w:type="dxa"/>
            <w:shd w:val="clear" w:color="auto" w:fill="990099"/>
          </w:tcPr>
          <w:p w14:paraId="0D11F7BD" w14:textId="77777777" w:rsidR="00BB7234" w:rsidRPr="001E7B59" w:rsidRDefault="00BB7234" w:rsidP="00DC60FB">
            <w:pPr>
              <w:pStyle w:val="Heading1"/>
              <w:jc w:val="center"/>
              <w:rPr>
                <w:rFonts w:cs="Arial"/>
                <w:color w:val="FFFFFF" w:themeColor="background1"/>
                <w:szCs w:val="22"/>
              </w:rPr>
            </w:pPr>
          </w:p>
          <w:p w14:paraId="0559CE54" w14:textId="2C0455E4" w:rsidR="00BB7234" w:rsidRPr="001E7B59" w:rsidRDefault="00BB7234" w:rsidP="00DC60FB">
            <w:pPr>
              <w:pStyle w:val="Heading1"/>
              <w:jc w:val="center"/>
              <w:rPr>
                <w:rFonts w:cs="Arial"/>
                <w:color w:val="FFFFFF" w:themeColor="background1"/>
                <w:szCs w:val="22"/>
              </w:rPr>
            </w:pPr>
            <w:r w:rsidRPr="001E7B59">
              <w:rPr>
                <w:rFonts w:cs="Arial"/>
                <w:color w:val="FFFFFF" w:themeColor="background1"/>
                <w:szCs w:val="22"/>
              </w:rPr>
              <w:t>Tenderer C</w:t>
            </w:r>
          </w:p>
          <w:p w14:paraId="614D16A0" w14:textId="77777777" w:rsidR="00BB7234" w:rsidRPr="001E7B59" w:rsidRDefault="00BB7234" w:rsidP="00DC60FB">
            <w:pPr>
              <w:rPr>
                <w:color w:val="FFFFFF" w:themeColor="background1"/>
                <w:sz w:val="22"/>
                <w:szCs w:val="22"/>
              </w:rPr>
            </w:pPr>
          </w:p>
        </w:tc>
        <w:tc>
          <w:tcPr>
            <w:tcW w:w="1701" w:type="dxa"/>
            <w:shd w:val="clear" w:color="auto" w:fill="990099"/>
          </w:tcPr>
          <w:p w14:paraId="6569D51C" w14:textId="77777777" w:rsidR="00BB7234" w:rsidRPr="001E7B59" w:rsidRDefault="00BB7234" w:rsidP="00DC60FB">
            <w:pPr>
              <w:pStyle w:val="Heading1"/>
              <w:jc w:val="center"/>
              <w:rPr>
                <w:rFonts w:cs="Arial"/>
                <w:color w:val="FFFFFF" w:themeColor="background1"/>
                <w:szCs w:val="22"/>
              </w:rPr>
            </w:pPr>
          </w:p>
          <w:p w14:paraId="28217CF9" w14:textId="77777777" w:rsidR="00BB7234" w:rsidRPr="001E7B59" w:rsidRDefault="00BB7234" w:rsidP="00DC60FB">
            <w:pPr>
              <w:pStyle w:val="Heading1"/>
              <w:jc w:val="center"/>
              <w:rPr>
                <w:rFonts w:cs="Arial"/>
                <w:b w:val="0"/>
                <w:color w:val="FFFFFF" w:themeColor="background1"/>
                <w:szCs w:val="22"/>
              </w:rPr>
            </w:pPr>
            <w:r w:rsidRPr="001E7B59">
              <w:rPr>
                <w:rFonts w:cs="Arial"/>
                <w:color w:val="FFFFFF" w:themeColor="background1"/>
                <w:szCs w:val="22"/>
              </w:rPr>
              <w:t>Hourly Rate 1</w:t>
            </w:r>
          </w:p>
        </w:tc>
        <w:tc>
          <w:tcPr>
            <w:tcW w:w="1833" w:type="dxa"/>
            <w:shd w:val="clear" w:color="auto" w:fill="990099"/>
          </w:tcPr>
          <w:p w14:paraId="27C42238" w14:textId="77777777" w:rsidR="00BB7234" w:rsidRPr="001E7B59" w:rsidRDefault="00BB7234" w:rsidP="00DC60FB">
            <w:pPr>
              <w:pStyle w:val="Heading1"/>
              <w:jc w:val="center"/>
              <w:rPr>
                <w:rFonts w:cs="Arial"/>
                <w:color w:val="FFFFFF" w:themeColor="background1"/>
                <w:szCs w:val="22"/>
              </w:rPr>
            </w:pPr>
          </w:p>
          <w:p w14:paraId="2A6175F1" w14:textId="77777777" w:rsidR="00BB7234" w:rsidRPr="001E7B59" w:rsidRDefault="00BB7234" w:rsidP="00DC60FB">
            <w:pPr>
              <w:pStyle w:val="Heading1"/>
              <w:jc w:val="center"/>
              <w:rPr>
                <w:rFonts w:cs="Arial"/>
                <w:b w:val="0"/>
                <w:color w:val="FFFFFF" w:themeColor="background1"/>
                <w:szCs w:val="22"/>
              </w:rPr>
            </w:pPr>
            <w:r w:rsidRPr="001E7B59">
              <w:rPr>
                <w:rFonts w:cs="Arial"/>
                <w:color w:val="FFFFFF" w:themeColor="background1"/>
                <w:szCs w:val="22"/>
              </w:rPr>
              <w:t>Hourly Rate 2</w:t>
            </w:r>
          </w:p>
        </w:tc>
        <w:tc>
          <w:tcPr>
            <w:tcW w:w="2272" w:type="dxa"/>
            <w:shd w:val="clear" w:color="auto" w:fill="990099"/>
          </w:tcPr>
          <w:p w14:paraId="77F66FD8" w14:textId="77777777" w:rsidR="00BB7234" w:rsidRPr="001E7B59" w:rsidRDefault="00BB7234" w:rsidP="00DC60FB">
            <w:pPr>
              <w:pStyle w:val="Heading1"/>
              <w:jc w:val="center"/>
              <w:rPr>
                <w:rFonts w:cs="Arial"/>
                <w:color w:val="FFFFFF" w:themeColor="background1"/>
                <w:szCs w:val="22"/>
              </w:rPr>
            </w:pPr>
          </w:p>
          <w:p w14:paraId="442DB4BE" w14:textId="77777777" w:rsidR="00BB7234" w:rsidRPr="001E7B59" w:rsidRDefault="00BB7234" w:rsidP="00DC60FB">
            <w:pPr>
              <w:pStyle w:val="Heading1"/>
              <w:jc w:val="center"/>
              <w:rPr>
                <w:rFonts w:cs="Arial"/>
                <w:color w:val="FFFFFF" w:themeColor="background1"/>
                <w:szCs w:val="22"/>
              </w:rPr>
            </w:pPr>
            <w:r w:rsidRPr="001E7B59">
              <w:rPr>
                <w:rFonts w:cs="Arial"/>
                <w:color w:val="FFFFFF" w:themeColor="background1"/>
                <w:szCs w:val="22"/>
              </w:rPr>
              <w:t>Tendered Price</w:t>
            </w:r>
          </w:p>
        </w:tc>
      </w:tr>
      <w:tr w:rsidR="00BB7234" w:rsidRPr="00923945" w14:paraId="0953E861" w14:textId="77777777" w:rsidTr="00DC60FB">
        <w:trPr>
          <w:trHeight w:val="227"/>
        </w:trPr>
        <w:tc>
          <w:tcPr>
            <w:tcW w:w="1730" w:type="dxa"/>
          </w:tcPr>
          <w:p w14:paraId="2E7BFE70" w14:textId="77777777" w:rsidR="00BB7234" w:rsidRPr="000B1FC4" w:rsidRDefault="00BB7234" w:rsidP="00DC60FB">
            <w:pPr>
              <w:pStyle w:val="Heading1"/>
              <w:jc w:val="center"/>
              <w:rPr>
                <w:rFonts w:cs="Arial"/>
                <w:b w:val="0"/>
                <w:szCs w:val="22"/>
              </w:rPr>
            </w:pPr>
            <w:r>
              <w:rPr>
                <w:rFonts w:cs="Arial"/>
                <w:b w:val="0"/>
                <w:szCs w:val="22"/>
              </w:rPr>
              <w:t>Band1</w:t>
            </w:r>
          </w:p>
        </w:tc>
        <w:tc>
          <w:tcPr>
            <w:tcW w:w="1701" w:type="dxa"/>
          </w:tcPr>
          <w:p w14:paraId="65DCEC45" w14:textId="202EE2FF" w:rsidR="00BB7234" w:rsidRPr="000B1FC4" w:rsidRDefault="00BB7234" w:rsidP="00DC60FB">
            <w:pPr>
              <w:pStyle w:val="Heading1"/>
              <w:jc w:val="center"/>
              <w:rPr>
                <w:rFonts w:cs="Arial"/>
                <w:b w:val="0"/>
                <w:szCs w:val="22"/>
              </w:rPr>
            </w:pPr>
            <w:r>
              <w:rPr>
                <w:rFonts w:cs="Arial"/>
                <w:b w:val="0"/>
                <w:szCs w:val="22"/>
              </w:rPr>
              <w:t>£75</w:t>
            </w:r>
            <w:r w:rsidRPr="000B1FC4">
              <w:rPr>
                <w:rFonts w:cs="Arial"/>
                <w:b w:val="0"/>
                <w:szCs w:val="22"/>
              </w:rPr>
              <w:t>.00</w:t>
            </w:r>
          </w:p>
        </w:tc>
        <w:tc>
          <w:tcPr>
            <w:tcW w:w="1833" w:type="dxa"/>
          </w:tcPr>
          <w:p w14:paraId="67610E3F" w14:textId="45D1F0F9" w:rsidR="00BB7234" w:rsidRPr="000B1FC4" w:rsidRDefault="00BB7234" w:rsidP="00DC60FB">
            <w:pPr>
              <w:pStyle w:val="Heading1"/>
              <w:jc w:val="center"/>
              <w:rPr>
                <w:rFonts w:cs="Arial"/>
                <w:b w:val="0"/>
                <w:szCs w:val="22"/>
              </w:rPr>
            </w:pPr>
            <w:r>
              <w:rPr>
                <w:rFonts w:cs="Arial"/>
                <w:b w:val="0"/>
                <w:szCs w:val="22"/>
              </w:rPr>
              <w:t>£65.00</w:t>
            </w:r>
          </w:p>
        </w:tc>
        <w:tc>
          <w:tcPr>
            <w:tcW w:w="2272" w:type="dxa"/>
          </w:tcPr>
          <w:p w14:paraId="116C7868" w14:textId="77777777" w:rsidR="00BB7234" w:rsidRPr="000B1FC4" w:rsidRDefault="00BB7234" w:rsidP="00DC60FB">
            <w:pPr>
              <w:pStyle w:val="Heading1"/>
              <w:jc w:val="center"/>
              <w:rPr>
                <w:rFonts w:cs="Arial"/>
                <w:b w:val="0"/>
                <w:szCs w:val="22"/>
              </w:rPr>
            </w:pPr>
          </w:p>
        </w:tc>
      </w:tr>
      <w:tr w:rsidR="00BB7234" w:rsidRPr="00923945" w14:paraId="543ECB38" w14:textId="77777777" w:rsidTr="00DC60FB">
        <w:trPr>
          <w:trHeight w:val="227"/>
        </w:trPr>
        <w:tc>
          <w:tcPr>
            <w:tcW w:w="1730" w:type="dxa"/>
          </w:tcPr>
          <w:p w14:paraId="7306865C" w14:textId="77777777" w:rsidR="00BB7234" w:rsidRPr="000B1FC4" w:rsidRDefault="00BB7234" w:rsidP="00DC60FB">
            <w:pPr>
              <w:pStyle w:val="Heading1"/>
              <w:jc w:val="center"/>
              <w:rPr>
                <w:rFonts w:cs="Arial"/>
                <w:b w:val="0"/>
                <w:szCs w:val="22"/>
              </w:rPr>
            </w:pPr>
            <w:r w:rsidRPr="000B1FC4">
              <w:rPr>
                <w:rFonts w:cs="Arial"/>
                <w:b w:val="0"/>
                <w:szCs w:val="22"/>
              </w:rPr>
              <w:t>B</w:t>
            </w:r>
            <w:r>
              <w:rPr>
                <w:rFonts w:cs="Arial"/>
                <w:b w:val="0"/>
                <w:szCs w:val="22"/>
              </w:rPr>
              <w:t>and 2</w:t>
            </w:r>
          </w:p>
        </w:tc>
        <w:tc>
          <w:tcPr>
            <w:tcW w:w="1701" w:type="dxa"/>
          </w:tcPr>
          <w:p w14:paraId="5C5D6F4E" w14:textId="30F17774" w:rsidR="00BB7234" w:rsidRPr="000B1FC4" w:rsidRDefault="00BB7234" w:rsidP="00BB7234">
            <w:pPr>
              <w:pStyle w:val="Heading1"/>
              <w:jc w:val="center"/>
              <w:rPr>
                <w:rFonts w:cs="Arial"/>
                <w:b w:val="0"/>
                <w:szCs w:val="22"/>
              </w:rPr>
            </w:pPr>
            <w:r>
              <w:rPr>
                <w:rFonts w:cs="Arial"/>
                <w:b w:val="0"/>
                <w:szCs w:val="22"/>
              </w:rPr>
              <w:t>£50</w:t>
            </w:r>
            <w:r w:rsidRPr="000B1FC4">
              <w:rPr>
                <w:rFonts w:cs="Arial"/>
                <w:b w:val="0"/>
                <w:szCs w:val="22"/>
              </w:rPr>
              <w:t>.00</w:t>
            </w:r>
          </w:p>
        </w:tc>
        <w:tc>
          <w:tcPr>
            <w:tcW w:w="1833" w:type="dxa"/>
          </w:tcPr>
          <w:p w14:paraId="0783F528" w14:textId="6A6A6EFF" w:rsidR="00BB7234" w:rsidRPr="000B1FC4" w:rsidRDefault="00BB7234" w:rsidP="00DC60FB">
            <w:pPr>
              <w:pStyle w:val="Heading1"/>
              <w:jc w:val="center"/>
              <w:rPr>
                <w:rFonts w:cs="Arial"/>
                <w:b w:val="0"/>
                <w:szCs w:val="22"/>
              </w:rPr>
            </w:pPr>
            <w:r>
              <w:rPr>
                <w:rFonts w:cs="Arial"/>
                <w:b w:val="0"/>
                <w:szCs w:val="22"/>
              </w:rPr>
              <w:t>£55.00</w:t>
            </w:r>
          </w:p>
        </w:tc>
        <w:tc>
          <w:tcPr>
            <w:tcW w:w="2272" w:type="dxa"/>
          </w:tcPr>
          <w:p w14:paraId="6C60AFA2" w14:textId="77777777" w:rsidR="00BB7234" w:rsidRPr="000B1FC4" w:rsidRDefault="00BB7234" w:rsidP="00DC60FB">
            <w:pPr>
              <w:pStyle w:val="Heading1"/>
              <w:jc w:val="center"/>
              <w:rPr>
                <w:rFonts w:cs="Arial"/>
                <w:b w:val="0"/>
                <w:szCs w:val="22"/>
              </w:rPr>
            </w:pPr>
          </w:p>
        </w:tc>
      </w:tr>
      <w:tr w:rsidR="00BB7234" w:rsidRPr="00923945" w14:paraId="4EBB33DC" w14:textId="77777777" w:rsidTr="00DC60FB">
        <w:trPr>
          <w:trHeight w:val="227"/>
        </w:trPr>
        <w:tc>
          <w:tcPr>
            <w:tcW w:w="1730" w:type="dxa"/>
          </w:tcPr>
          <w:p w14:paraId="0806F671" w14:textId="77777777" w:rsidR="00BB7234" w:rsidRPr="000B1FC4" w:rsidRDefault="00BB7234" w:rsidP="00DC60FB">
            <w:pPr>
              <w:pStyle w:val="Heading1"/>
              <w:jc w:val="center"/>
              <w:rPr>
                <w:rFonts w:cs="Arial"/>
                <w:b w:val="0"/>
                <w:szCs w:val="22"/>
              </w:rPr>
            </w:pPr>
            <w:r>
              <w:rPr>
                <w:rFonts w:cs="Arial"/>
                <w:b w:val="0"/>
                <w:szCs w:val="22"/>
              </w:rPr>
              <w:t>Band 3</w:t>
            </w:r>
          </w:p>
        </w:tc>
        <w:tc>
          <w:tcPr>
            <w:tcW w:w="1701" w:type="dxa"/>
          </w:tcPr>
          <w:p w14:paraId="0E291164" w14:textId="4DCF7013" w:rsidR="00BB7234" w:rsidRPr="000B1FC4" w:rsidRDefault="00BB7234" w:rsidP="00DC60FB">
            <w:pPr>
              <w:pStyle w:val="Heading1"/>
              <w:jc w:val="center"/>
              <w:rPr>
                <w:rFonts w:cs="Arial"/>
                <w:b w:val="0"/>
                <w:szCs w:val="22"/>
              </w:rPr>
            </w:pPr>
            <w:r>
              <w:rPr>
                <w:rFonts w:cs="Arial"/>
                <w:b w:val="0"/>
                <w:szCs w:val="22"/>
              </w:rPr>
              <w:t>£40</w:t>
            </w:r>
            <w:r w:rsidRPr="000B1FC4">
              <w:rPr>
                <w:rFonts w:cs="Arial"/>
                <w:b w:val="0"/>
                <w:szCs w:val="22"/>
              </w:rPr>
              <w:t>.00</w:t>
            </w:r>
          </w:p>
        </w:tc>
        <w:tc>
          <w:tcPr>
            <w:tcW w:w="1833" w:type="dxa"/>
          </w:tcPr>
          <w:p w14:paraId="588CCF9E" w14:textId="1387114D" w:rsidR="00BB7234" w:rsidRPr="000B1FC4" w:rsidRDefault="00BB7234" w:rsidP="00DC60FB">
            <w:pPr>
              <w:pStyle w:val="Heading1"/>
              <w:jc w:val="center"/>
              <w:rPr>
                <w:rFonts w:cs="Arial"/>
                <w:b w:val="0"/>
                <w:szCs w:val="22"/>
              </w:rPr>
            </w:pPr>
            <w:r>
              <w:rPr>
                <w:rFonts w:cs="Arial"/>
                <w:b w:val="0"/>
                <w:szCs w:val="22"/>
              </w:rPr>
              <w:t>£35.00</w:t>
            </w:r>
          </w:p>
        </w:tc>
        <w:tc>
          <w:tcPr>
            <w:tcW w:w="2272" w:type="dxa"/>
          </w:tcPr>
          <w:p w14:paraId="2D05B345" w14:textId="77777777" w:rsidR="00BB7234" w:rsidRPr="000B1FC4" w:rsidRDefault="00BB7234" w:rsidP="00DC60FB">
            <w:pPr>
              <w:pStyle w:val="Heading1"/>
              <w:jc w:val="center"/>
              <w:rPr>
                <w:rFonts w:cs="Arial"/>
                <w:b w:val="0"/>
                <w:szCs w:val="22"/>
              </w:rPr>
            </w:pPr>
          </w:p>
        </w:tc>
      </w:tr>
      <w:tr w:rsidR="00BB7234" w:rsidRPr="00923945" w14:paraId="4E2163BA" w14:textId="77777777" w:rsidTr="00DC60FB">
        <w:trPr>
          <w:trHeight w:val="227"/>
        </w:trPr>
        <w:tc>
          <w:tcPr>
            <w:tcW w:w="1730" w:type="dxa"/>
          </w:tcPr>
          <w:p w14:paraId="7EC157EF" w14:textId="77777777" w:rsidR="00BB7234" w:rsidRPr="000B1FC4" w:rsidRDefault="00BB7234" w:rsidP="00DC60FB">
            <w:pPr>
              <w:pStyle w:val="Heading1"/>
              <w:rPr>
                <w:rFonts w:cs="Arial"/>
                <w:b w:val="0"/>
                <w:szCs w:val="22"/>
              </w:rPr>
            </w:pPr>
            <w:r>
              <w:rPr>
                <w:rFonts w:cs="Arial"/>
                <w:b w:val="0"/>
                <w:szCs w:val="22"/>
              </w:rPr>
              <w:t xml:space="preserve">      Band 4</w:t>
            </w:r>
          </w:p>
        </w:tc>
        <w:tc>
          <w:tcPr>
            <w:tcW w:w="1701" w:type="dxa"/>
          </w:tcPr>
          <w:p w14:paraId="5A5763EF" w14:textId="77777777" w:rsidR="00BB7234" w:rsidRPr="000B1FC4" w:rsidRDefault="00BB7234" w:rsidP="00DC60FB">
            <w:pPr>
              <w:pStyle w:val="Heading1"/>
              <w:jc w:val="center"/>
              <w:rPr>
                <w:rFonts w:cs="Arial"/>
                <w:b w:val="0"/>
                <w:szCs w:val="22"/>
              </w:rPr>
            </w:pPr>
            <w:r>
              <w:rPr>
                <w:rFonts w:cs="Arial"/>
                <w:b w:val="0"/>
                <w:szCs w:val="22"/>
              </w:rPr>
              <w:t>£25</w:t>
            </w:r>
            <w:r w:rsidRPr="000B1FC4">
              <w:rPr>
                <w:rFonts w:cs="Arial"/>
                <w:b w:val="0"/>
                <w:szCs w:val="22"/>
              </w:rPr>
              <w:t>.00</w:t>
            </w:r>
          </w:p>
        </w:tc>
        <w:tc>
          <w:tcPr>
            <w:tcW w:w="1833" w:type="dxa"/>
          </w:tcPr>
          <w:p w14:paraId="65A1A841" w14:textId="46DB97BA" w:rsidR="00BB7234" w:rsidRPr="000B1FC4" w:rsidRDefault="00BB7234" w:rsidP="00DC60FB">
            <w:pPr>
              <w:pStyle w:val="Heading1"/>
              <w:jc w:val="center"/>
              <w:rPr>
                <w:rFonts w:cs="Arial"/>
                <w:b w:val="0"/>
                <w:szCs w:val="22"/>
              </w:rPr>
            </w:pPr>
            <w:r>
              <w:rPr>
                <w:rFonts w:cs="Arial"/>
                <w:b w:val="0"/>
                <w:szCs w:val="22"/>
              </w:rPr>
              <w:t>£25.00</w:t>
            </w:r>
          </w:p>
        </w:tc>
        <w:tc>
          <w:tcPr>
            <w:tcW w:w="2272" w:type="dxa"/>
          </w:tcPr>
          <w:p w14:paraId="05C0BD0E" w14:textId="77777777" w:rsidR="00BB7234" w:rsidRPr="000B1FC4" w:rsidRDefault="00BB7234" w:rsidP="00DC60FB">
            <w:pPr>
              <w:pStyle w:val="Heading1"/>
              <w:jc w:val="center"/>
              <w:rPr>
                <w:rFonts w:cs="Arial"/>
                <w:b w:val="0"/>
                <w:szCs w:val="22"/>
              </w:rPr>
            </w:pPr>
          </w:p>
        </w:tc>
      </w:tr>
      <w:tr w:rsidR="00BB7234" w:rsidRPr="00923945" w14:paraId="5BBFC179" w14:textId="77777777" w:rsidTr="00DC60FB">
        <w:trPr>
          <w:trHeight w:val="227"/>
        </w:trPr>
        <w:tc>
          <w:tcPr>
            <w:tcW w:w="1730" w:type="dxa"/>
          </w:tcPr>
          <w:p w14:paraId="71FBC5C3" w14:textId="77777777" w:rsidR="00BB7234" w:rsidRDefault="00BB7234" w:rsidP="00DC60FB">
            <w:pPr>
              <w:pStyle w:val="Heading1"/>
              <w:rPr>
                <w:rFonts w:cs="Arial"/>
                <w:b w:val="0"/>
                <w:szCs w:val="22"/>
              </w:rPr>
            </w:pPr>
            <w:r>
              <w:rPr>
                <w:rFonts w:cs="Arial"/>
                <w:b w:val="0"/>
                <w:szCs w:val="22"/>
              </w:rPr>
              <w:t>Average Rate</w:t>
            </w:r>
          </w:p>
        </w:tc>
        <w:tc>
          <w:tcPr>
            <w:tcW w:w="1701" w:type="dxa"/>
          </w:tcPr>
          <w:p w14:paraId="62DEB8F5" w14:textId="5A08A3F8" w:rsidR="00BB7234" w:rsidRPr="000B1FC4" w:rsidRDefault="00BB7234" w:rsidP="00DC60FB">
            <w:pPr>
              <w:pStyle w:val="Heading1"/>
              <w:jc w:val="center"/>
              <w:rPr>
                <w:rFonts w:cs="Arial"/>
                <w:b w:val="0"/>
                <w:szCs w:val="22"/>
              </w:rPr>
            </w:pPr>
            <w:r>
              <w:rPr>
                <w:rFonts w:cs="Arial"/>
                <w:b w:val="0"/>
                <w:szCs w:val="22"/>
              </w:rPr>
              <w:t>£47.50</w:t>
            </w:r>
          </w:p>
        </w:tc>
        <w:tc>
          <w:tcPr>
            <w:tcW w:w="1833" w:type="dxa"/>
          </w:tcPr>
          <w:p w14:paraId="156A773B" w14:textId="01D84FC6" w:rsidR="00BB7234" w:rsidRDefault="00BB7234" w:rsidP="00DC60FB">
            <w:pPr>
              <w:pStyle w:val="Heading1"/>
              <w:jc w:val="center"/>
              <w:rPr>
                <w:rFonts w:cs="Arial"/>
                <w:b w:val="0"/>
                <w:szCs w:val="22"/>
              </w:rPr>
            </w:pPr>
            <w:r>
              <w:rPr>
                <w:rFonts w:cs="Arial"/>
                <w:b w:val="0"/>
                <w:szCs w:val="22"/>
              </w:rPr>
              <w:t>£45.00</w:t>
            </w:r>
          </w:p>
        </w:tc>
        <w:tc>
          <w:tcPr>
            <w:tcW w:w="2272" w:type="dxa"/>
          </w:tcPr>
          <w:p w14:paraId="306CDF50" w14:textId="42F8639D" w:rsidR="00BB7234" w:rsidRPr="000B1FC4" w:rsidRDefault="00BB7234" w:rsidP="00BB7234">
            <w:pPr>
              <w:pStyle w:val="Heading1"/>
              <w:jc w:val="center"/>
              <w:rPr>
                <w:rFonts w:cs="Arial"/>
                <w:b w:val="0"/>
                <w:szCs w:val="22"/>
              </w:rPr>
            </w:pPr>
            <w:r>
              <w:rPr>
                <w:rFonts w:cs="Arial"/>
                <w:b w:val="0"/>
                <w:szCs w:val="22"/>
              </w:rPr>
              <w:t>£46.25</w:t>
            </w:r>
          </w:p>
        </w:tc>
      </w:tr>
    </w:tbl>
    <w:p w14:paraId="656C8582" w14:textId="77777777" w:rsidR="007B792A" w:rsidRDefault="007B792A" w:rsidP="00455919">
      <w:pPr>
        <w:pStyle w:val="Body1"/>
        <w:ind w:left="0"/>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1833"/>
        <w:gridCol w:w="2272"/>
      </w:tblGrid>
      <w:tr w:rsidR="001E7B59" w:rsidRPr="001E7B59" w14:paraId="6E19150F" w14:textId="77777777" w:rsidTr="001E7B59">
        <w:trPr>
          <w:trHeight w:val="299"/>
        </w:trPr>
        <w:tc>
          <w:tcPr>
            <w:tcW w:w="1730" w:type="dxa"/>
            <w:shd w:val="clear" w:color="auto" w:fill="990099"/>
          </w:tcPr>
          <w:p w14:paraId="2926022C" w14:textId="77777777" w:rsidR="00EE11AB" w:rsidRPr="001E7B59" w:rsidRDefault="00EE11AB" w:rsidP="00DC60FB">
            <w:pPr>
              <w:pStyle w:val="Heading1"/>
              <w:jc w:val="center"/>
              <w:rPr>
                <w:rFonts w:cs="Arial"/>
                <w:color w:val="FFFFFF" w:themeColor="background1"/>
                <w:szCs w:val="22"/>
              </w:rPr>
            </w:pPr>
          </w:p>
          <w:p w14:paraId="322E260E" w14:textId="29F7B246" w:rsidR="00EE11AB" w:rsidRPr="001E7B59" w:rsidRDefault="00EE11AB" w:rsidP="00DC60FB">
            <w:pPr>
              <w:pStyle w:val="Heading1"/>
              <w:jc w:val="center"/>
              <w:rPr>
                <w:rFonts w:cs="Arial"/>
                <w:color w:val="FFFFFF" w:themeColor="background1"/>
                <w:szCs w:val="22"/>
              </w:rPr>
            </w:pPr>
            <w:r w:rsidRPr="001E7B59">
              <w:rPr>
                <w:rFonts w:cs="Arial"/>
                <w:color w:val="FFFFFF" w:themeColor="background1"/>
                <w:szCs w:val="22"/>
              </w:rPr>
              <w:t>Tenderer D</w:t>
            </w:r>
          </w:p>
          <w:p w14:paraId="2F76B949" w14:textId="77777777" w:rsidR="00EE11AB" w:rsidRPr="001E7B59" w:rsidRDefault="00EE11AB" w:rsidP="00DC60FB">
            <w:pPr>
              <w:rPr>
                <w:color w:val="FFFFFF" w:themeColor="background1"/>
                <w:sz w:val="22"/>
                <w:szCs w:val="22"/>
              </w:rPr>
            </w:pPr>
          </w:p>
        </w:tc>
        <w:tc>
          <w:tcPr>
            <w:tcW w:w="1701" w:type="dxa"/>
            <w:shd w:val="clear" w:color="auto" w:fill="990099"/>
          </w:tcPr>
          <w:p w14:paraId="78AEE2F5" w14:textId="77777777" w:rsidR="00EE11AB" w:rsidRPr="001E7B59" w:rsidRDefault="00EE11AB" w:rsidP="00DC60FB">
            <w:pPr>
              <w:pStyle w:val="Heading1"/>
              <w:jc w:val="center"/>
              <w:rPr>
                <w:rFonts w:cs="Arial"/>
                <w:color w:val="FFFFFF" w:themeColor="background1"/>
                <w:szCs w:val="22"/>
              </w:rPr>
            </w:pPr>
          </w:p>
          <w:p w14:paraId="6845CF1B" w14:textId="77777777" w:rsidR="00EE11AB" w:rsidRPr="001E7B59" w:rsidRDefault="00EE11AB" w:rsidP="00DC60FB">
            <w:pPr>
              <w:pStyle w:val="Heading1"/>
              <w:jc w:val="center"/>
              <w:rPr>
                <w:rFonts w:cs="Arial"/>
                <w:b w:val="0"/>
                <w:color w:val="FFFFFF" w:themeColor="background1"/>
                <w:szCs w:val="22"/>
              </w:rPr>
            </w:pPr>
            <w:r w:rsidRPr="001E7B59">
              <w:rPr>
                <w:rFonts w:cs="Arial"/>
                <w:color w:val="FFFFFF" w:themeColor="background1"/>
                <w:szCs w:val="22"/>
              </w:rPr>
              <w:t>Hourly Rate 1</w:t>
            </w:r>
          </w:p>
        </w:tc>
        <w:tc>
          <w:tcPr>
            <w:tcW w:w="1833" w:type="dxa"/>
            <w:shd w:val="clear" w:color="auto" w:fill="990099"/>
          </w:tcPr>
          <w:p w14:paraId="5927339F" w14:textId="77777777" w:rsidR="00EE11AB" w:rsidRPr="001E7B59" w:rsidRDefault="00EE11AB" w:rsidP="00DC60FB">
            <w:pPr>
              <w:pStyle w:val="Heading1"/>
              <w:jc w:val="center"/>
              <w:rPr>
                <w:rFonts w:cs="Arial"/>
                <w:color w:val="FFFFFF" w:themeColor="background1"/>
                <w:szCs w:val="22"/>
              </w:rPr>
            </w:pPr>
          </w:p>
          <w:p w14:paraId="4FF43B6B" w14:textId="77777777" w:rsidR="00EE11AB" w:rsidRPr="001E7B59" w:rsidRDefault="00EE11AB" w:rsidP="00DC60FB">
            <w:pPr>
              <w:pStyle w:val="Heading1"/>
              <w:jc w:val="center"/>
              <w:rPr>
                <w:rFonts w:cs="Arial"/>
                <w:b w:val="0"/>
                <w:color w:val="FFFFFF" w:themeColor="background1"/>
                <w:szCs w:val="22"/>
              </w:rPr>
            </w:pPr>
            <w:r w:rsidRPr="001E7B59">
              <w:rPr>
                <w:rFonts w:cs="Arial"/>
                <w:color w:val="FFFFFF" w:themeColor="background1"/>
                <w:szCs w:val="22"/>
              </w:rPr>
              <w:t>Hourly Rate 2</w:t>
            </w:r>
          </w:p>
        </w:tc>
        <w:tc>
          <w:tcPr>
            <w:tcW w:w="2272" w:type="dxa"/>
            <w:shd w:val="clear" w:color="auto" w:fill="990099"/>
          </w:tcPr>
          <w:p w14:paraId="67985DD9" w14:textId="77777777" w:rsidR="00EE11AB" w:rsidRPr="001E7B59" w:rsidRDefault="00EE11AB" w:rsidP="00DC60FB">
            <w:pPr>
              <w:pStyle w:val="Heading1"/>
              <w:jc w:val="center"/>
              <w:rPr>
                <w:rFonts w:cs="Arial"/>
                <w:color w:val="FFFFFF" w:themeColor="background1"/>
                <w:szCs w:val="22"/>
              </w:rPr>
            </w:pPr>
          </w:p>
          <w:p w14:paraId="5B552FD6" w14:textId="77777777" w:rsidR="00EE11AB" w:rsidRPr="001E7B59" w:rsidRDefault="00EE11AB" w:rsidP="00DC60FB">
            <w:pPr>
              <w:pStyle w:val="Heading1"/>
              <w:jc w:val="center"/>
              <w:rPr>
                <w:rFonts w:cs="Arial"/>
                <w:color w:val="FFFFFF" w:themeColor="background1"/>
                <w:szCs w:val="22"/>
              </w:rPr>
            </w:pPr>
            <w:r w:rsidRPr="001E7B59">
              <w:rPr>
                <w:rFonts w:cs="Arial"/>
                <w:color w:val="FFFFFF" w:themeColor="background1"/>
                <w:szCs w:val="22"/>
              </w:rPr>
              <w:t>Tendered Price</w:t>
            </w:r>
          </w:p>
        </w:tc>
      </w:tr>
      <w:tr w:rsidR="00EE11AB" w:rsidRPr="00923945" w14:paraId="622A1948" w14:textId="77777777" w:rsidTr="00DC60FB">
        <w:trPr>
          <w:trHeight w:val="227"/>
        </w:trPr>
        <w:tc>
          <w:tcPr>
            <w:tcW w:w="1730" w:type="dxa"/>
          </w:tcPr>
          <w:p w14:paraId="5349C501" w14:textId="77777777" w:rsidR="00EE11AB" w:rsidRPr="000B1FC4" w:rsidRDefault="00EE11AB" w:rsidP="00DC60FB">
            <w:pPr>
              <w:pStyle w:val="Heading1"/>
              <w:jc w:val="center"/>
              <w:rPr>
                <w:rFonts w:cs="Arial"/>
                <w:b w:val="0"/>
                <w:szCs w:val="22"/>
              </w:rPr>
            </w:pPr>
            <w:r>
              <w:rPr>
                <w:rFonts w:cs="Arial"/>
                <w:b w:val="0"/>
                <w:szCs w:val="22"/>
              </w:rPr>
              <w:t>Band1</w:t>
            </w:r>
          </w:p>
        </w:tc>
        <w:tc>
          <w:tcPr>
            <w:tcW w:w="1701" w:type="dxa"/>
          </w:tcPr>
          <w:p w14:paraId="50178836" w14:textId="6E8D432C" w:rsidR="00EE11AB" w:rsidRPr="000B1FC4" w:rsidRDefault="001E7B59" w:rsidP="00DC60FB">
            <w:pPr>
              <w:pStyle w:val="Heading1"/>
              <w:jc w:val="center"/>
              <w:rPr>
                <w:rFonts w:cs="Arial"/>
                <w:b w:val="0"/>
                <w:szCs w:val="22"/>
              </w:rPr>
            </w:pPr>
            <w:r>
              <w:rPr>
                <w:rFonts w:cs="Arial"/>
                <w:b w:val="0"/>
                <w:szCs w:val="22"/>
              </w:rPr>
              <w:t>£70</w:t>
            </w:r>
            <w:r w:rsidR="00EE11AB" w:rsidRPr="000B1FC4">
              <w:rPr>
                <w:rFonts w:cs="Arial"/>
                <w:b w:val="0"/>
                <w:szCs w:val="22"/>
              </w:rPr>
              <w:t>.00</w:t>
            </w:r>
          </w:p>
        </w:tc>
        <w:tc>
          <w:tcPr>
            <w:tcW w:w="1833" w:type="dxa"/>
          </w:tcPr>
          <w:p w14:paraId="31D15915" w14:textId="6B40177E" w:rsidR="00EE11AB" w:rsidRPr="000B1FC4" w:rsidRDefault="001E7B59" w:rsidP="00DC60FB">
            <w:pPr>
              <w:pStyle w:val="Heading1"/>
              <w:jc w:val="center"/>
              <w:rPr>
                <w:rFonts w:cs="Arial"/>
                <w:b w:val="0"/>
                <w:szCs w:val="22"/>
              </w:rPr>
            </w:pPr>
            <w:r>
              <w:rPr>
                <w:rFonts w:cs="Arial"/>
                <w:b w:val="0"/>
                <w:szCs w:val="22"/>
              </w:rPr>
              <w:t>£70</w:t>
            </w:r>
            <w:r w:rsidR="00EE11AB">
              <w:rPr>
                <w:rFonts w:cs="Arial"/>
                <w:b w:val="0"/>
                <w:szCs w:val="22"/>
              </w:rPr>
              <w:t>.00</w:t>
            </w:r>
          </w:p>
        </w:tc>
        <w:tc>
          <w:tcPr>
            <w:tcW w:w="2272" w:type="dxa"/>
          </w:tcPr>
          <w:p w14:paraId="47534FD2" w14:textId="77777777" w:rsidR="00EE11AB" w:rsidRPr="000B1FC4" w:rsidRDefault="00EE11AB" w:rsidP="00DC60FB">
            <w:pPr>
              <w:pStyle w:val="Heading1"/>
              <w:jc w:val="center"/>
              <w:rPr>
                <w:rFonts w:cs="Arial"/>
                <w:b w:val="0"/>
                <w:szCs w:val="22"/>
              </w:rPr>
            </w:pPr>
          </w:p>
        </w:tc>
      </w:tr>
      <w:tr w:rsidR="00EE11AB" w:rsidRPr="00923945" w14:paraId="0AE93E64" w14:textId="77777777" w:rsidTr="00DC60FB">
        <w:trPr>
          <w:trHeight w:val="227"/>
        </w:trPr>
        <w:tc>
          <w:tcPr>
            <w:tcW w:w="1730" w:type="dxa"/>
          </w:tcPr>
          <w:p w14:paraId="0418D1E0" w14:textId="77777777" w:rsidR="00EE11AB" w:rsidRPr="000B1FC4" w:rsidRDefault="00EE11AB" w:rsidP="00DC60FB">
            <w:pPr>
              <w:pStyle w:val="Heading1"/>
              <w:jc w:val="center"/>
              <w:rPr>
                <w:rFonts w:cs="Arial"/>
                <w:b w:val="0"/>
                <w:szCs w:val="22"/>
              </w:rPr>
            </w:pPr>
            <w:r w:rsidRPr="000B1FC4">
              <w:rPr>
                <w:rFonts w:cs="Arial"/>
                <w:b w:val="0"/>
                <w:szCs w:val="22"/>
              </w:rPr>
              <w:t>B</w:t>
            </w:r>
            <w:r>
              <w:rPr>
                <w:rFonts w:cs="Arial"/>
                <w:b w:val="0"/>
                <w:szCs w:val="22"/>
              </w:rPr>
              <w:t>and 2</w:t>
            </w:r>
          </w:p>
        </w:tc>
        <w:tc>
          <w:tcPr>
            <w:tcW w:w="1701" w:type="dxa"/>
          </w:tcPr>
          <w:p w14:paraId="4738355F" w14:textId="77777777" w:rsidR="00EE11AB" w:rsidRPr="000B1FC4" w:rsidRDefault="00EE11AB" w:rsidP="00DC60FB">
            <w:pPr>
              <w:pStyle w:val="Heading1"/>
              <w:jc w:val="center"/>
              <w:rPr>
                <w:rFonts w:cs="Arial"/>
                <w:b w:val="0"/>
                <w:szCs w:val="22"/>
              </w:rPr>
            </w:pPr>
            <w:r>
              <w:rPr>
                <w:rFonts w:cs="Arial"/>
                <w:b w:val="0"/>
                <w:szCs w:val="22"/>
              </w:rPr>
              <w:t>£50</w:t>
            </w:r>
            <w:r w:rsidRPr="000B1FC4">
              <w:rPr>
                <w:rFonts w:cs="Arial"/>
                <w:b w:val="0"/>
                <w:szCs w:val="22"/>
              </w:rPr>
              <w:t>.00</w:t>
            </w:r>
          </w:p>
        </w:tc>
        <w:tc>
          <w:tcPr>
            <w:tcW w:w="1833" w:type="dxa"/>
          </w:tcPr>
          <w:p w14:paraId="526463CA" w14:textId="603DB75B" w:rsidR="00EE11AB" w:rsidRPr="000B1FC4" w:rsidRDefault="00EE11AB" w:rsidP="00DC60FB">
            <w:pPr>
              <w:pStyle w:val="Heading1"/>
              <w:jc w:val="center"/>
              <w:rPr>
                <w:rFonts w:cs="Arial"/>
                <w:b w:val="0"/>
                <w:szCs w:val="22"/>
              </w:rPr>
            </w:pPr>
            <w:r>
              <w:rPr>
                <w:rFonts w:cs="Arial"/>
                <w:b w:val="0"/>
                <w:szCs w:val="22"/>
              </w:rPr>
              <w:t>£</w:t>
            </w:r>
            <w:r w:rsidR="001E7B59">
              <w:rPr>
                <w:rFonts w:cs="Arial"/>
                <w:b w:val="0"/>
                <w:szCs w:val="22"/>
              </w:rPr>
              <w:t>50</w:t>
            </w:r>
            <w:r>
              <w:rPr>
                <w:rFonts w:cs="Arial"/>
                <w:b w:val="0"/>
                <w:szCs w:val="22"/>
              </w:rPr>
              <w:t>.00</w:t>
            </w:r>
          </w:p>
        </w:tc>
        <w:tc>
          <w:tcPr>
            <w:tcW w:w="2272" w:type="dxa"/>
          </w:tcPr>
          <w:p w14:paraId="705513E5" w14:textId="77777777" w:rsidR="00EE11AB" w:rsidRPr="000B1FC4" w:rsidRDefault="00EE11AB" w:rsidP="00DC60FB">
            <w:pPr>
              <w:pStyle w:val="Heading1"/>
              <w:jc w:val="center"/>
              <w:rPr>
                <w:rFonts w:cs="Arial"/>
                <w:b w:val="0"/>
                <w:szCs w:val="22"/>
              </w:rPr>
            </w:pPr>
          </w:p>
        </w:tc>
      </w:tr>
      <w:tr w:rsidR="00EE11AB" w:rsidRPr="00923945" w14:paraId="5CEB1664" w14:textId="77777777" w:rsidTr="00DC60FB">
        <w:trPr>
          <w:trHeight w:val="227"/>
        </w:trPr>
        <w:tc>
          <w:tcPr>
            <w:tcW w:w="1730" w:type="dxa"/>
          </w:tcPr>
          <w:p w14:paraId="310B4218" w14:textId="77777777" w:rsidR="00EE11AB" w:rsidRPr="000B1FC4" w:rsidRDefault="00EE11AB" w:rsidP="00DC60FB">
            <w:pPr>
              <w:pStyle w:val="Heading1"/>
              <w:jc w:val="center"/>
              <w:rPr>
                <w:rFonts w:cs="Arial"/>
                <w:b w:val="0"/>
                <w:szCs w:val="22"/>
              </w:rPr>
            </w:pPr>
            <w:r>
              <w:rPr>
                <w:rFonts w:cs="Arial"/>
                <w:b w:val="0"/>
                <w:szCs w:val="22"/>
              </w:rPr>
              <w:t>Band 3</w:t>
            </w:r>
          </w:p>
        </w:tc>
        <w:tc>
          <w:tcPr>
            <w:tcW w:w="1701" w:type="dxa"/>
          </w:tcPr>
          <w:p w14:paraId="17F35C4D" w14:textId="77777777" w:rsidR="00EE11AB" w:rsidRPr="000B1FC4" w:rsidRDefault="00EE11AB" w:rsidP="00DC60FB">
            <w:pPr>
              <w:pStyle w:val="Heading1"/>
              <w:jc w:val="center"/>
              <w:rPr>
                <w:rFonts w:cs="Arial"/>
                <w:b w:val="0"/>
                <w:szCs w:val="22"/>
              </w:rPr>
            </w:pPr>
            <w:r>
              <w:rPr>
                <w:rFonts w:cs="Arial"/>
                <w:b w:val="0"/>
                <w:szCs w:val="22"/>
              </w:rPr>
              <w:t>£40</w:t>
            </w:r>
            <w:r w:rsidRPr="000B1FC4">
              <w:rPr>
                <w:rFonts w:cs="Arial"/>
                <w:b w:val="0"/>
                <w:szCs w:val="22"/>
              </w:rPr>
              <w:t>.00</w:t>
            </w:r>
          </w:p>
        </w:tc>
        <w:tc>
          <w:tcPr>
            <w:tcW w:w="1833" w:type="dxa"/>
          </w:tcPr>
          <w:p w14:paraId="6E28B7AF" w14:textId="0F43FC02" w:rsidR="00EE11AB" w:rsidRPr="000B1FC4" w:rsidRDefault="001E7B59" w:rsidP="00DC60FB">
            <w:pPr>
              <w:pStyle w:val="Heading1"/>
              <w:jc w:val="center"/>
              <w:rPr>
                <w:rFonts w:cs="Arial"/>
                <w:b w:val="0"/>
                <w:szCs w:val="22"/>
              </w:rPr>
            </w:pPr>
            <w:r>
              <w:rPr>
                <w:rFonts w:cs="Arial"/>
                <w:b w:val="0"/>
                <w:szCs w:val="22"/>
              </w:rPr>
              <w:t>£40</w:t>
            </w:r>
            <w:r w:rsidR="00EE11AB">
              <w:rPr>
                <w:rFonts w:cs="Arial"/>
                <w:b w:val="0"/>
                <w:szCs w:val="22"/>
              </w:rPr>
              <w:t>.00</w:t>
            </w:r>
          </w:p>
        </w:tc>
        <w:tc>
          <w:tcPr>
            <w:tcW w:w="2272" w:type="dxa"/>
          </w:tcPr>
          <w:p w14:paraId="2B1B99E1" w14:textId="77777777" w:rsidR="00EE11AB" w:rsidRPr="000B1FC4" w:rsidRDefault="00EE11AB" w:rsidP="00DC60FB">
            <w:pPr>
              <w:pStyle w:val="Heading1"/>
              <w:jc w:val="center"/>
              <w:rPr>
                <w:rFonts w:cs="Arial"/>
                <w:b w:val="0"/>
                <w:szCs w:val="22"/>
              </w:rPr>
            </w:pPr>
          </w:p>
        </w:tc>
      </w:tr>
      <w:tr w:rsidR="00EE11AB" w:rsidRPr="00923945" w14:paraId="49B2E83B" w14:textId="77777777" w:rsidTr="00DC60FB">
        <w:trPr>
          <w:trHeight w:val="227"/>
        </w:trPr>
        <w:tc>
          <w:tcPr>
            <w:tcW w:w="1730" w:type="dxa"/>
          </w:tcPr>
          <w:p w14:paraId="41C6E95F" w14:textId="77777777" w:rsidR="00EE11AB" w:rsidRPr="000B1FC4" w:rsidRDefault="00EE11AB" w:rsidP="00DC60FB">
            <w:pPr>
              <w:pStyle w:val="Heading1"/>
              <w:rPr>
                <w:rFonts w:cs="Arial"/>
                <w:b w:val="0"/>
                <w:szCs w:val="22"/>
              </w:rPr>
            </w:pPr>
            <w:r>
              <w:rPr>
                <w:rFonts w:cs="Arial"/>
                <w:b w:val="0"/>
                <w:szCs w:val="22"/>
              </w:rPr>
              <w:t xml:space="preserve">      Band 4</w:t>
            </w:r>
          </w:p>
        </w:tc>
        <w:tc>
          <w:tcPr>
            <w:tcW w:w="1701" w:type="dxa"/>
          </w:tcPr>
          <w:p w14:paraId="06F3C2B3" w14:textId="77777777" w:rsidR="00EE11AB" w:rsidRPr="000B1FC4" w:rsidRDefault="00EE11AB" w:rsidP="00DC60FB">
            <w:pPr>
              <w:pStyle w:val="Heading1"/>
              <w:jc w:val="center"/>
              <w:rPr>
                <w:rFonts w:cs="Arial"/>
                <w:b w:val="0"/>
                <w:szCs w:val="22"/>
              </w:rPr>
            </w:pPr>
            <w:r>
              <w:rPr>
                <w:rFonts w:cs="Arial"/>
                <w:b w:val="0"/>
                <w:szCs w:val="22"/>
              </w:rPr>
              <w:t>£25</w:t>
            </w:r>
            <w:r w:rsidRPr="000B1FC4">
              <w:rPr>
                <w:rFonts w:cs="Arial"/>
                <w:b w:val="0"/>
                <w:szCs w:val="22"/>
              </w:rPr>
              <w:t>.00</w:t>
            </w:r>
          </w:p>
        </w:tc>
        <w:tc>
          <w:tcPr>
            <w:tcW w:w="1833" w:type="dxa"/>
          </w:tcPr>
          <w:p w14:paraId="5080F0B1" w14:textId="77777777" w:rsidR="00EE11AB" w:rsidRPr="000B1FC4" w:rsidRDefault="00EE11AB" w:rsidP="00DC60FB">
            <w:pPr>
              <w:pStyle w:val="Heading1"/>
              <w:jc w:val="center"/>
              <w:rPr>
                <w:rFonts w:cs="Arial"/>
                <w:b w:val="0"/>
                <w:szCs w:val="22"/>
              </w:rPr>
            </w:pPr>
            <w:r>
              <w:rPr>
                <w:rFonts w:cs="Arial"/>
                <w:b w:val="0"/>
                <w:szCs w:val="22"/>
              </w:rPr>
              <w:t>£25.00</w:t>
            </w:r>
          </w:p>
        </w:tc>
        <w:tc>
          <w:tcPr>
            <w:tcW w:w="2272" w:type="dxa"/>
          </w:tcPr>
          <w:p w14:paraId="7D9EA1D2" w14:textId="77777777" w:rsidR="00EE11AB" w:rsidRPr="000B1FC4" w:rsidRDefault="00EE11AB" w:rsidP="00DC60FB">
            <w:pPr>
              <w:pStyle w:val="Heading1"/>
              <w:jc w:val="center"/>
              <w:rPr>
                <w:rFonts w:cs="Arial"/>
                <w:b w:val="0"/>
                <w:szCs w:val="22"/>
              </w:rPr>
            </w:pPr>
          </w:p>
        </w:tc>
      </w:tr>
      <w:tr w:rsidR="00EE11AB" w:rsidRPr="00923945" w14:paraId="391002BC" w14:textId="77777777" w:rsidTr="00DC60FB">
        <w:trPr>
          <w:trHeight w:val="227"/>
        </w:trPr>
        <w:tc>
          <w:tcPr>
            <w:tcW w:w="1730" w:type="dxa"/>
          </w:tcPr>
          <w:p w14:paraId="6F83EB7C" w14:textId="77777777" w:rsidR="00EE11AB" w:rsidRDefault="00EE11AB" w:rsidP="00DC60FB">
            <w:pPr>
              <w:pStyle w:val="Heading1"/>
              <w:rPr>
                <w:rFonts w:cs="Arial"/>
                <w:b w:val="0"/>
                <w:szCs w:val="22"/>
              </w:rPr>
            </w:pPr>
            <w:r>
              <w:rPr>
                <w:rFonts w:cs="Arial"/>
                <w:b w:val="0"/>
                <w:szCs w:val="22"/>
              </w:rPr>
              <w:t>Average Rate</w:t>
            </w:r>
          </w:p>
        </w:tc>
        <w:tc>
          <w:tcPr>
            <w:tcW w:w="1701" w:type="dxa"/>
          </w:tcPr>
          <w:p w14:paraId="32EDDBE6" w14:textId="11903228" w:rsidR="00EE11AB" w:rsidRPr="000B1FC4" w:rsidRDefault="00EE11AB" w:rsidP="001E7B59">
            <w:pPr>
              <w:pStyle w:val="Heading1"/>
              <w:jc w:val="center"/>
              <w:rPr>
                <w:rFonts w:cs="Arial"/>
                <w:b w:val="0"/>
                <w:szCs w:val="22"/>
              </w:rPr>
            </w:pPr>
            <w:r>
              <w:rPr>
                <w:rFonts w:cs="Arial"/>
                <w:b w:val="0"/>
                <w:szCs w:val="22"/>
              </w:rPr>
              <w:t>£</w:t>
            </w:r>
            <w:r w:rsidR="001E7B59">
              <w:rPr>
                <w:rFonts w:cs="Arial"/>
                <w:b w:val="0"/>
                <w:szCs w:val="22"/>
              </w:rPr>
              <w:t>46.25</w:t>
            </w:r>
          </w:p>
        </w:tc>
        <w:tc>
          <w:tcPr>
            <w:tcW w:w="1833" w:type="dxa"/>
          </w:tcPr>
          <w:p w14:paraId="6A19D71A" w14:textId="79208DBD" w:rsidR="00EE11AB" w:rsidRDefault="00EE11AB" w:rsidP="00DC60FB">
            <w:pPr>
              <w:pStyle w:val="Heading1"/>
              <w:jc w:val="center"/>
              <w:rPr>
                <w:rFonts w:cs="Arial"/>
                <w:b w:val="0"/>
                <w:szCs w:val="22"/>
              </w:rPr>
            </w:pPr>
            <w:r>
              <w:rPr>
                <w:rFonts w:cs="Arial"/>
                <w:b w:val="0"/>
                <w:szCs w:val="22"/>
              </w:rPr>
              <w:t>£</w:t>
            </w:r>
            <w:r w:rsidR="001E7B59">
              <w:rPr>
                <w:rFonts w:cs="Arial"/>
                <w:b w:val="0"/>
                <w:szCs w:val="22"/>
              </w:rPr>
              <w:t>46.25</w:t>
            </w:r>
          </w:p>
        </w:tc>
        <w:tc>
          <w:tcPr>
            <w:tcW w:w="2272" w:type="dxa"/>
          </w:tcPr>
          <w:p w14:paraId="7C5DE465" w14:textId="77777777" w:rsidR="00EE11AB" w:rsidRPr="000B1FC4" w:rsidRDefault="00EE11AB" w:rsidP="00DC60FB">
            <w:pPr>
              <w:pStyle w:val="Heading1"/>
              <w:jc w:val="center"/>
              <w:rPr>
                <w:rFonts w:cs="Arial"/>
                <w:b w:val="0"/>
                <w:szCs w:val="22"/>
              </w:rPr>
            </w:pPr>
            <w:r>
              <w:rPr>
                <w:rFonts w:cs="Arial"/>
                <w:b w:val="0"/>
                <w:szCs w:val="22"/>
              </w:rPr>
              <w:t>£46.25</w:t>
            </w:r>
          </w:p>
        </w:tc>
      </w:tr>
    </w:tbl>
    <w:p w14:paraId="0F4ABF3F" w14:textId="77777777" w:rsidR="007B792A" w:rsidRDefault="007B792A" w:rsidP="00455919">
      <w:pPr>
        <w:pStyle w:val="Body1"/>
        <w:ind w:left="0"/>
        <w:rPr>
          <w:sz w:val="22"/>
          <w:szCs w:val="22"/>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1833"/>
        <w:gridCol w:w="2272"/>
      </w:tblGrid>
      <w:tr w:rsidR="00EE722D" w:rsidRPr="001E7B59" w14:paraId="069321E4" w14:textId="77777777" w:rsidTr="00EE722D">
        <w:trPr>
          <w:trHeight w:val="299"/>
        </w:trPr>
        <w:tc>
          <w:tcPr>
            <w:tcW w:w="1730" w:type="dxa"/>
            <w:shd w:val="clear" w:color="auto" w:fill="990099"/>
          </w:tcPr>
          <w:p w14:paraId="19046336" w14:textId="77777777" w:rsidR="00EE722D" w:rsidRPr="001E7B59" w:rsidRDefault="00EE722D" w:rsidP="00EE722D">
            <w:pPr>
              <w:pStyle w:val="Heading1"/>
              <w:jc w:val="center"/>
              <w:rPr>
                <w:rFonts w:cs="Arial"/>
                <w:color w:val="FFFFFF" w:themeColor="background1"/>
                <w:szCs w:val="22"/>
              </w:rPr>
            </w:pPr>
          </w:p>
          <w:p w14:paraId="585ECA1C" w14:textId="77777777" w:rsidR="00EE722D" w:rsidRPr="001E7B59" w:rsidRDefault="00EE722D" w:rsidP="00EE722D">
            <w:pPr>
              <w:pStyle w:val="Heading1"/>
              <w:jc w:val="center"/>
              <w:rPr>
                <w:rFonts w:cs="Arial"/>
                <w:color w:val="FFFFFF" w:themeColor="background1"/>
                <w:szCs w:val="22"/>
              </w:rPr>
            </w:pPr>
            <w:r w:rsidRPr="001E7B59">
              <w:rPr>
                <w:rFonts w:cs="Arial"/>
                <w:color w:val="FFFFFF" w:themeColor="background1"/>
                <w:szCs w:val="22"/>
              </w:rPr>
              <w:t>Tenderer</w:t>
            </w:r>
            <w:r>
              <w:rPr>
                <w:rFonts w:cs="Arial"/>
                <w:color w:val="FFFFFF" w:themeColor="background1"/>
                <w:szCs w:val="22"/>
              </w:rPr>
              <w:t xml:space="preserve"> E</w:t>
            </w:r>
          </w:p>
          <w:p w14:paraId="477C768D" w14:textId="77777777" w:rsidR="00EE722D" w:rsidRPr="001E7B59" w:rsidRDefault="00EE722D" w:rsidP="00EE722D">
            <w:pPr>
              <w:rPr>
                <w:color w:val="FFFFFF" w:themeColor="background1"/>
                <w:sz w:val="22"/>
                <w:szCs w:val="22"/>
              </w:rPr>
            </w:pPr>
          </w:p>
        </w:tc>
        <w:tc>
          <w:tcPr>
            <w:tcW w:w="1701" w:type="dxa"/>
            <w:shd w:val="clear" w:color="auto" w:fill="990099"/>
          </w:tcPr>
          <w:p w14:paraId="0CDCEC06" w14:textId="77777777" w:rsidR="00EE722D" w:rsidRPr="001E7B59" w:rsidRDefault="00EE722D" w:rsidP="00EE722D">
            <w:pPr>
              <w:pStyle w:val="Heading1"/>
              <w:jc w:val="center"/>
              <w:rPr>
                <w:rFonts w:cs="Arial"/>
                <w:color w:val="FFFFFF" w:themeColor="background1"/>
                <w:szCs w:val="22"/>
              </w:rPr>
            </w:pPr>
          </w:p>
          <w:p w14:paraId="12574BC5" w14:textId="77777777" w:rsidR="00EE722D" w:rsidRPr="001E7B59" w:rsidRDefault="00EE722D" w:rsidP="00EE722D">
            <w:pPr>
              <w:pStyle w:val="Heading1"/>
              <w:jc w:val="center"/>
              <w:rPr>
                <w:rFonts w:cs="Arial"/>
                <w:b w:val="0"/>
                <w:color w:val="FFFFFF" w:themeColor="background1"/>
                <w:szCs w:val="22"/>
              </w:rPr>
            </w:pPr>
            <w:r w:rsidRPr="001E7B59">
              <w:rPr>
                <w:rFonts w:cs="Arial"/>
                <w:color w:val="FFFFFF" w:themeColor="background1"/>
                <w:szCs w:val="22"/>
              </w:rPr>
              <w:t>Hourly Rate 1</w:t>
            </w:r>
          </w:p>
        </w:tc>
        <w:tc>
          <w:tcPr>
            <w:tcW w:w="1833" w:type="dxa"/>
            <w:shd w:val="clear" w:color="auto" w:fill="990099"/>
          </w:tcPr>
          <w:p w14:paraId="3A0270C6" w14:textId="77777777" w:rsidR="00EE722D" w:rsidRPr="001E7B59" w:rsidRDefault="00EE722D" w:rsidP="00EE722D">
            <w:pPr>
              <w:pStyle w:val="Heading1"/>
              <w:jc w:val="center"/>
              <w:rPr>
                <w:rFonts w:cs="Arial"/>
                <w:color w:val="FFFFFF" w:themeColor="background1"/>
                <w:szCs w:val="22"/>
              </w:rPr>
            </w:pPr>
          </w:p>
          <w:p w14:paraId="0AAD3C37" w14:textId="77777777" w:rsidR="00EE722D" w:rsidRPr="001E7B59" w:rsidRDefault="00EE722D" w:rsidP="00EE722D">
            <w:pPr>
              <w:pStyle w:val="Heading1"/>
              <w:jc w:val="center"/>
              <w:rPr>
                <w:rFonts w:cs="Arial"/>
                <w:b w:val="0"/>
                <w:color w:val="FFFFFF" w:themeColor="background1"/>
                <w:szCs w:val="22"/>
              </w:rPr>
            </w:pPr>
            <w:r w:rsidRPr="001E7B59">
              <w:rPr>
                <w:rFonts w:cs="Arial"/>
                <w:color w:val="FFFFFF" w:themeColor="background1"/>
                <w:szCs w:val="22"/>
              </w:rPr>
              <w:t>Hourly Rate 2</w:t>
            </w:r>
          </w:p>
        </w:tc>
        <w:tc>
          <w:tcPr>
            <w:tcW w:w="2272" w:type="dxa"/>
            <w:shd w:val="clear" w:color="auto" w:fill="990099"/>
          </w:tcPr>
          <w:p w14:paraId="32EBCD1E" w14:textId="77777777" w:rsidR="00EE722D" w:rsidRPr="001E7B59" w:rsidRDefault="00EE722D" w:rsidP="00EE722D">
            <w:pPr>
              <w:pStyle w:val="Heading1"/>
              <w:jc w:val="center"/>
              <w:rPr>
                <w:rFonts w:cs="Arial"/>
                <w:color w:val="FFFFFF" w:themeColor="background1"/>
                <w:szCs w:val="22"/>
              </w:rPr>
            </w:pPr>
          </w:p>
          <w:p w14:paraId="1B28C826" w14:textId="77777777" w:rsidR="00EE722D" w:rsidRPr="001E7B59" w:rsidRDefault="00EE722D" w:rsidP="00EE722D">
            <w:pPr>
              <w:pStyle w:val="Heading1"/>
              <w:jc w:val="center"/>
              <w:rPr>
                <w:rFonts w:cs="Arial"/>
                <w:color w:val="FFFFFF" w:themeColor="background1"/>
                <w:szCs w:val="22"/>
              </w:rPr>
            </w:pPr>
            <w:r w:rsidRPr="001E7B59">
              <w:rPr>
                <w:rFonts w:cs="Arial"/>
                <w:color w:val="FFFFFF" w:themeColor="background1"/>
                <w:szCs w:val="22"/>
              </w:rPr>
              <w:t>Tendered Price</w:t>
            </w:r>
          </w:p>
        </w:tc>
      </w:tr>
      <w:tr w:rsidR="00EE722D" w:rsidRPr="00923945" w14:paraId="0609FFF0" w14:textId="77777777" w:rsidTr="00EE722D">
        <w:trPr>
          <w:trHeight w:val="227"/>
        </w:trPr>
        <w:tc>
          <w:tcPr>
            <w:tcW w:w="1730" w:type="dxa"/>
          </w:tcPr>
          <w:p w14:paraId="5587D143" w14:textId="77777777" w:rsidR="00EE722D" w:rsidRPr="000B1FC4" w:rsidRDefault="00EE722D" w:rsidP="00EE722D">
            <w:pPr>
              <w:pStyle w:val="Heading1"/>
              <w:jc w:val="center"/>
              <w:rPr>
                <w:rFonts w:cs="Arial"/>
                <w:b w:val="0"/>
                <w:szCs w:val="22"/>
              </w:rPr>
            </w:pPr>
            <w:r>
              <w:rPr>
                <w:rFonts w:cs="Arial"/>
                <w:b w:val="0"/>
                <w:szCs w:val="22"/>
              </w:rPr>
              <w:t>Band1</w:t>
            </w:r>
          </w:p>
        </w:tc>
        <w:tc>
          <w:tcPr>
            <w:tcW w:w="1701" w:type="dxa"/>
          </w:tcPr>
          <w:p w14:paraId="5673E256" w14:textId="77777777" w:rsidR="00EE722D" w:rsidRPr="000B1FC4" w:rsidRDefault="00EE722D" w:rsidP="00EE722D">
            <w:pPr>
              <w:pStyle w:val="Heading1"/>
              <w:jc w:val="center"/>
              <w:rPr>
                <w:rFonts w:cs="Arial"/>
                <w:b w:val="0"/>
                <w:szCs w:val="22"/>
              </w:rPr>
            </w:pPr>
            <w:r>
              <w:rPr>
                <w:rFonts w:cs="Arial"/>
                <w:b w:val="0"/>
                <w:szCs w:val="22"/>
              </w:rPr>
              <w:t>£80</w:t>
            </w:r>
            <w:r w:rsidRPr="000B1FC4">
              <w:rPr>
                <w:rFonts w:cs="Arial"/>
                <w:b w:val="0"/>
                <w:szCs w:val="22"/>
              </w:rPr>
              <w:t>.00</w:t>
            </w:r>
          </w:p>
        </w:tc>
        <w:tc>
          <w:tcPr>
            <w:tcW w:w="1833" w:type="dxa"/>
          </w:tcPr>
          <w:p w14:paraId="36BEE5C5" w14:textId="77777777" w:rsidR="00EE722D" w:rsidRPr="000B1FC4" w:rsidRDefault="00EE722D" w:rsidP="00EE722D">
            <w:pPr>
              <w:pStyle w:val="Heading1"/>
              <w:jc w:val="center"/>
              <w:rPr>
                <w:rFonts w:cs="Arial"/>
                <w:b w:val="0"/>
                <w:szCs w:val="22"/>
              </w:rPr>
            </w:pPr>
            <w:r>
              <w:rPr>
                <w:rFonts w:cs="Arial"/>
                <w:b w:val="0"/>
                <w:szCs w:val="22"/>
              </w:rPr>
              <w:t>£75.00</w:t>
            </w:r>
          </w:p>
        </w:tc>
        <w:tc>
          <w:tcPr>
            <w:tcW w:w="2272" w:type="dxa"/>
          </w:tcPr>
          <w:p w14:paraId="548178F4" w14:textId="77777777" w:rsidR="00EE722D" w:rsidRPr="000B1FC4" w:rsidRDefault="00EE722D" w:rsidP="00EE722D">
            <w:pPr>
              <w:pStyle w:val="Heading1"/>
              <w:jc w:val="center"/>
              <w:rPr>
                <w:rFonts w:cs="Arial"/>
                <w:b w:val="0"/>
                <w:szCs w:val="22"/>
              </w:rPr>
            </w:pPr>
          </w:p>
        </w:tc>
      </w:tr>
      <w:tr w:rsidR="00EE722D" w:rsidRPr="00923945" w14:paraId="1B77B20F" w14:textId="77777777" w:rsidTr="00EE722D">
        <w:trPr>
          <w:trHeight w:val="227"/>
        </w:trPr>
        <w:tc>
          <w:tcPr>
            <w:tcW w:w="1730" w:type="dxa"/>
          </w:tcPr>
          <w:p w14:paraId="48AC3EC1" w14:textId="77777777" w:rsidR="00EE722D" w:rsidRPr="000B1FC4" w:rsidRDefault="00EE722D" w:rsidP="00EE722D">
            <w:pPr>
              <w:pStyle w:val="Heading1"/>
              <w:jc w:val="center"/>
              <w:rPr>
                <w:rFonts w:cs="Arial"/>
                <w:b w:val="0"/>
                <w:szCs w:val="22"/>
              </w:rPr>
            </w:pPr>
            <w:r w:rsidRPr="000B1FC4">
              <w:rPr>
                <w:rFonts w:cs="Arial"/>
                <w:b w:val="0"/>
                <w:szCs w:val="22"/>
              </w:rPr>
              <w:t>B</w:t>
            </w:r>
            <w:r>
              <w:rPr>
                <w:rFonts w:cs="Arial"/>
                <w:b w:val="0"/>
                <w:szCs w:val="22"/>
              </w:rPr>
              <w:t>and 2</w:t>
            </w:r>
          </w:p>
        </w:tc>
        <w:tc>
          <w:tcPr>
            <w:tcW w:w="1701" w:type="dxa"/>
          </w:tcPr>
          <w:p w14:paraId="12F03E2B" w14:textId="77777777" w:rsidR="00EE722D" w:rsidRPr="000B1FC4" w:rsidRDefault="00EE722D" w:rsidP="00EE722D">
            <w:pPr>
              <w:pStyle w:val="Heading1"/>
              <w:jc w:val="center"/>
              <w:rPr>
                <w:rFonts w:cs="Arial"/>
                <w:b w:val="0"/>
                <w:szCs w:val="22"/>
              </w:rPr>
            </w:pPr>
            <w:r>
              <w:rPr>
                <w:rFonts w:cs="Arial"/>
                <w:b w:val="0"/>
                <w:szCs w:val="22"/>
              </w:rPr>
              <w:t>£60</w:t>
            </w:r>
            <w:r w:rsidRPr="000B1FC4">
              <w:rPr>
                <w:rFonts w:cs="Arial"/>
                <w:b w:val="0"/>
                <w:szCs w:val="22"/>
              </w:rPr>
              <w:t>.00</w:t>
            </w:r>
          </w:p>
        </w:tc>
        <w:tc>
          <w:tcPr>
            <w:tcW w:w="1833" w:type="dxa"/>
          </w:tcPr>
          <w:p w14:paraId="258DB91C" w14:textId="77777777" w:rsidR="00EE722D" w:rsidRPr="000B1FC4" w:rsidRDefault="00EE722D" w:rsidP="00EE722D">
            <w:pPr>
              <w:pStyle w:val="Heading1"/>
              <w:jc w:val="center"/>
              <w:rPr>
                <w:rFonts w:cs="Arial"/>
                <w:b w:val="0"/>
                <w:szCs w:val="22"/>
              </w:rPr>
            </w:pPr>
            <w:r>
              <w:rPr>
                <w:rFonts w:cs="Arial"/>
                <w:b w:val="0"/>
                <w:szCs w:val="22"/>
              </w:rPr>
              <w:t>£50.00</w:t>
            </w:r>
          </w:p>
        </w:tc>
        <w:tc>
          <w:tcPr>
            <w:tcW w:w="2272" w:type="dxa"/>
          </w:tcPr>
          <w:p w14:paraId="49033792" w14:textId="77777777" w:rsidR="00EE722D" w:rsidRPr="000B1FC4" w:rsidRDefault="00EE722D" w:rsidP="00EE722D">
            <w:pPr>
              <w:pStyle w:val="Heading1"/>
              <w:jc w:val="center"/>
              <w:rPr>
                <w:rFonts w:cs="Arial"/>
                <w:b w:val="0"/>
                <w:szCs w:val="22"/>
              </w:rPr>
            </w:pPr>
          </w:p>
        </w:tc>
      </w:tr>
      <w:tr w:rsidR="00EE722D" w:rsidRPr="00923945" w14:paraId="084F3E15" w14:textId="77777777" w:rsidTr="00EE722D">
        <w:trPr>
          <w:trHeight w:val="227"/>
        </w:trPr>
        <w:tc>
          <w:tcPr>
            <w:tcW w:w="1730" w:type="dxa"/>
          </w:tcPr>
          <w:p w14:paraId="59F6B101" w14:textId="77777777" w:rsidR="00EE722D" w:rsidRPr="000B1FC4" w:rsidRDefault="00EE722D" w:rsidP="00EE722D">
            <w:pPr>
              <w:pStyle w:val="Heading1"/>
              <w:jc w:val="center"/>
              <w:rPr>
                <w:rFonts w:cs="Arial"/>
                <w:b w:val="0"/>
                <w:szCs w:val="22"/>
              </w:rPr>
            </w:pPr>
            <w:r>
              <w:rPr>
                <w:rFonts w:cs="Arial"/>
                <w:b w:val="0"/>
                <w:szCs w:val="22"/>
              </w:rPr>
              <w:t>Band 3</w:t>
            </w:r>
          </w:p>
        </w:tc>
        <w:tc>
          <w:tcPr>
            <w:tcW w:w="1701" w:type="dxa"/>
          </w:tcPr>
          <w:p w14:paraId="67F15F1C" w14:textId="77777777" w:rsidR="00EE722D" w:rsidRPr="000B1FC4" w:rsidRDefault="00EE722D" w:rsidP="00EE722D">
            <w:pPr>
              <w:pStyle w:val="Heading1"/>
              <w:jc w:val="center"/>
              <w:rPr>
                <w:rFonts w:cs="Arial"/>
                <w:b w:val="0"/>
                <w:szCs w:val="22"/>
              </w:rPr>
            </w:pPr>
            <w:r>
              <w:rPr>
                <w:rFonts w:cs="Arial"/>
                <w:b w:val="0"/>
                <w:szCs w:val="22"/>
              </w:rPr>
              <w:t>£50</w:t>
            </w:r>
            <w:r w:rsidRPr="000B1FC4">
              <w:rPr>
                <w:rFonts w:cs="Arial"/>
                <w:b w:val="0"/>
                <w:szCs w:val="22"/>
              </w:rPr>
              <w:t>.00</w:t>
            </w:r>
          </w:p>
        </w:tc>
        <w:tc>
          <w:tcPr>
            <w:tcW w:w="1833" w:type="dxa"/>
          </w:tcPr>
          <w:p w14:paraId="31DA96A8" w14:textId="77777777" w:rsidR="00EE722D" w:rsidRPr="000B1FC4" w:rsidRDefault="00EE722D" w:rsidP="00EE722D">
            <w:pPr>
              <w:pStyle w:val="Heading1"/>
              <w:jc w:val="center"/>
              <w:rPr>
                <w:rFonts w:cs="Arial"/>
                <w:b w:val="0"/>
                <w:szCs w:val="22"/>
              </w:rPr>
            </w:pPr>
            <w:r>
              <w:rPr>
                <w:rFonts w:cs="Arial"/>
                <w:b w:val="0"/>
                <w:szCs w:val="22"/>
              </w:rPr>
              <w:t>£40.00</w:t>
            </w:r>
          </w:p>
        </w:tc>
        <w:tc>
          <w:tcPr>
            <w:tcW w:w="2272" w:type="dxa"/>
          </w:tcPr>
          <w:p w14:paraId="29D26A92" w14:textId="77777777" w:rsidR="00EE722D" w:rsidRPr="000B1FC4" w:rsidRDefault="00EE722D" w:rsidP="00EE722D">
            <w:pPr>
              <w:pStyle w:val="Heading1"/>
              <w:jc w:val="center"/>
              <w:rPr>
                <w:rFonts w:cs="Arial"/>
                <w:b w:val="0"/>
                <w:szCs w:val="22"/>
              </w:rPr>
            </w:pPr>
          </w:p>
        </w:tc>
      </w:tr>
      <w:tr w:rsidR="00EE722D" w:rsidRPr="00923945" w14:paraId="47BEBBCF" w14:textId="77777777" w:rsidTr="00EE722D">
        <w:trPr>
          <w:trHeight w:val="227"/>
        </w:trPr>
        <w:tc>
          <w:tcPr>
            <w:tcW w:w="1730" w:type="dxa"/>
          </w:tcPr>
          <w:p w14:paraId="630D5357" w14:textId="77777777" w:rsidR="00EE722D" w:rsidRPr="000B1FC4" w:rsidRDefault="00EE722D" w:rsidP="00EE722D">
            <w:pPr>
              <w:pStyle w:val="Heading1"/>
              <w:rPr>
                <w:rFonts w:cs="Arial"/>
                <w:b w:val="0"/>
                <w:szCs w:val="22"/>
              </w:rPr>
            </w:pPr>
            <w:r>
              <w:rPr>
                <w:rFonts w:cs="Arial"/>
                <w:b w:val="0"/>
                <w:szCs w:val="22"/>
              </w:rPr>
              <w:t xml:space="preserve">      Band 4</w:t>
            </w:r>
          </w:p>
        </w:tc>
        <w:tc>
          <w:tcPr>
            <w:tcW w:w="1701" w:type="dxa"/>
          </w:tcPr>
          <w:p w14:paraId="114314CA" w14:textId="77777777" w:rsidR="00EE722D" w:rsidRPr="000B1FC4" w:rsidRDefault="00EE722D" w:rsidP="00EE722D">
            <w:pPr>
              <w:pStyle w:val="Heading1"/>
              <w:jc w:val="center"/>
              <w:rPr>
                <w:rFonts w:cs="Arial"/>
                <w:b w:val="0"/>
                <w:szCs w:val="22"/>
              </w:rPr>
            </w:pPr>
            <w:r>
              <w:rPr>
                <w:rFonts w:cs="Arial"/>
                <w:b w:val="0"/>
                <w:szCs w:val="22"/>
              </w:rPr>
              <w:t>£30</w:t>
            </w:r>
            <w:r w:rsidRPr="000B1FC4">
              <w:rPr>
                <w:rFonts w:cs="Arial"/>
                <w:b w:val="0"/>
                <w:szCs w:val="22"/>
              </w:rPr>
              <w:t>.00</w:t>
            </w:r>
          </w:p>
        </w:tc>
        <w:tc>
          <w:tcPr>
            <w:tcW w:w="1833" w:type="dxa"/>
          </w:tcPr>
          <w:p w14:paraId="5581373D" w14:textId="77777777" w:rsidR="00EE722D" w:rsidRPr="000B1FC4" w:rsidRDefault="00EE722D" w:rsidP="00EE722D">
            <w:pPr>
              <w:pStyle w:val="Heading1"/>
              <w:jc w:val="center"/>
              <w:rPr>
                <w:rFonts w:cs="Arial"/>
                <w:b w:val="0"/>
                <w:szCs w:val="22"/>
              </w:rPr>
            </w:pPr>
            <w:r>
              <w:rPr>
                <w:rFonts w:cs="Arial"/>
                <w:b w:val="0"/>
                <w:szCs w:val="22"/>
              </w:rPr>
              <w:t>£25.00</w:t>
            </w:r>
          </w:p>
        </w:tc>
        <w:tc>
          <w:tcPr>
            <w:tcW w:w="2272" w:type="dxa"/>
          </w:tcPr>
          <w:p w14:paraId="5930FF4B" w14:textId="77777777" w:rsidR="00EE722D" w:rsidRPr="000B1FC4" w:rsidRDefault="00EE722D" w:rsidP="00EE722D">
            <w:pPr>
              <w:pStyle w:val="Heading1"/>
              <w:jc w:val="center"/>
              <w:rPr>
                <w:rFonts w:cs="Arial"/>
                <w:b w:val="0"/>
                <w:szCs w:val="22"/>
              </w:rPr>
            </w:pPr>
          </w:p>
        </w:tc>
      </w:tr>
      <w:tr w:rsidR="00EE722D" w:rsidRPr="00923945" w14:paraId="6BBA665E" w14:textId="77777777" w:rsidTr="00EE722D">
        <w:trPr>
          <w:trHeight w:val="227"/>
        </w:trPr>
        <w:tc>
          <w:tcPr>
            <w:tcW w:w="1730" w:type="dxa"/>
          </w:tcPr>
          <w:p w14:paraId="7B37CCB0" w14:textId="77777777" w:rsidR="00EE722D" w:rsidRDefault="00EE722D" w:rsidP="00EE722D">
            <w:pPr>
              <w:pStyle w:val="Heading1"/>
              <w:rPr>
                <w:rFonts w:cs="Arial"/>
                <w:b w:val="0"/>
                <w:szCs w:val="22"/>
              </w:rPr>
            </w:pPr>
            <w:r>
              <w:rPr>
                <w:rFonts w:cs="Arial"/>
                <w:b w:val="0"/>
                <w:szCs w:val="22"/>
              </w:rPr>
              <w:t>Average Rate</w:t>
            </w:r>
          </w:p>
        </w:tc>
        <w:tc>
          <w:tcPr>
            <w:tcW w:w="1701" w:type="dxa"/>
          </w:tcPr>
          <w:p w14:paraId="26B469A2" w14:textId="77777777" w:rsidR="00EE722D" w:rsidRPr="000B1FC4" w:rsidRDefault="00EE722D" w:rsidP="00EE722D">
            <w:pPr>
              <w:pStyle w:val="Heading1"/>
              <w:jc w:val="center"/>
              <w:rPr>
                <w:rFonts w:cs="Arial"/>
                <w:b w:val="0"/>
                <w:szCs w:val="22"/>
              </w:rPr>
            </w:pPr>
            <w:r>
              <w:rPr>
                <w:rFonts w:cs="Arial"/>
                <w:b w:val="0"/>
                <w:szCs w:val="22"/>
              </w:rPr>
              <w:t>£55.00</w:t>
            </w:r>
          </w:p>
        </w:tc>
        <w:tc>
          <w:tcPr>
            <w:tcW w:w="1833" w:type="dxa"/>
          </w:tcPr>
          <w:p w14:paraId="724542B1" w14:textId="77777777" w:rsidR="00EE722D" w:rsidRDefault="00EE722D" w:rsidP="00EE722D">
            <w:pPr>
              <w:pStyle w:val="Heading1"/>
              <w:jc w:val="center"/>
              <w:rPr>
                <w:rFonts w:cs="Arial"/>
                <w:b w:val="0"/>
                <w:szCs w:val="22"/>
              </w:rPr>
            </w:pPr>
            <w:r>
              <w:rPr>
                <w:rFonts w:cs="Arial"/>
                <w:b w:val="0"/>
                <w:szCs w:val="22"/>
              </w:rPr>
              <w:t>£47.50</w:t>
            </w:r>
          </w:p>
        </w:tc>
        <w:tc>
          <w:tcPr>
            <w:tcW w:w="2272" w:type="dxa"/>
          </w:tcPr>
          <w:p w14:paraId="661C6E25" w14:textId="77777777" w:rsidR="00EE722D" w:rsidRPr="000B1FC4" w:rsidRDefault="00EE722D" w:rsidP="00EE722D">
            <w:pPr>
              <w:pStyle w:val="Heading1"/>
              <w:jc w:val="center"/>
              <w:rPr>
                <w:rFonts w:cs="Arial"/>
                <w:b w:val="0"/>
                <w:szCs w:val="22"/>
              </w:rPr>
            </w:pPr>
            <w:r>
              <w:rPr>
                <w:rFonts w:cs="Arial"/>
                <w:b w:val="0"/>
                <w:szCs w:val="22"/>
              </w:rPr>
              <w:t>£51.25</w:t>
            </w:r>
          </w:p>
        </w:tc>
      </w:tr>
    </w:tbl>
    <w:p w14:paraId="41978065" w14:textId="77777777" w:rsidR="007B792A" w:rsidRDefault="007B792A" w:rsidP="00455919">
      <w:pPr>
        <w:pStyle w:val="Body1"/>
        <w:ind w:left="0"/>
        <w:rPr>
          <w:sz w:val="22"/>
          <w:szCs w:val="22"/>
        </w:rPr>
      </w:pPr>
    </w:p>
    <w:p w14:paraId="3BBB1E2C" w14:textId="77777777" w:rsidR="00DC60FB" w:rsidRDefault="00DC60FB" w:rsidP="00455919">
      <w:pPr>
        <w:pStyle w:val="Body1"/>
        <w:ind w:left="0"/>
        <w:rPr>
          <w:sz w:val="22"/>
          <w:szCs w:val="22"/>
        </w:rPr>
      </w:pPr>
    </w:p>
    <w:p w14:paraId="303046C1" w14:textId="77777777" w:rsidR="00DC60FB" w:rsidRDefault="00DC60FB" w:rsidP="00455919">
      <w:pPr>
        <w:pStyle w:val="Body1"/>
        <w:ind w:left="0"/>
        <w:rPr>
          <w:sz w:val="22"/>
          <w:szCs w:val="22"/>
        </w:rPr>
      </w:pPr>
    </w:p>
    <w:p w14:paraId="471719A7" w14:textId="77777777" w:rsidR="00DC60FB" w:rsidRDefault="00DC60FB" w:rsidP="00455919">
      <w:pPr>
        <w:pStyle w:val="Body1"/>
        <w:ind w:left="0"/>
        <w:rPr>
          <w:sz w:val="22"/>
          <w:szCs w:val="22"/>
        </w:rPr>
      </w:pPr>
    </w:p>
    <w:p w14:paraId="10764B8C" w14:textId="77777777" w:rsidR="007144AB" w:rsidRDefault="007144AB" w:rsidP="00455919">
      <w:pPr>
        <w:pStyle w:val="Body1"/>
        <w:ind w:left="0"/>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849"/>
        <w:gridCol w:w="2775"/>
        <w:gridCol w:w="1672"/>
      </w:tblGrid>
      <w:tr w:rsidR="001E7B59" w:rsidRPr="001E7B59" w14:paraId="4A971A06" w14:textId="77777777" w:rsidTr="00DC60FB">
        <w:trPr>
          <w:trHeight w:val="299"/>
        </w:trPr>
        <w:tc>
          <w:tcPr>
            <w:tcW w:w="1101" w:type="dxa"/>
            <w:shd w:val="clear" w:color="auto" w:fill="990099"/>
          </w:tcPr>
          <w:p w14:paraId="5AE93388" w14:textId="77777777" w:rsidR="007D27EB" w:rsidRPr="001E7B59" w:rsidRDefault="007D27EB" w:rsidP="00DC60FB">
            <w:pPr>
              <w:pStyle w:val="Heading1"/>
              <w:jc w:val="center"/>
              <w:rPr>
                <w:rFonts w:cs="Arial"/>
                <w:b w:val="0"/>
                <w:color w:val="FFFFFF" w:themeColor="background1"/>
                <w:szCs w:val="22"/>
              </w:rPr>
            </w:pPr>
          </w:p>
          <w:p w14:paraId="3F6ABEA6" w14:textId="77777777" w:rsidR="007D27EB" w:rsidRPr="001E7B59" w:rsidRDefault="007D27EB" w:rsidP="00DC60FB">
            <w:pPr>
              <w:pStyle w:val="Heading1"/>
              <w:jc w:val="center"/>
              <w:rPr>
                <w:rFonts w:cs="Arial"/>
                <w:b w:val="0"/>
                <w:color w:val="FFFFFF" w:themeColor="background1"/>
                <w:szCs w:val="22"/>
              </w:rPr>
            </w:pPr>
            <w:r w:rsidRPr="001E7B59">
              <w:rPr>
                <w:rFonts w:cs="Arial"/>
                <w:b w:val="0"/>
                <w:color w:val="FFFFFF" w:themeColor="background1"/>
                <w:szCs w:val="22"/>
              </w:rPr>
              <w:t>Tenderer</w:t>
            </w:r>
          </w:p>
          <w:p w14:paraId="7D20C2C3" w14:textId="77777777" w:rsidR="007D27EB" w:rsidRPr="001E7B59" w:rsidRDefault="007D27EB" w:rsidP="00DC60FB">
            <w:pPr>
              <w:rPr>
                <w:color w:val="FFFFFF" w:themeColor="background1"/>
                <w:sz w:val="22"/>
                <w:szCs w:val="22"/>
              </w:rPr>
            </w:pPr>
          </w:p>
        </w:tc>
        <w:tc>
          <w:tcPr>
            <w:tcW w:w="1849" w:type="dxa"/>
            <w:shd w:val="clear" w:color="auto" w:fill="990099"/>
          </w:tcPr>
          <w:p w14:paraId="6CDCB896" w14:textId="77777777" w:rsidR="007D27EB" w:rsidRPr="001E7B59" w:rsidRDefault="007D27EB" w:rsidP="00DC60FB">
            <w:pPr>
              <w:pStyle w:val="Heading1"/>
              <w:jc w:val="center"/>
              <w:rPr>
                <w:rFonts w:cs="Arial"/>
                <w:b w:val="0"/>
                <w:color w:val="FFFFFF" w:themeColor="background1"/>
                <w:szCs w:val="22"/>
              </w:rPr>
            </w:pPr>
          </w:p>
          <w:p w14:paraId="6AA2352C" w14:textId="3ADA26E3" w:rsidR="007D27EB" w:rsidRPr="001E7B59" w:rsidRDefault="001E7B59" w:rsidP="00DC60FB">
            <w:pPr>
              <w:pStyle w:val="Heading1"/>
              <w:jc w:val="center"/>
              <w:rPr>
                <w:rFonts w:cs="Arial"/>
                <w:b w:val="0"/>
                <w:color w:val="FFFFFF" w:themeColor="background1"/>
                <w:szCs w:val="22"/>
              </w:rPr>
            </w:pPr>
            <w:r w:rsidRPr="001E7B59">
              <w:rPr>
                <w:rFonts w:cs="Arial"/>
                <w:b w:val="0"/>
                <w:color w:val="FFFFFF" w:themeColor="background1"/>
                <w:szCs w:val="22"/>
              </w:rPr>
              <w:t>Tendered</w:t>
            </w:r>
            <w:r w:rsidR="007D27EB" w:rsidRPr="001E7B59">
              <w:rPr>
                <w:rFonts w:cs="Arial"/>
                <w:b w:val="0"/>
                <w:color w:val="FFFFFF" w:themeColor="background1"/>
                <w:szCs w:val="22"/>
              </w:rPr>
              <w:t xml:space="preserve"> Price</w:t>
            </w:r>
          </w:p>
        </w:tc>
        <w:tc>
          <w:tcPr>
            <w:tcW w:w="2775" w:type="dxa"/>
            <w:shd w:val="clear" w:color="auto" w:fill="990099"/>
          </w:tcPr>
          <w:p w14:paraId="6BDEBB5D" w14:textId="77777777" w:rsidR="007D27EB" w:rsidRPr="001E7B59" w:rsidRDefault="007D27EB" w:rsidP="00DC60FB">
            <w:pPr>
              <w:pStyle w:val="Heading1"/>
              <w:jc w:val="center"/>
              <w:rPr>
                <w:rFonts w:cs="Arial"/>
                <w:b w:val="0"/>
                <w:color w:val="FFFFFF" w:themeColor="background1"/>
                <w:szCs w:val="22"/>
              </w:rPr>
            </w:pPr>
          </w:p>
          <w:p w14:paraId="5AC6CB94" w14:textId="77777777" w:rsidR="007D27EB" w:rsidRPr="001E7B59" w:rsidRDefault="007D27EB" w:rsidP="00DC60FB">
            <w:pPr>
              <w:pStyle w:val="Heading1"/>
              <w:jc w:val="center"/>
              <w:rPr>
                <w:rFonts w:cs="Arial"/>
                <w:b w:val="0"/>
                <w:color w:val="FFFFFF" w:themeColor="background1"/>
                <w:szCs w:val="22"/>
              </w:rPr>
            </w:pPr>
            <w:r w:rsidRPr="001E7B59">
              <w:rPr>
                <w:rFonts w:cs="Arial"/>
                <w:b w:val="0"/>
                <w:color w:val="FFFFFF" w:themeColor="background1"/>
                <w:szCs w:val="22"/>
              </w:rPr>
              <w:t xml:space="preserve">Price Score </w:t>
            </w:r>
          </w:p>
        </w:tc>
        <w:tc>
          <w:tcPr>
            <w:tcW w:w="1672" w:type="dxa"/>
            <w:shd w:val="clear" w:color="auto" w:fill="990099"/>
          </w:tcPr>
          <w:p w14:paraId="177CE315" w14:textId="77777777" w:rsidR="007D27EB" w:rsidRPr="001E7B59" w:rsidRDefault="007D27EB" w:rsidP="00DC60FB">
            <w:pPr>
              <w:pStyle w:val="Heading1"/>
              <w:jc w:val="center"/>
              <w:rPr>
                <w:rFonts w:cs="Arial"/>
                <w:b w:val="0"/>
                <w:color w:val="FFFFFF" w:themeColor="background1"/>
                <w:szCs w:val="22"/>
              </w:rPr>
            </w:pPr>
          </w:p>
          <w:p w14:paraId="2D2048D7" w14:textId="77777777" w:rsidR="007D27EB" w:rsidRPr="001E7B59" w:rsidRDefault="007D27EB" w:rsidP="00DC60FB">
            <w:pPr>
              <w:pStyle w:val="Heading1"/>
              <w:jc w:val="center"/>
              <w:rPr>
                <w:rFonts w:cs="Arial"/>
                <w:b w:val="0"/>
                <w:color w:val="FFFFFF" w:themeColor="background1"/>
                <w:szCs w:val="22"/>
              </w:rPr>
            </w:pPr>
            <w:r w:rsidRPr="001E7B59">
              <w:rPr>
                <w:rFonts w:cs="Arial"/>
                <w:b w:val="0"/>
                <w:color w:val="FFFFFF" w:themeColor="background1"/>
                <w:szCs w:val="22"/>
              </w:rPr>
              <w:t xml:space="preserve">Ranking </w:t>
            </w:r>
          </w:p>
        </w:tc>
      </w:tr>
      <w:tr w:rsidR="007D27EB" w:rsidRPr="00923945" w14:paraId="543B0767" w14:textId="77777777" w:rsidTr="00DC60FB">
        <w:trPr>
          <w:trHeight w:val="227"/>
        </w:trPr>
        <w:tc>
          <w:tcPr>
            <w:tcW w:w="1101" w:type="dxa"/>
          </w:tcPr>
          <w:p w14:paraId="21CE41AE" w14:textId="77777777" w:rsidR="007D27EB" w:rsidRPr="000B1FC4" w:rsidRDefault="007D27EB" w:rsidP="00DC60FB">
            <w:pPr>
              <w:pStyle w:val="Heading1"/>
              <w:jc w:val="center"/>
              <w:rPr>
                <w:rFonts w:cs="Arial"/>
                <w:b w:val="0"/>
                <w:szCs w:val="22"/>
              </w:rPr>
            </w:pPr>
            <w:r w:rsidRPr="000B1FC4">
              <w:rPr>
                <w:rFonts w:cs="Arial"/>
                <w:b w:val="0"/>
                <w:szCs w:val="22"/>
              </w:rPr>
              <w:t>A</w:t>
            </w:r>
          </w:p>
        </w:tc>
        <w:tc>
          <w:tcPr>
            <w:tcW w:w="1849" w:type="dxa"/>
          </w:tcPr>
          <w:p w14:paraId="00BA8077" w14:textId="19D35660" w:rsidR="007D27EB" w:rsidRPr="000B1FC4" w:rsidRDefault="001E7B59" w:rsidP="00DC60FB">
            <w:pPr>
              <w:pStyle w:val="Heading1"/>
              <w:jc w:val="center"/>
              <w:rPr>
                <w:rFonts w:cs="Arial"/>
                <w:b w:val="0"/>
                <w:szCs w:val="22"/>
              </w:rPr>
            </w:pPr>
            <w:r>
              <w:rPr>
                <w:rFonts w:cs="Arial"/>
                <w:b w:val="0"/>
                <w:szCs w:val="22"/>
              </w:rPr>
              <w:t>£43.13</w:t>
            </w:r>
          </w:p>
        </w:tc>
        <w:tc>
          <w:tcPr>
            <w:tcW w:w="2775" w:type="dxa"/>
          </w:tcPr>
          <w:p w14:paraId="0DDEF6F4" w14:textId="20B241A2" w:rsidR="007D27EB" w:rsidRPr="000B1FC4" w:rsidRDefault="001E7B59" w:rsidP="00DC60FB">
            <w:pPr>
              <w:pStyle w:val="Heading1"/>
              <w:jc w:val="center"/>
              <w:rPr>
                <w:rFonts w:cs="Arial"/>
                <w:b w:val="0"/>
                <w:szCs w:val="22"/>
              </w:rPr>
            </w:pPr>
            <w:r>
              <w:rPr>
                <w:rFonts w:cs="Arial"/>
                <w:b w:val="0"/>
                <w:szCs w:val="22"/>
              </w:rPr>
              <w:t>20.00</w:t>
            </w:r>
          </w:p>
        </w:tc>
        <w:tc>
          <w:tcPr>
            <w:tcW w:w="1672" w:type="dxa"/>
          </w:tcPr>
          <w:p w14:paraId="3DB49814" w14:textId="61BCD537" w:rsidR="007D27EB" w:rsidRPr="000B1FC4" w:rsidRDefault="001E7B59" w:rsidP="00DC60FB">
            <w:pPr>
              <w:pStyle w:val="Heading1"/>
              <w:jc w:val="center"/>
              <w:rPr>
                <w:rFonts w:cs="Arial"/>
                <w:b w:val="0"/>
                <w:szCs w:val="22"/>
              </w:rPr>
            </w:pPr>
            <w:r>
              <w:rPr>
                <w:rFonts w:cs="Arial"/>
                <w:b w:val="0"/>
                <w:szCs w:val="22"/>
              </w:rPr>
              <w:t>1</w:t>
            </w:r>
          </w:p>
        </w:tc>
      </w:tr>
      <w:tr w:rsidR="007D27EB" w:rsidRPr="00923945" w14:paraId="7F2FC4D2" w14:textId="77777777" w:rsidTr="00DC60FB">
        <w:trPr>
          <w:trHeight w:val="227"/>
        </w:trPr>
        <w:tc>
          <w:tcPr>
            <w:tcW w:w="1101" w:type="dxa"/>
          </w:tcPr>
          <w:p w14:paraId="7797CB30" w14:textId="77777777" w:rsidR="007D27EB" w:rsidRPr="000B1FC4" w:rsidRDefault="007D27EB" w:rsidP="00DC60FB">
            <w:pPr>
              <w:pStyle w:val="Heading1"/>
              <w:jc w:val="center"/>
              <w:rPr>
                <w:rFonts w:cs="Arial"/>
                <w:b w:val="0"/>
                <w:szCs w:val="22"/>
              </w:rPr>
            </w:pPr>
            <w:r w:rsidRPr="000B1FC4">
              <w:rPr>
                <w:rFonts w:cs="Arial"/>
                <w:b w:val="0"/>
                <w:szCs w:val="22"/>
              </w:rPr>
              <w:t>B</w:t>
            </w:r>
          </w:p>
        </w:tc>
        <w:tc>
          <w:tcPr>
            <w:tcW w:w="1849" w:type="dxa"/>
          </w:tcPr>
          <w:p w14:paraId="155AE94D" w14:textId="23E8EB7A" w:rsidR="007D27EB" w:rsidRPr="000B1FC4" w:rsidRDefault="001E7B59" w:rsidP="00DC60FB">
            <w:pPr>
              <w:pStyle w:val="Heading1"/>
              <w:jc w:val="center"/>
              <w:rPr>
                <w:rFonts w:cs="Arial"/>
                <w:b w:val="0"/>
                <w:szCs w:val="22"/>
              </w:rPr>
            </w:pPr>
            <w:r>
              <w:rPr>
                <w:rFonts w:cs="Arial"/>
                <w:b w:val="0"/>
                <w:szCs w:val="22"/>
              </w:rPr>
              <w:t>£45.00</w:t>
            </w:r>
          </w:p>
        </w:tc>
        <w:tc>
          <w:tcPr>
            <w:tcW w:w="2775" w:type="dxa"/>
          </w:tcPr>
          <w:p w14:paraId="5BB4E1FF" w14:textId="28E2D280" w:rsidR="007D27EB" w:rsidRPr="000B1FC4" w:rsidRDefault="001E7B59" w:rsidP="00DC60FB">
            <w:pPr>
              <w:pStyle w:val="Heading1"/>
              <w:jc w:val="center"/>
              <w:rPr>
                <w:rFonts w:cs="Arial"/>
                <w:b w:val="0"/>
                <w:szCs w:val="22"/>
              </w:rPr>
            </w:pPr>
            <w:r>
              <w:rPr>
                <w:rFonts w:cs="Arial"/>
                <w:b w:val="0"/>
                <w:szCs w:val="22"/>
              </w:rPr>
              <w:t>19.17</w:t>
            </w:r>
          </w:p>
        </w:tc>
        <w:tc>
          <w:tcPr>
            <w:tcW w:w="1672" w:type="dxa"/>
          </w:tcPr>
          <w:p w14:paraId="454EE83A" w14:textId="77777777" w:rsidR="007D27EB" w:rsidRPr="000B1FC4" w:rsidRDefault="007D27EB" w:rsidP="00DC60FB">
            <w:pPr>
              <w:pStyle w:val="Heading1"/>
              <w:jc w:val="center"/>
              <w:rPr>
                <w:rFonts w:cs="Arial"/>
                <w:b w:val="0"/>
                <w:szCs w:val="22"/>
              </w:rPr>
            </w:pPr>
            <w:r w:rsidRPr="000B1FC4">
              <w:rPr>
                <w:rFonts w:cs="Arial"/>
                <w:b w:val="0"/>
                <w:szCs w:val="22"/>
              </w:rPr>
              <w:t>2</w:t>
            </w:r>
          </w:p>
        </w:tc>
      </w:tr>
      <w:tr w:rsidR="007D27EB" w:rsidRPr="00923945" w14:paraId="1A689073" w14:textId="77777777" w:rsidTr="00DC60FB">
        <w:trPr>
          <w:trHeight w:val="227"/>
        </w:trPr>
        <w:tc>
          <w:tcPr>
            <w:tcW w:w="1101" w:type="dxa"/>
          </w:tcPr>
          <w:p w14:paraId="669E9EA1" w14:textId="77777777" w:rsidR="007D27EB" w:rsidRPr="000B1FC4" w:rsidRDefault="007D27EB" w:rsidP="00DC60FB">
            <w:pPr>
              <w:pStyle w:val="Heading1"/>
              <w:jc w:val="center"/>
              <w:rPr>
                <w:rFonts w:cs="Arial"/>
                <w:b w:val="0"/>
                <w:szCs w:val="22"/>
              </w:rPr>
            </w:pPr>
            <w:r w:rsidRPr="000B1FC4">
              <w:rPr>
                <w:rFonts w:cs="Arial"/>
                <w:b w:val="0"/>
                <w:szCs w:val="22"/>
              </w:rPr>
              <w:t>C</w:t>
            </w:r>
          </w:p>
        </w:tc>
        <w:tc>
          <w:tcPr>
            <w:tcW w:w="1849" w:type="dxa"/>
          </w:tcPr>
          <w:p w14:paraId="6E386785" w14:textId="4784779F" w:rsidR="007D27EB" w:rsidRPr="000B1FC4" w:rsidRDefault="001E7B59" w:rsidP="00DC60FB">
            <w:pPr>
              <w:pStyle w:val="Heading1"/>
              <w:jc w:val="center"/>
              <w:rPr>
                <w:rFonts w:cs="Arial"/>
                <w:b w:val="0"/>
                <w:szCs w:val="22"/>
              </w:rPr>
            </w:pPr>
            <w:r>
              <w:rPr>
                <w:rFonts w:cs="Arial"/>
                <w:b w:val="0"/>
                <w:szCs w:val="22"/>
              </w:rPr>
              <w:t>£46.25</w:t>
            </w:r>
          </w:p>
        </w:tc>
        <w:tc>
          <w:tcPr>
            <w:tcW w:w="2775" w:type="dxa"/>
          </w:tcPr>
          <w:p w14:paraId="04E83BC7" w14:textId="3B343091" w:rsidR="007D27EB" w:rsidRPr="000B1FC4" w:rsidRDefault="001E7B59" w:rsidP="00DC60FB">
            <w:pPr>
              <w:pStyle w:val="Heading1"/>
              <w:jc w:val="center"/>
              <w:rPr>
                <w:rFonts w:cs="Arial"/>
                <w:b w:val="0"/>
                <w:szCs w:val="22"/>
              </w:rPr>
            </w:pPr>
            <w:r>
              <w:rPr>
                <w:rFonts w:cs="Arial"/>
                <w:b w:val="0"/>
                <w:szCs w:val="22"/>
              </w:rPr>
              <w:t>18.65</w:t>
            </w:r>
          </w:p>
        </w:tc>
        <w:tc>
          <w:tcPr>
            <w:tcW w:w="1672" w:type="dxa"/>
          </w:tcPr>
          <w:p w14:paraId="5C49E87B" w14:textId="2ADC00B4" w:rsidR="007D27EB" w:rsidRPr="000B1FC4" w:rsidRDefault="001E7B59" w:rsidP="00DC60FB">
            <w:pPr>
              <w:pStyle w:val="Heading1"/>
              <w:jc w:val="center"/>
              <w:rPr>
                <w:rFonts w:cs="Arial"/>
                <w:b w:val="0"/>
                <w:szCs w:val="22"/>
              </w:rPr>
            </w:pPr>
            <w:r>
              <w:rPr>
                <w:rFonts w:cs="Arial"/>
                <w:b w:val="0"/>
                <w:szCs w:val="22"/>
              </w:rPr>
              <w:t>3</w:t>
            </w:r>
          </w:p>
        </w:tc>
      </w:tr>
      <w:tr w:rsidR="007D27EB" w:rsidRPr="00923945" w14:paraId="12F9E64E" w14:textId="77777777" w:rsidTr="00DC60FB">
        <w:trPr>
          <w:trHeight w:val="227"/>
        </w:trPr>
        <w:tc>
          <w:tcPr>
            <w:tcW w:w="1101" w:type="dxa"/>
          </w:tcPr>
          <w:p w14:paraId="387A567B" w14:textId="77777777" w:rsidR="007D27EB" w:rsidRPr="000B1FC4" w:rsidRDefault="007D27EB" w:rsidP="00DC60FB">
            <w:pPr>
              <w:pStyle w:val="Heading1"/>
              <w:jc w:val="center"/>
              <w:rPr>
                <w:rFonts w:cs="Arial"/>
                <w:b w:val="0"/>
                <w:szCs w:val="22"/>
              </w:rPr>
            </w:pPr>
            <w:r w:rsidRPr="000B1FC4">
              <w:rPr>
                <w:rFonts w:cs="Arial"/>
                <w:b w:val="0"/>
                <w:szCs w:val="22"/>
              </w:rPr>
              <w:t>D</w:t>
            </w:r>
          </w:p>
        </w:tc>
        <w:tc>
          <w:tcPr>
            <w:tcW w:w="1849" w:type="dxa"/>
          </w:tcPr>
          <w:p w14:paraId="48548A32" w14:textId="243516CD" w:rsidR="007D27EB" w:rsidRPr="000B1FC4" w:rsidRDefault="001E7B59" w:rsidP="00DC60FB">
            <w:pPr>
              <w:pStyle w:val="Heading1"/>
              <w:jc w:val="center"/>
              <w:rPr>
                <w:rFonts w:cs="Arial"/>
                <w:b w:val="0"/>
                <w:szCs w:val="22"/>
              </w:rPr>
            </w:pPr>
            <w:r>
              <w:rPr>
                <w:rFonts w:cs="Arial"/>
                <w:b w:val="0"/>
                <w:szCs w:val="22"/>
              </w:rPr>
              <w:t>£46.25</w:t>
            </w:r>
          </w:p>
        </w:tc>
        <w:tc>
          <w:tcPr>
            <w:tcW w:w="2775" w:type="dxa"/>
          </w:tcPr>
          <w:p w14:paraId="6E466E03" w14:textId="6954AD2E" w:rsidR="007D27EB" w:rsidRPr="000B1FC4" w:rsidRDefault="001E7B59" w:rsidP="00DC60FB">
            <w:pPr>
              <w:pStyle w:val="Heading1"/>
              <w:jc w:val="center"/>
              <w:rPr>
                <w:rFonts w:cs="Arial"/>
                <w:b w:val="0"/>
                <w:szCs w:val="22"/>
              </w:rPr>
            </w:pPr>
            <w:r>
              <w:rPr>
                <w:rFonts w:cs="Arial"/>
                <w:b w:val="0"/>
                <w:szCs w:val="22"/>
              </w:rPr>
              <w:t>18.65</w:t>
            </w:r>
          </w:p>
        </w:tc>
        <w:tc>
          <w:tcPr>
            <w:tcW w:w="1672" w:type="dxa"/>
          </w:tcPr>
          <w:p w14:paraId="1EF75EBB" w14:textId="74C94E09" w:rsidR="007D27EB" w:rsidRPr="000B1FC4" w:rsidRDefault="001E7B59" w:rsidP="00DC60FB">
            <w:pPr>
              <w:pStyle w:val="Heading1"/>
              <w:jc w:val="center"/>
              <w:rPr>
                <w:rFonts w:cs="Arial"/>
                <w:b w:val="0"/>
                <w:szCs w:val="22"/>
              </w:rPr>
            </w:pPr>
            <w:r>
              <w:rPr>
                <w:rFonts w:cs="Arial"/>
                <w:b w:val="0"/>
                <w:szCs w:val="22"/>
              </w:rPr>
              <w:t>3</w:t>
            </w:r>
          </w:p>
        </w:tc>
      </w:tr>
      <w:tr w:rsidR="00DC60FB" w:rsidRPr="00923945" w14:paraId="211F6D20" w14:textId="77777777" w:rsidTr="00DC60FB">
        <w:trPr>
          <w:trHeight w:val="227"/>
        </w:trPr>
        <w:tc>
          <w:tcPr>
            <w:tcW w:w="1101" w:type="dxa"/>
          </w:tcPr>
          <w:p w14:paraId="67CF4376" w14:textId="4DAA35B2" w:rsidR="00DC60FB" w:rsidRPr="000B1FC4" w:rsidRDefault="00DC60FB" w:rsidP="00DC60FB">
            <w:pPr>
              <w:pStyle w:val="Heading1"/>
              <w:jc w:val="center"/>
              <w:rPr>
                <w:rFonts w:cs="Arial"/>
                <w:b w:val="0"/>
                <w:szCs w:val="22"/>
              </w:rPr>
            </w:pPr>
            <w:r>
              <w:rPr>
                <w:rFonts w:cs="Arial"/>
                <w:b w:val="0"/>
                <w:szCs w:val="22"/>
              </w:rPr>
              <w:t>E</w:t>
            </w:r>
          </w:p>
        </w:tc>
        <w:tc>
          <w:tcPr>
            <w:tcW w:w="1849" w:type="dxa"/>
          </w:tcPr>
          <w:p w14:paraId="155BEF98" w14:textId="15DADC09" w:rsidR="00DC60FB" w:rsidRDefault="00DC60FB" w:rsidP="00DC60FB">
            <w:pPr>
              <w:pStyle w:val="Heading1"/>
              <w:jc w:val="center"/>
              <w:rPr>
                <w:rFonts w:cs="Arial"/>
                <w:b w:val="0"/>
                <w:szCs w:val="22"/>
              </w:rPr>
            </w:pPr>
            <w:r>
              <w:rPr>
                <w:rFonts w:cs="Arial"/>
                <w:b w:val="0"/>
                <w:szCs w:val="22"/>
              </w:rPr>
              <w:t>£51.25</w:t>
            </w:r>
          </w:p>
        </w:tc>
        <w:tc>
          <w:tcPr>
            <w:tcW w:w="2775" w:type="dxa"/>
          </w:tcPr>
          <w:p w14:paraId="03035903" w14:textId="08380E1B" w:rsidR="00DC60FB" w:rsidRDefault="00DC60FB" w:rsidP="00DC60FB">
            <w:pPr>
              <w:pStyle w:val="Heading1"/>
              <w:jc w:val="center"/>
              <w:rPr>
                <w:rFonts w:cs="Arial"/>
                <w:b w:val="0"/>
                <w:szCs w:val="22"/>
              </w:rPr>
            </w:pPr>
            <w:r>
              <w:rPr>
                <w:rFonts w:cs="Arial"/>
                <w:b w:val="0"/>
                <w:szCs w:val="22"/>
              </w:rPr>
              <w:t>16.83</w:t>
            </w:r>
          </w:p>
        </w:tc>
        <w:tc>
          <w:tcPr>
            <w:tcW w:w="1672" w:type="dxa"/>
          </w:tcPr>
          <w:p w14:paraId="327A83CF" w14:textId="6981C433" w:rsidR="00DC60FB" w:rsidRDefault="00DC60FB" w:rsidP="00DC60FB">
            <w:pPr>
              <w:pStyle w:val="Heading1"/>
              <w:jc w:val="center"/>
              <w:rPr>
                <w:rFonts w:cs="Arial"/>
                <w:b w:val="0"/>
                <w:szCs w:val="22"/>
              </w:rPr>
            </w:pPr>
            <w:r>
              <w:rPr>
                <w:rFonts w:cs="Arial"/>
                <w:b w:val="0"/>
                <w:szCs w:val="22"/>
              </w:rPr>
              <w:t>5</w:t>
            </w:r>
          </w:p>
        </w:tc>
      </w:tr>
    </w:tbl>
    <w:p w14:paraId="180504EC" w14:textId="77777777" w:rsidR="007D27EB" w:rsidRDefault="007D27EB" w:rsidP="00455919">
      <w:pPr>
        <w:pStyle w:val="Body1"/>
        <w:ind w:left="0"/>
        <w:rPr>
          <w:sz w:val="22"/>
          <w:szCs w:val="22"/>
        </w:rPr>
      </w:pPr>
    </w:p>
    <w:p w14:paraId="139A8942" w14:textId="77777777" w:rsidR="007D27EB" w:rsidRDefault="007D27EB" w:rsidP="00455919">
      <w:pPr>
        <w:pStyle w:val="Body1"/>
        <w:ind w:left="0"/>
        <w:rPr>
          <w:sz w:val="22"/>
          <w:szCs w:val="22"/>
        </w:rPr>
      </w:pPr>
    </w:p>
    <w:p w14:paraId="3D39D0CC" w14:textId="6AEE7744" w:rsidR="00FA7898" w:rsidRPr="00923945" w:rsidRDefault="001F582F" w:rsidP="001F582F">
      <w:pPr>
        <w:pStyle w:val="Level1"/>
        <w:keepNext/>
        <w:numPr>
          <w:ilvl w:val="0"/>
          <w:numId w:val="0"/>
        </w:numPr>
        <w:spacing w:before="240"/>
        <w:rPr>
          <w:b/>
          <w:bCs/>
          <w:caps/>
          <w:sz w:val="22"/>
          <w:szCs w:val="22"/>
        </w:rPr>
      </w:pPr>
      <w:r w:rsidRPr="001F582F">
        <w:rPr>
          <w:rStyle w:val="Level1asHeadingtext"/>
          <w:b w:val="0"/>
          <w:sz w:val="22"/>
          <w:szCs w:val="22"/>
        </w:rPr>
        <w:t>22</w:t>
      </w:r>
      <w:r>
        <w:rPr>
          <w:rStyle w:val="Level1asHeadingtext"/>
          <w:sz w:val="22"/>
          <w:szCs w:val="22"/>
        </w:rPr>
        <w:t xml:space="preserve"> </w:t>
      </w:r>
      <w:r>
        <w:rPr>
          <w:rStyle w:val="Level1asHeadingtext"/>
          <w:sz w:val="22"/>
          <w:szCs w:val="22"/>
        </w:rPr>
        <w:tab/>
      </w:r>
      <w:r w:rsidR="001F1CD9" w:rsidRPr="00923945">
        <w:rPr>
          <w:rStyle w:val="Level1asHeadingtext"/>
          <w:sz w:val="22"/>
          <w:szCs w:val="22"/>
        </w:rPr>
        <w:t>Total Sco</w:t>
      </w:r>
      <w:r w:rsidR="00FA7898" w:rsidRPr="00923945">
        <w:rPr>
          <w:rStyle w:val="Level1asHeadingtext"/>
          <w:sz w:val="22"/>
          <w:szCs w:val="22"/>
        </w:rPr>
        <w:t xml:space="preserve">re and Award Process </w:t>
      </w:r>
      <w:r w:rsidR="00FA7898" w:rsidRPr="00923945">
        <w:rPr>
          <w:sz w:val="22"/>
          <w:szCs w:val="22"/>
        </w:rPr>
        <w:t xml:space="preserve"> </w:t>
      </w:r>
    </w:p>
    <w:p w14:paraId="24C0FDFB" w14:textId="77777777" w:rsidR="001F582F" w:rsidRPr="001F582F" w:rsidRDefault="001F582F" w:rsidP="001F582F">
      <w:pPr>
        <w:pStyle w:val="ListParagraph"/>
        <w:numPr>
          <w:ilvl w:val="0"/>
          <w:numId w:val="2"/>
        </w:numPr>
        <w:adjustRightInd w:val="0"/>
        <w:spacing w:before="0" w:after="240"/>
        <w:contextualSpacing w:val="0"/>
        <w:outlineLvl w:val="0"/>
        <w:rPr>
          <w:rFonts w:ascii="Arial" w:eastAsia="Arial" w:hAnsi="Arial" w:cs="Arial"/>
          <w:vanish/>
          <w:sz w:val="20"/>
          <w:szCs w:val="20"/>
          <w:lang w:eastAsia="en-GB"/>
        </w:rPr>
      </w:pPr>
    </w:p>
    <w:p w14:paraId="274E4164" w14:textId="69595FE7" w:rsidR="002A495B" w:rsidRPr="001F582F" w:rsidRDefault="006F6D0F" w:rsidP="001F582F">
      <w:pPr>
        <w:pStyle w:val="Level2"/>
        <w:rPr>
          <w:sz w:val="22"/>
          <w:szCs w:val="22"/>
        </w:rPr>
      </w:pPr>
      <w:r w:rsidRPr="001F582F">
        <w:rPr>
          <w:sz w:val="22"/>
          <w:szCs w:val="22"/>
        </w:rPr>
        <w:t xml:space="preserve">The </w:t>
      </w:r>
      <w:r w:rsidR="007008F3" w:rsidRPr="001F582F">
        <w:rPr>
          <w:sz w:val="22"/>
          <w:szCs w:val="22"/>
        </w:rPr>
        <w:t>Quality</w:t>
      </w:r>
      <w:r w:rsidR="00DC60FB" w:rsidRPr="001F582F">
        <w:rPr>
          <w:sz w:val="22"/>
          <w:szCs w:val="22"/>
        </w:rPr>
        <w:t>, Value for Mon</w:t>
      </w:r>
      <w:r w:rsidR="00D47E36" w:rsidRPr="001F582F">
        <w:rPr>
          <w:sz w:val="22"/>
          <w:szCs w:val="22"/>
        </w:rPr>
        <w:t>ey</w:t>
      </w:r>
      <w:r w:rsidR="007008F3" w:rsidRPr="001F582F">
        <w:rPr>
          <w:sz w:val="22"/>
          <w:szCs w:val="22"/>
        </w:rPr>
        <w:t xml:space="preserve"> </w:t>
      </w:r>
      <w:r w:rsidR="008E6E5D" w:rsidRPr="001F582F">
        <w:rPr>
          <w:sz w:val="22"/>
          <w:szCs w:val="22"/>
        </w:rPr>
        <w:t xml:space="preserve">and Price </w:t>
      </w:r>
      <w:r w:rsidR="00FA7898" w:rsidRPr="001F582F">
        <w:rPr>
          <w:sz w:val="22"/>
          <w:szCs w:val="22"/>
        </w:rPr>
        <w:t xml:space="preserve">scores shall </w:t>
      </w:r>
      <w:r w:rsidRPr="001F582F">
        <w:rPr>
          <w:sz w:val="22"/>
          <w:szCs w:val="22"/>
        </w:rPr>
        <w:t xml:space="preserve">be added together to give each Tenderer </w:t>
      </w:r>
      <w:r w:rsidR="00285D2F" w:rsidRPr="001F582F">
        <w:rPr>
          <w:sz w:val="22"/>
          <w:szCs w:val="22"/>
        </w:rPr>
        <w:t>t</w:t>
      </w:r>
      <w:r w:rsidRPr="001F582F">
        <w:rPr>
          <w:sz w:val="22"/>
          <w:szCs w:val="22"/>
        </w:rPr>
        <w:t>heir Total Score</w:t>
      </w:r>
      <w:r w:rsidR="00FA7898" w:rsidRPr="001F582F">
        <w:rPr>
          <w:sz w:val="22"/>
          <w:szCs w:val="22"/>
        </w:rPr>
        <w:t xml:space="preserve"> </w:t>
      </w:r>
      <w:r w:rsidR="008E6E5D" w:rsidRPr="001F582F">
        <w:rPr>
          <w:sz w:val="22"/>
          <w:szCs w:val="22"/>
        </w:rPr>
        <w:t>and T</w:t>
      </w:r>
      <w:r w:rsidR="00FA7898" w:rsidRPr="001F582F">
        <w:rPr>
          <w:sz w:val="22"/>
          <w:szCs w:val="22"/>
        </w:rPr>
        <w:t>en</w:t>
      </w:r>
      <w:r w:rsidR="008E6E5D" w:rsidRPr="001F582F">
        <w:rPr>
          <w:sz w:val="22"/>
          <w:szCs w:val="22"/>
        </w:rPr>
        <w:t>derers ranked accordingly. The T</w:t>
      </w:r>
      <w:r w:rsidR="00FA7898" w:rsidRPr="001F582F">
        <w:rPr>
          <w:sz w:val="22"/>
          <w:szCs w:val="22"/>
        </w:rPr>
        <w:t>enderer</w:t>
      </w:r>
      <w:r w:rsidR="004A67D8" w:rsidRPr="001F582F">
        <w:rPr>
          <w:sz w:val="22"/>
          <w:szCs w:val="22"/>
        </w:rPr>
        <w:t>s who satisfy</w:t>
      </w:r>
      <w:r w:rsidR="00FA7898" w:rsidRPr="001F582F">
        <w:rPr>
          <w:sz w:val="22"/>
          <w:szCs w:val="22"/>
        </w:rPr>
        <w:t xml:space="preserve"> all requirements of the </w:t>
      </w:r>
      <w:r w:rsidR="008E6E5D" w:rsidRPr="001F582F">
        <w:rPr>
          <w:sz w:val="22"/>
          <w:szCs w:val="22"/>
        </w:rPr>
        <w:t>Invitation to Tender</w:t>
      </w:r>
      <w:r w:rsidR="004A67D8" w:rsidRPr="001F582F">
        <w:rPr>
          <w:sz w:val="22"/>
          <w:szCs w:val="22"/>
        </w:rPr>
        <w:t xml:space="preserve"> and are</w:t>
      </w:r>
      <w:r w:rsidR="00FA7898" w:rsidRPr="001F582F">
        <w:rPr>
          <w:sz w:val="22"/>
          <w:szCs w:val="22"/>
        </w:rPr>
        <w:t xml:space="preserve"> awarded the</w:t>
      </w:r>
      <w:r w:rsidR="004A67D8" w:rsidRPr="001F582F">
        <w:rPr>
          <w:sz w:val="22"/>
          <w:szCs w:val="22"/>
        </w:rPr>
        <w:t xml:space="preserve"> five (5)</w:t>
      </w:r>
      <w:r w:rsidR="00FA7898" w:rsidRPr="001F582F">
        <w:rPr>
          <w:sz w:val="22"/>
          <w:szCs w:val="22"/>
        </w:rPr>
        <w:t xml:space="preserve"> highest combined score</w:t>
      </w:r>
      <w:r w:rsidR="004A67D8" w:rsidRPr="001F582F">
        <w:rPr>
          <w:sz w:val="22"/>
          <w:szCs w:val="22"/>
        </w:rPr>
        <w:t>s</w:t>
      </w:r>
      <w:r w:rsidR="00FA7898" w:rsidRPr="001F582F">
        <w:rPr>
          <w:sz w:val="22"/>
          <w:szCs w:val="22"/>
        </w:rPr>
        <w:t xml:space="preserve"> shall be identified as the </w:t>
      </w:r>
      <w:r w:rsidR="008E6E5D" w:rsidRPr="001F582F">
        <w:rPr>
          <w:sz w:val="22"/>
          <w:szCs w:val="22"/>
        </w:rPr>
        <w:t>most economically advantageous</w:t>
      </w:r>
      <w:r w:rsidR="00FA7898" w:rsidRPr="001F582F">
        <w:rPr>
          <w:sz w:val="22"/>
          <w:szCs w:val="22"/>
        </w:rPr>
        <w:t xml:space="preserve"> Tenderer</w:t>
      </w:r>
      <w:r w:rsidR="004A67D8" w:rsidRPr="001F582F">
        <w:rPr>
          <w:sz w:val="22"/>
          <w:szCs w:val="22"/>
        </w:rPr>
        <w:t>s</w:t>
      </w:r>
      <w:r w:rsidR="003C30EB" w:rsidRPr="001F582F">
        <w:rPr>
          <w:sz w:val="22"/>
          <w:szCs w:val="22"/>
        </w:rPr>
        <w:t>.</w:t>
      </w:r>
      <w:r w:rsidR="004E1169" w:rsidRPr="001F582F">
        <w:rPr>
          <w:sz w:val="22"/>
          <w:szCs w:val="22"/>
        </w:rPr>
        <w:t xml:space="preserve"> </w:t>
      </w:r>
      <w:r w:rsidR="00FA7898" w:rsidRPr="001F582F">
        <w:rPr>
          <w:sz w:val="22"/>
          <w:szCs w:val="22"/>
        </w:rPr>
        <w:t>All scores will be rounded to two decimal places.</w:t>
      </w:r>
      <w:r w:rsidR="00285D2F" w:rsidRPr="001F582F">
        <w:rPr>
          <w:sz w:val="22"/>
          <w:szCs w:val="22"/>
        </w:rPr>
        <w:t xml:space="preserve"> Example below.</w:t>
      </w:r>
    </w:p>
    <w:p w14:paraId="598050F8" w14:textId="0E131412" w:rsidR="00FA7898" w:rsidRPr="00923945" w:rsidRDefault="004E1169" w:rsidP="004B3F94">
      <w:pPr>
        <w:pStyle w:val="Body1"/>
        <w:rPr>
          <w:b/>
          <w:sz w:val="22"/>
          <w:szCs w:val="22"/>
          <w:u w:val="single"/>
        </w:rPr>
      </w:pPr>
      <w:r w:rsidRPr="00923945">
        <w:rPr>
          <w:b/>
          <w:sz w:val="22"/>
          <w:szCs w:val="22"/>
          <w:u w:val="single"/>
        </w:rPr>
        <w:t xml:space="preserve">Table </w:t>
      </w:r>
      <w:r w:rsidR="007F2106">
        <w:rPr>
          <w:b/>
          <w:sz w:val="22"/>
          <w:szCs w:val="22"/>
          <w:u w:val="single"/>
        </w:rPr>
        <w:t>4</w:t>
      </w:r>
    </w:p>
    <w:tbl>
      <w:tblPr>
        <w:tblW w:w="9013"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701"/>
        <w:gridCol w:w="1701"/>
        <w:gridCol w:w="1701"/>
        <w:gridCol w:w="1414"/>
        <w:gridCol w:w="1276"/>
      </w:tblGrid>
      <w:tr w:rsidR="00D47E36" w:rsidRPr="00D47E36" w14:paraId="206999F3" w14:textId="77777777" w:rsidTr="008D004E">
        <w:trPr>
          <w:trHeight w:val="278"/>
        </w:trPr>
        <w:tc>
          <w:tcPr>
            <w:tcW w:w="1220" w:type="dxa"/>
            <w:shd w:val="clear" w:color="auto" w:fill="990099"/>
          </w:tcPr>
          <w:p w14:paraId="2AAF29D0" w14:textId="77777777" w:rsidR="00D47E36" w:rsidRPr="00D47E36" w:rsidRDefault="00D47E36" w:rsidP="00D47E36">
            <w:pPr>
              <w:pStyle w:val="Heading1"/>
              <w:jc w:val="center"/>
              <w:rPr>
                <w:rFonts w:cs="Arial"/>
                <w:color w:val="FFFFFF" w:themeColor="background1"/>
                <w:szCs w:val="22"/>
              </w:rPr>
            </w:pPr>
          </w:p>
          <w:p w14:paraId="1CE3E3BC" w14:textId="77777777" w:rsidR="00D47E36" w:rsidRPr="00D47E36" w:rsidRDefault="00D47E36" w:rsidP="00D47E36">
            <w:pPr>
              <w:pStyle w:val="Heading1"/>
              <w:jc w:val="center"/>
              <w:rPr>
                <w:rFonts w:cs="Arial"/>
                <w:color w:val="FFFFFF" w:themeColor="background1"/>
                <w:szCs w:val="22"/>
              </w:rPr>
            </w:pPr>
            <w:r w:rsidRPr="00D47E36">
              <w:rPr>
                <w:rFonts w:cs="Arial"/>
                <w:color w:val="FFFFFF" w:themeColor="background1"/>
                <w:szCs w:val="22"/>
              </w:rPr>
              <w:t>Tenderer</w:t>
            </w:r>
          </w:p>
          <w:p w14:paraId="6DA46E99" w14:textId="77777777" w:rsidR="00D47E36" w:rsidRPr="00D47E36" w:rsidRDefault="00D47E36" w:rsidP="00D47E36">
            <w:pPr>
              <w:pStyle w:val="Heading1"/>
              <w:jc w:val="center"/>
              <w:rPr>
                <w:rFonts w:cs="Arial"/>
                <w:color w:val="FFFFFF" w:themeColor="background1"/>
                <w:szCs w:val="22"/>
              </w:rPr>
            </w:pPr>
          </w:p>
        </w:tc>
        <w:tc>
          <w:tcPr>
            <w:tcW w:w="1701" w:type="dxa"/>
            <w:shd w:val="clear" w:color="auto" w:fill="990099"/>
          </w:tcPr>
          <w:p w14:paraId="5833D27A" w14:textId="77777777" w:rsidR="00D47E36" w:rsidRPr="00D47E36" w:rsidRDefault="00D47E36" w:rsidP="00D47E36">
            <w:pPr>
              <w:pStyle w:val="Heading1"/>
              <w:jc w:val="center"/>
              <w:rPr>
                <w:rFonts w:cs="Arial"/>
                <w:color w:val="FFFFFF" w:themeColor="background1"/>
                <w:szCs w:val="22"/>
              </w:rPr>
            </w:pPr>
          </w:p>
          <w:p w14:paraId="571E6591" w14:textId="77777777" w:rsidR="00D47E36" w:rsidRPr="00D47E36" w:rsidRDefault="00D47E36" w:rsidP="00D47E36">
            <w:pPr>
              <w:pStyle w:val="Heading1"/>
              <w:jc w:val="center"/>
              <w:rPr>
                <w:rFonts w:cs="Arial"/>
                <w:color w:val="FFFFFF" w:themeColor="background1"/>
                <w:szCs w:val="22"/>
              </w:rPr>
            </w:pPr>
            <w:r w:rsidRPr="00D47E36">
              <w:rPr>
                <w:rFonts w:cs="Arial"/>
                <w:color w:val="FFFFFF" w:themeColor="background1"/>
                <w:szCs w:val="22"/>
              </w:rPr>
              <w:t>Quality Score</w:t>
            </w:r>
          </w:p>
          <w:p w14:paraId="442B3DF2" w14:textId="533C2C0D" w:rsidR="00D47E36" w:rsidRPr="00D47E36" w:rsidRDefault="00D47E36" w:rsidP="00D47E36">
            <w:pPr>
              <w:jc w:val="center"/>
              <w:rPr>
                <w:b/>
                <w:color w:val="FFFFFF" w:themeColor="background1"/>
                <w:sz w:val="22"/>
                <w:szCs w:val="22"/>
              </w:rPr>
            </w:pPr>
            <w:r>
              <w:rPr>
                <w:b/>
                <w:color w:val="FFFFFF" w:themeColor="background1"/>
                <w:sz w:val="22"/>
                <w:szCs w:val="22"/>
              </w:rPr>
              <w:t>70</w:t>
            </w:r>
          </w:p>
        </w:tc>
        <w:tc>
          <w:tcPr>
            <w:tcW w:w="1701" w:type="dxa"/>
            <w:shd w:val="clear" w:color="auto" w:fill="990099"/>
          </w:tcPr>
          <w:p w14:paraId="6B3965AC" w14:textId="77777777" w:rsidR="00D47E36" w:rsidRPr="00D47E36" w:rsidRDefault="00D47E36" w:rsidP="00D47E36">
            <w:pPr>
              <w:pStyle w:val="Heading1"/>
              <w:jc w:val="center"/>
              <w:rPr>
                <w:rFonts w:cs="Arial"/>
                <w:color w:val="FFFFFF" w:themeColor="background1"/>
                <w:szCs w:val="22"/>
              </w:rPr>
            </w:pPr>
          </w:p>
          <w:p w14:paraId="13FE6183" w14:textId="302CECC5" w:rsidR="00D47E36" w:rsidRPr="00D47E36" w:rsidRDefault="00D47E36" w:rsidP="00D47E36">
            <w:pPr>
              <w:pStyle w:val="Heading1"/>
              <w:jc w:val="center"/>
              <w:rPr>
                <w:rFonts w:cs="Arial"/>
                <w:color w:val="FFFFFF" w:themeColor="background1"/>
                <w:szCs w:val="22"/>
              </w:rPr>
            </w:pPr>
            <w:r>
              <w:rPr>
                <w:rFonts w:cs="Arial"/>
                <w:color w:val="FFFFFF" w:themeColor="background1"/>
                <w:szCs w:val="22"/>
              </w:rPr>
              <w:t>Value for Money</w:t>
            </w:r>
            <w:r w:rsidRPr="00D47E36">
              <w:rPr>
                <w:rFonts w:cs="Arial"/>
                <w:color w:val="FFFFFF" w:themeColor="background1"/>
                <w:szCs w:val="22"/>
              </w:rPr>
              <w:t xml:space="preserve"> Score </w:t>
            </w:r>
          </w:p>
          <w:p w14:paraId="73DD9337" w14:textId="5723ACDB" w:rsidR="00D47E36" w:rsidRPr="00D47E36" w:rsidRDefault="00D47E36" w:rsidP="00D47E36">
            <w:pPr>
              <w:pStyle w:val="Heading1"/>
              <w:jc w:val="center"/>
              <w:rPr>
                <w:rFonts w:cs="Arial"/>
                <w:color w:val="FFFFFF" w:themeColor="background1"/>
                <w:szCs w:val="22"/>
              </w:rPr>
            </w:pPr>
            <w:r>
              <w:rPr>
                <w:rFonts w:cs="Arial"/>
                <w:color w:val="FFFFFF" w:themeColor="background1"/>
                <w:szCs w:val="22"/>
              </w:rPr>
              <w:t>10</w:t>
            </w:r>
          </w:p>
        </w:tc>
        <w:tc>
          <w:tcPr>
            <w:tcW w:w="1701" w:type="dxa"/>
            <w:shd w:val="clear" w:color="auto" w:fill="990099"/>
          </w:tcPr>
          <w:p w14:paraId="73D7DAA8" w14:textId="61682844" w:rsidR="00D47E36" w:rsidRPr="00D47E36" w:rsidRDefault="00D47E36" w:rsidP="00D47E36">
            <w:pPr>
              <w:pStyle w:val="Heading1"/>
              <w:jc w:val="center"/>
              <w:rPr>
                <w:rFonts w:cs="Arial"/>
                <w:color w:val="FFFFFF" w:themeColor="background1"/>
                <w:szCs w:val="22"/>
              </w:rPr>
            </w:pPr>
          </w:p>
          <w:p w14:paraId="3AEC4289" w14:textId="5BAC99A9" w:rsidR="00D47E36" w:rsidRPr="00D47E36" w:rsidRDefault="00D47E36" w:rsidP="00D47E36">
            <w:pPr>
              <w:pStyle w:val="Heading1"/>
              <w:jc w:val="center"/>
              <w:rPr>
                <w:rFonts w:cs="Arial"/>
                <w:color w:val="FFFFFF" w:themeColor="background1"/>
                <w:szCs w:val="22"/>
              </w:rPr>
            </w:pPr>
            <w:r w:rsidRPr="00D47E36">
              <w:rPr>
                <w:rFonts w:cs="Arial"/>
                <w:color w:val="FFFFFF" w:themeColor="background1"/>
                <w:szCs w:val="22"/>
              </w:rPr>
              <w:t xml:space="preserve">Price Score </w:t>
            </w:r>
          </w:p>
          <w:p w14:paraId="14C16401" w14:textId="7CF87C16" w:rsidR="00D47E36" w:rsidRPr="00D47E36" w:rsidRDefault="008D004E" w:rsidP="00D47E36">
            <w:pPr>
              <w:pStyle w:val="Heading1"/>
              <w:jc w:val="center"/>
              <w:rPr>
                <w:rFonts w:cs="Arial"/>
                <w:color w:val="FFFFFF" w:themeColor="background1"/>
                <w:szCs w:val="22"/>
              </w:rPr>
            </w:pPr>
            <w:r>
              <w:rPr>
                <w:rFonts w:cs="Arial"/>
                <w:color w:val="FFFFFF" w:themeColor="background1"/>
                <w:szCs w:val="22"/>
              </w:rPr>
              <w:t>2</w:t>
            </w:r>
            <w:r w:rsidR="00D47E36" w:rsidRPr="00D47E36">
              <w:rPr>
                <w:rFonts w:cs="Arial"/>
                <w:color w:val="FFFFFF" w:themeColor="background1"/>
                <w:szCs w:val="22"/>
              </w:rPr>
              <w:t>0</w:t>
            </w:r>
          </w:p>
        </w:tc>
        <w:tc>
          <w:tcPr>
            <w:tcW w:w="1414" w:type="dxa"/>
            <w:shd w:val="clear" w:color="auto" w:fill="990099"/>
          </w:tcPr>
          <w:p w14:paraId="5A2632DC" w14:textId="77777777" w:rsidR="00D47E36" w:rsidRPr="00D47E36" w:rsidRDefault="00D47E36" w:rsidP="00D47E36">
            <w:pPr>
              <w:pStyle w:val="Heading1"/>
              <w:jc w:val="center"/>
              <w:rPr>
                <w:rFonts w:cs="Arial"/>
                <w:color w:val="FFFFFF" w:themeColor="background1"/>
                <w:szCs w:val="22"/>
              </w:rPr>
            </w:pPr>
          </w:p>
          <w:p w14:paraId="0679FA1E" w14:textId="4D307355" w:rsidR="00D47E36" w:rsidRPr="00D47E36" w:rsidRDefault="00D47E36" w:rsidP="00D47E36">
            <w:pPr>
              <w:pStyle w:val="Heading1"/>
              <w:jc w:val="center"/>
              <w:rPr>
                <w:rFonts w:cs="Arial"/>
                <w:color w:val="FFFFFF" w:themeColor="background1"/>
                <w:szCs w:val="22"/>
              </w:rPr>
            </w:pPr>
            <w:r w:rsidRPr="00D47E36">
              <w:rPr>
                <w:rFonts w:cs="Arial"/>
                <w:color w:val="FFFFFF" w:themeColor="background1"/>
                <w:szCs w:val="22"/>
              </w:rPr>
              <w:t>Total Score</w:t>
            </w:r>
          </w:p>
        </w:tc>
        <w:tc>
          <w:tcPr>
            <w:tcW w:w="1276" w:type="dxa"/>
            <w:shd w:val="clear" w:color="auto" w:fill="990099"/>
          </w:tcPr>
          <w:p w14:paraId="107CFC5C" w14:textId="77777777" w:rsidR="00D47E36" w:rsidRPr="00D47E36" w:rsidRDefault="00D47E36" w:rsidP="00D47E36">
            <w:pPr>
              <w:pStyle w:val="Heading1"/>
              <w:jc w:val="center"/>
              <w:rPr>
                <w:rFonts w:cs="Arial"/>
                <w:color w:val="FFFFFF" w:themeColor="background1"/>
                <w:szCs w:val="22"/>
              </w:rPr>
            </w:pPr>
          </w:p>
          <w:p w14:paraId="25EA1663" w14:textId="77777777" w:rsidR="00D47E36" w:rsidRPr="00D47E36" w:rsidRDefault="00D47E36" w:rsidP="00D47E36">
            <w:pPr>
              <w:pStyle w:val="Heading1"/>
              <w:jc w:val="center"/>
              <w:rPr>
                <w:rFonts w:cs="Arial"/>
                <w:color w:val="FFFFFF" w:themeColor="background1"/>
                <w:szCs w:val="22"/>
              </w:rPr>
            </w:pPr>
            <w:r w:rsidRPr="00D47E36">
              <w:rPr>
                <w:rFonts w:cs="Arial"/>
                <w:color w:val="FFFFFF" w:themeColor="background1"/>
                <w:szCs w:val="22"/>
              </w:rPr>
              <w:t>Final Ranking</w:t>
            </w:r>
          </w:p>
        </w:tc>
      </w:tr>
      <w:tr w:rsidR="00D47E36" w:rsidRPr="00923945" w14:paraId="510400AE" w14:textId="77777777" w:rsidTr="008D004E">
        <w:trPr>
          <w:trHeight w:val="211"/>
        </w:trPr>
        <w:tc>
          <w:tcPr>
            <w:tcW w:w="1220" w:type="dxa"/>
            <w:shd w:val="clear" w:color="auto" w:fill="auto"/>
          </w:tcPr>
          <w:p w14:paraId="0E43CBC8" w14:textId="77777777" w:rsidR="00D47E36" w:rsidRPr="00923945" w:rsidRDefault="00D47E36" w:rsidP="00D47E36">
            <w:pPr>
              <w:pStyle w:val="Heading1"/>
              <w:jc w:val="center"/>
              <w:rPr>
                <w:rFonts w:cs="Arial"/>
                <w:szCs w:val="22"/>
              </w:rPr>
            </w:pPr>
            <w:r w:rsidRPr="00923945">
              <w:rPr>
                <w:rFonts w:cs="Arial"/>
                <w:szCs w:val="22"/>
              </w:rPr>
              <w:t>A</w:t>
            </w:r>
          </w:p>
        </w:tc>
        <w:tc>
          <w:tcPr>
            <w:tcW w:w="1701" w:type="dxa"/>
          </w:tcPr>
          <w:p w14:paraId="59ED7C97" w14:textId="3C1AB2C5" w:rsidR="00D47E36" w:rsidRPr="00923945" w:rsidRDefault="00D47E36" w:rsidP="00D47E36">
            <w:pPr>
              <w:pStyle w:val="Heading1"/>
              <w:jc w:val="center"/>
              <w:rPr>
                <w:rFonts w:cs="Arial"/>
                <w:b w:val="0"/>
                <w:szCs w:val="22"/>
              </w:rPr>
            </w:pPr>
            <w:r>
              <w:rPr>
                <w:rFonts w:cs="Arial"/>
                <w:b w:val="0"/>
                <w:szCs w:val="22"/>
              </w:rPr>
              <w:t>55.00</w:t>
            </w:r>
          </w:p>
        </w:tc>
        <w:tc>
          <w:tcPr>
            <w:tcW w:w="1701" w:type="dxa"/>
          </w:tcPr>
          <w:p w14:paraId="512BF41A" w14:textId="57BFBDF7" w:rsidR="00D47E36" w:rsidRDefault="00D47E36" w:rsidP="00D47E36">
            <w:pPr>
              <w:pStyle w:val="Heading1"/>
              <w:jc w:val="center"/>
              <w:rPr>
                <w:rFonts w:cs="Arial"/>
                <w:b w:val="0"/>
                <w:szCs w:val="22"/>
              </w:rPr>
            </w:pPr>
            <w:r>
              <w:rPr>
                <w:rFonts w:cs="Arial"/>
                <w:b w:val="0"/>
                <w:szCs w:val="22"/>
              </w:rPr>
              <w:t>8.00</w:t>
            </w:r>
          </w:p>
        </w:tc>
        <w:tc>
          <w:tcPr>
            <w:tcW w:w="1701" w:type="dxa"/>
          </w:tcPr>
          <w:p w14:paraId="2FCA2518" w14:textId="3DFA3457" w:rsidR="00D47E36" w:rsidRPr="00923945" w:rsidRDefault="008D004E" w:rsidP="00D47E36">
            <w:pPr>
              <w:pStyle w:val="Heading1"/>
              <w:jc w:val="center"/>
              <w:rPr>
                <w:rFonts w:cs="Arial"/>
                <w:b w:val="0"/>
                <w:szCs w:val="22"/>
              </w:rPr>
            </w:pPr>
            <w:r>
              <w:rPr>
                <w:rFonts w:cs="Arial"/>
                <w:b w:val="0"/>
                <w:szCs w:val="22"/>
              </w:rPr>
              <w:t>20.00</w:t>
            </w:r>
          </w:p>
        </w:tc>
        <w:tc>
          <w:tcPr>
            <w:tcW w:w="1414" w:type="dxa"/>
          </w:tcPr>
          <w:p w14:paraId="78FDE281" w14:textId="3E03F67C" w:rsidR="00D47E36" w:rsidRPr="00923945" w:rsidRDefault="008D004E" w:rsidP="00D47E36">
            <w:pPr>
              <w:pStyle w:val="Heading1"/>
              <w:jc w:val="center"/>
              <w:rPr>
                <w:rFonts w:cs="Arial"/>
                <w:b w:val="0"/>
                <w:szCs w:val="22"/>
              </w:rPr>
            </w:pPr>
            <w:r>
              <w:rPr>
                <w:rFonts w:cs="Arial"/>
                <w:b w:val="0"/>
                <w:szCs w:val="22"/>
              </w:rPr>
              <w:t>83.00</w:t>
            </w:r>
          </w:p>
        </w:tc>
        <w:tc>
          <w:tcPr>
            <w:tcW w:w="1276" w:type="dxa"/>
          </w:tcPr>
          <w:p w14:paraId="3EE7786F" w14:textId="25603F01" w:rsidR="00D47E36" w:rsidRPr="00923945" w:rsidRDefault="008D004E" w:rsidP="00D47E36">
            <w:pPr>
              <w:pStyle w:val="Heading1"/>
              <w:jc w:val="center"/>
              <w:rPr>
                <w:rFonts w:cs="Arial"/>
                <w:b w:val="0"/>
                <w:szCs w:val="22"/>
              </w:rPr>
            </w:pPr>
            <w:r>
              <w:rPr>
                <w:rFonts w:cs="Arial"/>
                <w:b w:val="0"/>
                <w:szCs w:val="22"/>
              </w:rPr>
              <w:t>2</w:t>
            </w:r>
          </w:p>
        </w:tc>
      </w:tr>
      <w:tr w:rsidR="00D47E36" w:rsidRPr="00923945" w14:paraId="54932AD8" w14:textId="77777777" w:rsidTr="008D004E">
        <w:trPr>
          <w:trHeight w:val="211"/>
        </w:trPr>
        <w:tc>
          <w:tcPr>
            <w:tcW w:w="1220" w:type="dxa"/>
            <w:shd w:val="clear" w:color="auto" w:fill="auto"/>
          </w:tcPr>
          <w:p w14:paraId="219B028E" w14:textId="77777777" w:rsidR="00D47E36" w:rsidRPr="00923945" w:rsidRDefault="00D47E36" w:rsidP="00D47E36">
            <w:pPr>
              <w:pStyle w:val="Heading1"/>
              <w:jc w:val="center"/>
              <w:rPr>
                <w:rFonts w:cs="Arial"/>
                <w:szCs w:val="22"/>
              </w:rPr>
            </w:pPr>
            <w:r w:rsidRPr="00923945">
              <w:rPr>
                <w:rFonts w:cs="Arial"/>
                <w:szCs w:val="22"/>
              </w:rPr>
              <w:t>B</w:t>
            </w:r>
          </w:p>
        </w:tc>
        <w:tc>
          <w:tcPr>
            <w:tcW w:w="1701" w:type="dxa"/>
          </w:tcPr>
          <w:p w14:paraId="52BDD847" w14:textId="78D39855" w:rsidR="00D47E36" w:rsidRPr="00923945" w:rsidRDefault="00D47E36" w:rsidP="00D47E36">
            <w:pPr>
              <w:pStyle w:val="Heading1"/>
              <w:jc w:val="center"/>
              <w:rPr>
                <w:rFonts w:cs="Arial"/>
                <w:b w:val="0"/>
                <w:szCs w:val="22"/>
              </w:rPr>
            </w:pPr>
            <w:r>
              <w:rPr>
                <w:rFonts w:cs="Arial"/>
                <w:b w:val="0"/>
                <w:szCs w:val="22"/>
              </w:rPr>
              <w:t>53.25</w:t>
            </w:r>
          </w:p>
        </w:tc>
        <w:tc>
          <w:tcPr>
            <w:tcW w:w="1701" w:type="dxa"/>
          </w:tcPr>
          <w:p w14:paraId="26FCDB64" w14:textId="01A91510" w:rsidR="00D47E36" w:rsidRDefault="008D004E" w:rsidP="00D47E36">
            <w:pPr>
              <w:pStyle w:val="Heading1"/>
              <w:jc w:val="center"/>
              <w:rPr>
                <w:rFonts w:cs="Arial"/>
                <w:b w:val="0"/>
                <w:szCs w:val="22"/>
              </w:rPr>
            </w:pPr>
            <w:r>
              <w:rPr>
                <w:rFonts w:cs="Arial"/>
                <w:b w:val="0"/>
                <w:szCs w:val="22"/>
              </w:rPr>
              <w:t>6.00</w:t>
            </w:r>
          </w:p>
        </w:tc>
        <w:tc>
          <w:tcPr>
            <w:tcW w:w="1701" w:type="dxa"/>
          </w:tcPr>
          <w:p w14:paraId="37AAEF0D" w14:textId="196DED15" w:rsidR="00D47E36" w:rsidRPr="00923945" w:rsidRDefault="008D004E" w:rsidP="00D47E36">
            <w:pPr>
              <w:pStyle w:val="Heading1"/>
              <w:jc w:val="center"/>
              <w:rPr>
                <w:rFonts w:cs="Arial"/>
                <w:b w:val="0"/>
                <w:szCs w:val="22"/>
              </w:rPr>
            </w:pPr>
            <w:r>
              <w:rPr>
                <w:rFonts w:cs="Arial"/>
                <w:b w:val="0"/>
                <w:szCs w:val="22"/>
              </w:rPr>
              <w:t>19.17</w:t>
            </w:r>
          </w:p>
        </w:tc>
        <w:tc>
          <w:tcPr>
            <w:tcW w:w="1414" w:type="dxa"/>
          </w:tcPr>
          <w:p w14:paraId="33A18437" w14:textId="33E39CD2" w:rsidR="00D47E36" w:rsidRPr="00923945" w:rsidRDefault="008D004E" w:rsidP="00D47E36">
            <w:pPr>
              <w:pStyle w:val="Heading1"/>
              <w:jc w:val="center"/>
              <w:rPr>
                <w:rFonts w:cs="Arial"/>
                <w:b w:val="0"/>
                <w:szCs w:val="22"/>
              </w:rPr>
            </w:pPr>
            <w:r>
              <w:rPr>
                <w:rFonts w:cs="Arial"/>
                <w:b w:val="0"/>
                <w:szCs w:val="22"/>
              </w:rPr>
              <w:t>78.42</w:t>
            </w:r>
          </w:p>
        </w:tc>
        <w:tc>
          <w:tcPr>
            <w:tcW w:w="1276" w:type="dxa"/>
          </w:tcPr>
          <w:p w14:paraId="5659F830" w14:textId="011B9B1C" w:rsidR="00D47E36" w:rsidRPr="00923945" w:rsidRDefault="00DC60FB" w:rsidP="00D47E36">
            <w:pPr>
              <w:pStyle w:val="Heading1"/>
              <w:jc w:val="center"/>
              <w:rPr>
                <w:rFonts w:cs="Arial"/>
                <w:b w:val="0"/>
                <w:szCs w:val="22"/>
              </w:rPr>
            </w:pPr>
            <w:r>
              <w:rPr>
                <w:rFonts w:cs="Arial"/>
                <w:b w:val="0"/>
                <w:szCs w:val="22"/>
              </w:rPr>
              <w:t>4</w:t>
            </w:r>
          </w:p>
        </w:tc>
      </w:tr>
      <w:tr w:rsidR="00D47E36" w:rsidRPr="00923945" w14:paraId="51943476" w14:textId="77777777" w:rsidTr="008D004E">
        <w:trPr>
          <w:trHeight w:val="211"/>
        </w:trPr>
        <w:tc>
          <w:tcPr>
            <w:tcW w:w="1220" w:type="dxa"/>
            <w:shd w:val="clear" w:color="auto" w:fill="auto"/>
          </w:tcPr>
          <w:p w14:paraId="2CDF7F68" w14:textId="77777777" w:rsidR="00D47E36" w:rsidRPr="00923945" w:rsidRDefault="00D47E36" w:rsidP="00D47E36">
            <w:pPr>
              <w:pStyle w:val="Heading1"/>
              <w:jc w:val="center"/>
              <w:rPr>
                <w:rFonts w:cs="Arial"/>
                <w:szCs w:val="22"/>
              </w:rPr>
            </w:pPr>
            <w:r w:rsidRPr="00923945">
              <w:rPr>
                <w:rFonts w:cs="Arial"/>
                <w:szCs w:val="22"/>
              </w:rPr>
              <w:t>C</w:t>
            </w:r>
          </w:p>
        </w:tc>
        <w:tc>
          <w:tcPr>
            <w:tcW w:w="1701" w:type="dxa"/>
          </w:tcPr>
          <w:p w14:paraId="15277194" w14:textId="40AFD0F3" w:rsidR="00D47E36" w:rsidRPr="00923945" w:rsidRDefault="00D47E36" w:rsidP="00D47E36">
            <w:pPr>
              <w:pStyle w:val="Heading1"/>
              <w:jc w:val="center"/>
              <w:rPr>
                <w:rFonts w:cs="Arial"/>
                <w:b w:val="0"/>
                <w:szCs w:val="22"/>
              </w:rPr>
            </w:pPr>
            <w:r>
              <w:rPr>
                <w:rFonts w:cs="Arial"/>
                <w:b w:val="0"/>
                <w:szCs w:val="22"/>
              </w:rPr>
              <w:t>45.50</w:t>
            </w:r>
          </w:p>
        </w:tc>
        <w:tc>
          <w:tcPr>
            <w:tcW w:w="1701" w:type="dxa"/>
          </w:tcPr>
          <w:p w14:paraId="4419E094" w14:textId="77EEB8B0" w:rsidR="00D47E36" w:rsidRDefault="008D004E" w:rsidP="00D47E36">
            <w:pPr>
              <w:pStyle w:val="Heading1"/>
              <w:jc w:val="center"/>
              <w:rPr>
                <w:rFonts w:cs="Arial"/>
                <w:b w:val="0"/>
                <w:szCs w:val="22"/>
              </w:rPr>
            </w:pPr>
            <w:r>
              <w:rPr>
                <w:rFonts w:cs="Arial"/>
                <w:b w:val="0"/>
                <w:szCs w:val="22"/>
              </w:rPr>
              <w:t>6.00</w:t>
            </w:r>
          </w:p>
        </w:tc>
        <w:tc>
          <w:tcPr>
            <w:tcW w:w="1701" w:type="dxa"/>
          </w:tcPr>
          <w:p w14:paraId="317AA4EF" w14:textId="3683BC99" w:rsidR="00D47E36" w:rsidRPr="00923945" w:rsidRDefault="008D004E" w:rsidP="00D47E36">
            <w:pPr>
              <w:pStyle w:val="Heading1"/>
              <w:jc w:val="center"/>
              <w:rPr>
                <w:rFonts w:cs="Arial"/>
                <w:b w:val="0"/>
                <w:szCs w:val="22"/>
              </w:rPr>
            </w:pPr>
            <w:r>
              <w:rPr>
                <w:rFonts w:cs="Arial"/>
                <w:b w:val="0"/>
                <w:szCs w:val="22"/>
              </w:rPr>
              <w:t>18.65</w:t>
            </w:r>
          </w:p>
        </w:tc>
        <w:tc>
          <w:tcPr>
            <w:tcW w:w="1414" w:type="dxa"/>
          </w:tcPr>
          <w:p w14:paraId="49162749" w14:textId="3913D6DA" w:rsidR="00D47E36" w:rsidRPr="00923945" w:rsidRDefault="008D004E" w:rsidP="00D47E36">
            <w:pPr>
              <w:pStyle w:val="Heading1"/>
              <w:jc w:val="center"/>
              <w:rPr>
                <w:rFonts w:cs="Arial"/>
                <w:b w:val="0"/>
                <w:szCs w:val="22"/>
              </w:rPr>
            </w:pPr>
            <w:r>
              <w:rPr>
                <w:rFonts w:cs="Arial"/>
                <w:b w:val="0"/>
                <w:szCs w:val="22"/>
              </w:rPr>
              <w:t>70.15</w:t>
            </w:r>
          </w:p>
        </w:tc>
        <w:tc>
          <w:tcPr>
            <w:tcW w:w="1276" w:type="dxa"/>
          </w:tcPr>
          <w:p w14:paraId="71EDF9C7" w14:textId="551B103B" w:rsidR="00D47E36" w:rsidRPr="00923945" w:rsidRDefault="00DC60FB" w:rsidP="00D47E36">
            <w:pPr>
              <w:pStyle w:val="Heading1"/>
              <w:jc w:val="center"/>
              <w:rPr>
                <w:rFonts w:cs="Arial"/>
                <w:b w:val="0"/>
                <w:szCs w:val="22"/>
              </w:rPr>
            </w:pPr>
            <w:r>
              <w:rPr>
                <w:rFonts w:cs="Arial"/>
                <w:b w:val="0"/>
                <w:szCs w:val="22"/>
              </w:rPr>
              <w:t>5</w:t>
            </w:r>
          </w:p>
        </w:tc>
      </w:tr>
      <w:tr w:rsidR="00D47E36" w:rsidRPr="00923945" w14:paraId="65316982" w14:textId="77777777" w:rsidTr="008D004E">
        <w:trPr>
          <w:trHeight w:val="65"/>
        </w:trPr>
        <w:tc>
          <w:tcPr>
            <w:tcW w:w="1220" w:type="dxa"/>
            <w:shd w:val="clear" w:color="auto" w:fill="auto"/>
          </w:tcPr>
          <w:p w14:paraId="3DAD85BC" w14:textId="77777777" w:rsidR="00D47E36" w:rsidRPr="00923945" w:rsidRDefault="00D47E36" w:rsidP="00D47E36">
            <w:pPr>
              <w:pStyle w:val="Heading1"/>
              <w:jc w:val="center"/>
              <w:rPr>
                <w:rFonts w:cs="Arial"/>
                <w:szCs w:val="22"/>
              </w:rPr>
            </w:pPr>
            <w:r w:rsidRPr="00923945">
              <w:rPr>
                <w:rFonts w:cs="Arial"/>
                <w:szCs w:val="22"/>
              </w:rPr>
              <w:t>D</w:t>
            </w:r>
          </w:p>
        </w:tc>
        <w:tc>
          <w:tcPr>
            <w:tcW w:w="1701" w:type="dxa"/>
          </w:tcPr>
          <w:p w14:paraId="44F0423B" w14:textId="103F5061" w:rsidR="00D47E36" w:rsidRPr="00923945" w:rsidRDefault="00D47E36" w:rsidP="00D47E36">
            <w:pPr>
              <w:pStyle w:val="Heading1"/>
              <w:jc w:val="center"/>
              <w:rPr>
                <w:rFonts w:cs="Arial"/>
                <w:b w:val="0"/>
                <w:szCs w:val="22"/>
              </w:rPr>
            </w:pPr>
            <w:r>
              <w:rPr>
                <w:rFonts w:cs="Arial"/>
                <w:b w:val="0"/>
                <w:szCs w:val="22"/>
              </w:rPr>
              <w:t>60.00</w:t>
            </w:r>
          </w:p>
        </w:tc>
        <w:tc>
          <w:tcPr>
            <w:tcW w:w="1701" w:type="dxa"/>
          </w:tcPr>
          <w:p w14:paraId="5DB50A2D" w14:textId="14709831" w:rsidR="00D47E36" w:rsidRDefault="008D004E" w:rsidP="00D47E36">
            <w:pPr>
              <w:pStyle w:val="Heading1"/>
              <w:jc w:val="center"/>
              <w:rPr>
                <w:rFonts w:cs="Arial"/>
                <w:b w:val="0"/>
                <w:szCs w:val="22"/>
              </w:rPr>
            </w:pPr>
            <w:r>
              <w:rPr>
                <w:rFonts w:cs="Arial"/>
                <w:b w:val="0"/>
                <w:szCs w:val="22"/>
              </w:rPr>
              <w:t>8.00</w:t>
            </w:r>
          </w:p>
        </w:tc>
        <w:tc>
          <w:tcPr>
            <w:tcW w:w="1701" w:type="dxa"/>
          </w:tcPr>
          <w:p w14:paraId="6A3D66DB" w14:textId="70973739" w:rsidR="00D47E36" w:rsidRPr="00923945" w:rsidRDefault="008D004E" w:rsidP="00D47E36">
            <w:pPr>
              <w:pStyle w:val="Heading1"/>
              <w:jc w:val="center"/>
              <w:rPr>
                <w:rFonts w:cs="Arial"/>
                <w:b w:val="0"/>
                <w:szCs w:val="22"/>
              </w:rPr>
            </w:pPr>
            <w:r>
              <w:rPr>
                <w:rFonts w:cs="Arial"/>
                <w:b w:val="0"/>
                <w:szCs w:val="22"/>
              </w:rPr>
              <w:t>18.65</w:t>
            </w:r>
          </w:p>
        </w:tc>
        <w:tc>
          <w:tcPr>
            <w:tcW w:w="1414" w:type="dxa"/>
          </w:tcPr>
          <w:p w14:paraId="509FDEB6" w14:textId="492640F0" w:rsidR="00D47E36" w:rsidRPr="00923945" w:rsidRDefault="008D004E" w:rsidP="00D47E36">
            <w:pPr>
              <w:pStyle w:val="Heading1"/>
              <w:jc w:val="center"/>
              <w:rPr>
                <w:rFonts w:cs="Arial"/>
                <w:b w:val="0"/>
                <w:szCs w:val="22"/>
              </w:rPr>
            </w:pPr>
            <w:r>
              <w:rPr>
                <w:rFonts w:cs="Arial"/>
                <w:b w:val="0"/>
                <w:szCs w:val="22"/>
              </w:rPr>
              <w:t>86.65</w:t>
            </w:r>
          </w:p>
        </w:tc>
        <w:tc>
          <w:tcPr>
            <w:tcW w:w="1276" w:type="dxa"/>
          </w:tcPr>
          <w:p w14:paraId="202FCF53" w14:textId="5B960590" w:rsidR="00D47E36" w:rsidRPr="00923945" w:rsidRDefault="008D004E" w:rsidP="00D47E36">
            <w:pPr>
              <w:pStyle w:val="Heading1"/>
              <w:jc w:val="center"/>
              <w:rPr>
                <w:rFonts w:cs="Arial"/>
                <w:b w:val="0"/>
                <w:szCs w:val="22"/>
              </w:rPr>
            </w:pPr>
            <w:r>
              <w:rPr>
                <w:rFonts w:cs="Arial"/>
                <w:b w:val="0"/>
                <w:szCs w:val="22"/>
              </w:rPr>
              <w:t>1</w:t>
            </w:r>
          </w:p>
        </w:tc>
      </w:tr>
      <w:tr w:rsidR="00DC60FB" w:rsidRPr="00923945" w14:paraId="32D7FEEA" w14:textId="77777777" w:rsidTr="008D004E">
        <w:trPr>
          <w:trHeight w:val="65"/>
        </w:trPr>
        <w:tc>
          <w:tcPr>
            <w:tcW w:w="1220" w:type="dxa"/>
            <w:shd w:val="clear" w:color="auto" w:fill="auto"/>
          </w:tcPr>
          <w:p w14:paraId="0DF230EE" w14:textId="235B1414" w:rsidR="00DC60FB" w:rsidRPr="00923945" w:rsidRDefault="00DC60FB" w:rsidP="00D47E36">
            <w:pPr>
              <w:pStyle w:val="Heading1"/>
              <w:jc w:val="center"/>
              <w:rPr>
                <w:rFonts w:cs="Arial"/>
                <w:szCs w:val="22"/>
              </w:rPr>
            </w:pPr>
            <w:r>
              <w:rPr>
                <w:rFonts w:cs="Arial"/>
                <w:szCs w:val="22"/>
              </w:rPr>
              <w:t>E</w:t>
            </w:r>
          </w:p>
        </w:tc>
        <w:tc>
          <w:tcPr>
            <w:tcW w:w="1701" w:type="dxa"/>
          </w:tcPr>
          <w:p w14:paraId="1F4BD56F" w14:textId="781DF829" w:rsidR="00DC60FB" w:rsidRDefault="00DC60FB" w:rsidP="00D47E36">
            <w:pPr>
              <w:pStyle w:val="Heading1"/>
              <w:jc w:val="center"/>
              <w:rPr>
                <w:rFonts w:cs="Arial"/>
                <w:b w:val="0"/>
                <w:szCs w:val="22"/>
              </w:rPr>
            </w:pPr>
            <w:r>
              <w:rPr>
                <w:rFonts w:cs="Arial"/>
                <w:b w:val="0"/>
                <w:szCs w:val="22"/>
              </w:rPr>
              <w:t>55.00</w:t>
            </w:r>
          </w:p>
        </w:tc>
        <w:tc>
          <w:tcPr>
            <w:tcW w:w="1701" w:type="dxa"/>
          </w:tcPr>
          <w:p w14:paraId="3B47B4ED" w14:textId="30C6463D" w:rsidR="00DC60FB" w:rsidRDefault="00DC60FB" w:rsidP="00D47E36">
            <w:pPr>
              <w:pStyle w:val="Heading1"/>
              <w:jc w:val="center"/>
              <w:rPr>
                <w:rFonts w:cs="Arial"/>
                <w:b w:val="0"/>
                <w:szCs w:val="22"/>
              </w:rPr>
            </w:pPr>
            <w:r>
              <w:rPr>
                <w:rFonts w:cs="Arial"/>
                <w:b w:val="0"/>
                <w:szCs w:val="22"/>
              </w:rPr>
              <w:t>8.00</w:t>
            </w:r>
          </w:p>
        </w:tc>
        <w:tc>
          <w:tcPr>
            <w:tcW w:w="1701" w:type="dxa"/>
          </w:tcPr>
          <w:p w14:paraId="48F4CB61" w14:textId="41816A0D" w:rsidR="00DC60FB" w:rsidRDefault="00DC60FB" w:rsidP="00D47E36">
            <w:pPr>
              <w:pStyle w:val="Heading1"/>
              <w:jc w:val="center"/>
              <w:rPr>
                <w:rFonts w:cs="Arial"/>
                <w:b w:val="0"/>
                <w:szCs w:val="22"/>
              </w:rPr>
            </w:pPr>
            <w:r>
              <w:rPr>
                <w:rFonts w:cs="Arial"/>
                <w:b w:val="0"/>
                <w:szCs w:val="22"/>
              </w:rPr>
              <w:t>16.83</w:t>
            </w:r>
          </w:p>
        </w:tc>
        <w:tc>
          <w:tcPr>
            <w:tcW w:w="1414" w:type="dxa"/>
          </w:tcPr>
          <w:p w14:paraId="722B1590" w14:textId="1CCE5109" w:rsidR="00DC60FB" w:rsidRDefault="00DC60FB" w:rsidP="00D47E36">
            <w:pPr>
              <w:pStyle w:val="Heading1"/>
              <w:jc w:val="center"/>
              <w:rPr>
                <w:rFonts w:cs="Arial"/>
                <w:b w:val="0"/>
                <w:szCs w:val="22"/>
              </w:rPr>
            </w:pPr>
            <w:r>
              <w:rPr>
                <w:rFonts w:cs="Arial"/>
                <w:b w:val="0"/>
                <w:szCs w:val="22"/>
              </w:rPr>
              <w:t>79.83</w:t>
            </w:r>
          </w:p>
        </w:tc>
        <w:tc>
          <w:tcPr>
            <w:tcW w:w="1276" w:type="dxa"/>
          </w:tcPr>
          <w:p w14:paraId="79E72088" w14:textId="320797B8" w:rsidR="00DC60FB" w:rsidRDefault="00DC60FB" w:rsidP="00D47E36">
            <w:pPr>
              <w:pStyle w:val="Heading1"/>
              <w:jc w:val="center"/>
              <w:rPr>
                <w:rFonts w:cs="Arial"/>
                <w:b w:val="0"/>
                <w:szCs w:val="22"/>
              </w:rPr>
            </w:pPr>
            <w:r>
              <w:rPr>
                <w:rFonts w:cs="Arial"/>
                <w:b w:val="0"/>
                <w:szCs w:val="22"/>
              </w:rPr>
              <w:t>3</w:t>
            </w:r>
          </w:p>
        </w:tc>
      </w:tr>
    </w:tbl>
    <w:p w14:paraId="33A98F92" w14:textId="77777777" w:rsidR="00FA7898" w:rsidRPr="00923945" w:rsidRDefault="00FA7898" w:rsidP="004B3F94">
      <w:pPr>
        <w:pStyle w:val="Level1"/>
        <w:numPr>
          <w:ilvl w:val="0"/>
          <w:numId w:val="0"/>
        </w:numPr>
        <w:spacing w:after="0"/>
        <w:ind w:left="851" w:hanging="851"/>
        <w:rPr>
          <w:sz w:val="22"/>
          <w:szCs w:val="22"/>
          <w:lang w:val="en-IE"/>
        </w:rPr>
      </w:pPr>
    </w:p>
    <w:p w14:paraId="0AF5AABC" w14:textId="3E36F021" w:rsidR="00E4456B" w:rsidRPr="000D5816" w:rsidRDefault="007144AB" w:rsidP="00A97811">
      <w:pPr>
        <w:pStyle w:val="Level2"/>
        <w:rPr>
          <w:b/>
          <w:sz w:val="22"/>
          <w:szCs w:val="22"/>
        </w:rPr>
      </w:pPr>
      <w:r w:rsidRPr="000D5816">
        <w:rPr>
          <w:b/>
          <w:sz w:val="22"/>
          <w:szCs w:val="22"/>
        </w:rPr>
        <w:t>Presentations and Clarifi</w:t>
      </w:r>
      <w:r w:rsidR="000D5816">
        <w:rPr>
          <w:b/>
          <w:sz w:val="22"/>
          <w:szCs w:val="22"/>
        </w:rPr>
        <w:t xml:space="preserve">cations ( Sessions held on 12 &amp; 13 </w:t>
      </w:r>
      <w:r w:rsidRPr="000D5816">
        <w:rPr>
          <w:b/>
          <w:sz w:val="22"/>
          <w:szCs w:val="22"/>
        </w:rPr>
        <w:t>April 2018)</w:t>
      </w:r>
    </w:p>
    <w:p w14:paraId="3415FAA3" w14:textId="6FF54EAD" w:rsidR="007144AB" w:rsidRPr="000D5816" w:rsidRDefault="007144AB" w:rsidP="00E4456B">
      <w:pPr>
        <w:pStyle w:val="Body1"/>
        <w:rPr>
          <w:sz w:val="22"/>
          <w:szCs w:val="22"/>
        </w:rPr>
      </w:pPr>
      <w:r w:rsidRPr="000D5816">
        <w:rPr>
          <w:sz w:val="22"/>
          <w:szCs w:val="22"/>
        </w:rPr>
        <w:t xml:space="preserve">As part of the quality evaluation </w:t>
      </w:r>
      <w:r w:rsidR="00E4456B" w:rsidRPr="000D5816">
        <w:rPr>
          <w:sz w:val="22"/>
          <w:szCs w:val="22"/>
        </w:rPr>
        <w:t xml:space="preserve">Tenderers </w:t>
      </w:r>
      <w:r w:rsidRPr="000D5816">
        <w:rPr>
          <w:sz w:val="22"/>
          <w:szCs w:val="22"/>
        </w:rPr>
        <w:t xml:space="preserve">will be required to </w:t>
      </w:r>
      <w:r w:rsidR="00E4456B" w:rsidRPr="000D5816">
        <w:rPr>
          <w:sz w:val="22"/>
          <w:szCs w:val="22"/>
        </w:rPr>
        <w:t xml:space="preserve">attend the Council offices in order to </w:t>
      </w:r>
      <w:r w:rsidRPr="000D5816">
        <w:rPr>
          <w:sz w:val="22"/>
          <w:szCs w:val="22"/>
        </w:rPr>
        <w:t>give a presentation to the tender evaluation panel on the</w:t>
      </w:r>
      <w:r w:rsidR="00136EAA" w:rsidRPr="000D5816">
        <w:rPr>
          <w:sz w:val="22"/>
          <w:szCs w:val="22"/>
        </w:rPr>
        <w:t xml:space="preserve">ir reports for Case </w:t>
      </w:r>
      <w:r w:rsidRPr="000D5816">
        <w:rPr>
          <w:sz w:val="22"/>
          <w:szCs w:val="22"/>
        </w:rPr>
        <w:t xml:space="preserve">Studies </w:t>
      </w:r>
      <w:r w:rsidR="00136EAA" w:rsidRPr="000D5816">
        <w:rPr>
          <w:sz w:val="22"/>
          <w:szCs w:val="22"/>
        </w:rPr>
        <w:t>1 and 2</w:t>
      </w:r>
      <w:r w:rsidRPr="000D5816">
        <w:rPr>
          <w:sz w:val="22"/>
          <w:szCs w:val="22"/>
        </w:rPr>
        <w:t xml:space="preserve">. The presentations form part of the evaluation as outlined in Section 21.3 </w:t>
      </w:r>
    </w:p>
    <w:p w14:paraId="5A6AD020" w14:textId="6E70D1D5" w:rsidR="00E4456B" w:rsidRPr="00923945" w:rsidRDefault="00E4456B" w:rsidP="00A97811">
      <w:pPr>
        <w:pStyle w:val="Level2"/>
        <w:rPr>
          <w:b/>
          <w:sz w:val="22"/>
          <w:szCs w:val="22"/>
          <w:lang w:val="en-IE"/>
        </w:rPr>
      </w:pPr>
      <w:r w:rsidRPr="00923945">
        <w:rPr>
          <w:b/>
          <w:sz w:val="22"/>
          <w:szCs w:val="22"/>
        </w:rPr>
        <w:t>Award Decision</w:t>
      </w:r>
    </w:p>
    <w:p w14:paraId="4EBF407A" w14:textId="05752B9A" w:rsidR="00FA7898" w:rsidRPr="00923945" w:rsidRDefault="00FA7898" w:rsidP="001F1CD9">
      <w:pPr>
        <w:pStyle w:val="Body1"/>
        <w:rPr>
          <w:sz w:val="22"/>
          <w:szCs w:val="22"/>
        </w:rPr>
      </w:pPr>
      <w:r w:rsidRPr="00923945">
        <w:rPr>
          <w:sz w:val="22"/>
          <w:szCs w:val="22"/>
          <w:lang w:val="en-IE"/>
        </w:rPr>
        <w:t xml:space="preserve">The </w:t>
      </w:r>
      <w:r w:rsidRPr="00923945">
        <w:rPr>
          <w:sz w:val="22"/>
          <w:szCs w:val="22"/>
        </w:rPr>
        <w:t>award decision</w:t>
      </w:r>
      <w:r w:rsidR="00F87177">
        <w:rPr>
          <w:sz w:val="22"/>
          <w:szCs w:val="22"/>
        </w:rPr>
        <w:t>s</w:t>
      </w:r>
      <w:r w:rsidRPr="00923945">
        <w:rPr>
          <w:sz w:val="22"/>
          <w:szCs w:val="22"/>
        </w:rPr>
        <w:t xml:space="preserve"> will be notified to Tenderers via the Council's </w:t>
      </w:r>
      <w:r w:rsidR="006009F6" w:rsidRPr="00923945">
        <w:rPr>
          <w:bCs/>
          <w:sz w:val="22"/>
          <w:szCs w:val="22"/>
          <w:lang w:eastAsia="x-none"/>
        </w:rPr>
        <w:t>e-Tendering Portal</w:t>
      </w:r>
      <w:r w:rsidRPr="00923945">
        <w:rPr>
          <w:sz w:val="22"/>
          <w:szCs w:val="22"/>
        </w:rPr>
        <w:t>.</w:t>
      </w:r>
    </w:p>
    <w:p w14:paraId="1A1974E5" w14:textId="711CE17F" w:rsidR="00FA7898" w:rsidRPr="00923945" w:rsidRDefault="00FA7898" w:rsidP="001F1CD9">
      <w:pPr>
        <w:pStyle w:val="Body1"/>
        <w:rPr>
          <w:sz w:val="22"/>
          <w:szCs w:val="22"/>
        </w:rPr>
      </w:pPr>
      <w:r w:rsidRPr="00923945">
        <w:rPr>
          <w:sz w:val="22"/>
          <w:szCs w:val="22"/>
        </w:rPr>
        <w:t xml:space="preserve">In accordance with EU procurement rules, there will be a standstill period of 10 calendar days following notification of award </w:t>
      </w:r>
      <w:r w:rsidR="007008F3">
        <w:rPr>
          <w:sz w:val="22"/>
          <w:szCs w:val="22"/>
        </w:rPr>
        <w:t>to the successful Tenderer</w:t>
      </w:r>
      <w:r w:rsidR="00136EAA">
        <w:rPr>
          <w:sz w:val="22"/>
          <w:szCs w:val="22"/>
        </w:rPr>
        <w:t>s</w:t>
      </w:r>
      <w:r w:rsidR="007008F3">
        <w:rPr>
          <w:sz w:val="22"/>
          <w:szCs w:val="22"/>
        </w:rPr>
        <w:t>.</w:t>
      </w:r>
    </w:p>
    <w:p w14:paraId="5DA6303C" w14:textId="77777777" w:rsidR="00FA7898" w:rsidRPr="00923945" w:rsidRDefault="00FA7898" w:rsidP="001F1CD9">
      <w:pPr>
        <w:pStyle w:val="Body1"/>
        <w:rPr>
          <w:sz w:val="22"/>
          <w:szCs w:val="22"/>
        </w:rPr>
      </w:pPr>
      <w:r w:rsidRPr="00923945">
        <w:rPr>
          <w:sz w:val="22"/>
          <w:szCs w:val="22"/>
        </w:rPr>
        <w:t xml:space="preserve">All unsuccessful Tenderers will be provided with an ‘unsuccessful letter’ in writing via the Council's </w:t>
      </w:r>
      <w:r w:rsidR="006009F6" w:rsidRPr="00923945">
        <w:rPr>
          <w:bCs/>
          <w:sz w:val="22"/>
          <w:szCs w:val="22"/>
          <w:lang w:eastAsia="x-none"/>
        </w:rPr>
        <w:t>e-Tendering Portal</w:t>
      </w:r>
      <w:r w:rsidR="006009F6" w:rsidRPr="00923945">
        <w:rPr>
          <w:sz w:val="22"/>
          <w:szCs w:val="22"/>
        </w:rPr>
        <w:t xml:space="preserve"> </w:t>
      </w:r>
      <w:r w:rsidRPr="00923945">
        <w:rPr>
          <w:sz w:val="22"/>
          <w:szCs w:val="22"/>
        </w:rPr>
        <w:t xml:space="preserve">at the start of the standstill period notifying them of the outcome of the evaluation exercise. </w:t>
      </w:r>
    </w:p>
    <w:p w14:paraId="4B954CBB" w14:textId="77777777" w:rsidR="00FA7898" w:rsidRPr="00923945" w:rsidRDefault="00FA7898" w:rsidP="001F1CD9">
      <w:pPr>
        <w:pStyle w:val="Body1"/>
        <w:rPr>
          <w:sz w:val="22"/>
          <w:szCs w:val="22"/>
        </w:rPr>
      </w:pPr>
      <w:r w:rsidRPr="00923945">
        <w:rPr>
          <w:sz w:val="22"/>
          <w:szCs w:val="22"/>
        </w:rPr>
        <w:t>This will include details of:</w:t>
      </w:r>
    </w:p>
    <w:p w14:paraId="39AD8118" w14:textId="77777777" w:rsidR="00FA7898" w:rsidRPr="00923945" w:rsidRDefault="00FA7898" w:rsidP="00BC4C64">
      <w:pPr>
        <w:pStyle w:val="Level4"/>
        <w:numPr>
          <w:ilvl w:val="0"/>
          <w:numId w:val="15"/>
        </w:numPr>
        <w:ind w:left="1208" w:hanging="357"/>
        <w:contextualSpacing/>
        <w:jc w:val="left"/>
        <w:rPr>
          <w:sz w:val="22"/>
          <w:szCs w:val="22"/>
        </w:rPr>
      </w:pPr>
      <w:r w:rsidRPr="00923945">
        <w:rPr>
          <w:sz w:val="22"/>
          <w:szCs w:val="22"/>
        </w:rPr>
        <w:t>The award criteria</w:t>
      </w:r>
    </w:p>
    <w:p w14:paraId="503E436B" w14:textId="77777777" w:rsidR="00FA7898" w:rsidRPr="00923945" w:rsidRDefault="00FA7898" w:rsidP="00BC4C64">
      <w:pPr>
        <w:pStyle w:val="Level4"/>
        <w:numPr>
          <w:ilvl w:val="0"/>
          <w:numId w:val="15"/>
        </w:numPr>
        <w:ind w:left="1208" w:hanging="357"/>
        <w:contextualSpacing/>
        <w:rPr>
          <w:sz w:val="22"/>
          <w:szCs w:val="22"/>
        </w:rPr>
      </w:pPr>
      <w:r w:rsidRPr="00923945">
        <w:rPr>
          <w:sz w:val="22"/>
          <w:szCs w:val="22"/>
        </w:rPr>
        <w:t xml:space="preserve">The score of the </w:t>
      </w:r>
      <w:r w:rsidRPr="00923945">
        <w:rPr>
          <w:sz w:val="22"/>
          <w:szCs w:val="22"/>
          <w:lang w:val="en-IE"/>
        </w:rPr>
        <w:t>Tenderer</w:t>
      </w:r>
      <w:r w:rsidRPr="00923945">
        <w:rPr>
          <w:sz w:val="22"/>
          <w:szCs w:val="22"/>
        </w:rPr>
        <w:t xml:space="preserve">, including details of their weighted score and comments of the evaluation panel; and </w:t>
      </w:r>
    </w:p>
    <w:p w14:paraId="7FAD4791" w14:textId="56A4E08C" w:rsidR="00FA7898" w:rsidRPr="00923945" w:rsidRDefault="00FA7898" w:rsidP="00BC4C64">
      <w:pPr>
        <w:pStyle w:val="Level4"/>
        <w:numPr>
          <w:ilvl w:val="0"/>
          <w:numId w:val="15"/>
        </w:numPr>
        <w:ind w:left="1208" w:hanging="357"/>
        <w:contextualSpacing/>
        <w:rPr>
          <w:sz w:val="22"/>
          <w:szCs w:val="22"/>
        </w:rPr>
      </w:pPr>
      <w:r w:rsidRPr="00923945">
        <w:rPr>
          <w:sz w:val="22"/>
          <w:szCs w:val="22"/>
        </w:rPr>
        <w:t>The name</w:t>
      </w:r>
      <w:r w:rsidR="004A67D8">
        <w:rPr>
          <w:sz w:val="22"/>
          <w:szCs w:val="22"/>
        </w:rPr>
        <w:t>s</w:t>
      </w:r>
      <w:r w:rsidRPr="00923945">
        <w:rPr>
          <w:sz w:val="22"/>
          <w:szCs w:val="22"/>
        </w:rPr>
        <w:t xml:space="preserve"> of the successful </w:t>
      </w:r>
      <w:r w:rsidR="00136EAA">
        <w:rPr>
          <w:sz w:val="22"/>
          <w:szCs w:val="22"/>
        </w:rPr>
        <w:t>Tenderers</w:t>
      </w:r>
      <w:r w:rsidRPr="00923945">
        <w:rPr>
          <w:sz w:val="22"/>
          <w:szCs w:val="22"/>
        </w:rPr>
        <w:t xml:space="preserve"> and their score</w:t>
      </w:r>
      <w:r w:rsidR="004A67D8">
        <w:rPr>
          <w:sz w:val="22"/>
          <w:szCs w:val="22"/>
        </w:rPr>
        <w:t>s</w:t>
      </w:r>
      <w:r w:rsidRPr="00923945">
        <w:rPr>
          <w:sz w:val="22"/>
          <w:szCs w:val="22"/>
        </w:rPr>
        <w:t xml:space="preserve"> and comments</w:t>
      </w:r>
      <w:r w:rsidRPr="00923945">
        <w:rPr>
          <w:sz w:val="22"/>
          <w:szCs w:val="22"/>
          <w:lang w:val="en-IE"/>
        </w:rPr>
        <w:t xml:space="preserve"> of the evaluation panel.</w:t>
      </w:r>
    </w:p>
    <w:p w14:paraId="359F94DD" w14:textId="4DB9968E" w:rsidR="00FA7898" w:rsidRPr="00923945" w:rsidRDefault="00FA7898" w:rsidP="00595068">
      <w:pPr>
        <w:pStyle w:val="Level2"/>
        <w:numPr>
          <w:ilvl w:val="0"/>
          <w:numId w:val="0"/>
        </w:numPr>
        <w:ind w:left="851"/>
        <w:rPr>
          <w:sz w:val="22"/>
          <w:szCs w:val="22"/>
        </w:rPr>
      </w:pPr>
      <w:r w:rsidRPr="00923945">
        <w:rPr>
          <w:sz w:val="22"/>
          <w:szCs w:val="22"/>
          <w:lang w:val="en-IE"/>
        </w:rPr>
        <w:t xml:space="preserve">Following </w:t>
      </w:r>
      <w:r w:rsidR="00136EAA">
        <w:rPr>
          <w:sz w:val="22"/>
          <w:szCs w:val="22"/>
        </w:rPr>
        <w:t>the</w:t>
      </w:r>
      <w:r w:rsidRPr="00923945">
        <w:rPr>
          <w:sz w:val="22"/>
          <w:szCs w:val="22"/>
        </w:rPr>
        <w:t xml:space="preserve"> standstill period </w:t>
      </w:r>
      <w:r w:rsidR="00C45D6F">
        <w:rPr>
          <w:sz w:val="22"/>
          <w:szCs w:val="22"/>
        </w:rPr>
        <w:t>upon</w:t>
      </w:r>
      <w:r w:rsidRPr="00923945">
        <w:rPr>
          <w:sz w:val="22"/>
          <w:szCs w:val="22"/>
        </w:rPr>
        <w:t xml:space="preserve"> notification of award to the successful </w:t>
      </w:r>
      <w:r w:rsidR="00136EAA">
        <w:rPr>
          <w:sz w:val="22"/>
          <w:szCs w:val="22"/>
        </w:rPr>
        <w:t>Tenderers</w:t>
      </w:r>
      <w:r w:rsidRPr="00923945">
        <w:rPr>
          <w:sz w:val="22"/>
          <w:szCs w:val="22"/>
        </w:rPr>
        <w:t xml:space="preserve">, subject to there being no substantive challenge to the decision, the </w:t>
      </w:r>
      <w:r w:rsidR="00C45D6F">
        <w:rPr>
          <w:sz w:val="22"/>
          <w:szCs w:val="22"/>
        </w:rPr>
        <w:t xml:space="preserve">successful </w:t>
      </w:r>
      <w:r w:rsidR="00136EAA">
        <w:rPr>
          <w:sz w:val="22"/>
          <w:szCs w:val="22"/>
        </w:rPr>
        <w:t>Tenderers</w:t>
      </w:r>
      <w:r w:rsidR="00C45D6F">
        <w:rPr>
          <w:sz w:val="22"/>
          <w:szCs w:val="22"/>
        </w:rPr>
        <w:t xml:space="preserve"> will be appointed Panel members and they will enter into </w:t>
      </w:r>
      <w:r w:rsidR="004A67D8">
        <w:rPr>
          <w:sz w:val="22"/>
          <w:szCs w:val="22"/>
        </w:rPr>
        <w:t xml:space="preserve">contract </w:t>
      </w:r>
      <w:r w:rsidR="0007574F">
        <w:rPr>
          <w:sz w:val="22"/>
          <w:szCs w:val="22"/>
        </w:rPr>
        <w:t xml:space="preserve">with </w:t>
      </w:r>
      <w:r w:rsidRPr="00923945">
        <w:rPr>
          <w:sz w:val="22"/>
          <w:szCs w:val="22"/>
        </w:rPr>
        <w:t xml:space="preserve">the </w:t>
      </w:r>
      <w:r w:rsidR="00837D80">
        <w:rPr>
          <w:sz w:val="22"/>
          <w:szCs w:val="22"/>
        </w:rPr>
        <w:t>ILC Members</w:t>
      </w:r>
      <w:r w:rsidR="004E5371">
        <w:rPr>
          <w:sz w:val="22"/>
          <w:szCs w:val="22"/>
        </w:rPr>
        <w:t>.</w:t>
      </w:r>
    </w:p>
    <w:p w14:paraId="7DFDB904" w14:textId="69B8E733" w:rsidR="00EC31CB" w:rsidRPr="000B1FC4" w:rsidRDefault="00EC31CB" w:rsidP="000B1FC4">
      <w:pPr>
        <w:adjustRightInd/>
        <w:jc w:val="left"/>
        <w:rPr>
          <w:b/>
          <w:i/>
          <w:sz w:val="22"/>
          <w:szCs w:val="22"/>
        </w:rPr>
      </w:pPr>
    </w:p>
    <w:sectPr w:rsidR="00EC31CB" w:rsidRPr="000B1FC4" w:rsidSect="007A1336">
      <w:headerReference w:type="default" r:id="rId19"/>
      <w:footerReference w:type="default" r:id="rId20"/>
      <w:headerReference w:type="first" r:id="rId21"/>
      <w:footerReference w:type="first" r:id="rId22"/>
      <w:pgSz w:w="11907" w:h="16840" w:code="9"/>
      <w:pgMar w:top="1418" w:right="1701" w:bottom="1418" w:left="1701" w:header="709" w:footer="70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D4AB8" w14:textId="77777777" w:rsidR="00FA0386" w:rsidRPr="004D3114" w:rsidRDefault="00FA0386" w:rsidP="004D3114">
      <w:r w:rsidRPr="004D3114">
        <w:separator/>
      </w:r>
    </w:p>
  </w:endnote>
  <w:endnote w:type="continuationSeparator" w:id="0">
    <w:p w14:paraId="608270E0" w14:textId="77777777" w:rsidR="00FA0386" w:rsidRPr="004D3114" w:rsidRDefault="00FA0386"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45245"/>
      <w:docPartObj>
        <w:docPartGallery w:val="Page Numbers (Bottom of Page)"/>
        <w:docPartUnique/>
      </w:docPartObj>
    </w:sdtPr>
    <w:sdtEndPr>
      <w:rPr>
        <w:noProof/>
      </w:rPr>
    </w:sdtEndPr>
    <w:sdtContent>
      <w:p w14:paraId="4978E297" w14:textId="47BC4468" w:rsidR="00810ED8" w:rsidRDefault="00810ED8">
        <w:pPr>
          <w:pStyle w:val="Footer"/>
          <w:jc w:val="center"/>
        </w:pPr>
        <w:r>
          <w:fldChar w:fldCharType="begin"/>
        </w:r>
        <w:r>
          <w:instrText xml:space="preserve"> PAGE   \* MERGEFORMAT </w:instrText>
        </w:r>
        <w:r>
          <w:fldChar w:fldCharType="separate"/>
        </w:r>
        <w:r w:rsidR="0023472A">
          <w:rPr>
            <w:noProof/>
          </w:rPr>
          <w:t>21</w:t>
        </w:r>
        <w:r>
          <w:rPr>
            <w:noProof/>
          </w:rPr>
          <w:fldChar w:fldCharType="end"/>
        </w:r>
      </w:p>
    </w:sdtContent>
  </w:sdt>
  <w:p w14:paraId="579AA4DE" w14:textId="67EEA690" w:rsidR="00810ED8" w:rsidRPr="004D3114" w:rsidRDefault="00810ED8" w:rsidP="00CF1A66">
    <w:pPr>
      <w:pStyle w:val="Footer"/>
      <w:tabs>
        <w:tab w:val="clear" w:pos="4320"/>
        <w:tab w:val="clear" w:pos="8640"/>
        <w:tab w:val="center" w:pos="4253"/>
        <w:tab w:val="right" w:pos="8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1B3B" w14:textId="77777777" w:rsidR="00810ED8" w:rsidRDefault="00810ED8">
    <w:pPr>
      <w:pStyle w:val="Footer"/>
    </w:pPr>
    <w:bookmarkStart w:id="12" w:name="FooterDiffFirstPag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8D62D" w14:textId="77777777" w:rsidR="00FA0386" w:rsidRPr="004D3114" w:rsidRDefault="00FA0386" w:rsidP="004D3114">
      <w:r w:rsidRPr="004D3114">
        <w:separator/>
      </w:r>
    </w:p>
  </w:footnote>
  <w:footnote w:type="continuationSeparator" w:id="0">
    <w:p w14:paraId="2EDC2C6B" w14:textId="77777777" w:rsidR="00FA0386" w:rsidRPr="004D3114" w:rsidRDefault="00FA0386"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D904" w14:textId="77777777" w:rsidR="00810ED8" w:rsidRDefault="00810ED8">
    <w:pPr>
      <w:pStyle w:val="Header"/>
    </w:pPr>
    <w:bookmarkStart w:id="10" w:name="Header"/>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7B8A" w14:textId="77777777" w:rsidR="00810ED8" w:rsidRDefault="00810ED8">
    <w:pPr>
      <w:pStyle w:val="Header"/>
    </w:pPr>
    <w:bookmarkStart w:id="11" w:name="HeaderDiffFirstPage"/>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E8C5944"/>
    <w:lvl w:ilvl="0">
      <w:start w:val="1"/>
      <w:numFmt w:val="decimal"/>
      <w:pStyle w:val="Level1"/>
      <w:lvlText w:val="%1."/>
      <w:lvlJc w:val="left"/>
      <w:pPr>
        <w:tabs>
          <w:tab w:val="num" w:pos="851"/>
        </w:tabs>
        <w:ind w:left="85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DE2F22"/>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5"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Wingdings" w:hAnsi="Wingdings" w:cs="Times New Roman" w:hint="default"/>
        <w:sz w:val="20"/>
        <w:szCs w:val="20"/>
      </w:rPr>
    </w:lvl>
    <w:lvl w:ilvl="4">
      <w:start w:val="1"/>
      <w:numFmt w:val="bullet"/>
      <w:pStyle w:val="AonBullet5"/>
      <w:lvlText w:val="-"/>
      <w:lvlJc w:val="left"/>
      <w:pPr>
        <w:tabs>
          <w:tab w:val="num" w:pos="1800"/>
        </w:tabs>
        <w:ind w:left="1800" w:hanging="360"/>
      </w:pPr>
      <w:rPr>
        <w:rFonts w:ascii="Arial" w:hAnsi="Arial"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15:restartNumberingAfterBreak="0">
    <w:nsid w:val="0D7B49F3"/>
    <w:multiLevelType w:val="multilevel"/>
    <w:tmpl w:val="B3C4D8B2"/>
    <w:numStyleLink w:val="AonList"/>
  </w:abstractNum>
  <w:abstractNum w:abstractNumId="7" w15:restartNumberingAfterBreak="0">
    <w:nsid w:val="16877602"/>
    <w:multiLevelType w:val="hybridMultilevel"/>
    <w:tmpl w:val="0CBC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2667085C"/>
    <w:multiLevelType w:val="hybridMultilevel"/>
    <w:tmpl w:val="D4728F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15:restartNumberingAfterBreak="0">
    <w:nsid w:val="47BD5FAA"/>
    <w:multiLevelType w:val="singleLevel"/>
    <w:tmpl w:val="8FA8B258"/>
    <w:lvl w:ilvl="0">
      <w:start w:val="3"/>
      <w:numFmt w:val="lowerLetter"/>
      <w:pStyle w:val="AA1"/>
      <w:lvlText w:val="(%1)"/>
      <w:lvlJc w:val="left"/>
      <w:pPr>
        <w:tabs>
          <w:tab w:val="num" w:pos="1279"/>
        </w:tabs>
        <w:ind w:left="1279" w:hanging="570"/>
      </w:pPr>
      <w:rPr>
        <w:rFonts w:cs="Times New Roman" w:hint="default"/>
      </w:rPr>
    </w:lvl>
  </w:abstractNum>
  <w:abstractNum w:abstractNumId="12" w15:restartNumberingAfterBreak="0">
    <w:nsid w:val="53911ED2"/>
    <w:multiLevelType w:val="hybridMultilevel"/>
    <w:tmpl w:val="AC724622"/>
    <w:lvl w:ilvl="0" w:tplc="08090001">
      <w:start w:val="1"/>
      <w:numFmt w:val="bullet"/>
      <w:lvlText w:val=""/>
      <w:lvlJc w:val="left"/>
      <w:pPr>
        <w:ind w:left="2996" w:hanging="360"/>
      </w:pPr>
      <w:rPr>
        <w:rFonts w:ascii="Symbol" w:hAnsi="Symbol" w:hint="default"/>
      </w:rPr>
    </w:lvl>
    <w:lvl w:ilvl="1" w:tplc="08090003" w:tentative="1">
      <w:start w:val="1"/>
      <w:numFmt w:val="bullet"/>
      <w:lvlText w:val="o"/>
      <w:lvlJc w:val="left"/>
      <w:pPr>
        <w:ind w:left="3716" w:hanging="360"/>
      </w:pPr>
      <w:rPr>
        <w:rFonts w:ascii="Courier New" w:hAnsi="Courier New" w:cs="Courier New" w:hint="default"/>
      </w:rPr>
    </w:lvl>
    <w:lvl w:ilvl="2" w:tplc="08090005" w:tentative="1">
      <w:start w:val="1"/>
      <w:numFmt w:val="bullet"/>
      <w:lvlText w:val=""/>
      <w:lvlJc w:val="left"/>
      <w:pPr>
        <w:ind w:left="4436" w:hanging="360"/>
      </w:pPr>
      <w:rPr>
        <w:rFonts w:ascii="Wingdings" w:hAnsi="Wingdings" w:hint="default"/>
      </w:rPr>
    </w:lvl>
    <w:lvl w:ilvl="3" w:tplc="08090001" w:tentative="1">
      <w:start w:val="1"/>
      <w:numFmt w:val="bullet"/>
      <w:lvlText w:val=""/>
      <w:lvlJc w:val="left"/>
      <w:pPr>
        <w:ind w:left="5156" w:hanging="360"/>
      </w:pPr>
      <w:rPr>
        <w:rFonts w:ascii="Symbol" w:hAnsi="Symbol" w:hint="default"/>
      </w:rPr>
    </w:lvl>
    <w:lvl w:ilvl="4" w:tplc="08090003" w:tentative="1">
      <w:start w:val="1"/>
      <w:numFmt w:val="bullet"/>
      <w:lvlText w:val="o"/>
      <w:lvlJc w:val="left"/>
      <w:pPr>
        <w:ind w:left="5876" w:hanging="360"/>
      </w:pPr>
      <w:rPr>
        <w:rFonts w:ascii="Courier New" w:hAnsi="Courier New" w:cs="Courier New" w:hint="default"/>
      </w:rPr>
    </w:lvl>
    <w:lvl w:ilvl="5" w:tplc="08090005" w:tentative="1">
      <w:start w:val="1"/>
      <w:numFmt w:val="bullet"/>
      <w:lvlText w:val=""/>
      <w:lvlJc w:val="left"/>
      <w:pPr>
        <w:ind w:left="6596" w:hanging="360"/>
      </w:pPr>
      <w:rPr>
        <w:rFonts w:ascii="Wingdings" w:hAnsi="Wingdings" w:hint="default"/>
      </w:rPr>
    </w:lvl>
    <w:lvl w:ilvl="6" w:tplc="08090001" w:tentative="1">
      <w:start w:val="1"/>
      <w:numFmt w:val="bullet"/>
      <w:lvlText w:val=""/>
      <w:lvlJc w:val="left"/>
      <w:pPr>
        <w:ind w:left="7316" w:hanging="360"/>
      </w:pPr>
      <w:rPr>
        <w:rFonts w:ascii="Symbol" w:hAnsi="Symbol" w:hint="default"/>
      </w:rPr>
    </w:lvl>
    <w:lvl w:ilvl="7" w:tplc="08090003" w:tentative="1">
      <w:start w:val="1"/>
      <w:numFmt w:val="bullet"/>
      <w:lvlText w:val="o"/>
      <w:lvlJc w:val="left"/>
      <w:pPr>
        <w:ind w:left="8036" w:hanging="360"/>
      </w:pPr>
      <w:rPr>
        <w:rFonts w:ascii="Courier New" w:hAnsi="Courier New" w:cs="Courier New" w:hint="default"/>
      </w:rPr>
    </w:lvl>
    <w:lvl w:ilvl="8" w:tplc="08090005" w:tentative="1">
      <w:start w:val="1"/>
      <w:numFmt w:val="bullet"/>
      <w:lvlText w:val=""/>
      <w:lvlJc w:val="left"/>
      <w:pPr>
        <w:ind w:left="8756" w:hanging="360"/>
      </w:pPr>
      <w:rPr>
        <w:rFonts w:ascii="Wingdings" w:hAnsi="Wingdings" w:hint="default"/>
      </w:rPr>
    </w:lvl>
  </w:abstractNum>
  <w:abstractNum w:abstractNumId="13" w15:restartNumberingAfterBreak="0">
    <w:nsid w:val="6ADB1EE4"/>
    <w:multiLevelType w:val="hybridMultilevel"/>
    <w:tmpl w:val="7334FD32"/>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74390391"/>
    <w:multiLevelType w:val="hybridMultilevel"/>
    <w:tmpl w:val="25A0D2B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10"/>
  </w:num>
  <w:num w:numId="6">
    <w:abstractNumId w:val="3"/>
  </w:num>
  <w:num w:numId="7">
    <w:abstractNumId w:val="4"/>
  </w:num>
  <w:num w:numId="8">
    <w:abstractNumId w:val="11"/>
  </w:num>
  <w:num w:numId="9">
    <w:abstractNumId w:val="8"/>
  </w:num>
  <w:num w:numId="10">
    <w:abstractNumId w:val="7"/>
  </w:num>
  <w:num w:numId="11">
    <w:abstractNumId w:val="2"/>
    <w:lvlOverride w:ilvl="0">
      <w:startOverride w:val="1"/>
    </w:lvlOverride>
    <w:lvlOverride w:ilvl="1">
      <w:startOverride w:val="14"/>
    </w:lvlOverride>
  </w:num>
  <w:num w:numId="12">
    <w:abstractNumId w:val="5"/>
  </w:num>
  <w:num w:numId="13">
    <w:abstractNumId w:val="6"/>
  </w:num>
  <w:num w:numId="14">
    <w:abstractNumId w:val="9"/>
  </w:num>
  <w:num w:numId="15">
    <w:abstractNumId w:val="12"/>
  </w:num>
  <w:num w:numId="16">
    <w:abstractNumId w:val="13"/>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dgnword-docGUID" w:val="{0CD39260-4980-411F-9553-87FBD7CA0C37}"/>
    <w:docVar w:name="dgnword-eventsink" w:val="527765144"/>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D812A3"/>
    <w:rsid w:val="000049EC"/>
    <w:rsid w:val="0000572A"/>
    <w:rsid w:val="00005EEF"/>
    <w:rsid w:val="00006847"/>
    <w:rsid w:val="000068E6"/>
    <w:rsid w:val="00013FA6"/>
    <w:rsid w:val="00025460"/>
    <w:rsid w:val="000258A2"/>
    <w:rsid w:val="00026249"/>
    <w:rsid w:val="0002667B"/>
    <w:rsid w:val="00026B93"/>
    <w:rsid w:val="00031467"/>
    <w:rsid w:val="00035E23"/>
    <w:rsid w:val="000367C0"/>
    <w:rsid w:val="0004021E"/>
    <w:rsid w:val="000422F7"/>
    <w:rsid w:val="0004293F"/>
    <w:rsid w:val="000435CC"/>
    <w:rsid w:val="00043C07"/>
    <w:rsid w:val="00044C5E"/>
    <w:rsid w:val="000458C5"/>
    <w:rsid w:val="00045F8E"/>
    <w:rsid w:val="00047160"/>
    <w:rsid w:val="00047197"/>
    <w:rsid w:val="000526E4"/>
    <w:rsid w:val="000547B5"/>
    <w:rsid w:val="00055AC4"/>
    <w:rsid w:val="000616DC"/>
    <w:rsid w:val="000729FC"/>
    <w:rsid w:val="0007531B"/>
    <w:rsid w:val="00075377"/>
    <w:rsid w:val="0007574F"/>
    <w:rsid w:val="000772AD"/>
    <w:rsid w:val="00081E20"/>
    <w:rsid w:val="00082E26"/>
    <w:rsid w:val="00083FA5"/>
    <w:rsid w:val="00087808"/>
    <w:rsid w:val="00087B1E"/>
    <w:rsid w:val="00090CB3"/>
    <w:rsid w:val="00097707"/>
    <w:rsid w:val="00097C6A"/>
    <w:rsid w:val="000A1691"/>
    <w:rsid w:val="000A63E3"/>
    <w:rsid w:val="000B06BD"/>
    <w:rsid w:val="000B1FC4"/>
    <w:rsid w:val="000B243B"/>
    <w:rsid w:val="000B58D4"/>
    <w:rsid w:val="000B6168"/>
    <w:rsid w:val="000B6C5C"/>
    <w:rsid w:val="000C0AF5"/>
    <w:rsid w:val="000C4A7F"/>
    <w:rsid w:val="000C64AD"/>
    <w:rsid w:val="000D3D3E"/>
    <w:rsid w:val="000D5816"/>
    <w:rsid w:val="000E06AC"/>
    <w:rsid w:val="000E0824"/>
    <w:rsid w:val="000E23E9"/>
    <w:rsid w:val="000E38A7"/>
    <w:rsid w:val="000E6F13"/>
    <w:rsid w:val="000F6859"/>
    <w:rsid w:val="000F6C24"/>
    <w:rsid w:val="00100E0B"/>
    <w:rsid w:val="00103478"/>
    <w:rsid w:val="001050D4"/>
    <w:rsid w:val="00105206"/>
    <w:rsid w:val="001074F8"/>
    <w:rsid w:val="0011494A"/>
    <w:rsid w:val="00117135"/>
    <w:rsid w:val="0012272A"/>
    <w:rsid w:val="0012290A"/>
    <w:rsid w:val="0012499B"/>
    <w:rsid w:val="0013415E"/>
    <w:rsid w:val="001352F2"/>
    <w:rsid w:val="001361BC"/>
    <w:rsid w:val="00136CA6"/>
    <w:rsid w:val="00136EAA"/>
    <w:rsid w:val="00142072"/>
    <w:rsid w:val="001463BF"/>
    <w:rsid w:val="00160C3D"/>
    <w:rsid w:val="00162814"/>
    <w:rsid w:val="00164A11"/>
    <w:rsid w:val="001668B4"/>
    <w:rsid w:val="00171A7D"/>
    <w:rsid w:val="001757CF"/>
    <w:rsid w:val="001767E4"/>
    <w:rsid w:val="00177895"/>
    <w:rsid w:val="001812F9"/>
    <w:rsid w:val="00182FDE"/>
    <w:rsid w:val="0019198C"/>
    <w:rsid w:val="00192570"/>
    <w:rsid w:val="001947F0"/>
    <w:rsid w:val="00195D59"/>
    <w:rsid w:val="001A0933"/>
    <w:rsid w:val="001B0E98"/>
    <w:rsid w:val="001B2275"/>
    <w:rsid w:val="001B3469"/>
    <w:rsid w:val="001B4AB2"/>
    <w:rsid w:val="001B53BA"/>
    <w:rsid w:val="001C0AE9"/>
    <w:rsid w:val="001C5DCF"/>
    <w:rsid w:val="001C61CE"/>
    <w:rsid w:val="001D3A9F"/>
    <w:rsid w:val="001D5B64"/>
    <w:rsid w:val="001D6DAB"/>
    <w:rsid w:val="001D707D"/>
    <w:rsid w:val="001E6F3A"/>
    <w:rsid w:val="001E73D8"/>
    <w:rsid w:val="001E7B59"/>
    <w:rsid w:val="001F1CD9"/>
    <w:rsid w:val="001F2B51"/>
    <w:rsid w:val="001F3E6E"/>
    <w:rsid w:val="001F582F"/>
    <w:rsid w:val="002015EA"/>
    <w:rsid w:val="00205CE7"/>
    <w:rsid w:val="002134A9"/>
    <w:rsid w:val="0021432E"/>
    <w:rsid w:val="0021781C"/>
    <w:rsid w:val="00222A30"/>
    <w:rsid w:val="00224F60"/>
    <w:rsid w:val="00225B99"/>
    <w:rsid w:val="00226DFF"/>
    <w:rsid w:val="00227030"/>
    <w:rsid w:val="00227DD8"/>
    <w:rsid w:val="0023302A"/>
    <w:rsid w:val="0023472A"/>
    <w:rsid w:val="0023552C"/>
    <w:rsid w:val="00240F2C"/>
    <w:rsid w:val="00243E6B"/>
    <w:rsid w:val="00247A1D"/>
    <w:rsid w:val="00250618"/>
    <w:rsid w:val="002506C1"/>
    <w:rsid w:val="00254002"/>
    <w:rsid w:val="002545AA"/>
    <w:rsid w:val="00255CB1"/>
    <w:rsid w:val="00257C4E"/>
    <w:rsid w:val="00261B0E"/>
    <w:rsid w:val="00261C3F"/>
    <w:rsid w:val="00261F04"/>
    <w:rsid w:val="002670B2"/>
    <w:rsid w:val="002729EA"/>
    <w:rsid w:val="002749F8"/>
    <w:rsid w:val="00280240"/>
    <w:rsid w:val="00284771"/>
    <w:rsid w:val="00285D2F"/>
    <w:rsid w:val="00286375"/>
    <w:rsid w:val="002876FB"/>
    <w:rsid w:val="0029189F"/>
    <w:rsid w:val="00293C38"/>
    <w:rsid w:val="002A437C"/>
    <w:rsid w:val="002A495B"/>
    <w:rsid w:val="002A7A4B"/>
    <w:rsid w:val="002B2D91"/>
    <w:rsid w:val="002B3A98"/>
    <w:rsid w:val="002B3D3A"/>
    <w:rsid w:val="002B6116"/>
    <w:rsid w:val="002B682C"/>
    <w:rsid w:val="002B6B1C"/>
    <w:rsid w:val="002B7DE5"/>
    <w:rsid w:val="002C0010"/>
    <w:rsid w:val="002C2B18"/>
    <w:rsid w:val="002C5077"/>
    <w:rsid w:val="002C5BA9"/>
    <w:rsid w:val="002D29A4"/>
    <w:rsid w:val="002D3B82"/>
    <w:rsid w:val="002D4AF0"/>
    <w:rsid w:val="002E10DA"/>
    <w:rsid w:val="002E4E44"/>
    <w:rsid w:val="002F04EC"/>
    <w:rsid w:val="002F04FE"/>
    <w:rsid w:val="002F1859"/>
    <w:rsid w:val="002F342B"/>
    <w:rsid w:val="002F7A94"/>
    <w:rsid w:val="00302553"/>
    <w:rsid w:val="00302D68"/>
    <w:rsid w:val="003068E5"/>
    <w:rsid w:val="0030700F"/>
    <w:rsid w:val="00312931"/>
    <w:rsid w:val="00314CF4"/>
    <w:rsid w:val="00315D8A"/>
    <w:rsid w:val="00316ABF"/>
    <w:rsid w:val="003173BF"/>
    <w:rsid w:val="00321817"/>
    <w:rsid w:val="0032406B"/>
    <w:rsid w:val="00327B8C"/>
    <w:rsid w:val="00330674"/>
    <w:rsid w:val="003318D0"/>
    <w:rsid w:val="00331D04"/>
    <w:rsid w:val="00334B11"/>
    <w:rsid w:val="00355120"/>
    <w:rsid w:val="00356E4E"/>
    <w:rsid w:val="003627EB"/>
    <w:rsid w:val="0036302E"/>
    <w:rsid w:val="003633D5"/>
    <w:rsid w:val="00364C18"/>
    <w:rsid w:val="00371FC3"/>
    <w:rsid w:val="003743D2"/>
    <w:rsid w:val="00374432"/>
    <w:rsid w:val="0037540B"/>
    <w:rsid w:val="00380F3C"/>
    <w:rsid w:val="00382243"/>
    <w:rsid w:val="0038466F"/>
    <w:rsid w:val="00392F8E"/>
    <w:rsid w:val="003955D8"/>
    <w:rsid w:val="003A444A"/>
    <w:rsid w:val="003A6DDA"/>
    <w:rsid w:val="003B1041"/>
    <w:rsid w:val="003B1B72"/>
    <w:rsid w:val="003B40DE"/>
    <w:rsid w:val="003B7A3E"/>
    <w:rsid w:val="003C1342"/>
    <w:rsid w:val="003C30EB"/>
    <w:rsid w:val="003C33A9"/>
    <w:rsid w:val="003C7B2C"/>
    <w:rsid w:val="003D13C5"/>
    <w:rsid w:val="003D1EC3"/>
    <w:rsid w:val="003D6E62"/>
    <w:rsid w:val="003E006B"/>
    <w:rsid w:val="003E7284"/>
    <w:rsid w:val="003F0A5A"/>
    <w:rsid w:val="003F6E23"/>
    <w:rsid w:val="00401A7F"/>
    <w:rsid w:val="004042E6"/>
    <w:rsid w:val="00404F4C"/>
    <w:rsid w:val="00407B1B"/>
    <w:rsid w:val="00411BA3"/>
    <w:rsid w:val="00413515"/>
    <w:rsid w:val="00415E86"/>
    <w:rsid w:val="0041612D"/>
    <w:rsid w:val="00417331"/>
    <w:rsid w:val="00421E60"/>
    <w:rsid w:val="00423E71"/>
    <w:rsid w:val="004311D5"/>
    <w:rsid w:val="004313C6"/>
    <w:rsid w:val="00432E12"/>
    <w:rsid w:val="00440D5E"/>
    <w:rsid w:val="00441F12"/>
    <w:rsid w:val="004466E0"/>
    <w:rsid w:val="00450CC5"/>
    <w:rsid w:val="00455919"/>
    <w:rsid w:val="004576CE"/>
    <w:rsid w:val="00462F25"/>
    <w:rsid w:val="0046305B"/>
    <w:rsid w:val="00463EEA"/>
    <w:rsid w:val="00464F2C"/>
    <w:rsid w:val="004679B2"/>
    <w:rsid w:val="00473CF8"/>
    <w:rsid w:val="00476CB3"/>
    <w:rsid w:val="004778DE"/>
    <w:rsid w:val="00483C5D"/>
    <w:rsid w:val="004863DC"/>
    <w:rsid w:val="00487601"/>
    <w:rsid w:val="00490E33"/>
    <w:rsid w:val="00491104"/>
    <w:rsid w:val="00496047"/>
    <w:rsid w:val="0049715B"/>
    <w:rsid w:val="004A0939"/>
    <w:rsid w:val="004A2B3D"/>
    <w:rsid w:val="004A2D46"/>
    <w:rsid w:val="004A329C"/>
    <w:rsid w:val="004A3479"/>
    <w:rsid w:val="004A5421"/>
    <w:rsid w:val="004A67D8"/>
    <w:rsid w:val="004B066D"/>
    <w:rsid w:val="004B171C"/>
    <w:rsid w:val="004B2821"/>
    <w:rsid w:val="004B3F94"/>
    <w:rsid w:val="004B5C13"/>
    <w:rsid w:val="004C76CC"/>
    <w:rsid w:val="004D2423"/>
    <w:rsid w:val="004D3114"/>
    <w:rsid w:val="004D42D4"/>
    <w:rsid w:val="004D51BB"/>
    <w:rsid w:val="004D7F0F"/>
    <w:rsid w:val="004E0DEF"/>
    <w:rsid w:val="004E0DF0"/>
    <w:rsid w:val="004E1169"/>
    <w:rsid w:val="004E5371"/>
    <w:rsid w:val="004F1539"/>
    <w:rsid w:val="004F5B3C"/>
    <w:rsid w:val="004F5DF5"/>
    <w:rsid w:val="004F6FC7"/>
    <w:rsid w:val="00500F59"/>
    <w:rsid w:val="00503AAF"/>
    <w:rsid w:val="00507D4C"/>
    <w:rsid w:val="0051027D"/>
    <w:rsid w:val="005116EA"/>
    <w:rsid w:val="00513CCF"/>
    <w:rsid w:val="00516889"/>
    <w:rsid w:val="00517542"/>
    <w:rsid w:val="00521125"/>
    <w:rsid w:val="00524129"/>
    <w:rsid w:val="00532144"/>
    <w:rsid w:val="005331C2"/>
    <w:rsid w:val="00535B04"/>
    <w:rsid w:val="00543C99"/>
    <w:rsid w:val="00544DD8"/>
    <w:rsid w:val="0054536F"/>
    <w:rsid w:val="0054649C"/>
    <w:rsid w:val="00555DBE"/>
    <w:rsid w:val="005560A9"/>
    <w:rsid w:val="00566434"/>
    <w:rsid w:val="00574720"/>
    <w:rsid w:val="00576E36"/>
    <w:rsid w:val="005770A0"/>
    <w:rsid w:val="00583C77"/>
    <w:rsid w:val="0058421C"/>
    <w:rsid w:val="0058561E"/>
    <w:rsid w:val="00592C3D"/>
    <w:rsid w:val="00593141"/>
    <w:rsid w:val="0059323E"/>
    <w:rsid w:val="00594A5C"/>
    <w:rsid w:val="00595068"/>
    <w:rsid w:val="0059678A"/>
    <w:rsid w:val="005A1900"/>
    <w:rsid w:val="005A56F2"/>
    <w:rsid w:val="005A5CF2"/>
    <w:rsid w:val="005A6492"/>
    <w:rsid w:val="005B15A6"/>
    <w:rsid w:val="005B238B"/>
    <w:rsid w:val="005B5C62"/>
    <w:rsid w:val="005C1538"/>
    <w:rsid w:val="005E0CAA"/>
    <w:rsid w:val="005E1CED"/>
    <w:rsid w:val="005E7B04"/>
    <w:rsid w:val="005F6454"/>
    <w:rsid w:val="005F7AFF"/>
    <w:rsid w:val="00600216"/>
    <w:rsid w:val="00600521"/>
    <w:rsid w:val="006009F6"/>
    <w:rsid w:val="00601582"/>
    <w:rsid w:val="00603C56"/>
    <w:rsid w:val="006072A2"/>
    <w:rsid w:val="00607958"/>
    <w:rsid w:val="00607C35"/>
    <w:rsid w:val="00607E6C"/>
    <w:rsid w:val="00612A35"/>
    <w:rsid w:val="00613312"/>
    <w:rsid w:val="00615536"/>
    <w:rsid w:val="0061765F"/>
    <w:rsid w:val="00621CC7"/>
    <w:rsid w:val="00624C27"/>
    <w:rsid w:val="00627335"/>
    <w:rsid w:val="0064404B"/>
    <w:rsid w:val="00644F92"/>
    <w:rsid w:val="00650902"/>
    <w:rsid w:val="0065389B"/>
    <w:rsid w:val="00654607"/>
    <w:rsid w:val="00660DF4"/>
    <w:rsid w:val="00662131"/>
    <w:rsid w:val="00670631"/>
    <w:rsid w:val="006730D6"/>
    <w:rsid w:val="00673796"/>
    <w:rsid w:val="006841D9"/>
    <w:rsid w:val="006932A6"/>
    <w:rsid w:val="00693D12"/>
    <w:rsid w:val="00694548"/>
    <w:rsid w:val="00695BD9"/>
    <w:rsid w:val="006A2635"/>
    <w:rsid w:val="006A266D"/>
    <w:rsid w:val="006A2BBC"/>
    <w:rsid w:val="006A6AE1"/>
    <w:rsid w:val="006B0ED7"/>
    <w:rsid w:val="006B0FBF"/>
    <w:rsid w:val="006B5EA5"/>
    <w:rsid w:val="006B603E"/>
    <w:rsid w:val="006B6D32"/>
    <w:rsid w:val="006B753A"/>
    <w:rsid w:val="006D3B06"/>
    <w:rsid w:val="006D4A1C"/>
    <w:rsid w:val="006D7FEC"/>
    <w:rsid w:val="006E001D"/>
    <w:rsid w:val="006F029F"/>
    <w:rsid w:val="006F68FB"/>
    <w:rsid w:val="006F6D0F"/>
    <w:rsid w:val="006F6D17"/>
    <w:rsid w:val="007008F3"/>
    <w:rsid w:val="00700FEE"/>
    <w:rsid w:val="007017F9"/>
    <w:rsid w:val="0070261F"/>
    <w:rsid w:val="00702D08"/>
    <w:rsid w:val="00705D3A"/>
    <w:rsid w:val="007135EA"/>
    <w:rsid w:val="007144AB"/>
    <w:rsid w:val="0071683C"/>
    <w:rsid w:val="00722D58"/>
    <w:rsid w:val="0072390D"/>
    <w:rsid w:val="00724C16"/>
    <w:rsid w:val="00725923"/>
    <w:rsid w:val="00725D89"/>
    <w:rsid w:val="007275F6"/>
    <w:rsid w:val="00730579"/>
    <w:rsid w:val="00731869"/>
    <w:rsid w:val="0073260D"/>
    <w:rsid w:val="00741C7B"/>
    <w:rsid w:val="007438CD"/>
    <w:rsid w:val="007478A9"/>
    <w:rsid w:val="0075148D"/>
    <w:rsid w:val="00751F5F"/>
    <w:rsid w:val="00752448"/>
    <w:rsid w:val="00755A03"/>
    <w:rsid w:val="00755D0D"/>
    <w:rsid w:val="007616E9"/>
    <w:rsid w:val="0076445F"/>
    <w:rsid w:val="00767205"/>
    <w:rsid w:val="0076722A"/>
    <w:rsid w:val="00770A29"/>
    <w:rsid w:val="0077449F"/>
    <w:rsid w:val="00777CBD"/>
    <w:rsid w:val="00782636"/>
    <w:rsid w:val="0078269D"/>
    <w:rsid w:val="00785D4A"/>
    <w:rsid w:val="0079747C"/>
    <w:rsid w:val="00797FA3"/>
    <w:rsid w:val="007A0543"/>
    <w:rsid w:val="007A1336"/>
    <w:rsid w:val="007A15F2"/>
    <w:rsid w:val="007B0073"/>
    <w:rsid w:val="007B6177"/>
    <w:rsid w:val="007B6602"/>
    <w:rsid w:val="007B69C0"/>
    <w:rsid w:val="007B792A"/>
    <w:rsid w:val="007C238C"/>
    <w:rsid w:val="007C4BB9"/>
    <w:rsid w:val="007C76D1"/>
    <w:rsid w:val="007D06AF"/>
    <w:rsid w:val="007D1C48"/>
    <w:rsid w:val="007D27EB"/>
    <w:rsid w:val="007D2B43"/>
    <w:rsid w:val="007D3449"/>
    <w:rsid w:val="007D412E"/>
    <w:rsid w:val="007D5C79"/>
    <w:rsid w:val="007D5F38"/>
    <w:rsid w:val="007E0A0E"/>
    <w:rsid w:val="007F0895"/>
    <w:rsid w:val="007F2106"/>
    <w:rsid w:val="00806738"/>
    <w:rsid w:val="008074C1"/>
    <w:rsid w:val="00810ED8"/>
    <w:rsid w:val="00817A89"/>
    <w:rsid w:val="00820E2C"/>
    <w:rsid w:val="008217BD"/>
    <w:rsid w:val="00826171"/>
    <w:rsid w:val="00830A46"/>
    <w:rsid w:val="00834675"/>
    <w:rsid w:val="008352B5"/>
    <w:rsid w:val="00835BA1"/>
    <w:rsid w:val="008367CD"/>
    <w:rsid w:val="00837D80"/>
    <w:rsid w:val="00840BE3"/>
    <w:rsid w:val="00840E8D"/>
    <w:rsid w:val="008461C3"/>
    <w:rsid w:val="00850007"/>
    <w:rsid w:val="008503C2"/>
    <w:rsid w:val="00850F95"/>
    <w:rsid w:val="0085340D"/>
    <w:rsid w:val="00857DA6"/>
    <w:rsid w:val="0086471A"/>
    <w:rsid w:val="008653E1"/>
    <w:rsid w:val="0086642A"/>
    <w:rsid w:val="00871FE5"/>
    <w:rsid w:val="00872607"/>
    <w:rsid w:val="00873962"/>
    <w:rsid w:val="0088162B"/>
    <w:rsid w:val="00881E0F"/>
    <w:rsid w:val="00882058"/>
    <w:rsid w:val="00882987"/>
    <w:rsid w:val="00883EBA"/>
    <w:rsid w:val="00884507"/>
    <w:rsid w:val="00885B12"/>
    <w:rsid w:val="008944D2"/>
    <w:rsid w:val="008A0981"/>
    <w:rsid w:val="008A469A"/>
    <w:rsid w:val="008B0601"/>
    <w:rsid w:val="008B226E"/>
    <w:rsid w:val="008B6F11"/>
    <w:rsid w:val="008B79EA"/>
    <w:rsid w:val="008C200E"/>
    <w:rsid w:val="008C5AE2"/>
    <w:rsid w:val="008D004E"/>
    <w:rsid w:val="008D7341"/>
    <w:rsid w:val="008E318A"/>
    <w:rsid w:val="008E3F22"/>
    <w:rsid w:val="008E5A23"/>
    <w:rsid w:val="008E63C8"/>
    <w:rsid w:val="008E6E5D"/>
    <w:rsid w:val="008F3301"/>
    <w:rsid w:val="008F39DD"/>
    <w:rsid w:val="008F6C3F"/>
    <w:rsid w:val="009023EF"/>
    <w:rsid w:val="009031ED"/>
    <w:rsid w:val="00910D56"/>
    <w:rsid w:val="00911981"/>
    <w:rsid w:val="00915E91"/>
    <w:rsid w:val="00916FC1"/>
    <w:rsid w:val="00920BCA"/>
    <w:rsid w:val="009218E0"/>
    <w:rsid w:val="00921CD8"/>
    <w:rsid w:val="009228E9"/>
    <w:rsid w:val="00923945"/>
    <w:rsid w:val="0092523F"/>
    <w:rsid w:val="00925AC6"/>
    <w:rsid w:val="00926E9F"/>
    <w:rsid w:val="00930CAC"/>
    <w:rsid w:val="009312FE"/>
    <w:rsid w:val="00950510"/>
    <w:rsid w:val="00951AB1"/>
    <w:rsid w:val="009526EE"/>
    <w:rsid w:val="00952D19"/>
    <w:rsid w:val="009542A3"/>
    <w:rsid w:val="009552E7"/>
    <w:rsid w:val="0095581C"/>
    <w:rsid w:val="00963AB3"/>
    <w:rsid w:val="009647E1"/>
    <w:rsid w:val="009669D0"/>
    <w:rsid w:val="0097004E"/>
    <w:rsid w:val="00981D84"/>
    <w:rsid w:val="00982873"/>
    <w:rsid w:val="0098615E"/>
    <w:rsid w:val="009863DB"/>
    <w:rsid w:val="009A05B4"/>
    <w:rsid w:val="009A4B24"/>
    <w:rsid w:val="009B1EC2"/>
    <w:rsid w:val="009B6341"/>
    <w:rsid w:val="009B73AC"/>
    <w:rsid w:val="009C0FA3"/>
    <w:rsid w:val="009C152B"/>
    <w:rsid w:val="009C15A8"/>
    <w:rsid w:val="009C3BE9"/>
    <w:rsid w:val="009C7D2E"/>
    <w:rsid w:val="009D3F59"/>
    <w:rsid w:val="009E207E"/>
    <w:rsid w:val="009E266B"/>
    <w:rsid w:val="009E3E49"/>
    <w:rsid w:val="009E6E72"/>
    <w:rsid w:val="009E742E"/>
    <w:rsid w:val="009E7F60"/>
    <w:rsid w:val="009F02EF"/>
    <w:rsid w:val="009F60DE"/>
    <w:rsid w:val="009F6934"/>
    <w:rsid w:val="00A02E9C"/>
    <w:rsid w:val="00A06BD4"/>
    <w:rsid w:val="00A155BB"/>
    <w:rsid w:val="00A22210"/>
    <w:rsid w:val="00A2330E"/>
    <w:rsid w:val="00A2461C"/>
    <w:rsid w:val="00A25DBE"/>
    <w:rsid w:val="00A37335"/>
    <w:rsid w:val="00A37D28"/>
    <w:rsid w:val="00A449A7"/>
    <w:rsid w:val="00A522E7"/>
    <w:rsid w:val="00A524EA"/>
    <w:rsid w:val="00A53375"/>
    <w:rsid w:val="00A70D5C"/>
    <w:rsid w:val="00A71A73"/>
    <w:rsid w:val="00A71E59"/>
    <w:rsid w:val="00A735F7"/>
    <w:rsid w:val="00A744F1"/>
    <w:rsid w:val="00A76657"/>
    <w:rsid w:val="00A80680"/>
    <w:rsid w:val="00A87C92"/>
    <w:rsid w:val="00A9135F"/>
    <w:rsid w:val="00A920E1"/>
    <w:rsid w:val="00A92CF5"/>
    <w:rsid w:val="00A9509E"/>
    <w:rsid w:val="00A96BE1"/>
    <w:rsid w:val="00A974E8"/>
    <w:rsid w:val="00A97811"/>
    <w:rsid w:val="00AA1CEE"/>
    <w:rsid w:val="00AA1EDD"/>
    <w:rsid w:val="00AA243E"/>
    <w:rsid w:val="00AA3806"/>
    <w:rsid w:val="00AB5CAD"/>
    <w:rsid w:val="00AC28CF"/>
    <w:rsid w:val="00AC5237"/>
    <w:rsid w:val="00AD007A"/>
    <w:rsid w:val="00AD0653"/>
    <w:rsid w:val="00AD33F9"/>
    <w:rsid w:val="00AE19B3"/>
    <w:rsid w:val="00AE4CBB"/>
    <w:rsid w:val="00AE66A5"/>
    <w:rsid w:val="00AE7738"/>
    <w:rsid w:val="00AF0833"/>
    <w:rsid w:val="00AF18D5"/>
    <w:rsid w:val="00AF2774"/>
    <w:rsid w:val="00AF3F8E"/>
    <w:rsid w:val="00AF7231"/>
    <w:rsid w:val="00AF75E6"/>
    <w:rsid w:val="00AF7A16"/>
    <w:rsid w:val="00B01E7C"/>
    <w:rsid w:val="00B071C6"/>
    <w:rsid w:val="00B103C8"/>
    <w:rsid w:val="00B10EEA"/>
    <w:rsid w:val="00B1502E"/>
    <w:rsid w:val="00B16F03"/>
    <w:rsid w:val="00B203A5"/>
    <w:rsid w:val="00B2343E"/>
    <w:rsid w:val="00B33817"/>
    <w:rsid w:val="00B35AA8"/>
    <w:rsid w:val="00B37054"/>
    <w:rsid w:val="00B37820"/>
    <w:rsid w:val="00B42373"/>
    <w:rsid w:val="00B43F4E"/>
    <w:rsid w:val="00B44CD4"/>
    <w:rsid w:val="00B51E4E"/>
    <w:rsid w:val="00B6025D"/>
    <w:rsid w:val="00B603DC"/>
    <w:rsid w:val="00B63695"/>
    <w:rsid w:val="00B63A9C"/>
    <w:rsid w:val="00B6551A"/>
    <w:rsid w:val="00B665DA"/>
    <w:rsid w:val="00B67430"/>
    <w:rsid w:val="00B716FD"/>
    <w:rsid w:val="00B722F2"/>
    <w:rsid w:val="00B72F62"/>
    <w:rsid w:val="00B74571"/>
    <w:rsid w:val="00B751A3"/>
    <w:rsid w:val="00B773D5"/>
    <w:rsid w:val="00B80082"/>
    <w:rsid w:val="00B80D36"/>
    <w:rsid w:val="00B81959"/>
    <w:rsid w:val="00B81CCC"/>
    <w:rsid w:val="00B82EC6"/>
    <w:rsid w:val="00B85FA1"/>
    <w:rsid w:val="00B90755"/>
    <w:rsid w:val="00B90E81"/>
    <w:rsid w:val="00B9132A"/>
    <w:rsid w:val="00B92523"/>
    <w:rsid w:val="00B9643F"/>
    <w:rsid w:val="00B969AC"/>
    <w:rsid w:val="00BA7EFF"/>
    <w:rsid w:val="00BB02D4"/>
    <w:rsid w:val="00BB1D92"/>
    <w:rsid w:val="00BB7234"/>
    <w:rsid w:val="00BC3745"/>
    <w:rsid w:val="00BC4731"/>
    <w:rsid w:val="00BC4C64"/>
    <w:rsid w:val="00BC5F75"/>
    <w:rsid w:val="00BC6005"/>
    <w:rsid w:val="00BC6470"/>
    <w:rsid w:val="00BC69C4"/>
    <w:rsid w:val="00BD7E6A"/>
    <w:rsid w:val="00BE03C2"/>
    <w:rsid w:val="00BE1880"/>
    <w:rsid w:val="00BE2BB2"/>
    <w:rsid w:val="00BE4F1F"/>
    <w:rsid w:val="00C00A85"/>
    <w:rsid w:val="00C01E56"/>
    <w:rsid w:val="00C050BC"/>
    <w:rsid w:val="00C104A6"/>
    <w:rsid w:val="00C13731"/>
    <w:rsid w:val="00C20966"/>
    <w:rsid w:val="00C21260"/>
    <w:rsid w:val="00C23B65"/>
    <w:rsid w:val="00C316E8"/>
    <w:rsid w:val="00C32293"/>
    <w:rsid w:val="00C3499D"/>
    <w:rsid w:val="00C34FE8"/>
    <w:rsid w:val="00C3759A"/>
    <w:rsid w:val="00C37D40"/>
    <w:rsid w:val="00C410CC"/>
    <w:rsid w:val="00C42233"/>
    <w:rsid w:val="00C43164"/>
    <w:rsid w:val="00C43F3B"/>
    <w:rsid w:val="00C44D2D"/>
    <w:rsid w:val="00C459A9"/>
    <w:rsid w:val="00C45D6F"/>
    <w:rsid w:val="00C500C7"/>
    <w:rsid w:val="00C50429"/>
    <w:rsid w:val="00C51275"/>
    <w:rsid w:val="00C51961"/>
    <w:rsid w:val="00C537BC"/>
    <w:rsid w:val="00C57B3D"/>
    <w:rsid w:val="00C61254"/>
    <w:rsid w:val="00C6202C"/>
    <w:rsid w:val="00C640DC"/>
    <w:rsid w:val="00C642C2"/>
    <w:rsid w:val="00C75717"/>
    <w:rsid w:val="00C86A18"/>
    <w:rsid w:val="00C87220"/>
    <w:rsid w:val="00CA3118"/>
    <w:rsid w:val="00CA3AF7"/>
    <w:rsid w:val="00CA3CB7"/>
    <w:rsid w:val="00CB3EB6"/>
    <w:rsid w:val="00CC0144"/>
    <w:rsid w:val="00CC0CCC"/>
    <w:rsid w:val="00CC4553"/>
    <w:rsid w:val="00CD2C5B"/>
    <w:rsid w:val="00CD39C4"/>
    <w:rsid w:val="00CE0A3B"/>
    <w:rsid w:val="00CF1A66"/>
    <w:rsid w:val="00CF1BAC"/>
    <w:rsid w:val="00CF63A4"/>
    <w:rsid w:val="00CF71B1"/>
    <w:rsid w:val="00D03F26"/>
    <w:rsid w:val="00D05C8B"/>
    <w:rsid w:val="00D12525"/>
    <w:rsid w:val="00D126DF"/>
    <w:rsid w:val="00D1557E"/>
    <w:rsid w:val="00D16284"/>
    <w:rsid w:val="00D20758"/>
    <w:rsid w:val="00D2133A"/>
    <w:rsid w:val="00D27AB8"/>
    <w:rsid w:val="00D31CE3"/>
    <w:rsid w:val="00D32A7A"/>
    <w:rsid w:val="00D32D61"/>
    <w:rsid w:val="00D34207"/>
    <w:rsid w:val="00D35C8D"/>
    <w:rsid w:val="00D367D8"/>
    <w:rsid w:val="00D428E8"/>
    <w:rsid w:val="00D45CB2"/>
    <w:rsid w:val="00D4790E"/>
    <w:rsid w:val="00D47E36"/>
    <w:rsid w:val="00D52662"/>
    <w:rsid w:val="00D5389B"/>
    <w:rsid w:val="00D5510C"/>
    <w:rsid w:val="00D57D19"/>
    <w:rsid w:val="00D61EC8"/>
    <w:rsid w:val="00D66D44"/>
    <w:rsid w:val="00D70295"/>
    <w:rsid w:val="00D71979"/>
    <w:rsid w:val="00D72F3E"/>
    <w:rsid w:val="00D77279"/>
    <w:rsid w:val="00D772F9"/>
    <w:rsid w:val="00D812A3"/>
    <w:rsid w:val="00DA1C94"/>
    <w:rsid w:val="00DA3201"/>
    <w:rsid w:val="00DA3E5E"/>
    <w:rsid w:val="00DA7288"/>
    <w:rsid w:val="00DB1630"/>
    <w:rsid w:val="00DC0F3D"/>
    <w:rsid w:val="00DC265C"/>
    <w:rsid w:val="00DC60FB"/>
    <w:rsid w:val="00DD12AA"/>
    <w:rsid w:val="00DD3D28"/>
    <w:rsid w:val="00DD4718"/>
    <w:rsid w:val="00DE3AA0"/>
    <w:rsid w:val="00DE577B"/>
    <w:rsid w:val="00DE6ADC"/>
    <w:rsid w:val="00DF54CD"/>
    <w:rsid w:val="00DF705E"/>
    <w:rsid w:val="00E064ED"/>
    <w:rsid w:val="00E06D93"/>
    <w:rsid w:val="00E07836"/>
    <w:rsid w:val="00E078AD"/>
    <w:rsid w:val="00E07D59"/>
    <w:rsid w:val="00E10AD4"/>
    <w:rsid w:val="00E11BFE"/>
    <w:rsid w:val="00E13E0E"/>
    <w:rsid w:val="00E22DA5"/>
    <w:rsid w:val="00E30099"/>
    <w:rsid w:val="00E30998"/>
    <w:rsid w:val="00E31439"/>
    <w:rsid w:val="00E3335E"/>
    <w:rsid w:val="00E336E0"/>
    <w:rsid w:val="00E3390B"/>
    <w:rsid w:val="00E34332"/>
    <w:rsid w:val="00E346EF"/>
    <w:rsid w:val="00E40DBC"/>
    <w:rsid w:val="00E43D2F"/>
    <w:rsid w:val="00E4412D"/>
    <w:rsid w:val="00E4456B"/>
    <w:rsid w:val="00E446B9"/>
    <w:rsid w:val="00E44FAB"/>
    <w:rsid w:val="00E45120"/>
    <w:rsid w:val="00E46220"/>
    <w:rsid w:val="00E46B37"/>
    <w:rsid w:val="00E516F9"/>
    <w:rsid w:val="00E53D7A"/>
    <w:rsid w:val="00E53DF4"/>
    <w:rsid w:val="00E55E14"/>
    <w:rsid w:val="00E62857"/>
    <w:rsid w:val="00E710A2"/>
    <w:rsid w:val="00E770D2"/>
    <w:rsid w:val="00E776C9"/>
    <w:rsid w:val="00E85204"/>
    <w:rsid w:val="00E95FF7"/>
    <w:rsid w:val="00E975AA"/>
    <w:rsid w:val="00EA0752"/>
    <w:rsid w:val="00EA08E1"/>
    <w:rsid w:val="00EA1540"/>
    <w:rsid w:val="00EA53B5"/>
    <w:rsid w:val="00EA79E5"/>
    <w:rsid w:val="00EC31CB"/>
    <w:rsid w:val="00EC3E0A"/>
    <w:rsid w:val="00EC4920"/>
    <w:rsid w:val="00EC7138"/>
    <w:rsid w:val="00ED58FA"/>
    <w:rsid w:val="00EE11AB"/>
    <w:rsid w:val="00EE3E73"/>
    <w:rsid w:val="00EE5792"/>
    <w:rsid w:val="00EE722D"/>
    <w:rsid w:val="00EF3022"/>
    <w:rsid w:val="00EF4D49"/>
    <w:rsid w:val="00EF589B"/>
    <w:rsid w:val="00EF78EE"/>
    <w:rsid w:val="00F0111E"/>
    <w:rsid w:val="00F066EC"/>
    <w:rsid w:val="00F163C2"/>
    <w:rsid w:val="00F23DA2"/>
    <w:rsid w:val="00F25160"/>
    <w:rsid w:val="00F35ADF"/>
    <w:rsid w:val="00F405A4"/>
    <w:rsid w:val="00F41EC1"/>
    <w:rsid w:val="00F4283E"/>
    <w:rsid w:val="00F43045"/>
    <w:rsid w:val="00F43A15"/>
    <w:rsid w:val="00F573A7"/>
    <w:rsid w:val="00F61B9B"/>
    <w:rsid w:val="00F62B9C"/>
    <w:rsid w:val="00F705C8"/>
    <w:rsid w:val="00F7272B"/>
    <w:rsid w:val="00F72B4A"/>
    <w:rsid w:val="00F848EC"/>
    <w:rsid w:val="00F84EFD"/>
    <w:rsid w:val="00F85B25"/>
    <w:rsid w:val="00F85FB7"/>
    <w:rsid w:val="00F87177"/>
    <w:rsid w:val="00F92830"/>
    <w:rsid w:val="00F93303"/>
    <w:rsid w:val="00F93989"/>
    <w:rsid w:val="00F97154"/>
    <w:rsid w:val="00FA0386"/>
    <w:rsid w:val="00FA03A6"/>
    <w:rsid w:val="00FA0EED"/>
    <w:rsid w:val="00FA2310"/>
    <w:rsid w:val="00FA33E0"/>
    <w:rsid w:val="00FA7898"/>
    <w:rsid w:val="00FB0DBF"/>
    <w:rsid w:val="00FB1C8F"/>
    <w:rsid w:val="00FC2823"/>
    <w:rsid w:val="00FC6F4B"/>
    <w:rsid w:val="00FC7186"/>
    <w:rsid w:val="00FD1CE6"/>
    <w:rsid w:val="00FD4487"/>
    <w:rsid w:val="00FD6141"/>
    <w:rsid w:val="00FD72E8"/>
    <w:rsid w:val="00FE1C84"/>
    <w:rsid w:val="00FE49C2"/>
    <w:rsid w:val="00FF0184"/>
    <w:rsid w:val="00FF0433"/>
    <w:rsid w:val="00FF135E"/>
    <w:rsid w:val="00FF2AEE"/>
    <w:rsid w:val="00FF3C13"/>
    <w:rsid w:val="00FF75CC"/>
    <w:rsid w:val="00FF7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58"/>
    <w:pPr>
      <w:adjustRightInd w:val="0"/>
      <w:jc w:val="both"/>
    </w:pPr>
    <w:rPr>
      <w:rFonts w:ascii="Arial" w:eastAsia="Arial" w:hAnsi="Arial" w:cs="Arial"/>
    </w:rPr>
  </w:style>
  <w:style w:type="paragraph" w:styleId="Heading1">
    <w:name w:val="heading 1"/>
    <w:aliases w:val="Section Heading,h1,Heading,Numbered - 1,CBC Heading 1,Section,H1"/>
    <w:basedOn w:val="Normal"/>
    <w:next w:val="Normal"/>
    <w:link w:val="Heading1Char"/>
    <w:uiPriority w:val="99"/>
    <w:qFormat/>
    <w:rsid w:val="00FA7898"/>
    <w:pPr>
      <w:keepNext/>
      <w:tabs>
        <w:tab w:val="left" w:pos="-1180"/>
        <w:tab w:val="left" w:pos="-720"/>
        <w:tab w:val="left" w:pos="0"/>
        <w:tab w:val="left" w:pos="360"/>
        <w:tab w:val="left" w:pos="720"/>
        <w:tab w:val="left" w:pos="2160"/>
      </w:tabs>
      <w:adjustRightInd/>
      <w:outlineLvl w:val="0"/>
    </w:pPr>
    <w:rPr>
      <w:rFonts w:eastAsia="Times New Roman" w:cs="Times New Roman"/>
      <w:b/>
      <w:sz w:val="22"/>
    </w:rPr>
  </w:style>
  <w:style w:type="paragraph" w:styleId="Heading2">
    <w:name w:val="heading 2"/>
    <w:basedOn w:val="Normal"/>
    <w:next w:val="Normal"/>
    <w:link w:val="Heading2Char"/>
    <w:unhideWhenUsed/>
    <w:qFormat/>
    <w:rsid w:val="004135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7898"/>
    <w:pPr>
      <w:keepNext/>
      <w:tabs>
        <w:tab w:val="left" w:pos="-1180"/>
        <w:tab w:val="left" w:pos="-720"/>
        <w:tab w:val="left" w:pos="0"/>
        <w:tab w:val="left" w:pos="360"/>
        <w:tab w:val="left" w:pos="720"/>
        <w:tab w:val="left" w:pos="2160"/>
      </w:tabs>
      <w:adjustRightInd/>
      <w:ind w:left="360"/>
      <w:jc w:val="left"/>
      <w:outlineLvl w:val="2"/>
    </w:pPr>
    <w:rPr>
      <w:rFonts w:eastAsia="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uiPriority w:val="99"/>
    <w:rsid w:val="001767E4"/>
    <w:pPr>
      <w:tabs>
        <w:tab w:val="center" w:pos="4320"/>
        <w:tab w:val="right" w:pos="8640"/>
      </w:tabs>
    </w:pPr>
    <w:rPr>
      <w:sz w:val="16"/>
    </w:rPr>
  </w:style>
  <w:style w:type="character" w:customStyle="1" w:styleId="HeaderChar">
    <w:name w:val="Header Char"/>
    <w:basedOn w:val="DefaultParagraphFont"/>
    <w:link w:val="Header"/>
    <w:uiPriority w:val="99"/>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rsid w:val="00E45120"/>
  </w:style>
  <w:style w:type="character" w:customStyle="1" w:styleId="CommentTextChar">
    <w:name w:val="Comment Text Char"/>
    <w:basedOn w:val="DefaultParagraphFont"/>
    <w:link w:val="CommentText"/>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D812A3"/>
    <w:pPr>
      <w:spacing w:after="240"/>
    </w:pPr>
  </w:style>
  <w:style w:type="paragraph" w:customStyle="1" w:styleId="Body1">
    <w:name w:val="Body 1"/>
    <w:basedOn w:val="Body"/>
    <w:uiPriority w:val="99"/>
    <w:rsid w:val="00D812A3"/>
    <w:pPr>
      <w:ind w:left="851"/>
    </w:pPr>
  </w:style>
  <w:style w:type="paragraph" w:customStyle="1" w:styleId="Level1">
    <w:name w:val="Level 1"/>
    <w:basedOn w:val="Body1"/>
    <w:uiPriority w:val="99"/>
    <w:qFormat/>
    <w:rsid w:val="00D812A3"/>
    <w:pPr>
      <w:numPr>
        <w:numId w:val="2"/>
      </w:numPr>
      <w:outlineLvl w:val="0"/>
    </w:pPr>
  </w:style>
  <w:style w:type="character" w:customStyle="1" w:styleId="Level1asHeadingtext">
    <w:name w:val="Level 1 as Heading (text)"/>
    <w:basedOn w:val="DefaultParagraphFont"/>
    <w:uiPriority w:val="99"/>
    <w:rsid w:val="00D812A3"/>
    <w:rPr>
      <w:b/>
      <w:bCs/>
      <w:caps/>
    </w:rPr>
  </w:style>
  <w:style w:type="paragraph" w:customStyle="1" w:styleId="Body2">
    <w:name w:val="Body 2"/>
    <w:basedOn w:val="Body"/>
    <w:uiPriority w:val="99"/>
    <w:rsid w:val="00D812A3"/>
    <w:pPr>
      <w:ind w:left="851"/>
    </w:pPr>
  </w:style>
  <w:style w:type="paragraph" w:customStyle="1" w:styleId="Level2">
    <w:name w:val="Level 2"/>
    <w:basedOn w:val="Body2"/>
    <w:link w:val="Level2Char"/>
    <w:uiPriority w:val="99"/>
    <w:qFormat/>
    <w:rsid w:val="00D812A3"/>
    <w:pPr>
      <w:numPr>
        <w:ilvl w:val="1"/>
        <w:numId w:val="2"/>
      </w:numPr>
      <w:outlineLvl w:val="1"/>
    </w:pPr>
  </w:style>
  <w:style w:type="character" w:customStyle="1" w:styleId="Level2asHeadingtext">
    <w:name w:val="Level 2 as Heading (text)"/>
    <w:basedOn w:val="DefaultParagraphFont"/>
    <w:uiPriority w:val="99"/>
    <w:rsid w:val="00D812A3"/>
    <w:rPr>
      <w:b/>
      <w:bCs/>
    </w:rPr>
  </w:style>
  <w:style w:type="paragraph" w:customStyle="1" w:styleId="Body3">
    <w:name w:val="Body 3"/>
    <w:basedOn w:val="Body"/>
    <w:uiPriority w:val="99"/>
    <w:rsid w:val="00D812A3"/>
    <w:pPr>
      <w:ind w:left="1702"/>
    </w:pPr>
  </w:style>
  <w:style w:type="paragraph" w:customStyle="1" w:styleId="Level3">
    <w:name w:val="Level 3"/>
    <w:basedOn w:val="Body3"/>
    <w:uiPriority w:val="99"/>
    <w:qFormat/>
    <w:rsid w:val="00D812A3"/>
    <w:pPr>
      <w:numPr>
        <w:ilvl w:val="2"/>
        <w:numId w:val="2"/>
      </w:numPr>
      <w:outlineLvl w:val="2"/>
    </w:pPr>
  </w:style>
  <w:style w:type="character" w:customStyle="1" w:styleId="Level3asHeadingtext">
    <w:name w:val="Level 3 as Heading (text)"/>
    <w:basedOn w:val="DefaultParagraphFont"/>
    <w:uiPriority w:val="99"/>
    <w:rsid w:val="00D812A3"/>
    <w:rPr>
      <w:b/>
      <w:bCs/>
    </w:rPr>
  </w:style>
  <w:style w:type="paragraph" w:customStyle="1" w:styleId="Body4">
    <w:name w:val="Body 4"/>
    <w:basedOn w:val="Body"/>
    <w:uiPriority w:val="99"/>
    <w:rsid w:val="00D812A3"/>
    <w:pPr>
      <w:ind w:left="2553"/>
    </w:pPr>
  </w:style>
  <w:style w:type="paragraph" w:customStyle="1" w:styleId="Level4">
    <w:name w:val="Level 4"/>
    <w:basedOn w:val="Body4"/>
    <w:uiPriority w:val="99"/>
    <w:qFormat/>
    <w:rsid w:val="00D812A3"/>
    <w:pPr>
      <w:numPr>
        <w:ilvl w:val="3"/>
        <w:numId w:val="2"/>
      </w:numPr>
      <w:outlineLvl w:val="3"/>
    </w:pPr>
  </w:style>
  <w:style w:type="paragraph" w:customStyle="1" w:styleId="Body5">
    <w:name w:val="Body 5"/>
    <w:basedOn w:val="Body"/>
    <w:uiPriority w:val="99"/>
    <w:rsid w:val="00D812A3"/>
    <w:pPr>
      <w:ind w:left="3404"/>
    </w:pPr>
  </w:style>
  <w:style w:type="paragraph" w:customStyle="1" w:styleId="Level5">
    <w:name w:val="Level 5"/>
    <w:basedOn w:val="Body5"/>
    <w:uiPriority w:val="99"/>
    <w:rsid w:val="00D812A3"/>
    <w:pPr>
      <w:numPr>
        <w:ilvl w:val="4"/>
        <w:numId w:val="2"/>
      </w:numPr>
      <w:outlineLvl w:val="4"/>
    </w:pPr>
  </w:style>
  <w:style w:type="paragraph" w:customStyle="1" w:styleId="Body6">
    <w:name w:val="Body 6"/>
    <w:basedOn w:val="Body"/>
    <w:uiPriority w:val="99"/>
    <w:rsid w:val="00D812A3"/>
    <w:pPr>
      <w:ind w:left="4255"/>
    </w:pPr>
  </w:style>
  <w:style w:type="paragraph" w:customStyle="1" w:styleId="Level6">
    <w:name w:val="Level 6"/>
    <w:basedOn w:val="Body6"/>
    <w:uiPriority w:val="99"/>
    <w:rsid w:val="00D812A3"/>
    <w:pPr>
      <w:numPr>
        <w:ilvl w:val="5"/>
        <w:numId w:val="2"/>
      </w:numPr>
      <w:outlineLvl w:val="5"/>
    </w:pPr>
  </w:style>
  <w:style w:type="paragraph" w:customStyle="1" w:styleId="Bullet1">
    <w:name w:val="Bullet 1"/>
    <w:basedOn w:val="Body"/>
    <w:uiPriority w:val="99"/>
    <w:rsid w:val="00D812A3"/>
    <w:pPr>
      <w:numPr>
        <w:numId w:val="3"/>
      </w:numPr>
      <w:outlineLvl w:val="0"/>
    </w:pPr>
  </w:style>
  <w:style w:type="paragraph" w:customStyle="1" w:styleId="Bullet2">
    <w:name w:val="Bullet 2"/>
    <w:basedOn w:val="Body"/>
    <w:uiPriority w:val="99"/>
    <w:rsid w:val="00D812A3"/>
    <w:pPr>
      <w:numPr>
        <w:ilvl w:val="1"/>
        <w:numId w:val="3"/>
      </w:numPr>
      <w:outlineLvl w:val="1"/>
    </w:pPr>
  </w:style>
  <w:style w:type="paragraph" w:customStyle="1" w:styleId="Bullet3">
    <w:name w:val="Bullet 3"/>
    <w:basedOn w:val="Body"/>
    <w:uiPriority w:val="99"/>
    <w:rsid w:val="00D812A3"/>
    <w:pPr>
      <w:numPr>
        <w:ilvl w:val="2"/>
        <w:numId w:val="3"/>
      </w:numPr>
      <w:outlineLvl w:val="2"/>
    </w:pPr>
  </w:style>
  <w:style w:type="paragraph" w:customStyle="1" w:styleId="Bullet4">
    <w:name w:val="Bullet 4"/>
    <w:basedOn w:val="Body"/>
    <w:uiPriority w:val="99"/>
    <w:rsid w:val="00D812A3"/>
    <w:pPr>
      <w:numPr>
        <w:ilvl w:val="3"/>
        <w:numId w:val="3"/>
      </w:numPr>
      <w:outlineLvl w:val="3"/>
    </w:pPr>
  </w:style>
  <w:style w:type="paragraph" w:customStyle="1" w:styleId="Appendix">
    <w:name w:val="Appendix #"/>
    <w:basedOn w:val="Body"/>
    <w:next w:val="SubHeading"/>
    <w:uiPriority w:val="99"/>
    <w:rsid w:val="00D812A3"/>
    <w:pPr>
      <w:keepNext/>
      <w:keepLines/>
      <w:numPr>
        <w:ilvl w:val="1"/>
        <w:numId w:val="5"/>
      </w:numPr>
      <w:jc w:val="center"/>
    </w:pPr>
    <w:rPr>
      <w:b/>
      <w:bCs/>
    </w:rPr>
  </w:style>
  <w:style w:type="paragraph" w:customStyle="1" w:styleId="MainHeading">
    <w:name w:val="Main Heading"/>
    <w:basedOn w:val="Body"/>
    <w:uiPriority w:val="99"/>
    <w:rsid w:val="00D812A3"/>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812A3"/>
    <w:pPr>
      <w:keepNext/>
      <w:keepLines/>
      <w:numPr>
        <w:ilvl w:val="2"/>
        <w:numId w:val="5"/>
      </w:numPr>
      <w:jc w:val="center"/>
    </w:pPr>
  </w:style>
  <w:style w:type="paragraph" w:customStyle="1" w:styleId="Schedule">
    <w:name w:val="Schedule #"/>
    <w:basedOn w:val="Body"/>
    <w:next w:val="SubHeading"/>
    <w:uiPriority w:val="99"/>
    <w:rsid w:val="00D812A3"/>
    <w:pPr>
      <w:keepNext/>
      <w:keepLines/>
      <w:numPr>
        <w:numId w:val="5"/>
      </w:numPr>
      <w:jc w:val="center"/>
    </w:pPr>
    <w:rPr>
      <w:b/>
      <w:bCs/>
    </w:rPr>
  </w:style>
  <w:style w:type="paragraph" w:customStyle="1" w:styleId="SubHeading">
    <w:name w:val="Sub Heading"/>
    <w:basedOn w:val="Body"/>
    <w:next w:val="Body"/>
    <w:uiPriority w:val="99"/>
    <w:rsid w:val="00D812A3"/>
    <w:pPr>
      <w:keepNext/>
      <w:keepLines/>
      <w:numPr>
        <w:numId w:val="6"/>
      </w:numPr>
      <w:jc w:val="center"/>
    </w:pPr>
    <w:rPr>
      <w:b/>
      <w:bCs/>
      <w:caps/>
    </w:rPr>
  </w:style>
  <w:style w:type="character" w:styleId="CommentReference">
    <w:name w:val="annotation reference"/>
    <w:rsid w:val="00D812A3"/>
    <w:rPr>
      <w:sz w:val="16"/>
      <w:szCs w:val="16"/>
    </w:rPr>
  </w:style>
  <w:style w:type="paragraph" w:styleId="ListParagraph">
    <w:name w:val="List Paragraph"/>
    <w:basedOn w:val="Normal"/>
    <w:qFormat/>
    <w:rsid w:val="00D812A3"/>
    <w:pPr>
      <w:adjustRightInd/>
      <w:spacing w:before="120" w:after="120"/>
      <w:ind w:left="720"/>
      <w:contextualSpacing/>
    </w:pPr>
    <w:rPr>
      <w:rFonts w:ascii="Palatino Linotype" w:eastAsia="Times New Roman" w:hAnsi="Palatino Linotype" w:cs="Times New Roman"/>
      <w:sz w:val="22"/>
      <w:szCs w:val="24"/>
      <w:lang w:eastAsia="en-US"/>
    </w:rPr>
  </w:style>
  <w:style w:type="paragraph" w:customStyle="1" w:styleId="AA1">
    <w:name w:val="AA1"/>
    <w:basedOn w:val="Normal"/>
    <w:rsid w:val="00D812A3"/>
    <w:pPr>
      <w:keepNext/>
      <w:numPr>
        <w:numId w:val="8"/>
      </w:numPr>
      <w:adjustRightInd/>
      <w:spacing w:before="120" w:after="120"/>
      <w:outlineLvl w:val="0"/>
    </w:pPr>
    <w:rPr>
      <w:rFonts w:ascii="Calibri" w:eastAsia="Times New Roman" w:hAnsi="Calibri" w:cs="Times New Roman"/>
      <w:b/>
      <w:caps/>
      <w:sz w:val="22"/>
      <w:szCs w:val="24"/>
    </w:rPr>
  </w:style>
  <w:style w:type="paragraph" w:styleId="BalloonText">
    <w:name w:val="Balloon Text"/>
    <w:basedOn w:val="Normal"/>
    <w:link w:val="BalloonTextChar"/>
    <w:rsid w:val="00D812A3"/>
    <w:rPr>
      <w:rFonts w:ascii="Tahoma" w:hAnsi="Tahoma" w:cs="Tahoma"/>
      <w:sz w:val="16"/>
      <w:szCs w:val="16"/>
    </w:rPr>
  </w:style>
  <w:style w:type="character" w:customStyle="1" w:styleId="BalloonTextChar">
    <w:name w:val="Balloon Text Char"/>
    <w:basedOn w:val="DefaultParagraphFont"/>
    <w:link w:val="BalloonText"/>
    <w:rsid w:val="00D812A3"/>
    <w:rPr>
      <w:rFonts w:ascii="Tahoma" w:eastAsia="Arial" w:hAnsi="Tahoma" w:cs="Tahoma"/>
      <w:sz w:val="16"/>
      <w:szCs w:val="16"/>
    </w:rPr>
  </w:style>
  <w:style w:type="paragraph" w:customStyle="1" w:styleId="Default">
    <w:name w:val="Default"/>
    <w:rsid w:val="0023302A"/>
    <w:pPr>
      <w:autoSpaceDE w:val="0"/>
      <w:autoSpaceDN w:val="0"/>
      <w:adjustRightInd w:val="0"/>
    </w:pPr>
    <w:rPr>
      <w:rFonts w:ascii="Arial" w:hAnsi="Arial" w:cs="Arial"/>
      <w:color w:val="000000"/>
      <w:sz w:val="24"/>
      <w:szCs w:val="24"/>
    </w:rPr>
  </w:style>
  <w:style w:type="paragraph" w:customStyle="1" w:styleId="body0">
    <w:name w:val="body"/>
    <w:basedOn w:val="Normal"/>
    <w:uiPriority w:val="99"/>
    <w:semiHidden/>
    <w:rsid w:val="0023302A"/>
    <w:pPr>
      <w:keepLines/>
      <w:adjustRightInd/>
      <w:spacing w:before="120" w:after="120"/>
      <w:jc w:val="left"/>
    </w:pPr>
    <w:rPr>
      <w:rFonts w:eastAsia="Times New Roman"/>
      <w:lang w:eastAsia="en-US"/>
    </w:rPr>
  </w:style>
  <w:style w:type="character" w:styleId="Hyperlink">
    <w:name w:val="Hyperlink"/>
    <w:uiPriority w:val="99"/>
    <w:rsid w:val="00CA3AF7"/>
    <w:rPr>
      <w:color w:val="0000FF"/>
      <w:u w:val="single"/>
    </w:rPr>
  </w:style>
  <w:style w:type="paragraph" w:customStyle="1" w:styleId="A2">
    <w:name w:val="A2"/>
    <w:basedOn w:val="Normal"/>
    <w:autoRedefine/>
    <w:uiPriority w:val="99"/>
    <w:rsid w:val="001947F0"/>
    <w:pPr>
      <w:tabs>
        <w:tab w:val="left" w:pos="567"/>
        <w:tab w:val="left" w:pos="709"/>
        <w:tab w:val="left" w:pos="1021"/>
      </w:tabs>
      <w:adjustRightInd/>
      <w:ind w:left="709" w:hanging="709"/>
      <w:outlineLvl w:val="1"/>
    </w:pPr>
    <w:rPr>
      <w:rFonts w:eastAsia="Times New Roman"/>
      <w:sz w:val="22"/>
      <w:szCs w:val="22"/>
    </w:rPr>
  </w:style>
  <w:style w:type="paragraph" w:customStyle="1" w:styleId="A3">
    <w:name w:val="A3"/>
    <w:basedOn w:val="Normal"/>
    <w:autoRedefine/>
    <w:uiPriority w:val="99"/>
    <w:rsid w:val="001947F0"/>
    <w:pPr>
      <w:tabs>
        <w:tab w:val="left" w:pos="284"/>
        <w:tab w:val="left" w:pos="567"/>
      </w:tabs>
      <w:adjustRightInd/>
      <w:ind w:left="697"/>
      <w:outlineLvl w:val="2"/>
    </w:pPr>
    <w:rPr>
      <w:rFonts w:eastAsia="Times New Roman" w:cs="Times New Roman"/>
      <w:sz w:val="24"/>
      <w:szCs w:val="24"/>
      <w:lang w:eastAsia="en-US"/>
    </w:rPr>
  </w:style>
  <w:style w:type="paragraph" w:styleId="BodyText">
    <w:name w:val="Body Text"/>
    <w:basedOn w:val="Normal"/>
    <w:link w:val="BodyTextChar"/>
    <w:rsid w:val="004679B2"/>
    <w:pPr>
      <w:autoSpaceDE w:val="0"/>
      <w:autoSpaceDN w:val="0"/>
    </w:pPr>
    <w:rPr>
      <w:rFonts w:eastAsia="Times New Roman" w:cs="Times New Roman"/>
      <w:sz w:val="22"/>
    </w:rPr>
  </w:style>
  <w:style w:type="character" w:customStyle="1" w:styleId="BodyTextChar">
    <w:name w:val="Body Text Char"/>
    <w:basedOn w:val="DefaultParagraphFont"/>
    <w:link w:val="BodyText"/>
    <w:rsid w:val="004679B2"/>
    <w:rPr>
      <w:rFonts w:ascii="Arial" w:hAnsi="Arial"/>
      <w:sz w:val="22"/>
    </w:rPr>
  </w:style>
  <w:style w:type="character" w:customStyle="1" w:styleId="Heading1Char">
    <w:name w:val="Heading 1 Char"/>
    <w:aliases w:val="Section Heading Char,h1 Char,Heading Char,Numbered - 1 Char,CBC Heading 1 Char,Section Char,H1 Char"/>
    <w:basedOn w:val="DefaultParagraphFont"/>
    <w:link w:val="Heading1"/>
    <w:uiPriority w:val="99"/>
    <w:rsid w:val="00FA7898"/>
    <w:rPr>
      <w:rFonts w:ascii="Arial" w:hAnsi="Arial"/>
      <w:b/>
      <w:sz w:val="22"/>
    </w:rPr>
  </w:style>
  <w:style w:type="character" w:customStyle="1" w:styleId="Heading3Char">
    <w:name w:val="Heading 3 Char"/>
    <w:basedOn w:val="DefaultParagraphFont"/>
    <w:link w:val="Heading3"/>
    <w:rsid w:val="00FA7898"/>
    <w:rPr>
      <w:rFonts w:ascii="Arial" w:hAnsi="Arial"/>
      <w:b/>
      <w:sz w:val="22"/>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FA7898"/>
    <w:pPr>
      <w:adjustRightInd/>
      <w:spacing w:before="120" w:after="120"/>
      <w:jc w:val="left"/>
    </w:pPr>
    <w:rPr>
      <w:rFonts w:eastAsia="Times New Roman"/>
      <w:sz w:val="22"/>
      <w:szCs w:val="22"/>
      <w:lang w:val="en-US" w:eastAsia="en-US"/>
    </w:rPr>
  </w:style>
  <w:style w:type="paragraph" w:customStyle="1" w:styleId="NumberedBullet1">
    <w:name w:val="Numbered Bullet 1"/>
    <w:basedOn w:val="Normal"/>
    <w:qFormat/>
    <w:rsid w:val="002749F8"/>
    <w:pPr>
      <w:tabs>
        <w:tab w:val="num" w:pos="851"/>
      </w:tabs>
      <w:adjustRightInd/>
      <w:spacing w:after="200" w:line="288" w:lineRule="auto"/>
      <w:ind w:left="851" w:hanging="851"/>
      <w:jc w:val="left"/>
      <w:outlineLvl w:val="0"/>
    </w:pPr>
    <w:rPr>
      <w:rFonts w:ascii="Verdana" w:eastAsia="Times New Roman" w:hAnsi="Verdana" w:cs="Times New Roman"/>
      <w:sz w:val="18"/>
    </w:rPr>
  </w:style>
  <w:style w:type="paragraph" w:customStyle="1" w:styleId="NumberedBullet2">
    <w:name w:val="Numbered Bullet 2"/>
    <w:basedOn w:val="Normal"/>
    <w:qFormat/>
    <w:rsid w:val="002749F8"/>
    <w:pPr>
      <w:tabs>
        <w:tab w:val="num" w:pos="851"/>
      </w:tabs>
      <w:adjustRightInd/>
      <w:spacing w:after="200" w:line="288" w:lineRule="auto"/>
      <w:ind w:left="851" w:hanging="851"/>
      <w:jc w:val="left"/>
      <w:outlineLvl w:val="1"/>
    </w:pPr>
    <w:rPr>
      <w:rFonts w:ascii="Verdana" w:eastAsia="Times New Roman" w:hAnsi="Verdana" w:cs="Times New Roman"/>
      <w:sz w:val="18"/>
    </w:rPr>
  </w:style>
  <w:style w:type="paragraph" w:customStyle="1" w:styleId="NumberedBullet3">
    <w:name w:val="Numbered Bullet 3"/>
    <w:basedOn w:val="Normal"/>
    <w:qFormat/>
    <w:rsid w:val="002749F8"/>
    <w:pPr>
      <w:tabs>
        <w:tab w:val="num" w:pos="1843"/>
      </w:tabs>
      <w:adjustRightInd/>
      <w:spacing w:after="200" w:line="288" w:lineRule="auto"/>
      <w:ind w:left="1843" w:hanging="992"/>
      <w:jc w:val="left"/>
      <w:outlineLvl w:val="2"/>
    </w:pPr>
    <w:rPr>
      <w:rFonts w:ascii="Verdana" w:eastAsia="Times New Roman" w:hAnsi="Verdana" w:cs="Times New Roman"/>
      <w:sz w:val="18"/>
    </w:rPr>
  </w:style>
  <w:style w:type="paragraph" w:customStyle="1" w:styleId="Parties">
    <w:name w:val="Parties"/>
    <w:basedOn w:val="Normal"/>
    <w:qFormat/>
    <w:rsid w:val="002749F8"/>
    <w:pPr>
      <w:numPr>
        <w:numId w:val="9"/>
      </w:numPr>
      <w:adjustRightInd/>
      <w:spacing w:after="240" w:line="312" w:lineRule="auto"/>
    </w:pPr>
    <w:rPr>
      <w:rFonts w:ascii="Verdana" w:eastAsia="Times New Roman" w:hAnsi="Verdana" w:cs="Times New Roman"/>
    </w:rPr>
  </w:style>
  <w:style w:type="character" w:customStyle="1" w:styleId="Level2Char">
    <w:name w:val="Level 2 Char"/>
    <w:basedOn w:val="DefaultParagraphFont"/>
    <w:link w:val="Level2"/>
    <w:uiPriority w:val="99"/>
    <w:rsid w:val="00B90E81"/>
    <w:rPr>
      <w:rFonts w:ascii="Arial" w:eastAsia="Arial" w:hAnsi="Arial" w:cs="Arial"/>
    </w:rPr>
  </w:style>
  <w:style w:type="paragraph" w:customStyle="1" w:styleId="Normal1">
    <w:name w:val="Normal1"/>
    <w:basedOn w:val="Normal"/>
    <w:uiPriority w:val="99"/>
    <w:rsid w:val="00826171"/>
    <w:pPr>
      <w:adjustRightInd/>
      <w:jc w:val="left"/>
    </w:pPr>
    <w:rPr>
      <w:rFonts w:ascii="Times New Roman" w:eastAsiaTheme="minorHAnsi" w:hAnsi="Times New Roman" w:cs="Times New Roman"/>
      <w:color w:val="000000"/>
      <w:sz w:val="24"/>
      <w:szCs w:val="24"/>
      <w:lang w:eastAsia="en-US"/>
    </w:rPr>
  </w:style>
  <w:style w:type="paragraph" w:styleId="CommentSubject">
    <w:name w:val="annotation subject"/>
    <w:basedOn w:val="CommentText"/>
    <w:next w:val="CommentText"/>
    <w:link w:val="CommentSubjectChar"/>
    <w:rsid w:val="000772AD"/>
    <w:rPr>
      <w:b/>
      <w:bCs/>
    </w:rPr>
  </w:style>
  <w:style w:type="character" w:customStyle="1" w:styleId="CommentSubjectChar">
    <w:name w:val="Comment Subject Char"/>
    <w:basedOn w:val="CommentTextChar"/>
    <w:link w:val="CommentSubject"/>
    <w:rsid w:val="000772AD"/>
    <w:rPr>
      <w:rFonts w:ascii="Arial" w:eastAsia="Arial" w:hAnsi="Arial" w:cs="Arial"/>
      <w:b/>
      <w:bCs/>
    </w:rPr>
  </w:style>
  <w:style w:type="table" w:styleId="TableGrid">
    <w:name w:val="Table Grid"/>
    <w:basedOn w:val="TableNormal"/>
    <w:rsid w:val="0085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1880"/>
    <w:rPr>
      <w:color w:val="800080"/>
      <w:u w:val="single"/>
    </w:rPr>
  </w:style>
  <w:style w:type="character" w:customStyle="1" w:styleId="Heading2Char">
    <w:name w:val="Heading 2 Char"/>
    <w:basedOn w:val="DefaultParagraphFont"/>
    <w:link w:val="Heading2"/>
    <w:rsid w:val="0041351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E63C8"/>
    <w:rPr>
      <w:rFonts w:ascii="Arial" w:eastAsia="Arial" w:hAnsi="Arial" w:cs="Arial"/>
    </w:rPr>
  </w:style>
  <w:style w:type="paragraph" w:customStyle="1" w:styleId="AonBullet1">
    <w:name w:val="Aon Bullet 1"/>
    <w:basedOn w:val="Normal"/>
    <w:rsid w:val="00F84EFD"/>
    <w:pPr>
      <w:numPr>
        <w:numId w:val="13"/>
      </w:numPr>
      <w:adjustRightInd/>
      <w:spacing w:after="120"/>
      <w:jc w:val="left"/>
    </w:pPr>
    <w:rPr>
      <w:rFonts w:eastAsia="Times New Roman" w:cs="Times New Roman"/>
      <w:lang w:eastAsia="en-US"/>
    </w:rPr>
  </w:style>
  <w:style w:type="paragraph" w:customStyle="1" w:styleId="AonBullet2">
    <w:name w:val="Aon Bullet 2"/>
    <w:basedOn w:val="Normal"/>
    <w:rsid w:val="00F84EFD"/>
    <w:pPr>
      <w:numPr>
        <w:ilvl w:val="1"/>
        <w:numId w:val="13"/>
      </w:numPr>
      <w:adjustRightInd/>
      <w:spacing w:after="120"/>
      <w:jc w:val="left"/>
    </w:pPr>
    <w:rPr>
      <w:rFonts w:eastAsia="Times New Roman" w:cs="Times New Roman"/>
      <w:lang w:eastAsia="en-US"/>
    </w:rPr>
  </w:style>
  <w:style w:type="paragraph" w:customStyle="1" w:styleId="AonBullet3">
    <w:name w:val="Aon Bullet 3"/>
    <w:basedOn w:val="Normal"/>
    <w:rsid w:val="00F84EFD"/>
    <w:pPr>
      <w:numPr>
        <w:ilvl w:val="2"/>
        <w:numId w:val="13"/>
      </w:numPr>
      <w:adjustRightInd/>
      <w:spacing w:after="120"/>
      <w:jc w:val="left"/>
    </w:pPr>
    <w:rPr>
      <w:rFonts w:eastAsia="Times New Roman" w:cs="Times New Roman"/>
      <w:lang w:eastAsia="en-US"/>
    </w:rPr>
  </w:style>
  <w:style w:type="paragraph" w:customStyle="1" w:styleId="AonBullet4">
    <w:name w:val="Aon Bullet 4"/>
    <w:basedOn w:val="Normal"/>
    <w:rsid w:val="00F84EFD"/>
    <w:pPr>
      <w:numPr>
        <w:ilvl w:val="3"/>
        <w:numId w:val="13"/>
      </w:numPr>
      <w:adjustRightInd/>
      <w:spacing w:after="120"/>
      <w:jc w:val="left"/>
    </w:pPr>
    <w:rPr>
      <w:rFonts w:eastAsia="Times New Roman" w:cs="Times New Roman"/>
      <w:lang w:val="de-DE" w:eastAsia="en-US"/>
    </w:rPr>
  </w:style>
  <w:style w:type="paragraph" w:customStyle="1" w:styleId="AonBullet5">
    <w:name w:val="Aon Bullet 5"/>
    <w:basedOn w:val="Normal"/>
    <w:rsid w:val="00F84EFD"/>
    <w:pPr>
      <w:numPr>
        <w:ilvl w:val="4"/>
        <w:numId w:val="13"/>
      </w:numPr>
      <w:adjustRightInd/>
      <w:spacing w:after="120"/>
      <w:jc w:val="left"/>
    </w:pPr>
    <w:rPr>
      <w:rFonts w:eastAsia="Times New Roman" w:cs="Times New Roman"/>
      <w:lang w:eastAsia="en-US"/>
    </w:rPr>
  </w:style>
  <w:style w:type="numbering" w:customStyle="1" w:styleId="AonList">
    <w:name w:val="Aon List"/>
    <w:rsid w:val="00F84EF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6531">
      <w:bodyDiv w:val="1"/>
      <w:marLeft w:val="0"/>
      <w:marRight w:val="0"/>
      <w:marTop w:val="0"/>
      <w:marBottom w:val="0"/>
      <w:divBdr>
        <w:top w:val="none" w:sz="0" w:space="0" w:color="auto"/>
        <w:left w:val="none" w:sz="0" w:space="0" w:color="auto"/>
        <w:bottom w:val="none" w:sz="0" w:space="0" w:color="auto"/>
        <w:right w:val="none" w:sz="0" w:space="0" w:color="auto"/>
      </w:divBdr>
    </w:div>
    <w:div w:id="1094937750">
      <w:bodyDiv w:val="1"/>
      <w:marLeft w:val="0"/>
      <w:marRight w:val="0"/>
      <w:marTop w:val="0"/>
      <w:marBottom w:val="0"/>
      <w:divBdr>
        <w:top w:val="none" w:sz="0" w:space="0" w:color="auto"/>
        <w:left w:val="none" w:sz="0" w:space="0" w:color="auto"/>
        <w:bottom w:val="none" w:sz="0" w:space="0" w:color="auto"/>
        <w:right w:val="none" w:sz="0" w:space="0" w:color="auto"/>
      </w:divBdr>
    </w:div>
    <w:div w:id="1109156258">
      <w:bodyDiv w:val="1"/>
      <w:marLeft w:val="0"/>
      <w:marRight w:val="0"/>
      <w:marTop w:val="0"/>
      <w:marBottom w:val="0"/>
      <w:divBdr>
        <w:top w:val="none" w:sz="0" w:space="0" w:color="auto"/>
        <w:left w:val="none" w:sz="0" w:space="0" w:color="auto"/>
        <w:bottom w:val="none" w:sz="0" w:space="0" w:color="auto"/>
        <w:right w:val="none" w:sz="0" w:space="0" w:color="auto"/>
      </w:divBdr>
    </w:div>
    <w:div w:id="1153527631">
      <w:bodyDiv w:val="1"/>
      <w:marLeft w:val="0"/>
      <w:marRight w:val="0"/>
      <w:marTop w:val="0"/>
      <w:marBottom w:val="0"/>
      <w:divBdr>
        <w:top w:val="none" w:sz="0" w:space="0" w:color="auto"/>
        <w:left w:val="none" w:sz="0" w:space="0" w:color="auto"/>
        <w:bottom w:val="none" w:sz="0" w:space="0" w:color="auto"/>
        <w:right w:val="none" w:sz="0" w:space="0" w:color="auto"/>
      </w:divBdr>
    </w:div>
    <w:div w:id="1518931656">
      <w:bodyDiv w:val="1"/>
      <w:marLeft w:val="0"/>
      <w:marRight w:val="0"/>
      <w:marTop w:val="0"/>
      <w:marBottom w:val="0"/>
      <w:divBdr>
        <w:top w:val="none" w:sz="0" w:space="0" w:color="auto"/>
        <w:left w:val="none" w:sz="0" w:space="0" w:color="auto"/>
        <w:bottom w:val="none" w:sz="0" w:space="0" w:color="auto"/>
        <w:right w:val="none" w:sz="0" w:space="0" w:color="auto"/>
      </w:divBdr>
    </w:div>
    <w:div w:id="1590964429">
      <w:bodyDiv w:val="1"/>
      <w:marLeft w:val="0"/>
      <w:marRight w:val="0"/>
      <w:marTop w:val="0"/>
      <w:marBottom w:val="0"/>
      <w:divBdr>
        <w:top w:val="none" w:sz="0" w:space="0" w:color="auto"/>
        <w:left w:val="none" w:sz="0" w:space="0" w:color="auto"/>
        <w:bottom w:val="none" w:sz="0" w:space="0" w:color="auto"/>
        <w:right w:val="none" w:sz="0" w:space="0" w:color="auto"/>
      </w:divBdr>
    </w:div>
    <w:div w:id="1776242691">
      <w:bodyDiv w:val="1"/>
      <w:marLeft w:val="0"/>
      <w:marRight w:val="0"/>
      <w:marTop w:val="0"/>
      <w:marBottom w:val="0"/>
      <w:divBdr>
        <w:top w:val="none" w:sz="0" w:space="0" w:color="auto"/>
        <w:left w:val="none" w:sz="0" w:space="0" w:color="auto"/>
        <w:bottom w:val="none" w:sz="0" w:space="0" w:color="auto"/>
        <w:right w:val="none" w:sz="0" w:space="0" w:color="auto"/>
      </w:divBdr>
    </w:div>
    <w:div w:id="18672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lington.gov.uk/" TargetMode="External"/><Relationship Id="rId18" Type="http://schemas.openxmlformats.org/officeDocument/2006/relationships/hyperlink" Target="https://procontract.due-north.com/regist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arrow.gov.uk" TargetMode="External"/><Relationship Id="rId17" Type="http://schemas.openxmlformats.org/officeDocument/2006/relationships/hyperlink" Target="http://www.towerhamlets.gov.uk/" TargetMode="External"/><Relationship Id="rId2" Type="http://schemas.openxmlformats.org/officeDocument/2006/relationships/numbering" Target="numbering.xml"/><Relationship Id="rId16" Type="http://schemas.openxmlformats.org/officeDocument/2006/relationships/hyperlink" Target="http://www.sutt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ingey.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mbeth.gov.uk/" TargetMode="External"/><Relationship Id="rId23" Type="http://schemas.openxmlformats.org/officeDocument/2006/relationships/fontTable" Target="fontTable.xml"/><Relationship Id="rId10" Type="http://schemas.openxmlformats.org/officeDocument/2006/relationships/hyperlink" Target="http://www.croydon.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den.gov.uk/" TargetMode="External"/><Relationship Id="rId14" Type="http://schemas.openxmlformats.org/officeDocument/2006/relationships/hyperlink" Target="http://www.kingston.gov.u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F20-B16B-4101-8152-7B00E4AC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26</Pages>
  <Words>8326</Words>
  <Characters>47462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2017-09-13T13:43:00Z</dcterms:created>
  <dcterms:modified xsi:type="dcterms:W3CDTF">2018-01-23T12:30:00Z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84839768.1\LM51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