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89E34" w14:textId="2E8E46C4" w:rsidR="00BE370E" w:rsidRDefault="00EE4D8E" w:rsidP="00BE370E">
      <w:pPr>
        <w:rPr>
          <w:b/>
          <w:color w:val="76923C" w:themeColor="accent3" w:themeShade="BF"/>
          <w:sz w:val="24"/>
          <w:szCs w:val="24"/>
        </w:rPr>
      </w:pPr>
      <w:r>
        <w:rPr>
          <w:b/>
          <w:color w:val="76923C" w:themeColor="accent3" w:themeShade="BF"/>
          <w:sz w:val="24"/>
          <w:szCs w:val="24"/>
        </w:rPr>
        <w:t>AIMS AND OBJECTIVES</w:t>
      </w:r>
    </w:p>
    <w:p w14:paraId="512E1AEB" w14:textId="77777777" w:rsidR="00BE370E" w:rsidRDefault="00BE370E" w:rsidP="00DB2FE7">
      <w:pPr>
        <w:rPr>
          <w:b/>
          <w:color w:val="76923C" w:themeColor="accent3" w:themeShade="BF"/>
          <w:sz w:val="24"/>
          <w:szCs w:val="24"/>
        </w:rPr>
      </w:pPr>
    </w:p>
    <w:p w14:paraId="2F023BD4" w14:textId="1F8F9E4C" w:rsidR="003E3E5F" w:rsidRDefault="003E3E5F" w:rsidP="002F7420">
      <w:pPr>
        <w:jc w:val="both"/>
        <w:rPr>
          <w:color w:val="auto"/>
        </w:rPr>
      </w:pPr>
      <w:r>
        <w:rPr>
          <w:color w:val="auto"/>
        </w:rPr>
        <w:t>The Guinness Partnership (TGP)</w:t>
      </w:r>
      <w:r w:rsidR="00C17709">
        <w:rPr>
          <w:color w:val="auto"/>
        </w:rPr>
        <w:t xml:space="preserve"> would like to engage with the Hard Facility Management (Hard FM) market </w:t>
      </w:r>
      <w:r w:rsidR="002727B8">
        <w:rPr>
          <w:color w:val="auto"/>
        </w:rPr>
        <w:t>with the aim to shape its outsourcing strategy in relation to the Asset Compliance requirements in communa</w:t>
      </w:r>
      <w:r w:rsidR="004013F6">
        <w:rPr>
          <w:color w:val="auto"/>
        </w:rPr>
        <w:t xml:space="preserve">l </w:t>
      </w:r>
      <w:r w:rsidR="00CD05DB">
        <w:rPr>
          <w:color w:val="auto"/>
        </w:rPr>
        <w:t xml:space="preserve">areas of </w:t>
      </w:r>
      <w:r w:rsidR="004013F6">
        <w:rPr>
          <w:color w:val="auto"/>
        </w:rPr>
        <w:t>residential blocks.</w:t>
      </w:r>
    </w:p>
    <w:p w14:paraId="10E71D9C" w14:textId="77777777" w:rsidR="004013F6" w:rsidRDefault="004013F6" w:rsidP="002F7420">
      <w:pPr>
        <w:jc w:val="both"/>
        <w:rPr>
          <w:color w:val="auto"/>
        </w:rPr>
      </w:pPr>
    </w:p>
    <w:p w14:paraId="59F098E4" w14:textId="2C44AA3D" w:rsidR="004013F6" w:rsidRDefault="004013F6" w:rsidP="002F7420">
      <w:pPr>
        <w:jc w:val="both"/>
        <w:rPr>
          <w:color w:val="auto"/>
        </w:rPr>
      </w:pPr>
      <w:r>
        <w:rPr>
          <w:color w:val="auto"/>
        </w:rPr>
        <w:t xml:space="preserve">This market sounding exercise aims to explore </w:t>
      </w:r>
      <w:r w:rsidR="00382D08">
        <w:rPr>
          <w:color w:val="auto"/>
        </w:rPr>
        <w:t>different outsourcing models</w:t>
      </w:r>
      <w:r w:rsidR="004F3B05">
        <w:rPr>
          <w:color w:val="auto"/>
        </w:rPr>
        <w:t>,</w:t>
      </w:r>
      <w:r w:rsidR="00382D08">
        <w:rPr>
          <w:color w:val="auto"/>
        </w:rPr>
        <w:t xml:space="preserve"> evaluating the risks and opportunities associated with each of them. </w:t>
      </w:r>
      <w:r w:rsidR="00020FF3">
        <w:rPr>
          <w:color w:val="auto"/>
        </w:rPr>
        <w:t xml:space="preserve">As a result, TGP will </w:t>
      </w:r>
      <w:r w:rsidR="00994F41">
        <w:rPr>
          <w:color w:val="auto"/>
        </w:rPr>
        <w:t xml:space="preserve">design its </w:t>
      </w:r>
      <w:r w:rsidR="004C305F">
        <w:rPr>
          <w:color w:val="auto"/>
        </w:rPr>
        <w:t>Asset Compliance Category strateg</w:t>
      </w:r>
      <w:r w:rsidR="009F4163">
        <w:rPr>
          <w:color w:val="auto"/>
        </w:rPr>
        <w:t xml:space="preserve">y and </w:t>
      </w:r>
      <w:r w:rsidR="004F3B05">
        <w:rPr>
          <w:color w:val="auto"/>
        </w:rPr>
        <w:t>launch the necessary tender(s) to outsource their preferred model.</w:t>
      </w:r>
      <w:r w:rsidR="004C305F">
        <w:rPr>
          <w:color w:val="auto"/>
        </w:rPr>
        <w:t xml:space="preserve"> </w:t>
      </w:r>
    </w:p>
    <w:p w14:paraId="2B29931F" w14:textId="77777777" w:rsidR="003E3E5F" w:rsidRDefault="003E3E5F" w:rsidP="002F7420">
      <w:pPr>
        <w:jc w:val="both"/>
        <w:rPr>
          <w:color w:val="auto"/>
        </w:rPr>
      </w:pPr>
    </w:p>
    <w:p w14:paraId="5E20875C" w14:textId="77777777" w:rsidR="007867EE" w:rsidRDefault="007867EE" w:rsidP="00DB2FE7">
      <w:pPr>
        <w:rPr>
          <w:color w:val="auto"/>
        </w:rPr>
      </w:pPr>
    </w:p>
    <w:p w14:paraId="0E501950" w14:textId="52169F00" w:rsidR="007867EE" w:rsidRDefault="0069228C" w:rsidP="00DB2FE7">
      <w:pPr>
        <w:rPr>
          <w:color w:val="auto"/>
        </w:rPr>
      </w:pPr>
      <w:r>
        <w:rPr>
          <w:color w:val="auto"/>
        </w:rPr>
        <w:t xml:space="preserve">The main objectives </w:t>
      </w:r>
      <w:r w:rsidR="00E63A1D">
        <w:rPr>
          <w:color w:val="auto"/>
        </w:rPr>
        <w:t xml:space="preserve">of this market consultation </w:t>
      </w:r>
      <w:r>
        <w:rPr>
          <w:color w:val="auto"/>
        </w:rPr>
        <w:t>are:</w:t>
      </w:r>
    </w:p>
    <w:p w14:paraId="25C58782" w14:textId="77777777" w:rsidR="0069228C" w:rsidRDefault="0069228C" w:rsidP="00DB2FE7">
      <w:pPr>
        <w:rPr>
          <w:color w:val="auto"/>
        </w:rPr>
      </w:pPr>
    </w:p>
    <w:p w14:paraId="1299B706" w14:textId="0FAAAAF6" w:rsidR="00FB02D5" w:rsidRPr="00FB02D5" w:rsidRDefault="00FB02D5" w:rsidP="00FB02D5">
      <w:pPr>
        <w:pStyle w:val="ListParagraph"/>
        <w:numPr>
          <w:ilvl w:val="0"/>
          <w:numId w:val="20"/>
        </w:numPr>
        <w:spacing w:before="60" w:after="60" w:line="280" w:lineRule="exact"/>
        <w:contextualSpacing w:val="0"/>
        <w:jc w:val="both"/>
        <w:rPr>
          <w:b/>
          <w:bCs/>
          <w:color w:val="auto"/>
        </w:rPr>
      </w:pPr>
      <w:r w:rsidRPr="00FB02D5">
        <w:rPr>
          <w:color w:val="auto"/>
        </w:rPr>
        <w:t xml:space="preserve">To ascertain the number </w:t>
      </w:r>
      <w:r w:rsidR="00411800">
        <w:rPr>
          <w:color w:val="auto"/>
        </w:rPr>
        <w:t xml:space="preserve">and types </w:t>
      </w:r>
      <w:r w:rsidRPr="00FB02D5">
        <w:rPr>
          <w:color w:val="auto"/>
        </w:rPr>
        <w:t>of suppliers interested in bidding for residential Hard FM services in communal areas</w:t>
      </w:r>
      <w:r>
        <w:rPr>
          <w:color w:val="auto"/>
        </w:rPr>
        <w:t>,</w:t>
      </w:r>
      <w:r w:rsidRPr="00FB02D5">
        <w:rPr>
          <w:color w:val="auto"/>
        </w:rPr>
        <w:t xml:space="preserve"> and understand their </w:t>
      </w:r>
      <w:r w:rsidR="00B3753C">
        <w:rPr>
          <w:color w:val="auto"/>
        </w:rPr>
        <w:t xml:space="preserve">proposed </w:t>
      </w:r>
      <w:r w:rsidRPr="00FB02D5">
        <w:rPr>
          <w:color w:val="auto"/>
        </w:rPr>
        <w:t>delivery models</w:t>
      </w:r>
    </w:p>
    <w:p w14:paraId="2E0F1E53" w14:textId="5B558350" w:rsidR="00FB02D5" w:rsidRPr="00FB02D5" w:rsidRDefault="00FB02D5" w:rsidP="00FB02D5">
      <w:pPr>
        <w:pStyle w:val="ListParagraph"/>
        <w:numPr>
          <w:ilvl w:val="0"/>
          <w:numId w:val="20"/>
        </w:numPr>
        <w:spacing w:before="60" w:after="60" w:line="280" w:lineRule="exact"/>
        <w:contextualSpacing w:val="0"/>
        <w:jc w:val="both"/>
        <w:rPr>
          <w:b/>
          <w:bCs/>
          <w:color w:val="auto"/>
        </w:rPr>
      </w:pPr>
      <w:r w:rsidRPr="00FB02D5">
        <w:rPr>
          <w:color w:val="auto"/>
        </w:rPr>
        <w:t>To gauge their previous experience in the housing market, in particular social housing</w:t>
      </w:r>
    </w:p>
    <w:p w14:paraId="150B1206" w14:textId="6DE83A5D" w:rsidR="00FB02D5" w:rsidRPr="00FB02D5" w:rsidRDefault="00FB02D5" w:rsidP="00FB02D5">
      <w:pPr>
        <w:pStyle w:val="ListParagraph"/>
        <w:numPr>
          <w:ilvl w:val="0"/>
          <w:numId w:val="20"/>
        </w:numPr>
        <w:spacing w:before="60" w:after="60" w:line="280" w:lineRule="exact"/>
        <w:contextualSpacing w:val="0"/>
        <w:jc w:val="both"/>
        <w:rPr>
          <w:b/>
          <w:bCs/>
          <w:color w:val="auto"/>
        </w:rPr>
      </w:pPr>
      <w:r w:rsidRPr="00FB02D5">
        <w:rPr>
          <w:color w:val="auto"/>
        </w:rPr>
        <w:t xml:space="preserve">To explore different outsourcing models and identify the main risk factors and potential mitigating actions associated to each model (i.e. </w:t>
      </w:r>
      <w:r w:rsidR="00300E0C">
        <w:rPr>
          <w:color w:val="auto"/>
        </w:rPr>
        <w:t>S</w:t>
      </w:r>
      <w:r w:rsidRPr="00FB02D5">
        <w:rPr>
          <w:color w:val="auto"/>
        </w:rPr>
        <w:t>pecialist suppliers</w:t>
      </w:r>
      <w:r w:rsidR="00300E0C">
        <w:rPr>
          <w:color w:val="auto"/>
        </w:rPr>
        <w:t>, B</w:t>
      </w:r>
      <w:r w:rsidRPr="00FB02D5">
        <w:rPr>
          <w:color w:val="auto"/>
        </w:rPr>
        <w:t xml:space="preserve">undled services </w:t>
      </w:r>
      <w:r w:rsidR="00300E0C">
        <w:rPr>
          <w:color w:val="auto"/>
        </w:rPr>
        <w:t>and T</w:t>
      </w:r>
      <w:r w:rsidRPr="00FB02D5">
        <w:rPr>
          <w:color w:val="auto"/>
        </w:rPr>
        <w:t>otal Hard FM)</w:t>
      </w:r>
    </w:p>
    <w:p w14:paraId="4584C62C" w14:textId="5308AF1A" w:rsidR="00287560" w:rsidRDefault="00287560" w:rsidP="000A289F">
      <w:pPr>
        <w:spacing w:line="360" w:lineRule="auto"/>
        <w:rPr>
          <w:color w:val="auto"/>
        </w:rPr>
      </w:pPr>
    </w:p>
    <w:p w14:paraId="1F19051D" w14:textId="00A1E8A5" w:rsidR="000A289F" w:rsidRPr="001A3195" w:rsidRDefault="00EE4D8E" w:rsidP="001A3195">
      <w:pPr>
        <w:rPr>
          <w:b/>
          <w:color w:val="76923C" w:themeColor="accent3" w:themeShade="BF"/>
          <w:sz w:val="24"/>
          <w:szCs w:val="24"/>
        </w:rPr>
      </w:pPr>
      <w:r w:rsidRPr="001A3195">
        <w:rPr>
          <w:b/>
          <w:color w:val="76923C" w:themeColor="accent3" w:themeShade="BF"/>
          <w:sz w:val="24"/>
          <w:szCs w:val="24"/>
        </w:rPr>
        <w:t>METHODOLOGY</w:t>
      </w:r>
    </w:p>
    <w:p w14:paraId="264DA28D" w14:textId="77777777" w:rsidR="00BE370E" w:rsidRDefault="00BE370E" w:rsidP="00DB2FE7">
      <w:pPr>
        <w:rPr>
          <w:b/>
          <w:color w:val="76923C" w:themeColor="accent3" w:themeShade="BF"/>
          <w:sz w:val="24"/>
          <w:szCs w:val="24"/>
        </w:rPr>
      </w:pPr>
    </w:p>
    <w:p w14:paraId="1F1AF931" w14:textId="77777777" w:rsidR="00CA37F9" w:rsidRDefault="001A3195" w:rsidP="00E72008">
      <w:pPr>
        <w:jc w:val="both"/>
        <w:rPr>
          <w:color w:val="auto"/>
        </w:rPr>
      </w:pPr>
      <w:r w:rsidRPr="001A3195">
        <w:rPr>
          <w:color w:val="auto"/>
        </w:rPr>
        <w:t>This</w:t>
      </w:r>
      <w:r>
        <w:rPr>
          <w:color w:val="auto"/>
        </w:rPr>
        <w:t xml:space="preserve"> consultation will be staged into phases. </w:t>
      </w:r>
    </w:p>
    <w:p w14:paraId="0ADB34C0" w14:textId="77777777" w:rsidR="00CA37F9" w:rsidRDefault="00CA37F9" w:rsidP="00E72008">
      <w:pPr>
        <w:jc w:val="both"/>
        <w:rPr>
          <w:color w:val="auto"/>
        </w:rPr>
      </w:pPr>
    </w:p>
    <w:p w14:paraId="120612A4" w14:textId="7813B436" w:rsidR="001A3195" w:rsidRDefault="00CA37F9" w:rsidP="00E72008">
      <w:pPr>
        <w:jc w:val="both"/>
        <w:rPr>
          <w:color w:val="auto"/>
        </w:rPr>
      </w:pPr>
      <w:r w:rsidRPr="00846E1F">
        <w:rPr>
          <w:b/>
          <w:bCs/>
          <w:color w:val="auto"/>
        </w:rPr>
        <w:t>Phase I</w:t>
      </w:r>
      <w:r>
        <w:rPr>
          <w:color w:val="auto"/>
        </w:rPr>
        <w:t xml:space="preserve"> will consist of a simple questionnaire where suppliers will be asked to express their potential intertest in this</w:t>
      </w:r>
      <w:r w:rsidR="001A3195" w:rsidRPr="00CA37F9">
        <w:rPr>
          <w:color w:val="auto"/>
        </w:rPr>
        <w:t xml:space="preserve"> </w:t>
      </w:r>
      <w:r w:rsidR="00F64084">
        <w:rPr>
          <w:color w:val="auto"/>
        </w:rPr>
        <w:t>opportunity</w:t>
      </w:r>
      <w:r w:rsidRPr="00CA37F9">
        <w:rPr>
          <w:color w:val="auto"/>
        </w:rPr>
        <w:t xml:space="preserve"> </w:t>
      </w:r>
      <w:r w:rsidR="00F878B6">
        <w:rPr>
          <w:color w:val="auto"/>
        </w:rPr>
        <w:t>and disclose information about their previous experience in the housing sector and their capability to deliver</w:t>
      </w:r>
      <w:r w:rsidR="000A65C0">
        <w:rPr>
          <w:color w:val="auto"/>
        </w:rPr>
        <w:t xml:space="preserve"> a series of</w:t>
      </w:r>
      <w:r w:rsidR="00F878B6">
        <w:rPr>
          <w:color w:val="auto"/>
        </w:rPr>
        <w:t xml:space="preserve"> </w:t>
      </w:r>
      <w:r w:rsidR="00000A84">
        <w:rPr>
          <w:color w:val="auto"/>
        </w:rPr>
        <w:t>services at a national</w:t>
      </w:r>
      <w:r w:rsidR="00F500EA">
        <w:rPr>
          <w:color w:val="auto"/>
        </w:rPr>
        <w:t>/regional</w:t>
      </w:r>
      <w:r w:rsidR="00000A84">
        <w:rPr>
          <w:color w:val="auto"/>
        </w:rPr>
        <w:t xml:space="preserve"> level</w:t>
      </w:r>
      <w:r w:rsidR="00B1559E">
        <w:rPr>
          <w:color w:val="auto"/>
        </w:rPr>
        <w:t xml:space="preserve"> </w:t>
      </w:r>
      <w:r w:rsidR="00896469">
        <w:rPr>
          <w:color w:val="auto"/>
        </w:rPr>
        <w:t>and in-house or sub-</w:t>
      </w:r>
      <w:r w:rsidR="002254F1">
        <w:rPr>
          <w:color w:val="auto"/>
        </w:rPr>
        <w:t>contracted</w:t>
      </w:r>
      <w:r w:rsidR="00896469">
        <w:rPr>
          <w:color w:val="auto"/>
        </w:rPr>
        <w:t xml:space="preserve"> </w:t>
      </w:r>
      <w:r w:rsidR="00B1559E">
        <w:rPr>
          <w:color w:val="auto"/>
        </w:rPr>
        <w:t>[Objectives 1 and 2]</w:t>
      </w:r>
    </w:p>
    <w:p w14:paraId="60BB2019" w14:textId="77777777" w:rsidR="00000A84" w:rsidRDefault="00000A84" w:rsidP="00E72008">
      <w:pPr>
        <w:jc w:val="both"/>
        <w:rPr>
          <w:color w:val="auto"/>
        </w:rPr>
      </w:pPr>
    </w:p>
    <w:p w14:paraId="63CBBF71" w14:textId="184640F8" w:rsidR="00000A84" w:rsidRDefault="00000A84" w:rsidP="00E72008">
      <w:pPr>
        <w:jc w:val="both"/>
        <w:rPr>
          <w:color w:val="auto"/>
        </w:rPr>
      </w:pPr>
      <w:r>
        <w:rPr>
          <w:color w:val="auto"/>
        </w:rPr>
        <w:t xml:space="preserve">Once Phase I is completed, and subject to the number of </w:t>
      </w:r>
      <w:r w:rsidR="00E72008">
        <w:rPr>
          <w:color w:val="auto"/>
        </w:rPr>
        <w:t xml:space="preserve">satisfactory </w:t>
      </w:r>
      <w:r>
        <w:rPr>
          <w:color w:val="auto"/>
        </w:rPr>
        <w:t>responses</w:t>
      </w:r>
      <w:r w:rsidR="00E72008">
        <w:rPr>
          <w:color w:val="auto"/>
        </w:rPr>
        <w:t xml:space="preserve">, </w:t>
      </w:r>
      <w:r w:rsidR="00671E06">
        <w:rPr>
          <w:color w:val="auto"/>
        </w:rPr>
        <w:t>TGP</w:t>
      </w:r>
      <w:r w:rsidR="00E314BE">
        <w:rPr>
          <w:color w:val="auto"/>
        </w:rPr>
        <w:t xml:space="preserve"> will initiate Phase II of this consultation.</w:t>
      </w:r>
    </w:p>
    <w:p w14:paraId="1E370B86" w14:textId="77777777" w:rsidR="00E314BE" w:rsidRDefault="00E314BE" w:rsidP="00E72008">
      <w:pPr>
        <w:jc w:val="both"/>
        <w:rPr>
          <w:color w:val="auto"/>
        </w:rPr>
      </w:pPr>
    </w:p>
    <w:p w14:paraId="67A59CCF" w14:textId="0F3E7165" w:rsidR="00E314BE" w:rsidRDefault="00E314BE" w:rsidP="00E72008">
      <w:pPr>
        <w:jc w:val="both"/>
        <w:rPr>
          <w:color w:val="auto"/>
        </w:rPr>
      </w:pPr>
      <w:r w:rsidRPr="00846E1F">
        <w:rPr>
          <w:b/>
          <w:bCs/>
          <w:color w:val="auto"/>
        </w:rPr>
        <w:t>Phase II</w:t>
      </w:r>
      <w:r>
        <w:rPr>
          <w:color w:val="auto"/>
        </w:rPr>
        <w:t xml:space="preserve"> will </w:t>
      </w:r>
      <w:r w:rsidR="00A10B1E">
        <w:rPr>
          <w:color w:val="auto"/>
        </w:rPr>
        <w:t>consist of a more in-depth conversation with the market, which may take the shape of an initial questionnaire follow</w:t>
      </w:r>
      <w:r w:rsidR="00235BB9">
        <w:rPr>
          <w:color w:val="auto"/>
        </w:rPr>
        <w:t>ed</w:t>
      </w:r>
      <w:r w:rsidR="00A10B1E">
        <w:rPr>
          <w:color w:val="auto"/>
        </w:rPr>
        <w:t xml:space="preserve"> by </w:t>
      </w:r>
      <w:r w:rsidR="00D441E4">
        <w:rPr>
          <w:color w:val="auto"/>
        </w:rPr>
        <w:t>one-to-one meetings</w:t>
      </w:r>
      <w:r w:rsidR="00AB3627">
        <w:rPr>
          <w:color w:val="auto"/>
        </w:rPr>
        <w:t xml:space="preserve"> if</w:t>
      </w:r>
      <w:r w:rsidR="0078757D">
        <w:rPr>
          <w:color w:val="auto"/>
        </w:rPr>
        <w:t xml:space="preserve"> deemed appropriate</w:t>
      </w:r>
      <w:r w:rsidR="00D441E4">
        <w:rPr>
          <w:color w:val="auto"/>
        </w:rPr>
        <w:t xml:space="preserve">. </w:t>
      </w:r>
      <w:r w:rsidR="008F5E3A">
        <w:rPr>
          <w:color w:val="auto"/>
        </w:rPr>
        <w:t xml:space="preserve">This phase will only take place if there are </w:t>
      </w:r>
      <w:r w:rsidR="007352E4">
        <w:rPr>
          <w:color w:val="auto"/>
        </w:rPr>
        <w:t xml:space="preserve">enough satisfactory answers to Phase I. </w:t>
      </w:r>
    </w:p>
    <w:p w14:paraId="4068F8D1" w14:textId="77777777" w:rsidR="00BE370E" w:rsidRDefault="00BE370E" w:rsidP="00DB2FE7">
      <w:pPr>
        <w:rPr>
          <w:b/>
          <w:color w:val="76923C" w:themeColor="accent3" w:themeShade="BF"/>
          <w:sz w:val="24"/>
          <w:szCs w:val="24"/>
        </w:rPr>
      </w:pPr>
    </w:p>
    <w:p w14:paraId="21349239" w14:textId="77777777" w:rsidR="00BE370E" w:rsidRDefault="00BE370E" w:rsidP="00DB2FE7">
      <w:pPr>
        <w:rPr>
          <w:b/>
          <w:color w:val="76923C" w:themeColor="accent3" w:themeShade="BF"/>
          <w:sz w:val="24"/>
          <w:szCs w:val="24"/>
        </w:rPr>
      </w:pPr>
    </w:p>
    <w:p w14:paraId="4AE75CF8" w14:textId="242E0859" w:rsidR="00056185" w:rsidRDefault="00EE4D8E" w:rsidP="00DB2FE7">
      <w:pPr>
        <w:rPr>
          <w:b/>
          <w:color w:val="76923C" w:themeColor="accent3" w:themeShade="BF"/>
          <w:sz w:val="24"/>
          <w:szCs w:val="24"/>
        </w:rPr>
      </w:pPr>
      <w:r w:rsidRPr="00F32A02">
        <w:rPr>
          <w:b/>
          <w:color w:val="76923C" w:themeColor="accent3" w:themeShade="BF"/>
          <w:sz w:val="24"/>
          <w:szCs w:val="24"/>
        </w:rPr>
        <w:t>OVERVIEW OF THE GUINNESS PARTNERSHIP LIMITED</w:t>
      </w:r>
    </w:p>
    <w:p w14:paraId="6A263493" w14:textId="77777777" w:rsidR="0067272D" w:rsidRDefault="0067272D" w:rsidP="00DB2FE7">
      <w:pPr>
        <w:rPr>
          <w:b/>
          <w:color w:val="76923C" w:themeColor="accent3" w:themeShade="BF"/>
          <w:sz w:val="24"/>
          <w:szCs w:val="24"/>
        </w:rPr>
      </w:pPr>
    </w:p>
    <w:tbl>
      <w:tblPr>
        <w:tblW w:w="0" w:type="auto"/>
        <w:tblLook w:val="04A0" w:firstRow="1" w:lastRow="0" w:firstColumn="1" w:lastColumn="0" w:noHBand="0" w:noVBand="1"/>
      </w:tblPr>
      <w:tblGrid>
        <w:gridCol w:w="9473"/>
      </w:tblGrid>
      <w:tr w:rsidR="00F32A02" w:rsidRPr="00536F61" w14:paraId="3D406478" w14:textId="77777777" w:rsidTr="005D5DB4">
        <w:tc>
          <w:tcPr>
            <w:tcW w:w="9473" w:type="dxa"/>
          </w:tcPr>
          <w:p w14:paraId="28E670AF" w14:textId="595CB34B" w:rsidR="00F32A02" w:rsidRDefault="00F32A02" w:rsidP="00846E1F">
            <w:pPr>
              <w:jc w:val="both"/>
              <w:rPr>
                <w:lang w:val="en"/>
              </w:rPr>
            </w:pPr>
            <w:r w:rsidRPr="00BE0552">
              <w:rPr>
                <w:color w:val="auto"/>
              </w:rPr>
              <w:t xml:space="preserve">In 1890 philanthropist Sir Edward Cecil Guinness, the great grandson of the founder of the Guinness Brewery, donated £200,000 to set up The Guinness Trust in London. He wanted to help improve the lives of ordinary people, many of whom couldn’t afford decent homes. Today, The Guinness Partnership is </w:t>
            </w:r>
            <w:r w:rsidRPr="00BE0552">
              <w:rPr>
                <w:color w:val="auto"/>
                <w:lang w:val="en"/>
              </w:rPr>
              <w:t>one of the largest affordable housing and care providers in the country.</w:t>
            </w:r>
          </w:p>
          <w:p w14:paraId="2B7DB434" w14:textId="77777777" w:rsidR="00F32A02" w:rsidRDefault="00F32A02" w:rsidP="00846E1F">
            <w:pPr>
              <w:pStyle w:val="Default"/>
              <w:jc w:val="both"/>
              <w:rPr>
                <w:sz w:val="22"/>
                <w:szCs w:val="22"/>
                <w:lang w:val="en"/>
              </w:rPr>
            </w:pPr>
          </w:p>
          <w:p w14:paraId="10770570" w14:textId="77777777" w:rsidR="00F32A02" w:rsidRDefault="00F32A02" w:rsidP="00846E1F">
            <w:pPr>
              <w:pStyle w:val="Default"/>
              <w:jc w:val="both"/>
              <w:rPr>
                <w:sz w:val="22"/>
                <w:szCs w:val="22"/>
              </w:rPr>
            </w:pPr>
            <w:r w:rsidRPr="00536F61">
              <w:rPr>
                <w:sz w:val="22"/>
                <w:szCs w:val="22"/>
                <w:lang w:val="en"/>
              </w:rPr>
              <w:t xml:space="preserve">Our sense of purpose has not changed – we are here to improve people’s lives, and create possibilities for them. </w:t>
            </w:r>
            <w:r w:rsidRPr="00536F61">
              <w:rPr>
                <w:sz w:val="22"/>
                <w:szCs w:val="22"/>
              </w:rPr>
              <w:t xml:space="preserve">We do this by providing as many high quality new homes as possible and by providing great housing and care services: we are a customer service business. </w:t>
            </w:r>
          </w:p>
          <w:p w14:paraId="4118454C" w14:textId="77777777" w:rsidR="00F32A02" w:rsidRDefault="00F32A02" w:rsidP="00846E1F">
            <w:pPr>
              <w:pStyle w:val="Default"/>
              <w:jc w:val="both"/>
              <w:rPr>
                <w:sz w:val="22"/>
                <w:szCs w:val="22"/>
              </w:rPr>
            </w:pPr>
          </w:p>
          <w:p w14:paraId="26103EEA" w14:textId="77777777" w:rsidR="00135C7A" w:rsidRDefault="00F32A02" w:rsidP="00846E1F">
            <w:pPr>
              <w:pStyle w:val="Default"/>
              <w:jc w:val="both"/>
              <w:rPr>
                <w:sz w:val="22"/>
                <w:szCs w:val="22"/>
              </w:rPr>
            </w:pPr>
            <w:r w:rsidRPr="00536F61">
              <w:rPr>
                <w:sz w:val="22"/>
                <w:szCs w:val="22"/>
              </w:rPr>
              <w:t>We provide homes and housing services to around 6</w:t>
            </w:r>
            <w:r w:rsidR="00F84A77">
              <w:rPr>
                <w:sz w:val="22"/>
                <w:szCs w:val="22"/>
              </w:rPr>
              <w:t>5</w:t>
            </w:r>
            <w:r w:rsidRPr="00536F61">
              <w:rPr>
                <w:sz w:val="22"/>
                <w:szCs w:val="22"/>
              </w:rPr>
              <w:t>,000 h</w:t>
            </w:r>
            <w:r w:rsidR="00BB5E5B">
              <w:rPr>
                <w:sz w:val="22"/>
                <w:szCs w:val="22"/>
              </w:rPr>
              <w:t xml:space="preserve">omes across </w:t>
            </w:r>
            <w:r w:rsidR="00BB5E5B" w:rsidRPr="00BB5E5B">
              <w:rPr>
                <w:sz w:val="22"/>
                <w:szCs w:val="22"/>
              </w:rPr>
              <w:t>England, providing services for 120,000 customers and care services for 10,000 people</w:t>
            </w:r>
            <w:r w:rsidRPr="00536F61">
              <w:rPr>
                <w:sz w:val="22"/>
                <w:szCs w:val="22"/>
              </w:rPr>
              <w:t xml:space="preserve">. </w:t>
            </w:r>
            <w:r w:rsidR="00135C7A">
              <w:rPr>
                <w:sz w:val="22"/>
                <w:szCs w:val="22"/>
              </w:rPr>
              <w:t xml:space="preserve">The estimated total annual spend in Hard FM is circa £33M. </w:t>
            </w:r>
          </w:p>
          <w:p w14:paraId="5B274382" w14:textId="00F7309A" w:rsidR="00F32A02" w:rsidRDefault="00F32A02" w:rsidP="00846E1F">
            <w:pPr>
              <w:pStyle w:val="Default"/>
              <w:jc w:val="both"/>
              <w:rPr>
                <w:sz w:val="22"/>
                <w:szCs w:val="22"/>
              </w:rPr>
            </w:pPr>
            <w:r w:rsidRPr="00536F61">
              <w:rPr>
                <w:sz w:val="22"/>
                <w:szCs w:val="22"/>
              </w:rPr>
              <w:lastRenderedPageBreak/>
              <w:t xml:space="preserve">Our core activities comprise housing for social and affordable rent, affordable home ownership, housing for older people and a range of care services, including domiciliary and extra care, supported and retirement living. </w:t>
            </w:r>
          </w:p>
          <w:p w14:paraId="5CA07F87" w14:textId="63A4C77D" w:rsidR="008728D5" w:rsidRDefault="00790425" w:rsidP="00846E1F">
            <w:pPr>
              <w:pStyle w:val="Default"/>
              <w:jc w:val="both"/>
              <w:rPr>
                <w:sz w:val="22"/>
                <w:szCs w:val="22"/>
              </w:rPr>
            </w:pPr>
            <w:r>
              <w:rPr>
                <w:noProof/>
                <w:sz w:val="22"/>
                <w:szCs w:val="22"/>
              </w:rPr>
              <w:drawing>
                <wp:anchor distT="0" distB="0" distL="114300" distR="114300" simplePos="0" relativeHeight="251658240" behindDoc="0" locked="0" layoutInCell="1" allowOverlap="1" wp14:anchorId="514E0D77" wp14:editId="57C4DF79">
                  <wp:simplePos x="0" y="0"/>
                  <wp:positionH relativeFrom="column">
                    <wp:posOffset>1726870</wp:posOffset>
                  </wp:positionH>
                  <wp:positionV relativeFrom="paragraph">
                    <wp:posOffset>406</wp:posOffset>
                  </wp:positionV>
                  <wp:extent cx="2750140" cy="3035935"/>
                  <wp:effectExtent l="0" t="0" r="0" b="0"/>
                  <wp:wrapTight wrapText="bothSides">
                    <wp:wrapPolygon edited="0">
                      <wp:start x="0" y="0"/>
                      <wp:lineTo x="0" y="21415"/>
                      <wp:lineTo x="21400" y="21415"/>
                      <wp:lineTo x="21400" y="0"/>
                      <wp:lineTo x="0" y="0"/>
                    </wp:wrapPolygon>
                  </wp:wrapTight>
                  <wp:docPr id="451293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293766"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47274"/>
                          <a:stretch/>
                        </pic:blipFill>
                        <pic:spPr bwMode="auto">
                          <a:xfrm>
                            <a:off x="0" y="0"/>
                            <a:ext cx="2750140" cy="3035935"/>
                          </a:xfrm>
                          <a:prstGeom prst="rect">
                            <a:avLst/>
                          </a:prstGeom>
                          <a:ln>
                            <a:noFill/>
                          </a:ln>
                          <a:extLst>
                            <a:ext uri="{53640926-AAD7-44D8-BBD7-CCE9431645EC}">
                              <a14:shadowObscured xmlns:a14="http://schemas.microsoft.com/office/drawing/2010/main"/>
                            </a:ext>
                          </a:extLst>
                        </pic:spPr>
                      </pic:pic>
                    </a:graphicData>
                  </a:graphic>
                </wp:anchor>
              </w:drawing>
            </w:r>
          </w:p>
          <w:p w14:paraId="20482B04" w14:textId="780E9CDD" w:rsidR="000005CF" w:rsidRDefault="000005CF" w:rsidP="00846E1F">
            <w:pPr>
              <w:pStyle w:val="Default"/>
              <w:jc w:val="both"/>
              <w:rPr>
                <w:b/>
                <w:noProof/>
                <w:color w:val="879637"/>
              </w:rPr>
            </w:pPr>
          </w:p>
          <w:p w14:paraId="225625DA" w14:textId="38F294A7" w:rsidR="000005CF" w:rsidRDefault="000005CF" w:rsidP="00846E1F">
            <w:pPr>
              <w:pStyle w:val="Default"/>
              <w:jc w:val="both"/>
              <w:rPr>
                <w:b/>
                <w:noProof/>
                <w:color w:val="879637"/>
              </w:rPr>
            </w:pPr>
          </w:p>
          <w:p w14:paraId="64BCDAC9" w14:textId="555DF464" w:rsidR="000005CF" w:rsidRDefault="000005CF" w:rsidP="00846E1F">
            <w:pPr>
              <w:pStyle w:val="Default"/>
              <w:jc w:val="both"/>
              <w:rPr>
                <w:b/>
                <w:noProof/>
                <w:color w:val="879637"/>
              </w:rPr>
            </w:pPr>
          </w:p>
          <w:p w14:paraId="0A7ED5CC" w14:textId="77777777" w:rsidR="000005CF" w:rsidRDefault="000005CF" w:rsidP="00846E1F">
            <w:pPr>
              <w:pStyle w:val="Default"/>
              <w:jc w:val="both"/>
              <w:rPr>
                <w:b/>
                <w:noProof/>
                <w:color w:val="879637"/>
              </w:rPr>
            </w:pPr>
          </w:p>
          <w:p w14:paraId="33AA4640" w14:textId="6035497B" w:rsidR="000005CF" w:rsidRDefault="000005CF" w:rsidP="00846E1F">
            <w:pPr>
              <w:pStyle w:val="Default"/>
              <w:jc w:val="both"/>
              <w:rPr>
                <w:b/>
                <w:noProof/>
                <w:color w:val="879637"/>
              </w:rPr>
            </w:pPr>
          </w:p>
          <w:p w14:paraId="2991AA41" w14:textId="139A28DC" w:rsidR="000005CF" w:rsidRDefault="000005CF" w:rsidP="00846E1F">
            <w:pPr>
              <w:pStyle w:val="Default"/>
              <w:jc w:val="both"/>
              <w:rPr>
                <w:sz w:val="22"/>
                <w:szCs w:val="22"/>
              </w:rPr>
            </w:pPr>
          </w:p>
          <w:p w14:paraId="0379159C" w14:textId="086F35D7" w:rsidR="000005CF" w:rsidRDefault="000005CF" w:rsidP="00846E1F">
            <w:pPr>
              <w:pStyle w:val="Default"/>
              <w:jc w:val="both"/>
              <w:rPr>
                <w:sz w:val="22"/>
                <w:szCs w:val="22"/>
              </w:rPr>
            </w:pPr>
          </w:p>
          <w:p w14:paraId="1CC0B895" w14:textId="77777777" w:rsidR="000005CF" w:rsidRDefault="000005CF" w:rsidP="00846E1F">
            <w:pPr>
              <w:pStyle w:val="Default"/>
              <w:jc w:val="both"/>
              <w:rPr>
                <w:sz w:val="22"/>
                <w:szCs w:val="22"/>
              </w:rPr>
            </w:pPr>
          </w:p>
          <w:p w14:paraId="4DAB47FF" w14:textId="77777777" w:rsidR="000005CF" w:rsidRDefault="000005CF" w:rsidP="00846E1F">
            <w:pPr>
              <w:pStyle w:val="Default"/>
              <w:jc w:val="both"/>
              <w:rPr>
                <w:sz w:val="22"/>
                <w:szCs w:val="22"/>
              </w:rPr>
            </w:pPr>
          </w:p>
          <w:p w14:paraId="5916DD95" w14:textId="22A42DB6" w:rsidR="008728D5" w:rsidRDefault="008728D5" w:rsidP="00846E1F">
            <w:pPr>
              <w:pStyle w:val="Default"/>
              <w:jc w:val="both"/>
              <w:rPr>
                <w:sz w:val="22"/>
                <w:szCs w:val="22"/>
              </w:rPr>
            </w:pPr>
          </w:p>
          <w:p w14:paraId="66F1D7B2" w14:textId="1277088E" w:rsidR="008728D5" w:rsidRDefault="008728D5" w:rsidP="00846E1F">
            <w:pPr>
              <w:pStyle w:val="Default"/>
              <w:jc w:val="both"/>
              <w:rPr>
                <w:sz w:val="22"/>
                <w:szCs w:val="22"/>
              </w:rPr>
            </w:pPr>
          </w:p>
          <w:p w14:paraId="208951B1" w14:textId="77A43993" w:rsidR="008728D5" w:rsidRDefault="008728D5" w:rsidP="00846E1F">
            <w:pPr>
              <w:pStyle w:val="Default"/>
              <w:jc w:val="both"/>
              <w:rPr>
                <w:sz w:val="22"/>
                <w:szCs w:val="22"/>
              </w:rPr>
            </w:pPr>
          </w:p>
          <w:p w14:paraId="0A3C9D3E" w14:textId="2F104838" w:rsidR="00FC11A5" w:rsidRDefault="00FC11A5" w:rsidP="00846E1F">
            <w:pPr>
              <w:pStyle w:val="Default"/>
              <w:jc w:val="both"/>
              <w:rPr>
                <w:sz w:val="22"/>
                <w:szCs w:val="22"/>
              </w:rPr>
            </w:pPr>
          </w:p>
          <w:p w14:paraId="1545BFC7" w14:textId="77777777" w:rsidR="000005CF" w:rsidRDefault="000005CF" w:rsidP="00846E1F">
            <w:pPr>
              <w:pStyle w:val="Default"/>
              <w:jc w:val="both"/>
              <w:rPr>
                <w:sz w:val="22"/>
                <w:szCs w:val="22"/>
              </w:rPr>
            </w:pPr>
          </w:p>
          <w:p w14:paraId="002B70AF" w14:textId="77777777" w:rsidR="000005CF" w:rsidRDefault="000005CF" w:rsidP="00846E1F">
            <w:pPr>
              <w:pStyle w:val="Default"/>
              <w:jc w:val="both"/>
              <w:rPr>
                <w:sz w:val="22"/>
                <w:szCs w:val="22"/>
              </w:rPr>
            </w:pPr>
          </w:p>
          <w:p w14:paraId="04FD7873" w14:textId="77777777" w:rsidR="000005CF" w:rsidRDefault="000005CF" w:rsidP="00846E1F">
            <w:pPr>
              <w:pStyle w:val="Default"/>
              <w:jc w:val="both"/>
              <w:rPr>
                <w:sz w:val="22"/>
                <w:szCs w:val="22"/>
              </w:rPr>
            </w:pPr>
          </w:p>
          <w:p w14:paraId="7AD21CDE" w14:textId="77777777" w:rsidR="000005CF" w:rsidRDefault="000005CF" w:rsidP="00846E1F">
            <w:pPr>
              <w:pStyle w:val="Default"/>
              <w:jc w:val="both"/>
              <w:rPr>
                <w:sz w:val="22"/>
                <w:szCs w:val="22"/>
              </w:rPr>
            </w:pPr>
          </w:p>
          <w:p w14:paraId="4B8163E4" w14:textId="77777777" w:rsidR="000005CF" w:rsidRDefault="000005CF" w:rsidP="00846E1F">
            <w:pPr>
              <w:pStyle w:val="Default"/>
              <w:jc w:val="both"/>
              <w:rPr>
                <w:sz w:val="22"/>
                <w:szCs w:val="22"/>
              </w:rPr>
            </w:pPr>
          </w:p>
          <w:p w14:paraId="1F7E17F2" w14:textId="77777777" w:rsidR="000005CF" w:rsidRDefault="000005CF" w:rsidP="00846E1F">
            <w:pPr>
              <w:pStyle w:val="Default"/>
              <w:jc w:val="both"/>
              <w:rPr>
                <w:sz w:val="22"/>
                <w:szCs w:val="22"/>
              </w:rPr>
            </w:pPr>
          </w:p>
          <w:p w14:paraId="2307939F" w14:textId="2F71F022" w:rsidR="00FC11A5" w:rsidRDefault="00BD57B2" w:rsidP="00846E1F">
            <w:pPr>
              <w:pStyle w:val="Default"/>
              <w:jc w:val="both"/>
              <w:rPr>
                <w:sz w:val="22"/>
                <w:szCs w:val="22"/>
              </w:rPr>
            </w:pPr>
            <w:r>
              <w:rPr>
                <w:sz w:val="22"/>
                <w:szCs w:val="22"/>
              </w:rPr>
              <w:t>In particular, the</w:t>
            </w:r>
            <w:r w:rsidR="00FB0E60">
              <w:rPr>
                <w:sz w:val="22"/>
                <w:szCs w:val="22"/>
              </w:rPr>
              <w:t>re are more than 3,000</w:t>
            </w:r>
            <w:r>
              <w:rPr>
                <w:sz w:val="22"/>
                <w:szCs w:val="22"/>
              </w:rPr>
              <w:t xml:space="preserve"> blocks, which will require communal Hard FM services.</w:t>
            </w:r>
            <w:r w:rsidR="00300E0C">
              <w:rPr>
                <w:sz w:val="22"/>
                <w:szCs w:val="22"/>
              </w:rPr>
              <w:t xml:space="preserve"> </w:t>
            </w:r>
          </w:p>
          <w:p w14:paraId="0C55B656" w14:textId="17CD281B" w:rsidR="00F32A02" w:rsidRPr="00BE0552" w:rsidRDefault="00F32A02" w:rsidP="00846E1F">
            <w:pPr>
              <w:pStyle w:val="NormalWeb"/>
              <w:jc w:val="both"/>
              <w:rPr>
                <w:rFonts w:ascii="Arial" w:hAnsi="Arial" w:cs="Arial"/>
                <w:color w:val="auto"/>
                <w:sz w:val="22"/>
                <w:szCs w:val="19"/>
                <w:lang w:val="en"/>
              </w:rPr>
            </w:pPr>
            <w:r>
              <w:rPr>
                <w:rFonts w:ascii="Arial" w:hAnsi="Arial" w:cs="Arial"/>
                <w:color w:val="auto"/>
                <w:sz w:val="22"/>
                <w:szCs w:val="19"/>
                <w:lang w:val="en"/>
              </w:rPr>
              <w:t>O</w:t>
            </w:r>
            <w:r w:rsidRPr="00BE0552">
              <w:rPr>
                <w:rFonts w:ascii="Arial" w:hAnsi="Arial" w:cs="Arial"/>
                <w:color w:val="auto"/>
                <w:sz w:val="22"/>
                <w:szCs w:val="19"/>
                <w:lang w:val="en"/>
              </w:rPr>
              <w:t>ur activities are regulated by the Homes and Communities Agency (HCA) and the Care Quality Commission (CQC).</w:t>
            </w:r>
          </w:p>
          <w:p w14:paraId="4F40A821" w14:textId="23582B63" w:rsidR="00F32A02" w:rsidRPr="00BE0552" w:rsidRDefault="00F32A02" w:rsidP="00846E1F">
            <w:pPr>
              <w:jc w:val="both"/>
              <w:rPr>
                <w:color w:val="auto"/>
              </w:rPr>
            </w:pPr>
            <w:r w:rsidRPr="00BE0552">
              <w:rPr>
                <w:color w:val="auto"/>
              </w:rPr>
              <w:t xml:space="preserve">The Guinness Partnership Limited </w:t>
            </w:r>
            <w:r w:rsidR="00A253AC">
              <w:rPr>
                <w:color w:val="auto"/>
              </w:rPr>
              <w:t xml:space="preserve">(TGP) </w:t>
            </w:r>
            <w:r w:rsidRPr="00BE0552">
              <w:rPr>
                <w:color w:val="auto"/>
              </w:rPr>
              <w:t>is a charitable Community Benefit Society No. 31693R. registered in England and is a Registered Provider of Social Housing (No. 4729).</w:t>
            </w:r>
          </w:p>
          <w:p w14:paraId="7E7EDE3D" w14:textId="5FD13F23" w:rsidR="00F32A02" w:rsidRPr="00BE0552" w:rsidRDefault="00F32A02" w:rsidP="00846E1F">
            <w:pPr>
              <w:jc w:val="both"/>
              <w:rPr>
                <w:color w:val="auto"/>
              </w:rPr>
            </w:pPr>
          </w:p>
          <w:p w14:paraId="6420CBB6" w14:textId="77777777" w:rsidR="00F32A02" w:rsidRPr="00BE0552" w:rsidRDefault="00F32A02" w:rsidP="00846E1F">
            <w:pPr>
              <w:jc w:val="both"/>
              <w:rPr>
                <w:color w:val="auto"/>
              </w:rPr>
            </w:pPr>
            <w:r w:rsidRPr="00BE0552">
              <w:rPr>
                <w:color w:val="auto"/>
              </w:rPr>
              <w:t>Registered Office: 30 Brock Street, Regent’s Place, London NW1 3FG.</w:t>
            </w:r>
          </w:p>
          <w:p w14:paraId="5933E134" w14:textId="77777777" w:rsidR="00F32A02" w:rsidRPr="00BE0552" w:rsidRDefault="00F32A02" w:rsidP="00846E1F">
            <w:pPr>
              <w:jc w:val="both"/>
              <w:rPr>
                <w:color w:val="auto"/>
              </w:rPr>
            </w:pPr>
          </w:p>
          <w:p w14:paraId="36536ACC" w14:textId="77777777" w:rsidR="00F32A02" w:rsidRPr="00BE0552" w:rsidRDefault="00F32A02" w:rsidP="00846E1F">
            <w:pPr>
              <w:jc w:val="both"/>
              <w:rPr>
                <w:rStyle w:val="Hyperlink"/>
                <w:color w:val="auto"/>
              </w:rPr>
            </w:pPr>
            <w:r w:rsidRPr="00BE0552">
              <w:rPr>
                <w:color w:val="auto"/>
              </w:rPr>
              <w:t xml:space="preserve">More details about The Guinness Partnership are available on our web site: </w:t>
            </w:r>
            <w:hyperlink r:id="rId12" w:history="1">
              <w:r w:rsidRPr="00BE0552">
                <w:rPr>
                  <w:rStyle w:val="Hyperlink"/>
                  <w:color w:val="0070C0"/>
                </w:rPr>
                <w:t>www.guinnesspartnership.com</w:t>
              </w:r>
            </w:hyperlink>
          </w:p>
          <w:p w14:paraId="3934E4F5" w14:textId="742EAF9A" w:rsidR="00EE4D8E" w:rsidRPr="00536F61" w:rsidRDefault="00EE4D8E" w:rsidP="00846E1F">
            <w:pPr>
              <w:jc w:val="both"/>
              <w:rPr>
                <w:lang w:val="en"/>
              </w:rPr>
            </w:pPr>
          </w:p>
        </w:tc>
      </w:tr>
      <w:tr w:rsidR="000005CF" w:rsidRPr="00536F61" w14:paraId="3AE6D826" w14:textId="77777777" w:rsidTr="005D5DB4">
        <w:tc>
          <w:tcPr>
            <w:tcW w:w="9473" w:type="dxa"/>
          </w:tcPr>
          <w:p w14:paraId="42EDE13E" w14:textId="77777777" w:rsidR="000005CF" w:rsidRPr="00BE0552" w:rsidRDefault="000005CF" w:rsidP="00846E1F">
            <w:pPr>
              <w:jc w:val="both"/>
              <w:rPr>
                <w:color w:val="auto"/>
              </w:rPr>
            </w:pPr>
          </w:p>
        </w:tc>
      </w:tr>
    </w:tbl>
    <w:p w14:paraId="6A5B24C9" w14:textId="3FD03227" w:rsidR="00F32A02" w:rsidRDefault="00F32A02" w:rsidP="00075C10">
      <w:pPr>
        <w:rPr>
          <w:b/>
          <w:noProof/>
          <w:color w:val="879637"/>
          <w:sz w:val="24"/>
          <w:szCs w:val="24"/>
        </w:rPr>
      </w:pPr>
    </w:p>
    <w:p w14:paraId="459F2104" w14:textId="325026D5" w:rsidR="000D2FAE" w:rsidRDefault="00EE4D8E" w:rsidP="00075C10">
      <w:pPr>
        <w:rPr>
          <w:b/>
          <w:noProof/>
          <w:color w:val="879637"/>
          <w:sz w:val="24"/>
          <w:szCs w:val="24"/>
        </w:rPr>
      </w:pPr>
      <w:r>
        <w:rPr>
          <w:b/>
          <w:noProof/>
          <w:color w:val="879637"/>
          <w:sz w:val="24"/>
          <w:szCs w:val="24"/>
        </w:rPr>
        <w:t>HARD FACILITY MANAGEMENT OVERVIEW</w:t>
      </w:r>
      <w:r w:rsidR="008878BA">
        <w:rPr>
          <w:b/>
          <w:noProof/>
          <w:color w:val="879637"/>
          <w:sz w:val="24"/>
          <w:szCs w:val="24"/>
        </w:rPr>
        <w:tab/>
      </w:r>
    </w:p>
    <w:p w14:paraId="794153AC" w14:textId="77777777" w:rsidR="00EE4D8E" w:rsidRPr="000D2FAE" w:rsidRDefault="00EE4D8E" w:rsidP="00075C10">
      <w:pPr>
        <w:rPr>
          <w:b/>
          <w:noProof/>
          <w:color w:val="879637"/>
          <w:sz w:val="24"/>
          <w:szCs w:val="24"/>
        </w:rPr>
      </w:pPr>
    </w:p>
    <w:p w14:paraId="04C262CF" w14:textId="53B1F644" w:rsidR="00895A2F" w:rsidRDefault="00566C9E" w:rsidP="00EE4D8E">
      <w:pPr>
        <w:jc w:val="both"/>
        <w:rPr>
          <w:color w:val="000000"/>
        </w:rPr>
      </w:pPr>
      <w:r>
        <w:rPr>
          <w:color w:val="000000"/>
        </w:rPr>
        <w:t>T</w:t>
      </w:r>
      <w:r w:rsidR="00A253AC">
        <w:rPr>
          <w:color w:val="000000"/>
        </w:rPr>
        <w:t>GP</w:t>
      </w:r>
      <w:r>
        <w:rPr>
          <w:color w:val="000000"/>
        </w:rPr>
        <w:t xml:space="preserve"> </w:t>
      </w:r>
      <w:r w:rsidR="009055A7">
        <w:rPr>
          <w:color w:val="000000"/>
        </w:rPr>
        <w:t>are</w:t>
      </w:r>
      <w:r>
        <w:rPr>
          <w:color w:val="000000"/>
        </w:rPr>
        <w:t xml:space="preserve"> </w:t>
      </w:r>
      <w:r w:rsidR="003D0613">
        <w:rPr>
          <w:color w:val="000000"/>
        </w:rPr>
        <w:t>re</w:t>
      </w:r>
      <w:r w:rsidR="00610026">
        <w:rPr>
          <w:color w:val="000000"/>
        </w:rPr>
        <w:t>-</w:t>
      </w:r>
      <w:r>
        <w:rPr>
          <w:color w:val="000000"/>
        </w:rPr>
        <w:t xml:space="preserve">considering </w:t>
      </w:r>
      <w:r w:rsidR="00610026">
        <w:rPr>
          <w:color w:val="000000"/>
        </w:rPr>
        <w:t>the current outs</w:t>
      </w:r>
      <w:r>
        <w:rPr>
          <w:color w:val="000000"/>
        </w:rPr>
        <w:t xml:space="preserve">ource delivery </w:t>
      </w:r>
      <w:r w:rsidR="00610026">
        <w:rPr>
          <w:color w:val="000000"/>
        </w:rPr>
        <w:t>model for</w:t>
      </w:r>
      <w:r>
        <w:rPr>
          <w:color w:val="000000"/>
        </w:rPr>
        <w:t xml:space="preserve"> </w:t>
      </w:r>
      <w:r w:rsidR="00BB735D">
        <w:rPr>
          <w:color w:val="000000"/>
        </w:rPr>
        <w:t>H</w:t>
      </w:r>
      <w:r w:rsidR="00EE4D8E">
        <w:rPr>
          <w:color w:val="000000"/>
        </w:rPr>
        <w:t xml:space="preserve">ard FM services </w:t>
      </w:r>
      <w:r w:rsidR="00695D8B">
        <w:rPr>
          <w:color w:val="000000"/>
        </w:rPr>
        <w:t>in the</w:t>
      </w:r>
      <w:r w:rsidR="00BD57B2">
        <w:rPr>
          <w:color w:val="000000"/>
        </w:rPr>
        <w:t xml:space="preserve"> communal areas </w:t>
      </w:r>
      <w:r w:rsidR="00EE4D8E">
        <w:rPr>
          <w:color w:val="000000"/>
        </w:rPr>
        <w:t>across its property stock.</w:t>
      </w:r>
      <w:r w:rsidR="00BD57B2">
        <w:rPr>
          <w:color w:val="000000"/>
        </w:rPr>
        <w:t xml:space="preserve"> It is worth pointing out that</w:t>
      </w:r>
      <w:r w:rsidR="00EA29B1">
        <w:rPr>
          <w:color w:val="000000"/>
        </w:rPr>
        <w:t xml:space="preserve"> the initial scope of </w:t>
      </w:r>
      <w:r w:rsidR="00BD57B2">
        <w:rPr>
          <w:color w:val="000000"/>
        </w:rPr>
        <w:t xml:space="preserve"> this consultation does not include </w:t>
      </w:r>
      <w:r w:rsidR="00114F5E">
        <w:rPr>
          <w:color w:val="000000"/>
        </w:rPr>
        <w:t>services inside flats</w:t>
      </w:r>
      <w:r w:rsidR="00B9260A">
        <w:rPr>
          <w:color w:val="000000"/>
        </w:rPr>
        <w:t>, it is only in relation in the communal areas in residential properties.</w:t>
      </w:r>
      <w:r w:rsidR="00BA5084">
        <w:rPr>
          <w:color w:val="000000"/>
        </w:rPr>
        <w:t xml:space="preserve"> However, residential services may be discussed with prospect suppliers during Phase II.</w:t>
      </w:r>
    </w:p>
    <w:p w14:paraId="5C614C8F" w14:textId="77777777" w:rsidR="00BB735D" w:rsidRDefault="00BB735D" w:rsidP="00EE4D8E">
      <w:pPr>
        <w:jc w:val="both"/>
        <w:rPr>
          <w:color w:val="000000"/>
        </w:rPr>
      </w:pPr>
    </w:p>
    <w:p w14:paraId="22EDDCEA" w14:textId="27F34057" w:rsidR="00BB735D" w:rsidRDefault="00BB735D" w:rsidP="00EE4D8E">
      <w:pPr>
        <w:jc w:val="both"/>
        <w:rPr>
          <w:color w:val="000000"/>
        </w:rPr>
      </w:pPr>
      <w:r>
        <w:rPr>
          <w:color w:val="000000"/>
        </w:rPr>
        <w:t xml:space="preserve">Historically, Hard FM has been delivered by multiple </w:t>
      </w:r>
      <w:r w:rsidR="00EB057B">
        <w:rPr>
          <w:color w:val="000000"/>
        </w:rPr>
        <w:t xml:space="preserve">specialist suppliers for individual services such as domestic boilers, ventilation, </w:t>
      </w:r>
      <w:r w:rsidR="007D5392">
        <w:rPr>
          <w:color w:val="000000"/>
        </w:rPr>
        <w:t>electronic security systems, legionella, lifts, fire equi</w:t>
      </w:r>
      <w:r w:rsidR="00BB3E58">
        <w:rPr>
          <w:color w:val="000000"/>
        </w:rPr>
        <w:t xml:space="preserve">pment, etc. Most of these specialist contracts were </w:t>
      </w:r>
      <w:r w:rsidR="003C035F">
        <w:rPr>
          <w:color w:val="000000"/>
        </w:rPr>
        <w:t xml:space="preserve">further </w:t>
      </w:r>
      <w:r w:rsidR="00BB3E58">
        <w:rPr>
          <w:color w:val="000000"/>
        </w:rPr>
        <w:t xml:space="preserve">sub-divided into geographical lots, </w:t>
      </w:r>
      <w:r w:rsidR="003C035F">
        <w:rPr>
          <w:color w:val="000000"/>
        </w:rPr>
        <w:t>typically</w:t>
      </w:r>
      <w:r w:rsidR="00BB3E58">
        <w:rPr>
          <w:color w:val="000000"/>
        </w:rPr>
        <w:t xml:space="preserve"> </w:t>
      </w:r>
      <w:r w:rsidR="00CB1369">
        <w:rPr>
          <w:color w:val="000000"/>
        </w:rPr>
        <w:t>North, South and West.</w:t>
      </w:r>
    </w:p>
    <w:p w14:paraId="63CB369A" w14:textId="77777777" w:rsidR="00CA556F" w:rsidRDefault="00CA556F" w:rsidP="00EE4D8E">
      <w:pPr>
        <w:jc w:val="both"/>
        <w:rPr>
          <w:color w:val="000000"/>
        </w:rPr>
      </w:pPr>
    </w:p>
    <w:p w14:paraId="7C71BA68" w14:textId="6C80802F" w:rsidR="00CA556F" w:rsidRDefault="00CA556F" w:rsidP="00EE4D8E">
      <w:pPr>
        <w:jc w:val="both"/>
        <w:rPr>
          <w:color w:val="000000"/>
        </w:rPr>
      </w:pPr>
      <w:r>
        <w:rPr>
          <w:color w:val="000000"/>
        </w:rPr>
        <w:t xml:space="preserve">As most of the current </w:t>
      </w:r>
      <w:r w:rsidR="007F0F43">
        <w:rPr>
          <w:color w:val="000000"/>
        </w:rPr>
        <w:t>Hard FM</w:t>
      </w:r>
      <w:r>
        <w:rPr>
          <w:color w:val="000000"/>
        </w:rPr>
        <w:t xml:space="preserve"> contracts are expiring within the next 12 months,</w:t>
      </w:r>
      <w:r w:rsidR="00A253AC">
        <w:rPr>
          <w:color w:val="000000"/>
        </w:rPr>
        <w:t xml:space="preserve"> TGP would like to explore</w:t>
      </w:r>
      <w:r w:rsidR="00812779">
        <w:rPr>
          <w:color w:val="000000"/>
        </w:rPr>
        <w:t xml:space="preserve"> </w:t>
      </w:r>
      <w:r w:rsidR="00DC32BD">
        <w:rPr>
          <w:color w:val="000000"/>
        </w:rPr>
        <w:t xml:space="preserve">different </w:t>
      </w:r>
      <w:r w:rsidR="00C47E9A">
        <w:rPr>
          <w:color w:val="000000"/>
        </w:rPr>
        <w:t xml:space="preserve">outsourcing </w:t>
      </w:r>
      <w:r w:rsidR="00DC32BD">
        <w:rPr>
          <w:color w:val="000000"/>
        </w:rPr>
        <w:t>models.</w:t>
      </w:r>
      <w:r w:rsidR="0085640E">
        <w:rPr>
          <w:color w:val="000000"/>
        </w:rPr>
        <w:t xml:space="preserve"> </w:t>
      </w:r>
      <w:r w:rsidR="00DC32BD">
        <w:rPr>
          <w:color w:val="000000"/>
        </w:rPr>
        <w:t xml:space="preserve">The </w:t>
      </w:r>
      <w:r w:rsidR="00E9633D">
        <w:rPr>
          <w:color w:val="000000"/>
        </w:rPr>
        <w:t>typical models in the Hard FM industry are S</w:t>
      </w:r>
      <w:r w:rsidR="007E20A3">
        <w:rPr>
          <w:color w:val="000000"/>
        </w:rPr>
        <w:t xml:space="preserve">igle Services, Bundled Services or Total Hard FM. This consultation aims to attract suppliers </w:t>
      </w:r>
      <w:r w:rsidR="007F0F43">
        <w:rPr>
          <w:color w:val="000000"/>
        </w:rPr>
        <w:t xml:space="preserve">who can deliver either of these models and to </w:t>
      </w:r>
      <w:r w:rsidR="00300E0C">
        <w:rPr>
          <w:color w:val="000000"/>
        </w:rPr>
        <w:t>explore</w:t>
      </w:r>
      <w:r w:rsidR="007F0F43">
        <w:rPr>
          <w:color w:val="000000"/>
        </w:rPr>
        <w:t xml:space="preserve"> the pros and cons associated with each model.</w:t>
      </w:r>
    </w:p>
    <w:p w14:paraId="125B7920" w14:textId="77777777" w:rsidR="00C650B5" w:rsidRDefault="00C650B5" w:rsidP="00EE4D8E">
      <w:pPr>
        <w:jc w:val="both"/>
        <w:rPr>
          <w:color w:val="000000"/>
        </w:rPr>
      </w:pPr>
    </w:p>
    <w:p w14:paraId="15DCA092" w14:textId="77777777" w:rsidR="00D95774" w:rsidRDefault="00D95774" w:rsidP="00EE4D8E">
      <w:pPr>
        <w:jc w:val="both"/>
        <w:rPr>
          <w:color w:val="000000"/>
        </w:rPr>
      </w:pPr>
    </w:p>
    <w:p w14:paraId="05E7F348" w14:textId="7B326B75" w:rsidR="00D95774" w:rsidRDefault="00B70CAF" w:rsidP="00EE4D8E">
      <w:pPr>
        <w:jc w:val="both"/>
        <w:rPr>
          <w:color w:val="000000"/>
        </w:rPr>
      </w:pPr>
      <w:r>
        <w:rPr>
          <w:color w:val="000000"/>
        </w:rPr>
        <w:t>TGP would like</w:t>
      </w:r>
      <w:r w:rsidR="00895A2F">
        <w:rPr>
          <w:color w:val="000000"/>
        </w:rPr>
        <w:t xml:space="preserve"> to </w:t>
      </w:r>
      <w:r>
        <w:rPr>
          <w:color w:val="000000"/>
        </w:rPr>
        <w:t>adopt</w:t>
      </w:r>
      <w:r w:rsidR="00895A2F">
        <w:rPr>
          <w:color w:val="000000"/>
        </w:rPr>
        <w:t xml:space="preserve"> the most efficient and cost-effective manner possible. </w:t>
      </w:r>
      <w:r>
        <w:rPr>
          <w:color w:val="000000"/>
        </w:rPr>
        <w:t>The</w:t>
      </w:r>
      <w:r w:rsidR="00D95774">
        <w:rPr>
          <w:color w:val="000000"/>
        </w:rPr>
        <w:t xml:space="preserve"> overall objectives are to:</w:t>
      </w:r>
    </w:p>
    <w:p w14:paraId="2D330F8A" w14:textId="77777777" w:rsidR="00B70CAF" w:rsidRDefault="00B70CAF" w:rsidP="00EE4D8E">
      <w:pPr>
        <w:jc w:val="both"/>
        <w:rPr>
          <w:color w:val="000000"/>
        </w:rPr>
      </w:pPr>
    </w:p>
    <w:p w14:paraId="2E6CD3C5" w14:textId="77777777" w:rsidR="00895A2F" w:rsidRDefault="00D95774" w:rsidP="00EE4D8E">
      <w:pPr>
        <w:pStyle w:val="ListParagraph"/>
        <w:numPr>
          <w:ilvl w:val="0"/>
          <w:numId w:val="14"/>
        </w:numPr>
        <w:jc w:val="both"/>
        <w:rPr>
          <w:color w:val="000000"/>
        </w:rPr>
      </w:pPr>
      <w:r w:rsidRPr="00D95774">
        <w:rPr>
          <w:color w:val="000000"/>
        </w:rPr>
        <w:t>reduce spend, increase control, increas</w:t>
      </w:r>
      <w:r>
        <w:rPr>
          <w:color w:val="000000"/>
        </w:rPr>
        <w:t>e quality and ensure compliance</w:t>
      </w:r>
    </w:p>
    <w:p w14:paraId="2004F267" w14:textId="77777777" w:rsidR="00D95774" w:rsidRDefault="00D95774" w:rsidP="00EE4D8E">
      <w:pPr>
        <w:pStyle w:val="ListParagraph"/>
        <w:numPr>
          <w:ilvl w:val="0"/>
          <w:numId w:val="14"/>
        </w:numPr>
        <w:jc w:val="both"/>
        <w:rPr>
          <w:color w:val="000000"/>
        </w:rPr>
      </w:pPr>
      <w:r>
        <w:rPr>
          <w:color w:val="000000"/>
        </w:rPr>
        <w:t>leverage and maximise our buying power</w:t>
      </w:r>
    </w:p>
    <w:p w14:paraId="78D417FB" w14:textId="77777777" w:rsidR="00021F15" w:rsidRDefault="00021F15" w:rsidP="00EE4D8E">
      <w:pPr>
        <w:pStyle w:val="ListParagraph"/>
        <w:numPr>
          <w:ilvl w:val="0"/>
          <w:numId w:val="14"/>
        </w:numPr>
        <w:jc w:val="both"/>
        <w:rPr>
          <w:color w:val="000000"/>
        </w:rPr>
      </w:pPr>
      <w:r>
        <w:rPr>
          <w:color w:val="000000"/>
        </w:rPr>
        <w:t>incentivise good performance and maintain competitive pricing</w:t>
      </w:r>
    </w:p>
    <w:p w14:paraId="2CF3433D" w14:textId="69E98DE8" w:rsidR="0009723F" w:rsidRDefault="008D16CA" w:rsidP="00EE4D8E">
      <w:pPr>
        <w:pStyle w:val="ListParagraph"/>
        <w:numPr>
          <w:ilvl w:val="0"/>
          <w:numId w:val="14"/>
        </w:numPr>
        <w:jc w:val="both"/>
        <w:rPr>
          <w:color w:val="000000"/>
        </w:rPr>
      </w:pPr>
      <w:r>
        <w:rPr>
          <w:color w:val="000000"/>
        </w:rPr>
        <w:t>implement best practice and innovating ideas from other sectors</w:t>
      </w:r>
    </w:p>
    <w:p w14:paraId="214781E7" w14:textId="5C5E7107" w:rsidR="00021F15" w:rsidRDefault="00021F15" w:rsidP="00F32A02">
      <w:pPr>
        <w:rPr>
          <w:color w:val="000000"/>
        </w:rPr>
      </w:pPr>
    </w:p>
    <w:p w14:paraId="4F4F2EEB" w14:textId="5A9F9857" w:rsidR="000C4A04" w:rsidRDefault="000C4A04"/>
    <w:tbl>
      <w:tblPr>
        <w:tblW w:w="0" w:type="auto"/>
        <w:tblLook w:val="04A0" w:firstRow="1" w:lastRow="0" w:firstColumn="1" w:lastColumn="0" w:noHBand="0" w:noVBand="1"/>
      </w:tblPr>
      <w:tblGrid>
        <w:gridCol w:w="9980"/>
      </w:tblGrid>
      <w:tr w:rsidR="00566C9E" w:rsidRPr="00BE0552" w14:paraId="6F4121FB" w14:textId="77777777" w:rsidTr="00317E5C">
        <w:tc>
          <w:tcPr>
            <w:tcW w:w="10196" w:type="dxa"/>
          </w:tcPr>
          <w:p w14:paraId="2BC7C976" w14:textId="46665544" w:rsidR="00566C9E" w:rsidRDefault="00F32A02" w:rsidP="00566C9E">
            <w:pPr>
              <w:rPr>
                <w:color w:val="000000"/>
              </w:rPr>
            </w:pPr>
            <w:r>
              <w:rPr>
                <w:color w:val="000000"/>
              </w:rPr>
              <w:t xml:space="preserve">For reference, </w:t>
            </w:r>
            <w:r w:rsidR="000C4A04">
              <w:rPr>
                <w:color w:val="000000"/>
              </w:rPr>
              <w:t xml:space="preserve">an indication of </w:t>
            </w:r>
            <w:r w:rsidR="00575739">
              <w:rPr>
                <w:color w:val="000000"/>
              </w:rPr>
              <w:t>historic spend</w:t>
            </w:r>
            <w:r w:rsidR="000C4A04">
              <w:rPr>
                <w:color w:val="000000"/>
              </w:rPr>
              <w:t xml:space="preserve"> by </w:t>
            </w:r>
            <w:r w:rsidR="00CD1F0D">
              <w:rPr>
                <w:color w:val="000000"/>
              </w:rPr>
              <w:t>select</w:t>
            </w:r>
            <w:r w:rsidR="00722AFF">
              <w:rPr>
                <w:color w:val="000000"/>
              </w:rPr>
              <w:t>ed</w:t>
            </w:r>
            <w:r w:rsidR="00CD1F0D">
              <w:rPr>
                <w:color w:val="000000"/>
              </w:rPr>
              <w:t xml:space="preserve"> </w:t>
            </w:r>
            <w:r w:rsidR="008712E3">
              <w:rPr>
                <w:color w:val="000000"/>
              </w:rPr>
              <w:t xml:space="preserve">services </w:t>
            </w:r>
            <w:r w:rsidR="000C4A04">
              <w:rPr>
                <w:color w:val="000000"/>
              </w:rPr>
              <w:t xml:space="preserve">is set out below.  </w:t>
            </w:r>
          </w:p>
          <w:p w14:paraId="2A887069" w14:textId="77777777" w:rsidR="000C4A04" w:rsidRDefault="000C4A04" w:rsidP="00566C9E">
            <w:pPr>
              <w:rPr>
                <w:b/>
                <w:color w:val="000000"/>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268"/>
            </w:tblGrid>
            <w:tr w:rsidR="00083EBD" w:rsidRPr="00F2474D" w14:paraId="37ADE127" w14:textId="77777777" w:rsidTr="00083EBD">
              <w:trPr>
                <w:cantSplit/>
                <w:trHeight w:val="288"/>
                <w:tblHeader/>
              </w:trPr>
              <w:tc>
                <w:tcPr>
                  <w:tcW w:w="5557" w:type="dxa"/>
                  <w:shd w:val="clear" w:color="auto" w:fill="76923C" w:themeFill="accent3" w:themeFillShade="BF"/>
                  <w:noWrap/>
                  <w:vAlign w:val="center"/>
                </w:tcPr>
                <w:p w14:paraId="4F4D3CFE" w14:textId="77777777" w:rsidR="00083EBD" w:rsidRPr="00F2474D" w:rsidRDefault="00083EBD" w:rsidP="00317E5C">
                  <w:pPr>
                    <w:rPr>
                      <w:b/>
                      <w:bCs/>
                      <w:color w:val="FFFFFF" w:themeColor="background1"/>
                      <w:sz w:val="20"/>
                      <w:szCs w:val="20"/>
                    </w:rPr>
                  </w:pPr>
                  <w:r w:rsidRPr="00F2474D">
                    <w:rPr>
                      <w:b/>
                      <w:bCs/>
                      <w:color w:val="FFFFFF" w:themeColor="background1"/>
                      <w:sz w:val="20"/>
                      <w:szCs w:val="20"/>
                    </w:rPr>
                    <w:t xml:space="preserve"> Component</w:t>
                  </w:r>
                </w:p>
              </w:tc>
              <w:tc>
                <w:tcPr>
                  <w:tcW w:w="2268" w:type="dxa"/>
                  <w:shd w:val="clear" w:color="auto" w:fill="76923C" w:themeFill="accent3" w:themeFillShade="BF"/>
                  <w:vAlign w:val="center"/>
                </w:tcPr>
                <w:p w14:paraId="6129B5BC" w14:textId="6A105C1A" w:rsidR="00083EBD" w:rsidRPr="00F2474D" w:rsidRDefault="00745764" w:rsidP="00317E5C">
                  <w:pPr>
                    <w:jc w:val="center"/>
                    <w:rPr>
                      <w:b/>
                      <w:color w:val="FFFFFF" w:themeColor="background1"/>
                      <w:sz w:val="20"/>
                      <w:szCs w:val="20"/>
                    </w:rPr>
                  </w:pPr>
                  <w:r>
                    <w:rPr>
                      <w:b/>
                      <w:color w:val="FFFFFF" w:themeColor="background1"/>
                      <w:sz w:val="20"/>
                      <w:szCs w:val="20"/>
                    </w:rPr>
                    <w:t>Estimated</w:t>
                  </w:r>
                  <w:r w:rsidR="00083EBD" w:rsidRPr="00F2474D">
                    <w:rPr>
                      <w:b/>
                      <w:color w:val="FFFFFF" w:themeColor="background1"/>
                      <w:sz w:val="20"/>
                      <w:szCs w:val="20"/>
                    </w:rPr>
                    <w:t xml:space="preserve"> Spend</w:t>
                  </w:r>
                </w:p>
              </w:tc>
            </w:tr>
            <w:tr w:rsidR="00415AED" w:rsidRPr="004A13CF" w14:paraId="143347AD" w14:textId="77777777" w:rsidTr="00D95DB1">
              <w:trPr>
                <w:cantSplit/>
                <w:trHeight w:val="288"/>
              </w:trPr>
              <w:tc>
                <w:tcPr>
                  <w:tcW w:w="5557" w:type="dxa"/>
                  <w:shd w:val="clear" w:color="auto" w:fill="auto"/>
                  <w:noWrap/>
                  <w:vAlign w:val="center"/>
                </w:tcPr>
                <w:p w14:paraId="24A37288" w14:textId="22D2602B" w:rsidR="00415AED" w:rsidRPr="000C4A04" w:rsidRDefault="00586085" w:rsidP="00415AED">
                  <w:pPr>
                    <w:rPr>
                      <w:color w:val="auto"/>
                      <w:sz w:val="20"/>
                      <w:szCs w:val="20"/>
                    </w:rPr>
                  </w:pPr>
                  <w:r>
                    <w:t xml:space="preserve">AC and </w:t>
                  </w:r>
                  <w:r w:rsidR="00415AED">
                    <w:t>Ventilation Systems</w:t>
                  </w:r>
                </w:p>
              </w:tc>
              <w:tc>
                <w:tcPr>
                  <w:tcW w:w="2268" w:type="dxa"/>
                  <w:vAlign w:val="center"/>
                </w:tcPr>
                <w:p w14:paraId="2D6D8B52" w14:textId="75D4CF5C" w:rsidR="00415AED" w:rsidRPr="000C4A04" w:rsidRDefault="00415AED" w:rsidP="00415AED">
                  <w:pPr>
                    <w:jc w:val="center"/>
                    <w:rPr>
                      <w:color w:val="auto"/>
                      <w:sz w:val="20"/>
                      <w:szCs w:val="20"/>
                    </w:rPr>
                  </w:pPr>
                  <w:r>
                    <w:rPr>
                      <w:bCs/>
                    </w:rPr>
                    <w:t>£</w:t>
                  </w:r>
                  <w:r w:rsidR="00BC7CF0">
                    <w:rPr>
                      <w:bCs/>
                    </w:rPr>
                    <w:t>50</w:t>
                  </w:r>
                  <w:r>
                    <w:rPr>
                      <w:bCs/>
                    </w:rPr>
                    <w:t>,000</w:t>
                  </w:r>
                </w:p>
              </w:tc>
            </w:tr>
            <w:tr w:rsidR="00415AED" w:rsidRPr="004A13CF" w14:paraId="3706F1BC" w14:textId="77777777" w:rsidTr="00D95DB1">
              <w:trPr>
                <w:cantSplit/>
                <w:trHeight w:val="288"/>
              </w:trPr>
              <w:tc>
                <w:tcPr>
                  <w:tcW w:w="5557" w:type="dxa"/>
                  <w:shd w:val="clear" w:color="auto" w:fill="auto"/>
                  <w:noWrap/>
                  <w:vAlign w:val="center"/>
                </w:tcPr>
                <w:p w14:paraId="0E517A9D" w14:textId="184BE033" w:rsidR="00415AED" w:rsidRPr="000C4A04" w:rsidRDefault="00415AED" w:rsidP="00415AED">
                  <w:pPr>
                    <w:rPr>
                      <w:color w:val="auto"/>
                      <w:sz w:val="20"/>
                      <w:szCs w:val="20"/>
                    </w:rPr>
                  </w:pPr>
                  <w:r>
                    <w:t>Asbestos Abatement</w:t>
                  </w:r>
                </w:p>
              </w:tc>
              <w:tc>
                <w:tcPr>
                  <w:tcW w:w="2268" w:type="dxa"/>
                  <w:vAlign w:val="center"/>
                </w:tcPr>
                <w:p w14:paraId="66D98671" w14:textId="1AEFACC1" w:rsidR="00415AED" w:rsidRPr="000C4A04" w:rsidRDefault="00415AED" w:rsidP="00415AED">
                  <w:pPr>
                    <w:jc w:val="center"/>
                    <w:rPr>
                      <w:color w:val="auto"/>
                      <w:sz w:val="20"/>
                      <w:szCs w:val="20"/>
                    </w:rPr>
                  </w:pPr>
                  <w:r>
                    <w:rPr>
                      <w:bCs/>
                    </w:rPr>
                    <w:t>£</w:t>
                  </w:r>
                  <w:r w:rsidR="00AF7B1D">
                    <w:rPr>
                      <w:bCs/>
                    </w:rPr>
                    <w:t>7</w:t>
                  </w:r>
                  <w:r>
                    <w:rPr>
                      <w:bCs/>
                    </w:rPr>
                    <w:t>00,000</w:t>
                  </w:r>
                </w:p>
              </w:tc>
            </w:tr>
            <w:tr w:rsidR="00415AED" w:rsidRPr="004A13CF" w14:paraId="2C90F543" w14:textId="77777777" w:rsidTr="00D95DB1">
              <w:trPr>
                <w:cantSplit/>
                <w:trHeight w:val="288"/>
              </w:trPr>
              <w:tc>
                <w:tcPr>
                  <w:tcW w:w="5557" w:type="dxa"/>
                  <w:shd w:val="clear" w:color="auto" w:fill="auto"/>
                  <w:noWrap/>
                  <w:vAlign w:val="center"/>
                </w:tcPr>
                <w:p w14:paraId="207495C3" w14:textId="3212C62C" w:rsidR="00415AED" w:rsidRPr="000C4A04" w:rsidRDefault="00415AED" w:rsidP="00415AED">
                  <w:pPr>
                    <w:rPr>
                      <w:color w:val="auto"/>
                      <w:sz w:val="20"/>
                      <w:szCs w:val="20"/>
                    </w:rPr>
                  </w:pPr>
                  <w:r>
                    <w:t>Asbestos Surveys</w:t>
                  </w:r>
                </w:p>
              </w:tc>
              <w:tc>
                <w:tcPr>
                  <w:tcW w:w="2268" w:type="dxa"/>
                  <w:vAlign w:val="center"/>
                </w:tcPr>
                <w:p w14:paraId="33A212DD" w14:textId="7ED5D566" w:rsidR="00415AED" w:rsidRPr="000C4A04" w:rsidRDefault="00415AED" w:rsidP="00415AED">
                  <w:pPr>
                    <w:jc w:val="center"/>
                    <w:rPr>
                      <w:color w:val="auto"/>
                      <w:sz w:val="20"/>
                      <w:szCs w:val="20"/>
                    </w:rPr>
                  </w:pPr>
                  <w:r>
                    <w:rPr>
                      <w:bCs/>
                    </w:rPr>
                    <w:t>£</w:t>
                  </w:r>
                  <w:r w:rsidR="00AF7B1D">
                    <w:rPr>
                      <w:bCs/>
                    </w:rPr>
                    <w:t>65</w:t>
                  </w:r>
                  <w:r>
                    <w:rPr>
                      <w:bCs/>
                    </w:rPr>
                    <w:t>0,000</w:t>
                  </w:r>
                </w:p>
              </w:tc>
            </w:tr>
            <w:tr w:rsidR="00415AED" w:rsidRPr="004A13CF" w14:paraId="659B2C62" w14:textId="77777777" w:rsidTr="00D95DB1">
              <w:trPr>
                <w:cantSplit/>
                <w:trHeight w:val="288"/>
              </w:trPr>
              <w:tc>
                <w:tcPr>
                  <w:tcW w:w="5557" w:type="dxa"/>
                  <w:shd w:val="clear" w:color="auto" w:fill="auto"/>
                  <w:noWrap/>
                  <w:vAlign w:val="center"/>
                </w:tcPr>
                <w:p w14:paraId="501DE601" w14:textId="3C284D12" w:rsidR="00415AED" w:rsidRPr="000C4A04" w:rsidRDefault="00415AED" w:rsidP="00415AED">
                  <w:pPr>
                    <w:rPr>
                      <w:color w:val="auto"/>
                      <w:sz w:val="20"/>
                      <w:szCs w:val="20"/>
                    </w:rPr>
                  </w:pPr>
                  <w:r>
                    <w:t>Electronic Security Systems</w:t>
                  </w:r>
                </w:p>
              </w:tc>
              <w:tc>
                <w:tcPr>
                  <w:tcW w:w="2268" w:type="dxa"/>
                  <w:vAlign w:val="center"/>
                </w:tcPr>
                <w:p w14:paraId="260D85F6" w14:textId="107B6783" w:rsidR="00415AED" w:rsidRPr="000C4A04" w:rsidRDefault="00415AED" w:rsidP="00415AED">
                  <w:pPr>
                    <w:jc w:val="center"/>
                    <w:rPr>
                      <w:color w:val="auto"/>
                      <w:sz w:val="20"/>
                      <w:szCs w:val="20"/>
                    </w:rPr>
                  </w:pPr>
                  <w:r>
                    <w:rPr>
                      <w:bCs/>
                    </w:rPr>
                    <w:t>£</w:t>
                  </w:r>
                  <w:r w:rsidR="0015463B">
                    <w:rPr>
                      <w:bCs/>
                    </w:rPr>
                    <w:t>2,2</w:t>
                  </w:r>
                  <w:r>
                    <w:rPr>
                      <w:bCs/>
                    </w:rPr>
                    <w:t>00,000</w:t>
                  </w:r>
                </w:p>
              </w:tc>
            </w:tr>
            <w:tr w:rsidR="00415AED" w:rsidRPr="004A13CF" w14:paraId="5FBD6FA4" w14:textId="77777777" w:rsidTr="00D95DB1">
              <w:trPr>
                <w:cantSplit/>
                <w:trHeight w:val="288"/>
              </w:trPr>
              <w:tc>
                <w:tcPr>
                  <w:tcW w:w="5557" w:type="dxa"/>
                  <w:shd w:val="clear" w:color="auto" w:fill="auto"/>
                  <w:noWrap/>
                  <w:vAlign w:val="center"/>
                </w:tcPr>
                <w:p w14:paraId="0D02A883" w14:textId="19EA3CB8" w:rsidR="00415AED" w:rsidRPr="000C4A04" w:rsidRDefault="00415AED" w:rsidP="00415AED">
                  <w:pPr>
                    <w:rPr>
                      <w:color w:val="auto"/>
                      <w:sz w:val="20"/>
                      <w:szCs w:val="20"/>
                    </w:rPr>
                  </w:pPr>
                  <w:r>
                    <w:t>Electrical Testing</w:t>
                  </w:r>
                </w:p>
              </w:tc>
              <w:tc>
                <w:tcPr>
                  <w:tcW w:w="2268" w:type="dxa"/>
                  <w:vAlign w:val="center"/>
                </w:tcPr>
                <w:p w14:paraId="3A075533" w14:textId="4A2827AC" w:rsidR="00415AED" w:rsidRPr="000C4A04" w:rsidRDefault="00415AED" w:rsidP="00415AED">
                  <w:pPr>
                    <w:jc w:val="center"/>
                    <w:rPr>
                      <w:color w:val="auto"/>
                      <w:sz w:val="20"/>
                      <w:szCs w:val="20"/>
                    </w:rPr>
                  </w:pPr>
                  <w:r>
                    <w:rPr>
                      <w:bCs/>
                    </w:rPr>
                    <w:t>£2,400,000</w:t>
                  </w:r>
                </w:p>
              </w:tc>
            </w:tr>
            <w:tr w:rsidR="00415AED" w:rsidRPr="004A13CF" w14:paraId="4403AEA3" w14:textId="77777777" w:rsidTr="00D95DB1">
              <w:trPr>
                <w:cantSplit/>
                <w:trHeight w:val="288"/>
              </w:trPr>
              <w:tc>
                <w:tcPr>
                  <w:tcW w:w="5557" w:type="dxa"/>
                  <w:shd w:val="clear" w:color="auto" w:fill="auto"/>
                  <w:noWrap/>
                  <w:vAlign w:val="center"/>
                </w:tcPr>
                <w:p w14:paraId="2B624955" w14:textId="2E635C19" w:rsidR="00415AED" w:rsidRPr="000C4A04" w:rsidRDefault="00415AED" w:rsidP="00415AED">
                  <w:pPr>
                    <w:rPr>
                      <w:color w:val="auto"/>
                      <w:sz w:val="20"/>
                      <w:szCs w:val="20"/>
                    </w:rPr>
                  </w:pPr>
                  <w:r w:rsidRPr="00863ACB">
                    <w:t xml:space="preserve">Lightning Protection and Working at Heights </w:t>
                  </w:r>
                </w:p>
              </w:tc>
              <w:tc>
                <w:tcPr>
                  <w:tcW w:w="2268" w:type="dxa"/>
                  <w:vAlign w:val="center"/>
                </w:tcPr>
                <w:p w14:paraId="74A4072F" w14:textId="34D0F0FE" w:rsidR="00415AED" w:rsidRPr="000C4A04" w:rsidRDefault="00415AED" w:rsidP="00415AED">
                  <w:pPr>
                    <w:jc w:val="center"/>
                    <w:rPr>
                      <w:color w:val="auto"/>
                      <w:sz w:val="20"/>
                      <w:szCs w:val="20"/>
                    </w:rPr>
                  </w:pPr>
                  <w:r>
                    <w:rPr>
                      <w:bCs/>
                    </w:rPr>
                    <w:t>£290,000</w:t>
                  </w:r>
                </w:p>
              </w:tc>
            </w:tr>
            <w:tr w:rsidR="00415AED" w:rsidRPr="004A13CF" w14:paraId="07AF0E1F" w14:textId="77777777" w:rsidTr="00D95DB1">
              <w:trPr>
                <w:cantSplit/>
                <w:trHeight w:val="288"/>
              </w:trPr>
              <w:tc>
                <w:tcPr>
                  <w:tcW w:w="5557" w:type="dxa"/>
                  <w:shd w:val="clear" w:color="auto" w:fill="auto"/>
                  <w:noWrap/>
                  <w:vAlign w:val="center"/>
                </w:tcPr>
                <w:p w14:paraId="24E1197D" w14:textId="5336DB67" w:rsidR="00415AED" w:rsidRPr="000C4A04" w:rsidRDefault="00415AED" w:rsidP="00415AED">
                  <w:pPr>
                    <w:rPr>
                      <w:color w:val="auto"/>
                      <w:sz w:val="20"/>
                      <w:szCs w:val="20"/>
                    </w:rPr>
                  </w:pPr>
                  <w:r>
                    <w:t>FRA (surveys)</w:t>
                  </w:r>
                </w:p>
              </w:tc>
              <w:tc>
                <w:tcPr>
                  <w:tcW w:w="2268" w:type="dxa"/>
                  <w:vAlign w:val="center"/>
                </w:tcPr>
                <w:p w14:paraId="6A9B9BDC" w14:textId="3696E184" w:rsidR="00415AED" w:rsidRPr="000C4A04" w:rsidRDefault="00415AED" w:rsidP="00415AED">
                  <w:pPr>
                    <w:jc w:val="center"/>
                    <w:rPr>
                      <w:color w:val="auto"/>
                      <w:sz w:val="20"/>
                      <w:szCs w:val="20"/>
                    </w:rPr>
                  </w:pPr>
                  <w:r>
                    <w:rPr>
                      <w:bCs/>
                    </w:rPr>
                    <w:t>£1,</w:t>
                  </w:r>
                  <w:r w:rsidR="00F17787">
                    <w:rPr>
                      <w:bCs/>
                    </w:rPr>
                    <w:t>7</w:t>
                  </w:r>
                  <w:r>
                    <w:rPr>
                      <w:bCs/>
                    </w:rPr>
                    <w:t>00,000</w:t>
                  </w:r>
                </w:p>
              </w:tc>
            </w:tr>
            <w:tr w:rsidR="00415AED" w:rsidRPr="004A13CF" w14:paraId="5CBEAE95" w14:textId="77777777" w:rsidTr="00D95DB1">
              <w:trPr>
                <w:cantSplit/>
                <w:trHeight w:val="288"/>
              </w:trPr>
              <w:tc>
                <w:tcPr>
                  <w:tcW w:w="5557" w:type="dxa"/>
                  <w:shd w:val="clear" w:color="auto" w:fill="auto"/>
                  <w:noWrap/>
                  <w:vAlign w:val="center"/>
                </w:tcPr>
                <w:p w14:paraId="3656DB0B" w14:textId="7D35A689" w:rsidR="00415AED" w:rsidRPr="000C4A04" w:rsidRDefault="00415AED" w:rsidP="00415AED">
                  <w:pPr>
                    <w:rPr>
                      <w:color w:val="auto"/>
                      <w:sz w:val="20"/>
                      <w:szCs w:val="20"/>
                    </w:rPr>
                  </w:pPr>
                  <w:r>
                    <w:t>Fire Equipment Maintenance</w:t>
                  </w:r>
                </w:p>
              </w:tc>
              <w:tc>
                <w:tcPr>
                  <w:tcW w:w="2268" w:type="dxa"/>
                  <w:vAlign w:val="center"/>
                </w:tcPr>
                <w:p w14:paraId="3D1E0AF0" w14:textId="7E1BDEC8" w:rsidR="00415AED" w:rsidRPr="000C4A04" w:rsidRDefault="00415AED" w:rsidP="00415AED">
                  <w:pPr>
                    <w:jc w:val="center"/>
                    <w:rPr>
                      <w:color w:val="auto"/>
                      <w:sz w:val="20"/>
                      <w:szCs w:val="20"/>
                    </w:rPr>
                  </w:pPr>
                  <w:r>
                    <w:rPr>
                      <w:bCs/>
                    </w:rPr>
                    <w:t>£</w:t>
                  </w:r>
                  <w:r w:rsidR="00880C9A">
                    <w:rPr>
                      <w:bCs/>
                    </w:rPr>
                    <w:t>2,3</w:t>
                  </w:r>
                  <w:r>
                    <w:rPr>
                      <w:bCs/>
                    </w:rPr>
                    <w:t>00,000</w:t>
                  </w:r>
                </w:p>
              </w:tc>
            </w:tr>
            <w:tr w:rsidR="00415AED" w:rsidRPr="004A13CF" w14:paraId="7FA71A71" w14:textId="77777777" w:rsidTr="00D95DB1">
              <w:trPr>
                <w:cantSplit/>
                <w:trHeight w:val="288"/>
              </w:trPr>
              <w:tc>
                <w:tcPr>
                  <w:tcW w:w="5557" w:type="dxa"/>
                  <w:shd w:val="clear" w:color="auto" w:fill="auto"/>
                  <w:noWrap/>
                  <w:vAlign w:val="center"/>
                </w:tcPr>
                <w:p w14:paraId="4CC7531D" w14:textId="649697B7" w:rsidR="00415AED" w:rsidRPr="000C4A04" w:rsidRDefault="00415AED" w:rsidP="00415AED">
                  <w:pPr>
                    <w:rPr>
                      <w:color w:val="auto"/>
                      <w:sz w:val="20"/>
                      <w:szCs w:val="20"/>
                    </w:rPr>
                  </w:pPr>
                  <w:r>
                    <w:t>Fire Remedial Works</w:t>
                  </w:r>
                </w:p>
              </w:tc>
              <w:tc>
                <w:tcPr>
                  <w:tcW w:w="2268" w:type="dxa"/>
                  <w:vAlign w:val="center"/>
                </w:tcPr>
                <w:p w14:paraId="15CC4EF6" w14:textId="11394881" w:rsidR="00415AED" w:rsidRPr="000C4A04" w:rsidRDefault="00415AED" w:rsidP="00415AED">
                  <w:pPr>
                    <w:jc w:val="center"/>
                    <w:rPr>
                      <w:color w:val="auto"/>
                      <w:sz w:val="20"/>
                      <w:szCs w:val="20"/>
                    </w:rPr>
                  </w:pPr>
                  <w:r>
                    <w:rPr>
                      <w:bCs/>
                    </w:rPr>
                    <w:t>£</w:t>
                  </w:r>
                  <w:r w:rsidR="00880C9A">
                    <w:rPr>
                      <w:bCs/>
                    </w:rPr>
                    <w:t>1,</w:t>
                  </w:r>
                  <w:r>
                    <w:rPr>
                      <w:bCs/>
                    </w:rPr>
                    <w:t>900,000</w:t>
                  </w:r>
                </w:p>
              </w:tc>
            </w:tr>
            <w:tr w:rsidR="00415AED" w:rsidRPr="004A13CF" w14:paraId="256B9F45" w14:textId="77777777" w:rsidTr="00D95DB1">
              <w:trPr>
                <w:cantSplit/>
                <w:trHeight w:val="288"/>
              </w:trPr>
              <w:tc>
                <w:tcPr>
                  <w:tcW w:w="5557" w:type="dxa"/>
                  <w:shd w:val="clear" w:color="auto" w:fill="auto"/>
                  <w:noWrap/>
                  <w:vAlign w:val="center"/>
                </w:tcPr>
                <w:p w14:paraId="5E47D70A" w14:textId="206D0F4E" w:rsidR="00415AED" w:rsidRPr="000C4A04" w:rsidRDefault="00415AED" w:rsidP="00415AED">
                  <w:pPr>
                    <w:rPr>
                      <w:color w:val="auto"/>
                      <w:sz w:val="20"/>
                      <w:szCs w:val="20"/>
                    </w:rPr>
                  </w:pPr>
                  <w:r>
                    <w:t>Commercial Gas (maintenance and repairs)</w:t>
                  </w:r>
                </w:p>
              </w:tc>
              <w:tc>
                <w:tcPr>
                  <w:tcW w:w="2268" w:type="dxa"/>
                  <w:vAlign w:val="center"/>
                </w:tcPr>
                <w:p w14:paraId="05118E40" w14:textId="12F0E520" w:rsidR="00415AED" w:rsidRPr="000C4A04" w:rsidRDefault="00415AED" w:rsidP="00415AED">
                  <w:pPr>
                    <w:jc w:val="center"/>
                    <w:rPr>
                      <w:color w:val="auto"/>
                      <w:sz w:val="20"/>
                      <w:szCs w:val="20"/>
                    </w:rPr>
                  </w:pPr>
                  <w:r>
                    <w:rPr>
                      <w:bCs/>
                    </w:rPr>
                    <w:t>£17,000,000</w:t>
                  </w:r>
                </w:p>
              </w:tc>
            </w:tr>
            <w:tr w:rsidR="00415AED" w:rsidRPr="004A13CF" w14:paraId="0119CF4E" w14:textId="77777777" w:rsidTr="00D95DB1">
              <w:trPr>
                <w:cantSplit/>
                <w:trHeight w:val="288"/>
              </w:trPr>
              <w:tc>
                <w:tcPr>
                  <w:tcW w:w="5557" w:type="dxa"/>
                  <w:shd w:val="clear" w:color="auto" w:fill="auto"/>
                  <w:noWrap/>
                  <w:vAlign w:val="center"/>
                </w:tcPr>
                <w:p w14:paraId="2BE8ED32" w14:textId="1F3DC74E" w:rsidR="00415AED" w:rsidRPr="000C4A04" w:rsidRDefault="00415AED" w:rsidP="00415AED">
                  <w:pPr>
                    <w:rPr>
                      <w:color w:val="auto"/>
                      <w:sz w:val="20"/>
                      <w:szCs w:val="20"/>
                    </w:rPr>
                  </w:pPr>
                  <w:r>
                    <w:t>Laundry Equipment</w:t>
                  </w:r>
                </w:p>
              </w:tc>
              <w:tc>
                <w:tcPr>
                  <w:tcW w:w="2268" w:type="dxa"/>
                  <w:vAlign w:val="center"/>
                </w:tcPr>
                <w:p w14:paraId="21E06FE2" w14:textId="2013C465" w:rsidR="00415AED" w:rsidRPr="000C4A04" w:rsidRDefault="00415AED" w:rsidP="00415AED">
                  <w:pPr>
                    <w:jc w:val="center"/>
                    <w:rPr>
                      <w:color w:val="auto"/>
                      <w:sz w:val="20"/>
                      <w:szCs w:val="20"/>
                    </w:rPr>
                  </w:pPr>
                  <w:r>
                    <w:rPr>
                      <w:bCs/>
                    </w:rPr>
                    <w:t>£250,000</w:t>
                  </w:r>
                </w:p>
              </w:tc>
            </w:tr>
            <w:tr w:rsidR="00415AED" w:rsidRPr="004A13CF" w14:paraId="2CD8D67E" w14:textId="77777777" w:rsidTr="00D95DB1">
              <w:trPr>
                <w:cantSplit/>
                <w:trHeight w:val="288"/>
              </w:trPr>
              <w:tc>
                <w:tcPr>
                  <w:tcW w:w="5557" w:type="dxa"/>
                  <w:shd w:val="clear" w:color="auto" w:fill="auto"/>
                  <w:noWrap/>
                  <w:vAlign w:val="center"/>
                </w:tcPr>
                <w:p w14:paraId="23946B3E" w14:textId="19BF7EB3" w:rsidR="00415AED" w:rsidRPr="000C4A04" w:rsidRDefault="00415AED" w:rsidP="00415AED">
                  <w:pPr>
                    <w:rPr>
                      <w:color w:val="auto"/>
                      <w:sz w:val="20"/>
                      <w:szCs w:val="20"/>
                    </w:rPr>
                  </w:pPr>
                  <w:r>
                    <w:t>Lifts</w:t>
                  </w:r>
                </w:p>
              </w:tc>
              <w:tc>
                <w:tcPr>
                  <w:tcW w:w="2268" w:type="dxa"/>
                  <w:vAlign w:val="center"/>
                </w:tcPr>
                <w:p w14:paraId="0FE2E8EB" w14:textId="48D05BF2" w:rsidR="00415AED" w:rsidRPr="000C4A04" w:rsidRDefault="00415AED" w:rsidP="00415AED">
                  <w:pPr>
                    <w:jc w:val="center"/>
                    <w:rPr>
                      <w:color w:val="auto"/>
                      <w:sz w:val="20"/>
                      <w:szCs w:val="20"/>
                    </w:rPr>
                  </w:pPr>
                  <w:r>
                    <w:rPr>
                      <w:bCs/>
                    </w:rPr>
                    <w:t>£1,</w:t>
                  </w:r>
                  <w:r w:rsidR="00B01766">
                    <w:rPr>
                      <w:bCs/>
                    </w:rPr>
                    <w:t>8</w:t>
                  </w:r>
                  <w:r>
                    <w:rPr>
                      <w:bCs/>
                    </w:rPr>
                    <w:t>00,000</w:t>
                  </w:r>
                </w:p>
              </w:tc>
            </w:tr>
            <w:tr w:rsidR="00415AED" w:rsidRPr="004A13CF" w14:paraId="27A03D45" w14:textId="77777777" w:rsidTr="00D95DB1">
              <w:trPr>
                <w:cantSplit/>
                <w:trHeight w:val="288"/>
              </w:trPr>
              <w:tc>
                <w:tcPr>
                  <w:tcW w:w="5557" w:type="dxa"/>
                  <w:shd w:val="clear" w:color="auto" w:fill="auto"/>
                  <w:noWrap/>
                  <w:vAlign w:val="center"/>
                </w:tcPr>
                <w:p w14:paraId="4F6DF5CE" w14:textId="1860D0A0" w:rsidR="00415AED" w:rsidRPr="000C4A04" w:rsidRDefault="00415AED" w:rsidP="00415AED">
                  <w:pPr>
                    <w:rPr>
                      <w:color w:val="auto"/>
                      <w:sz w:val="20"/>
                      <w:szCs w:val="20"/>
                    </w:rPr>
                  </w:pPr>
                  <w:r>
                    <w:t>Playgrounds</w:t>
                  </w:r>
                </w:p>
              </w:tc>
              <w:tc>
                <w:tcPr>
                  <w:tcW w:w="2268" w:type="dxa"/>
                  <w:vAlign w:val="center"/>
                </w:tcPr>
                <w:p w14:paraId="487BB52E" w14:textId="55304731" w:rsidR="00415AED" w:rsidRPr="000C4A04" w:rsidRDefault="00415AED" w:rsidP="00415AED">
                  <w:pPr>
                    <w:jc w:val="center"/>
                    <w:rPr>
                      <w:color w:val="auto"/>
                      <w:sz w:val="20"/>
                      <w:szCs w:val="20"/>
                    </w:rPr>
                  </w:pPr>
                  <w:r>
                    <w:rPr>
                      <w:bCs/>
                    </w:rPr>
                    <w:t>£70,000</w:t>
                  </w:r>
                </w:p>
              </w:tc>
            </w:tr>
            <w:tr w:rsidR="00415AED" w:rsidRPr="004A13CF" w14:paraId="50B83384" w14:textId="77777777" w:rsidTr="00D95DB1">
              <w:trPr>
                <w:cantSplit/>
                <w:trHeight w:val="288"/>
              </w:trPr>
              <w:tc>
                <w:tcPr>
                  <w:tcW w:w="5557" w:type="dxa"/>
                  <w:shd w:val="clear" w:color="auto" w:fill="auto"/>
                  <w:noWrap/>
                  <w:vAlign w:val="center"/>
                </w:tcPr>
                <w:p w14:paraId="40C8B0DF" w14:textId="714A8ECA" w:rsidR="00415AED" w:rsidRPr="000C4A04" w:rsidRDefault="00415AED" w:rsidP="00415AED">
                  <w:pPr>
                    <w:rPr>
                      <w:color w:val="auto"/>
                      <w:sz w:val="20"/>
                      <w:szCs w:val="20"/>
                    </w:rPr>
                  </w:pPr>
                  <w:r>
                    <w:t>Pumps</w:t>
                  </w:r>
                </w:p>
              </w:tc>
              <w:tc>
                <w:tcPr>
                  <w:tcW w:w="2268" w:type="dxa"/>
                  <w:vAlign w:val="center"/>
                </w:tcPr>
                <w:p w14:paraId="6E364449" w14:textId="2AB2439B" w:rsidR="00415AED" w:rsidRPr="000C4A04" w:rsidRDefault="00415AED" w:rsidP="00415AED">
                  <w:pPr>
                    <w:jc w:val="center"/>
                    <w:rPr>
                      <w:color w:val="auto"/>
                      <w:sz w:val="20"/>
                      <w:szCs w:val="20"/>
                    </w:rPr>
                  </w:pPr>
                  <w:r>
                    <w:rPr>
                      <w:bCs/>
                    </w:rPr>
                    <w:t>£</w:t>
                  </w:r>
                  <w:r w:rsidR="00B01766">
                    <w:rPr>
                      <w:bCs/>
                    </w:rPr>
                    <w:t>300</w:t>
                  </w:r>
                  <w:r>
                    <w:rPr>
                      <w:bCs/>
                    </w:rPr>
                    <w:t>,000</w:t>
                  </w:r>
                </w:p>
              </w:tc>
            </w:tr>
            <w:tr w:rsidR="00415AED" w:rsidRPr="004A13CF" w14:paraId="7BB41D0D" w14:textId="77777777" w:rsidTr="00D95DB1">
              <w:trPr>
                <w:cantSplit/>
                <w:trHeight w:val="288"/>
              </w:trPr>
              <w:tc>
                <w:tcPr>
                  <w:tcW w:w="5557" w:type="dxa"/>
                  <w:shd w:val="clear" w:color="auto" w:fill="auto"/>
                  <w:noWrap/>
                  <w:vAlign w:val="center"/>
                </w:tcPr>
                <w:p w14:paraId="3203F15B" w14:textId="540F8899" w:rsidR="00415AED" w:rsidRPr="000C4A04" w:rsidRDefault="00415AED" w:rsidP="00415AED">
                  <w:pPr>
                    <w:rPr>
                      <w:color w:val="auto"/>
                      <w:sz w:val="20"/>
                      <w:szCs w:val="20"/>
                    </w:rPr>
                  </w:pPr>
                  <w:r>
                    <w:t>Renewables</w:t>
                  </w:r>
                </w:p>
              </w:tc>
              <w:tc>
                <w:tcPr>
                  <w:tcW w:w="2268" w:type="dxa"/>
                  <w:vAlign w:val="center"/>
                </w:tcPr>
                <w:p w14:paraId="5C4EEF72" w14:textId="72F8400D" w:rsidR="00415AED" w:rsidRPr="000C4A04" w:rsidRDefault="00415AED" w:rsidP="00415AED">
                  <w:pPr>
                    <w:jc w:val="center"/>
                    <w:rPr>
                      <w:color w:val="auto"/>
                      <w:sz w:val="20"/>
                      <w:szCs w:val="20"/>
                    </w:rPr>
                  </w:pPr>
                  <w:r>
                    <w:rPr>
                      <w:bCs/>
                    </w:rPr>
                    <w:t>£800,000</w:t>
                  </w:r>
                </w:p>
              </w:tc>
            </w:tr>
            <w:tr w:rsidR="00415AED" w:rsidRPr="004A13CF" w14:paraId="144A0912" w14:textId="77777777" w:rsidTr="00D95DB1">
              <w:trPr>
                <w:cantSplit/>
                <w:trHeight w:val="288"/>
              </w:trPr>
              <w:tc>
                <w:tcPr>
                  <w:tcW w:w="5557" w:type="dxa"/>
                  <w:shd w:val="clear" w:color="auto" w:fill="auto"/>
                  <w:noWrap/>
                  <w:vAlign w:val="center"/>
                </w:tcPr>
                <w:p w14:paraId="0ABD5314" w14:textId="74585865" w:rsidR="00415AED" w:rsidRPr="000C4A04" w:rsidRDefault="00415AED" w:rsidP="00415AED">
                  <w:pPr>
                    <w:rPr>
                      <w:color w:val="auto"/>
                      <w:sz w:val="20"/>
                      <w:szCs w:val="20"/>
                    </w:rPr>
                  </w:pPr>
                  <w:r>
                    <w:t>Water Safety</w:t>
                  </w:r>
                </w:p>
              </w:tc>
              <w:tc>
                <w:tcPr>
                  <w:tcW w:w="2268" w:type="dxa"/>
                  <w:vAlign w:val="center"/>
                </w:tcPr>
                <w:p w14:paraId="1C28D59F" w14:textId="4FC42FFC" w:rsidR="00415AED" w:rsidRPr="000C4A04" w:rsidRDefault="00415AED" w:rsidP="00415AED">
                  <w:pPr>
                    <w:jc w:val="center"/>
                    <w:rPr>
                      <w:color w:val="auto"/>
                      <w:sz w:val="20"/>
                      <w:szCs w:val="20"/>
                    </w:rPr>
                  </w:pPr>
                  <w:r>
                    <w:rPr>
                      <w:bCs/>
                    </w:rPr>
                    <w:t>£</w:t>
                  </w:r>
                  <w:r w:rsidR="00676AB7">
                    <w:rPr>
                      <w:bCs/>
                    </w:rPr>
                    <w:t>2,0</w:t>
                  </w:r>
                  <w:r>
                    <w:rPr>
                      <w:bCs/>
                    </w:rPr>
                    <w:t>00,00</w:t>
                  </w:r>
                </w:p>
              </w:tc>
            </w:tr>
            <w:tr w:rsidR="00415AED" w:rsidRPr="004A13CF" w14:paraId="72CA884D" w14:textId="77777777" w:rsidTr="00D95DB1">
              <w:trPr>
                <w:cantSplit/>
                <w:trHeight w:val="288"/>
              </w:trPr>
              <w:tc>
                <w:tcPr>
                  <w:tcW w:w="5557" w:type="dxa"/>
                  <w:shd w:val="clear" w:color="auto" w:fill="auto"/>
                  <w:noWrap/>
                  <w:vAlign w:val="center"/>
                </w:tcPr>
                <w:p w14:paraId="32FB634E" w14:textId="000EF10A" w:rsidR="00415AED" w:rsidRPr="000C4A04" w:rsidRDefault="00415AED" w:rsidP="00415AED">
                  <w:pPr>
                    <w:rPr>
                      <w:color w:val="auto"/>
                      <w:sz w:val="20"/>
                      <w:szCs w:val="20"/>
                    </w:rPr>
                  </w:pPr>
                  <w:r>
                    <w:t>Metering and Billing (maintenance)</w:t>
                  </w:r>
                </w:p>
              </w:tc>
              <w:tc>
                <w:tcPr>
                  <w:tcW w:w="2268" w:type="dxa"/>
                  <w:vAlign w:val="center"/>
                </w:tcPr>
                <w:p w14:paraId="711D8538" w14:textId="5841BFBC" w:rsidR="00415AED" w:rsidRPr="000C4A04" w:rsidRDefault="00415AED" w:rsidP="00415AED">
                  <w:pPr>
                    <w:jc w:val="center"/>
                    <w:rPr>
                      <w:color w:val="auto"/>
                      <w:sz w:val="20"/>
                      <w:szCs w:val="20"/>
                    </w:rPr>
                  </w:pPr>
                  <w:r>
                    <w:rPr>
                      <w:bCs/>
                    </w:rPr>
                    <w:t>£135,000</w:t>
                  </w:r>
                </w:p>
              </w:tc>
            </w:tr>
          </w:tbl>
          <w:p w14:paraId="1DA0FE61" w14:textId="77777777" w:rsidR="00FA4EC1" w:rsidRDefault="00FA4EC1" w:rsidP="005602DC">
            <w:pPr>
              <w:rPr>
                <w:b/>
                <w:color w:val="000000"/>
              </w:rPr>
            </w:pPr>
          </w:p>
          <w:p w14:paraId="245F6D69" w14:textId="083CC011" w:rsidR="005602DC" w:rsidRDefault="005602DC" w:rsidP="005602DC">
            <w:pPr>
              <w:rPr>
                <w:b/>
                <w:color w:val="000000"/>
              </w:rPr>
            </w:pPr>
            <w:r>
              <w:rPr>
                <w:b/>
                <w:color w:val="000000"/>
              </w:rPr>
              <w:t xml:space="preserve">Proposed Timetable: </w:t>
            </w:r>
          </w:p>
          <w:p w14:paraId="7BF50DC9" w14:textId="77777777" w:rsidR="005602DC" w:rsidRDefault="005602DC" w:rsidP="005602DC">
            <w:pPr>
              <w:rPr>
                <w:b/>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252"/>
            </w:tblGrid>
            <w:tr w:rsidR="005602DC" w:rsidRPr="0085611C" w14:paraId="23541C92" w14:textId="77777777" w:rsidTr="00696F57">
              <w:tc>
                <w:tcPr>
                  <w:tcW w:w="4350" w:type="dxa"/>
                  <w:shd w:val="clear" w:color="auto" w:fill="auto"/>
                </w:tcPr>
                <w:p w14:paraId="031EE484" w14:textId="77777777" w:rsidR="005602DC" w:rsidRPr="000C4A04" w:rsidRDefault="005602DC" w:rsidP="005602DC">
                  <w:pPr>
                    <w:spacing w:before="40" w:after="40" w:line="280" w:lineRule="atLeast"/>
                    <w:rPr>
                      <w:color w:val="auto"/>
                    </w:rPr>
                  </w:pPr>
                  <w:r w:rsidRPr="000C4A04">
                    <w:rPr>
                      <w:color w:val="auto"/>
                    </w:rPr>
                    <w:t>Advertise contract in OJEU</w:t>
                  </w:r>
                </w:p>
              </w:tc>
              <w:tc>
                <w:tcPr>
                  <w:tcW w:w="4252" w:type="dxa"/>
                  <w:shd w:val="clear" w:color="auto" w:fill="auto"/>
                </w:tcPr>
                <w:p w14:paraId="53313F3E" w14:textId="0E6C92A2" w:rsidR="005602DC" w:rsidRPr="000C4A04" w:rsidRDefault="009E3914" w:rsidP="005602DC">
                  <w:pPr>
                    <w:spacing w:before="40" w:after="40" w:line="280" w:lineRule="atLeast"/>
                    <w:rPr>
                      <w:color w:val="auto"/>
                    </w:rPr>
                  </w:pPr>
                  <w:r>
                    <w:rPr>
                      <w:color w:val="auto"/>
                    </w:rPr>
                    <w:t>04</w:t>
                  </w:r>
                  <w:r w:rsidR="00485821">
                    <w:rPr>
                      <w:color w:val="auto"/>
                    </w:rPr>
                    <w:t xml:space="preserve"> June</w:t>
                  </w:r>
                  <w:r w:rsidR="005602DC" w:rsidRPr="000C4A04">
                    <w:rPr>
                      <w:color w:val="auto"/>
                    </w:rPr>
                    <w:t xml:space="preserve"> 2</w:t>
                  </w:r>
                  <w:r w:rsidR="005602DC">
                    <w:rPr>
                      <w:color w:val="auto"/>
                    </w:rPr>
                    <w:t>024</w:t>
                  </w:r>
                </w:p>
              </w:tc>
            </w:tr>
            <w:tr w:rsidR="005602DC" w:rsidRPr="0085611C" w14:paraId="7E06AE4E" w14:textId="77777777" w:rsidTr="00696F57">
              <w:tc>
                <w:tcPr>
                  <w:tcW w:w="4350" w:type="dxa"/>
                  <w:shd w:val="clear" w:color="auto" w:fill="auto"/>
                </w:tcPr>
                <w:p w14:paraId="6CD8DEDC" w14:textId="77777777" w:rsidR="005602DC" w:rsidRPr="000C4A04" w:rsidRDefault="005602DC" w:rsidP="005602DC">
                  <w:pPr>
                    <w:spacing w:before="40" w:after="40" w:line="280" w:lineRule="atLeast"/>
                    <w:rPr>
                      <w:color w:val="auto"/>
                    </w:rPr>
                  </w:pPr>
                  <w:r>
                    <w:rPr>
                      <w:color w:val="auto"/>
                    </w:rPr>
                    <w:t>Phase I responses</w:t>
                  </w:r>
                </w:p>
              </w:tc>
              <w:tc>
                <w:tcPr>
                  <w:tcW w:w="4252" w:type="dxa"/>
                  <w:shd w:val="clear" w:color="auto" w:fill="auto"/>
                </w:tcPr>
                <w:p w14:paraId="56EA853F" w14:textId="5588A4E4" w:rsidR="005602DC" w:rsidRPr="000C4A04" w:rsidRDefault="00D54A62" w:rsidP="005602DC">
                  <w:pPr>
                    <w:spacing w:before="40" w:after="40" w:line="280" w:lineRule="atLeast"/>
                    <w:rPr>
                      <w:color w:val="auto"/>
                    </w:rPr>
                  </w:pPr>
                  <w:r>
                    <w:rPr>
                      <w:color w:val="auto"/>
                    </w:rPr>
                    <w:t>2</w:t>
                  </w:r>
                  <w:r w:rsidR="00B27A0C">
                    <w:rPr>
                      <w:color w:val="auto"/>
                    </w:rPr>
                    <w:t>8</w:t>
                  </w:r>
                  <w:r w:rsidR="005602DC">
                    <w:rPr>
                      <w:color w:val="auto"/>
                    </w:rPr>
                    <w:t xml:space="preserve"> June 2024</w:t>
                  </w:r>
                </w:p>
              </w:tc>
            </w:tr>
            <w:tr w:rsidR="005602DC" w:rsidRPr="0085611C" w14:paraId="3A390843" w14:textId="77777777" w:rsidTr="00696F57">
              <w:tc>
                <w:tcPr>
                  <w:tcW w:w="4350" w:type="dxa"/>
                  <w:shd w:val="clear" w:color="auto" w:fill="auto"/>
                </w:tcPr>
                <w:p w14:paraId="6159E02B" w14:textId="77777777" w:rsidR="005602DC" w:rsidRDefault="005602DC" w:rsidP="005602DC">
                  <w:pPr>
                    <w:spacing w:before="40" w:after="40" w:line="280" w:lineRule="atLeast"/>
                    <w:rPr>
                      <w:color w:val="auto"/>
                    </w:rPr>
                  </w:pPr>
                  <w:r>
                    <w:rPr>
                      <w:color w:val="auto"/>
                    </w:rPr>
                    <w:t>Analysis Phase I responses</w:t>
                  </w:r>
                </w:p>
              </w:tc>
              <w:tc>
                <w:tcPr>
                  <w:tcW w:w="4252" w:type="dxa"/>
                  <w:shd w:val="clear" w:color="auto" w:fill="auto"/>
                </w:tcPr>
                <w:p w14:paraId="4FF9B8F2" w14:textId="310A56B9" w:rsidR="005602DC" w:rsidRDefault="00874824" w:rsidP="005602DC">
                  <w:pPr>
                    <w:spacing w:before="40" w:after="40" w:line="280" w:lineRule="atLeast"/>
                    <w:rPr>
                      <w:color w:val="auto"/>
                    </w:rPr>
                  </w:pPr>
                  <w:r>
                    <w:rPr>
                      <w:color w:val="auto"/>
                    </w:rPr>
                    <w:t>July</w:t>
                  </w:r>
                  <w:r w:rsidR="005602DC">
                    <w:rPr>
                      <w:color w:val="auto"/>
                    </w:rPr>
                    <w:t xml:space="preserve"> 2024</w:t>
                  </w:r>
                </w:p>
              </w:tc>
            </w:tr>
            <w:tr w:rsidR="005602DC" w:rsidRPr="0085611C" w14:paraId="41FD3274" w14:textId="77777777" w:rsidTr="00696F57">
              <w:tc>
                <w:tcPr>
                  <w:tcW w:w="4350" w:type="dxa"/>
                  <w:shd w:val="clear" w:color="auto" w:fill="auto"/>
                </w:tcPr>
                <w:p w14:paraId="38FEBED8" w14:textId="77777777" w:rsidR="005602DC" w:rsidRPr="000C4A04" w:rsidRDefault="005602DC" w:rsidP="005602DC">
                  <w:pPr>
                    <w:spacing w:before="40" w:after="40" w:line="280" w:lineRule="atLeast"/>
                    <w:rPr>
                      <w:color w:val="auto"/>
                    </w:rPr>
                  </w:pPr>
                  <w:r>
                    <w:rPr>
                      <w:color w:val="auto"/>
                    </w:rPr>
                    <w:t>Phase II launched (if required)</w:t>
                  </w:r>
                </w:p>
              </w:tc>
              <w:tc>
                <w:tcPr>
                  <w:tcW w:w="4252" w:type="dxa"/>
                  <w:shd w:val="clear" w:color="auto" w:fill="auto"/>
                </w:tcPr>
                <w:p w14:paraId="1FEC2968" w14:textId="12C09966" w:rsidR="005602DC" w:rsidRPr="000C4A04" w:rsidRDefault="00B27A0C" w:rsidP="005602DC">
                  <w:pPr>
                    <w:spacing w:before="40" w:after="40" w:line="280" w:lineRule="atLeast"/>
                    <w:rPr>
                      <w:color w:val="auto"/>
                    </w:rPr>
                  </w:pPr>
                  <w:r>
                    <w:rPr>
                      <w:color w:val="auto"/>
                    </w:rPr>
                    <w:t xml:space="preserve">End of </w:t>
                  </w:r>
                  <w:r w:rsidR="005602DC">
                    <w:rPr>
                      <w:color w:val="auto"/>
                    </w:rPr>
                    <w:t>July 2024</w:t>
                  </w:r>
                </w:p>
              </w:tc>
            </w:tr>
          </w:tbl>
          <w:p w14:paraId="5C4F74CF" w14:textId="77777777" w:rsidR="00566C9E" w:rsidRPr="00BE0552" w:rsidRDefault="00566C9E" w:rsidP="00317E5C">
            <w:pPr>
              <w:pStyle w:val="Heading2"/>
              <w:rPr>
                <w:rFonts w:ascii="Arial" w:hAnsi="Arial" w:cs="Arial"/>
                <w:sz w:val="24"/>
                <w:szCs w:val="24"/>
              </w:rPr>
            </w:pPr>
          </w:p>
        </w:tc>
      </w:tr>
    </w:tbl>
    <w:p w14:paraId="79071358" w14:textId="77777777" w:rsidR="00935BF4" w:rsidRDefault="00935BF4" w:rsidP="00F32A02">
      <w:pPr>
        <w:rPr>
          <w:b/>
          <w:color w:val="76923C" w:themeColor="accent3" w:themeShade="BF"/>
          <w:sz w:val="24"/>
          <w:szCs w:val="24"/>
        </w:rPr>
      </w:pPr>
    </w:p>
    <w:p w14:paraId="2118A180" w14:textId="77777777" w:rsidR="00306C0E" w:rsidRDefault="00306C0E" w:rsidP="00F32A02">
      <w:pPr>
        <w:rPr>
          <w:b/>
          <w:color w:val="76923C" w:themeColor="accent3" w:themeShade="BF"/>
          <w:sz w:val="24"/>
          <w:szCs w:val="24"/>
        </w:rPr>
      </w:pPr>
    </w:p>
    <w:p w14:paraId="45D4141F" w14:textId="77777777" w:rsidR="001A493D" w:rsidRDefault="001A493D" w:rsidP="00F32A02">
      <w:pPr>
        <w:rPr>
          <w:b/>
          <w:color w:val="76923C" w:themeColor="accent3" w:themeShade="BF"/>
          <w:sz w:val="24"/>
          <w:szCs w:val="24"/>
        </w:rPr>
      </w:pPr>
    </w:p>
    <w:p w14:paraId="5C2BA701" w14:textId="77777777" w:rsidR="001A493D" w:rsidRDefault="001A493D" w:rsidP="00F32A02">
      <w:pPr>
        <w:rPr>
          <w:b/>
          <w:color w:val="76923C" w:themeColor="accent3" w:themeShade="BF"/>
          <w:sz w:val="24"/>
          <w:szCs w:val="24"/>
        </w:rPr>
      </w:pPr>
    </w:p>
    <w:p w14:paraId="60BE19A9" w14:textId="77777777" w:rsidR="00D54A62" w:rsidRDefault="00D54A62" w:rsidP="00F32A02">
      <w:pPr>
        <w:rPr>
          <w:b/>
          <w:color w:val="76923C" w:themeColor="accent3" w:themeShade="BF"/>
          <w:sz w:val="24"/>
          <w:szCs w:val="24"/>
        </w:rPr>
      </w:pPr>
    </w:p>
    <w:p w14:paraId="1B43FC56" w14:textId="77777777" w:rsidR="00D54A62" w:rsidRDefault="00D54A62" w:rsidP="00F32A02">
      <w:pPr>
        <w:rPr>
          <w:b/>
          <w:color w:val="76923C" w:themeColor="accent3" w:themeShade="BF"/>
          <w:sz w:val="24"/>
          <w:szCs w:val="24"/>
        </w:rPr>
      </w:pPr>
    </w:p>
    <w:p w14:paraId="60049D68" w14:textId="77777777" w:rsidR="00D54A62" w:rsidRDefault="00D54A62" w:rsidP="00F32A02">
      <w:pPr>
        <w:rPr>
          <w:b/>
          <w:color w:val="76923C" w:themeColor="accent3" w:themeShade="BF"/>
          <w:sz w:val="24"/>
          <w:szCs w:val="24"/>
        </w:rPr>
      </w:pPr>
    </w:p>
    <w:p w14:paraId="1E49DD1B" w14:textId="77777777" w:rsidR="00D54A62" w:rsidRDefault="00D54A62" w:rsidP="00F32A02">
      <w:pPr>
        <w:rPr>
          <w:b/>
          <w:color w:val="76923C" w:themeColor="accent3" w:themeShade="BF"/>
          <w:sz w:val="24"/>
          <w:szCs w:val="24"/>
        </w:rPr>
      </w:pPr>
    </w:p>
    <w:p w14:paraId="20722166" w14:textId="77777777" w:rsidR="00D54A62" w:rsidRDefault="00D54A62" w:rsidP="00F32A02">
      <w:pPr>
        <w:rPr>
          <w:b/>
          <w:color w:val="76923C" w:themeColor="accent3" w:themeShade="BF"/>
          <w:sz w:val="24"/>
          <w:szCs w:val="24"/>
        </w:rPr>
      </w:pPr>
    </w:p>
    <w:p w14:paraId="01AA3913" w14:textId="77777777" w:rsidR="00283FD3" w:rsidRDefault="00283FD3" w:rsidP="00F32A02">
      <w:pPr>
        <w:rPr>
          <w:b/>
          <w:color w:val="76923C" w:themeColor="accent3" w:themeShade="BF"/>
          <w:sz w:val="24"/>
          <w:szCs w:val="24"/>
        </w:rPr>
      </w:pPr>
    </w:p>
    <w:p w14:paraId="0ED77622" w14:textId="77777777" w:rsidR="001A493D" w:rsidRDefault="001A493D" w:rsidP="00F32A02">
      <w:pPr>
        <w:rPr>
          <w:b/>
          <w:color w:val="76923C" w:themeColor="accent3" w:themeShade="BF"/>
          <w:sz w:val="24"/>
          <w:szCs w:val="24"/>
        </w:rPr>
      </w:pPr>
    </w:p>
    <w:p w14:paraId="7C2C854F" w14:textId="77777777" w:rsidR="00306C0E" w:rsidRDefault="00306C0E" w:rsidP="00F32A02">
      <w:pPr>
        <w:rPr>
          <w:b/>
          <w:color w:val="76923C" w:themeColor="accent3" w:themeShade="BF"/>
          <w:sz w:val="24"/>
          <w:szCs w:val="24"/>
        </w:rPr>
      </w:pPr>
    </w:p>
    <w:p w14:paraId="18305E69" w14:textId="48F8644C" w:rsidR="00F32A02" w:rsidRDefault="00E86960" w:rsidP="00F32A02">
      <w:pPr>
        <w:rPr>
          <w:b/>
          <w:color w:val="76923C" w:themeColor="accent3" w:themeShade="BF"/>
          <w:sz w:val="24"/>
          <w:szCs w:val="24"/>
        </w:rPr>
      </w:pPr>
      <w:r>
        <w:rPr>
          <w:b/>
          <w:color w:val="76923C" w:themeColor="accent3" w:themeShade="BF"/>
          <w:sz w:val="24"/>
          <w:szCs w:val="24"/>
        </w:rPr>
        <w:lastRenderedPageBreak/>
        <w:t>PHASE I QUESTIONNAIRE</w:t>
      </w:r>
      <w:r w:rsidR="00F32A02" w:rsidRPr="00CA4208">
        <w:rPr>
          <w:b/>
          <w:color w:val="76923C" w:themeColor="accent3" w:themeShade="BF"/>
          <w:sz w:val="24"/>
          <w:szCs w:val="24"/>
        </w:rPr>
        <w:t>:</w:t>
      </w:r>
    </w:p>
    <w:p w14:paraId="30135077" w14:textId="77777777" w:rsidR="00E86960" w:rsidRPr="00FE159E" w:rsidRDefault="00E86960" w:rsidP="00F32A02">
      <w:pPr>
        <w:rPr>
          <w:b/>
          <w:color w:val="76923C" w:themeColor="accent3" w:themeShade="BF"/>
          <w:sz w:val="24"/>
          <w:szCs w:val="24"/>
        </w:rPr>
      </w:pPr>
    </w:p>
    <w:p w14:paraId="12A2AD27" w14:textId="52A508F8" w:rsidR="00F32A02" w:rsidRDefault="00F32A02" w:rsidP="00E86960">
      <w:pPr>
        <w:jc w:val="both"/>
        <w:rPr>
          <w:color w:val="000000"/>
        </w:rPr>
      </w:pPr>
      <w:r>
        <w:rPr>
          <w:color w:val="000000"/>
        </w:rPr>
        <w:t xml:space="preserve">Our market consultation, whilst confidential, is intended to be informal. The consultation is for information purposes only and will not </w:t>
      </w:r>
      <w:r w:rsidR="00EB79D4">
        <w:rPr>
          <w:color w:val="000000"/>
        </w:rPr>
        <w:t xml:space="preserve">be </w:t>
      </w:r>
      <w:r>
        <w:rPr>
          <w:color w:val="000000"/>
        </w:rPr>
        <w:t xml:space="preserve">considered as part of any submission for any resulting tender.  </w:t>
      </w:r>
    </w:p>
    <w:p w14:paraId="05D95DD4" w14:textId="77777777" w:rsidR="00F32A02" w:rsidRDefault="00F32A02" w:rsidP="00E86960">
      <w:pPr>
        <w:jc w:val="both"/>
        <w:rPr>
          <w:color w:val="000000"/>
        </w:rPr>
      </w:pPr>
    </w:p>
    <w:p w14:paraId="7EF14B61" w14:textId="378C5B69" w:rsidR="00F32A02" w:rsidRDefault="006F1209" w:rsidP="00E86960">
      <w:pPr>
        <w:jc w:val="both"/>
        <w:rPr>
          <w:color w:val="000000"/>
        </w:rPr>
      </w:pPr>
      <w:r>
        <w:rPr>
          <w:color w:val="000000"/>
        </w:rPr>
        <w:t xml:space="preserve">If you are interested in this opportunity, please fill out the questionnaire below and submit your answers </w:t>
      </w:r>
      <w:r w:rsidR="001574F1">
        <w:rPr>
          <w:color w:val="000000"/>
        </w:rPr>
        <w:t xml:space="preserve">via ProContract </w:t>
      </w:r>
      <w:r w:rsidR="00F42C7D">
        <w:rPr>
          <w:color w:val="000000"/>
        </w:rPr>
        <w:t xml:space="preserve">by no later than </w:t>
      </w:r>
      <w:r w:rsidR="00D54A62">
        <w:rPr>
          <w:color w:val="000000"/>
        </w:rPr>
        <w:t>2</w:t>
      </w:r>
      <w:r w:rsidR="00E464BD">
        <w:rPr>
          <w:color w:val="000000"/>
        </w:rPr>
        <w:t>8</w:t>
      </w:r>
      <w:r w:rsidR="00D54A62">
        <w:rPr>
          <w:color w:val="000000"/>
        </w:rPr>
        <w:t>/06/2024</w:t>
      </w:r>
      <w:r w:rsidR="00897EAD">
        <w:rPr>
          <w:color w:val="000000"/>
        </w:rPr>
        <w:t xml:space="preserve"> at 5pm</w:t>
      </w:r>
      <w:r w:rsidR="00F42C7D">
        <w:rPr>
          <w:color w:val="000000"/>
        </w:rPr>
        <w:t>.</w:t>
      </w:r>
    </w:p>
    <w:p w14:paraId="0AD04046" w14:textId="77777777" w:rsidR="00F42C7D" w:rsidRDefault="00F42C7D" w:rsidP="00E86960">
      <w:pPr>
        <w:jc w:val="both"/>
        <w:rPr>
          <w:color w:val="000000"/>
        </w:rPr>
      </w:pPr>
    </w:p>
    <w:p w14:paraId="5F92908E" w14:textId="77777777" w:rsidR="00F42C7D" w:rsidRDefault="00F42C7D" w:rsidP="00E86960">
      <w:pPr>
        <w:jc w:val="both"/>
        <w:rPr>
          <w:color w:val="000000"/>
        </w:rPr>
      </w:pPr>
    </w:p>
    <w:p w14:paraId="3A60FF81" w14:textId="32EA2EEB" w:rsidR="00F42C7D" w:rsidRDefault="00F42C7D" w:rsidP="00F42C7D">
      <w:pPr>
        <w:jc w:val="both"/>
        <w:rPr>
          <w:color w:val="76923C" w:themeColor="accent3" w:themeShade="BF"/>
        </w:rPr>
      </w:pPr>
      <w:r w:rsidRPr="00B8361C">
        <w:rPr>
          <w:color w:val="76923C" w:themeColor="accent3" w:themeShade="BF"/>
        </w:rPr>
        <w:t>Question 1:</w:t>
      </w:r>
    </w:p>
    <w:p w14:paraId="2E29D3A1" w14:textId="77777777" w:rsidR="00874824" w:rsidRDefault="00874824" w:rsidP="00F42C7D">
      <w:pPr>
        <w:jc w:val="both"/>
        <w:rPr>
          <w:color w:val="76923C" w:themeColor="accent3" w:themeShade="BF"/>
        </w:rPr>
      </w:pPr>
    </w:p>
    <w:p w14:paraId="0050700E" w14:textId="0B956CB5" w:rsidR="00874824" w:rsidRDefault="00874824" w:rsidP="00F42C7D">
      <w:pPr>
        <w:jc w:val="both"/>
        <w:rPr>
          <w:color w:val="auto"/>
        </w:rPr>
      </w:pPr>
      <w:r w:rsidRPr="00874824">
        <w:rPr>
          <w:color w:val="auto"/>
        </w:rPr>
        <w:t>Please</w:t>
      </w:r>
      <w:r>
        <w:rPr>
          <w:color w:val="auto"/>
        </w:rPr>
        <w:t xml:space="preserve"> </w:t>
      </w:r>
      <w:r w:rsidR="00D41AF5">
        <w:rPr>
          <w:color w:val="auto"/>
        </w:rPr>
        <w:t>fill out the table below with information about your organisatio</w:t>
      </w:r>
      <w:r w:rsidR="0083486D">
        <w:rPr>
          <w:color w:val="auto"/>
        </w:rPr>
        <w:t>n.</w:t>
      </w:r>
    </w:p>
    <w:p w14:paraId="40E4D623" w14:textId="77777777" w:rsidR="004230B0" w:rsidRDefault="004230B0" w:rsidP="00F42C7D">
      <w:pPr>
        <w:jc w:val="both"/>
        <w:rPr>
          <w:color w:val="auto"/>
        </w:rPr>
      </w:pPr>
    </w:p>
    <w:tbl>
      <w:tblPr>
        <w:tblStyle w:val="TableGrid"/>
        <w:tblW w:w="0" w:type="auto"/>
        <w:tblLook w:val="04A0" w:firstRow="1" w:lastRow="0" w:firstColumn="1" w:lastColumn="0" w:noHBand="0" w:noVBand="1"/>
      </w:tblPr>
      <w:tblGrid>
        <w:gridCol w:w="2405"/>
        <w:gridCol w:w="6379"/>
        <w:gridCol w:w="1186"/>
      </w:tblGrid>
      <w:tr w:rsidR="00910E63" w14:paraId="50571BFC" w14:textId="441D8FFA" w:rsidTr="00F20264">
        <w:tc>
          <w:tcPr>
            <w:tcW w:w="2405" w:type="dxa"/>
            <w:shd w:val="clear" w:color="auto" w:fill="76923C" w:themeFill="accent3" w:themeFillShade="BF"/>
          </w:tcPr>
          <w:p w14:paraId="004FFE8E" w14:textId="0BC8A85D" w:rsidR="00910E63" w:rsidRPr="00F20264" w:rsidRDefault="00910E63" w:rsidP="00F42C7D">
            <w:pPr>
              <w:jc w:val="both"/>
              <w:rPr>
                <w:color w:val="FFFFFF" w:themeColor="background1"/>
              </w:rPr>
            </w:pPr>
            <w:r w:rsidRPr="00F20264">
              <w:rPr>
                <w:color w:val="FFFFFF" w:themeColor="background1"/>
              </w:rPr>
              <w:t>Company’s Name</w:t>
            </w:r>
          </w:p>
        </w:tc>
        <w:tc>
          <w:tcPr>
            <w:tcW w:w="7565" w:type="dxa"/>
            <w:gridSpan w:val="2"/>
          </w:tcPr>
          <w:p w14:paraId="3D293799" w14:textId="77777777" w:rsidR="00910E63" w:rsidRDefault="00910E63" w:rsidP="00F42C7D">
            <w:pPr>
              <w:jc w:val="both"/>
              <w:rPr>
                <w:color w:val="auto"/>
              </w:rPr>
            </w:pPr>
          </w:p>
        </w:tc>
      </w:tr>
      <w:tr w:rsidR="00910E63" w14:paraId="11A90CED" w14:textId="62242541" w:rsidTr="00F20264">
        <w:tc>
          <w:tcPr>
            <w:tcW w:w="2405" w:type="dxa"/>
            <w:shd w:val="clear" w:color="auto" w:fill="76923C" w:themeFill="accent3" w:themeFillShade="BF"/>
          </w:tcPr>
          <w:p w14:paraId="23F9A5B6" w14:textId="4D98B83D" w:rsidR="00910E63" w:rsidRPr="00F20264" w:rsidRDefault="00910E63" w:rsidP="00F42C7D">
            <w:pPr>
              <w:jc w:val="both"/>
              <w:rPr>
                <w:color w:val="FFFFFF" w:themeColor="background1"/>
              </w:rPr>
            </w:pPr>
            <w:r w:rsidRPr="00F20264">
              <w:rPr>
                <w:color w:val="FFFFFF" w:themeColor="background1"/>
              </w:rPr>
              <w:t>Company’s Address</w:t>
            </w:r>
          </w:p>
        </w:tc>
        <w:tc>
          <w:tcPr>
            <w:tcW w:w="7565" w:type="dxa"/>
            <w:gridSpan w:val="2"/>
          </w:tcPr>
          <w:p w14:paraId="1FB61844" w14:textId="77777777" w:rsidR="00910E63" w:rsidRDefault="00910E63" w:rsidP="00F42C7D">
            <w:pPr>
              <w:jc w:val="both"/>
              <w:rPr>
                <w:color w:val="auto"/>
              </w:rPr>
            </w:pPr>
          </w:p>
        </w:tc>
      </w:tr>
      <w:tr w:rsidR="00910E63" w14:paraId="227999DD" w14:textId="4AD820A6" w:rsidTr="00F20264">
        <w:tc>
          <w:tcPr>
            <w:tcW w:w="2405" w:type="dxa"/>
            <w:shd w:val="clear" w:color="auto" w:fill="76923C" w:themeFill="accent3" w:themeFillShade="BF"/>
          </w:tcPr>
          <w:p w14:paraId="38D98325" w14:textId="032B57C6" w:rsidR="00910E63" w:rsidRPr="00F20264" w:rsidRDefault="00910E63" w:rsidP="00F42C7D">
            <w:pPr>
              <w:jc w:val="both"/>
              <w:rPr>
                <w:color w:val="FFFFFF" w:themeColor="background1"/>
              </w:rPr>
            </w:pPr>
            <w:r w:rsidRPr="00F20264">
              <w:rPr>
                <w:color w:val="FFFFFF" w:themeColor="background1"/>
              </w:rPr>
              <w:t>Contact Name</w:t>
            </w:r>
          </w:p>
        </w:tc>
        <w:tc>
          <w:tcPr>
            <w:tcW w:w="7565" w:type="dxa"/>
            <w:gridSpan w:val="2"/>
          </w:tcPr>
          <w:p w14:paraId="60696442" w14:textId="77777777" w:rsidR="00910E63" w:rsidRDefault="00910E63" w:rsidP="00F42C7D">
            <w:pPr>
              <w:jc w:val="both"/>
              <w:rPr>
                <w:color w:val="auto"/>
              </w:rPr>
            </w:pPr>
          </w:p>
        </w:tc>
      </w:tr>
      <w:tr w:rsidR="00910E63" w14:paraId="61861954" w14:textId="4C6631B2" w:rsidTr="00F20264">
        <w:tc>
          <w:tcPr>
            <w:tcW w:w="2405" w:type="dxa"/>
            <w:shd w:val="clear" w:color="auto" w:fill="76923C" w:themeFill="accent3" w:themeFillShade="BF"/>
          </w:tcPr>
          <w:p w14:paraId="2E107599" w14:textId="0E1EA966" w:rsidR="00910E63" w:rsidRPr="00F20264" w:rsidRDefault="00910E63" w:rsidP="00F42C7D">
            <w:pPr>
              <w:jc w:val="both"/>
              <w:rPr>
                <w:color w:val="FFFFFF" w:themeColor="background1"/>
              </w:rPr>
            </w:pPr>
            <w:r w:rsidRPr="00F20264">
              <w:rPr>
                <w:color w:val="FFFFFF" w:themeColor="background1"/>
              </w:rPr>
              <w:t>Contact Email</w:t>
            </w:r>
          </w:p>
        </w:tc>
        <w:tc>
          <w:tcPr>
            <w:tcW w:w="7565" w:type="dxa"/>
            <w:gridSpan w:val="2"/>
          </w:tcPr>
          <w:p w14:paraId="078D5CCC" w14:textId="77777777" w:rsidR="00910E63" w:rsidRDefault="00910E63" w:rsidP="00F42C7D">
            <w:pPr>
              <w:jc w:val="both"/>
              <w:rPr>
                <w:color w:val="auto"/>
              </w:rPr>
            </w:pPr>
          </w:p>
        </w:tc>
      </w:tr>
      <w:tr w:rsidR="00910E63" w14:paraId="68A40B14" w14:textId="5D767E43" w:rsidTr="00F20264">
        <w:tc>
          <w:tcPr>
            <w:tcW w:w="9970" w:type="dxa"/>
            <w:gridSpan w:val="3"/>
            <w:shd w:val="clear" w:color="auto" w:fill="76923C" w:themeFill="accent3" w:themeFillShade="BF"/>
          </w:tcPr>
          <w:p w14:paraId="25D6B3C6" w14:textId="202770DA" w:rsidR="00910E63" w:rsidRPr="00F87F2D" w:rsidRDefault="00910E63" w:rsidP="00F20264">
            <w:pPr>
              <w:jc w:val="center"/>
              <w:rPr>
                <w:b/>
                <w:bCs/>
                <w:color w:val="FFFFFF" w:themeColor="background1"/>
              </w:rPr>
            </w:pPr>
            <w:r w:rsidRPr="00F87F2D">
              <w:rPr>
                <w:b/>
                <w:bCs/>
                <w:color w:val="FFFFFF" w:themeColor="background1"/>
              </w:rPr>
              <w:t xml:space="preserve">Please choose </w:t>
            </w:r>
            <w:r w:rsidR="007C0B33">
              <w:rPr>
                <w:b/>
                <w:bCs/>
                <w:color w:val="FFFFFF" w:themeColor="background1"/>
              </w:rPr>
              <w:t>the</w:t>
            </w:r>
            <w:r w:rsidR="00F20264" w:rsidRPr="00F87F2D">
              <w:rPr>
                <w:b/>
                <w:bCs/>
                <w:color w:val="FFFFFF" w:themeColor="background1"/>
              </w:rPr>
              <w:t xml:space="preserve"> delivery model</w:t>
            </w:r>
            <w:r w:rsidR="00BE7773" w:rsidRPr="00F87F2D">
              <w:rPr>
                <w:b/>
                <w:bCs/>
                <w:color w:val="FFFFFF" w:themeColor="background1"/>
              </w:rPr>
              <w:t xml:space="preserve"> </w:t>
            </w:r>
            <w:r w:rsidR="007C0B33">
              <w:rPr>
                <w:b/>
                <w:bCs/>
                <w:color w:val="FFFFFF" w:themeColor="background1"/>
              </w:rPr>
              <w:t>that best describe</w:t>
            </w:r>
            <w:r w:rsidR="009E4EC8">
              <w:rPr>
                <w:b/>
                <w:bCs/>
                <w:color w:val="FFFFFF" w:themeColor="background1"/>
              </w:rPr>
              <w:t>s</w:t>
            </w:r>
            <w:r w:rsidR="007C0B33">
              <w:rPr>
                <w:b/>
                <w:bCs/>
                <w:color w:val="FFFFFF" w:themeColor="background1"/>
              </w:rPr>
              <w:t xml:space="preserve"> your organisation </w:t>
            </w:r>
            <w:r w:rsidR="00BE7773" w:rsidRPr="00F87F2D">
              <w:rPr>
                <w:b/>
                <w:bCs/>
                <w:color w:val="FFFFFF" w:themeColor="background1"/>
              </w:rPr>
              <w:t>(tick as suitable)</w:t>
            </w:r>
          </w:p>
        </w:tc>
      </w:tr>
      <w:tr w:rsidR="00F20264" w:rsidRPr="00F20264" w14:paraId="5D476320" w14:textId="5A649874" w:rsidTr="00F87F2D">
        <w:trPr>
          <w:trHeight w:val="670"/>
        </w:trPr>
        <w:tc>
          <w:tcPr>
            <w:tcW w:w="2405" w:type="dxa"/>
            <w:shd w:val="clear" w:color="auto" w:fill="auto"/>
            <w:vAlign w:val="center"/>
          </w:tcPr>
          <w:p w14:paraId="7849FFD0" w14:textId="30EC5615" w:rsidR="00910E63" w:rsidRPr="00F20264" w:rsidRDefault="00F20264" w:rsidP="00BE7773">
            <w:pPr>
              <w:rPr>
                <w:color w:val="auto"/>
              </w:rPr>
            </w:pPr>
            <w:r w:rsidRPr="00F20264">
              <w:rPr>
                <w:color w:val="auto"/>
              </w:rPr>
              <w:t>Single</w:t>
            </w:r>
            <w:r>
              <w:rPr>
                <w:color w:val="auto"/>
              </w:rPr>
              <w:t xml:space="preserve"> Service</w:t>
            </w:r>
          </w:p>
        </w:tc>
        <w:tc>
          <w:tcPr>
            <w:tcW w:w="6379" w:type="dxa"/>
            <w:vAlign w:val="center"/>
          </w:tcPr>
          <w:p w14:paraId="49E7D0F0" w14:textId="7F2F9F47" w:rsidR="00910E63" w:rsidRPr="00F20264" w:rsidRDefault="00EC1390" w:rsidP="00323A92">
            <w:pPr>
              <w:jc w:val="both"/>
              <w:rPr>
                <w:color w:val="auto"/>
              </w:rPr>
            </w:pPr>
            <w:r>
              <w:rPr>
                <w:color w:val="auto"/>
              </w:rPr>
              <w:t>A s</w:t>
            </w:r>
            <w:r w:rsidR="000536AE" w:rsidRPr="00A75117">
              <w:rPr>
                <w:color w:val="auto"/>
              </w:rPr>
              <w:t xml:space="preserve">pecialist Company </w:t>
            </w:r>
            <w:r>
              <w:rPr>
                <w:color w:val="auto"/>
              </w:rPr>
              <w:t>that</w:t>
            </w:r>
            <w:r w:rsidR="00A75117" w:rsidRPr="00A75117">
              <w:rPr>
                <w:color w:val="auto"/>
              </w:rPr>
              <w:t xml:space="preserve"> covers one</w:t>
            </w:r>
            <w:r w:rsidR="00B5696F">
              <w:rPr>
                <w:color w:val="auto"/>
              </w:rPr>
              <w:t xml:space="preserve"> or two</w:t>
            </w:r>
            <w:r w:rsidR="00A75117" w:rsidRPr="00A75117">
              <w:rPr>
                <w:color w:val="auto"/>
              </w:rPr>
              <w:t xml:space="preserve"> </w:t>
            </w:r>
            <w:r w:rsidR="00A75117">
              <w:rPr>
                <w:color w:val="auto"/>
              </w:rPr>
              <w:t xml:space="preserve">of the service lines included in the scope of this </w:t>
            </w:r>
            <w:r w:rsidR="00BE7773">
              <w:rPr>
                <w:color w:val="auto"/>
              </w:rPr>
              <w:t>questionnaire</w:t>
            </w:r>
          </w:p>
        </w:tc>
        <w:tc>
          <w:tcPr>
            <w:tcW w:w="1186" w:type="dxa"/>
            <w:vAlign w:val="center"/>
          </w:tcPr>
          <w:p w14:paraId="60396F7B" w14:textId="3296E668" w:rsidR="00910E63" w:rsidRPr="00F20264" w:rsidRDefault="00910E63" w:rsidP="00BE7773">
            <w:pPr>
              <w:rPr>
                <w:color w:val="auto"/>
              </w:rPr>
            </w:pPr>
          </w:p>
        </w:tc>
      </w:tr>
      <w:tr w:rsidR="00F20264" w:rsidRPr="00F20264" w14:paraId="157D5E6B" w14:textId="2FE6CB56" w:rsidTr="00F87F2D">
        <w:trPr>
          <w:trHeight w:val="670"/>
        </w:trPr>
        <w:tc>
          <w:tcPr>
            <w:tcW w:w="2405" w:type="dxa"/>
            <w:shd w:val="clear" w:color="auto" w:fill="auto"/>
            <w:vAlign w:val="center"/>
          </w:tcPr>
          <w:p w14:paraId="16B29799" w14:textId="75A7C936" w:rsidR="00910E63" w:rsidRPr="00F20264" w:rsidRDefault="00F20264" w:rsidP="00BE7773">
            <w:pPr>
              <w:rPr>
                <w:color w:val="auto"/>
              </w:rPr>
            </w:pPr>
            <w:r>
              <w:rPr>
                <w:color w:val="auto"/>
              </w:rPr>
              <w:t>Bundled Services</w:t>
            </w:r>
          </w:p>
        </w:tc>
        <w:tc>
          <w:tcPr>
            <w:tcW w:w="6379" w:type="dxa"/>
            <w:vAlign w:val="center"/>
          </w:tcPr>
          <w:p w14:paraId="5C6E7B4F" w14:textId="397B5DEC" w:rsidR="00910E63" w:rsidRPr="00F20264" w:rsidRDefault="00EC1390" w:rsidP="00323A92">
            <w:pPr>
              <w:jc w:val="both"/>
              <w:rPr>
                <w:color w:val="auto"/>
              </w:rPr>
            </w:pPr>
            <w:r>
              <w:rPr>
                <w:color w:val="auto"/>
              </w:rPr>
              <w:t>A c</w:t>
            </w:r>
            <w:r w:rsidR="006355B4" w:rsidRPr="00A75117">
              <w:rPr>
                <w:color w:val="auto"/>
              </w:rPr>
              <w:t xml:space="preserve">ompany </w:t>
            </w:r>
            <w:r>
              <w:rPr>
                <w:color w:val="auto"/>
              </w:rPr>
              <w:t>that</w:t>
            </w:r>
            <w:r w:rsidR="006355B4" w:rsidRPr="00A75117">
              <w:rPr>
                <w:color w:val="auto"/>
              </w:rPr>
              <w:t xml:space="preserve"> covers </w:t>
            </w:r>
            <w:r w:rsidR="006355B4">
              <w:rPr>
                <w:color w:val="auto"/>
              </w:rPr>
              <w:t>several of the service lines included in the scope of this questionnair</w:t>
            </w:r>
            <w:r w:rsidR="00F87F2D">
              <w:rPr>
                <w:color w:val="auto"/>
              </w:rPr>
              <w:t>e</w:t>
            </w:r>
          </w:p>
        </w:tc>
        <w:tc>
          <w:tcPr>
            <w:tcW w:w="1186" w:type="dxa"/>
            <w:vAlign w:val="center"/>
          </w:tcPr>
          <w:p w14:paraId="4413817A" w14:textId="77777777" w:rsidR="00910E63" w:rsidRPr="00F20264" w:rsidRDefault="00910E63" w:rsidP="00BE7773">
            <w:pPr>
              <w:rPr>
                <w:color w:val="auto"/>
              </w:rPr>
            </w:pPr>
          </w:p>
        </w:tc>
      </w:tr>
      <w:tr w:rsidR="00F20264" w:rsidRPr="00F20264" w14:paraId="39893641" w14:textId="12449E9D" w:rsidTr="00F87F2D">
        <w:trPr>
          <w:trHeight w:val="670"/>
        </w:trPr>
        <w:tc>
          <w:tcPr>
            <w:tcW w:w="2405" w:type="dxa"/>
            <w:shd w:val="clear" w:color="auto" w:fill="auto"/>
            <w:vAlign w:val="center"/>
          </w:tcPr>
          <w:p w14:paraId="059BE4C0" w14:textId="48907808" w:rsidR="00910E63" w:rsidRPr="00F20264" w:rsidRDefault="00F20264" w:rsidP="00BE7773">
            <w:pPr>
              <w:rPr>
                <w:color w:val="auto"/>
              </w:rPr>
            </w:pPr>
            <w:r>
              <w:rPr>
                <w:color w:val="auto"/>
              </w:rPr>
              <w:t>Total Hard FM</w:t>
            </w:r>
          </w:p>
        </w:tc>
        <w:tc>
          <w:tcPr>
            <w:tcW w:w="6379" w:type="dxa"/>
            <w:vAlign w:val="center"/>
          </w:tcPr>
          <w:p w14:paraId="48A33DDE" w14:textId="77BE71AF" w:rsidR="00910E63" w:rsidRPr="00F20264" w:rsidRDefault="00F87F2D" w:rsidP="00323A92">
            <w:pPr>
              <w:jc w:val="both"/>
              <w:rPr>
                <w:color w:val="auto"/>
              </w:rPr>
            </w:pPr>
            <w:r>
              <w:rPr>
                <w:color w:val="auto"/>
              </w:rPr>
              <w:t>A tier 1 company that can provide all or most of the services included in the scope of this questionnaire</w:t>
            </w:r>
          </w:p>
        </w:tc>
        <w:tc>
          <w:tcPr>
            <w:tcW w:w="1186" w:type="dxa"/>
            <w:vAlign w:val="center"/>
          </w:tcPr>
          <w:p w14:paraId="6D85A168" w14:textId="77777777" w:rsidR="00910E63" w:rsidRPr="00F20264" w:rsidRDefault="00910E63" w:rsidP="00BE7773">
            <w:pPr>
              <w:rPr>
                <w:color w:val="auto"/>
              </w:rPr>
            </w:pPr>
          </w:p>
        </w:tc>
      </w:tr>
    </w:tbl>
    <w:p w14:paraId="2E50E9E2" w14:textId="77777777" w:rsidR="004230B0" w:rsidRPr="00F20264" w:rsidRDefault="004230B0" w:rsidP="00F42C7D">
      <w:pPr>
        <w:jc w:val="both"/>
        <w:rPr>
          <w:color w:val="auto"/>
        </w:rPr>
      </w:pPr>
    </w:p>
    <w:p w14:paraId="53B3B135" w14:textId="77777777" w:rsidR="00874824" w:rsidRPr="00B8361C" w:rsidRDefault="00874824" w:rsidP="00F42C7D">
      <w:pPr>
        <w:jc w:val="both"/>
        <w:rPr>
          <w:color w:val="76923C" w:themeColor="accent3" w:themeShade="BF"/>
        </w:rPr>
      </w:pPr>
    </w:p>
    <w:p w14:paraId="1154D9DD" w14:textId="79B47AAE" w:rsidR="00F42C7D" w:rsidRDefault="00874824" w:rsidP="00F42C7D">
      <w:pPr>
        <w:jc w:val="both"/>
        <w:rPr>
          <w:color w:val="76923C" w:themeColor="accent3" w:themeShade="BF"/>
        </w:rPr>
      </w:pPr>
      <w:r w:rsidRPr="00B8361C">
        <w:rPr>
          <w:color w:val="76923C" w:themeColor="accent3" w:themeShade="BF"/>
        </w:rPr>
        <w:t xml:space="preserve">Question </w:t>
      </w:r>
      <w:r>
        <w:rPr>
          <w:color w:val="76923C" w:themeColor="accent3" w:themeShade="BF"/>
        </w:rPr>
        <w:t>2</w:t>
      </w:r>
      <w:r w:rsidRPr="00B8361C">
        <w:rPr>
          <w:color w:val="76923C" w:themeColor="accent3" w:themeShade="BF"/>
        </w:rPr>
        <w:t>:</w:t>
      </w:r>
    </w:p>
    <w:p w14:paraId="20A5BEC4" w14:textId="77777777" w:rsidR="00874824" w:rsidRDefault="00874824" w:rsidP="00F42C7D">
      <w:pPr>
        <w:jc w:val="both"/>
        <w:rPr>
          <w:color w:val="000000"/>
        </w:rPr>
      </w:pPr>
    </w:p>
    <w:p w14:paraId="06CE7876" w14:textId="77777777" w:rsidR="006F3B64" w:rsidRDefault="00F42C7D" w:rsidP="00F42C7D">
      <w:pPr>
        <w:jc w:val="both"/>
        <w:rPr>
          <w:color w:val="000000"/>
        </w:rPr>
      </w:pPr>
      <w:r>
        <w:rPr>
          <w:color w:val="000000"/>
        </w:rPr>
        <w:t xml:space="preserve">Please provide examples of </w:t>
      </w:r>
      <w:r w:rsidR="00AB35F8">
        <w:rPr>
          <w:color w:val="000000"/>
        </w:rPr>
        <w:t xml:space="preserve">your previous experience in the housing </w:t>
      </w:r>
      <w:r w:rsidR="00CA57C7">
        <w:rPr>
          <w:color w:val="000000"/>
        </w:rPr>
        <w:t>sector</w:t>
      </w:r>
      <w:r w:rsidR="00AB35F8">
        <w:rPr>
          <w:color w:val="000000"/>
        </w:rPr>
        <w:t xml:space="preserve">. </w:t>
      </w:r>
    </w:p>
    <w:p w14:paraId="45725E81" w14:textId="77777777" w:rsidR="006F3B64" w:rsidRDefault="006F3B64" w:rsidP="00F42C7D">
      <w:pPr>
        <w:jc w:val="both"/>
        <w:rPr>
          <w:color w:val="000000"/>
        </w:rPr>
      </w:pPr>
    </w:p>
    <w:p w14:paraId="6E521C64" w14:textId="39EFF40D" w:rsidR="00F42C7D" w:rsidRDefault="00AB35F8" w:rsidP="00F42C7D">
      <w:pPr>
        <w:jc w:val="both"/>
        <w:rPr>
          <w:color w:val="000000"/>
        </w:rPr>
      </w:pPr>
      <w:r>
        <w:rPr>
          <w:color w:val="000000"/>
        </w:rPr>
        <w:t xml:space="preserve">Your examples shall include information about the </w:t>
      </w:r>
      <w:r w:rsidR="00CA57C7">
        <w:rPr>
          <w:color w:val="000000"/>
        </w:rPr>
        <w:t xml:space="preserve">client, the scope of the contract, the </w:t>
      </w:r>
      <w:r>
        <w:rPr>
          <w:color w:val="000000"/>
        </w:rPr>
        <w:t xml:space="preserve">contract value, the </w:t>
      </w:r>
      <w:r w:rsidR="00CA57C7">
        <w:rPr>
          <w:color w:val="000000"/>
        </w:rPr>
        <w:t>contract term and the geographical location(s)</w:t>
      </w:r>
    </w:p>
    <w:p w14:paraId="3959F307" w14:textId="77777777" w:rsidR="00CA57C7" w:rsidRDefault="00CA57C7" w:rsidP="00F42C7D">
      <w:pPr>
        <w:jc w:val="both"/>
        <w:rPr>
          <w:color w:val="000000"/>
        </w:rPr>
      </w:pPr>
    </w:p>
    <w:p w14:paraId="3D38CFEE" w14:textId="1F21266A" w:rsidR="00CA57C7" w:rsidRPr="00F42C7D" w:rsidRDefault="00CA57C7" w:rsidP="00F42C7D">
      <w:pPr>
        <w:jc w:val="both"/>
        <w:rPr>
          <w:color w:val="000000"/>
        </w:rPr>
      </w:pPr>
      <w:r>
        <w:rPr>
          <w:color w:val="000000"/>
        </w:rPr>
        <w:t xml:space="preserve">If you do not have experience in the housing sector, please provide an example of </w:t>
      </w:r>
      <w:r w:rsidR="00B8361C">
        <w:rPr>
          <w:color w:val="000000"/>
        </w:rPr>
        <w:t>your</w:t>
      </w:r>
      <w:r>
        <w:rPr>
          <w:color w:val="000000"/>
        </w:rPr>
        <w:t xml:space="preserve"> most relevant e</w:t>
      </w:r>
      <w:r w:rsidR="00B8361C">
        <w:rPr>
          <w:color w:val="000000"/>
        </w:rPr>
        <w:t>xperience.</w:t>
      </w:r>
    </w:p>
    <w:p w14:paraId="09E5BF61" w14:textId="77777777" w:rsidR="00214CB0" w:rsidRPr="00B15FA3" w:rsidRDefault="00214CB0" w:rsidP="00075C10">
      <w:pPr>
        <w:rPr>
          <w:b/>
          <w:color w:val="000000"/>
        </w:rPr>
      </w:pPr>
    </w:p>
    <w:p w14:paraId="5EB49C80" w14:textId="77777777" w:rsidR="00B8361C" w:rsidRDefault="00B8361C"/>
    <w:p w14:paraId="353A72EB" w14:textId="18D4FA99" w:rsidR="00B8361C" w:rsidRPr="00B8361C" w:rsidRDefault="00B8361C">
      <w:pPr>
        <w:rPr>
          <w:color w:val="76923C" w:themeColor="accent3" w:themeShade="BF"/>
        </w:rPr>
      </w:pPr>
      <w:r w:rsidRPr="00B8361C">
        <w:rPr>
          <w:color w:val="76923C" w:themeColor="accent3" w:themeShade="BF"/>
        </w:rPr>
        <w:t xml:space="preserve">Question </w:t>
      </w:r>
      <w:r w:rsidR="00874824">
        <w:rPr>
          <w:color w:val="76923C" w:themeColor="accent3" w:themeShade="BF"/>
        </w:rPr>
        <w:t>3</w:t>
      </w:r>
      <w:r w:rsidRPr="00B8361C">
        <w:rPr>
          <w:color w:val="76923C" w:themeColor="accent3" w:themeShade="BF"/>
        </w:rPr>
        <w:t>:</w:t>
      </w:r>
    </w:p>
    <w:p w14:paraId="1A3339EB" w14:textId="77777777" w:rsidR="00B8361C" w:rsidRDefault="00B8361C"/>
    <w:p w14:paraId="5B43AB82" w14:textId="177EE621" w:rsidR="00D23CDA" w:rsidRDefault="00483540" w:rsidP="00483540">
      <w:pPr>
        <w:jc w:val="both"/>
        <w:rPr>
          <w:color w:val="000000"/>
        </w:rPr>
      </w:pPr>
      <w:r w:rsidRPr="00483540">
        <w:rPr>
          <w:color w:val="000000"/>
        </w:rPr>
        <w:t>Please</w:t>
      </w:r>
      <w:r>
        <w:rPr>
          <w:color w:val="000000"/>
        </w:rPr>
        <w:t xml:space="preserve"> </w:t>
      </w:r>
      <w:r w:rsidR="00D23CDA">
        <w:rPr>
          <w:color w:val="000000"/>
        </w:rPr>
        <w:t>provide information about the following service</w:t>
      </w:r>
      <w:r w:rsidR="00B5696F">
        <w:rPr>
          <w:color w:val="000000"/>
        </w:rPr>
        <w:t xml:space="preserve"> lines</w:t>
      </w:r>
      <w:r w:rsidR="00D23CDA">
        <w:rPr>
          <w:color w:val="000000"/>
        </w:rPr>
        <w:t xml:space="preserve">. </w:t>
      </w:r>
    </w:p>
    <w:p w14:paraId="78A9555B" w14:textId="77777777" w:rsidR="00D23CDA" w:rsidRDefault="00D23CDA" w:rsidP="00483540">
      <w:pPr>
        <w:jc w:val="both"/>
        <w:rPr>
          <w:color w:val="000000"/>
        </w:rPr>
      </w:pPr>
    </w:p>
    <w:p w14:paraId="5D03C000" w14:textId="13B4341C" w:rsidR="00965B54" w:rsidRDefault="00D23CDA" w:rsidP="00483540">
      <w:pPr>
        <w:jc w:val="both"/>
        <w:rPr>
          <w:color w:val="000000"/>
        </w:rPr>
      </w:pPr>
      <w:r>
        <w:rPr>
          <w:color w:val="000000"/>
        </w:rPr>
        <w:t xml:space="preserve">If </w:t>
      </w:r>
      <w:r w:rsidR="00B5696F">
        <w:rPr>
          <w:color w:val="000000"/>
        </w:rPr>
        <w:t>you deliver the</w:t>
      </w:r>
      <w:r>
        <w:rPr>
          <w:color w:val="000000"/>
        </w:rPr>
        <w:t xml:space="preserve"> services in house (or partially in house) please detail the number of technicians currently employed.</w:t>
      </w:r>
    </w:p>
    <w:p w14:paraId="0987B732" w14:textId="77777777" w:rsidR="00D23CDA" w:rsidRDefault="00D23CDA" w:rsidP="00483540">
      <w:pPr>
        <w:jc w:val="both"/>
        <w:rPr>
          <w:color w:val="000000"/>
        </w:rPr>
      </w:pPr>
    </w:p>
    <w:p w14:paraId="2A6D3E98" w14:textId="2683A88B" w:rsidR="00D23CDA" w:rsidRDefault="00D23CDA" w:rsidP="00483540">
      <w:pPr>
        <w:jc w:val="both"/>
        <w:rPr>
          <w:color w:val="000000"/>
        </w:rPr>
      </w:pPr>
      <w:r>
        <w:rPr>
          <w:color w:val="000000"/>
        </w:rPr>
        <w:t>If the services are sub-contracted, or partially</w:t>
      </w:r>
      <w:r w:rsidR="00C42EF0">
        <w:rPr>
          <w:color w:val="000000"/>
        </w:rPr>
        <w:t xml:space="preserve"> sub-contracted</w:t>
      </w:r>
      <w:r>
        <w:rPr>
          <w:color w:val="000000"/>
        </w:rPr>
        <w:t xml:space="preserve">, please identify the </w:t>
      </w:r>
      <w:r w:rsidR="000502CA">
        <w:rPr>
          <w:color w:val="000000"/>
        </w:rPr>
        <w:t xml:space="preserve">main </w:t>
      </w:r>
      <w:r>
        <w:rPr>
          <w:color w:val="000000"/>
        </w:rPr>
        <w:t>sub-contractor</w:t>
      </w:r>
      <w:r w:rsidR="000502CA">
        <w:rPr>
          <w:color w:val="000000"/>
        </w:rPr>
        <w:t>(</w:t>
      </w:r>
      <w:r>
        <w:rPr>
          <w:color w:val="000000"/>
        </w:rPr>
        <w:t>s</w:t>
      </w:r>
      <w:r w:rsidR="000502CA">
        <w:rPr>
          <w:color w:val="000000"/>
        </w:rPr>
        <w:t>)</w:t>
      </w:r>
      <w:r w:rsidR="00C42EF0">
        <w:rPr>
          <w:color w:val="000000"/>
        </w:rPr>
        <w:t xml:space="preserve"> in your supply chain.</w:t>
      </w:r>
    </w:p>
    <w:p w14:paraId="04F729F2" w14:textId="77777777" w:rsidR="00C42EF0" w:rsidRDefault="00C42EF0" w:rsidP="00483540">
      <w:pPr>
        <w:jc w:val="both"/>
        <w:rPr>
          <w:color w:val="000000"/>
        </w:rPr>
      </w:pPr>
    </w:p>
    <w:p w14:paraId="38A71CB1" w14:textId="3DB5A50C" w:rsidR="00C42EF0" w:rsidRDefault="00C42EF0" w:rsidP="00483540">
      <w:pPr>
        <w:jc w:val="both"/>
        <w:rPr>
          <w:color w:val="000000"/>
        </w:rPr>
      </w:pPr>
      <w:r>
        <w:rPr>
          <w:color w:val="000000"/>
        </w:rPr>
        <w:t>Also, please provide details of the geographic</w:t>
      </w:r>
      <w:r w:rsidR="00B10CC8">
        <w:rPr>
          <w:color w:val="000000"/>
        </w:rPr>
        <w:t>al areas where you are currently providing these types of services.</w:t>
      </w:r>
    </w:p>
    <w:p w14:paraId="56618E3F" w14:textId="77777777" w:rsidR="00546C9B" w:rsidRDefault="00546C9B" w:rsidP="00483540">
      <w:pPr>
        <w:jc w:val="both"/>
        <w:rPr>
          <w:color w:val="000000"/>
        </w:rPr>
      </w:pPr>
    </w:p>
    <w:p w14:paraId="0F91845F" w14:textId="2FD1C4D4" w:rsidR="00546C9B" w:rsidRDefault="00903037" w:rsidP="00483540">
      <w:pPr>
        <w:jc w:val="both"/>
        <w:rPr>
          <w:color w:val="000000"/>
        </w:rPr>
      </w:pPr>
      <w:r>
        <w:rPr>
          <w:color w:val="000000"/>
        </w:rPr>
        <w:t xml:space="preserve">Services that are not relevant to your organisation can be left blank or </w:t>
      </w:r>
      <w:r w:rsidR="00B42683">
        <w:rPr>
          <w:color w:val="000000"/>
        </w:rPr>
        <w:t>marked as N/A.</w:t>
      </w:r>
    </w:p>
    <w:p w14:paraId="1B32316B" w14:textId="77777777" w:rsidR="00B5696F" w:rsidRPr="00483540" w:rsidRDefault="00B5696F" w:rsidP="00483540">
      <w:pPr>
        <w:jc w:val="both"/>
        <w:rPr>
          <w:color w:val="000000"/>
        </w:rPr>
      </w:pPr>
    </w:p>
    <w:p w14:paraId="2CE8BB03" w14:textId="77777777" w:rsidR="00F240AD" w:rsidRDefault="00F240AD"/>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701"/>
        <w:gridCol w:w="1559"/>
        <w:gridCol w:w="1559"/>
      </w:tblGrid>
      <w:tr w:rsidR="009D1C36" w:rsidRPr="009D1C36" w14:paraId="79933053" w14:textId="171FD2EE" w:rsidTr="00FD06F0">
        <w:trPr>
          <w:cantSplit/>
          <w:tblHeader/>
        </w:trPr>
        <w:tc>
          <w:tcPr>
            <w:tcW w:w="5240" w:type="dxa"/>
            <w:shd w:val="clear" w:color="auto" w:fill="76923C" w:themeFill="accent3" w:themeFillShade="BF"/>
            <w:vAlign w:val="center"/>
          </w:tcPr>
          <w:p w14:paraId="775B36D5" w14:textId="39BAEA9D" w:rsidR="00F240AD" w:rsidRPr="009D1C36" w:rsidRDefault="009D1C36" w:rsidP="00FD06F0">
            <w:pPr>
              <w:rPr>
                <w:rFonts w:eastAsia="Arial"/>
                <w:b/>
                <w:bCs/>
                <w:color w:val="FFFFFF" w:themeColor="background1"/>
                <w:sz w:val="20"/>
                <w:szCs w:val="20"/>
              </w:rPr>
            </w:pPr>
            <w:r w:rsidRPr="009D1C36">
              <w:rPr>
                <w:rFonts w:eastAsia="Arial"/>
                <w:b/>
                <w:bCs/>
                <w:color w:val="FFFFFF" w:themeColor="background1"/>
                <w:sz w:val="20"/>
                <w:szCs w:val="20"/>
              </w:rPr>
              <w:lastRenderedPageBreak/>
              <w:t>Service</w:t>
            </w:r>
          </w:p>
        </w:tc>
        <w:tc>
          <w:tcPr>
            <w:tcW w:w="1701" w:type="dxa"/>
            <w:shd w:val="clear" w:color="auto" w:fill="76923C" w:themeFill="accent3" w:themeFillShade="BF"/>
            <w:vAlign w:val="center"/>
          </w:tcPr>
          <w:p w14:paraId="015373EE" w14:textId="78912592" w:rsidR="00F240AD" w:rsidRPr="009D1C36" w:rsidRDefault="00F240AD" w:rsidP="00B1187B">
            <w:pPr>
              <w:jc w:val="center"/>
              <w:rPr>
                <w:rFonts w:eastAsia="Arial"/>
                <w:b/>
                <w:bCs/>
                <w:color w:val="FFFFFF" w:themeColor="background1"/>
                <w:sz w:val="20"/>
                <w:szCs w:val="20"/>
              </w:rPr>
            </w:pPr>
            <w:r w:rsidRPr="009D1C36">
              <w:rPr>
                <w:rFonts w:eastAsia="Arial"/>
                <w:b/>
                <w:bCs/>
                <w:color w:val="FFFFFF" w:themeColor="background1"/>
                <w:sz w:val="20"/>
                <w:szCs w:val="20"/>
              </w:rPr>
              <w:t>In-House</w:t>
            </w:r>
          </w:p>
        </w:tc>
        <w:tc>
          <w:tcPr>
            <w:tcW w:w="1559" w:type="dxa"/>
            <w:shd w:val="clear" w:color="auto" w:fill="76923C" w:themeFill="accent3" w:themeFillShade="BF"/>
            <w:vAlign w:val="center"/>
          </w:tcPr>
          <w:p w14:paraId="5C0F6294" w14:textId="77AB3282" w:rsidR="00F240AD" w:rsidRPr="009D1C36" w:rsidRDefault="00F240AD" w:rsidP="00B1187B">
            <w:pPr>
              <w:jc w:val="center"/>
              <w:rPr>
                <w:rFonts w:eastAsia="Arial"/>
                <w:b/>
                <w:bCs/>
                <w:color w:val="FFFFFF" w:themeColor="background1"/>
                <w:sz w:val="20"/>
                <w:szCs w:val="20"/>
              </w:rPr>
            </w:pPr>
            <w:r w:rsidRPr="009D1C36">
              <w:rPr>
                <w:rFonts w:eastAsia="Arial"/>
                <w:b/>
                <w:bCs/>
                <w:color w:val="FFFFFF" w:themeColor="background1"/>
                <w:sz w:val="20"/>
                <w:szCs w:val="20"/>
              </w:rPr>
              <w:t>Sub-Contracted</w:t>
            </w:r>
          </w:p>
        </w:tc>
        <w:tc>
          <w:tcPr>
            <w:tcW w:w="1559" w:type="dxa"/>
            <w:shd w:val="clear" w:color="auto" w:fill="76923C" w:themeFill="accent3" w:themeFillShade="BF"/>
            <w:vAlign w:val="center"/>
          </w:tcPr>
          <w:p w14:paraId="3AEBAAA2" w14:textId="61CF98B7" w:rsidR="00F240AD" w:rsidRPr="009D1C36" w:rsidRDefault="00F240AD" w:rsidP="00B1187B">
            <w:pPr>
              <w:jc w:val="center"/>
              <w:rPr>
                <w:rFonts w:eastAsia="Arial"/>
                <w:b/>
                <w:bCs/>
                <w:color w:val="FFFFFF" w:themeColor="background1"/>
                <w:sz w:val="20"/>
                <w:szCs w:val="20"/>
              </w:rPr>
            </w:pPr>
            <w:r w:rsidRPr="009D1C36">
              <w:rPr>
                <w:rFonts w:eastAsia="Arial"/>
                <w:b/>
                <w:bCs/>
                <w:color w:val="FFFFFF" w:themeColor="background1"/>
                <w:sz w:val="20"/>
                <w:szCs w:val="20"/>
              </w:rPr>
              <w:t>Geographical Coverage</w:t>
            </w:r>
          </w:p>
        </w:tc>
      </w:tr>
      <w:tr w:rsidR="009D1C36" w:rsidRPr="00F240AD" w14:paraId="53C2BF31" w14:textId="39864AAA" w:rsidTr="00FD06F0">
        <w:trPr>
          <w:cantSplit/>
        </w:trPr>
        <w:tc>
          <w:tcPr>
            <w:tcW w:w="5240" w:type="dxa"/>
            <w:vAlign w:val="center"/>
          </w:tcPr>
          <w:p w14:paraId="1EB1C935" w14:textId="1CE90F93" w:rsidR="009D1C36" w:rsidRPr="00F240AD" w:rsidRDefault="009D1C36" w:rsidP="00FD06F0">
            <w:pPr>
              <w:rPr>
                <w:rFonts w:eastAsia="Arial"/>
                <w:color w:val="auto"/>
                <w:sz w:val="20"/>
                <w:szCs w:val="20"/>
              </w:rPr>
            </w:pPr>
            <w:r w:rsidRPr="00756308">
              <w:rPr>
                <w:sz w:val="20"/>
                <w:szCs w:val="20"/>
              </w:rPr>
              <w:t>AC &amp; Ventilation</w:t>
            </w:r>
            <w:r w:rsidR="00DC1694">
              <w:rPr>
                <w:sz w:val="20"/>
                <w:szCs w:val="20"/>
              </w:rPr>
              <w:t>, Ducks</w:t>
            </w:r>
            <w:r w:rsidRPr="00756308">
              <w:rPr>
                <w:sz w:val="20"/>
                <w:szCs w:val="20"/>
              </w:rPr>
              <w:t xml:space="preserve"> and Heat Recovery Systems </w:t>
            </w:r>
          </w:p>
        </w:tc>
        <w:tc>
          <w:tcPr>
            <w:tcW w:w="1701" w:type="dxa"/>
            <w:vAlign w:val="center"/>
          </w:tcPr>
          <w:p w14:paraId="2580A83C" w14:textId="735B4C8B" w:rsidR="009D1C36" w:rsidRPr="00F240AD" w:rsidRDefault="009D1C36" w:rsidP="00FD06F0">
            <w:pPr>
              <w:rPr>
                <w:rFonts w:eastAsia="Arial"/>
                <w:color w:val="auto"/>
                <w:sz w:val="20"/>
                <w:szCs w:val="20"/>
              </w:rPr>
            </w:pPr>
          </w:p>
        </w:tc>
        <w:tc>
          <w:tcPr>
            <w:tcW w:w="1559" w:type="dxa"/>
            <w:vAlign w:val="center"/>
          </w:tcPr>
          <w:p w14:paraId="08E08D96" w14:textId="77777777" w:rsidR="009D1C36" w:rsidRPr="00F240AD" w:rsidRDefault="009D1C36" w:rsidP="00FD06F0">
            <w:pPr>
              <w:rPr>
                <w:rFonts w:eastAsia="Arial"/>
                <w:color w:val="auto"/>
                <w:sz w:val="20"/>
                <w:szCs w:val="20"/>
              </w:rPr>
            </w:pPr>
          </w:p>
        </w:tc>
        <w:tc>
          <w:tcPr>
            <w:tcW w:w="1559" w:type="dxa"/>
            <w:vAlign w:val="center"/>
          </w:tcPr>
          <w:p w14:paraId="6FEB22CA" w14:textId="77777777" w:rsidR="009D1C36" w:rsidRPr="00F240AD" w:rsidRDefault="009D1C36" w:rsidP="00FD06F0">
            <w:pPr>
              <w:rPr>
                <w:rFonts w:eastAsia="Arial"/>
                <w:color w:val="auto"/>
                <w:sz w:val="20"/>
                <w:szCs w:val="20"/>
              </w:rPr>
            </w:pPr>
          </w:p>
        </w:tc>
      </w:tr>
      <w:tr w:rsidR="009D1C36" w:rsidRPr="00F240AD" w14:paraId="5F42CA02" w14:textId="77777777" w:rsidTr="00FD06F0">
        <w:trPr>
          <w:cantSplit/>
        </w:trPr>
        <w:tc>
          <w:tcPr>
            <w:tcW w:w="5240" w:type="dxa"/>
            <w:vAlign w:val="center"/>
          </w:tcPr>
          <w:p w14:paraId="40C882E7" w14:textId="4B86529E" w:rsidR="009D1C36" w:rsidRPr="00F240AD" w:rsidRDefault="009D1C36" w:rsidP="00FD06F0">
            <w:pPr>
              <w:rPr>
                <w:rFonts w:eastAsia="Arial"/>
                <w:color w:val="auto"/>
                <w:sz w:val="20"/>
                <w:szCs w:val="20"/>
              </w:rPr>
            </w:pPr>
            <w:r w:rsidRPr="00756308">
              <w:rPr>
                <w:sz w:val="20"/>
                <w:szCs w:val="20"/>
              </w:rPr>
              <w:t xml:space="preserve">Asbestos Removals </w:t>
            </w:r>
          </w:p>
        </w:tc>
        <w:tc>
          <w:tcPr>
            <w:tcW w:w="1701" w:type="dxa"/>
            <w:vAlign w:val="center"/>
          </w:tcPr>
          <w:p w14:paraId="6752A218" w14:textId="77777777" w:rsidR="009D1C36" w:rsidRPr="00F240AD" w:rsidRDefault="009D1C36" w:rsidP="00FD06F0">
            <w:pPr>
              <w:rPr>
                <w:rFonts w:eastAsia="Arial"/>
                <w:color w:val="auto"/>
                <w:sz w:val="20"/>
                <w:szCs w:val="20"/>
              </w:rPr>
            </w:pPr>
          </w:p>
        </w:tc>
        <w:tc>
          <w:tcPr>
            <w:tcW w:w="1559" w:type="dxa"/>
            <w:vAlign w:val="center"/>
          </w:tcPr>
          <w:p w14:paraId="68216C2D" w14:textId="77777777" w:rsidR="009D1C36" w:rsidRPr="00F240AD" w:rsidRDefault="009D1C36" w:rsidP="00FD06F0">
            <w:pPr>
              <w:rPr>
                <w:rFonts w:eastAsia="Arial"/>
                <w:color w:val="auto"/>
                <w:sz w:val="20"/>
                <w:szCs w:val="20"/>
              </w:rPr>
            </w:pPr>
          </w:p>
        </w:tc>
        <w:tc>
          <w:tcPr>
            <w:tcW w:w="1559" w:type="dxa"/>
            <w:vAlign w:val="center"/>
          </w:tcPr>
          <w:p w14:paraId="653FE50B" w14:textId="77777777" w:rsidR="009D1C36" w:rsidRPr="00F240AD" w:rsidRDefault="009D1C36" w:rsidP="00FD06F0">
            <w:pPr>
              <w:rPr>
                <w:rFonts w:eastAsia="Arial"/>
                <w:color w:val="auto"/>
                <w:sz w:val="20"/>
                <w:szCs w:val="20"/>
              </w:rPr>
            </w:pPr>
          </w:p>
        </w:tc>
      </w:tr>
      <w:tr w:rsidR="009D1C36" w:rsidRPr="00F240AD" w14:paraId="5D86495F" w14:textId="77777777" w:rsidTr="00FD06F0">
        <w:trPr>
          <w:cantSplit/>
        </w:trPr>
        <w:tc>
          <w:tcPr>
            <w:tcW w:w="5240" w:type="dxa"/>
            <w:vAlign w:val="center"/>
          </w:tcPr>
          <w:p w14:paraId="462187D1" w14:textId="7B1C659D" w:rsidR="009D1C36" w:rsidRPr="00F240AD" w:rsidRDefault="009D1C36" w:rsidP="00FD06F0">
            <w:pPr>
              <w:rPr>
                <w:rFonts w:eastAsia="Arial"/>
                <w:color w:val="auto"/>
                <w:sz w:val="20"/>
                <w:szCs w:val="20"/>
              </w:rPr>
            </w:pPr>
            <w:r w:rsidRPr="00756308">
              <w:rPr>
                <w:sz w:val="20"/>
                <w:szCs w:val="20"/>
              </w:rPr>
              <w:t xml:space="preserve">Asbestos Testing </w:t>
            </w:r>
          </w:p>
        </w:tc>
        <w:tc>
          <w:tcPr>
            <w:tcW w:w="1701" w:type="dxa"/>
            <w:vAlign w:val="center"/>
          </w:tcPr>
          <w:p w14:paraId="0F644395" w14:textId="77777777" w:rsidR="009D1C36" w:rsidRPr="00F240AD" w:rsidRDefault="009D1C36" w:rsidP="00FD06F0">
            <w:pPr>
              <w:rPr>
                <w:rFonts w:eastAsia="Arial"/>
                <w:color w:val="auto"/>
                <w:sz w:val="20"/>
                <w:szCs w:val="20"/>
              </w:rPr>
            </w:pPr>
          </w:p>
        </w:tc>
        <w:tc>
          <w:tcPr>
            <w:tcW w:w="1559" w:type="dxa"/>
            <w:vAlign w:val="center"/>
          </w:tcPr>
          <w:p w14:paraId="1481643A" w14:textId="77777777" w:rsidR="009D1C36" w:rsidRPr="00F240AD" w:rsidRDefault="009D1C36" w:rsidP="00FD06F0">
            <w:pPr>
              <w:rPr>
                <w:rFonts w:eastAsia="Arial"/>
                <w:color w:val="auto"/>
                <w:sz w:val="20"/>
                <w:szCs w:val="20"/>
              </w:rPr>
            </w:pPr>
          </w:p>
        </w:tc>
        <w:tc>
          <w:tcPr>
            <w:tcW w:w="1559" w:type="dxa"/>
            <w:vAlign w:val="center"/>
          </w:tcPr>
          <w:p w14:paraId="42EEC848" w14:textId="77777777" w:rsidR="009D1C36" w:rsidRPr="00F240AD" w:rsidRDefault="009D1C36" w:rsidP="00FD06F0">
            <w:pPr>
              <w:rPr>
                <w:rFonts w:eastAsia="Arial"/>
                <w:color w:val="auto"/>
                <w:sz w:val="20"/>
                <w:szCs w:val="20"/>
              </w:rPr>
            </w:pPr>
          </w:p>
        </w:tc>
      </w:tr>
      <w:tr w:rsidR="009D1C36" w:rsidRPr="00F240AD" w14:paraId="1AF849FD" w14:textId="64F00C90" w:rsidTr="00FD06F0">
        <w:trPr>
          <w:cantSplit/>
        </w:trPr>
        <w:tc>
          <w:tcPr>
            <w:tcW w:w="5240" w:type="dxa"/>
            <w:vAlign w:val="center"/>
          </w:tcPr>
          <w:p w14:paraId="712D99E2" w14:textId="0B733FA9" w:rsidR="009D1C36" w:rsidRPr="00F240AD" w:rsidRDefault="009D1C36" w:rsidP="00FD06F0">
            <w:pPr>
              <w:rPr>
                <w:rFonts w:eastAsia="Arial"/>
                <w:color w:val="auto"/>
                <w:sz w:val="20"/>
                <w:szCs w:val="20"/>
              </w:rPr>
            </w:pPr>
            <w:r w:rsidRPr="00756308">
              <w:rPr>
                <w:sz w:val="20"/>
                <w:szCs w:val="20"/>
              </w:rPr>
              <w:t>CCTV equipment</w:t>
            </w:r>
          </w:p>
        </w:tc>
        <w:tc>
          <w:tcPr>
            <w:tcW w:w="1701" w:type="dxa"/>
            <w:vAlign w:val="center"/>
          </w:tcPr>
          <w:p w14:paraId="7D756032" w14:textId="1094701A" w:rsidR="009D1C36" w:rsidRPr="00F240AD" w:rsidRDefault="009D1C36" w:rsidP="00FD06F0">
            <w:pPr>
              <w:rPr>
                <w:rFonts w:eastAsia="Arial"/>
                <w:color w:val="auto"/>
                <w:sz w:val="20"/>
                <w:szCs w:val="20"/>
              </w:rPr>
            </w:pPr>
          </w:p>
        </w:tc>
        <w:tc>
          <w:tcPr>
            <w:tcW w:w="1559" w:type="dxa"/>
            <w:vAlign w:val="center"/>
          </w:tcPr>
          <w:p w14:paraId="1DB64693" w14:textId="77777777" w:rsidR="009D1C36" w:rsidRPr="00F240AD" w:rsidRDefault="009D1C36" w:rsidP="00FD06F0">
            <w:pPr>
              <w:rPr>
                <w:rFonts w:eastAsia="Arial"/>
                <w:color w:val="auto"/>
                <w:sz w:val="20"/>
                <w:szCs w:val="20"/>
              </w:rPr>
            </w:pPr>
          </w:p>
        </w:tc>
        <w:tc>
          <w:tcPr>
            <w:tcW w:w="1559" w:type="dxa"/>
            <w:vAlign w:val="center"/>
          </w:tcPr>
          <w:p w14:paraId="681EDFE1" w14:textId="77777777" w:rsidR="009D1C36" w:rsidRPr="00F240AD" w:rsidRDefault="009D1C36" w:rsidP="00FD06F0">
            <w:pPr>
              <w:rPr>
                <w:rFonts w:eastAsia="Arial"/>
                <w:color w:val="auto"/>
                <w:sz w:val="20"/>
                <w:szCs w:val="20"/>
              </w:rPr>
            </w:pPr>
          </w:p>
        </w:tc>
      </w:tr>
      <w:tr w:rsidR="009D1C36" w:rsidRPr="00F240AD" w14:paraId="7A372235" w14:textId="3F1AAF4E" w:rsidTr="00FD06F0">
        <w:trPr>
          <w:cantSplit/>
        </w:trPr>
        <w:tc>
          <w:tcPr>
            <w:tcW w:w="5240" w:type="dxa"/>
            <w:vAlign w:val="center"/>
          </w:tcPr>
          <w:p w14:paraId="5638A75A" w14:textId="5F5DE12D" w:rsidR="009D1C36" w:rsidRPr="00F240AD" w:rsidRDefault="009D1C36" w:rsidP="00FD06F0">
            <w:pPr>
              <w:rPr>
                <w:rFonts w:eastAsia="Arial"/>
                <w:color w:val="auto"/>
                <w:sz w:val="20"/>
                <w:szCs w:val="20"/>
              </w:rPr>
            </w:pPr>
            <w:r w:rsidRPr="00756308">
              <w:rPr>
                <w:sz w:val="20"/>
                <w:szCs w:val="20"/>
              </w:rPr>
              <w:t>Door entry &amp; security, access systems</w:t>
            </w:r>
          </w:p>
        </w:tc>
        <w:tc>
          <w:tcPr>
            <w:tcW w:w="1701" w:type="dxa"/>
            <w:vAlign w:val="center"/>
          </w:tcPr>
          <w:p w14:paraId="5678FAB7" w14:textId="13F1C12A" w:rsidR="009D1C36" w:rsidRPr="00F240AD" w:rsidRDefault="009D1C36" w:rsidP="00FD06F0">
            <w:pPr>
              <w:rPr>
                <w:rFonts w:eastAsia="Arial"/>
                <w:color w:val="auto"/>
                <w:sz w:val="20"/>
                <w:szCs w:val="20"/>
              </w:rPr>
            </w:pPr>
          </w:p>
        </w:tc>
        <w:tc>
          <w:tcPr>
            <w:tcW w:w="1559" w:type="dxa"/>
            <w:vAlign w:val="center"/>
          </w:tcPr>
          <w:p w14:paraId="4D4D2C99" w14:textId="77777777" w:rsidR="009D1C36" w:rsidRPr="00F240AD" w:rsidRDefault="009D1C36" w:rsidP="00FD06F0">
            <w:pPr>
              <w:rPr>
                <w:rFonts w:eastAsia="Arial"/>
                <w:color w:val="auto"/>
                <w:sz w:val="20"/>
                <w:szCs w:val="20"/>
              </w:rPr>
            </w:pPr>
          </w:p>
        </w:tc>
        <w:tc>
          <w:tcPr>
            <w:tcW w:w="1559" w:type="dxa"/>
            <w:vAlign w:val="center"/>
          </w:tcPr>
          <w:p w14:paraId="7DC42052" w14:textId="77777777" w:rsidR="009D1C36" w:rsidRPr="00F240AD" w:rsidRDefault="009D1C36" w:rsidP="00FD06F0">
            <w:pPr>
              <w:rPr>
                <w:rFonts w:eastAsia="Arial"/>
                <w:color w:val="auto"/>
                <w:sz w:val="20"/>
                <w:szCs w:val="20"/>
              </w:rPr>
            </w:pPr>
          </w:p>
        </w:tc>
      </w:tr>
      <w:tr w:rsidR="009D1C36" w:rsidRPr="00F240AD" w14:paraId="5D85CB61" w14:textId="4C19D3F1" w:rsidTr="00FD06F0">
        <w:trPr>
          <w:cantSplit/>
        </w:trPr>
        <w:tc>
          <w:tcPr>
            <w:tcW w:w="5240" w:type="dxa"/>
            <w:vAlign w:val="center"/>
          </w:tcPr>
          <w:p w14:paraId="3CD40822" w14:textId="4177F142" w:rsidR="009D1C36" w:rsidRPr="00F240AD" w:rsidRDefault="009D1C36" w:rsidP="00FD06F0">
            <w:pPr>
              <w:rPr>
                <w:rFonts w:eastAsia="Arial"/>
                <w:color w:val="auto"/>
                <w:sz w:val="20"/>
                <w:szCs w:val="20"/>
              </w:rPr>
            </w:pPr>
            <w:r w:rsidRPr="00756308">
              <w:rPr>
                <w:sz w:val="20"/>
                <w:szCs w:val="20"/>
              </w:rPr>
              <w:t>Electrical Testing</w:t>
            </w:r>
            <w:r w:rsidR="00D1611A">
              <w:rPr>
                <w:sz w:val="20"/>
                <w:szCs w:val="20"/>
              </w:rPr>
              <w:t xml:space="preserve">, </w:t>
            </w:r>
            <w:r w:rsidR="00D1611A" w:rsidRPr="00D1611A">
              <w:rPr>
                <w:sz w:val="20"/>
                <w:szCs w:val="20"/>
              </w:rPr>
              <w:t>EICR</w:t>
            </w:r>
            <w:r w:rsidRPr="00756308">
              <w:rPr>
                <w:sz w:val="20"/>
                <w:szCs w:val="20"/>
              </w:rPr>
              <w:t xml:space="preserve"> and remedial works </w:t>
            </w:r>
          </w:p>
        </w:tc>
        <w:tc>
          <w:tcPr>
            <w:tcW w:w="1701" w:type="dxa"/>
            <w:vAlign w:val="center"/>
          </w:tcPr>
          <w:p w14:paraId="2D48D0FA" w14:textId="6901EB15" w:rsidR="009D1C36" w:rsidRPr="00F240AD" w:rsidRDefault="009D1C36" w:rsidP="00FD06F0">
            <w:pPr>
              <w:rPr>
                <w:rFonts w:eastAsia="Arial"/>
                <w:color w:val="auto"/>
                <w:sz w:val="20"/>
                <w:szCs w:val="20"/>
              </w:rPr>
            </w:pPr>
          </w:p>
        </w:tc>
        <w:tc>
          <w:tcPr>
            <w:tcW w:w="1559" w:type="dxa"/>
            <w:vAlign w:val="center"/>
          </w:tcPr>
          <w:p w14:paraId="4D07F457" w14:textId="77777777" w:rsidR="009D1C36" w:rsidRPr="00F240AD" w:rsidRDefault="009D1C36" w:rsidP="00FD06F0">
            <w:pPr>
              <w:rPr>
                <w:rFonts w:eastAsia="Arial"/>
                <w:color w:val="auto"/>
                <w:sz w:val="20"/>
                <w:szCs w:val="20"/>
              </w:rPr>
            </w:pPr>
          </w:p>
        </w:tc>
        <w:tc>
          <w:tcPr>
            <w:tcW w:w="1559" w:type="dxa"/>
            <w:vAlign w:val="center"/>
          </w:tcPr>
          <w:p w14:paraId="15E4A91C" w14:textId="77777777" w:rsidR="009D1C36" w:rsidRPr="00F240AD" w:rsidRDefault="009D1C36" w:rsidP="00FD06F0">
            <w:pPr>
              <w:rPr>
                <w:rFonts w:eastAsia="Arial"/>
                <w:color w:val="auto"/>
                <w:sz w:val="20"/>
                <w:szCs w:val="20"/>
              </w:rPr>
            </w:pPr>
          </w:p>
        </w:tc>
      </w:tr>
      <w:tr w:rsidR="009D1C36" w:rsidRPr="00F240AD" w14:paraId="2FF0AD64" w14:textId="5B8489D2" w:rsidTr="00FD06F0">
        <w:trPr>
          <w:cantSplit/>
        </w:trPr>
        <w:tc>
          <w:tcPr>
            <w:tcW w:w="5240" w:type="dxa"/>
            <w:vAlign w:val="center"/>
          </w:tcPr>
          <w:p w14:paraId="70D829CB" w14:textId="57975FF4" w:rsidR="009D1C36" w:rsidRPr="00F240AD" w:rsidRDefault="009D1C36" w:rsidP="00FD06F0">
            <w:pPr>
              <w:rPr>
                <w:rFonts w:eastAsia="Arial"/>
                <w:color w:val="auto"/>
                <w:sz w:val="20"/>
                <w:szCs w:val="20"/>
              </w:rPr>
            </w:pPr>
            <w:r w:rsidRPr="00756308">
              <w:rPr>
                <w:sz w:val="20"/>
                <w:szCs w:val="20"/>
              </w:rPr>
              <w:t xml:space="preserve">Fire Doors Inspections </w:t>
            </w:r>
          </w:p>
        </w:tc>
        <w:tc>
          <w:tcPr>
            <w:tcW w:w="1701" w:type="dxa"/>
            <w:vAlign w:val="center"/>
          </w:tcPr>
          <w:p w14:paraId="2FC83D9E" w14:textId="09A47ED7" w:rsidR="009D1C36" w:rsidRPr="00F240AD" w:rsidRDefault="009D1C36" w:rsidP="00FD06F0">
            <w:pPr>
              <w:rPr>
                <w:rFonts w:eastAsia="Arial"/>
                <w:color w:val="auto"/>
                <w:sz w:val="20"/>
                <w:szCs w:val="20"/>
              </w:rPr>
            </w:pPr>
          </w:p>
        </w:tc>
        <w:tc>
          <w:tcPr>
            <w:tcW w:w="1559" w:type="dxa"/>
            <w:vAlign w:val="center"/>
          </w:tcPr>
          <w:p w14:paraId="6A767F6C" w14:textId="77777777" w:rsidR="009D1C36" w:rsidRPr="00F240AD" w:rsidRDefault="009D1C36" w:rsidP="00FD06F0">
            <w:pPr>
              <w:rPr>
                <w:rFonts w:eastAsia="Arial"/>
                <w:color w:val="auto"/>
                <w:sz w:val="20"/>
                <w:szCs w:val="20"/>
              </w:rPr>
            </w:pPr>
          </w:p>
        </w:tc>
        <w:tc>
          <w:tcPr>
            <w:tcW w:w="1559" w:type="dxa"/>
            <w:vAlign w:val="center"/>
          </w:tcPr>
          <w:p w14:paraId="06A82582" w14:textId="77777777" w:rsidR="009D1C36" w:rsidRPr="00F240AD" w:rsidRDefault="009D1C36" w:rsidP="00FD06F0">
            <w:pPr>
              <w:rPr>
                <w:rFonts w:eastAsia="Arial"/>
                <w:color w:val="auto"/>
                <w:sz w:val="20"/>
                <w:szCs w:val="20"/>
              </w:rPr>
            </w:pPr>
          </w:p>
        </w:tc>
      </w:tr>
      <w:tr w:rsidR="009D1C36" w:rsidRPr="00F240AD" w14:paraId="70836D15" w14:textId="6532AC84" w:rsidTr="00FD06F0">
        <w:trPr>
          <w:cantSplit/>
        </w:trPr>
        <w:tc>
          <w:tcPr>
            <w:tcW w:w="5240" w:type="dxa"/>
            <w:vAlign w:val="center"/>
          </w:tcPr>
          <w:p w14:paraId="3F38AABF" w14:textId="6548EB4E" w:rsidR="009D1C36" w:rsidRPr="00F240AD" w:rsidRDefault="009D1C36" w:rsidP="00FD06F0">
            <w:pPr>
              <w:rPr>
                <w:rFonts w:eastAsia="Arial"/>
                <w:color w:val="auto"/>
                <w:sz w:val="20"/>
                <w:szCs w:val="20"/>
              </w:rPr>
            </w:pPr>
            <w:r w:rsidRPr="00756308">
              <w:rPr>
                <w:sz w:val="20"/>
                <w:szCs w:val="20"/>
              </w:rPr>
              <w:t xml:space="preserve">Fire Equipment Maintenance </w:t>
            </w:r>
          </w:p>
        </w:tc>
        <w:tc>
          <w:tcPr>
            <w:tcW w:w="1701" w:type="dxa"/>
            <w:vAlign w:val="center"/>
          </w:tcPr>
          <w:p w14:paraId="7BFB3DEB" w14:textId="06A2BB67" w:rsidR="009D1C36" w:rsidRPr="00F240AD" w:rsidRDefault="009D1C36" w:rsidP="00FD06F0">
            <w:pPr>
              <w:rPr>
                <w:rFonts w:eastAsia="Arial"/>
                <w:color w:val="auto"/>
                <w:sz w:val="20"/>
                <w:szCs w:val="20"/>
              </w:rPr>
            </w:pPr>
          </w:p>
        </w:tc>
        <w:tc>
          <w:tcPr>
            <w:tcW w:w="1559" w:type="dxa"/>
            <w:vAlign w:val="center"/>
          </w:tcPr>
          <w:p w14:paraId="23891A39" w14:textId="77777777" w:rsidR="009D1C36" w:rsidRPr="00F240AD" w:rsidRDefault="009D1C36" w:rsidP="00FD06F0">
            <w:pPr>
              <w:rPr>
                <w:rFonts w:eastAsia="Arial"/>
                <w:color w:val="auto"/>
                <w:sz w:val="20"/>
                <w:szCs w:val="20"/>
              </w:rPr>
            </w:pPr>
          </w:p>
        </w:tc>
        <w:tc>
          <w:tcPr>
            <w:tcW w:w="1559" w:type="dxa"/>
            <w:vAlign w:val="center"/>
          </w:tcPr>
          <w:p w14:paraId="6411255C" w14:textId="77777777" w:rsidR="009D1C36" w:rsidRPr="00F240AD" w:rsidRDefault="009D1C36" w:rsidP="00FD06F0">
            <w:pPr>
              <w:rPr>
                <w:rFonts w:eastAsia="Arial"/>
                <w:color w:val="auto"/>
                <w:sz w:val="20"/>
                <w:szCs w:val="20"/>
              </w:rPr>
            </w:pPr>
          </w:p>
        </w:tc>
      </w:tr>
      <w:tr w:rsidR="009D1C36" w:rsidRPr="00F240AD" w14:paraId="1CC0EDC8" w14:textId="55D46C64" w:rsidTr="00FD06F0">
        <w:trPr>
          <w:cantSplit/>
        </w:trPr>
        <w:tc>
          <w:tcPr>
            <w:tcW w:w="5240" w:type="dxa"/>
            <w:vAlign w:val="center"/>
          </w:tcPr>
          <w:p w14:paraId="431FB480" w14:textId="3977FD1B" w:rsidR="009D1C36" w:rsidRPr="00F240AD" w:rsidRDefault="009D1C36" w:rsidP="00FD06F0">
            <w:pPr>
              <w:rPr>
                <w:rFonts w:eastAsia="Arial"/>
                <w:color w:val="auto"/>
                <w:sz w:val="20"/>
                <w:szCs w:val="20"/>
              </w:rPr>
            </w:pPr>
            <w:r w:rsidRPr="00756308">
              <w:rPr>
                <w:sz w:val="20"/>
                <w:szCs w:val="20"/>
              </w:rPr>
              <w:t xml:space="preserve">Fire Remedial Works </w:t>
            </w:r>
          </w:p>
        </w:tc>
        <w:tc>
          <w:tcPr>
            <w:tcW w:w="1701" w:type="dxa"/>
            <w:vAlign w:val="center"/>
          </w:tcPr>
          <w:p w14:paraId="325C5F4D" w14:textId="7DE02B89" w:rsidR="009D1C36" w:rsidRPr="00F240AD" w:rsidRDefault="009D1C36" w:rsidP="00FD06F0">
            <w:pPr>
              <w:rPr>
                <w:rFonts w:eastAsia="Arial"/>
                <w:color w:val="auto"/>
                <w:sz w:val="20"/>
                <w:szCs w:val="20"/>
              </w:rPr>
            </w:pPr>
          </w:p>
        </w:tc>
        <w:tc>
          <w:tcPr>
            <w:tcW w:w="1559" w:type="dxa"/>
            <w:vAlign w:val="center"/>
          </w:tcPr>
          <w:p w14:paraId="112FDD59" w14:textId="77777777" w:rsidR="009D1C36" w:rsidRPr="00F240AD" w:rsidRDefault="009D1C36" w:rsidP="00FD06F0">
            <w:pPr>
              <w:rPr>
                <w:rFonts w:eastAsia="Arial"/>
                <w:color w:val="auto"/>
                <w:sz w:val="20"/>
                <w:szCs w:val="20"/>
              </w:rPr>
            </w:pPr>
          </w:p>
        </w:tc>
        <w:tc>
          <w:tcPr>
            <w:tcW w:w="1559" w:type="dxa"/>
            <w:vAlign w:val="center"/>
          </w:tcPr>
          <w:p w14:paraId="514F0A00" w14:textId="77777777" w:rsidR="009D1C36" w:rsidRPr="00F240AD" w:rsidRDefault="009D1C36" w:rsidP="00FD06F0">
            <w:pPr>
              <w:rPr>
                <w:rFonts w:eastAsia="Arial"/>
                <w:color w:val="auto"/>
                <w:sz w:val="20"/>
                <w:szCs w:val="20"/>
              </w:rPr>
            </w:pPr>
          </w:p>
        </w:tc>
      </w:tr>
      <w:tr w:rsidR="009D1C36" w:rsidRPr="00F240AD" w14:paraId="26A241AD" w14:textId="66022182" w:rsidTr="00FD06F0">
        <w:trPr>
          <w:cantSplit/>
        </w:trPr>
        <w:tc>
          <w:tcPr>
            <w:tcW w:w="5240" w:type="dxa"/>
            <w:vAlign w:val="center"/>
          </w:tcPr>
          <w:p w14:paraId="3C00BBB9" w14:textId="4B35D29E" w:rsidR="009D1C36" w:rsidRPr="00F240AD" w:rsidRDefault="009D1C36" w:rsidP="00FD06F0">
            <w:pPr>
              <w:rPr>
                <w:rFonts w:eastAsia="Arial"/>
                <w:color w:val="auto"/>
                <w:sz w:val="20"/>
                <w:szCs w:val="20"/>
              </w:rPr>
            </w:pPr>
            <w:r w:rsidRPr="00756308">
              <w:rPr>
                <w:sz w:val="20"/>
                <w:szCs w:val="20"/>
              </w:rPr>
              <w:t>Fire Risk Assessments</w:t>
            </w:r>
          </w:p>
        </w:tc>
        <w:tc>
          <w:tcPr>
            <w:tcW w:w="1701" w:type="dxa"/>
            <w:vAlign w:val="center"/>
          </w:tcPr>
          <w:p w14:paraId="032E69EC" w14:textId="6A4D2DEB" w:rsidR="009D1C36" w:rsidRPr="00F240AD" w:rsidRDefault="009D1C36" w:rsidP="00FD06F0">
            <w:pPr>
              <w:rPr>
                <w:rFonts w:eastAsia="Arial"/>
                <w:color w:val="auto"/>
                <w:sz w:val="20"/>
                <w:szCs w:val="20"/>
              </w:rPr>
            </w:pPr>
          </w:p>
        </w:tc>
        <w:tc>
          <w:tcPr>
            <w:tcW w:w="1559" w:type="dxa"/>
            <w:vAlign w:val="center"/>
          </w:tcPr>
          <w:p w14:paraId="35CBD8DD" w14:textId="77777777" w:rsidR="009D1C36" w:rsidRPr="00F240AD" w:rsidRDefault="009D1C36" w:rsidP="00FD06F0">
            <w:pPr>
              <w:rPr>
                <w:rFonts w:eastAsia="Arial"/>
                <w:color w:val="auto"/>
                <w:sz w:val="20"/>
                <w:szCs w:val="20"/>
              </w:rPr>
            </w:pPr>
          </w:p>
        </w:tc>
        <w:tc>
          <w:tcPr>
            <w:tcW w:w="1559" w:type="dxa"/>
            <w:vAlign w:val="center"/>
          </w:tcPr>
          <w:p w14:paraId="7ACC6EFC" w14:textId="77777777" w:rsidR="009D1C36" w:rsidRPr="00F240AD" w:rsidRDefault="009D1C36" w:rsidP="00FD06F0">
            <w:pPr>
              <w:rPr>
                <w:rFonts w:eastAsia="Arial"/>
                <w:color w:val="auto"/>
                <w:sz w:val="20"/>
                <w:szCs w:val="20"/>
              </w:rPr>
            </w:pPr>
          </w:p>
        </w:tc>
      </w:tr>
      <w:tr w:rsidR="009D1C36" w:rsidRPr="00F240AD" w14:paraId="720D516E" w14:textId="6FC74443" w:rsidTr="00FD06F0">
        <w:trPr>
          <w:cantSplit/>
        </w:trPr>
        <w:tc>
          <w:tcPr>
            <w:tcW w:w="5240" w:type="dxa"/>
            <w:vAlign w:val="center"/>
          </w:tcPr>
          <w:p w14:paraId="14E3FEAD" w14:textId="7D2CA6F1" w:rsidR="009D1C36" w:rsidRPr="00F240AD" w:rsidRDefault="009D1C36" w:rsidP="00FD06F0">
            <w:pPr>
              <w:rPr>
                <w:rFonts w:eastAsia="Arial"/>
                <w:color w:val="auto"/>
                <w:sz w:val="20"/>
                <w:szCs w:val="20"/>
              </w:rPr>
            </w:pPr>
            <w:r w:rsidRPr="00756308">
              <w:rPr>
                <w:sz w:val="20"/>
                <w:szCs w:val="20"/>
              </w:rPr>
              <w:t xml:space="preserve">Gas </w:t>
            </w:r>
            <w:r w:rsidR="00D1611A">
              <w:rPr>
                <w:sz w:val="20"/>
                <w:szCs w:val="20"/>
              </w:rPr>
              <w:t>Services and Works [C</w:t>
            </w:r>
            <w:r w:rsidRPr="00756308">
              <w:rPr>
                <w:sz w:val="20"/>
                <w:szCs w:val="20"/>
              </w:rPr>
              <w:t>ommercial</w:t>
            </w:r>
            <w:r w:rsidR="00D1611A">
              <w:rPr>
                <w:sz w:val="20"/>
                <w:szCs w:val="20"/>
              </w:rPr>
              <w:t>]</w:t>
            </w:r>
          </w:p>
        </w:tc>
        <w:tc>
          <w:tcPr>
            <w:tcW w:w="1701" w:type="dxa"/>
            <w:vAlign w:val="center"/>
          </w:tcPr>
          <w:p w14:paraId="09ADF7EF" w14:textId="26299A05" w:rsidR="009D1C36" w:rsidRPr="00F240AD" w:rsidRDefault="009D1C36" w:rsidP="00FD06F0">
            <w:pPr>
              <w:rPr>
                <w:rFonts w:eastAsia="Arial"/>
                <w:color w:val="auto"/>
                <w:sz w:val="20"/>
                <w:szCs w:val="20"/>
              </w:rPr>
            </w:pPr>
          </w:p>
        </w:tc>
        <w:tc>
          <w:tcPr>
            <w:tcW w:w="1559" w:type="dxa"/>
            <w:vAlign w:val="center"/>
          </w:tcPr>
          <w:p w14:paraId="3202F142" w14:textId="77777777" w:rsidR="009D1C36" w:rsidRPr="00F240AD" w:rsidRDefault="009D1C36" w:rsidP="00FD06F0">
            <w:pPr>
              <w:rPr>
                <w:rFonts w:eastAsia="Arial"/>
                <w:color w:val="auto"/>
                <w:sz w:val="20"/>
                <w:szCs w:val="20"/>
              </w:rPr>
            </w:pPr>
          </w:p>
        </w:tc>
        <w:tc>
          <w:tcPr>
            <w:tcW w:w="1559" w:type="dxa"/>
            <w:vAlign w:val="center"/>
          </w:tcPr>
          <w:p w14:paraId="4A92B999" w14:textId="77777777" w:rsidR="009D1C36" w:rsidRPr="00F240AD" w:rsidRDefault="009D1C36" w:rsidP="00FD06F0">
            <w:pPr>
              <w:rPr>
                <w:rFonts w:eastAsia="Arial"/>
                <w:color w:val="auto"/>
                <w:sz w:val="20"/>
                <w:szCs w:val="20"/>
              </w:rPr>
            </w:pPr>
          </w:p>
        </w:tc>
      </w:tr>
      <w:tr w:rsidR="009D1C36" w:rsidRPr="00F240AD" w14:paraId="0DD48E12" w14:textId="3471A6A7" w:rsidTr="00FD06F0">
        <w:trPr>
          <w:cantSplit/>
        </w:trPr>
        <w:tc>
          <w:tcPr>
            <w:tcW w:w="5240" w:type="dxa"/>
            <w:vAlign w:val="center"/>
          </w:tcPr>
          <w:p w14:paraId="755AE373" w14:textId="5D12476A" w:rsidR="009D1C36" w:rsidRPr="00F240AD" w:rsidRDefault="009D1C36" w:rsidP="00FD06F0">
            <w:pPr>
              <w:rPr>
                <w:rFonts w:eastAsia="Arial"/>
                <w:color w:val="auto"/>
                <w:sz w:val="20"/>
                <w:szCs w:val="20"/>
              </w:rPr>
            </w:pPr>
            <w:r w:rsidRPr="00756308">
              <w:rPr>
                <w:sz w:val="20"/>
                <w:szCs w:val="20"/>
              </w:rPr>
              <w:t xml:space="preserve">Gates, Barriers and Auto-doors </w:t>
            </w:r>
          </w:p>
        </w:tc>
        <w:tc>
          <w:tcPr>
            <w:tcW w:w="1701" w:type="dxa"/>
            <w:vAlign w:val="center"/>
          </w:tcPr>
          <w:p w14:paraId="3AD4B946" w14:textId="5527385A" w:rsidR="009D1C36" w:rsidRPr="00F240AD" w:rsidRDefault="009D1C36" w:rsidP="00FD06F0">
            <w:pPr>
              <w:rPr>
                <w:rFonts w:eastAsia="Arial"/>
                <w:color w:val="auto"/>
                <w:sz w:val="20"/>
                <w:szCs w:val="20"/>
              </w:rPr>
            </w:pPr>
          </w:p>
        </w:tc>
        <w:tc>
          <w:tcPr>
            <w:tcW w:w="1559" w:type="dxa"/>
            <w:vAlign w:val="center"/>
          </w:tcPr>
          <w:p w14:paraId="799CD23B" w14:textId="77777777" w:rsidR="009D1C36" w:rsidRPr="00F240AD" w:rsidRDefault="009D1C36" w:rsidP="00FD06F0">
            <w:pPr>
              <w:rPr>
                <w:rFonts w:eastAsia="Arial"/>
                <w:color w:val="auto"/>
                <w:sz w:val="20"/>
                <w:szCs w:val="20"/>
              </w:rPr>
            </w:pPr>
          </w:p>
        </w:tc>
        <w:tc>
          <w:tcPr>
            <w:tcW w:w="1559" w:type="dxa"/>
            <w:vAlign w:val="center"/>
          </w:tcPr>
          <w:p w14:paraId="071326DE" w14:textId="77777777" w:rsidR="009D1C36" w:rsidRPr="00F240AD" w:rsidRDefault="009D1C36" w:rsidP="00FD06F0">
            <w:pPr>
              <w:rPr>
                <w:rFonts w:eastAsia="Arial"/>
                <w:color w:val="auto"/>
                <w:sz w:val="20"/>
                <w:szCs w:val="20"/>
              </w:rPr>
            </w:pPr>
          </w:p>
        </w:tc>
      </w:tr>
      <w:tr w:rsidR="009D1C36" w:rsidRPr="00F240AD" w14:paraId="5E424F8A" w14:textId="77777777" w:rsidTr="00FD06F0">
        <w:trPr>
          <w:cantSplit/>
        </w:trPr>
        <w:tc>
          <w:tcPr>
            <w:tcW w:w="5240" w:type="dxa"/>
            <w:vAlign w:val="center"/>
          </w:tcPr>
          <w:p w14:paraId="269C11B8" w14:textId="214A8FBE" w:rsidR="009D1C36" w:rsidRPr="00F240AD" w:rsidRDefault="009D1C36" w:rsidP="00FD06F0">
            <w:pPr>
              <w:rPr>
                <w:rFonts w:eastAsia="Arial"/>
                <w:color w:val="auto"/>
                <w:sz w:val="20"/>
                <w:szCs w:val="20"/>
              </w:rPr>
            </w:pPr>
            <w:r w:rsidRPr="00756308">
              <w:rPr>
                <w:sz w:val="20"/>
                <w:szCs w:val="20"/>
              </w:rPr>
              <w:t>Laundry Equipment Maintenance</w:t>
            </w:r>
          </w:p>
        </w:tc>
        <w:tc>
          <w:tcPr>
            <w:tcW w:w="1701" w:type="dxa"/>
            <w:vAlign w:val="center"/>
          </w:tcPr>
          <w:p w14:paraId="4C60921D" w14:textId="77777777" w:rsidR="009D1C36" w:rsidRPr="00F240AD" w:rsidRDefault="009D1C36" w:rsidP="00FD06F0">
            <w:pPr>
              <w:rPr>
                <w:rFonts w:eastAsia="Arial"/>
                <w:color w:val="auto"/>
                <w:sz w:val="20"/>
                <w:szCs w:val="20"/>
              </w:rPr>
            </w:pPr>
          </w:p>
        </w:tc>
        <w:tc>
          <w:tcPr>
            <w:tcW w:w="1559" w:type="dxa"/>
            <w:vAlign w:val="center"/>
          </w:tcPr>
          <w:p w14:paraId="2FD24D4F" w14:textId="77777777" w:rsidR="009D1C36" w:rsidRPr="00F240AD" w:rsidRDefault="009D1C36" w:rsidP="00FD06F0">
            <w:pPr>
              <w:rPr>
                <w:rFonts w:eastAsia="Arial"/>
                <w:color w:val="auto"/>
                <w:sz w:val="20"/>
                <w:szCs w:val="20"/>
              </w:rPr>
            </w:pPr>
          </w:p>
        </w:tc>
        <w:tc>
          <w:tcPr>
            <w:tcW w:w="1559" w:type="dxa"/>
            <w:vAlign w:val="center"/>
          </w:tcPr>
          <w:p w14:paraId="31ECA352" w14:textId="77777777" w:rsidR="009D1C36" w:rsidRPr="00F240AD" w:rsidRDefault="009D1C36" w:rsidP="00FD06F0">
            <w:pPr>
              <w:rPr>
                <w:rFonts w:eastAsia="Arial"/>
                <w:color w:val="auto"/>
                <w:sz w:val="20"/>
                <w:szCs w:val="20"/>
              </w:rPr>
            </w:pPr>
          </w:p>
        </w:tc>
      </w:tr>
      <w:tr w:rsidR="009D1C36" w:rsidRPr="00F240AD" w14:paraId="50F065D0" w14:textId="12A0BF76" w:rsidTr="00FD06F0">
        <w:trPr>
          <w:cantSplit/>
        </w:trPr>
        <w:tc>
          <w:tcPr>
            <w:tcW w:w="5240" w:type="dxa"/>
            <w:vAlign w:val="center"/>
          </w:tcPr>
          <w:p w14:paraId="2E5B01A3" w14:textId="0F71C740" w:rsidR="009D1C36" w:rsidRPr="00F240AD" w:rsidRDefault="009D1C36" w:rsidP="00FD06F0">
            <w:pPr>
              <w:rPr>
                <w:rFonts w:eastAsia="Arial"/>
                <w:color w:val="auto"/>
                <w:sz w:val="20"/>
                <w:szCs w:val="20"/>
              </w:rPr>
            </w:pPr>
            <w:r w:rsidRPr="00756308">
              <w:rPr>
                <w:sz w:val="20"/>
                <w:szCs w:val="20"/>
              </w:rPr>
              <w:t xml:space="preserve">Lifts </w:t>
            </w:r>
          </w:p>
        </w:tc>
        <w:tc>
          <w:tcPr>
            <w:tcW w:w="1701" w:type="dxa"/>
            <w:vAlign w:val="center"/>
          </w:tcPr>
          <w:p w14:paraId="745A8D6C" w14:textId="5CA9AD2F" w:rsidR="009D1C36" w:rsidRPr="00F240AD" w:rsidRDefault="009D1C36" w:rsidP="00FD06F0">
            <w:pPr>
              <w:rPr>
                <w:rFonts w:eastAsia="Arial"/>
                <w:color w:val="auto"/>
                <w:sz w:val="20"/>
                <w:szCs w:val="20"/>
              </w:rPr>
            </w:pPr>
          </w:p>
        </w:tc>
        <w:tc>
          <w:tcPr>
            <w:tcW w:w="1559" w:type="dxa"/>
            <w:vAlign w:val="center"/>
          </w:tcPr>
          <w:p w14:paraId="7CC61F38" w14:textId="77777777" w:rsidR="009D1C36" w:rsidRPr="00F240AD" w:rsidRDefault="009D1C36" w:rsidP="00FD06F0">
            <w:pPr>
              <w:rPr>
                <w:rFonts w:eastAsia="Arial"/>
                <w:color w:val="auto"/>
                <w:sz w:val="20"/>
                <w:szCs w:val="20"/>
              </w:rPr>
            </w:pPr>
          </w:p>
        </w:tc>
        <w:tc>
          <w:tcPr>
            <w:tcW w:w="1559" w:type="dxa"/>
            <w:vAlign w:val="center"/>
          </w:tcPr>
          <w:p w14:paraId="3BDDC532" w14:textId="77777777" w:rsidR="009D1C36" w:rsidRPr="00F240AD" w:rsidRDefault="009D1C36" w:rsidP="00FD06F0">
            <w:pPr>
              <w:rPr>
                <w:rFonts w:eastAsia="Arial"/>
                <w:color w:val="auto"/>
                <w:sz w:val="20"/>
                <w:szCs w:val="20"/>
              </w:rPr>
            </w:pPr>
          </w:p>
        </w:tc>
      </w:tr>
      <w:tr w:rsidR="009D1C36" w:rsidRPr="00F240AD" w14:paraId="4E5E8AB1" w14:textId="2BF925C8" w:rsidTr="00FD06F0">
        <w:trPr>
          <w:cantSplit/>
        </w:trPr>
        <w:tc>
          <w:tcPr>
            <w:tcW w:w="5240" w:type="dxa"/>
            <w:vAlign w:val="center"/>
          </w:tcPr>
          <w:p w14:paraId="32B5EA91" w14:textId="767ADA81" w:rsidR="009D1C36" w:rsidRPr="00F240AD" w:rsidRDefault="009D1C36" w:rsidP="00FD06F0">
            <w:pPr>
              <w:rPr>
                <w:rFonts w:eastAsia="Arial"/>
                <w:color w:val="auto"/>
                <w:sz w:val="20"/>
                <w:szCs w:val="20"/>
              </w:rPr>
            </w:pPr>
            <w:r w:rsidRPr="00756308">
              <w:rPr>
                <w:sz w:val="20"/>
                <w:szCs w:val="20"/>
              </w:rPr>
              <w:t xml:space="preserve">Lightning Protection </w:t>
            </w:r>
          </w:p>
        </w:tc>
        <w:tc>
          <w:tcPr>
            <w:tcW w:w="1701" w:type="dxa"/>
            <w:vAlign w:val="center"/>
          </w:tcPr>
          <w:p w14:paraId="07F49E03" w14:textId="03D2E6E1" w:rsidR="009D1C36" w:rsidRPr="00F240AD" w:rsidRDefault="009D1C36" w:rsidP="00FD06F0">
            <w:pPr>
              <w:rPr>
                <w:rFonts w:eastAsia="Arial"/>
                <w:color w:val="auto"/>
                <w:sz w:val="20"/>
                <w:szCs w:val="20"/>
              </w:rPr>
            </w:pPr>
          </w:p>
        </w:tc>
        <w:tc>
          <w:tcPr>
            <w:tcW w:w="1559" w:type="dxa"/>
            <w:vAlign w:val="center"/>
          </w:tcPr>
          <w:p w14:paraId="04265EE7" w14:textId="77777777" w:rsidR="009D1C36" w:rsidRPr="00F240AD" w:rsidRDefault="009D1C36" w:rsidP="00FD06F0">
            <w:pPr>
              <w:rPr>
                <w:rFonts w:eastAsia="Arial"/>
                <w:color w:val="auto"/>
                <w:sz w:val="20"/>
                <w:szCs w:val="20"/>
              </w:rPr>
            </w:pPr>
          </w:p>
        </w:tc>
        <w:tc>
          <w:tcPr>
            <w:tcW w:w="1559" w:type="dxa"/>
            <w:vAlign w:val="center"/>
          </w:tcPr>
          <w:p w14:paraId="102B2A79" w14:textId="77777777" w:rsidR="009D1C36" w:rsidRPr="00F240AD" w:rsidRDefault="009D1C36" w:rsidP="00FD06F0">
            <w:pPr>
              <w:rPr>
                <w:rFonts w:eastAsia="Arial"/>
                <w:color w:val="auto"/>
                <w:sz w:val="20"/>
                <w:szCs w:val="20"/>
              </w:rPr>
            </w:pPr>
          </w:p>
        </w:tc>
      </w:tr>
      <w:tr w:rsidR="009D1C36" w:rsidRPr="00F240AD" w14:paraId="10E66D5E" w14:textId="3BDD215B" w:rsidTr="00FD06F0">
        <w:trPr>
          <w:cantSplit/>
        </w:trPr>
        <w:tc>
          <w:tcPr>
            <w:tcW w:w="5240" w:type="dxa"/>
            <w:vAlign w:val="center"/>
          </w:tcPr>
          <w:p w14:paraId="1BFB8B95" w14:textId="621D7F0C" w:rsidR="009D1C36" w:rsidRPr="00F240AD" w:rsidRDefault="009D1C36" w:rsidP="00FD06F0">
            <w:pPr>
              <w:rPr>
                <w:rFonts w:eastAsia="Arial"/>
                <w:color w:val="auto"/>
                <w:sz w:val="20"/>
                <w:szCs w:val="20"/>
              </w:rPr>
            </w:pPr>
            <w:r w:rsidRPr="00756308">
              <w:rPr>
                <w:sz w:val="20"/>
                <w:szCs w:val="20"/>
              </w:rPr>
              <w:t>Playgrounds Inspections</w:t>
            </w:r>
          </w:p>
        </w:tc>
        <w:tc>
          <w:tcPr>
            <w:tcW w:w="1701" w:type="dxa"/>
            <w:vAlign w:val="center"/>
          </w:tcPr>
          <w:p w14:paraId="1C26A075" w14:textId="4CEFFD43" w:rsidR="009D1C36" w:rsidRPr="00F240AD" w:rsidRDefault="009D1C36" w:rsidP="00FD06F0">
            <w:pPr>
              <w:rPr>
                <w:rFonts w:eastAsia="Arial"/>
                <w:color w:val="auto"/>
                <w:sz w:val="20"/>
                <w:szCs w:val="20"/>
              </w:rPr>
            </w:pPr>
          </w:p>
        </w:tc>
        <w:tc>
          <w:tcPr>
            <w:tcW w:w="1559" w:type="dxa"/>
            <w:vAlign w:val="center"/>
          </w:tcPr>
          <w:p w14:paraId="5ACF2AC9" w14:textId="77777777" w:rsidR="009D1C36" w:rsidRPr="00F240AD" w:rsidRDefault="009D1C36" w:rsidP="00FD06F0">
            <w:pPr>
              <w:rPr>
                <w:rFonts w:eastAsia="Arial"/>
                <w:color w:val="auto"/>
                <w:sz w:val="20"/>
                <w:szCs w:val="20"/>
              </w:rPr>
            </w:pPr>
          </w:p>
        </w:tc>
        <w:tc>
          <w:tcPr>
            <w:tcW w:w="1559" w:type="dxa"/>
            <w:vAlign w:val="center"/>
          </w:tcPr>
          <w:p w14:paraId="2D55854A" w14:textId="77777777" w:rsidR="009D1C36" w:rsidRPr="00F240AD" w:rsidRDefault="009D1C36" w:rsidP="00FD06F0">
            <w:pPr>
              <w:rPr>
                <w:rFonts w:eastAsia="Arial"/>
                <w:color w:val="auto"/>
                <w:sz w:val="20"/>
                <w:szCs w:val="20"/>
              </w:rPr>
            </w:pPr>
          </w:p>
        </w:tc>
      </w:tr>
      <w:tr w:rsidR="009D1C36" w:rsidRPr="00F240AD" w14:paraId="5F122877" w14:textId="16BD6BD2" w:rsidTr="00FD06F0">
        <w:trPr>
          <w:cantSplit/>
        </w:trPr>
        <w:tc>
          <w:tcPr>
            <w:tcW w:w="5240" w:type="dxa"/>
            <w:vAlign w:val="center"/>
          </w:tcPr>
          <w:p w14:paraId="108DBBAD" w14:textId="209FD6B0" w:rsidR="009D1C36" w:rsidRPr="00F240AD" w:rsidRDefault="009D1C36" w:rsidP="00FD06F0">
            <w:pPr>
              <w:rPr>
                <w:rFonts w:eastAsia="Arial"/>
                <w:color w:val="auto"/>
                <w:sz w:val="20"/>
                <w:szCs w:val="20"/>
              </w:rPr>
            </w:pPr>
            <w:r w:rsidRPr="00756308">
              <w:rPr>
                <w:sz w:val="20"/>
                <w:szCs w:val="20"/>
              </w:rPr>
              <w:t>Playgrounds Remedial works</w:t>
            </w:r>
          </w:p>
        </w:tc>
        <w:tc>
          <w:tcPr>
            <w:tcW w:w="1701" w:type="dxa"/>
            <w:vAlign w:val="center"/>
          </w:tcPr>
          <w:p w14:paraId="2865A907" w14:textId="30A517DF" w:rsidR="009D1C36" w:rsidRPr="00F240AD" w:rsidRDefault="009D1C36" w:rsidP="00FD06F0">
            <w:pPr>
              <w:rPr>
                <w:rFonts w:eastAsia="Arial"/>
                <w:color w:val="auto"/>
                <w:sz w:val="20"/>
                <w:szCs w:val="20"/>
              </w:rPr>
            </w:pPr>
          </w:p>
        </w:tc>
        <w:tc>
          <w:tcPr>
            <w:tcW w:w="1559" w:type="dxa"/>
            <w:vAlign w:val="center"/>
          </w:tcPr>
          <w:p w14:paraId="521F79A8" w14:textId="77777777" w:rsidR="009D1C36" w:rsidRPr="00F240AD" w:rsidRDefault="009D1C36" w:rsidP="00FD06F0">
            <w:pPr>
              <w:rPr>
                <w:rFonts w:eastAsia="Arial"/>
                <w:color w:val="auto"/>
                <w:sz w:val="20"/>
                <w:szCs w:val="20"/>
              </w:rPr>
            </w:pPr>
          </w:p>
        </w:tc>
        <w:tc>
          <w:tcPr>
            <w:tcW w:w="1559" w:type="dxa"/>
            <w:vAlign w:val="center"/>
          </w:tcPr>
          <w:p w14:paraId="7BDE170D" w14:textId="77777777" w:rsidR="009D1C36" w:rsidRPr="00F240AD" w:rsidRDefault="009D1C36" w:rsidP="00FD06F0">
            <w:pPr>
              <w:rPr>
                <w:rFonts w:eastAsia="Arial"/>
                <w:color w:val="auto"/>
                <w:sz w:val="20"/>
                <w:szCs w:val="20"/>
              </w:rPr>
            </w:pPr>
          </w:p>
        </w:tc>
      </w:tr>
      <w:tr w:rsidR="009D1C36" w:rsidRPr="00F240AD" w14:paraId="58F85A4E" w14:textId="77777777" w:rsidTr="00FD06F0">
        <w:trPr>
          <w:cantSplit/>
        </w:trPr>
        <w:tc>
          <w:tcPr>
            <w:tcW w:w="5240" w:type="dxa"/>
            <w:vAlign w:val="center"/>
          </w:tcPr>
          <w:p w14:paraId="3EC1F9D2" w14:textId="592D6618" w:rsidR="009D1C36" w:rsidRPr="00F240AD" w:rsidRDefault="009D1C36" w:rsidP="00FD06F0">
            <w:pPr>
              <w:rPr>
                <w:rFonts w:eastAsia="Arial"/>
                <w:color w:val="auto"/>
                <w:sz w:val="20"/>
                <w:szCs w:val="20"/>
              </w:rPr>
            </w:pPr>
            <w:r w:rsidRPr="00756308">
              <w:rPr>
                <w:sz w:val="20"/>
                <w:szCs w:val="20"/>
              </w:rPr>
              <w:t xml:space="preserve">Renewables - Solar PV </w:t>
            </w:r>
          </w:p>
        </w:tc>
        <w:tc>
          <w:tcPr>
            <w:tcW w:w="1701" w:type="dxa"/>
            <w:vAlign w:val="center"/>
          </w:tcPr>
          <w:p w14:paraId="3299CE2C" w14:textId="77777777" w:rsidR="009D1C36" w:rsidRPr="00F240AD" w:rsidRDefault="009D1C36" w:rsidP="00FD06F0">
            <w:pPr>
              <w:rPr>
                <w:rFonts w:eastAsia="Arial"/>
                <w:color w:val="auto"/>
                <w:sz w:val="20"/>
                <w:szCs w:val="20"/>
              </w:rPr>
            </w:pPr>
          </w:p>
        </w:tc>
        <w:tc>
          <w:tcPr>
            <w:tcW w:w="1559" w:type="dxa"/>
            <w:vAlign w:val="center"/>
          </w:tcPr>
          <w:p w14:paraId="51874281" w14:textId="77777777" w:rsidR="009D1C36" w:rsidRPr="00F240AD" w:rsidRDefault="009D1C36" w:rsidP="00FD06F0">
            <w:pPr>
              <w:rPr>
                <w:rFonts w:eastAsia="Arial"/>
                <w:color w:val="auto"/>
                <w:sz w:val="20"/>
                <w:szCs w:val="20"/>
              </w:rPr>
            </w:pPr>
          </w:p>
        </w:tc>
        <w:tc>
          <w:tcPr>
            <w:tcW w:w="1559" w:type="dxa"/>
            <w:vAlign w:val="center"/>
          </w:tcPr>
          <w:p w14:paraId="4D0F2481" w14:textId="77777777" w:rsidR="009D1C36" w:rsidRPr="00F240AD" w:rsidRDefault="009D1C36" w:rsidP="00FD06F0">
            <w:pPr>
              <w:rPr>
                <w:rFonts w:eastAsia="Arial"/>
                <w:color w:val="auto"/>
                <w:sz w:val="20"/>
                <w:szCs w:val="20"/>
              </w:rPr>
            </w:pPr>
          </w:p>
        </w:tc>
      </w:tr>
      <w:tr w:rsidR="009D1C36" w:rsidRPr="00F240AD" w14:paraId="60C4CA28" w14:textId="77777777" w:rsidTr="00FD06F0">
        <w:trPr>
          <w:cantSplit/>
        </w:trPr>
        <w:tc>
          <w:tcPr>
            <w:tcW w:w="5240" w:type="dxa"/>
            <w:vAlign w:val="center"/>
          </w:tcPr>
          <w:p w14:paraId="2C5D190C" w14:textId="235BE07D" w:rsidR="009D1C36" w:rsidRPr="00F240AD" w:rsidRDefault="009D1C36" w:rsidP="00FD06F0">
            <w:pPr>
              <w:rPr>
                <w:rFonts w:eastAsia="Arial"/>
                <w:color w:val="auto"/>
                <w:sz w:val="20"/>
                <w:szCs w:val="20"/>
              </w:rPr>
            </w:pPr>
            <w:r w:rsidRPr="00756308">
              <w:rPr>
                <w:sz w:val="20"/>
                <w:szCs w:val="20"/>
              </w:rPr>
              <w:t xml:space="preserve">TV Aerials </w:t>
            </w:r>
          </w:p>
        </w:tc>
        <w:tc>
          <w:tcPr>
            <w:tcW w:w="1701" w:type="dxa"/>
            <w:vAlign w:val="center"/>
          </w:tcPr>
          <w:p w14:paraId="0A96B4C2" w14:textId="77777777" w:rsidR="009D1C36" w:rsidRPr="00F240AD" w:rsidRDefault="009D1C36" w:rsidP="00FD06F0">
            <w:pPr>
              <w:rPr>
                <w:rFonts w:eastAsia="Arial"/>
                <w:color w:val="auto"/>
                <w:sz w:val="20"/>
                <w:szCs w:val="20"/>
              </w:rPr>
            </w:pPr>
          </w:p>
        </w:tc>
        <w:tc>
          <w:tcPr>
            <w:tcW w:w="1559" w:type="dxa"/>
            <w:vAlign w:val="center"/>
          </w:tcPr>
          <w:p w14:paraId="52A13052" w14:textId="77777777" w:rsidR="009D1C36" w:rsidRPr="00F240AD" w:rsidRDefault="009D1C36" w:rsidP="00FD06F0">
            <w:pPr>
              <w:rPr>
                <w:rFonts w:eastAsia="Arial"/>
                <w:color w:val="auto"/>
                <w:sz w:val="20"/>
                <w:szCs w:val="20"/>
              </w:rPr>
            </w:pPr>
          </w:p>
        </w:tc>
        <w:tc>
          <w:tcPr>
            <w:tcW w:w="1559" w:type="dxa"/>
            <w:vAlign w:val="center"/>
          </w:tcPr>
          <w:p w14:paraId="0CC79C53" w14:textId="77777777" w:rsidR="009D1C36" w:rsidRPr="00F240AD" w:rsidRDefault="009D1C36" w:rsidP="00FD06F0">
            <w:pPr>
              <w:rPr>
                <w:rFonts w:eastAsia="Arial"/>
                <w:color w:val="auto"/>
                <w:sz w:val="20"/>
                <w:szCs w:val="20"/>
              </w:rPr>
            </w:pPr>
          </w:p>
        </w:tc>
      </w:tr>
      <w:tr w:rsidR="009D1C36" w:rsidRPr="00F240AD" w14:paraId="0D7CFF96" w14:textId="77777777" w:rsidTr="00FD06F0">
        <w:trPr>
          <w:cantSplit/>
        </w:trPr>
        <w:tc>
          <w:tcPr>
            <w:tcW w:w="5240" w:type="dxa"/>
            <w:vAlign w:val="center"/>
          </w:tcPr>
          <w:p w14:paraId="574F54E2" w14:textId="60DFCB10" w:rsidR="009D1C36" w:rsidRPr="00F240AD" w:rsidRDefault="009D1C36" w:rsidP="00FD06F0">
            <w:pPr>
              <w:rPr>
                <w:rFonts w:eastAsia="Arial"/>
                <w:color w:val="auto"/>
                <w:sz w:val="20"/>
                <w:szCs w:val="20"/>
              </w:rPr>
            </w:pPr>
            <w:r w:rsidRPr="00756308">
              <w:rPr>
                <w:sz w:val="20"/>
                <w:szCs w:val="20"/>
              </w:rPr>
              <w:t>Waste</w:t>
            </w:r>
            <w:r w:rsidR="00153478">
              <w:rPr>
                <w:sz w:val="20"/>
                <w:szCs w:val="20"/>
              </w:rPr>
              <w:t xml:space="preserve">, </w:t>
            </w:r>
            <w:r w:rsidRPr="00756308">
              <w:rPr>
                <w:sz w:val="20"/>
                <w:szCs w:val="20"/>
              </w:rPr>
              <w:t>Drainage</w:t>
            </w:r>
            <w:r w:rsidR="00153478">
              <w:rPr>
                <w:sz w:val="20"/>
                <w:szCs w:val="20"/>
              </w:rPr>
              <w:t>, Pumps</w:t>
            </w:r>
            <w:r w:rsidRPr="00756308">
              <w:rPr>
                <w:sz w:val="20"/>
                <w:szCs w:val="20"/>
              </w:rPr>
              <w:t xml:space="preserve"> and </w:t>
            </w:r>
            <w:r w:rsidR="00153478">
              <w:rPr>
                <w:sz w:val="20"/>
                <w:szCs w:val="20"/>
              </w:rPr>
              <w:t>S</w:t>
            </w:r>
            <w:r w:rsidRPr="00756308">
              <w:rPr>
                <w:sz w:val="20"/>
                <w:szCs w:val="20"/>
              </w:rPr>
              <w:t xml:space="preserve">eptic tanks </w:t>
            </w:r>
          </w:p>
        </w:tc>
        <w:tc>
          <w:tcPr>
            <w:tcW w:w="1701" w:type="dxa"/>
            <w:vAlign w:val="center"/>
          </w:tcPr>
          <w:p w14:paraId="197853B2" w14:textId="77777777" w:rsidR="009D1C36" w:rsidRPr="00F240AD" w:rsidRDefault="009D1C36" w:rsidP="00FD06F0">
            <w:pPr>
              <w:rPr>
                <w:rFonts w:eastAsia="Arial"/>
                <w:color w:val="auto"/>
                <w:sz w:val="20"/>
                <w:szCs w:val="20"/>
              </w:rPr>
            </w:pPr>
          </w:p>
        </w:tc>
        <w:tc>
          <w:tcPr>
            <w:tcW w:w="1559" w:type="dxa"/>
            <w:vAlign w:val="center"/>
          </w:tcPr>
          <w:p w14:paraId="382F953A" w14:textId="77777777" w:rsidR="009D1C36" w:rsidRPr="00F240AD" w:rsidRDefault="009D1C36" w:rsidP="00FD06F0">
            <w:pPr>
              <w:rPr>
                <w:rFonts w:eastAsia="Arial"/>
                <w:color w:val="auto"/>
                <w:sz w:val="20"/>
                <w:szCs w:val="20"/>
              </w:rPr>
            </w:pPr>
          </w:p>
        </w:tc>
        <w:tc>
          <w:tcPr>
            <w:tcW w:w="1559" w:type="dxa"/>
            <w:vAlign w:val="center"/>
          </w:tcPr>
          <w:p w14:paraId="147CA971" w14:textId="77777777" w:rsidR="009D1C36" w:rsidRPr="00F240AD" w:rsidRDefault="009D1C36" w:rsidP="00FD06F0">
            <w:pPr>
              <w:rPr>
                <w:rFonts w:eastAsia="Arial"/>
                <w:color w:val="auto"/>
                <w:sz w:val="20"/>
                <w:szCs w:val="20"/>
              </w:rPr>
            </w:pPr>
          </w:p>
        </w:tc>
      </w:tr>
      <w:tr w:rsidR="009D1C36" w:rsidRPr="00F240AD" w14:paraId="354E5692" w14:textId="77777777" w:rsidTr="00FD06F0">
        <w:trPr>
          <w:cantSplit/>
        </w:trPr>
        <w:tc>
          <w:tcPr>
            <w:tcW w:w="5240" w:type="dxa"/>
            <w:vAlign w:val="center"/>
          </w:tcPr>
          <w:p w14:paraId="160D5CFB" w14:textId="572A304C" w:rsidR="009D1C36" w:rsidRPr="00F240AD" w:rsidRDefault="009D1C36" w:rsidP="00FD06F0">
            <w:pPr>
              <w:rPr>
                <w:rFonts w:eastAsia="Arial"/>
                <w:color w:val="auto"/>
                <w:sz w:val="20"/>
                <w:szCs w:val="20"/>
              </w:rPr>
            </w:pPr>
            <w:r w:rsidRPr="00756308">
              <w:rPr>
                <w:sz w:val="20"/>
                <w:szCs w:val="20"/>
              </w:rPr>
              <w:t xml:space="preserve">Water </w:t>
            </w:r>
            <w:r w:rsidR="00FD06F0">
              <w:rPr>
                <w:sz w:val="20"/>
                <w:szCs w:val="20"/>
              </w:rPr>
              <w:t xml:space="preserve">Safety </w:t>
            </w:r>
            <w:r w:rsidR="00B13ED4">
              <w:rPr>
                <w:sz w:val="20"/>
                <w:szCs w:val="20"/>
              </w:rPr>
              <w:t xml:space="preserve">testing and </w:t>
            </w:r>
            <w:r w:rsidRPr="00756308">
              <w:rPr>
                <w:sz w:val="20"/>
                <w:szCs w:val="20"/>
              </w:rPr>
              <w:t xml:space="preserve">Remedial Works </w:t>
            </w:r>
          </w:p>
        </w:tc>
        <w:tc>
          <w:tcPr>
            <w:tcW w:w="1701" w:type="dxa"/>
            <w:vAlign w:val="center"/>
          </w:tcPr>
          <w:p w14:paraId="19B4C3EE" w14:textId="77777777" w:rsidR="009D1C36" w:rsidRPr="00F240AD" w:rsidRDefault="009D1C36" w:rsidP="00FD06F0">
            <w:pPr>
              <w:rPr>
                <w:rFonts w:eastAsia="Arial"/>
                <w:color w:val="auto"/>
                <w:sz w:val="20"/>
                <w:szCs w:val="20"/>
              </w:rPr>
            </w:pPr>
          </w:p>
        </w:tc>
        <w:tc>
          <w:tcPr>
            <w:tcW w:w="1559" w:type="dxa"/>
            <w:vAlign w:val="center"/>
          </w:tcPr>
          <w:p w14:paraId="46CD4486" w14:textId="77777777" w:rsidR="009D1C36" w:rsidRPr="00F240AD" w:rsidRDefault="009D1C36" w:rsidP="00FD06F0">
            <w:pPr>
              <w:rPr>
                <w:rFonts w:eastAsia="Arial"/>
                <w:color w:val="auto"/>
                <w:sz w:val="20"/>
                <w:szCs w:val="20"/>
              </w:rPr>
            </w:pPr>
          </w:p>
        </w:tc>
        <w:tc>
          <w:tcPr>
            <w:tcW w:w="1559" w:type="dxa"/>
            <w:vAlign w:val="center"/>
          </w:tcPr>
          <w:p w14:paraId="4BCA91F6" w14:textId="77777777" w:rsidR="009D1C36" w:rsidRPr="00F240AD" w:rsidRDefault="009D1C36" w:rsidP="00FD06F0">
            <w:pPr>
              <w:rPr>
                <w:rFonts w:eastAsia="Arial"/>
                <w:color w:val="auto"/>
                <w:sz w:val="20"/>
                <w:szCs w:val="20"/>
              </w:rPr>
            </w:pPr>
          </w:p>
        </w:tc>
      </w:tr>
      <w:tr w:rsidR="009D1C36" w:rsidRPr="00F240AD" w14:paraId="0826A111" w14:textId="77777777" w:rsidTr="00FD06F0">
        <w:trPr>
          <w:cantSplit/>
        </w:trPr>
        <w:tc>
          <w:tcPr>
            <w:tcW w:w="5240" w:type="dxa"/>
            <w:vAlign w:val="center"/>
          </w:tcPr>
          <w:p w14:paraId="351A5500" w14:textId="0557E91D" w:rsidR="009D1C36" w:rsidRPr="00F240AD" w:rsidRDefault="009D1C36" w:rsidP="00FD06F0">
            <w:pPr>
              <w:rPr>
                <w:rFonts w:eastAsia="Arial"/>
                <w:color w:val="auto"/>
                <w:sz w:val="20"/>
                <w:szCs w:val="20"/>
              </w:rPr>
            </w:pPr>
            <w:r w:rsidRPr="00756308">
              <w:rPr>
                <w:sz w:val="20"/>
                <w:szCs w:val="20"/>
              </w:rPr>
              <w:t xml:space="preserve">Working at Heights (inc. Access Equipment, Fall Arrest) </w:t>
            </w:r>
          </w:p>
        </w:tc>
        <w:tc>
          <w:tcPr>
            <w:tcW w:w="1701" w:type="dxa"/>
            <w:vAlign w:val="center"/>
          </w:tcPr>
          <w:p w14:paraId="4E3BB1B2" w14:textId="77777777" w:rsidR="009D1C36" w:rsidRPr="00F240AD" w:rsidRDefault="009D1C36" w:rsidP="00FD06F0">
            <w:pPr>
              <w:rPr>
                <w:rFonts w:eastAsia="Arial"/>
                <w:color w:val="auto"/>
                <w:sz w:val="20"/>
                <w:szCs w:val="20"/>
              </w:rPr>
            </w:pPr>
          </w:p>
        </w:tc>
        <w:tc>
          <w:tcPr>
            <w:tcW w:w="1559" w:type="dxa"/>
            <w:vAlign w:val="center"/>
          </w:tcPr>
          <w:p w14:paraId="631CEB8E" w14:textId="77777777" w:rsidR="009D1C36" w:rsidRPr="00F240AD" w:rsidRDefault="009D1C36" w:rsidP="00FD06F0">
            <w:pPr>
              <w:rPr>
                <w:rFonts w:eastAsia="Arial"/>
                <w:color w:val="auto"/>
                <w:sz w:val="20"/>
                <w:szCs w:val="20"/>
              </w:rPr>
            </w:pPr>
          </w:p>
        </w:tc>
        <w:tc>
          <w:tcPr>
            <w:tcW w:w="1559" w:type="dxa"/>
            <w:vAlign w:val="center"/>
          </w:tcPr>
          <w:p w14:paraId="67858405" w14:textId="77777777" w:rsidR="009D1C36" w:rsidRPr="00F240AD" w:rsidRDefault="009D1C36" w:rsidP="00FD06F0">
            <w:pPr>
              <w:rPr>
                <w:rFonts w:eastAsia="Arial"/>
                <w:color w:val="auto"/>
                <w:sz w:val="20"/>
                <w:szCs w:val="20"/>
              </w:rPr>
            </w:pPr>
          </w:p>
        </w:tc>
      </w:tr>
      <w:tr w:rsidR="009D1C36" w:rsidRPr="00F240AD" w14:paraId="10A51ED7" w14:textId="77777777" w:rsidTr="00FD06F0">
        <w:trPr>
          <w:cantSplit/>
        </w:trPr>
        <w:tc>
          <w:tcPr>
            <w:tcW w:w="5240" w:type="dxa"/>
            <w:vAlign w:val="center"/>
          </w:tcPr>
          <w:p w14:paraId="68BA2A4D" w14:textId="1896A028" w:rsidR="009D1C36" w:rsidRPr="00F240AD" w:rsidRDefault="009D1C36" w:rsidP="00FD06F0">
            <w:pPr>
              <w:rPr>
                <w:rFonts w:eastAsia="Arial"/>
                <w:color w:val="auto"/>
                <w:sz w:val="20"/>
                <w:szCs w:val="20"/>
              </w:rPr>
            </w:pPr>
            <w:r w:rsidRPr="00756308">
              <w:rPr>
                <w:sz w:val="20"/>
                <w:szCs w:val="20"/>
              </w:rPr>
              <w:t xml:space="preserve">Metering and Billing </w:t>
            </w:r>
          </w:p>
        </w:tc>
        <w:tc>
          <w:tcPr>
            <w:tcW w:w="1701" w:type="dxa"/>
            <w:vAlign w:val="center"/>
          </w:tcPr>
          <w:p w14:paraId="48F5C5A8" w14:textId="77777777" w:rsidR="009D1C36" w:rsidRPr="00F240AD" w:rsidRDefault="009D1C36" w:rsidP="00FD06F0">
            <w:pPr>
              <w:rPr>
                <w:rFonts w:eastAsia="Arial"/>
                <w:color w:val="auto"/>
                <w:sz w:val="20"/>
                <w:szCs w:val="20"/>
              </w:rPr>
            </w:pPr>
          </w:p>
        </w:tc>
        <w:tc>
          <w:tcPr>
            <w:tcW w:w="1559" w:type="dxa"/>
            <w:vAlign w:val="center"/>
          </w:tcPr>
          <w:p w14:paraId="17AC9746" w14:textId="77777777" w:rsidR="009D1C36" w:rsidRPr="00F240AD" w:rsidRDefault="009D1C36" w:rsidP="00FD06F0">
            <w:pPr>
              <w:rPr>
                <w:rFonts w:eastAsia="Arial"/>
                <w:color w:val="auto"/>
                <w:sz w:val="20"/>
                <w:szCs w:val="20"/>
              </w:rPr>
            </w:pPr>
          </w:p>
        </w:tc>
        <w:tc>
          <w:tcPr>
            <w:tcW w:w="1559" w:type="dxa"/>
            <w:vAlign w:val="center"/>
          </w:tcPr>
          <w:p w14:paraId="533418B8" w14:textId="77777777" w:rsidR="009D1C36" w:rsidRPr="00F240AD" w:rsidRDefault="009D1C36" w:rsidP="00FD06F0">
            <w:pPr>
              <w:rPr>
                <w:rFonts w:eastAsia="Arial"/>
                <w:color w:val="auto"/>
                <w:sz w:val="20"/>
                <w:szCs w:val="20"/>
              </w:rPr>
            </w:pPr>
          </w:p>
        </w:tc>
      </w:tr>
    </w:tbl>
    <w:p w14:paraId="055BFA3B" w14:textId="77777777" w:rsidR="00BA362F" w:rsidRDefault="00BA362F" w:rsidP="005602DC">
      <w:pPr>
        <w:rPr>
          <w:color w:val="000000"/>
        </w:rPr>
      </w:pPr>
    </w:p>
    <w:p w14:paraId="5CE83B28" w14:textId="77777777" w:rsidR="00580E91" w:rsidRDefault="00580E91" w:rsidP="005602DC">
      <w:pPr>
        <w:rPr>
          <w:color w:val="000000"/>
        </w:rPr>
      </w:pPr>
    </w:p>
    <w:p w14:paraId="6B57B711" w14:textId="542391EE" w:rsidR="00580E91" w:rsidRPr="00B8361C" w:rsidRDefault="00580E91" w:rsidP="00580E91">
      <w:pPr>
        <w:rPr>
          <w:color w:val="76923C" w:themeColor="accent3" w:themeShade="BF"/>
        </w:rPr>
      </w:pPr>
      <w:r w:rsidRPr="00B8361C">
        <w:rPr>
          <w:color w:val="76923C" w:themeColor="accent3" w:themeShade="BF"/>
        </w:rPr>
        <w:t xml:space="preserve">Question </w:t>
      </w:r>
      <w:r>
        <w:rPr>
          <w:color w:val="76923C" w:themeColor="accent3" w:themeShade="BF"/>
        </w:rPr>
        <w:t>4</w:t>
      </w:r>
      <w:r w:rsidRPr="00B8361C">
        <w:rPr>
          <w:color w:val="76923C" w:themeColor="accent3" w:themeShade="BF"/>
        </w:rPr>
        <w:t>:</w:t>
      </w:r>
    </w:p>
    <w:p w14:paraId="1F16F0D4" w14:textId="77777777" w:rsidR="00580E91" w:rsidRDefault="00580E91" w:rsidP="00580E91"/>
    <w:p w14:paraId="4E21ACFD" w14:textId="7AFB55F1" w:rsidR="00580E91" w:rsidRDefault="00580E91" w:rsidP="00580E91">
      <w:pPr>
        <w:jc w:val="both"/>
        <w:rPr>
          <w:color w:val="000000"/>
        </w:rPr>
      </w:pPr>
      <w:r w:rsidRPr="00483540">
        <w:rPr>
          <w:color w:val="000000"/>
        </w:rPr>
        <w:t>Please</w:t>
      </w:r>
      <w:r>
        <w:rPr>
          <w:color w:val="000000"/>
        </w:rPr>
        <w:t xml:space="preserve"> provide </w:t>
      </w:r>
      <w:r w:rsidR="006B53BB">
        <w:rPr>
          <w:color w:val="000000"/>
        </w:rPr>
        <w:t xml:space="preserve">high level </w:t>
      </w:r>
      <w:r>
        <w:rPr>
          <w:color w:val="000000"/>
        </w:rPr>
        <w:t xml:space="preserve">information about any additional </w:t>
      </w:r>
      <w:r w:rsidR="004E5493">
        <w:rPr>
          <w:color w:val="000000"/>
        </w:rPr>
        <w:t xml:space="preserve">Facility Management </w:t>
      </w:r>
      <w:r>
        <w:rPr>
          <w:color w:val="000000"/>
        </w:rPr>
        <w:t xml:space="preserve">services that </w:t>
      </w:r>
      <w:r w:rsidR="004E5493">
        <w:rPr>
          <w:color w:val="000000"/>
        </w:rPr>
        <w:t>form part of your business proposition.</w:t>
      </w:r>
    </w:p>
    <w:p w14:paraId="16944B2B" w14:textId="77777777" w:rsidR="004E5493" w:rsidRDefault="004E5493" w:rsidP="00580E91">
      <w:pPr>
        <w:jc w:val="both"/>
        <w:rPr>
          <w:color w:val="000000"/>
        </w:rPr>
      </w:pPr>
    </w:p>
    <w:p w14:paraId="76EE7B1C" w14:textId="1B3B1DD9" w:rsidR="004E5493" w:rsidRDefault="004E5493" w:rsidP="00580E91">
      <w:pPr>
        <w:jc w:val="both"/>
        <w:rPr>
          <w:color w:val="000000"/>
        </w:rPr>
      </w:pPr>
      <w:r>
        <w:rPr>
          <w:color w:val="000000"/>
        </w:rPr>
        <w:t>In particular, please provide information about Soft Facility Management services (cleaning, window cleaning, gutter cleaning, grounds maintenance, tree works, etc.)</w:t>
      </w:r>
      <w:r w:rsidR="00CB2903">
        <w:rPr>
          <w:color w:val="000000"/>
        </w:rPr>
        <w:t>.</w:t>
      </w:r>
    </w:p>
    <w:p w14:paraId="2B07F53C" w14:textId="77777777" w:rsidR="00580E91" w:rsidRPr="00BA362F" w:rsidRDefault="00580E91" w:rsidP="005602DC">
      <w:pPr>
        <w:rPr>
          <w:color w:val="000000"/>
        </w:rPr>
      </w:pPr>
    </w:p>
    <w:sectPr w:rsidR="00580E91" w:rsidRPr="00BA362F" w:rsidSect="00536837">
      <w:headerReference w:type="default" r:id="rId13"/>
      <w:footerReference w:type="even" r:id="rId14"/>
      <w:footerReference w:type="default" r:id="rId15"/>
      <w:pgSz w:w="11906" w:h="16838"/>
      <w:pgMar w:top="1702" w:right="679" w:bottom="979" w:left="1247" w:header="25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B8751" w14:textId="77777777" w:rsidR="00D82CF3" w:rsidRDefault="00D82CF3">
      <w:r>
        <w:separator/>
      </w:r>
    </w:p>
  </w:endnote>
  <w:endnote w:type="continuationSeparator" w:id="0">
    <w:p w14:paraId="3B98449D" w14:textId="77777777" w:rsidR="00D82CF3" w:rsidRDefault="00D8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77059" w14:textId="77777777" w:rsidR="007A539B" w:rsidRDefault="007A539B" w:rsidP="00527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DE02C" w14:textId="77777777" w:rsidR="007A539B" w:rsidRDefault="007A539B" w:rsidP="00D70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8828933"/>
      <w:docPartObj>
        <w:docPartGallery w:val="Page Numbers (Bottom of Page)"/>
        <w:docPartUnique/>
      </w:docPartObj>
    </w:sdtPr>
    <w:sdtEndPr/>
    <w:sdtContent>
      <w:sdt>
        <w:sdtPr>
          <w:id w:val="-1669238322"/>
          <w:docPartObj>
            <w:docPartGallery w:val="Page Numbers (Top of Page)"/>
            <w:docPartUnique/>
          </w:docPartObj>
        </w:sdtPr>
        <w:sdtEndPr/>
        <w:sdtContent>
          <w:p w14:paraId="29BE0B6C" w14:textId="77777777" w:rsidR="0015332A" w:rsidRDefault="001533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B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BF4">
              <w:rPr>
                <w:b/>
                <w:bCs/>
                <w:noProof/>
              </w:rPr>
              <w:t>4</w:t>
            </w:r>
            <w:r>
              <w:rPr>
                <w:b/>
                <w:bCs/>
                <w:sz w:val="24"/>
                <w:szCs w:val="24"/>
              </w:rPr>
              <w:fldChar w:fldCharType="end"/>
            </w:r>
          </w:p>
        </w:sdtContent>
      </w:sdt>
    </w:sdtContent>
  </w:sdt>
  <w:p w14:paraId="7AC8FC75" w14:textId="77777777" w:rsidR="007A539B" w:rsidRDefault="007A539B" w:rsidP="00D70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1ADEB" w14:textId="77777777" w:rsidR="00D82CF3" w:rsidRDefault="00D82CF3">
      <w:r>
        <w:separator/>
      </w:r>
    </w:p>
  </w:footnote>
  <w:footnote w:type="continuationSeparator" w:id="0">
    <w:p w14:paraId="787D0E76" w14:textId="77777777" w:rsidR="00D82CF3" w:rsidRDefault="00D8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1B6C7" w14:textId="77777777" w:rsidR="004570FF" w:rsidRDefault="004570FF">
    <w:pPr>
      <w:pStyle w:val="Header"/>
    </w:pPr>
    <w:bookmarkStart w:id="0" w:name="Text1"/>
    <w:r w:rsidRPr="008C5F6C">
      <w:rPr>
        <w:noProof/>
        <w:sz w:val="48"/>
        <w:szCs w:val="48"/>
      </w:rPr>
      <w:drawing>
        <wp:anchor distT="0" distB="0" distL="114300" distR="114300" simplePos="0" relativeHeight="251659264" behindDoc="1" locked="0" layoutInCell="1" allowOverlap="1" wp14:anchorId="56E08C69" wp14:editId="7F778EE7">
          <wp:simplePos x="0" y="0"/>
          <wp:positionH relativeFrom="column">
            <wp:posOffset>-807523</wp:posOffset>
          </wp:positionH>
          <wp:positionV relativeFrom="paragraph">
            <wp:posOffset>-162560</wp:posOffset>
          </wp:positionV>
          <wp:extent cx="2405693" cy="1043618"/>
          <wp:effectExtent l="0" t="0" r="0" b="4445"/>
          <wp:wrapNone/>
          <wp:docPr id="1" name="Picture 1" descr="Guinness Template 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nness Template Header_cropp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967" b="21167"/>
                  <a:stretch/>
                </pic:blipFill>
                <pic:spPr bwMode="auto">
                  <a:xfrm>
                    <a:off x="0" y="0"/>
                    <a:ext cx="2405693" cy="1043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A9607502"/>
    <w:lvl w:ilvl="0">
      <w:start w:val="1"/>
      <w:numFmt w:val="decimal"/>
      <w:pStyle w:val="Part"/>
      <w:lvlText w:val="%1"/>
      <w:lvlJc w:val="left"/>
      <w:pPr>
        <w:tabs>
          <w:tab w:val="num" w:pos="709"/>
        </w:tabs>
        <w:ind w:left="709" w:hanging="709"/>
      </w:pPr>
      <w:rPr>
        <w:rFonts w:cs="Times New Roman"/>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308"/>
        </w:tabs>
        <w:ind w:left="1308" w:hanging="708"/>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2411"/>
        </w:tabs>
        <w:ind w:left="2411" w:hanging="851"/>
      </w:pPr>
      <w:rPr>
        <w:rFonts w:cs="Times New Roman"/>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3"/>
      <w:lvlText w:val="(%4)"/>
      <w:lvlJc w:val="left"/>
      <w:pPr>
        <w:tabs>
          <w:tab w:val="num" w:pos="1887"/>
        </w:tabs>
        <w:ind w:left="1887" w:hanging="567"/>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4"/>
      <w:lvlText w:val="(%5)"/>
      <w:lvlJc w:val="left"/>
      <w:pPr>
        <w:tabs>
          <w:tab w:val="num" w:pos="3402"/>
        </w:tabs>
        <w:ind w:left="3402" w:hanging="567"/>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3076F1"/>
    <w:multiLevelType w:val="hybridMultilevel"/>
    <w:tmpl w:val="93BE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0361"/>
    <w:multiLevelType w:val="hybridMultilevel"/>
    <w:tmpl w:val="98CC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701B"/>
    <w:multiLevelType w:val="hybridMultilevel"/>
    <w:tmpl w:val="DFEE3BE2"/>
    <w:lvl w:ilvl="0" w:tplc="C51ECC80">
      <w:start w:val="1"/>
      <w:numFmt w:val="decimal"/>
      <w:lvlText w:val="%1."/>
      <w:lvlJc w:val="left"/>
      <w:pPr>
        <w:tabs>
          <w:tab w:val="num" w:pos="720"/>
        </w:tabs>
        <w:ind w:left="720" w:hanging="360"/>
      </w:pPr>
      <w:rPr>
        <w:rFonts w:hint="default"/>
      </w:rPr>
    </w:lvl>
    <w:lvl w:ilvl="1" w:tplc="C2EECE6C">
      <w:numFmt w:val="none"/>
      <w:pStyle w:val="TOC1"/>
      <w:lvlText w:val=""/>
      <w:lvlJc w:val="left"/>
      <w:pPr>
        <w:tabs>
          <w:tab w:val="num" w:pos="360"/>
        </w:tabs>
      </w:pPr>
    </w:lvl>
    <w:lvl w:ilvl="2" w:tplc="B2B8D608">
      <w:numFmt w:val="none"/>
      <w:lvlText w:val=""/>
      <w:lvlJc w:val="left"/>
      <w:pPr>
        <w:tabs>
          <w:tab w:val="num" w:pos="360"/>
        </w:tabs>
      </w:pPr>
    </w:lvl>
    <w:lvl w:ilvl="3" w:tplc="96327A38">
      <w:numFmt w:val="none"/>
      <w:lvlText w:val=""/>
      <w:lvlJc w:val="left"/>
      <w:pPr>
        <w:tabs>
          <w:tab w:val="num" w:pos="360"/>
        </w:tabs>
      </w:pPr>
    </w:lvl>
    <w:lvl w:ilvl="4" w:tplc="563E1068">
      <w:numFmt w:val="none"/>
      <w:lvlText w:val=""/>
      <w:lvlJc w:val="left"/>
      <w:pPr>
        <w:tabs>
          <w:tab w:val="num" w:pos="360"/>
        </w:tabs>
      </w:pPr>
    </w:lvl>
    <w:lvl w:ilvl="5" w:tplc="ACB8B92C">
      <w:numFmt w:val="none"/>
      <w:lvlText w:val=""/>
      <w:lvlJc w:val="left"/>
      <w:pPr>
        <w:tabs>
          <w:tab w:val="num" w:pos="360"/>
        </w:tabs>
      </w:pPr>
    </w:lvl>
    <w:lvl w:ilvl="6" w:tplc="57BAF012">
      <w:numFmt w:val="none"/>
      <w:lvlText w:val=""/>
      <w:lvlJc w:val="left"/>
      <w:pPr>
        <w:tabs>
          <w:tab w:val="num" w:pos="360"/>
        </w:tabs>
      </w:pPr>
    </w:lvl>
    <w:lvl w:ilvl="7" w:tplc="6F348ABA">
      <w:numFmt w:val="none"/>
      <w:lvlText w:val=""/>
      <w:lvlJc w:val="left"/>
      <w:pPr>
        <w:tabs>
          <w:tab w:val="num" w:pos="360"/>
        </w:tabs>
      </w:pPr>
    </w:lvl>
    <w:lvl w:ilvl="8" w:tplc="A922EC02">
      <w:numFmt w:val="none"/>
      <w:lvlText w:val=""/>
      <w:lvlJc w:val="left"/>
      <w:pPr>
        <w:tabs>
          <w:tab w:val="num" w:pos="360"/>
        </w:tabs>
      </w:pPr>
    </w:lvl>
  </w:abstractNum>
  <w:abstractNum w:abstractNumId="4" w15:restartNumberingAfterBreak="0">
    <w:nsid w:val="1C7A210A"/>
    <w:multiLevelType w:val="hybridMultilevel"/>
    <w:tmpl w:val="C1A08A00"/>
    <w:lvl w:ilvl="0" w:tplc="FD9A829A">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E00AA"/>
    <w:multiLevelType w:val="hybridMultilevel"/>
    <w:tmpl w:val="75C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5608A"/>
    <w:multiLevelType w:val="hybridMultilevel"/>
    <w:tmpl w:val="B602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220C3"/>
    <w:multiLevelType w:val="hybridMultilevel"/>
    <w:tmpl w:val="B8B8E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F13D8"/>
    <w:multiLevelType w:val="hybridMultilevel"/>
    <w:tmpl w:val="BE3A6D34"/>
    <w:lvl w:ilvl="0" w:tplc="DC5404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D427E"/>
    <w:multiLevelType w:val="hybridMultilevel"/>
    <w:tmpl w:val="5372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166CE"/>
    <w:multiLevelType w:val="hybridMultilevel"/>
    <w:tmpl w:val="A3D0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D4CFB"/>
    <w:multiLevelType w:val="hybridMultilevel"/>
    <w:tmpl w:val="1D0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87A91"/>
    <w:multiLevelType w:val="hybridMultilevel"/>
    <w:tmpl w:val="B0F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A5830"/>
    <w:multiLevelType w:val="hybridMultilevel"/>
    <w:tmpl w:val="32984CAE"/>
    <w:lvl w:ilvl="0" w:tplc="D75EDA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509FF"/>
    <w:multiLevelType w:val="hybridMultilevel"/>
    <w:tmpl w:val="07FE0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B3C62"/>
    <w:multiLevelType w:val="hybridMultilevel"/>
    <w:tmpl w:val="DAF6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6585"/>
    <w:multiLevelType w:val="multilevel"/>
    <w:tmpl w:val="0809001D"/>
    <w:styleLink w:val="StyleArialList"/>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0F120C"/>
    <w:multiLevelType w:val="hybridMultilevel"/>
    <w:tmpl w:val="221C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55E4B"/>
    <w:multiLevelType w:val="hybridMultilevel"/>
    <w:tmpl w:val="3A7AA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176F8"/>
    <w:multiLevelType w:val="hybridMultilevel"/>
    <w:tmpl w:val="94726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0832752">
    <w:abstractNumId w:val="3"/>
  </w:num>
  <w:num w:numId="2" w16cid:durableId="1010911927">
    <w:abstractNumId w:val="16"/>
  </w:num>
  <w:num w:numId="3" w16cid:durableId="1194229176">
    <w:abstractNumId w:val="0"/>
  </w:num>
  <w:num w:numId="4" w16cid:durableId="106513062">
    <w:abstractNumId w:val="11"/>
  </w:num>
  <w:num w:numId="5" w16cid:durableId="824249174">
    <w:abstractNumId w:val="10"/>
  </w:num>
  <w:num w:numId="6" w16cid:durableId="965433535">
    <w:abstractNumId w:val="14"/>
  </w:num>
  <w:num w:numId="7" w16cid:durableId="1560358559">
    <w:abstractNumId w:val="6"/>
  </w:num>
  <w:num w:numId="8" w16cid:durableId="356809452">
    <w:abstractNumId w:val="1"/>
  </w:num>
  <w:num w:numId="9" w16cid:durableId="1542093946">
    <w:abstractNumId w:val="12"/>
  </w:num>
  <w:num w:numId="10" w16cid:durableId="776633790">
    <w:abstractNumId w:val="13"/>
  </w:num>
  <w:num w:numId="11" w16cid:durableId="20010275">
    <w:abstractNumId w:val="5"/>
  </w:num>
  <w:num w:numId="12" w16cid:durableId="311830932">
    <w:abstractNumId w:val="9"/>
  </w:num>
  <w:num w:numId="13" w16cid:durableId="1247035859">
    <w:abstractNumId w:val="2"/>
  </w:num>
  <w:num w:numId="14" w16cid:durableId="1146125922">
    <w:abstractNumId w:val="8"/>
  </w:num>
  <w:num w:numId="15" w16cid:durableId="15545032">
    <w:abstractNumId w:val="15"/>
  </w:num>
  <w:num w:numId="16" w16cid:durableId="1978873115">
    <w:abstractNumId w:val="4"/>
  </w:num>
  <w:num w:numId="17" w16cid:durableId="1607158320">
    <w:abstractNumId w:val="7"/>
  </w:num>
  <w:num w:numId="18" w16cid:durableId="1535655258">
    <w:abstractNumId w:val="18"/>
  </w:num>
  <w:num w:numId="19" w16cid:durableId="1344237468">
    <w:abstractNumId w:val="17"/>
  </w:num>
  <w:num w:numId="20" w16cid:durableId="111058399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b6f71,#5c7d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8E"/>
    <w:rsid w:val="000005CF"/>
    <w:rsid w:val="00000A84"/>
    <w:rsid w:val="00005E89"/>
    <w:rsid w:val="00006C93"/>
    <w:rsid w:val="00007E71"/>
    <w:rsid w:val="00014CEA"/>
    <w:rsid w:val="00020FF3"/>
    <w:rsid w:val="00021F15"/>
    <w:rsid w:val="000237E0"/>
    <w:rsid w:val="0003189A"/>
    <w:rsid w:val="000361E9"/>
    <w:rsid w:val="000404FB"/>
    <w:rsid w:val="000502CA"/>
    <w:rsid w:val="000536AE"/>
    <w:rsid w:val="00056185"/>
    <w:rsid w:val="000565D4"/>
    <w:rsid w:val="000569C0"/>
    <w:rsid w:val="0005780B"/>
    <w:rsid w:val="000646B5"/>
    <w:rsid w:val="00070E01"/>
    <w:rsid w:val="00075C10"/>
    <w:rsid w:val="00083743"/>
    <w:rsid w:val="00083EBD"/>
    <w:rsid w:val="00095FFB"/>
    <w:rsid w:val="0009723F"/>
    <w:rsid w:val="000A05C8"/>
    <w:rsid w:val="000A15E6"/>
    <w:rsid w:val="000A289F"/>
    <w:rsid w:val="000A65C0"/>
    <w:rsid w:val="000B5F61"/>
    <w:rsid w:val="000C1ACB"/>
    <w:rsid w:val="000C4610"/>
    <w:rsid w:val="000C4A04"/>
    <w:rsid w:val="000C6C45"/>
    <w:rsid w:val="000D2FAE"/>
    <w:rsid w:val="000E0162"/>
    <w:rsid w:val="000E0BB7"/>
    <w:rsid w:val="000F2ABA"/>
    <w:rsid w:val="000F4931"/>
    <w:rsid w:val="000F64F9"/>
    <w:rsid w:val="000F77F6"/>
    <w:rsid w:val="00112C70"/>
    <w:rsid w:val="0011489B"/>
    <w:rsid w:val="00114F5E"/>
    <w:rsid w:val="00124655"/>
    <w:rsid w:val="00126ADA"/>
    <w:rsid w:val="00126B9A"/>
    <w:rsid w:val="00135AC6"/>
    <w:rsid w:val="00135C7A"/>
    <w:rsid w:val="0014084F"/>
    <w:rsid w:val="0015332A"/>
    <w:rsid w:val="00153478"/>
    <w:rsid w:val="0015463B"/>
    <w:rsid w:val="001574F1"/>
    <w:rsid w:val="0016030D"/>
    <w:rsid w:val="00163519"/>
    <w:rsid w:val="00164EE5"/>
    <w:rsid w:val="00165509"/>
    <w:rsid w:val="001711C8"/>
    <w:rsid w:val="0017178A"/>
    <w:rsid w:val="0017207E"/>
    <w:rsid w:val="00173AC0"/>
    <w:rsid w:val="00183508"/>
    <w:rsid w:val="0019149C"/>
    <w:rsid w:val="0019649E"/>
    <w:rsid w:val="001A02EE"/>
    <w:rsid w:val="001A205C"/>
    <w:rsid w:val="001A3195"/>
    <w:rsid w:val="001A493D"/>
    <w:rsid w:val="001A507E"/>
    <w:rsid w:val="001A69A2"/>
    <w:rsid w:val="001C0789"/>
    <w:rsid w:val="001C0B06"/>
    <w:rsid w:val="001C5933"/>
    <w:rsid w:val="001C75FF"/>
    <w:rsid w:val="001D68B9"/>
    <w:rsid w:val="001F22DA"/>
    <w:rsid w:val="001F3959"/>
    <w:rsid w:val="00202B2A"/>
    <w:rsid w:val="00203596"/>
    <w:rsid w:val="00205325"/>
    <w:rsid w:val="002130E4"/>
    <w:rsid w:val="00213183"/>
    <w:rsid w:val="00214CB0"/>
    <w:rsid w:val="00215AA8"/>
    <w:rsid w:val="00220451"/>
    <w:rsid w:val="00220949"/>
    <w:rsid w:val="002254F1"/>
    <w:rsid w:val="00233183"/>
    <w:rsid w:val="0023508E"/>
    <w:rsid w:val="00235BB9"/>
    <w:rsid w:val="00242F8D"/>
    <w:rsid w:val="00246C67"/>
    <w:rsid w:val="002527FA"/>
    <w:rsid w:val="002609AA"/>
    <w:rsid w:val="0026674C"/>
    <w:rsid w:val="00266BCD"/>
    <w:rsid w:val="002727B8"/>
    <w:rsid w:val="00283FD3"/>
    <w:rsid w:val="00284C82"/>
    <w:rsid w:val="002852C0"/>
    <w:rsid w:val="00285E97"/>
    <w:rsid w:val="00287560"/>
    <w:rsid w:val="00296024"/>
    <w:rsid w:val="002B25D3"/>
    <w:rsid w:val="002B62F5"/>
    <w:rsid w:val="002B75E3"/>
    <w:rsid w:val="002C44B6"/>
    <w:rsid w:val="002C5B3C"/>
    <w:rsid w:val="002D26AE"/>
    <w:rsid w:val="002D2AE1"/>
    <w:rsid w:val="002E745F"/>
    <w:rsid w:val="002F470C"/>
    <w:rsid w:val="002F7420"/>
    <w:rsid w:val="00300E0C"/>
    <w:rsid w:val="00301BCE"/>
    <w:rsid w:val="00306C0E"/>
    <w:rsid w:val="00311559"/>
    <w:rsid w:val="00321A0C"/>
    <w:rsid w:val="00323A92"/>
    <w:rsid w:val="00327B5B"/>
    <w:rsid w:val="00334341"/>
    <w:rsid w:val="0034155C"/>
    <w:rsid w:val="00350712"/>
    <w:rsid w:val="00351AB8"/>
    <w:rsid w:val="0035584B"/>
    <w:rsid w:val="00372B93"/>
    <w:rsid w:val="00373543"/>
    <w:rsid w:val="00382D08"/>
    <w:rsid w:val="003A5129"/>
    <w:rsid w:val="003A731F"/>
    <w:rsid w:val="003B286E"/>
    <w:rsid w:val="003C035F"/>
    <w:rsid w:val="003D0613"/>
    <w:rsid w:val="003E3E5F"/>
    <w:rsid w:val="003E5706"/>
    <w:rsid w:val="003E60C8"/>
    <w:rsid w:val="003E6185"/>
    <w:rsid w:val="004013F6"/>
    <w:rsid w:val="0040333D"/>
    <w:rsid w:val="00411800"/>
    <w:rsid w:val="00415AED"/>
    <w:rsid w:val="00417C40"/>
    <w:rsid w:val="004230B0"/>
    <w:rsid w:val="004244ED"/>
    <w:rsid w:val="004267C8"/>
    <w:rsid w:val="00446677"/>
    <w:rsid w:val="0044770C"/>
    <w:rsid w:val="0045089D"/>
    <w:rsid w:val="00454AF2"/>
    <w:rsid w:val="004570FF"/>
    <w:rsid w:val="00462509"/>
    <w:rsid w:val="00462688"/>
    <w:rsid w:val="00466E4E"/>
    <w:rsid w:val="00474DE4"/>
    <w:rsid w:val="00477F6E"/>
    <w:rsid w:val="00480D48"/>
    <w:rsid w:val="00483540"/>
    <w:rsid w:val="00485821"/>
    <w:rsid w:val="00494556"/>
    <w:rsid w:val="004A13CF"/>
    <w:rsid w:val="004A2B68"/>
    <w:rsid w:val="004A2FCB"/>
    <w:rsid w:val="004C2222"/>
    <w:rsid w:val="004C305F"/>
    <w:rsid w:val="004C3F56"/>
    <w:rsid w:val="004D51BC"/>
    <w:rsid w:val="004D73E3"/>
    <w:rsid w:val="004E5493"/>
    <w:rsid w:val="004F0780"/>
    <w:rsid w:val="004F3B05"/>
    <w:rsid w:val="0050112A"/>
    <w:rsid w:val="00503642"/>
    <w:rsid w:val="00507F0A"/>
    <w:rsid w:val="00510478"/>
    <w:rsid w:val="00512B10"/>
    <w:rsid w:val="0052082A"/>
    <w:rsid w:val="00521AB5"/>
    <w:rsid w:val="005274A3"/>
    <w:rsid w:val="00535856"/>
    <w:rsid w:val="00536837"/>
    <w:rsid w:val="005431C3"/>
    <w:rsid w:val="00544D14"/>
    <w:rsid w:val="00546344"/>
    <w:rsid w:val="00546C9B"/>
    <w:rsid w:val="0055139C"/>
    <w:rsid w:val="005602DC"/>
    <w:rsid w:val="0056444F"/>
    <w:rsid w:val="00566C9E"/>
    <w:rsid w:val="00570144"/>
    <w:rsid w:val="00575739"/>
    <w:rsid w:val="00580E91"/>
    <w:rsid w:val="00584298"/>
    <w:rsid w:val="005853DB"/>
    <w:rsid w:val="00585EFE"/>
    <w:rsid w:val="00586085"/>
    <w:rsid w:val="00587440"/>
    <w:rsid w:val="00590D49"/>
    <w:rsid w:val="005916E8"/>
    <w:rsid w:val="005A281A"/>
    <w:rsid w:val="005A703D"/>
    <w:rsid w:val="005B215D"/>
    <w:rsid w:val="005B5CFC"/>
    <w:rsid w:val="005C3484"/>
    <w:rsid w:val="005D5106"/>
    <w:rsid w:val="005E3C3C"/>
    <w:rsid w:val="005F0807"/>
    <w:rsid w:val="005F5506"/>
    <w:rsid w:val="00600CEC"/>
    <w:rsid w:val="00602A72"/>
    <w:rsid w:val="0060471D"/>
    <w:rsid w:val="00610026"/>
    <w:rsid w:val="00613416"/>
    <w:rsid w:val="0062583A"/>
    <w:rsid w:val="006355B4"/>
    <w:rsid w:val="006372BE"/>
    <w:rsid w:val="006478A6"/>
    <w:rsid w:val="00651423"/>
    <w:rsid w:val="006545D9"/>
    <w:rsid w:val="0065618B"/>
    <w:rsid w:val="006648A3"/>
    <w:rsid w:val="00671768"/>
    <w:rsid w:val="00671E06"/>
    <w:rsid w:val="0067272D"/>
    <w:rsid w:val="00676AB7"/>
    <w:rsid w:val="006806EF"/>
    <w:rsid w:val="006836E1"/>
    <w:rsid w:val="0069111A"/>
    <w:rsid w:val="0069228C"/>
    <w:rsid w:val="00695D8B"/>
    <w:rsid w:val="00696FC9"/>
    <w:rsid w:val="006A154E"/>
    <w:rsid w:val="006B1274"/>
    <w:rsid w:val="006B3F5E"/>
    <w:rsid w:val="006B455D"/>
    <w:rsid w:val="006B53BB"/>
    <w:rsid w:val="006B6B38"/>
    <w:rsid w:val="006C174B"/>
    <w:rsid w:val="006C195C"/>
    <w:rsid w:val="006C31AD"/>
    <w:rsid w:val="006C6FCD"/>
    <w:rsid w:val="006F1209"/>
    <w:rsid w:val="006F16E1"/>
    <w:rsid w:val="006F2388"/>
    <w:rsid w:val="006F3B64"/>
    <w:rsid w:val="006F502F"/>
    <w:rsid w:val="006F7F00"/>
    <w:rsid w:val="0070082B"/>
    <w:rsid w:val="00706D90"/>
    <w:rsid w:val="00710F8B"/>
    <w:rsid w:val="0071368F"/>
    <w:rsid w:val="00720FA8"/>
    <w:rsid w:val="007228A0"/>
    <w:rsid w:val="00722AFF"/>
    <w:rsid w:val="0072304C"/>
    <w:rsid w:val="007352E4"/>
    <w:rsid w:val="007400D4"/>
    <w:rsid w:val="0074512A"/>
    <w:rsid w:val="00745764"/>
    <w:rsid w:val="007547F6"/>
    <w:rsid w:val="00766652"/>
    <w:rsid w:val="007777BE"/>
    <w:rsid w:val="0078208A"/>
    <w:rsid w:val="00785194"/>
    <w:rsid w:val="007866C7"/>
    <w:rsid w:val="007867EE"/>
    <w:rsid w:val="0078757D"/>
    <w:rsid w:val="007879FF"/>
    <w:rsid w:val="00790425"/>
    <w:rsid w:val="00797B7D"/>
    <w:rsid w:val="007A539B"/>
    <w:rsid w:val="007B0FAF"/>
    <w:rsid w:val="007B2532"/>
    <w:rsid w:val="007C0B33"/>
    <w:rsid w:val="007C0D27"/>
    <w:rsid w:val="007C3BCC"/>
    <w:rsid w:val="007C5D08"/>
    <w:rsid w:val="007C5E01"/>
    <w:rsid w:val="007D057C"/>
    <w:rsid w:val="007D13C1"/>
    <w:rsid w:val="007D158A"/>
    <w:rsid w:val="007D3068"/>
    <w:rsid w:val="007D4E2E"/>
    <w:rsid w:val="007D5392"/>
    <w:rsid w:val="007D59D0"/>
    <w:rsid w:val="007E07E6"/>
    <w:rsid w:val="007E20A3"/>
    <w:rsid w:val="007E7F9D"/>
    <w:rsid w:val="007F0F43"/>
    <w:rsid w:val="00801E2D"/>
    <w:rsid w:val="00804233"/>
    <w:rsid w:val="0081053A"/>
    <w:rsid w:val="00812779"/>
    <w:rsid w:val="00816A90"/>
    <w:rsid w:val="0082067F"/>
    <w:rsid w:val="00830BEB"/>
    <w:rsid w:val="008312D5"/>
    <w:rsid w:val="0083486D"/>
    <w:rsid w:val="00837CC2"/>
    <w:rsid w:val="0084401D"/>
    <w:rsid w:val="00846E1F"/>
    <w:rsid w:val="00847D56"/>
    <w:rsid w:val="0085640E"/>
    <w:rsid w:val="008712E3"/>
    <w:rsid w:val="008728D5"/>
    <w:rsid w:val="00874824"/>
    <w:rsid w:val="00877374"/>
    <w:rsid w:val="00880C9A"/>
    <w:rsid w:val="00884B8F"/>
    <w:rsid w:val="00884FC7"/>
    <w:rsid w:val="008878BA"/>
    <w:rsid w:val="00895A2F"/>
    <w:rsid w:val="00896469"/>
    <w:rsid w:val="00897EAD"/>
    <w:rsid w:val="008A0489"/>
    <w:rsid w:val="008A4277"/>
    <w:rsid w:val="008B0683"/>
    <w:rsid w:val="008B2C72"/>
    <w:rsid w:val="008B3868"/>
    <w:rsid w:val="008B5B16"/>
    <w:rsid w:val="008B6D01"/>
    <w:rsid w:val="008B72ED"/>
    <w:rsid w:val="008B7ECF"/>
    <w:rsid w:val="008D16CA"/>
    <w:rsid w:val="008D3102"/>
    <w:rsid w:val="008E6636"/>
    <w:rsid w:val="008E68FB"/>
    <w:rsid w:val="008E7E11"/>
    <w:rsid w:val="008F29A3"/>
    <w:rsid w:val="008F5E3A"/>
    <w:rsid w:val="0090047B"/>
    <w:rsid w:val="00900778"/>
    <w:rsid w:val="00903037"/>
    <w:rsid w:val="009032DB"/>
    <w:rsid w:val="009055A7"/>
    <w:rsid w:val="00910E63"/>
    <w:rsid w:val="0091172E"/>
    <w:rsid w:val="00912658"/>
    <w:rsid w:val="00915376"/>
    <w:rsid w:val="00915633"/>
    <w:rsid w:val="00916C17"/>
    <w:rsid w:val="00924D9B"/>
    <w:rsid w:val="00933214"/>
    <w:rsid w:val="00935BF4"/>
    <w:rsid w:val="0093600F"/>
    <w:rsid w:val="00936186"/>
    <w:rsid w:val="00944778"/>
    <w:rsid w:val="00960606"/>
    <w:rsid w:val="009649A5"/>
    <w:rsid w:val="00965B54"/>
    <w:rsid w:val="0097249E"/>
    <w:rsid w:val="00975484"/>
    <w:rsid w:val="00976A92"/>
    <w:rsid w:val="0098448A"/>
    <w:rsid w:val="009847DD"/>
    <w:rsid w:val="00993765"/>
    <w:rsid w:val="00994F41"/>
    <w:rsid w:val="009A2A0E"/>
    <w:rsid w:val="009B0F8D"/>
    <w:rsid w:val="009B13CC"/>
    <w:rsid w:val="009B5DDA"/>
    <w:rsid w:val="009C746C"/>
    <w:rsid w:val="009D0669"/>
    <w:rsid w:val="009D1C36"/>
    <w:rsid w:val="009D49E3"/>
    <w:rsid w:val="009D5292"/>
    <w:rsid w:val="009D52B6"/>
    <w:rsid w:val="009D76CE"/>
    <w:rsid w:val="009E3914"/>
    <w:rsid w:val="009E4EC8"/>
    <w:rsid w:val="009E61F9"/>
    <w:rsid w:val="009F4163"/>
    <w:rsid w:val="009F49A1"/>
    <w:rsid w:val="00A06C95"/>
    <w:rsid w:val="00A10B1E"/>
    <w:rsid w:val="00A1382F"/>
    <w:rsid w:val="00A253AC"/>
    <w:rsid w:val="00A26F94"/>
    <w:rsid w:val="00A306D6"/>
    <w:rsid w:val="00A43528"/>
    <w:rsid w:val="00A45095"/>
    <w:rsid w:val="00A535FC"/>
    <w:rsid w:val="00A66F7B"/>
    <w:rsid w:val="00A71959"/>
    <w:rsid w:val="00A73CA4"/>
    <w:rsid w:val="00A74E69"/>
    <w:rsid w:val="00A75117"/>
    <w:rsid w:val="00A75222"/>
    <w:rsid w:val="00A850B1"/>
    <w:rsid w:val="00A92319"/>
    <w:rsid w:val="00A9296E"/>
    <w:rsid w:val="00AA1961"/>
    <w:rsid w:val="00AA7946"/>
    <w:rsid w:val="00AB171C"/>
    <w:rsid w:val="00AB1CE4"/>
    <w:rsid w:val="00AB35F8"/>
    <w:rsid w:val="00AB3627"/>
    <w:rsid w:val="00AD0050"/>
    <w:rsid w:val="00AD3AFC"/>
    <w:rsid w:val="00AD557B"/>
    <w:rsid w:val="00AD7DBF"/>
    <w:rsid w:val="00AF1069"/>
    <w:rsid w:val="00AF3193"/>
    <w:rsid w:val="00AF7B1D"/>
    <w:rsid w:val="00B01766"/>
    <w:rsid w:val="00B01826"/>
    <w:rsid w:val="00B02BFB"/>
    <w:rsid w:val="00B03007"/>
    <w:rsid w:val="00B06DEB"/>
    <w:rsid w:val="00B10CC8"/>
    <w:rsid w:val="00B1187B"/>
    <w:rsid w:val="00B13ED4"/>
    <w:rsid w:val="00B1559E"/>
    <w:rsid w:val="00B15FA3"/>
    <w:rsid w:val="00B23B12"/>
    <w:rsid w:val="00B258D7"/>
    <w:rsid w:val="00B27A0C"/>
    <w:rsid w:val="00B33D83"/>
    <w:rsid w:val="00B35A7E"/>
    <w:rsid w:val="00B3753C"/>
    <w:rsid w:val="00B40B74"/>
    <w:rsid w:val="00B42683"/>
    <w:rsid w:val="00B43561"/>
    <w:rsid w:val="00B518E2"/>
    <w:rsid w:val="00B54138"/>
    <w:rsid w:val="00B5696F"/>
    <w:rsid w:val="00B62EE8"/>
    <w:rsid w:val="00B64AA8"/>
    <w:rsid w:val="00B64EC1"/>
    <w:rsid w:val="00B657C3"/>
    <w:rsid w:val="00B65B59"/>
    <w:rsid w:val="00B67774"/>
    <w:rsid w:val="00B70CAF"/>
    <w:rsid w:val="00B71991"/>
    <w:rsid w:val="00B8361C"/>
    <w:rsid w:val="00B9260A"/>
    <w:rsid w:val="00BA362F"/>
    <w:rsid w:val="00BA3F42"/>
    <w:rsid w:val="00BA5084"/>
    <w:rsid w:val="00BA6A53"/>
    <w:rsid w:val="00BB3E58"/>
    <w:rsid w:val="00BB5475"/>
    <w:rsid w:val="00BB5E5B"/>
    <w:rsid w:val="00BB682E"/>
    <w:rsid w:val="00BB6A10"/>
    <w:rsid w:val="00BB735D"/>
    <w:rsid w:val="00BC0F78"/>
    <w:rsid w:val="00BC7CF0"/>
    <w:rsid w:val="00BD57B2"/>
    <w:rsid w:val="00BD6D16"/>
    <w:rsid w:val="00BE370E"/>
    <w:rsid w:val="00BE54B5"/>
    <w:rsid w:val="00BE7773"/>
    <w:rsid w:val="00BF0A93"/>
    <w:rsid w:val="00BF1309"/>
    <w:rsid w:val="00BF2AA5"/>
    <w:rsid w:val="00C02E98"/>
    <w:rsid w:val="00C03379"/>
    <w:rsid w:val="00C039D7"/>
    <w:rsid w:val="00C03FD1"/>
    <w:rsid w:val="00C04A63"/>
    <w:rsid w:val="00C17709"/>
    <w:rsid w:val="00C1773B"/>
    <w:rsid w:val="00C21DC7"/>
    <w:rsid w:val="00C313F4"/>
    <w:rsid w:val="00C32556"/>
    <w:rsid w:val="00C3545D"/>
    <w:rsid w:val="00C41304"/>
    <w:rsid w:val="00C423C9"/>
    <w:rsid w:val="00C42EF0"/>
    <w:rsid w:val="00C47E9A"/>
    <w:rsid w:val="00C5276F"/>
    <w:rsid w:val="00C55BED"/>
    <w:rsid w:val="00C57857"/>
    <w:rsid w:val="00C606FF"/>
    <w:rsid w:val="00C60B90"/>
    <w:rsid w:val="00C650B5"/>
    <w:rsid w:val="00C65541"/>
    <w:rsid w:val="00C66968"/>
    <w:rsid w:val="00C679A2"/>
    <w:rsid w:val="00C70B2C"/>
    <w:rsid w:val="00C7132B"/>
    <w:rsid w:val="00C7217A"/>
    <w:rsid w:val="00C771C2"/>
    <w:rsid w:val="00C77466"/>
    <w:rsid w:val="00CA0259"/>
    <w:rsid w:val="00CA0CF1"/>
    <w:rsid w:val="00CA37F9"/>
    <w:rsid w:val="00CA556F"/>
    <w:rsid w:val="00CA57C7"/>
    <w:rsid w:val="00CA6C46"/>
    <w:rsid w:val="00CA7EF1"/>
    <w:rsid w:val="00CB1369"/>
    <w:rsid w:val="00CB2903"/>
    <w:rsid w:val="00CB443F"/>
    <w:rsid w:val="00CB5B12"/>
    <w:rsid w:val="00CD05DB"/>
    <w:rsid w:val="00CD1E24"/>
    <w:rsid w:val="00CD1F0D"/>
    <w:rsid w:val="00CD51BB"/>
    <w:rsid w:val="00CD5FDB"/>
    <w:rsid w:val="00CE2F33"/>
    <w:rsid w:val="00CE6EAB"/>
    <w:rsid w:val="00CF731D"/>
    <w:rsid w:val="00D0615F"/>
    <w:rsid w:val="00D1042B"/>
    <w:rsid w:val="00D142B5"/>
    <w:rsid w:val="00D1611A"/>
    <w:rsid w:val="00D23CDA"/>
    <w:rsid w:val="00D26A01"/>
    <w:rsid w:val="00D27950"/>
    <w:rsid w:val="00D336BD"/>
    <w:rsid w:val="00D41AF5"/>
    <w:rsid w:val="00D42B66"/>
    <w:rsid w:val="00D441E4"/>
    <w:rsid w:val="00D45ED7"/>
    <w:rsid w:val="00D52AD1"/>
    <w:rsid w:val="00D54A62"/>
    <w:rsid w:val="00D67486"/>
    <w:rsid w:val="00D700AA"/>
    <w:rsid w:val="00D700D7"/>
    <w:rsid w:val="00D70F0E"/>
    <w:rsid w:val="00D805DC"/>
    <w:rsid w:val="00D82311"/>
    <w:rsid w:val="00D82CF3"/>
    <w:rsid w:val="00D83A3E"/>
    <w:rsid w:val="00D87051"/>
    <w:rsid w:val="00D87937"/>
    <w:rsid w:val="00D90D1A"/>
    <w:rsid w:val="00D91A04"/>
    <w:rsid w:val="00D95774"/>
    <w:rsid w:val="00DA73B2"/>
    <w:rsid w:val="00DB1F50"/>
    <w:rsid w:val="00DB2FE7"/>
    <w:rsid w:val="00DB336E"/>
    <w:rsid w:val="00DB6312"/>
    <w:rsid w:val="00DB7378"/>
    <w:rsid w:val="00DC1694"/>
    <w:rsid w:val="00DC32BD"/>
    <w:rsid w:val="00DC3E66"/>
    <w:rsid w:val="00DC59D4"/>
    <w:rsid w:val="00DD2DC0"/>
    <w:rsid w:val="00DD443E"/>
    <w:rsid w:val="00DE23F6"/>
    <w:rsid w:val="00DE6E3C"/>
    <w:rsid w:val="00DF1940"/>
    <w:rsid w:val="00DF5E8E"/>
    <w:rsid w:val="00E05FAF"/>
    <w:rsid w:val="00E14BEB"/>
    <w:rsid w:val="00E16E2E"/>
    <w:rsid w:val="00E214B3"/>
    <w:rsid w:val="00E26A4C"/>
    <w:rsid w:val="00E314BE"/>
    <w:rsid w:val="00E41167"/>
    <w:rsid w:val="00E464BD"/>
    <w:rsid w:val="00E519C4"/>
    <w:rsid w:val="00E52D85"/>
    <w:rsid w:val="00E54E58"/>
    <w:rsid w:val="00E56BCA"/>
    <w:rsid w:val="00E57A87"/>
    <w:rsid w:val="00E63A1D"/>
    <w:rsid w:val="00E70D9E"/>
    <w:rsid w:val="00E72008"/>
    <w:rsid w:val="00E76DC4"/>
    <w:rsid w:val="00E85F06"/>
    <w:rsid w:val="00E8624C"/>
    <w:rsid w:val="00E86960"/>
    <w:rsid w:val="00E94870"/>
    <w:rsid w:val="00E94E91"/>
    <w:rsid w:val="00E95D22"/>
    <w:rsid w:val="00E9633D"/>
    <w:rsid w:val="00EA259A"/>
    <w:rsid w:val="00EA29B1"/>
    <w:rsid w:val="00EA3140"/>
    <w:rsid w:val="00EB057B"/>
    <w:rsid w:val="00EB4431"/>
    <w:rsid w:val="00EB4D0F"/>
    <w:rsid w:val="00EB50D7"/>
    <w:rsid w:val="00EB79D4"/>
    <w:rsid w:val="00EC1390"/>
    <w:rsid w:val="00ED157F"/>
    <w:rsid w:val="00ED69C2"/>
    <w:rsid w:val="00EE4D8E"/>
    <w:rsid w:val="00EF25DC"/>
    <w:rsid w:val="00EF6C9F"/>
    <w:rsid w:val="00F006A5"/>
    <w:rsid w:val="00F150E1"/>
    <w:rsid w:val="00F17787"/>
    <w:rsid w:val="00F20264"/>
    <w:rsid w:val="00F2269A"/>
    <w:rsid w:val="00F240AD"/>
    <w:rsid w:val="00F242E2"/>
    <w:rsid w:val="00F2474D"/>
    <w:rsid w:val="00F321D9"/>
    <w:rsid w:val="00F32A02"/>
    <w:rsid w:val="00F42C7D"/>
    <w:rsid w:val="00F45D12"/>
    <w:rsid w:val="00F500EA"/>
    <w:rsid w:val="00F62AB9"/>
    <w:rsid w:val="00F64084"/>
    <w:rsid w:val="00F761F0"/>
    <w:rsid w:val="00F81BCC"/>
    <w:rsid w:val="00F83A8C"/>
    <w:rsid w:val="00F84A77"/>
    <w:rsid w:val="00F878B6"/>
    <w:rsid w:val="00F87F2D"/>
    <w:rsid w:val="00F92255"/>
    <w:rsid w:val="00F95BC3"/>
    <w:rsid w:val="00FA4EC1"/>
    <w:rsid w:val="00FB02D5"/>
    <w:rsid w:val="00FB0E60"/>
    <w:rsid w:val="00FB51A1"/>
    <w:rsid w:val="00FC11A5"/>
    <w:rsid w:val="00FC3039"/>
    <w:rsid w:val="00FC7675"/>
    <w:rsid w:val="00FD06F0"/>
    <w:rsid w:val="00F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b6f71,#5c7d2e"/>
    </o:shapedefaults>
    <o:shapelayout v:ext="edit">
      <o:idmap v:ext="edit" data="2"/>
    </o:shapelayout>
  </w:shapeDefaults>
  <w:decimalSymbol w:val="."/>
  <w:listSeparator w:val=","/>
  <w14:docId w14:val="56F3C187"/>
  <w15:docId w15:val="{534CF0FF-37C2-40C6-A9D0-8BCE0F36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495"/>
    <w:rPr>
      <w:rFonts w:ascii="Arial" w:hAnsi="Arial" w:cs="Arial"/>
      <w:color w:val="6B6F71"/>
      <w:sz w:val="22"/>
      <w:szCs w:val="22"/>
    </w:rPr>
  </w:style>
  <w:style w:type="paragraph" w:styleId="Heading1">
    <w:name w:val="heading 1"/>
    <w:basedOn w:val="Normal"/>
    <w:next w:val="Normal"/>
    <w:qFormat/>
    <w:rsid w:val="002D6495"/>
    <w:pPr>
      <w:outlineLvl w:val="0"/>
    </w:pPr>
    <w:rPr>
      <w:b/>
      <w:color w:val="auto"/>
    </w:rPr>
  </w:style>
  <w:style w:type="paragraph" w:styleId="Heading2">
    <w:name w:val="heading 2"/>
    <w:basedOn w:val="Normal"/>
    <w:next w:val="Normal"/>
    <w:link w:val="Heading2Char"/>
    <w:semiHidden/>
    <w:unhideWhenUsed/>
    <w:qFormat/>
    <w:rsid w:val="00566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A15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12F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B12F1"/>
    <w:rPr>
      <w:b/>
      <w:bCs/>
    </w:rPr>
  </w:style>
  <w:style w:type="paragraph" w:styleId="BalloonText">
    <w:name w:val="Balloon Text"/>
    <w:basedOn w:val="Normal"/>
    <w:semiHidden/>
    <w:rsid w:val="005D6CCB"/>
    <w:rPr>
      <w:rFonts w:ascii="Tahoma" w:hAnsi="Tahoma" w:cs="Tahoma"/>
      <w:sz w:val="16"/>
      <w:szCs w:val="16"/>
    </w:rPr>
  </w:style>
  <w:style w:type="paragraph" w:styleId="Footer">
    <w:name w:val="footer"/>
    <w:basedOn w:val="Normal"/>
    <w:link w:val="FooterChar"/>
    <w:uiPriority w:val="99"/>
    <w:rsid w:val="002B1152"/>
    <w:pPr>
      <w:tabs>
        <w:tab w:val="center" w:pos="4153"/>
        <w:tab w:val="right" w:pos="8306"/>
      </w:tabs>
    </w:pPr>
  </w:style>
  <w:style w:type="character" w:styleId="PageNumber">
    <w:name w:val="page number"/>
    <w:basedOn w:val="DefaultParagraphFont"/>
    <w:rsid w:val="002B1152"/>
  </w:style>
  <w:style w:type="paragraph" w:styleId="Header">
    <w:name w:val="header"/>
    <w:basedOn w:val="Normal"/>
    <w:rsid w:val="00F977B9"/>
    <w:pPr>
      <w:tabs>
        <w:tab w:val="center" w:pos="4320"/>
        <w:tab w:val="right" w:pos="8640"/>
      </w:tabs>
    </w:pPr>
  </w:style>
  <w:style w:type="paragraph" w:styleId="TOC1">
    <w:name w:val="toc 1"/>
    <w:basedOn w:val="Normal"/>
    <w:next w:val="Normal"/>
    <w:autoRedefine/>
    <w:rsid w:val="00975484"/>
    <w:pPr>
      <w:numPr>
        <w:ilvl w:val="1"/>
        <w:numId w:val="1"/>
      </w:numPr>
      <w:tabs>
        <w:tab w:val="num" w:pos="720"/>
      </w:tabs>
      <w:ind w:left="720" w:hanging="720"/>
    </w:pPr>
    <w:rPr>
      <w:color w:val="auto"/>
      <w:sz w:val="24"/>
      <w:szCs w:val="24"/>
      <w:lang w:eastAsia="en-US"/>
    </w:rPr>
  </w:style>
  <w:style w:type="character" w:styleId="Hyperlink">
    <w:name w:val="Hyperlink"/>
    <w:basedOn w:val="DefaultParagraphFont"/>
    <w:uiPriority w:val="99"/>
    <w:rsid w:val="00916C17"/>
    <w:rPr>
      <w:color w:val="0000FF"/>
      <w:u w:val="single"/>
    </w:rPr>
  </w:style>
  <w:style w:type="paragraph" w:styleId="FootnoteText">
    <w:name w:val="footnote text"/>
    <w:basedOn w:val="Normal"/>
    <w:semiHidden/>
    <w:rsid w:val="00B33D83"/>
    <w:rPr>
      <w:sz w:val="20"/>
      <w:szCs w:val="20"/>
    </w:rPr>
  </w:style>
  <w:style w:type="character" w:styleId="FootnoteReference">
    <w:name w:val="footnote reference"/>
    <w:basedOn w:val="DefaultParagraphFont"/>
    <w:semiHidden/>
    <w:rsid w:val="00B33D83"/>
    <w:rPr>
      <w:vertAlign w:val="superscript"/>
    </w:rPr>
  </w:style>
  <w:style w:type="character" w:styleId="FollowedHyperlink">
    <w:name w:val="FollowedHyperlink"/>
    <w:basedOn w:val="DefaultParagraphFont"/>
    <w:rsid w:val="007A539B"/>
    <w:rPr>
      <w:color w:val="800080"/>
      <w:u w:val="single"/>
    </w:rPr>
  </w:style>
  <w:style w:type="paragraph" w:customStyle="1" w:styleId="Masthead">
    <w:name w:val="Masthead"/>
    <w:rsid w:val="00056185"/>
    <w:rPr>
      <w:rFonts w:ascii="Arial" w:hAnsi="Arial"/>
      <w:kern w:val="28"/>
      <w:sz w:val="72"/>
      <w:szCs w:val="72"/>
      <w:lang w:val="en-US" w:eastAsia="en-US"/>
    </w:rPr>
  </w:style>
  <w:style w:type="paragraph" w:styleId="CommentText">
    <w:name w:val="annotation text"/>
    <w:basedOn w:val="Normal"/>
    <w:link w:val="CommentTextChar"/>
    <w:semiHidden/>
    <w:rsid w:val="00056185"/>
    <w:rPr>
      <w:rFonts w:cs="Times New Roman"/>
      <w:color w:val="auto"/>
      <w:sz w:val="20"/>
      <w:szCs w:val="20"/>
    </w:rPr>
  </w:style>
  <w:style w:type="paragraph" w:customStyle="1" w:styleId="Heading10">
    <w:name w:val="Heading 10"/>
    <w:basedOn w:val="Normal"/>
    <w:rsid w:val="00056185"/>
    <w:pPr>
      <w:ind w:left="360" w:hanging="360"/>
      <w:jc w:val="both"/>
    </w:pPr>
    <w:rPr>
      <w:b/>
      <w:color w:val="auto"/>
      <w:sz w:val="25"/>
      <w:szCs w:val="25"/>
    </w:rPr>
  </w:style>
  <w:style w:type="character" w:styleId="CommentReference">
    <w:name w:val="annotation reference"/>
    <w:basedOn w:val="DefaultParagraphFont"/>
    <w:semiHidden/>
    <w:rsid w:val="00944778"/>
    <w:rPr>
      <w:sz w:val="16"/>
      <w:szCs w:val="16"/>
    </w:rPr>
  </w:style>
  <w:style w:type="paragraph" w:styleId="CommentSubject">
    <w:name w:val="annotation subject"/>
    <w:basedOn w:val="CommentText"/>
    <w:next w:val="CommentText"/>
    <w:semiHidden/>
    <w:rsid w:val="00944778"/>
    <w:rPr>
      <w:rFonts w:cs="Arial"/>
      <w:b/>
      <w:bCs/>
      <w:color w:val="6B6F71"/>
    </w:rPr>
  </w:style>
  <w:style w:type="paragraph" w:customStyle="1" w:styleId="companyname">
    <w:name w:val="company name"/>
    <w:basedOn w:val="Normal"/>
    <w:rsid w:val="005F5506"/>
    <w:pPr>
      <w:spacing w:after="180" w:line="271" w:lineRule="auto"/>
    </w:pPr>
    <w:rPr>
      <w:rFonts w:cs="Times New Roman"/>
      <w:b/>
      <w:color w:val="FFFFFF"/>
      <w:kern w:val="28"/>
      <w:sz w:val="28"/>
      <w:szCs w:val="28"/>
      <w:lang w:val="en-US" w:eastAsia="en-US"/>
    </w:rPr>
  </w:style>
  <w:style w:type="paragraph" w:styleId="ListParagraph">
    <w:name w:val="List Paragraph"/>
    <w:basedOn w:val="Normal"/>
    <w:link w:val="ListParagraphChar"/>
    <w:uiPriority w:val="34"/>
    <w:qFormat/>
    <w:rsid w:val="00877374"/>
    <w:pPr>
      <w:ind w:left="720"/>
      <w:contextualSpacing/>
    </w:pPr>
  </w:style>
  <w:style w:type="paragraph" w:styleId="EndnoteText">
    <w:name w:val="endnote text"/>
    <w:basedOn w:val="Normal"/>
    <w:link w:val="EndnoteTextChar"/>
    <w:semiHidden/>
    <w:unhideWhenUsed/>
    <w:rsid w:val="006C195C"/>
    <w:rPr>
      <w:sz w:val="20"/>
      <w:szCs w:val="20"/>
    </w:rPr>
  </w:style>
  <w:style w:type="character" w:customStyle="1" w:styleId="EndnoteTextChar">
    <w:name w:val="Endnote Text Char"/>
    <w:basedOn w:val="DefaultParagraphFont"/>
    <w:link w:val="EndnoteText"/>
    <w:semiHidden/>
    <w:rsid w:val="006C195C"/>
    <w:rPr>
      <w:rFonts w:ascii="Arial" w:hAnsi="Arial" w:cs="Arial"/>
      <w:color w:val="6B6F71"/>
    </w:rPr>
  </w:style>
  <w:style w:type="character" w:styleId="EndnoteReference">
    <w:name w:val="endnote reference"/>
    <w:basedOn w:val="DefaultParagraphFont"/>
    <w:semiHidden/>
    <w:unhideWhenUsed/>
    <w:rsid w:val="006C195C"/>
    <w:rPr>
      <w:vertAlign w:val="superscript"/>
    </w:rPr>
  </w:style>
  <w:style w:type="paragraph" w:customStyle="1" w:styleId="legclearfix2">
    <w:name w:val="legclearfix2"/>
    <w:basedOn w:val="Normal"/>
    <w:rsid w:val="00720FA8"/>
    <w:pPr>
      <w:shd w:val="clear" w:color="auto" w:fill="FFFFFF"/>
      <w:spacing w:after="120" w:line="360" w:lineRule="atLeast"/>
    </w:pPr>
    <w:rPr>
      <w:rFonts w:ascii="Times New Roman" w:hAnsi="Times New Roman" w:cs="Times New Roman"/>
      <w:color w:val="000000"/>
      <w:sz w:val="19"/>
      <w:szCs w:val="19"/>
    </w:rPr>
  </w:style>
  <w:style w:type="character" w:customStyle="1" w:styleId="legds2">
    <w:name w:val="legds2"/>
    <w:basedOn w:val="DefaultParagraphFont"/>
    <w:rsid w:val="00720FA8"/>
    <w:rPr>
      <w:vanish w:val="0"/>
      <w:webHidden w:val="0"/>
      <w:specVanish w:val="0"/>
    </w:rPr>
  </w:style>
  <w:style w:type="character" w:customStyle="1" w:styleId="Heading3Char">
    <w:name w:val="Heading 3 Char"/>
    <w:basedOn w:val="DefaultParagraphFont"/>
    <w:link w:val="Heading3"/>
    <w:semiHidden/>
    <w:rsid w:val="006A154E"/>
    <w:rPr>
      <w:rFonts w:asciiTheme="majorHAnsi" w:eastAsiaTheme="majorEastAsia" w:hAnsiTheme="majorHAnsi" w:cstheme="majorBidi"/>
      <w:color w:val="243F60" w:themeColor="accent1" w:themeShade="7F"/>
      <w:sz w:val="24"/>
      <w:szCs w:val="24"/>
    </w:rPr>
  </w:style>
  <w:style w:type="paragraph" w:customStyle="1" w:styleId="DefaultText">
    <w:name w:val="Default Text"/>
    <w:basedOn w:val="Normal"/>
    <w:rsid w:val="0082067F"/>
    <w:pPr>
      <w:widowControl w:val="0"/>
      <w:overflowPunct w:val="0"/>
      <w:autoSpaceDE w:val="0"/>
      <w:autoSpaceDN w:val="0"/>
      <w:adjustRightInd w:val="0"/>
      <w:textAlignment w:val="baseline"/>
    </w:pPr>
    <w:rPr>
      <w:color w:val="auto"/>
      <w:sz w:val="24"/>
      <w:szCs w:val="24"/>
      <w:lang w:val="en-US" w:eastAsia="en-US"/>
    </w:rPr>
  </w:style>
  <w:style w:type="character" w:customStyle="1" w:styleId="FooterChar">
    <w:name w:val="Footer Char"/>
    <w:basedOn w:val="DefaultParagraphFont"/>
    <w:link w:val="Footer"/>
    <w:uiPriority w:val="99"/>
    <w:rsid w:val="00DB2FE7"/>
    <w:rPr>
      <w:rFonts w:ascii="Arial" w:hAnsi="Arial" w:cs="Arial"/>
      <w:color w:val="6B6F71"/>
      <w:sz w:val="22"/>
      <w:szCs w:val="22"/>
    </w:rPr>
  </w:style>
  <w:style w:type="numbering" w:customStyle="1" w:styleId="StyleArialList">
    <w:name w:val="Style Arial List"/>
    <w:basedOn w:val="NoList"/>
    <w:rsid w:val="008312D5"/>
    <w:pPr>
      <w:numPr>
        <w:numId w:val="2"/>
      </w:numPr>
    </w:pPr>
  </w:style>
  <w:style w:type="character" w:customStyle="1" w:styleId="CommentTextChar">
    <w:name w:val="Comment Text Char"/>
    <w:basedOn w:val="DefaultParagraphFont"/>
    <w:link w:val="CommentText"/>
    <w:semiHidden/>
    <w:rsid w:val="008312D5"/>
    <w:rPr>
      <w:rFonts w:ascii="Arial" w:hAnsi="Arial"/>
    </w:rPr>
  </w:style>
  <w:style w:type="paragraph" w:customStyle="1" w:styleId="Part">
    <w:name w:val="Part"/>
    <w:basedOn w:val="Normal"/>
    <w:next w:val="Normal"/>
    <w:rsid w:val="00CD51BB"/>
    <w:pPr>
      <w:keepNext/>
      <w:keepLines/>
      <w:numPr>
        <w:numId w:val="3"/>
      </w:numPr>
      <w:tabs>
        <w:tab w:val="clear" w:pos="709"/>
      </w:tabs>
      <w:adjustRightInd w:val="0"/>
      <w:spacing w:after="200" w:line="312" w:lineRule="auto"/>
      <w:ind w:left="0" w:firstLine="0"/>
      <w:jc w:val="both"/>
    </w:pPr>
    <w:rPr>
      <w:b/>
      <w:bCs/>
      <w:color w:val="auto"/>
      <w:sz w:val="24"/>
      <w:szCs w:val="24"/>
    </w:rPr>
  </w:style>
  <w:style w:type="paragraph" w:customStyle="1" w:styleId="Level1">
    <w:name w:val="Level 1"/>
    <w:basedOn w:val="Normal"/>
    <w:rsid w:val="00CD51BB"/>
    <w:pPr>
      <w:numPr>
        <w:ilvl w:val="1"/>
        <w:numId w:val="3"/>
      </w:numPr>
      <w:tabs>
        <w:tab w:val="clear" w:pos="1308"/>
        <w:tab w:val="num" w:pos="709"/>
      </w:tabs>
      <w:adjustRightInd w:val="0"/>
      <w:spacing w:after="200" w:line="312" w:lineRule="auto"/>
      <w:ind w:left="709" w:hanging="709"/>
      <w:jc w:val="both"/>
      <w:outlineLvl w:val="0"/>
    </w:pPr>
    <w:rPr>
      <w:color w:val="auto"/>
      <w:sz w:val="20"/>
      <w:szCs w:val="20"/>
    </w:rPr>
  </w:style>
  <w:style w:type="paragraph" w:customStyle="1" w:styleId="Level2">
    <w:name w:val="Level 2"/>
    <w:basedOn w:val="Normal"/>
    <w:rsid w:val="00CD51BB"/>
    <w:pPr>
      <w:numPr>
        <w:ilvl w:val="2"/>
        <w:numId w:val="3"/>
      </w:numPr>
      <w:tabs>
        <w:tab w:val="clear" w:pos="2411"/>
        <w:tab w:val="num" w:pos="1308"/>
      </w:tabs>
      <w:adjustRightInd w:val="0"/>
      <w:spacing w:after="200" w:line="312" w:lineRule="auto"/>
      <w:ind w:left="1308" w:hanging="708"/>
      <w:jc w:val="both"/>
      <w:outlineLvl w:val="1"/>
    </w:pPr>
    <w:rPr>
      <w:color w:val="auto"/>
      <w:sz w:val="20"/>
      <w:szCs w:val="20"/>
    </w:rPr>
  </w:style>
  <w:style w:type="paragraph" w:customStyle="1" w:styleId="Level3">
    <w:name w:val="Level 3"/>
    <w:basedOn w:val="Normal"/>
    <w:rsid w:val="00CD51BB"/>
    <w:pPr>
      <w:numPr>
        <w:ilvl w:val="3"/>
        <w:numId w:val="3"/>
      </w:numPr>
      <w:tabs>
        <w:tab w:val="clear" w:pos="1887"/>
        <w:tab w:val="num" w:pos="2411"/>
      </w:tabs>
      <w:adjustRightInd w:val="0"/>
      <w:spacing w:after="200" w:line="312" w:lineRule="auto"/>
      <w:ind w:left="2411" w:hanging="851"/>
      <w:jc w:val="both"/>
      <w:outlineLvl w:val="2"/>
    </w:pPr>
    <w:rPr>
      <w:color w:val="auto"/>
      <w:sz w:val="20"/>
      <w:szCs w:val="20"/>
    </w:rPr>
  </w:style>
  <w:style w:type="paragraph" w:customStyle="1" w:styleId="Body4">
    <w:name w:val="Body 4"/>
    <w:basedOn w:val="Normal"/>
    <w:rsid w:val="00CD51BB"/>
    <w:pPr>
      <w:numPr>
        <w:ilvl w:val="4"/>
        <w:numId w:val="3"/>
      </w:numPr>
      <w:tabs>
        <w:tab w:val="clear" w:pos="3402"/>
      </w:tabs>
      <w:adjustRightInd w:val="0"/>
      <w:spacing w:after="200" w:line="312" w:lineRule="auto"/>
      <w:ind w:left="2835" w:firstLine="0"/>
      <w:jc w:val="both"/>
    </w:pPr>
    <w:rPr>
      <w:color w:val="auto"/>
      <w:sz w:val="20"/>
      <w:szCs w:val="20"/>
    </w:rPr>
  </w:style>
  <w:style w:type="character" w:customStyle="1" w:styleId="Heading2Char">
    <w:name w:val="Heading 2 Char"/>
    <w:basedOn w:val="DefaultParagraphFont"/>
    <w:link w:val="Heading2"/>
    <w:semiHidden/>
    <w:rsid w:val="00566C9E"/>
    <w:rPr>
      <w:rFonts w:asciiTheme="majorHAnsi" w:eastAsiaTheme="majorEastAsia" w:hAnsiTheme="majorHAnsi" w:cstheme="majorBidi"/>
      <w:b/>
      <w:bCs/>
      <w:color w:val="4F81BD" w:themeColor="accent1"/>
      <w:sz w:val="26"/>
      <w:szCs w:val="26"/>
    </w:rPr>
  </w:style>
  <w:style w:type="paragraph" w:customStyle="1" w:styleId="Default">
    <w:name w:val="Default"/>
    <w:rsid w:val="00566C9E"/>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locked/>
    <w:rsid w:val="000C1ACB"/>
    <w:rPr>
      <w:rFonts w:ascii="Arial" w:hAnsi="Arial" w:cs="Arial"/>
      <w:color w:val="6B6F7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83295">
      <w:bodyDiv w:val="1"/>
      <w:marLeft w:val="0"/>
      <w:marRight w:val="0"/>
      <w:marTop w:val="0"/>
      <w:marBottom w:val="0"/>
      <w:divBdr>
        <w:top w:val="none" w:sz="0" w:space="0" w:color="auto"/>
        <w:left w:val="none" w:sz="0" w:space="0" w:color="auto"/>
        <w:bottom w:val="none" w:sz="0" w:space="0" w:color="auto"/>
        <w:right w:val="none" w:sz="0" w:space="0" w:color="auto"/>
      </w:divBdr>
      <w:divsChild>
        <w:div w:id="1818833840">
          <w:marLeft w:val="0"/>
          <w:marRight w:val="0"/>
          <w:marTop w:val="0"/>
          <w:marBottom w:val="0"/>
          <w:divBdr>
            <w:top w:val="none" w:sz="0" w:space="0" w:color="auto"/>
            <w:left w:val="none" w:sz="0" w:space="0" w:color="auto"/>
            <w:bottom w:val="none" w:sz="0" w:space="0" w:color="auto"/>
            <w:right w:val="none" w:sz="0" w:space="0" w:color="auto"/>
          </w:divBdr>
          <w:divsChild>
            <w:div w:id="1098404579">
              <w:marLeft w:val="0"/>
              <w:marRight w:val="0"/>
              <w:marTop w:val="0"/>
              <w:marBottom w:val="0"/>
              <w:divBdr>
                <w:top w:val="none" w:sz="0" w:space="0" w:color="auto"/>
                <w:left w:val="none" w:sz="0" w:space="0" w:color="auto"/>
                <w:bottom w:val="none" w:sz="0" w:space="0" w:color="auto"/>
                <w:right w:val="none" w:sz="0" w:space="0" w:color="auto"/>
              </w:divBdr>
              <w:divsChild>
                <w:div w:id="9268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9580">
      <w:bodyDiv w:val="1"/>
      <w:marLeft w:val="0"/>
      <w:marRight w:val="0"/>
      <w:marTop w:val="0"/>
      <w:marBottom w:val="0"/>
      <w:divBdr>
        <w:top w:val="none" w:sz="0" w:space="0" w:color="auto"/>
        <w:left w:val="none" w:sz="0" w:space="0" w:color="auto"/>
        <w:bottom w:val="none" w:sz="0" w:space="0" w:color="auto"/>
        <w:right w:val="none" w:sz="0" w:space="0" w:color="auto"/>
      </w:divBdr>
      <w:divsChild>
        <w:div w:id="138692720">
          <w:marLeft w:val="0"/>
          <w:marRight w:val="0"/>
          <w:marTop w:val="0"/>
          <w:marBottom w:val="0"/>
          <w:divBdr>
            <w:top w:val="none" w:sz="0" w:space="0" w:color="auto"/>
            <w:left w:val="none" w:sz="0" w:space="0" w:color="auto"/>
            <w:bottom w:val="none" w:sz="0" w:space="0" w:color="auto"/>
            <w:right w:val="none" w:sz="0" w:space="0" w:color="auto"/>
          </w:divBdr>
          <w:divsChild>
            <w:div w:id="6376006">
              <w:marLeft w:val="0"/>
              <w:marRight w:val="0"/>
              <w:marTop w:val="0"/>
              <w:marBottom w:val="0"/>
              <w:divBdr>
                <w:top w:val="none" w:sz="0" w:space="0" w:color="auto"/>
                <w:left w:val="none" w:sz="0" w:space="0" w:color="auto"/>
                <w:bottom w:val="none" w:sz="0" w:space="0" w:color="auto"/>
                <w:right w:val="none" w:sz="0" w:space="0" w:color="auto"/>
              </w:divBdr>
              <w:divsChild>
                <w:div w:id="9088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5701">
      <w:bodyDiv w:val="1"/>
      <w:marLeft w:val="0"/>
      <w:marRight w:val="0"/>
      <w:marTop w:val="0"/>
      <w:marBottom w:val="0"/>
      <w:divBdr>
        <w:top w:val="none" w:sz="0" w:space="0" w:color="auto"/>
        <w:left w:val="none" w:sz="0" w:space="0" w:color="auto"/>
        <w:bottom w:val="none" w:sz="0" w:space="0" w:color="auto"/>
        <w:right w:val="none" w:sz="0" w:space="0" w:color="auto"/>
      </w:divBdr>
      <w:divsChild>
        <w:div w:id="414211656">
          <w:marLeft w:val="0"/>
          <w:marRight w:val="0"/>
          <w:marTop w:val="0"/>
          <w:marBottom w:val="0"/>
          <w:divBdr>
            <w:top w:val="none" w:sz="0" w:space="0" w:color="auto"/>
            <w:left w:val="none" w:sz="0" w:space="0" w:color="auto"/>
            <w:bottom w:val="none" w:sz="0" w:space="0" w:color="auto"/>
            <w:right w:val="none" w:sz="0" w:space="0" w:color="auto"/>
          </w:divBdr>
          <w:divsChild>
            <w:div w:id="78062545">
              <w:marLeft w:val="0"/>
              <w:marRight w:val="0"/>
              <w:marTop w:val="0"/>
              <w:marBottom w:val="0"/>
              <w:divBdr>
                <w:top w:val="none" w:sz="0" w:space="0" w:color="auto"/>
                <w:left w:val="none" w:sz="0" w:space="0" w:color="auto"/>
                <w:bottom w:val="none" w:sz="0" w:space="0" w:color="auto"/>
                <w:right w:val="none" w:sz="0" w:space="0" w:color="auto"/>
              </w:divBdr>
              <w:divsChild>
                <w:div w:id="13405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8202">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0658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9476">
      <w:bodyDiv w:val="1"/>
      <w:marLeft w:val="0"/>
      <w:marRight w:val="0"/>
      <w:marTop w:val="0"/>
      <w:marBottom w:val="0"/>
      <w:divBdr>
        <w:top w:val="none" w:sz="0" w:space="0" w:color="auto"/>
        <w:left w:val="none" w:sz="0" w:space="0" w:color="auto"/>
        <w:bottom w:val="none" w:sz="0" w:space="0" w:color="auto"/>
        <w:right w:val="none" w:sz="0" w:space="0" w:color="auto"/>
      </w:divBdr>
      <w:divsChild>
        <w:div w:id="1783844684">
          <w:marLeft w:val="0"/>
          <w:marRight w:val="0"/>
          <w:marTop w:val="0"/>
          <w:marBottom w:val="0"/>
          <w:divBdr>
            <w:top w:val="none" w:sz="0" w:space="0" w:color="auto"/>
            <w:left w:val="none" w:sz="0" w:space="0" w:color="auto"/>
            <w:bottom w:val="none" w:sz="0" w:space="0" w:color="auto"/>
            <w:right w:val="none" w:sz="0" w:space="0" w:color="auto"/>
          </w:divBdr>
          <w:divsChild>
            <w:div w:id="14650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043">
      <w:bodyDiv w:val="1"/>
      <w:marLeft w:val="0"/>
      <w:marRight w:val="0"/>
      <w:marTop w:val="0"/>
      <w:marBottom w:val="0"/>
      <w:divBdr>
        <w:top w:val="none" w:sz="0" w:space="0" w:color="auto"/>
        <w:left w:val="none" w:sz="0" w:space="0" w:color="auto"/>
        <w:bottom w:val="none" w:sz="0" w:space="0" w:color="auto"/>
        <w:right w:val="none" w:sz="0" w:space="0" w:color="auto"/>
      </w:divBdr>
      <w:divsChild>
        <w:div w:id="559023422">
          <w:marLeft w:val="0"/>
          <w:marRight w:val="0"/>
          <w:marTop w:val="0"/>
          <w:marBottom w:val="0"/>
          <w:divBdr>
            <w:top w:val="none" w:sz="0" w:space="0" w:color="auto"/>
            <w:left w:val="none" w:sz="0" w:space="0" w:color="auto"/>
            <w:bottom w:val="none" w:sz="0" w:space="0" w:color="auto"/>
            <w:right w:val="none" w:sz="0" w:space="0" w:color="auto"/>
          </w:divBdr>
          <w:divsChild>
            <w:div w:id="821655061">
              <w:marLeft w:val="0"/>
              <w:marRight w:val="0"/>
              <w:marTop w:val="0"/>
              <w:marBottom w:val="0"/>
              <w:divBdr>
                <w:top w:val="none" w:sz="0" w:space="0" w:color="auto"/>
                <w:left w:val="none" w:sz="0" w:space="0" w:color="auto"/>
                <w:bottom w:val="none" w:sz="0" w:space="0" w:color="auto"/>
                <w:right w:val="none" w:sz="0" w:space="0" w:color="auto"/>
              </w:divBdr>
              <w:divsChild>
                <w:div w:id="599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2313">
      <w:bodyDiv w:val="1"/>
      <w:marLeft w:val="0"/>
      <w:marRight w:val="0"/>
      <w:marTop w:val="0"/>
      <w:marBottom w:val="0"/>
      <w:divBdr>
        <w:top w:val="none" w:sz="0" w:space="0" w:color="auto"/>
        <w:left w:val="none" w:sz="0" w:space="0" w:color="auto"/>
        <w:bottom w:val="none" w:sz="0" w:space="0" w:color="auto"/>
        <w:right w:val="none" w:sz="0" w:space="0" w:color="auto"/>
      </w:divBdr>
      <w:divsChild>
        <w:div w:id="680010415">
          <w:marLeft w:val="0"/>
          <w:marRight w:val="0"/>
          <w:marTop w:val="0"/>
          <w:marBottom w:val="0"/>
          <w:divBdr>
            <w:top w:val="none" w:sz="0" w:space="0" w:color="auto"/>
            <w:left w:val="none" w:sz="0" w:space="0" w:color="auto"/>
            <w:bottom w:val="none" w:sz="0" w:space="0" w:color="auto"/>
            <w:right w:val="none" w:sz="0" w:space="0" w:color="auto"/>
          </w:divBdr>
          <w:divsChild>
            <w:div w:id="519202060">
              <w:marLeft w:val="0"/>
              <w:marRight w:val="0"/>
              <w:marTop w:val="0"/>
              <w:marBottom w:val="0"/>
              <w:divBdr>
                <w:top w:val="none" w:sz="0" w:space="0" w:color="auto"/>
                <w:left w:val="none" w:sz="0" w:space="0" w:color="auto"/>
                <w:bottom w:val="none" w:sz="0" w:space="0" w:color="auto"/>
                <w:right w:val="none" w:sz="0" w:space="0" w:color="auto"/>
              </w:divBdr>
              <w:divsChild>
                <w:div w:id="122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967">
      <w:bodyDiv w:val="1"/>
      <w:marLeft w:val="0"/>
      <w:marRight w:val="0"/>
      <w:marTop w:val="0"/>
      <w:marBottom w:val="0"/>
      <w:divBdr>
        <w:top w:val="none" w:sz="0" w:space="0" w:color="auto"/>
        <w:left w:val="none" w:sz="0" w:space="0" w:color="auto"/>
        <w:bottom w:val="none" w:sz="0" w:space="0" w:color="auto"/>
        <w:right w:val="none" w:sz="0" w:space="0" w:color="auto"/>
      </w:divBdr>
      <w:divsChild>
        <w:div w:id="2059011160">
          <w:marLeft w:val="0"/>
          <w:marRight w:val="0"/>
          <w:marTop w:val="0"/>
          <w:marBottom w:val="0"/>
          <w:divBdr>
            <w:top w:val="none" w:sz="0" w:space="0" w:color="auto"/>
            <w:left w:val="none" w:sz="0" w:space="0" w:color="auto"/>
            <w:bottom w:val="none" w:sz="0" w:space="0" w:color="auto"/>
            <w:right w:val="none" w:sz="0" w:space="0" w:color="auto"/>
          </w:divBdr>
          <w:divsChild>
            <w:div w:id="1800302613">
              <w:marLeft w:val="0"/>
              <w:marRight w:val="0"/>
              <w:marTop w:val="0"/>
              <w:marBottom w:val="0"/>
              <w:divBdr>
                <w:top w:val="none" w:sz="0" w:space="0" w:color="auto"/>
                <w:left w:val="none" w:sz="0" w:space="0" w:color="auto"/>
                <w:bottom w:val="none" w:sz="0" w:space="0" w:color="auto"/>
                <w:right w:val="none" w:sz="0" w:space="0" w:color="auto"/>
              </w:divBdr>
              <w:divsChild>
                <w:div w:id="13478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2641">
      <w:bodyDiv w:val="1"/>
      <w:marLeft w:val="0"/>
      <w:marRight w:val="0"/>
      <w:marTop w:val="0"/>
      <w:marBottom w:val="0"/>
      <w:divBdr>
        <w:top w:val="none" w:sz="0" w:space="0" w:color="auto"/>
        <w:left w:val="none" w:sz="0" w:space="0" w:color="auto"/>
        <w:bottom w:val="none" w:sz="0" w:space="0" w:color="auto"/>
        <w:right w:val="none" w:sz="0" w:space="0" w:color="auto"/>
      </w:divBdr>
      <w:divsChild>
        <w:div w:id="1974870357">
          <w:marLeft w:val="0"/>
          <w:marRight w:val="0"/>
          <w:marTop w:val="0"/>
          <w:marBottom w:val="0"/>
          <w:divBdr>
            <w:top w:val="none" w:sz="0" w:space="0" w:color="auto"/>
            <w:left w:val="none" w:sz="0" w:space="0" w:color="auto"/>
            <w:bottom w:val="none" w:sz="0" w:space="0" w:color="auto"/>
            <w:right w:val="none" w:sz="0" w:space="0" w:color="auto"/>
          </w:divBdr>
          <w:divsChild>
            <w:div w:id="50076730">
              <w:marLeft w:val="0"/>
              <w:marRight w:val="0"/>
              <w:marTop w:val="0"/>
              <w:marBottom w:val="0"/>
              <w:divBdr>
                <w:top w:val="single" w:sz="2" w:space="0" w:color="FFFFFF"/>
                <w:left w:val="single" w:sz="6" w:space="0" w:color="FFFFFF"/>
                <w:bottom w:val="single" w:sz="6" w:space="0" w:color="FFFFFF"/>
                <w:right w:val="single" w:sz="6" w:space="0" w:color="FFFFFF"/>
              </w:divBdr>
              <w:divsChild>
                <w:div w:id="924146004">
                  <w:marLeft w:val="0"/>
                  <w:marRight w:val="0"/>
                  <w:marTop w:val="0"/>
                  <w:marBottom w:val="0"/>
                  <w:divBdr>
                    <w:top w:val="single" w:sz="6" w:space="1" w:color="D3D3D3"/>
                    <w:left w:val="none" w:sz="0" w:space="0" w:color="auto"/>
                    <w:bottom w:val="none" w:sz="0" w:space="0" w:color="auto"/>
                    <w:right w:val="none" w:sz="0" w:space="0" w:color="auto"/>
                  </w:divBdr>
                  <w:divsChild>
                    <w:div w:id="1920480601">
                      <w:marLeft w:val="0"/>
                      <w:marRight w:val="0"/>
                      <w:marTop w:val="0"/>
                      <w:marBottom w:val="0"/>
                      <w:divBdr>
                        <w:top w:val="none" w:sz="0" w:space="0" w:color="auto"/>
                        <w:left w:val="none" w:sz="0" w:space="0" w:color="auto"/>
                        <w:bottom w:val="none" w:sz="0" w:space="0" w:color="auto"/>
                        <w:right w:val="none" w:sz="0" w:space="0" w:color="auto"/>
                      </w:divBdr>
                      <w:divsChild>
                        <w:div w:id="2111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67591">
      <w:bodyDiv w:val="1"/>
      <w:marLeft w:val="0"/>
      <w:marRight w:val="0"/>
      <w:marTop w:val="0"/>
      <w:marBottom w:val="0"/>
      <w:divBdr>
        <w:top w:val="none" w:sz="0" w:space="0" w:color="auto"/>
        <w:left w:val="none" w:sz="0" w:space="0" w:color="auto"/>
        <w:bottom w:val="none" w:sz="0" w:space="0" w:color="auto"/>
        <w:right w:val="none" w:sz="0" w:space="0" w:color="auto"/>
      </w:divBdr>
      <w:divsChild>
        <w:div w:id="2040281597">
          <w:marLeft w:val="0"/>
          <w:marRight w:val="0"/>
          <w:marTop w:val="0"/>
          <w:marBottom w:val="0"/>
          <w:divBdr>
            <w:top w:val="none" w:sz="0" w:space="0" w:color="auto"/>
            <w:left w:val="none" w:sz="0" w:space="0" w:color="auto"/>
            <w:bottom w:val="none" w:sz="0" w:space="0" w:color="auto"/>
            <w:right w:val="none" w:sz="0" w:space="0" w:color="auto"/>
          </w:divBdr>
          <w:divsChild>
            <w:div w:id="932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3187">
      <w:bodyDiv w:val="1"/>
      <w:marLeft w:val="0"/>
      <w:marRight w:val="0"/>
      <w:marTop w:val="0"/>
      <w:marBottom w:val="0"/>
      <w:divBdr>
        <w:top w:val="none" w:sz="0" w:space="0" w:color="auto"/>
        <w:left w:val="none" w:sz="0" w:space="0" w:color="auto"/>
        <w:bottom w:val="none" w:sz="0" w:space="0" w:color="auto"/>
        <w:right w:val="none" w:sz="0" w:space="0" w:color="auto"/>
      </w:divBdr>
      <w:divsChild>
        <w:div w:id="427508973">
          <w:marLeft w:val="0"/>
          <w:marRight w:val="0"/>
          <w:marTop w:val="0"/>
          <w:marBottom w:val="0"/>
          <w:divBdr>
            <w:top w:val="none" w:sz="0" w:space="0" w:color="auto"/>
            <w:left w:val="none" w:sz="0" w:space="0" w:color="auto"/>
            <w:bottom w:val="none" w:sz="0" w:space="0" w:color="auto"/>
            <w:right w:val="none" w:sz="0" w:space="0" w:color="auto"/>
          </w:divBdr>
          <w:divsChild>
            <w:div w:id="11191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615">
      <w:bodyDiv w:val="1"/>
      <w:marLeft w:val="0"/>
      <w:marRight w:val="0"/>
      <w:marTop w:val="0"/>
      <w:marBottom w:val="0"/>
      <w:divBdr>
        <w:top w:val="none" w:sz="0" w:space="0" w:color="auto"/>
        <w:left w:val="none" w:sz="0" w:space="0" w:color="auto"/>
        <w:bottom w:val="none" w:sz="0" w:space="0" w:color="auto"/>
        <w:right w:val="none" w:sz="0" w:space="0" w:color="auto"/>
      </w:divBdr>
      <w:divsChild>
        <w:div w:id="1581326070">
          <w:marLeft w:val="0"/>
          <w:marRight w:val="0"/>
          <w:marTop w:val="0"/>
          <w:marBottom w:val="0"/>
          <w:divBdr>
            <w:top w:val="none" w:sz="0" w:space="0" w:color="auto"/>
            <w:left w:val="none" w:sz="0" w:space="0" w:color="auto"/>
            <w:bottom w:val="none" w:sz="0" w:space="0" w:color="auto"/>
            <w:right w:val="none" w:sz="0" w:space="0" w:color="auto"/>
          </w:divBdr>
          <w:divsChild>
            <w:div w:id="804352788">
              <w:marLeft w:val="0"/>
              <w:marRight w:val="0"/>
              <w:marTop w:val="0"/>
              <w:marBottom w:val="0"/>
              <w:divBdr>
                <w:top w:val="none" w:sz="0" w:space="0" w:color="auto"/>
                <w:left w:val="none" w:sz="0" w:space="0" w:color="auto"/>
                <w:bottom w:val="none" w:sz="0" w:space="0" w:color="auto"/>
                <w:right w:val="none" w:sz="0" w:space="0" w:color="auto"/>
              </w:divBdr>
              <w:divsChild>
                <w:div w:id="21007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422">
      <w:bodyDiv w:val="1"/>
      <w:marLeft w:val="0"/>
      <w:marRight w:val="0"/>
      <w:marTop w:val="0"/>
      <w:marBottom w:val="0"/>
      <w:divBdr>
        <w:top w:val="none" w:sz="0" w:space="0" w:color="auto"/>
        <w:left w:val="none" w:sz="0" w:space="0" w:color="auto"/>
        <w:bottom w:val="none" w:sz="0" w:space="0" w:color="auto"/>
        <w:right w:val="none" w:sz="0" w:space="0" w:color="auto"/>
      </w:divBdr>
      <w:divsChild>
        <w:div w:id="75830803">
          <w:marLeft w:val="0"/>
          <w:marRight w:val="0"/>
          <w:marTop w:val="0"/>
          <w:marBottom w:val="0"/>
          <w:divBdr>
            <w:top w:val="none" w:sz="0" w:space="0" w:color="auto"/>
            <w:left w:val="none" w:sz="0" w:space="0" w:color="auto"/>
            <w:bottom w:val="none" w:sz="0" w:space="0" w:color="auto"/>
            <w:right w:val="none" w:sz="0" w:space="0" w:color="auto"/>
          </w:divBdr>
          <w:divsChild>
            <w:div w:id="1347756498">
              <w:marLeft w:val="0"/>
              <w:marRight w:val="0"/>
              <w:marTop w:val="0"/>
              <w:marBottom w:val="0"/>
              <w:divBdr>
                <w:top w:val="none" w:sz="0" w:space="0" w:color="auto"/>
                <w:left w:val="none" w:sz="0" w:space="0" w:color="auto"/>
                <w:bottom w:val="none" w:sz="0" w:space="0" w:color="auto"/>
                <w:right w:val="none" w:sz="0" w:space="0" w:color="auto"/>
              </w:divBdr>
              <w:divsChild>
                <w:div w:id="9118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nnesspartnershi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 Document" ma:contentTypeID="0x01010014B9CA3E9A38444EB3FACB9A86FB577C0018DD8B914E0C9246B332FEADBFA76407" ma:contentTypeVersion="2" ma:contentTypeDescription="" ma:contentTypeScope="" ma:versionID="839a734c7f0ec07f206adf7b90aa41af">
  <xsd:schema xmlns:xsd="http://www.w3.org/2001/XMLSchema" xmlns:xs="http://www.w3.org/2001/XMLSchema" xmlns:p="http://schemas.microsoft.com/office/2006/metadata/properties" xmlns:ns2="9d2026ac-2e48-45d6-b6b7-d419372981bc" xmlns:ns3="532cc4e4-f2fc-4c64-8662-001edb7c890a" targetNamespace="http://schemas.microsoft.com/office/2006/metadata/properties" ma:root="true" ma:fieldsID="38cacf9b640762e2d5ea76accb0ead51" ns2:_="" ns3:_="">
    <xsd:import namespace="9d2026ac-2e48-45d6-b6b7-d419372981bc"/>
    <xsd:import namespace="532cc4e4-f2fc-4c64-8662-001edb7c890a"/>
    <xsd:element name="properties">
      <xsd:complexType>
        <xsd:sequence>
          <xsd:element name="documentManagement">
            <xsd:complexType>
              <xsd:all>
                <xsd:element ref="ns2:oadc072e19db46d7961af6fb332db5a5" minOccurs="0"/>
                <xsd:element ref="ns2:TaxCatchAll" minOccurs="0"/>
                <xsd:element ref="ns2:TaxCatchAllLabel" minOccurs="0"/>
                <xsd:element ref="ns2:g78d0f113afd4faa9c3047adb294a67b" minOccurs="0"/>
                <xsd:element ref="ns2:lfc6013e297d46d7bd23d89c6a502623" minOccurs="0"/>
                <xsd:element ref="ns3:Communications_x0020_Area" minOccurs="0"/>
                <xsd:element ref="ns3:Print_x0020_ord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26ac-2e48-45d6-b6b7-d419372981bc" elementFormDefault="qualified">
    <xsd:import namespace="http://schemas.microsoft.com/office/2006/documentManagement/types"/>
    <xsd:import namespace="http://schemas.microsoft.com/office/infopath/2007/PartnerControls"/>
    <xsd:element name="oadc072e19db46d7961af6fb332db5a5" ma:index="8" ma:taxonomy="true" ma:internalName="oadc072e19db46d7961af6fb332db5a5" ma:taxonomyFieldName="GP_x0020_Division_x0020__x002F__x0020_Company" ma:displayName="GP Division / Company" ma:default="" ma:fieldId="{8adc072e-19db-46d7-961a-f6fb332db5a5}" ma:taxonomyMulti="true" ma:sspId="69d6dfa1-e935-4c4f-be46-ba6bbd2c1408" ma:termSetId="de00ca65-e037-4bb7-8f9b-c1fffeaad9aa" ma:anchorId="ec75351f-27e6-4e5a-a99c-be7e39a5371a" ma:open="false" ma:isKeyword="false">
      <xsd:complexType>
        <xsd:sequence>
          <xsd:element ref="pc:Terms" minOccurs="0" maxOccurs="1"/>
        </xsd:sequence>
      </xsd:complexType>
    </xsd:element>
    <xsd:element name="TaxCatchAll" ma:index="9" nillable="true" ma:displayName="Taxonomy Catch All Column" ma:hidden="true" ma:list="{a35a7855-3487-4ab2-bb8b-3900ab5d0e1a}" ma:internalName="TaxCatchAll" ma:showField="CatchAllData" ma:web="9d2026ac-2e48-45d6-b6b7-d419372981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5a7855-3487-4ab2-bb8b-3900ab5d0e1a}" ma:internalName="TaxCatchAllLabel" ma:readOnly="true" ma:showField="CatchAllDataLabel" ma:web="9d2026ac-2e48-45d6-b6b7-d419372981bc">
      <xsd:complexType>
        <xsd:complexContent>
          <xsd:extension base="dms:MultiChoiceLookup">
            <xsd:sequence>
              <xsd:element name="Value" type="dms:Lookup" maxOccurs="unbounded" minOccurs="0" nillable="true"/>
            </xsd:sequence>
          </xsd:extension>
        </xsd:complexContent>
      </xsd:complexType>
    </xsd:element>
    <xsd:element name="g78d0f113afd4faa9c3047adb294a67b" ma:index="12" ma:taxonomy="true" ma:internalName="g78d0f113afd4faa9c3047adb294a67b" ma:taxonomyFieldName="GP_x0020_Function" ma:displayName="GP Function" ma:default="" ma:fieldId="{078d0f11-3afd-4faa-9c30-47adb294a67b}" ma:taxonomyMulti="true" ma:sspId="69d6dfa1-e935-4c4f-be46-ba6bbd2c1408" ma:termSetId="de00ca65-e037-4bb7-8f9b-c1fffeaad9aa" ma:anchorId="39e7870a-e6a5-4ead-ae75-ffb6a08d8489" ma:open="false" ma:isKeyword="false">
      <xsd:complexType>
        <xsd:sequence>
          <xsd:element ref="pc:Terms" minOccurs="0" maxOccurs="1"/>
        </xsd:sequence>
      </xsd:complexType>
    </xsd:element>
    <xsd:element name="lfc6013e297d46d7bd23d89c6a502623" ma:index="14" ma:taxonomy="true" ma:internalName="lfc6013e297d46d7bd23d89c6a502623" ma:taxonomyFieldName="GP_x0020_Document_x0020_Type" ma:displayName="GP Document Type" ma:default="" ma:fieldId="{5fc6013e-297d-46d7-bd23-d89c6a502623}" ma:taxonomyMulti="true" ma:sspId="69d6dfa1-e935-4c4f-be46-ba6bbd2c1408" ma:termSetId="de00ca65-e037-4bb7-8f9b-c1fffeaad9aa" ma:anchorId="5af0e7f3-46cf-4cb8-90da-a25d4190dc4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2cc4e4-f2fc-4c64-8662-001edb7c890a" elementFormDefault="qualified">
    <xsd:import namespace="http://schemas.microsoft.com/office/2006/documentManagement/types"/>
    <xsd:import namespace="http://schemas.microsoft.com/office/infopath/2007/PartnerControls"/>
    <xsd:element name="Communications_x0020_Area" ma:index="16" nillable="true" ma:displayName="Communications Area" ma:format="Dropdown" ma:internalName="Communications_x0020_Area">
      <xsd:simpleType>
        <xsd:restriction base="dms:Choice">
          <xsd:enumeration value="Media"/>
          <xsd:enumeration value="Digital"/>
          <xsd:enumeration value="Internal comms"/>
          <xsd:enumeration value="Events"/>
          <xsd:enumeration value="Brand and design"/>
          <xsd:enumeration value="Print"/>
          <xsd:enumeration value="Corporate Standards"/>
        </xsd:restriction>
      </xsd:simpleType>
    </xsd:element>
    <xsd:element name="Print_x0020_order_x0020_type" ma:index="17" nillable="true" ma:displayName="Print order type" ma:format="Dropdown" ma:internalName="Print_x0020_order_x0020_type">
      <xsd:simpleType>
        <xsd:union memberTypes="dms:Text">
          <xsd:simpleType>
            <xsd:restriction base="dms:Choice">
              <xsd:enumeration value="Calling cards"/>
              <xsd:enumeration value="Envelopes"/>
              <xsd:enumeration value="Leaflets"/>
              <xsd:enumeration value="Letterheads"/>
              <xsd:enumeration value="Notepads"/>
              <xsd:enumeration value="Posters"/>
              <xsd:enumeration value="Rent statement postcard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78d0f113afd4faa9c3047adb294a67b xmlns="9d2026ac-2e48-45d6-b6b7-d419372981b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b8acd481-11c4-4a7d-abd0-aed3b7f54be7</TermId>
        </TermInfo>
      </Terms>
    </g78d0f113afd4faa9c3047adb294a67b>
    <TaxCatchAll xmlns="9d2026ac-2e48-45d6-b6b7-d419372981bc">
      <Value>20</Value>
      <Value>69</Value>
      <Value>13</Value>
    </TaxCatchAll>
    <oadc072e19db46d7961af6fb332db5a5 xmlns="9d2026ac-2e48-45d6-b6b7-d419372981bc">
      <Terms xmlns="http://schemas.microsoft.com/office/infopath/2007/PartnerControls">
        <TermInfo xmlns="http://schemas.microsoft.com/office/infopath/2007/PartnerControls">
          <TermName xmlns="http://schemas.microsoft.com/office/infopath/2007/PartnerControls">The Guinness Partnership</TermName>
          <TermId xmlns="http://schemas.microsoft.com/office/infopath/2007/PartnerControls">1ba4f0f6-3103-41b9-9072-ff533895e07b</TermId>
        </TermInfo>
      </Terms>
    </oadc072e19db46d7961af6fb332db5a5>
    <lfc6013e297d46d7bd23d89c6a502623 xmlns="9d2026ac-2e48-45d6-b6b7-d419372981b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6f18e863-3936-4667-9653-a7c1651a6c9f</TermId>
        </TermInfo>
      </Terms>
    </lfc6013e297d46d7bd23d89c6a502623>
    <Print_x0020_order_x0020_type xmlns="532cc4e4-f2fc-4c64-8662-001edb7c890a" xsi:nil="true"/>
    <Communications_x0020_Area xmlns="532cc4e4-f2fc-4c64-8662-001edb7c89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76CF2-8FC9-4593-AC0E-A31814A8D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26ac-2e48-45d6-b6b7-d419372981bc"/>
    <ds:schemaRef ds:uri="532cc4e4-f2fc-4c64-8662-001edb7c8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D3839-E781-4EF9-99E5-A47BA733A86F}">
  <ds:schemaRefs>
    <ds:schemaRef ds:uri="http://schemas.openxmlformats.org/officeDocument/2006/bibliography"/>
  </ds:schemaRefs>
</ds:datastoreItem>
</file>

<file path=customXml/itemProps3.xml><?xml version="1.0" encoding="utf-8"?>
<ds:datastoreItem xmlns:ds="http://schemas.openxmlformats.org/officeDocument/2006/customXml" ds:itemID="{62A160AC-CF4A-4BD2-94B4-969D77DDBFF4}">
  <ds:schemaRefs>
    <ds:schemaRef ds:uri="http://schemas.microsoft.com/office/2006/metadata/properties"/>
    <ds:schemaRef ds:uri="http://schemas.microsoft.com/office/infopath/2007/PartnerControls"/>
    <ds:schemaRef ds:uri="9d2026ac-2e48-45d6-b6b7-d419372981bc"/>
    <ds:schemaRef ds:uri="532cc4e4-f2fc-4c64-8662-001edb7c890a"/>
  </ds:schemaRefs>
</ds:datastoreItem>
</file>

<file path=customXml/itemProps4.xml><?xml version="1.0" encoding="utf-8"?>
<ds:datastoreItem xmlns:ds="http://schemas.openxmlformats.org/officeDocument/2006/customXml" ds:itemID="{72E17809-4061-4E0F-BFBC-BD6136966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1297</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TGP Fact Sheet or Briefing Note Template</vt:lpstr>
    </vt:vector>
  </TitlesOfParts>
  <Company>Parchment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 Fact Sheet or Briefing Note Template</dc:title>
  <dc:creator>christiana.bennett</dc:creator>
  <cp:lastModifiedBy>Patty Campos</cp:lastModifiedBy>
  <cp:revision>200</cp:revision>
  <cp:lastPrinted>2017-01-30T12:48:00Z</cp:lastPrinted>
  <dcterms:created xsi:type="dcterms:W3CDTF">2024-05-01T08:59:00Z</dcterms:created>
  <dcterms:modified xsi:type="dcterms:W3CDTF">2024-06-03T15:07:00Z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0x01010014B9CA3E9A38444EB3FACB9A86FB577C0018DD8B914E0C9246B332FEADBFA76407</vt:lpwstr>
  </property>
  <property fmtid="{D5CDD505-2E9C-101B-9397-08002B2CF9AE}" pid="3" name="GP policy">
    <vt:lpwstr>275;#Safeguarding Children and Young People|06cfe3a4-ee84-46a0-86b0-f8f7ba689470</vt:lpwstr>
  </property>
  <property fmtid="{D5CDD505-2E9C-101B-9397-08002B2CF9AE}" pid="4" name="GP Document Type">
    <vt:lpwstr>69;#Template|6f18e863-3936-4667-9653-a7c1651a6c9f</vt:lpwstr>
  </property>
  <property fmtid="{D5CDD505-2E9C-101B-9397-08002B2CF9AE}" pid="5" name="GP Function">
    <vt:lpwstr>20;#Communications|b8acd481-11c4-4a7d-abd0-aed3b7f54be7</vt:lpwstr>
  </property>
  <property fmtid="{D5CDD505-2E9C-101B-9397-08002B2CF9AE}" pid="6" name="GP Division / Company">
    <vt:lpwstr>13;#The Guinness Partnership|1ba4f0f6-3103-41b9-9072-ff533895e07b</vt:lpwstr>
  </property>
</Properties>
</file>