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9C" w:rsidRPr="008B339C" w:rsidRDefault="008B339C" w:rsidP="00DE50DF">
      <w:pPr>
        <w:spacing w:line="240" w:lineRule="auto"/>
        <w:rPr>
          <w:rFonts w:ascii="Segoe UI" w:eastAsia="Times New Roman" w:hAnsi="Segoe UI" w:cs="Segoe UI"/>
          <w:b/>
          <w:color w:val="333333"/>
          <w:sz w:val="28"/>
          <w:szCs w:val="28"/>
          <w:lang w:eastAsia="en-GB"/>
        </w:rPr>
      </w:pPr>
      <w:r w:rsidRPr="008B339C">
        <w:rPr>
          <w:rFonts w:ascii="Segoe UI" w:eastAsia="Times New Roman" w:hAnsi="Segoe UI" w:cs="Segoe UI"/>
          <w:b/>
          <w:color w:val="333333"/>
          <w:sz w:val="28"/>
          <w:szCs w:val="28"/>
          <w:lang w:eastAsia="en-GB"/>
        </w:rPr>
        <w:t>Insured Value Limits</w:t>
      </w:r>
    </w:p>
    <w:p w:rsidR="008B339C" w:rsidRPr="008B339C" w:rsidRDefault="008B339C" w:rsidP="008B339C">
      <w:pPr>
        <w:pStyle w:val="ListParagraph"/>
        <w:numPr>
          <w:ilvl w:val="0"/>
          <w:numId w:val="1"/>
        </w:numPr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  <w:r w:rsidRPr="008B339C">
        <w:rPr>
          <w:rFonts w:ascii="Segoe UI" w:eastAsia="Times New Roman" w:hAnsi="Segoe UI" w:cs="Segoe UI"/>
          <w:b/>
          <w:color w:val="333333"/>
          <w:sz w:val="20"/>
          <w:szCs w:val="20"/>
          <w:lang w:eastAsia="en-GB"/>
        </w:rPr>
        <w:t>Computer Hardware equipment at own premises</w:t>
      </w:r>
    </w:p>
    <w:p w:rsidR="00D268C6" w:rsidRPr="00923AB0" w:rsidRDefault="00D268C6" w:rsidP="00D268C6">
      <w:pPr>
        <w:ind w:left="720"/>
        <w:rPr>
          <w:rFonts w:ascii="Segoe UI" w:eastAsia="Times New Roman" w:hAnsi="Segoe UI" w:cs="Segoe UI"/>
          <w:b/>
          <w:color w:val="333333"/>
          <w:sz w:val="20"/>
          <w:szCs w:val="20"/>
          <w:u w:val="double"/>
          <w:lang w:eastAsia="en-GB"/>
        </w:rPr>
      </w:pPr>
      <w:r>
        <w:rPr>
          <w:rFonts w:ascii="Segoe UI" w:eastAsia="Times New Roman" w:hAnsi="Segoe UI" w:cs="Segoe UI"/>
          <w:b/>
          <w:color w:val="333333"/>
          <w:sz w:val="20"/>
          <w:szCs w:val="20"/>
          <w:u w:val="double"/>
          <w:lang w:eastAsia="en-GB"/>
        </w:rPr>
        <w:t>£404,720</w:t>
      </w:r>
    </w:p>
    <w:p w:rsidR="0071159E" w:rsidRPr="008B339C" w:rsidRDefault="0071159E" w:rsidP="00046876">
      <w:pPr>
        <w:pStyle w:val="ListParagraph"/>
        <w:numPr>
          <w:ilvl w:val="0"/>
          <w:numId w:val="1"/>
        </w:numPr>
        <w:spacing w:line="240" w:lineRule="auto"/>
        <w:rPr>
          <w:rFonts w:ascii="Segoe UI" w:eastAsia="Times New Roman" w:hAnsi="Segoe UI" w:cs="Segoe UI"/>
          <w:b/>
          <w:color w:val="333333"/>
          <w:sz w:val="20"/>
          <w:szCs w:val="20"/>
          <w:lang w:eastAsia="en-GB"/>
        </w:rPr>
      </w:pPr>
      <w:r w:rsidRPr="00046876">
        <w:rPr>
          <w:rFonts w:ascii="Segoe UI" w:eastAsia="Times New Roman" w:hAnsi="Segoe UI" w:cs="Segoe UI"/>
          <w:b/>
          <w:color w:val="333333"/>
          <w:sz w:val="20"/>
          <w:szCs w:val="20"/>
          <w:lang w:eastAsia="en-GB"/>
        </w:rPr>
        <w:t>C</w:t>
      </w:r>
      <w:r w:rsidRPr="008B339C">
        <w:rPr>
          <w:rFonts w:ascii="Segoe UI" w:eastAsia="Times New Roman" w:hAnsi="Segoe UI" w:cs="Segoe UI"/>
          <w:b/>
          <w:color w:val="333333"/>
          <w:sz w:val="20"/>
          <w:szCs w:val="20"/>
          <w:lang w:eastAsia="en-GB"/>
        </w:rPr>
        <w:t>o</w:t>
      </w:r>
      <w:r w:rsidR="008B339C">
        <w:rPr>
          <w:rFonts w:ascii="Segoe UI" w:eastAsia="Times New Roman" w:hAnsi="Segoe UI" w:cs="Segoe UI"/>
          <w:b/>
          <w:color w:val="333333"/>
          <w:sz w:val="20"/>
          <w:szCs w:val="20"/>
          <w:lang w:eastAsia="en-GB"/>
        </w:rPr>
        <w:t>mputer Software at own premises</w:t>
      </w:r>
    </w:p>
    <w:p w:rsidR="00F4316F" w:rsidRDefault="00DE50DF" w:rsidP="008B339C">
      <w:pPr>
        <w:spacing w:line="240" w:lineRule="auto"/>
        <w:ind w:left="36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Software assets are not physically held on premise</w:t>
      </w:r>
      <w:r w:rsidR="00A04E4B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.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 </w:t>
      </w:r>
      <w:r w:rsidR="00A04E4B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A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ccess to the install media for most software </w:t>
      </w:r>
      <w:r w:rsidR="00A04E4B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packages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that the council procures is via the </w:t>
      </w:r>
      <w:r w:rsidR="00F4316F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Microsoft</w:t>
      </w:r>
      <w:r w:rsidR="00F4316F" w:rsidRPr="00F4316F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 Volume Licensing Service Center (VLSC)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. This</w:t>
      </w:r>
      <w:r w:rsidR="00F4316F" w:rsidRPr="00F4316F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 gives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access to enable the d</w:t>
      </w:r>
      <w:r w:rsidR="00F4316F" w:rsidRPr="00F4316F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ownload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of </w:t>
      </w:r>
      <w:r w:rsidR="00F4316F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software </w:t>
      </w:r>
      <w:r w:rsidR="00F4316F" w:rsidRPr="00F4316F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products and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licence </w:t>
      </w:r>
      <w:r w:rsidR="00F4316F" w:rsidRPr="00F4316F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keys</w:t>
      </w:r>
      <w:r w:rsidR="00A04E4B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.</w:t>
      </w:r>
      <w:r w:rsidR="00F4316F" w:rsidRPr="00F4316F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Microsoft </w:t>
      </w:r>
      <w:r w:rsidR="00A04E4B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licensing i</w:t>
      </w:r>
      <w:r w:rsidR="00F02ECC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nformation is maintained</w:t>
      </w:r>
      <w:r w:rsidR="00A04E4B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 via this portal.</w:t>
      </w:r>
    </w:p>
    <w:p w:rsidR="00DE50DF" w:rsidRPr="00F4316F" w:rsidRDefault="0071159E" w:rsidP="008B339C">
      <w:pPr>
        <w:spacing w:after="0" w:line="240" w:lineRule="auto"/>
        <w:ind w:left="360"/>
        <w:rPr>
          <w:rFonts w:ascii="Segoe UI" w:eastAsia="Times New Roman" w:hAnsi="Segoe UI" w:cs="Segoe UI"/>
          <w:color w:val="333333"/>
          <w:sz w:val="15"/>
          <w:szCs w:val="15"/>
          <w:lang w:eastAsia="en-GB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Software for</w:t>
      </w:r>
      <w:r w:rsidR="00DE50DF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 Back Office Application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S</w:t>
      </w:r>
      <w:r w:rsidR="00DE50DF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ystems such as Oracle is also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available to dow</w:t>
      </w:r>
      <w:r w:rsidR="00DE50DF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n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 </w:t>
      </w:r>
      <w:r w:rsidR="00DE50DF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load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from </w:t>
      </w:r>
      <w:r w:rsidR="003C65A5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vendor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’</w:t>
      </w:r>
      <w:r w:rsidR="003C65A5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s software portal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s.</w:t>
      </w:r>
    </w:p>
    <w:p w:rsidR="00F4316F" w:rsidRDefault="00F4316F" w:rsidP="00F4316F">
      <w:pPr>
        <w:spacing w:after="0" w:line="240" w:lineRule="auto"/>
        <w:textAlignment w:val="center"/>
        <w:rPr>
          <w:rFonts w:ascii="Segoe UI" w:eastAsia="Times New Roman" w:hAnsi="Segoe UI" w:cs="Segoe UI"/>
          <w:color w:val="333333"/>
          <w:sz w:val="15"/>
          <w:szCs w:val="15"/>
          <w:lang w:eastAsia="en-GB"/>
        </w:rPr>
      </w:pPr>
    </w:p>
    <w:p w:rsidR="0071159E" w:rsidRPr="0071159E" w:rsidRDefault="0071159E" w:rsidP="008B339C">
      <w:pPr>
        <w:spacing w:after="0" w:line="240" w:lineRule="auto"/>
        <w:ind w:left="36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  <w:r w:rsidRPr="0071159E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In such an event as a </w:t>
      </w:r>
      <w:r w:rsidR="00B74693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local </w:t>
      </w:r>
      <w:r w:rsidRPr="0071159E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major </w:t>
      </w:r>
      <w:r w:rsidR="00A04E4B" w:rsidRPr="0071159E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disaster,</w:t>
      </w:r>
      <w:r w:rsidRPr="0071159E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the software assets would not be affected.</w:t>
      </w:r>
    </w:p>
    <w:p w:rsidR="00F4316F" w:rsidRPr="008B339C" w:rsidRDefault="00F4316F" w:rsidP="00F4316F">
      <w:pPr>
        <w:spacing w:after="0" w:line="240" w:lineRule="auto"/>
        <w:textAlignment w:val="center"/>
        <w:rPr>
          <w:rFonts w:ascii="Segoe UI" w:eastAsia="Times New Roman" w:hAnsi="Segoe UI" w:cs="Segoe UI"/>
          <w:b/>
          <w:color w:val="333333"/>
          <w:sz w:val="15"/>
          <w:szCs w:val="15"/>
          <w:lang w:eastAsia="en-GB"/>
        </w:rPr>
      </w:pPr>
    </w:p>
    <w:p w:rsidR="008B339C" w:rsidRDefault="008B339C" w:rsidP="008B33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Non-portable Equipment within Territorial Limits</w:t>
      </w:r>
    </w:p>
    <w:p w:rsidR="008B339C" w:rsidRDefault="008B339C" w:rsidP="00923AB0">
      <w:pPr>
        <w:spacing w:line="240" w:lineRule="auto"/>
        <w:ind w:left="72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  <w:r w:rsidRPr="008B339C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None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.</w:t>
      </w:r>
    </w:p>
    <w:p w:rsidR="008B339C" w:rsidRPr="008B339C" w:rsidRDefault="008B339C" w:rsidP="008B339C">
      <w:pPr>
        <w:pStyle w:val="ListParagraph"/>
        <w:numPr>
          <w:ilvl w:val="0"/>
          <w:numId w:val="1"/>
        </w:numPr>
        <w:rPr>
          <w:b/>
        </w:rPr>
      </w:pPr>
      <w:r w:rsidRPr="008B339C">
        <w:rPr>
          <w:b/>
        </w:rPr>
        <w:t>Portable Equipment</w:t>
      </w:r>
    </w:p>
    <w:p w:rsidR="008B339C" w:rsidRPr="00923AB0" w:rsidRDefault="00D268C6" w:rsidP="00923AB0">
      <w:pPr>
        <w:ind w:left="720"/>
        <w:rPr>
          <w:rFonts w:ascii="Segoe UI" w:eastAsia="Times New Roman" w:hAnsi="Segoe UI" w:cs="Segoe UI"/>
          <w:b/>
          <w:color w:val="333333"/>
          <w:sz w:val="20"/>
          <w:szCs w:val="20"/>
          <w:u w:val="double"/>
          <w:lang w:eastAsia="en-GB"/>
        </w:rPr>
      </w:pPr>
      <w:r>
        <w:rPr>
          <w:rFonts w:ascii="Segoe UI" w:eastAsia="Times New Roman" w:hAnsi="Segoe UI" w:cs="Segoe UI"/>
          <w:b/>
          <w:color w:val="333333"/>
          <w:sz w:val="20"/>
          <w:szCs w:val="20"/>
          <w:u w:val="double"/>
          <w:lang w:eastAsia="en-GB"/>
        </w:rPr>
        <w:t>£74,860</w:t>
      </w:r>
    </w:p>
    <w:p w:rsidR="008B339C" w:rsidRPr="00923AB0" w:rsidRDefault="00923AB0" w:rsidP="00923AB0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b/>
          <w:color w:val="333333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color w:val="333333"/>
          <w:sz w:val="20"/>
          <w:szCs w:val="20"/>
          <w:lang w:eastAsia="en-GB"/>
        </w:rPr>
        <w:t>All Other Software.</w:t>
      </w:r>
    </w:p>
    <w:p w:rsidR="00923AB0" w:rsidRPr="00923AB0" w:rsidRDefault="00923AB0" w:rsidP="00923AB0">
      <w:pPr>
        <w:spacing w:line="240" w:lineRule="auto"/>
        <w:ind w:left="72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  <w:r w:rsidRPr="00923AB0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None.</w:t>
      </w:r>
    </w:p>
    <w:p w:rsidR="008B339C" w:rsidRDefault="00923AB0" w:rsidP="00923A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</w:t>
      </w:r>
      <w:r w:rsidR="00C34F62">
        <w:rPr>
          <w:b/>
        </w:rPr>
        <w:t>instatement of Data</w:t>
      </w:r>
    </w:p>
    <w:p w:rsidR="00C34F62" w:rsidRDefault="00C34F62" w:rsidP="00C34F62">
      <w:pPr>
        <w:spacing w:line="240" w:lineRule="auto"/>
        <w:ind w:left="72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  <w:r w:rsidRPr="00C34F62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 xml:space="preserve">No </w:t>
      </w: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envisaged costs as function of IT Department.</w:t>
      </w:r>
    </w:p>
    <w:p w:rsidR="00C34F62" w:rsidRPr="00C34F62" w:rsidRDefault="00C34F62" w:rsidP="00C34F62">
      <w:pPr>
        <w:pStyle w:val="ListParagraph"/>
        <w:numPr>
          <w:ilvl w:val="0"/>
          <w:numId w:val="1"/>
        </w:numPr>
        <w:rPr>
          <w:b/>
        </w:rPr>
      </w:pPr>
      <w:r w:rsidRPr="00C34F62">
        <w:rPr>
          <w:b/>
        </w:rPr>
        <w:t>Additional Cost of Working</w:t>
      </w:r>
    </w:p>
    <w:p w:rsidR="00C34F62" w:rsidRDefault="00C34F62" w:rsidP="00C34F62">
      <w:pPr>
        <w:spacing w:line="240" w:lineRule="auto"/>
        <w:ind w:left="720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None.</w:t>
      </w:r>
    </w:p>
    <w:p w:rsidR="00C34F62" w:rsidRPr="00C34F62" w:rsidRDefault="00C34F62" w:rsidP="00C34F62">
      <w:pPr>
        <w:pStyle w:val="ListParagraph"/>
        <w:numPr>
          <w:ilvl w:val="0"/>
          <w:numId w:val="1"/>
        </w:numPr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color w:val="333333"/>
          <w:sz w:val="20"/>
          <w:szCs w:val="20"/>
          <w:lang w:eastAsia="en-GB"/>
        </w:rPr>
        <w:t>Third Party Computer Fraud</w:t>
      </w:r>
    </w:p>
    <w:p w:rsidR="00C34F62" w:rsidRDefault="00C34F62" w:rsidP="00C34F62">
      <w:pPr>
        <w:pStyle w:val="ListParagraph"/>
        <w:spacing w:line="240" w:lineRule="auto"/>
        <w:rPr>
          <w:rFonts w:ascii="Segoe UI" w:eastAsia="Times New Roman" w:hAnsi="Segoe UI" w:cs="Segoe UI"/>
          <w:b/>
          <w:color w:val="333333"/>
          <w:sz w:val="20"/>
          <w:szCs w:val="20"/>
          <w:lang w:eastAsia="en-GB"/>
        </w:rPr>
      </w:pPr>
    </w:p>
    <w:p w:rsidR="00C34F62" w:rsidRPr="00C34F62" w:rsidRDefault="00C34F62" w:rsidP="00C34F62">
      <w:pPr>
        <w:pStyle w:val="ListParagraph"/>
        <w:spacing w:line="240" w:lineRule="auto"/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</w:pPr>
      <w:r w:rsidRPr="00C34F62">
        <w:rPr>
          <w:rFonts w:ascii="Segoe UI" w:eastAsia="Times New Roman" w:hAnsi="Segoe UI" w:cs="Segoe UI"/>
          <w:color w:val="333333"/>
          <w:sz w:val="20"/>
          <w:szCs w:val="20"/>
          <w:lang w:eastAsia="en-GB"/>
        </w:rPr>
        <w:t>None</w:t>
      </w:r>
      <w:r>
        <w:rPr>
          <w:rFonts w:ascii="Segoe UI" w:eastAsia="Times New Roman" w:hAnsi="Segoe UI" w:cs="Segoe UI"/>
          <w:b/>
          <w:color w:val="333333"/>
          <w:sz w:val="20"/>
          <w:szCs w:val="20"/>
          <w:lang w:eastAsia="en-GB"/>
        </w:rPr>
        <w:t>.</w:t>
      </w:r>
      <w:bookmarkStart w:id="0" w:name="_GoBack"/>
      <w:bookmarkEnd w:id="0"/>
    </w:p>
    <w:p w:rsidR="008B339C" w:rsidRDefault="008B339C">
      <w:pPr>
        <w:rPr>
          <w:b/>
        </w:rPr>
      </w:pPr>
    </w:p>
    <w:p w:rsidR="00C34F62" w:rsidRPr="004C7CBB" w:rsidRDefault="00C34F62">
      <w:pPr>
        <w:rPr>
          <w:b/>
          <w:sz w:val="24"/>
          <w:szCs w:val="24"/>
        </w:rPr>
      </w:pPr>
      <w:r w:rsidRPr="004C7CBB">
        <w:rPr>
          <w:b/>
          <w:sz w:val="24"/>
          <w:szCs w:val="24"/>
        </w:rPr>
        <w:t>Additional Information</w:t>
      </w:r>
    </w:p>
    <w:p w:rsidR="00C34F62" w:rsidRDefault="00C34F62">
      <w:pPr>
        <w:rPr>
          <w:b/>
        </w:rPr>
      </w:pPr>
      <w:r>
        <w:rPr>
          <w:b/>
        </w:rPr>
        <w:t xml:space="preserve">Full Schedule of </w:t>
      </w:r>
      <w:r w:rsidR="00FF015E">
        <w:rPr>
          <w:b/>
        </w:rPr>
        <w:t xml:space="preserve">IT Equipment – see </w:t>
      </w:r>
      <w:r w:rsidR="00593F43">
        <w:rPr>
          <w:b/>
        </w:rPr>
        <w:t>schedule 7</w:t>
      </w:r>
    </w:p>
    <w:p w:rsidR="004C7CBB" w:rsidRDefault="004C7CBB">
      <w:pPr>
        <w:rPr>
          <w:b/>
        </w:rPr>
      </w:pPr>
    </w:p>
    <w:p w:rsidR="0071159E" w:rsidRPr="0071159E" w:rsidRDefault="0071159E">
      <w:pPr>
        <w:rPr>
          <w:b/>
        </w:rPr>
      </w:pPr>
      <w:r w:rsidRPr="0071159E">
        <w:rPr>
          <w:b/>
        </w:rPr>
        <w:t>Maintenance agreements</w:t>
      </w:r>
    </w:p>
    <w:p w:rsidR="0071159E" w:rsidRDefault="00046876">
      <w:r>
        <w:t xml:space="preserve"> </w:t>
      </w:r>
      <w:r w:rsidR="0071159E">
        <w:t xml:space="preserve">Barrow Borough Council has maintenance agreements in place for physical IT Assets. These agreements are in line with our </w:t>
      </w:r>
      <w:r w:rsidR="0071159E" w:rsidRPr="0071159E">
        <w:t>Information Technology Infrastructure Standards</w:t>
      </w:r>
      <w:r w:rsidR="0071159E">
        <w:t>.</w:t>
      </w:r>
    </w:p>
    <w:p w:rsidR="004C7CBB" w:rsidRDefault="004C7CBB">
      <w:pPr>
        <w:rPr>
          <w:b/>
        </w:rPr>
      </w:pPr>
    </w:p>
    <w:p w:rsidR="004C7CBB" w:rsidRDefault="004C7CBB">
      <w:pPr>
        <w:rPr>
          <w:b/>
        </w:rPr>
      </w:pPr>
    </w:p>
    <w:p w:rsidR="004C7CBB" w:rsidRDefault="004C7CBB">
      <w:pPr>
        <w:rPr>
          <w:b/>
        </w:rPr>
      </w:pPr>
    </w:p>
    <w:p w:rsidR="00C34F62" w:rsidRPr="00C34F62" w:rsidRDefault="00C34F62">
      <w:pPr>
        <w:rPr>
          <w:b/>
        </w:rPr>
      </w:pPr>
      <w:r w:rsidRPr="00C34F62">
        <w:rPr>
          <w:b/>
        </w:rPr>
        <w:lastRenderedPageBreak/>
        <w:t>Detail of Fire and Security protection at Main IT centres.</w:t>
      </w:r>
    </w:p>
    <w:p w:rsidR="00C34F62" w:rsidRDefault="00752980">
      <w:r>
        <w:t>The Physical security controls of the IT data rooms are in line wi</w:t>
      </w:r>
      <w:r w:rsidR="00F02ECC">
        <w:t>th</w:t>
      </w:r>
      <w:r>
        <w:t xml:space="preserve"> the physical security of the main premises. Access to the It data rooms is on a most restrictive basis and a separate access control list is maintained.</w:t>
      </w:r>
    </w:p>
    <w:p w:rsidR="004C7CBB" w:rsidRDefault="004C7CBB">
      <w:pPr>
        <w:rPr>
          <w:b/>
        </w:rPr>
      </w:pPr>
    </w:p>
    <w:p w:rsidR="00752980" w:rsidRDefault="004C7CBB">
      <w:pPr>
        <w:rPr>
          <w:b/>
        </w:rPr>
      </w:pPr>
      <w:r w:rsidRPr="004C7CBB">
        <w:rPr>
          <w:b/>
        </w:rPr>
        <w:t>Detail</w:t>
      </w:r>
      <w:r w:rsidR="00752980" w:rsidRPr="004C7CBB">
        <w:rPr>
          <w:b/>
        </w:rPr>
        <w:t xml:space="preserve"> of Contingency Planning arrangements</w:t>
      </w:r>
      <w:r>
        <w:rPr>
          <w:b/>
        </w:rPr>
        <w:t xml:space="preserve"> with specific reference to duplication of IT facilities.</w:t>
      </w:r>
    </w:p>
    <w:p w:rsidR="004C7CBB" w:rsidRDefault="004C7CBB">
      <w:r>
        <w:t>Details</w:t>
      </w:r>
      <w:r w:rsidRPr="004C7CBB">
        <w:t xml:space="preserve"> provided (BBC Data Backup Overview). </w:t>
      </w:r>
    </w:p>
    <w:p w:rsidR="004C7CBB" w:rsidRDefault="004C7CBB">
      <w:r w:rsidRPr="004C7CBB">
        <w:t>The counci</w:t>
      </w:r>
      <w:r w:rsidR="00547370">
        <w:t>l also has in place a Business C</w:t>
      </w:r>
      <w:r w:rsidRPr="004C7CBB">
        <w:t xml:space="preserve">ontinuity </w:t>
      </w:r>
      <w:r w:rsidR="00547370">
        <w:t>P</w:t>
      </w:r>
      <w:r w:rsidRPr="004C7CBB">
        <w:t>lan and a Disaster Recovery Plan.</w:t>
      </w:r>
    </w:p>
    <w:p w:rsidR="007304EE" w:rsidRDefault="007304EE"/>
    <w:p w:rsidR="007304EE" w:rsidRPr="007304EE" w:rsidRDefault="007304EE">
      <w:pPr>
        <w:rPr>
          <w:b/>
        </w:rPr>
      </w:pPr>
      <w:r w:rsidRPr="007304EE">
        <w:rPr>
          <w:b/>
        </w:rPr>
        <w:t>Details of changes in IT security for computer systems in the last year.</w:t>
      </w:r>
    </w:p>
    <w:p w:rsidR="007304EE" w:rsidRPr="004C7CBB" w:rsidRDefault="007304EE">
      <w:r>
        <w:t xml:space="preserve">There have been no major changes to any Information Security products or applications in </w:t>
      </w:r>
      <w:r w:rsidR="00A04E4B">
        <w:t>the</w:t>
      </w:r>
      <w:r>
        <w:t xml:space="preserve"> last year.  The IT security policy is currently under review. We undertake independent CREST approved services annually for an IT Health </w:t>
      </w:r>
      <w:r w:rsidR="00A04E4B">
        <w:t>Check;</w:t>
      </w:r>
      <w:r>
        <w:t xml:space="preserve"> this includes all external and internal penetration testing and vulnerability scanning.</w:t>
      </w:r>
    </w:p>
    <w:sectPr w:rsidR="007304EE" w:rsidRPr="004C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706"/>
    <w:multiLevelType w:val="hybridMultilevel"/>
    <w:tmpl w:val="31FE4AAE"/>
    <w:lvl w:ilvl="0" w:tplc="F1445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6F"/>
    <w:rsid w:val="00046876"/>
    <w:rsid w:val="00120DD6"/>
    <w:rsid w:val="003C65A5"/>
    <w:rsid w:val="004C7CBB"/>
    <w:rsid w:val="00547370"/>
    <w:rsid w:val="00593F43"/>
    <w:rsid w:val="0071159E"/>
    <w:rsid w:val="007304EE"/>
    <w:rsid w:val="00752980"/>
    <w:rsid w:val="008B339C"/>
    <w:rsid w:val="008B3D75"/>
    <w:rsid w:val="00923AB0"/>
    <w:rsid w:val="00A04E4B"/>
    <w:rsid w:val="00B74693"/>
    <w:rsid w:val="00B96383"/>
    <w:rsid w:val="00C34F62"/>
    <w:rsid w:val="00CC5CD6"/>
    <w:rsid w:val="00D268C6"/>
    <w:rsid w:val="00DE50DF"/>
    <w:rsid w:val="00F02ECC"/>
    <w:rsid w:val="00F4316F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fpdesc">
    <w:name w:val="hpfpdesc"/>
    <w:basedOn w:val="DefaultParagraphFont"/>
    <w:rsid w:val="00F4316F"/>
  </w:style>
  <w:style w:type="paragraph" w:styleId="ListParagraph">
    <w:name w:val="List Paragraph"/>
    <w:basedOn w:val="Normal"/>
    <w:uiPriority w:val="34"/>
    <w:qFormat/>
    <w:rsid w:val="008B3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fpdesc">
    <w:name w:val="hpfpdesc"/>
    <w:basedOn w:val="DefaultParagraphFont"/>
    <w:rsid w:val="00F4316F"/>
  </w:style>
  <w:style w:type="paragraph" w:styleId="ListParagraph">
    <w:name w:val="List Paragraph"/>
    <w:basedOn w:val="Normal"/>
    <w:uiPriority w:val="34"/>
    <w:qFormat/>
    <w:rsid w:val="008B3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517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368">
              <w:marLeft w:val="0"/>
              <w:marRight w:val="10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5237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6488">
              <w:marLeft w:val="0"/>
              <w:marRight w:val="10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54435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6412">
              <w:marLeft w:val="0"/>
              <w:marRight w:val="10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0829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264">
              <w:marLeft w:val="0"/>
              <w:marRight w:val="10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Fraser</dc:creator>
  <cp:lastModifiedBy>Gill Punton</cp:lastModifiedBy>
  <cp:revision>3</cp:revision>
  <cp:lastPrinted>2019-04-15T13:47:00Z</cp:lastPrinted>
  <dcterms:created xsi:type="dcterms:W3CDTF">2019-04-15T13:48:00Z</dcterms:created>
  <dcterms:modified xsi:type="dcterms:W3CDTF">2019-04-15T13:48:00Z</dcterms:modified>
</cp:coreProperties>
</file>