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C" w:rsidRPr="00FA393C" w:rsidRDefault="00C71A27" w:rsidP="00FA393C">
      <w:pPr>
        <w:pStyle w:val="Default"/>
        <w:rPr>
          <w:b/>
          <w:bCs/>
          <w:color w:val="FF0000"/>
          <w:sz w:val="22"/>
          <w:szCs w:val="22"/>
        </w:rPr>
      </w:pPr>
      <w:r w:rsidRPr="00FA393C">
        <w:rPr>
          <w:b/>
          <w:bCs/>
        </w:rPr>
        <w:t>Call Reference</w:t>
      </w:r>
      <w:r w:rsidRPr="00AC54BE">
        <w:rPr>
          <w:b/>
          <w:bCs/>
          <w:color w:val="auto"/>
        </w:rPr>
        <w:t>:</w:t>
      </w:r>
      <w:r w:rsidRPr="00AC54BE">
        <w:rPr>
          <w:rFonts w:ascii="Arial Bold" w:hAnsi="Arial Bold"/>
          <w:b/>
          <w:color w:val="auto"/>
          <w:sz w:val="22"/>
          <w:szCs w:val="22"/>
        </w:rPr>
        <w:t xml:space="preserve"> </w:t>
      </w:r>
      <w:r w:rsidR="00AC54BE" w:rsidRPr="00AC54BE">
        <w:rPr>
          <w:b/>
          <w:color w:val="auto"/>
          <w:sz w:val="22"/>
          <w:szCs w:val="22"/>
        </w:rPr>
        <w:t>DN298006</w:t>
      </w:r>
    </w:p>
    <w:p w:rsidR="00C71A27" w:rsidRPr="00FA393C" w:rsidRDefault="00C71A27" w:rsidP="00C71A27">
      <w:pPr>
        <w:pStyle w:val="Default"/>
        <w:rPr>
          <w:sz w:val="22"/>
          <w:szCs w:val="22"/>
        </w:rPr>
      </w:pPr>
    </w:p>
    <w:p w:rsidR="00C71A27" w:rsidRDefault="00C71A27" w:rsidP="00C71A27">
      <w:pPr>
        <w:pStyle w:val="Default"/>
      </w:pPr>
      <w:r w:rsidRPr="00FA393C">
        <w:rPr>
          <w:i/>
          <w:sz w:val="22"/>
          <w:szCs w:val="22"/>
        </w:rPr>
        <w:t>Met Office tendering on behalf of BEIS</w:t>
      </w:r>
      <w:r w:rsidR="00E76AC6" w:rsidRPr="00FA393C">
        <w:rPr>
          <w:i/>
          <w:sz w:val="22"/>
          <w:szCs w:val="22"/>
        </w:rPr>
        <w:t>.</w:t>
      </w:r>
      <w:r w:rsidRPr="00FA393C">
        <w:rPr>
          <w:i/>
          <w:sz w:val="22"/>
          <w:szCs w:val="22"/>
        </w:rPr>
        <w:t xml:space="preserve"> </w:t>
      </w:r>
    </w:p>
    <w:p w:rsidR="00C71A27" w:rsidRPr="00C71A27" w:rsidRDefault="00566834" w:rsidP="00C71A27">
      <w:pPr>
        <w:spacing w:before="100" w:beforeAutospacing="1" w:after="240" w:line="276" w:lineRule="auto"/>
        <w:rPr>
          <w:rFonts w:cs="Arial"/>
          <w:b/>
          <w:sz w:val="22"/>
          <w:szCs w:val="22"/>
        </w:rPr>
      </w:pPr>
      <w:r w:rsidRPr="00BB7E5B">
        <w:rPr>
          <w:rFonts w:cs="Arial"/>
          <w:b/>
          <w:sz w:val="22"/>
          <w:szCs w:val="22"/>
        </w:rPr>
        <w:t xml:space="preserve">Expressions of </w:t>
      </w:r>
      <w:r w:rsidRPr="00C71A27">
        <w:rPr>
          <w:rFonts w:cs="Arial"/>
          <w:b/>
          <w:sz w:val="22"/>
          <w:szCs w:val="22"/>
        </w:rPr>
        <w:t>Interest</w:t>
      </w:r>
      <w:r w:rsidR="00C71A27" w:rsidRPr="00C71A27">
        <w:rPr>
          <w:rFonts w:cs="Arial"/>
          <w:b/>
          <w:sz w:val="22"/>
          <w:szCs w:val="22"/>
        </w:rPr>
        <w:t xml:space="preserve"> </w:t>
      </w:r>
      <w:r w:rsidR="00EA7CBB">
        <w:rPr>
          <w:rFonts w:cs="Arial"/>
          <w:b/>
          <w:sz w:val="22"/>
          <w:szCs w:val="22"/>
        </w:rPr>
        <w:t>t</w:t>
      </w:r>
      <w:r w:rsidR="00EA7CBB" w:rsidRPr="00C71A27">
        <w:rPr>
          <w:rFonts w:cs="Arial"/>
          <w:b/>
          <w:sz w:val="22"/>
          <w:szCs w:val="22"/>
        </w:rPr>
        <w:t>itle</w:t>
      </w:r>
      <w:r w:rsidRPr="00C71A27">
        <w:rPr>
          <w:rFonts w:cs="Arial"/>
          <w:b/>
          <w:sz w:val="22"/>
          <w:szCs w:val="22"/>
        </w:rPr>
        <w:t>:</w:t>
      </w:r>
      <w:r w:rsidR="0080530A">
        <w:rPr>
          <w:rFonts w:cs="Arial"/>
          <w:b/>
          <w:sz w:val="22"/>
          <w:szCs w:val="22"/>
        </w:rPr>
        <w:t xml:space="preserve"> </w:t>
      </w:r>
      <w:r w:rsidR="00217883">
        <w:rPr>
          <w:rFonts w:cs="Arial"/>
          <w:b/>
          <w:sz w:val="22"/>
          <w:szCs w:val="22"/>
        </w:rPr>
        <w:t xml:space="preserve">Tropical Error </w:t>
      </w:r>
      <w:proofErr w:type="spellStart"/>
      <w:r w:rsidR="00217883">
        <w:rPr>
          <w:rFonts w:cs="Arial"/>
          <w:b/>
          <w:sz w:val="22"/>
          <w:szCs w:val="22"/>
        </w:rPr>
        <w:t>Covariances</w:t>
      </w:r>
      <w:proofErr w:type="spellEnd"/>
      <w:r w:rsidR="00217883">
        <w:rPr>
          <w:rFonts w:cs="Arial"/>
          <w:b/>
          <w:sz w:val="22"/>
          <w:szCs w:val="22"/>
        </w:rPr>
        <w:t xml:space="preserve"> for Data Assimilation</w:t>
      </w:r>
    </w:p>
    <w:p w:rsidR="0063003F" w:rsidRDefault="0063003F" w:rsidP="0063003F">
      <w:pPr>
        <w:pStyle w:val="CommentText"/>
        <w:rPr>
          <w:b/>
        </w:rPr>
      </w:pPr>
      <w:r w:rsidRPr="0063003F">
        <w:rPr>
          <w:b/>
        </w:rPr>
        <w:t>To register your interest, see notes at the end of this page. Registering interest requires no proposal detail at this stage and carries no obligation to bid</w:t>
      </w:r>
      <w:r>
        <w:rPr>
          <w:b/>
        </w:rPr>
        <w:t>.</w:t>
      </w:r>
      <w:r w:rsidRPr="0063003F">
        <w:rPr>
          <w:b/>
        </w:rPr>
        <w:t xml:space="preserve"> </w:t>
      </w:r>
      <w:r>
        <w:rPr>
          <w:b/>
        </w:rPr>
        <w:t xml:space="preserve"> </w:t>
      </w:r>
    </w:p>
    <w:p w:rsidR="0063003F" w:rsidRDefault="0063003F" w:rsidP="0063003F">
      <w:pPr>
        <w:pStyle w:val="CommentText"/>
        <w:rPr>
          <w:b/>
        </w:rPr>
      </w:pPr>
    </w:p>
    <w:p w:rsidR="002866CE" w:rsidRDefault="002866CE" w:rsidP="00AB6FEF">
      <w:pPr>
        <w:rPr>
          <w:rFonts w:cs="Arial"/>
          <w:b/>
          <w:bCs/>
          <w:sz w:val="22"/>
          <w:szCs w:val="22"/>
        </w:rPr>
      </w:pPr>
    </w:p>
    <w:p w:rsidR="00406310" w:rsidRPr="0080530A" w:rsidRDefault="00C71A27" w:rsidP="00AB6FEF">
      <w:r w:rsidRPr="0080530A">
        <w:rPr>
          <w:rFonts w:cs="Arial"/>
          <w:b/>
          <w:bCs/>
          <w:sz w:val="22"/>
          <w:szCs w:val="22"/>
        </w:rPr>
        <w:t>Estimated</w:t>
      </w:r>
      <w:r w:rsidR="00704493" w:rsidRPr="0080530A">
        <w:rPr>
          <w:rFonts w:cs="Arial"/>
          <w:b/>
          <w:bCs/>
          <w:sz w:val="22"/>
          <w:szCs w:val="22"/>
        </w:rPr>
        <w:t xml:space="preserve"> </w:t>
      </w:r>
      <w:r w:rsidR="0000786D">
        <w:rPr>
          <w:rFonts w:cs="Arial"/>
          <w:b/>
          <w:bCs/>
          <w:sz w:val="22"/>
          <w:szCs w:val="22"/>
        </w:rPr>
        <w:t>v</w:t>
      </w:r>
      <w:r w:rsidRPr="0080530A">
        <w:rPr>
          <w:rFonts w:cs="Arial"/>
          <w:b/>
          <w:bCs/>
          <w:sz w:val="22"/>
          <w:szCs w:val="22"/>
        </w:rPr>
        <w:t>alue:</w:t>
      </w:r>
      <w:r w:rsidRPr="0080530A">
        <w:rPr>
          <w:rFonts w:cs="Arial"/>
          <w:b/>
          <w:bCs/>
        </w:rPr>
        <w:t xml:space="preserve"> </w:t>
      </w:r>
      <w:r w:rsidR="00E76AC6" w:rsidRPr="0080530A">
        <w:rPr>
          <w:rFonts w:cs="Arial"/>
          <w:b/>
          <w:bCs/>
        </w:rPr>
        <w:t>£</w:t>
      </w:r>
      <w:r w:rsidR="0080530A" w:rsidRPr="0080530A">
        <w:rPr>
          <w:rFonts w:cs="Arial"/>
          <w:b/>
          <w:bCs/>
        </w:rPr>
        <w:t>300</w:t>
      </w:r>
      <w:r w:rsidR="00773F08">
        <w:rPr>
          <w:rFonts w:cs="Arial"/>
          <w:b/>
          <w:bCs/>
        </w:rPr>
        <w:t>k</w:t>
      </w:r>
      <w:r w:rsidR="00DF6265" w:rsidRPr="0080530A">
        <w:rPr>
          <w:rFonts w:cs="Arial"/>
          <w:b/>
          <w:bCs/>
        </w:rPr>
        <w:t xml:space="preserve"> </w:t>
      </w:r>
      <w:r w:rsidR="0067301C" w:rsidRPr="00B11445">
        <w:rPr>
          <w:rFonts w:cs="Arial"/>
          <w:b/>
          <w:bCs/>
        </w:rPr>
        <w:t>(£</w:t>
      </w:r>
      <w:r w:rsidR="00B11445" w:rsidRPr="00B11445">
        <w:rPr>
          <w:rFonts w:cs="Arial"/>
          <w:b/>
          <w:bCs/>
        </w:rPr>
        <w:t>12.5k</w:t>
      </w:r>
      <w:r w:rsidR="0080530A" w:rsidRPr="00B11445">
        <w:rPr>
          <w:rFonts w:cs="Arial"/>
          <w:b/>
          <w:bCs/>
        </w:rPr>
        <w:t xml:space="preserve"> in FY17/18,</w:t>
      </w:r>
      <w:r w:rsidR="0067301C" w:rsidRPr="00B11445">
        <w:rPr>
          <w:rFonts w:cs="Arial"/>
          <w:b/>
          <w:bCs/>
        </w:rPr>
        <w:t xml:space="preserve"> £</w:t>
      </w:r>
      <w:r w:rsidR="00B11445" w:rsidRPr="00B11445">
        <w:rPr>
          <w:rFonts w:cs="Arial"/>
          <w:b/>
          <w:bCs/>
        </w:rPr>
        <w:t>150k</w:t>
      </w:r>
      <w:r w:rsidR="0067301C" w:rsidRPr="00B11445">
        <w:rPr>
          <w:rFonts w:cs="Arial"/>
          <w:b/>
          <w:bCs/>
        </w:rPr>
        <w:t xml:space="preserve"> in FY18/19</w:t>
      </w:r>
      <w:r w:rsidR="0080530A" w:rsidRPr="00B11445">
        <w:rPr>
          <w:rFonts w:cs="Arial"/>
          <w:b/>
          <w:bCs/>
        </w:rPr>
        <w:t>, £</w:t>
      </w:r>
      <w:r w:rsidR="00B11445" w:rsidRPr="00B11445">
        <w:rPr>
          <w:rFonts w:cs="Arial"/>
          <w:b/>
          <w:bCs/>
        </w:rPr>
        <w:t>137.5k</w:t>
      </w:r>
      <w:r w:rsidR="0080530A" w:rsidRPr="00B11445">
        <w:rPr>
          <w:rFonts w:cs="Arial"/>
          <w:b/>
          <w:bCs/>
        </w:rPr>
        <w:t xml:space="preserve"> in FY19/20</w:t>
      </w:r>
      <w:r w:rsidR="0067301C" w:rsidRPr="00B11445">
        <w:rPr>
          <w:rFonts w:cs="Arial"/>
          <w:b/>
          <w:bCs/>
        </w:rPr>
        <w:t>)</w:t>
      </w:r>
    </w:p>
    <w:p w:rsidR="00FF7AED" w:rsidRDefault="00FF7AED" w:rsidP="00AB6FEF">
      <w:pPr>
        <w:rPr>
          <w:sz w:val="22"/>
          <w:szCs w:val="22"/>
        </w:rPr>
      </w:pPr>
    </w:p>
    <w:p w:rsidR="00AB6FEF" w:rsidRPr="00406310" w:rsidRDefault="00AB6FEF" w:rsidP="00AB6FEF">
      <w:r w:rsidRPr="0080530A">
        <w:rPr>
          <w:sz w:val="22"/>
          <w:szCs w:val="22"/>
        </w:rPr>
        <w:t xml:space="preserve">The </w:t>
      </w:r>
      <w:r w:rsidR="00A34C3C" w:rsidRPr="0080530A">
        <w:rPr>
          <w:sz w:val="22"/>
          <w:szCs w:val="22"/>
        </w:rPr>
        <w:t>g</w:t>
      </w:r>
      <w:r w:rsidRPr="0080530A">
        <w:rPr>
          <w:sz w:val="22"/>
          <w:szCs w:val="22"/>
        </w:rPr>
        <w:t>rant is currently</w:t>
      </w:r>
      <w:r w:rsidR="000518D0" w:rsidRPr="0080530A">
        <w:rPr>
          <w:sz w:val="22"/>
          <w:szCs w:val="22"/>
        </w:rPr>
        <w:t xml:space="preserve"> expected to be</w:t>
      </w:r>
      <w:r w:rsidRPr="0080530A">
        <w:rPr>
          <w:sz w:val="22"/>
          <w:szCs w:val="22"/>
        </w:rPr>
        <w:t xml:space="preserve"> up to £</w:t>
      </w:r>
      <w:r w:rsidR="0080530A" w:rsidRPr="0080530A">
        <w:rPr>
          <w:sz w:val="22"/>
          <w:szCs w:val="22"/>
        </w:rPr>
        <w:t>300</w:t>
      </w:r>
      <w:r w:rsidR="00773F08">
        <w:rPr>
          <w:sz w:val="22"/>
          <w:szCs w:val="22"/>
        </w:rPr>
        <w:t>k</w:t>
      </w:r>
      <w:r w:rsidRPr="0080530A">
        <w:rPr>
          <w:sz w:val="22"/>
          <w:szCs w:val="22"/>
        </w:rPr>
        <w:t xml:space="preserve"> for a </w:t>
      </w:r>
      <w:r w:rsidR="0080530A" w:rsidRPr="0080530A">
        <w:rPr>
          <w:sz w:val="22"/>
          <w:szCs w:val="22"/>
        </w:rPr>
        <w:t>2</w:t>
      </w:r>
      <w:r w:rsidRPr="0080530A">
        <w:rPr>
          <w:sz w:val="22"/>
          <w:szCs w:val="22"/>
        </w:rPr>
        <w:t xml:space="preserve"> year period</w:t>
      </w:r>
      <w:r w:rsidR="005F359F" w:rsidRPr="0080530A">
        <w:rPr>
          <w:sz w:val="22"/>
          <w:szCs w:val="22"/>
        </w:rPr>
        <w:t>.</w:t>
      </w:r>
      <w:r w:rsidRPr="00AB6FEF">
        <w:rPr>
          <w:sz w:val="22"/>
          <w:szCs w:val="22"/>
        </w:rPr>
        <w:t xml:space="preserve"> </w:t>
      </w:r>
    </w:p>
    <w:p w:rsidR="00E8022A" w:rsidRDefault="00E8022A" w:rsidP="00C71A27">
      <w:pPr>
        <w:shd w:val="clear" w:color="auto" w:fill="FFFFFF"/>
        <w:rPr>
          <w:rFonts w:cs="Arial"/>
          <w:b/>
          <w:bCs/>
          <w:sz w:val="22"/>
          <w:szCs w:val="22"/>
        </w:rPr>
      </w:pPr>
    </w:p>
    <w:p w:rsidR="002866CE" w:rsidRDefault="002866CE" w:rsidP="00C71A27">
      <w:pPr>
        <w:shd w:val="clear" w:color="auto" w:fill="FFFFFF"/>
        <w:rPr>
          <w:rFonts w:cs="Arial"/>
          <w:b/>
          <w:bCs/>
          <w:sz w:val="22"/>
          <w:szCs w:val="22"/>
        </w:rPr>
      </w:pPr>
    </w:p>
    <w:p w:rsidR="00C71A27" w:rsidRPr="00C71A27" w:rsidRDefault="00C71A27" w:rsidP="00C71A27">
      <w:pPr>
        <w:shd w:val="clear" w:color="auto" w:fill="FFFFFF"/>
        <w:rPr>
          <w:rFonts w:cs="Arial"/>
          <w:b/>
          <w:bCs/>
          <w:sz w:val="22"/>
          <w:szCs w:val="22"/>
        </w:rPr>
      </w:pPr>
      <w:r w:rsidRPr="00C71A27">
        <w:rPr>
          <w:rFonts w:cs="Arial"/>
          <w:b/>
          <w:bCs/>
          <w:sz w:val="22"/>
          <w:szCs w:val="22"/>
        </w:rPr>
        <w:t>Key Dates</w:t>
      </w:r>
    </w:p>
    <w:p w:rsidR="00C71A27" w:rsidRPr="001B2ED7" w:rsidRDefault="00C71A27" w:rsidP="00C71A27">
      <w:pPr>
        <w:shd w:val="clear" w:color="auto" w:fill="FFFFFF"/>
        <w:rPr>
          <w:rFonts w:cs="Arial"/>
          <w:b/>
          <w:bCs/>
          <w:sz w:val="8"/>
          <w:szCs w:val="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7"/>
        <w:gridCol w:w="6775"/>
      </w:tblGrid>
      <w:tr w:rsidR="001F7EF6" w:rsidTr="006B0717">
        <w:trPr>
          <w:trHeight w:val="655"/>
        </w:trPr>
        <w:tc>
          <w:tcPr>
            <w:tcW w:w="2467" w:type="dxa"/>
          </w:tcPr>
          <w:p w:rsidR="001F7EF6" w:rsidRPr="000200EF" w:rsidRDefault="001F7EF6" w:rsidP="006B0717">
            <w:pPr>
              <w:jc w:val="right"/>
              <w:rPr>
                <w:rFonts w:cs="Arial"/>
                <w:b/>
                <w:bCs/>
                <w:sz w:val="18"/>
                <w:szCs w:val="18"/>
              </w:rPr>
            </w:pPr>
            <w:r w:rsidRPr="000200EF">
              <w:rPr>
                <w:rFonts w:cs="Arial"/>
                <w:b/>
                <w:bCs/>
                <w:sz w:val="18"/>
                <w:szCs w:val="18"/>
              </w:rPr>
              <w:t>Estimated Publish of Call:</w:t>
            </w:r>
          </w:p>
          <w:p w:rsidR="001F7EF6" w:rsidRPr="000200EF" w:rsidRDefault="001F7EF6" w:rsidP="006B0717">
            <w:pPr>
              <w:shd w:val="clear" w:color="auto" w:fill="FFFFFF"/>
              <w:jc w:val="right"/>
              <w:rPr>
                <w:rFonts w:cs="Arial"/>
                <w:bCs/>
                <w:i/>
                <w:sz w:val="18"/>
                <w:szCs w:val="18"/>
              </w:rPr>
            </w:pPr>
            <w:r w:rsidRPr="000200EF">
              <w:rPr>
                <w:rFonts w:cs="Arial"/>
                <w:bCs/>
                <w:i/>
                <w:sz w:val="18"/>
                <w:szCs w:val="18"/>
              </w:rPr>
              <w:t xml:space="preserve">(Start of bidding period). </w:t>
            </w:r>
          </w:p>
        </w:tc>
        <w:tc>
          <w:tcPr>
            <w:tcW w:w="6775" w:type="dxa"/>
          </w:tcPr>
          <w:p w:rsidR="001F7EF6" w:rsidRPr="00A85076" w:rsidRDefault="00A85076" w:rsidP="006B0717">
            <w:pPr>
              <w:rPr>
                <w:rFonts w:cs="Arial"/>
                <w:b/>
                <w:bCs/>
                <w:sz w:val="18"/>
                <w:szCs w:val="18"/>
              </w:rPr>
            </w:pPr>
            <w:r w:rsidRPr="00A85076">
              <w:rPr>
                <w:rFonts w:cs="Arial"/>
                <w:b/>
                <w:bCs/>
                <w:sz w:val="18"/>
                <w:szCs w:val="18"/>
              </w:rPr>
              <w:t>09/10/</w:t>
            </w:r>
            <w:r w:rsidR="00561900" w:rsidRPr="00A85076">
              <w:rPr>
                <w:rFonts w:cs="Arial"/>
                <w:b/>
                <w:bCs/>
                <w:sz w:val="18"/>
                <w:szCs w:val="18"/>
              </w:rPr>
              <w:t>2017</w:t>
            </w:r>
          </w:p>
          <w:p w:rsidR="001F7EF6" w:rsidRPr="000200EF" w:rsidRDefault="001F7EF6" w:rsidP="006B0717">
            <w:pPr>
              <w:rPr>
                <w:rFonts w:cs="Arial"/>
                <w:b/>
                <w:bCs/>
                <w:sz w:val="18"/>
                <w:szCs w:val="18"/>
              </w:rPr>
            </w:pPr>
            <w:r w:rsidRPr="000200EF">
              <w:rPr>
                <w:rFonts w:cs="Arial"/>
                <w:bCs/>
                <w:i/>
                <w:sz w:val="18"/>
                <w:szCs w:val="18"/>
              </w:rPr>
              <w:t xml:space="preserve">A notification email will be sent to parties who have formally registered their interest by way of clicking on the ‘Register Interest’ button displayed below the opportunity on the </w:t>
            </w:r>
            <w:proofErr w:type="spellStart"/>
            <w:r w:rsidRPr="000200EF">
              <w:rPr>
                <w:rFonts w:ascii="Calibri" w:hAnsi="Calibri"/>
                <w:i/>
              </w:rPr>
              <w:t>ProContract</w:t>
            </w:r>
            <w:proofErr w:type="spellEnd"/>
            <w:r w:rsidRPr="000200EF">
              <w:rPr>
                <w:rFonts w:ascii="Calibri" w:hAnsi="Calibri"/>
                <w:i/>
              </w:rPr>
              <w:t xml:space="preserve"> portal</w:t>
            </w:r>
          </w:p>
        </w:tc>
      </w:tr>
      <w:tr w:rsidR="001F7EF6" w:rsidTr="006B0717">
        <w:trPr>
          <w:trHeight w:val="228"/>
        </w:trPr>
        <w:tc>
          <w:tcPr>
            <w:tcW w:w="2467" w:type="dxa"/>
          </w:tcPr>
          <w:p w:rsidR="001F7EF6" w:rsidRPr="000200EF" w:rsidRDefault="001F7EF6" w:rsidP="006B0717">
            <w:pPr>
              <w:jc w:val="right"/>
              <w:rPr>
                <w:rFonts w:cs="Arial"/>
                <w:b/>
                <w:bCs/>
                <w:sz w:val="18"/>
                <w:szCs w:val="18"/>
              </w:rPr>
            </w:pPr>
            <w:r w:rsidRPr="000200EF">
              <w:rPr>
                <w:rFonts w:cs="Arial"/>
                <w:b/>
                <w:bCs/>
                <w:sz w:val="18"/>
                <w:szCs w:val="18"/>
              </w:rPr>
              <w:t xml:space="preserve">Estimated Bidding Period:       </w:t>
            </w:r>
          </w:p>
        </w:tc>
        <w:tc>
          <w:tcPr>
            <w:tcW w:w="6775" w:type="dxa"/>
          </w:tcPr>
          <w:p w:rsidR="001F7EF6" w:rsidRPr="00FF6D07" w:rsidRDefault="00561900" w:rsidP="006B0717">
            <w:pPr>
              <w:rPr>
                <w:rFonts w:cs="Arial"/>
                <w:b/>
                <w:bCs/>
                <w:sz w:val="18"/>
                <w:szCs w:val="18"/>
              </w:rPr>
            </w:pPr>
            <w:r>
              <w:rPr>
                <w:rFonts w:cs="Arial"/>
                <w:b/>
                <w:bCs/>
                <w:sz w:val="18"/>
                <w:szCs w:val="18"/>
              </w:rPr>
              <w:t xml:space="preserve">6 </w:t>
            </w:r>
            <w:r w:rsidR="001F7EF6">
              <w:rPr>
                <w:rFonts w:cs="Arial"/>
                <w:b/>
                <w:bCs/>
                <w:sz w:val="18"/>
                <w:szCs w:val="18"/>
              </w:rPr>
              <w:t xml:space="preserve"> </w:t>
            </w:r>
            <w:r w:rsidR="001F7EF6" w:rsidRPr="00FF6D07">
              <w:rPr>
                <w:rFonts w:cs="Arial"/>
                <w:b/>
                <w:bCs/>
                <w:sz w:val="18"/>
                <w:szCs w:val="18"/>
              </w:rPr>
              <w:t>weeks</w:t>
            </w:r>
          </w:p>
        </w:tc>
      </w:tr>
      <w:tr w:rsidR="001F7EF6" w:rsidTr="006B0717">
        <w:trPr>
          <w:trHeight w:val="226"/>
        </w:trPr>
        <w:tc>
          <w:tcPr>
            <w:tcW w:w="2467" w:type="dxa"/>
          </w:tcPr>
          <w:p w:rsidR="001F7EF6" w:rsidRPr="000200EF" w:rsidRDefault="001F7EF6" w:rsidP="006B0717">
            <w:pPr>
              <w:jc w:val="right"/>
              <w:rPr>
                <w:rFonts w:cs="Arial"/>
                <w:b/>
                <w:bCs/>
                <w:sz w:val="18"/>
                <w:szCs w:val="18"/>
              </w:rPr>
            </w:pPr>
            <w:r w:rsidRPr="000200EF">
              <w:rPr>
                <w:rFonts w:cs="Arial"/>
                <w:b/>
                <w:bCs/>
                <w:sz w:val="18"/>
                <w:szCs w:val="18"/>
              </w:rPr>
              <w:t xml:space="preserve">Estimated Award of Call:       </w:t>
            </w:r>
          </w:p>
        </w:tc>
        <w:tc>
          <w:tcPr>
            <w:tcW w:w="6775" w:type="dxa"/>
          </w:tcPr>
          <w:p w:rsidR="001F7EF6" w:rsidRPr="00217883" w:rsidRDefault="00A85076" w:rsidP="006B0717">
            <w:pPr>
              <w:rPr>
                <w:rFonts w:cs="Arial"/>
                <w:b/>
                <w:bCs/>
                <w:sz w:val="18"/>
                <w:szCs w:val="18"/>
                <w:highlight w:val="yellow"/>
              </w:rPr>
            </w:pPr>
            <w:r w:rsidRPr="00A85076">
              <w:rPr>
                <w:rFonts w:cs="Arial"/>
                <w:b/>
                <w:bCs/>
                <w:sz w:val="18"/>
                <w:szCs w:val="18"/>
              </w:rPr>
              <w:t xml:space="preserve">December </w:t>
            </w:r>
            <w:r w:rsidR="00561900" w:rsidRPr="00A85076">
              <w:rPr>
                <w:rFonts w:cs="Arial"/>
                <w:b/>
                <w:bCs/>
                <w:sz w:val="18"/>
                <w:szCs w:val="18"/>
              </w:rPr>
              <w:t>2017</w:t>
            </w:r>
          </w:p>
        </w:tc>
      </w:tr>
      <w:tr w:rsidR="001F7EF6" w:rsidTr="006B0717">
        <w:trPr>
          <w:trHeight w:val="53"/>
        </w:trPr>
        <w:tc>
          <w:tcPr>
            <w:tcW w:w="2467" w:type="dxa"/>
          </w:tcPr>
          <w:p w:rsidR="001F7EF6" w:rsidRPr="000200EF" w:rsidRDefault="001F7EF6" w:rsidP="006B0717">
            <w:pPr>
              <w:shd w:val="clear" w:color="auto" w:fill="FFFFFF"/>
              <w:jc w:val="right"/>
              <w:rPr>
                <w:rFonts w:cs="Arial"/>
                <w:b/>
                <w:bCs/>
                <w:sz w:val="18"/>
                <w:szCs w:val="18"/>
              </w:rPr>
            </w:pPr>
            <w:r w:rsidRPr="000200EF">
              <w:rPr>
                <w:rFonts w:cs="Arial"/>
                <w:b/>
                <w:bCs/>
                <w:sz w:val="18"/>
                <w:szCs w:val="18"/>
              </w:rPr>
              <w:t>Estimated Delivery Period:</w:t>
            </w:r>
          </w:p>
        </w:tc>
        <w:tc>
          <w:tcPr>
            <w:tcW w:w="6775" w:type="dxa"/>
          </w:tcPr>
          <w:p w:rsidR="001F7EF6" w:rsidRPr="00AC54BE" w:rsidRDefault="00CD7696" w:rsidP="00A85076">
            <w:pPr>
              <w:rPr>
                <w:rFonts w:cs="Arial"/>
                <w:b/>
                <w:bCs/>
                <w:sz w:val="18"/>
                <w:szCs w:val="18"/>
              </w:rPr>
            </w:pPr>
            <w:r>
              <w:rPr>
                <w:rFonts w:cs="Arial"/>
                <w:b/>
                <w:bCs/>
                <w:sz w:val="18"/>
                <w:szCs w:val="18"/>
              </w:rPr>
              <w:t>01/03/2018 – 29</w:t>
            </w:r>
            <w:bookmarkStart w:id="0" w:name="_GoBack"/>
            <w:bookmarkEnd w:id="0"/>
            <w:r w:rsidR="00A85076" w:rsidRPr="00AC54BE">
              <w:rPr>
                <w:rFonts w:cs="Arial"/>
                <w:b/>
                <w:bCs/>
                <w:sz w:val="18"/>
                <w:szCs w:val="18"/>
              </w:rPr>
              <w:t>/02/</w:t>
            </w:r>
            <w:r>
              <w:rPr>
                <w:rFonts w:cs="Arial"/>
                <w:b/>
                <w:bCs/>
                <w:sz w:val="18"/>
                <w:szCs w:val="18"/>
              </w:rPr>
              <w:t>2020</w:t>
            </w:r>
          </w:p>
        </w:tc>
      </w:tr>
    </w:tbl>
    <w:p w:rsidR="004F32DC" w:rsidRDefault="004F32DC" w:rsidP="004F32DC">
      <w:pPr>
        <w:spacing w:before="100" w:beforeAutospacing="1" w:after="240" w:line="276" w:lineRule="auto"/>
        <w:rPr>
          <w:rFonts w:cs="Arial"/>
          <w:b/>
          <w:sz w:val="22"/>
          <w:szCs w:val="22"/>
        </w:rPr>
      </w:pPr>
      <w:r>
        <w:rPr>
          <w:rFonts w:cs="Arial"/>
          <w:b/>
          <w:sz w:val="22"/>
          <w:szCs w:val="22"/>
        </w:rPr>
        <w:t>Background</w:t>
      </w:r>
    </w:p>
    <w:p w:rsidR="004F32DC" w:rsidRDefault="004F32DC" w:rsidP="004F32DC">
      <w:pPr>
        <w:spacing w:line="360" w:lineRule="auto"/>
        <w:rPr>
          <w:rFonts w:cs="Arial"/>
          <w:sz w:val="22"/>
          <w:szCs w:val="22"/>
        </w:rPr>
      </w:pPr>
      <w:r w:rsidRPr="00AA49EB">
        <w:rPr>
          <w:rFonts w:cs="Arial"/>
          <w:sz w:val="22"/>
          <w:szCs w:val="22"/>
        </w:rPr>
        <w:t>The Met Office anticipates holding a call for research proposals in</w:t>
      </w:r>
      <w:r>
        <w:rPr>
          <w:rFonts w:cs="Arial"/>
          <w:sz w:val="22"/>
          <w:szCs w:val="22"/>
        </w:rPr>
        <w:t xml:space="preserve"> </w:t>
      </w:r>
      <w:r w:rsidR="00A85076" w:rsidRPr="00A85076">
        <w:rPr>
          <w:rFonts w:cs="Arial"/>
          <w:sz w:val="22"/>
          <w:szCs w:val="22"/>
        </w:rPr>
        <w:t xml:space="preserve">October </w:t>
      </w:r>
      <w:r w:rsidRPr="00A85076">
        <w:rPr>
          <w:rFonts w:cs="Arial"/>
          <w:sz w:val="22"/>
          <w:szCs w:val="22"/>
        </w:rPr>
        <w:t>2017</w:t>
      </w:r>
      <w:r w:rsidRPr="00AA49EB">
        <w:rPr>
          <w:rFonts w:cs="Arial"/>
          <w:sz w:val="22"/>
          <w:szCs w:val="22"/>
        </w:rPr>
        <w:t>. In preparation for the call, the Met Office is inviting expressions of interest from UK researchers.</w:t>
      </w:r>
    </w:p>
    <w:p w:rsidR="009644DC" w:rsidRDefault="009644DC" w:rsidP="004F32DC">
      <w:pPr>
        <w:spacing w:line="360" w:lineRule="auto"/>
        <w:rPr>
          <w:rFonts w:cs="Arial"/>
          <w:sz w:val="22"/>
          <w:szCs w:val="22"/>
        </w:rPr>
      </w:pPr>
    </w:p>
    <w:p w:rsidR="00611C4D" w:rsidRPr="00611C4D" w:rsidRDefault="00611C4D" w:rsidP="00611C4D">
      <w:pPr>
        <w:spacing w:line="360" w:lineRule="auto"/>
        <w:rPr>
          <w:rFonts w:cs="Arial"/>
          <w:sz w:val="22"/>
          <w:szCs w:val="22"/>
          <w:lang w:val="en-US"/>
        </w:rPr>
      </w:pPr>
      <w:r w:rsidRPr="00611C4D">
        <w:rPr>
          <w:rFonts w:cs="Arial"/>
          <w:sz w:val="22"/>
          <w:szCs w:val="22"/>
        </w:rPr>
        <w:t>The Weather and Climate Science for Service Partnership for Southeast Asia (WCSSP S</w:t>
      </w:r>
      <w:r w:rsidR="00EA7CBB">
        <w:rPr>
          <w:rFonts w:cs="Arial"/>
          <w:sz w:val="22"/>
          <w:szCs w:val="22"/>
        </w:rPr>
        <w:t>outheast</w:t>
      </w:r>
      <w:r w:rsidRPr="00611C4D">
        <w:rPr>
          <w:rFonts w:cs="Arial"/>
          <w:sz w:val="22"/>
          <w:szCs w:val="22"/>
        </w:rPr>
        <w:t xml:space="preserve"> Asia), supported by the UK Government’s Newton Fund, </w:t>
      </w:r>
      <w:r w:rsidRPr="00611C4D">
        <w:rPr>
          <w:rFonts w:cs="Arial"/>
          <w:sz w:val="22"/>
          <w:szCs w:val="22"/>
          <w:lang w:val="en-US"/>
        </w:rPr>
        <w:t xml:space="preserve">is a research programme that will support the development of capability to underpin services to provide better advice of high impact weather and climate events and, therefore, </w:t>
      </w:r>
      <w:r w:rsidR="00390CA5">
        <w:rPr>
          <w:rFonts w:cs="Arial"/>
          <w:sz w:val="22"/>
          <w:szCs w:val="22"/>
          <w:lang w:val="en-US"/>
        </w:rPr>
        <w:t xml:space="preserve">will </w:t>
      </w:r>
      <w:r w:rsidRPr="00611C4D">
        <w:rPr>
          <w:rFonts w:cs="Arial"/>
          <w:sz w:val="22"/>
          <w:szCs w:val="22"/>
          <w:lang w:val="en-US"/>
        </w:rPr>
        <w:t>support climate and weather resilient economic development and social welfare.</w:t>
      </w:r>
    </w:p>
    <w:p w:rsidR="00611C4D" w:rsidRPr="00611C4D" w:rsidRDefault="00611C4D" w:rsidP="00611C4D">
      <w:pPr>
        <w:spacing w:line="360" w:lineRule="auto"/>
        <w:rPr>
          <w:rFonts w:cs="Arial"/>
          <w:b/>
          <w:sz w:val="22"/>
          <w:szCs w:val="22"/>
        </w:rPr>
      </w:pPr>
    </w:p>
    <w:p w:rsidR="00611C4D" w:rsidRPr="00611C4D" w:rsidRDefault="00611C4D" w:rsidP="00611C4D">
      <w:pPr>
        <w:spacing w:line="360" w:lineRule="auto"/>
        <w:rPr>
          <w:rFonts w:cs="Arial"/>
          <w:b/>
          <w:sz w:val="22"/>
          <w:szCs w:val="22"/>
        </w:rPr>
      </w:pPr>
      <w:r w:rsidRPr="00611C4D">
        <w:rPr>
          <w:rFonts w:cs="Arial"/>
          <w:b/>
          <w:sz w:val="22"/>
          <w:szCs w:val="22"/>
        </w:rPr>
        <w:t>Summary of WCSSP Southeast Asia aims</w:t>
      </w:r>
    </w:p>
    <w:p w:rsidR="00611C4D" w:rsidRPr="00611C4D" w:rsidRDefault="00611C4D" w:rsidP="00611C4D">
      <w:pPr>
        <w:spacing w:line="360" w:lineRule="auto"/>
        <w:rPr>
          <w:rFonts w:cs="Arial"/>
          <w:sz w:val="22"/>
          <w:szCs w:val="22"/>
          <w:lang w:val="en-US"/>
        </w:rPr>
      </w:pPr>
      <w:r w:rsidRPr="00611C4D">
        <w:rPr>
          <w:rFonts w:cs="Arial"/>
          <w:sz w:val="22"/>
          <w:szCs w:val="22"/>
        </w:rPr>
        <w:t xml:space="preserve">This project aims to develop </w:t>
      </w:r>
      <w:r w:rsidRPr="00611C4D">
        <w:rPr>
          <w:rFonts w:cs="Arial"/>
          <w:sz w:val="22"/>
          <w:szCs w:val="22"/>
          <w:lang w:val="en-US"/>
        </w:rPr>
        <w:t>underpinning capability in modeling at the global, regional and local scale, and advance the understanding of high-impact weather events in order to support services to improve advice and mitigate the impacts of extreme weather and climate events.</w:t>
      </w:r>
    </w:p>
    <w:p w:rsidR="00611C4D" w:rsidRPr="00611C4D" w:rsidRDefault="00611C4D" w:rsidP="00611C4D">
      <w:pPr>
        <w:spacing w:line="360" w:lineRule="auto"/>
        <w:rPr>
          <w:rFonts w:cs="Arial"/>
          <w:sz w:val="22"/>
          <w:szCs w:val="22"/>
        </w:rPr>
      </w:pPr>
    </w:p>
    <w:p w:rsidR="00611C4D" w:rsidRPr="00611C4D" w:rsidRDefault="00611C4D" w:rsidP="00611C4D">
      <w:pPr>
        <w:spacing w:line="360" w:lineRule="auto"/>
        <w:rPr>
          <w:rFonts w:cs="Arial"/>
          <w:sz w:val="22"/>
          <w:szCs w:val="22"/>
        </w:rPr>
      </w:pPr>
      <w:r w:rsidRPr="00611C4D">
        <w:rPr>
          <w:rFonts w:cs="Arial"/>
          <w:sz w:val="22"/>
          <w:szCs w:val="22"/>
        </w:rPr>
        <w:lastRenderedPageBreak/>
        <w:t>Specific aims include; improving the understanding of the impact of large scale atmospheric processes on the weather and climate of S</w:t>
      </w:r>
      <w:r w:rsidR="00EA7CBB">
        <w:rPr>
          <w:rFonts w:cs="Arial"/>
          <w:sz w:val="22"/>
          <w:szCs w:val="22"/>
        </w:rPr>
        <w:t>outheast</w:t>
      </w:r>
      <w:r w:rsidRPr="00611C4D">
        <w:rPr>
          <w:rFonts w:cs="Arial"/>
          <w:sz w:val="22"/>
          <w:szCs w:val="22"/>
        </w:rPr>
        <w:t xml:space="preserve"> Asia, assessment and improvement of Unified Model performance at both convective and non-convective scales, improving the understanding of the local impact of tropical weather systems and improving the interpretation of global and convective scale forecasts.</w:t>
      </w:r>
    </w:p>
    <w:p w:rsidR="003E2BD1" w:rsidRDefault="003E2BD1" w:rsidP="004F32DC">
      <w:pPr>
        <w:spacing w:line="360" w:lineRule="auto"/>
        <w:rPr>
          <w:rFonts w:cs="Arial"/>
          <w:sz w:val="22"/>
          <w:szCs w:val="22"/>
        </w:rPr>
      </w:pPr>
    </w:p>
    <w:p w:rsidR="004F32DC" w:rsidRPr="00114B31" w:rsidRDefault="004F32DC" w:rsidP="004F32DC">
      <w:pPr>
        <w:spacing w:line="360" w:lineRule="auto"/>
        <w:rPr>
          <w:rFonts w:ascii="Calibri" w:hAnsi="Calibri" w:cs="Calibri"/>
          <w:sz w:val="22"/>
          <w:szCs w:val="22"/>
        </w:rPr>
      </w:pPr>
      <w:r w:rsidRPr="00AA49EB">
        <w:rPr>
          <w:rFonts w:cs="Arial"/>
          <w:sz w:val="22"/>
          <w:szCs w:val="22"/>
        </w:rPr>
        <w:t xml:space="preserve">For further information please visit the </w:t>
      </w:r>
      <w:r w:rsidR="0055142C">
        <w:rPr>
          <w:rFonts w:cs="Arial"/>
          <w:sz w:val="22"/>
          <w:szCs w:val="22"/>
        </w:rPr>
        <w:t>programme website</w:t>
      </w:r>
      <w:r w:rsidRPr="00AA49EB">
        <w:rPr>
          <w:rFonts w:cs="Arial"/>
          <w:sz w:val="22"/>
          <w:szCs w:val="22"/>
        </w:rPr>
        <w:t xml:space="preserve"> - </w:t>
      </w:r>
    </w:p>
    <w:p w:rsidR="004F32DC" w:rsidRDefault="00CD7696" w:rsidP="004F32DC">
      <w:pPr>
        <w:spacing w:line="360" w:lineRule="auto"/>
        <w:rPr>
          <w:rFonts w:cs="Arial"/>
          <w:sz w:val="22"/>
          <w:szCs w:val="22"/>
        </w:rPr>
      </w:pPr>
      <w:hyperlink r:id="rId8" w:history="1">
        <w:r w:rsidR="004F32DC" w:rsidRPr="00A85219">
          <w:rPr>
            <w:rStyle w:val="Hyperlink"/>
            <w:rFonts w:cs="Arial"/>
            <w:sz w:val="22"/>
            <w:szCs w:val="22"/>
          </w:rPr>
          <w:t>http://www.metoffice.gov.uk/research/collaboration/newton</w:t>
        </w:r>
      </w:hyperlink>
    </w:p>
    <w:p w:rsidR="004F32DC" w:rsidRDefault="004F32DC" w:rsidP="00217883">
      <w:pPr>
        <w:spacing w:before="240" w:after="120" w:line="276" w:lineRule="auto"/>
        <w:rPr>
          <w:b/>
          <w:sz w:val="22"/>
          <w:szCs w:val="22"/>
        </w:rPr>
      </w:pPr>
      <w:r w:rsidRPr="00FF6D07">
        <w:rPr>
          <w:rFonts w:cs="Arial"/>
          <w:b/>
          <w:sz w:val="22"/>
          <w:szCs w:val="22"/>
        </w:rPr>
        <w:t xml:space="preserve">Submissions </w:t>
      </w:r>
      <w:r>
        <w:rPr>
          <w:rFonts w:cs="Arial"/>
          <w:b/>
          <w:sz w:val="22"/>
          <w:szCs w:val="22"/>
        </w:rPr>
        <w:t>will be</w:t>
      </w:r>
      <w:r w:rsidRPr="00FF6D07">
        <w:rPr>
          <w:rFonts w:cs="Arial"/>
          <w:b/>
          <w:sz w:val="22"/>
          <w:szCs w:val="22"/>
        </w:rPr>
        <w:t xml:space="preserve"> sought on</w:t>
      </w:r>
      <w:r w:rsidRPr="00FF6D07">
        <w:rPr>
          <w:rFonts w:cs="Arial"/>
          <w:color w:val="0070C0"/>
          <w:sz w:val="22"/>
          <w:szCs w:val="22"/>
        </w:rPr>
        <w:t xml:space="preserve"> </w:t>
      </w:r>
      <w:r>
        <w:rPr>
          <w:rFonts w:cs="Arial"/>
          <w:b/>
          <w:sz w:val="22"/>
          <w:szCs w:val="22"/>
        </w:rPr>
        <w:t>‘</w:t>
      </w:r>
      <w:r w:rsidR="00217883">
        <w:rPr>
          <w:rFonts w:cs="Arial"/>
          <w:b/>
          <w:sz w:val="22"/>
          <w:szCs w:val="22"/>
        </w:rPr>
        <w:t xml:space="preserve">Tropical Error </w:t>
      </w:r>
      <w:proofErr w:type="spellStart"/>
      <w:r w:rsidR="00217883">
        <w:rPr>
          <w:rFonts w:cs="Arial"/>
          <w:b/>
          <w:sz w:val="22"/>
          <w:szCs w:val="22"/>
        </w:rPr>
        <w:t>Covariances</w:t>
      </w:r>
      <w:proofErr w:type="spellEnd"/>
      <w:r w:rsidR="00217883">
        <w:rPr>
          <w:rFonts w:cs="Arial"/>
          <w:b/>
          <w:sz w:val="22"/>
          <w:szCs w:val="22"/>
        </w:rPr>
        <w:t xml:space="preserve"> for Data Assimilation’:</w:t>
      </w:r>
    </w:p>
    <w:p w:rsidR="00A468F0" w:rsidRDefault="00A468F0" w:rsidP="004F32DC">
      <w:pPr>
        <w:rPr>
          <w:b/>
          <w:sz w:val="22"/>
          <w:szCs w:val="22"/>
        </w:rPr>
      </w:pPr>
    </w:p>
    <w:p w:rsidR="004F32DC" w:rsidRPr="002C0524" w:rsidRDefault="004F32DC" w:rsidP="004F32DC">
      <w:pPr>
        <w:rPr>
          <w:b/>
          <w:sz w:val="22"/>
          <w:szCs w:val="22"/>
        </w:rPr>
      </w:pPr>
      <w:r w:rsidRPr="002C0524">
        <w:rPr>
          <w:b/>
          <w:sz w:val="22"/>
          <w:szCs w:val="22"/>
        </w:rPr>
        <w:t xml:space="preserve">Rationale: </w:t>
      </w:r>
    </w:p>
    <w:p w:rsidR="00A468F0" w:rsidRPr="00A468F0" w:rsidRDefault="00217883" w:rsidP="00A468F0">
      <w:pPr>
        <w:spacing w:line="360" w:lineRule="auto"/>
        <w:jc w:val="both"/>
        <w:rPr>
          <w:sz w:val="22"/>
          <w:szCs w:val="22"/>
        </w:rPr>
      </w:pPr>
      <w:r w:rsidRPr="00DA22A1">
        <w:rPr>
          <w:sz w:val="22"/>
          <w:szCs w:val="22"/>
        </w:rPr>
        <w:t xml:space="preserve">The specification of appropriate background error </w:t>
      </w:r>
      <w:proofErr w:type="spellStart"/>
      <w:r w:rsidRPr="00DA22A1">
        <w:rPr>
          <w:sz w:val="22"/>
          <w:szCs w:val="22"/>
        </w:rPr>
        <w:t>covariances</w:t>
      </w:r>
      <w:proofErr w:type="spellEnd"/>
      <w:r w:rsidRPr="00DA22A1">
        <w:rPr>
          <w:sz w:val="22"/>
          <w:szCs w:val="22"/>
        </w:rPr>
        <w:t xml:space="preserve"> is an essential component of the data assimilation process required to provide accurate analyses to initialize numerical weather prediction</w:t>
      </w:r>
      <w:r w:rsidR="00A468F0">
        <w:rPr>
          <w:sz w:val="22"/>
          <w:szCs w:val="22"/>
        </w:rPr>
        <w:t xml:space="preserve"> (NWP)</w:t>
      </w:r>
      <w:r w:rsidRPr="00DA22A1">
        <w:rPr>
          <w:sz w:val="22"/>
          <w:szCs w:val="22"/>
        </w:rPr>
        <w:t>. Whilst significant work has been done in this area for global and mid-latitude applications, understanding of the nature of tropical forecast error</w:t>
      </w:r>
      <w:r w:rsidR="008F5EC1">
        <w:rPr>
          <w:sz w:val="22"/>
          <w:szCs w:val="22"/>
        </w:rPr>
        <w:t>s, and their modelling within data assimilation</w:t>
      </w:r>
      <w:r w:rsidRPr="00DA22A1">
        <w:rPr>
          <w:sz w:val="22"/>
          <w:szCs w:val="22"/>
        </w:rPr>
        <w:t xml:space="preserve"> schemes, is a very new area. </w:t>
      </w:r>
      <w:r w:rsidR="00A468F0" w:rsidRPr="00A468F0">
        <w:rPr>
          <w:sz w:val="22"/>
          <w:szCs w:val="22"/>
        </w:rPr>
        <w:t>Numerous </w:t>
      </w:r>
      <w:r w:rsidR="00A468F0">
        <w:rPr>
          <w:sz w:val="22"/>
          <w:szCs w:val="22"/>
        </w:rPr>
        <w:t xml:space="preserve">recent </w:t>
      </w:r>
      <w:r w:rsidR="00A468F0" w:rsidRPr="00A468F0">
        <w:rPr>
          <w:sz w:val="22"/>
          <w:szCs w:val="22"/>
        </w:rPr>
        <w:t xml:space="preserve">convective-scale applications of the </w:t>
      </w:r>
      <w:r w:rsidR="00A468F0">
        <w:rPr>
          <w:sz w:val="22"/>
          <w:szCs w:val="22"/>
        </w:rPr>
        <w:t xml:space="preserve">Met Office’s </w:t>
      </w:r>
      <w:r w:rsidR="00A468F0" w:rsidRPr="00A468F0">
        <w:rPr>
          <w:sz w:val="22"/>
          <w:szCs w:val="22"/>
        </w:rPr>
        <w:t>U</w:t>
      </w:r>
      <w:r w:rsidR="00A468F0">
        <w:rPr>
          <w:sz w:val="22"/>
          <w:szCs w:val="22"/>
        </w:rPr>
        <w:t xml:space="preserve">nified </w:t>
      </w:r>
      <w:r w:rsidR="00A468F0" w:rsidRPr="00A468F0">
        <w:rPr>
          <w:sz w:val="22"/>
          <w:szCs w:val="22"/>
        </w:rPr>
        <w:t>M</w:t>
      </w:r>
      <w:r w:rsidR="00A468F0">
        <w:rPr>
          <w:sz w:val="22"/>
          <w:szCs w:val="22"/>
        </w:rPr>
        <w:t>odel in Southeast Asia</w:t>
      </w:r>
      <w:r w:rsidR="00A468F0" w:rsidRPr="00A468F0">
        <w:rPr>
          <w:sz w:val="22"/>
          <w:szCs w:val="22"/>
        </w:rPr>
        <w:t xml:space="preserve">, combined with </w:t>
      </w:r>
      <w:r w:rsidR="00A468F0">
        <w:rPr>
          <w:sz w:val="22"/>
          <w:szCs w:val="22"/>
        </w:rPr>
        <w:t xml:space="preserve">data from </w:t>
      </w:r>
      <w:r w:rsidR="00A468F0" w:rsidRPr="00A468F0">
        <w:rPr>
          <w:sz w:val="22"/>
          <w:szCs w:val="22"/>
        </w:rPr>
        <w:t>a mature global ensemble (MOGREPS-G) provide a wealth of training data to assess the nature of tropical forecast errors</w:t>
      </w:r>
      <w:r w:rsidR="008F5EC1">
        <w:rPr>
          <w:sz w:val="22"/>
          <w:szCs w:val="22"/>
        </w:rPr>
        <w:t xml:space="preserve">. </w:t>
      </w:r>
    </w:p>
    <w:p w:rsidR="00217883" w:rsidRDefault="00217883" w:rsidP="00217883">
      <w:pPr>
        <w:spacing w:line="360" w:lineRule="auto"/>
        <w:jc w:val="both"/>
        <w:rPr>
          <w:color w:val="1F497D"/>
          <w:sz w:val="22"/>
          <w:szCs w:val="22"/>
        </w:rPr>
      </w:pPr>
    </w:p>
    <w:p w:rsidR="004F32DC" w:rsidRPr="00FF6D07" w:rsidRDefault="004F32DC" w:rsidP="004F32DC">
      <w:pPr>
        <w:rPr>
          <w:sz w:val="22"/>
          <w:szCs w:val="22"/>
        </w:rPr>
      </w:pPr>
      <w:r w:rsidRPr="00FF6D07">
        <w:rPr>
          <w:b/>
          <w:sz w:val="22"/>
          <w:szCs w:val="22"/>
        </w:rPr>
        <w:t>Required activity:</w:t>
      </w:r>
      <w:r w:rsidRPr="00FF6D07">
        <w:rPr>
          <w:sz w:val="22"/>
          <w:szCs w:val="22"/>
        </w:rPr>
        <w:t xml:space="preserve"> </w:t>
      </w:r>
    </w:p>
    <w:p w:rsidR="00A00569" w:rsidRPr="00DA22A1" w:rsidRDefault="00DA22A1" w:rsidP="00217883">
      <w:pPr>
        <w:spacing w:line="360" w:lineRule="auto"/>
        <w:jc w:val="both"/>
        <w:rPr>
          <w:sz w:val="22"/>
          <w:szCs w:val="22"/>
        </w:rPr>
      </w:pPr>
      <w:r>
        <w:rPr>
          <w:sz w:val="22"/>
          <w:szCs w:val="22"/>
        </w:rPr>
        <w:t>This project will focus on data assimilation in the tropics with an overall aim to improve weather forecasting over Southeast As</w:t>
      </w:r>
      <w:r w:rsidR="008F5EC1">
        <w:rPr>
          <w:sz w:val="22"/>
          <w:szCs w:val="22"/>
        </w:rPr>
        <w:t>i</w:t>
      </w:r>
      <w:r>
        <w:rPr>
          <w:sz w:val="22"/>
          <w:szCs w:val="22"/>
        </w:rPr>
        <w:t>a</w:t>
      </w:r>
      <w:r w:rsidR="00A00569">
        <w:rPr>
          <w:sz w:val="22"/>
          <w:szCs w:val="22"/>
        </w:rPr>
        <w:t>, with particular focus to Malaysia, Indonesia and Philippines</w:t>
      </w:r>
      <w:r>
        <w:rPr>
          <w:sz w:val="22"/>
          <w:szCs w:val="22"/>
        </w:rPr>
        <w:t xml:space="preserve">. </w:t>
      </w:r>
      <w:r w:rsidR="00217883" w:rsidRPr="00DA22A1">
        <w:rPr>
          <w:sz w:val="22"/>
          <w:szCs w:val="22"/>
        </w:rPr>
        <w:t xml:space="preserve">This project will investigate the dynamic, flow-dependent relationships implicit within convective-scale tropical </w:t>
      </w:r>
      <w:r w:rsidR="00B46794">
        <w:rPr>
          <w:sz w:val="22"/>
          <w:szCs w:val="22"/>
        </w:rPr>
        <w:t xml:space="preserve">error </w:t>
      </w:r>
      <w:r w:rsidR="00217883" w:rsidRPr="00DA22A1">
        <w:rPr>
          <w:sz w:val="22"/>
          <w:szCs w:val="22"/>
        </w:rPr>
        <w:t>structures and their interac</w:t>
      </w:r>
      <w:r w:rsidRPr="00DA22A1">
        <w:rPr>
          <w:sz w:val="22"/>
          <w:szCs w:val="22"/>
        </w:rPr>
        <w:t>tions with larger scales (e.g. Tropical C</w:t>
      </w:r>
      <w:r w:rsidR="00217883" w:rsidRPr="00DA22A1">
        <w:rPr>
          <w:sz w:val="22"/>
          <w:szCs w:val="22"/>
        </w:rPr>
        <w:t>yclones, Cold surges, etc)</w:t>
      </w:r>
      <w:r>
        <w:rPr>
          <w:sz w:val="22"/>
          <w:szCs w:val="22"/>
        </w:rPr>
        <w:t xml:space="preserve">. The successful applicant </w:t>
      </w:r>
      <w:proofErr w:type="gramStart"/>
      <w:r>
        <w:rPr>
          <w:sz w:val="22"/>
          <w:szCs w:val="22"/>
        </w:rPr>
        <w:t>will be expected</w:t>
      </w:r>
      <w:proofErr w:type="gramEnd"/>
      <w:r>
        <w:rPr>
          <w:sz w:val="22"/>
          <w:szCs w:val="22"/>
        </w:rPr>
        <w:t xml:space="preserve"> to</w:t>
      </w:r>
      <w:r w:rsidR="00217883" w:rsidRPr="00DA22A1">
        <w:rPr>
          <w:sz w:val="22"/>
          <w:szCs w:val="22"/>
        </w:rPr>
        <w:t xml:space="preserve"> work closely with scientists within the Met Office’s Data Assimilation and Ensembles R&amp;D section to understand the nature of tropical forecast error</w:t>
      </w:r>
      <w:r w:rsidR="00B46794">
        <w:rPr>
          <w:sz w:val="22"/>
          <w:szCs w:val="22"/>
        </w:rPr>
        <w:t xml:space="preserve"> </w:t>
      </w:r>
      <w:proofErr w:type="spellStart"/>
      <w:r w:rsidR="00B46794">
        <w:rPr>
          <w:sz w:val="22"/>
          <w:szCs w:val="22"/>
        </w:rPr>
        <w:t>covariance</w:t>
      </w:r>
      <w:r w:rsidR="00217883" w:rsidRPr="00DA22A1">
        <w:rPr>
          <w:sz w:val="22"/>
          <w:szCs w:val="22"/>
        </w:rPr>
        <w:t>s</w:t>
      </w:r>
      <w:proofErr w:type="spellEnd"/>
      <w:r>
        <w:rPr>
          <w:sz w:val="22"/>
          <w:szCs w:val="22"/>
        </w:rPr>
        <w:t xml:space="preserve"> and contribute to </w:t>
      </w:r>
      <w:r w:rsidR="00B46794">
        <w:rPr>
          <w:sz w:val="22"/>
          <w:szCs w:val="22"/>
        </w:rPr>
        <w:t>their modelling within the data assimilation system</w:t>
      </w:r>
      <w:r w:rsidR="00217883" w:rsidRPr="00DA22A1">
        <w:rPr>
          <w:sz w:val="22"/>
          <w:szCs w:val="22"/>
        </w:rPr>
        <w:t xml:space="preserve">. </w:t>
      </w:r>
    </w:p>
    <w:p w:rsidR="00DA22A1" w:rsidRDefault="00DA22A1" w:rsidP="00DA22A1">
      <w:pPr>
        <w:spacing w:line="360" w:lineRule="auto"/>
        <w:jc w:val="both"/>
        <w:rPr>
          <w:color w:val="1F497D"/>
          <w:sz w:val="22"/>
          <w:szCs w:val="22"/>
        </w:rPr>
      </w:pPr>
    </w:p>
    <w:p w:rsidR="00DA22A1" w:rsidRPr="00DA22A1" w:rsidRDefault="00DA22A1" w:rsidP="00217883">
      <w:pPr>
        <w:spacing w:line="360" w:lineRule="auto"/>
        <w:jc w:val="both"/>
        <w:rPr>
          <w:sz w:val="22"/>
          <w:szCs w:val="22"/>
        </w:rPr>
      </w:pPr>
      <w:r>
        <w:rPr>
          <w:sz w:val="22"/>
          <w:szCs w:val="22"/>
        </w:rPr>
        <w:t>Specific e</w:t>
      </w:r>
      <w:r w:rsidRPr="00DA22A1">
        <w:rPr>
          <w:sz w:val="22"/>
          <w:szCs w:val="22"/>
        </w:rPr>
        <w:t>xamples of t</w:t>
      </w:r>
      <w:r>
        <w:rPr>
          <w:sz w:val="22"/>
          <w:szCs w:val="22"/>
        </w:rPr>
        <w:t>his</w:t>
      </w:r>
      <w:r w:rsidRPr="00DA22A1">
        <w:rPr>
          <w:sz w:val="22"/>
          <w:szCs w:val="22"/>
        </w:rPr>
        <w:t xml:space="preserve"> may include:</w:t>
      </w:r>
    </w:p>
    <w:p w:rsidR="00A468F0" w:rsidRDefault="0029676A" w:rsidP="00A468F0">
      <w:pPr>
        <w:pStyle w:val="ListParagraph"/>
        <w:numPr>
          <w:ilvl w:val="0"/>
          <w:numId w:val="12"/>
        </w:numPr>
        <w:spacing w:line="360" w:lineRule="auto"/>
        <w:jc w:val="both"/>
        <w:rPr>
          <w:rFonts w:ascii="Arial" w:hAnsi="Arial" w:cs="Arial"/>
          <w:sz w:val="22"/>
          <w:szCs w:val="22"/>
        </w:rPr>
      </w:pPr>
      <w:r>
        <w:rPr>
          <w:rFonts w:ascii="Arial" w:hAnsi="Arial" w:cs="Arial"/>
          <w:sz w:val="22"/>
          <w:szCs w:val="22"/>
        </w:rPr>
        <w:t>Use of tropical NWP training data to i</w:t>
      </w:r>
      <w:r w:rsidR="00A468F0">
        <w:rPr>
          <w:rFonts w:ascii="Arial" w:hAnsi="Arial" w:cs="Arial"/>
          <w:sz w:val="22"/>
          <w:szCs w:val="22"/>
        </w:rPr>
        <w:t>dentif</w:t>
      </w:r>
      <w:r>
        <w:rPr>
          <w:rFonts w:ascii="Arial" w:hAnsi="Arial" w:cs="Arial"/>
          <w:sz w:val="22"/>
          <w:szCs w:val="22"/>
        </w:rPr>
        <w:t>y</w:t>
      </w:r>
      <w:r w:rsidR="00A468F0">
        <w:rPr>
          <w:rFonts w:ascii="Arial" w:hAnsi="Arial" w:cs="Arial"/>
          <w:sz w:val="22"/>
          <w:szCs w:val="22"/>
        </w:rPr>
        <w:t xml:space="preserve"> key </w:t>
      </w:r>
      <w:r w:rsidR="00B46794">
        <w:rPr>
          <w:rFonts w:ascii="Arial" w:hAnsi="Arial" w:cs="Arial"/>
          <w:sz w:val="22"/>
          <w:szCs w:val="22"/>
        </w:rPr>
        <w:t xml:space="preserve">relationships in the modeling of forecast error </w:t>
      </w:r>
      <w:proofErr w:type="spellStart"/>
      <w:r w:rsidR="00B46794">
        <w:rPr>
          <w:rFonts w:ascii="Arial" w:hAnsi="Arial" w:cs="Arial"/>
          <w:sz w:val="22"/>
          <w:szCs w:val="22"/>
        </w:rPr>
        <w:t>covariances</w:t>
      </w:r>
      <w:proofErr w:type="spellEnd"/>
      <w:r>
        <w:rPr>
          <w:rFonts w:ascii="Arial" w:hAnsi="Arial" w:cs="Arial"/>
          <w:sz w:val="22"/>
          <w:szCs w:val="22"/>
        </w:rPr>
        <w:t xml:space="preserve"> appropriate for</w:t>
      </w:r>
      <w:r w:rsidR="00B46794">
        <w:rPr>
          <w:rFonts w:ascii="Arial" w:hAnsi="Arial" w:cs="Arial"/>
          <w:sz w:val="22"/>
          <w:szCs w:val="22"/>
        </w:rPr>
        <w:t xml:space="preserve"> </w:t>
      </w:r>
      <w:r>
        <w:rPr>
          <w:rFonts w:ascii="Arial" w:hAnsi="Arial" w:cs="Arial"/>
          <w:sz w:val="22"/>
          <w:szCs w:val="22"/>
        </w:rPr>
        <w:t xml:space="preserve"> convective-scale NWP </w:t>
      </w:r>
      <w:r w:rsidR="00B46794">
        <w:rPr>
          <w:rFonts w:ascii="Arial" w:hAnsi="Arial" w:cs="Arial"/>
          <w:sz w:val="22"/>
          <w:szCs w:val="22"/>
        </w:rPr>
        <w:t xml:space="preserve"> in</w:t>
      </w:r>
      <w:r w:rsidR="00A468F0">
        <w:rPr>
          <w:rFonts w:ascii="Arial" w:hAnsi="Arial" w:cs="Arial"/>
          <w:sz w:val="22"/>
          <w:szCs w:val="22"/>
        </w:rPr>
        <w:t xml:space="preserve"> the tropics</w:t>
      </w:r>
    </w:p>
    <w:p w:rsidR="00A468F0" w:rsidRDefault="00A468F0" w:rsidP="00A468F0">
      <w:pPr>
        <w:pStyle w:val="ListParagraph"/>
        <w:numPr>
          <w:ilvl w:val="0"/>
          <w:numId w:val="12"/>
        </w:numPr>
        <w:spacing w:line="360" w:lineRule="auto"/>
        <w:jc w:val="both"/>
        <w:rPr>
          <w:rFonts w:ascii="Arial" w:hAnsi="Arial" w:cs="Arial"/>
          <w:sz w:val="22"/>
          <w:szCs w:val="22"/>
        </w:rPr>
      </w:pPr>
      <w:r>
        <w:rPr>
          <w:rFonts w:ascii="Arial" w:hAnsi="Arial" w:cs="Arial"/>
          <w:sz w:val="22"/>
          <w:szCs w:val="22"/>
        </w:rPr>
        <w:lastRenderedPageBreak/>
        <w:t>Assessment of data assimilation performance and summary of key challenges in Southeast Asia and the wider tropics</w:t>
      </w:r>
    </w:p>
    <w:p w:rsidR="00A468F0" w:rsidRDefault="00A468F0" w:rsidP="00A468F0">
      <w:pPr>
        <w:pStyle w:val="ListParagraph"/>
        <w:numPr>
          <w:ilvl w:val="0"/>
          <w:numId w:val="12"/>
        </w:numPr>
        <w:spacing w:line="360" w:lineRule="auto"/>
        <w:jc w:val="both"/>
        <w:rPr>
          <w:rFonts w:ascii="Arial" w:hAnsi="Arial" w:cs="Arial"/>
          <w:sz w:val="22"/>
          <w:szCs w:val="22"/>
        </w:rPr>
      </w:pPr>
      <w:r>
        <w:rPr>
          <w:rFonts w:ascii="Arial" w:hAnsi="Arial" w:cs="Arial"/>
          <w:sz w:val="22"/>
          <w:szCs w:val="22"/>
        </w:rPr>
        <w:t>Talking with scientists in both the UK and Southeast Asia to gather requirements for data assimilation in tropical environments</w:t>
      </w:r>
    </w:p>
    <w:p w:rsidR="00217883" w:rsidRPr="00A468F0" w:rsidRDefault="00A468F0" w:rsidP="00A468F0">
      <w:pPr>
        <w:pStyle w:val="ListParagraph"/>
        <w:numPr>
          <w:ilvl w:val="0"/>
          <w:numId w:val="12"/>
        </w:numPr>
        <w:spacing w:line="360" w:lineRule="auto"/>
        <w:jc w:val="both"/>
        <w:rPr>
          <w:rFonts w:ascii="Arial" w:hAnsi="Arial" w:cs="Arial"/>
          <w:sz w:val="22"/>
          <w:szCs w:val="22"/>
        </w:rPr>
      </w:pPr>
      <w:r w:rsidRPr="00A468F0">
        <w:rPr>
          <w:rFonts w:ascii="Arial" w:hAnsi="Arial" w:cs="Arial"/>
          <w:sz w:val="22"/>
          <w:szCs w:val="22"/>
        </w:rPr>
        <w:t>C</w:t>
      </w:r>
      <w:r w:rsidR="00217883" w:rsidRPr="00A468F0">
        <w:rPr>
          <w:rFonts w:ascii="Arial" w:hAnsi="Arial" w:cs="Arial"/>
          <w:sz w:val="22"/>
          <w:szCs w:val="22"/>
        </w:rPr>
        <w:t>ontribut</w:t>
      </w:r>
      <w:r w:rsidRPr="00A468F0">
        <w:rPr>
          <w:rFonts w:ascii="Arial" w:hAnsi="Arial" w:cs="Arial"/>
          <w:sz w:val="22"/>
          <w:szCs w:val="22"/>
        </w:rPr>
        <w:t>ion</w:t>
      </w:r>
      <w:r>
        <w:rPr>
          <w:rFonts w:ascii="Arial" w:hAnsi="Arial" w:cs="Arial"/>
          <w:sz w:val="22"/>
          <w:szCs w:val="22"/>
        </w:rPr>
        <w:t>s</w:t>
      </w:r>
      <w:r w:rsidRPr="00A468F0">
        <w:rPr>
          <w:rFonts w:ascii="Arial" w:hAnsi="Arial" w:cs="Arial"/>
          <w:sz w:val="22"/>
          <w:szCs w:val="22"/>
        </w:rPr>
        <w:t xml:space="preserve"> </w:t>
      </w:r>
      <w:r w:rsidR="00217883" w:rsidRPr="00A468F0">
        <w:rPr>
          <w:rFonts w:ascii="Arial" w:hAnsi="Arial" w:cs="Arial"/>
          <w:sz w:val="22"/>
          <w:szCs w:val="22"/>
        </w:rPr>
        <w:t xml:space="preserve">to </w:t>
      </w:r>
      <w:r w:rsidR="00B46794">
        <w:rPr>
          <w:rFonts w:ascii="Arial" w:hAnsi="Arial" w:cs="Arial"/>
          <w:sz w:val="22"/>
          <w:szCs w:val="22"/>
        </w:rPr>
        <w:t xml:space="preserve">the </w:t>
      </w:r>
      <w:r w:rsidR="00217883" w:rsidRPr="00A468F0">
        <w:rPr>
          <w:rFonts w:ascii="Arial" w:hAnsi="Arial" w:cs="Arial"/>
          <w:sz w:val="22"/>
          <w:szCs w:val="22"/>
        </w:rPr>
        <w:t>develop</w:t>
      </w:r>
      <w:r w:rsidR="00B46794">
        <w:rPr>
          <w:rFonts w:ascii="Arial" w:hAnsi="Arial" w:cs="Arial"/>
          <w:sz w:val="22"/>
          <w:szCs w:val="22"/>
        </w:rPr>
        <w:t>ment</w:t>
      </w:r>
      <w:r w:rsidR="00217883" w:rsidRPr="00A468F0">
        <w:rPr>
          <w:rFonts w:ascii="Arial" w:hAnsi="Arial" w:cs="Arial"/>
          <w:sz w:val="22"/>
          <w:szCs w:val="22"/>
        </w:rPr>
        <w:t xml:space="preserve"> and appl</w:t>
      </w:r>
      <w:r w:rsidR="00B46794">
        <w:rPr>
          <w:rFonts w:ascii="Arial" w:hAnsi="Arial" w:cs="Arial"/>
          <w:sz w:val="22"/>
          <w:szCs w:val="22"/>
        </w:rPr>
        <w:t>ication</w:t>
      </w:r>
      <w:r w:rsidR="00217883" w:rsidRPr="00A468F0">
        <w:rPr>
          <w:rFonts w:ascii="Arial" w:hAnsi="Arial" w:cs="Arial"/>
          <w:sz w:val="22"/>
          <w:szCs w:val="22"/>
        </w:rPr>
        <w:t xml:space="preserve"> </w:t>
      </w:r>
      <w:r w:rsidR="00B46794">
        <w:rPr>
          <w:rFonts w:ascii="Arial" w:hAnsi="Arial" w:cs="Arial"/>
          <w:sz w:val="22"/>
          <w:szCs w:val="22"/>
        </w:rPr>
        <w:t xml:space="preserve">of </w:t>
      </w:r>
      <w:r w:rsidR="00217883" w:rsidRPr="00A468F0">
        <w:rPr>
          <w:rFonts w:ascii="Arial" w:hAnsi="Arial" w:cs="Arial"/>
          <w:sz w:val="22"/>
          <w:szCs w:val="22"/>
        </w:rPr>
        <w:t>appropriate background error generat</w:t>
      </w:r>
      <w:r w:rsidRPr="00A468F0">
        <w:rPr>
          <w:rFonts w:ascii="Arial" w:hAnsi="Arial" w:cs="Arial"/>
          <w:sz w:val="22"/>
          <w:szCs w:val="22"/>
        </w:rPr>
        <w:t>ion software within operational or future generations of NWP models</w:t>
      </w:r>
      <w:r w:rsidR="00217883" w:rsidRPr="00A468F0">
        <w:rPr>
          <w:rFonts w:ascii="Arial" w:hAnsi="Arial" w:cs="Arial"/>
          <w:sz w:val="22"/>
          <w:szCs w:val="22"/>
        </w:rPr>
        <w:t>.</w:t>
      </w:r>
    </w:p>
    <w:p w:rsidR="00C965E9" w:rsidRDefault="00C965E9" w:rsidP="004F32DC">
      <w:pPr>
        <w:spacing w:line="276" w:lineRule="auto"/>
        <w:rPr>
          <w:rStyle w:val="BookTitle"/>
          <w:rFonts w:cs="Arial"/>
          <w:b w:val="0"/>
          <w:i w:val="0"/>
          <w:sz w:val="22"/>
          <w:szCs w:val="22"/>
        </w:rPr>
      </w:pPr>
    </w:p>
    <w:p w:rsidR="004F32DC" w:rsidRDefault="004F32DC" w:rsidP="004F32DC">
      <w:pPr>
        <w:spacing w:before="240"/>
        <w:rPr>
          <w:rFonts w:cs="Arial"/>
          <w:b/>
          <w:sz w:val="22"/>
          <w:szCs w:val="22"/>
        </w:rPr>
      </w:pPr>
      <w:r w:rsidRPr="008265D9">
        <w:rPr>
          <w:rFonts w:cs="Arial"/>
          <w:b/>
          <w:sz w:val="22"/>
          <w:szCs w:val="22"/>
        </w:rPr>
        <w:t>Anticipated outputs or results:</w:t>
      </w:r>
    </w:p>
    <w:p w:rsidR="007333F3" w:rsidRDefault="007333F3" w:rsidP="004F32DC">
      <w:pPr>
        <w:spacing w:before="240"/>
        <w:rPr>
          <w:rFonts w:cs="Arial"/>
          <w:b/>
          <w:sz w:val="22"/>
          <w:szCs w:val="22"/>
        </w:rPr>
      </w:pPr>
    </w:p>
    <w:p w:rsidR="004F32DC" w:rsidRPr="008265D9" w:rsidRDefault="004F32DC" w:rsidP="0055142C">
      <w:pPr>
        <w:spacing w:line="360" w:lineRule="auto"/>
        <w:rPr>
          <w:rFonts w:cs="Arial"/>
          <w:sz w:val="22"/>
          <w:szCs w:val="22"/>
        </w:rPr>
      </w:pPr>
      <w:r w:rsidRPr="008265D9">
        <w:rPr>
          <w:rFonts w:cs="Arial"/>
          <w:sz w:val="22"/>
          <w:szCs w:val="22"/>
        </w:rPr>
        <w:t>Outputs could include:</w:t>
      </w:r>
    </w:p>
    <w:p w:rsidR="004F32DC" w:rsidRPr="00C50BB3" w:rsidRDefault="004F32DC" w:rsidP="0055142C">
      <w:pPr>
        <w:pStyle w:val="ListParagraph"/>
        <w:numPr>
          <w:ilvl w:val="0"/>
          <w:numId w:val="10"/>
        </w:numPr>
        <w:spacing w:before="100" w:after="200" w:line="360" w:lineRule="auto"/>
        <w:rPr>
          <w:rStyle w:val="BookTitle"/>
          <w:rFonts w:ascii="Arial" w:hAnsi="Arial" w:cs="Arial"/>
          <w:b w:val="0"/>
          <w:i w:val="0"/>
          <w:sz w:val="22"/>
          <w:szCs w:val="22"/>
        </w:rPr>
      </w:pPr>
      <w:r w:rsidRPr="00C50BB3">
        <w:rPr>
          <w:rStyle w:val="BookTitle"/>
          <w:rFonts w:ascii="Arial" w:hAnsi="Arial" w:cs="Arial"/>
          <w:b w:val="0"/>
          <w:i w:val="0"/>
          <w:sz w:val="22"/>
          <w:szCs w:val="22"/>
        </w:rPr>
        <w:t xml:space="preserve">New information about the </w:t>
      </w:r>
      <w:r w:rsidR="00C50BB3" w:rsidRPr="00C50BB3">
        <w:rPr>
          <w:rStyle w:val="BookTitle"/>
          <w:rFonts w:ascii="Arial" w:hAnsi="Arial" w:cs="Arial"/>
          <w:b w:val="0"/>
          <w:i w:val="0"/>
          <w:sz w:val="22"/>
          <w:szCs w:val="22"/>
        </w:rPr>
        <w:t>impact of data assimilation and error covariance generation on</w:t>
      </w:r>
      <w:r w:rsidR="00C965E9" w:rsidRPr="00C50BB3">
        <w:rPr>
          <w:rStyle w:val="BookTitle"/>
          <w:rFonts w:ascii="Arial" w:hAnsi="Arial" w:cs="Arial"/>
          <w:b w:val="0"/>
          <w:i w:val="0"/>
          <w:sz w:val="22"/>
          <w:szCs w:val="22"/>
        </w:rPr>
        <w:t xml:space="preserve"> weather</w:t>
      </w:r>
      <w:r w:rsidR="00C50BB3" w:rsidRPr="00C50BB3">
        <w:rPr>
          <w:rStyle w:val="BookTitle"/>
          <w:rFonts w:ascii="Arial" w:hAnsi="Arial" w:cs="Arial"/>
          <w:b w:val="0"/>
          <w:i w:val="0"/>
          <w:sz w:val="22"/>
          <w:szCs w:val="22"/>
        </w:rPr>
        <w:t xml:space="preserve"> forecasts over</w:t>
      </w:r>
      <w:r w:rsidR="00C965E9" w:rsidRPr="00C50BB3">
        <w:rPr>
          <w:rStyle w:val="BookTitle"/>
          <w:rFonts w:ascii="Arial" w:hAnsi="Arial" w:cs="Arial"/>
          <w:b w:val="0"/>
          <w:i w:val="0"/>
          <w:sz w:val="22"/>
          <w:szCs w:val="22"/>
        </w:rPr>
        <w:t xml:space="preserve"> Southeast Asia</w:t>
      </w:r>
      <w:r w:rsidRPr="00C50BB3">
        <w:rPr>
          <w:rStyle w:val="BookTitle"/>
          <w:rFonts w:ascii="Arial" w:hAnsi="Arial" w:cs="Arial"/>
          <w:b w:val="0"/>
          <w:i w:val="0"/>
          <w:sz w:val="22"/>
          <w:szCs w:val="22"/>
        </w:rPr>
        <w:t xml:space="preserve"> </w:t>
      </w:r>
    </w:p>
    <w:p w:rsidR="004F32DC" w:rsidRPr="00261259" w:rsidRDefault="00C50BB3" w:rsidP="0055142C">
      <w:pPr>
        <w:pStyle w:val="ListParagraph"/>
        <w:numPr>
          <w:ilvl w:val="0"/>
          <w:numId w:val="10"/>
        </w:numPr>
        <w:spacing w:before="100" w:after="200" w:line="360" w:lineRule="auto"/>
        <w:rPr>
          <w:rStyle w:val="BookTitle"/>
          <w:rFonts w:ascii="Arial" w:hAnsi="Arial" w:cs="Arial"/>
          <w:b w:val="0"/>
          <w:i w:val="0"/>
          <w:sz w:val="22"/>
          <w:szCs w:val="22"/>
        </w:rPr>
      </w:pPr>
      <w:r>
        <w:rPr>
          <w:rStyle w:val="BookTitle"/>
          <w:rFonts w:ascii="Arial" w:hAnsi="Arial" w:cs="Arial"/>
          <w:b w:val="0"/>
          <w:i w:val="0"/>
          <w:sz w:val="22"/>
          <w:szCs w:val="22"/>
        </w:rPr>
        <w:t xml:space="preserve">Identification of key </w:t>
      </w:r>
      <w:r w:rsidR="0029676A">
        <w:rPr>
          <w:rStyle w:val="BookTitle"/>
          <w:rFonts w:ascii="Arial" w:hAnsi="Arial" w:cs="Arial"/>
          <w:b w:val="0"/>
          <w:i w:val="0"/>
          <w:sz w:val="22"/>
          <w:szCs w:val="22"/>
        </w:rPr>
        <w:t xml:space="preserve">improvements </w:t>
      </w:r>
      <w:r>
        <w:rPr>
          <w:rStyle w:val="BookTitle"/>
          <w:rFonts w:ascii="Arial" w:hAnsi="Arial" w:cs="Arial"/>
          <w:b w:val="0"/>
          <w:i w:val="0"/>
          <w:sz w:val="22"/>
          <w:szCs w:val="22"/>
        </w:rPr>
        <w:t xml:space="preserve">in the data assimilation system that have the greatest impact </w:t>
      </w:r>
      <w:r w:rsidR="00D408A9">
        <w:rPr>
          <w:rStyle w:val="BookTitle"/>
          <w:rFonts w:ascii="Arial" w:hAnsi="Arial" w:cs="Arial"/>
          <w:b w:val="0"/>
          <w:i w:val="0"/>
          <w:sz w:val="22"/>
          <w:szCs w:val="22"/>
        </w:rPr>
        <w:t xml:space="preserve">on </w:t>
      </w:r>
      <w:r w:rsidR="00B46794">
        <w:rPr>
          <w:rStyle w:val="BookTitle"/>
          <w:rFonts w:ascii="Arial" w:hAnsi="Arial" w:cs="Arial"/>
          <w:b w:val="0"/>
          <w:i w:val="0"/>
          <w:sz w:val="22"/>
          <w:szCs w:val="22"/>
        </w:rPr>
        <w:t xml:space="preserve">convective-scale NWP </w:t>
      </w:r>
      <w:r w:rsidR="0029676A">
        <w:rPr>
          <w:rStyle w:val="BookTitle"/>
          <w:rFonts w:ascii="Arial" w:hAnsi="Arial" w:cs="Arial"/>
          <w:b w:val="0"/>
          <w:i w:val="0"/>
          <w:sz w:val="22"/>
          <w:szCs w:val="22"/>
        </w:rPr>
        <w:t>skill</w:t>
      </w:r>
      <w:r w:rsidR="00B46794">
        <w:rPr>
          <w:rStyle w:val="BookTitle"/>
          <w:rFonts w:ascii="Arial" w:hAnsi="Arial" w:cs="Arial"/>
          <w:b w:val="0"/>
          <w:i w:val="0"/>
          <w:sz w:val="22"/>
          <w:szCs w:val="22"/>
        </w:rPr>
        <w:t xml:space="preserve"> in the tropics</w:t>
      </w:r>
    </w:p>
    <w:p w:rsidR="004F32DC" w:rsidRDefault="00C50BB3" w:rsidP="0055142C">
      <w:pPr>
        <w:pStyle w:val="ListParagraph"/>
        <w:numPr>
          <w:ilvl w:val="0"/>
          <w:numId w:val="10"/>
        </w:numPr>
        <w:spacing w:before="100" w:after="200" w:line="360" w:lineRule="auto"/>
        <w:rPr>
          <w:rStyle w:val="BookTitle"/>
          <w:rFonts w:ascii="Arial" w:hAnsi="Arial" w:cs="Arial"/>
          <w:b w:val="0"/>
          <w:i w:val="0"/>
          <w:sz w:val="22"/>
          <w:szCs w:val="22"/>
        </w:rPr>
      </w:pPr>
      <w:r>
        <w:rPr>
          <w:rStyle w:val="BookTitle"/>
          <w:rFonts w:ascii="Arial" w:hAnsi="Arial" w:cs="Arial"/>
          <w:b w:val="0"/>
          <w:i w:val="0"/>
          <w:sz w:val="22"/>
          <w:szCs w:val="22"/>
        </w:rPr>
        <w:t xml:space="preserve">Development and potentially implementation of new </w:t>
      </w:r>
      <w:proofErr w:type="gramStart"/>
      <w:r>
        <w:rPr>
          <w:rStyle w:val="BookTitle"/>
          <w:rFonts w:ascii="Arial" w:hAnsi="Arial" w:cs="Arial"/>
          <w:b w:val="0"/>
          <w:i w:val="0"/>
          <w:sz w:val="22"/>
          <w:szCs w:val="22"/>
        </w:rPr>
        <w:t>background error generation software</w:t>
      </w:r>
      <w:proofErr w:type="gramEnd"/>
      <w:r>
        <w:rPr>
          <w:rStyle w:val="BookTitle"/>
          <w:rFonts w:ascii="Arial" w:hAnsi="Arial" w:cs="Arial"/>
          <w:b w:val="0"/>
          <w:i w:val="0"/>
          <w:sz w:val="22"/>
          <w:szCs w:val="22"/>
        </w:rPr>
        <w:t xml:space="preserve"> for application to operational forecasting.</w:t>
      </w:r>
      <w:r w:rsidR="004F32DC">
        <w:rPr>
          <w:rStyle w:val="BookTitle"/>
          <w:rFonts w:ascii="Arial" w:hAnsi="Arial" w:cs="Arial"/>
          <w:b w:val="0"/>
          <w:i w:val="0"/>
          <w:sz w:val="22"/>
          <w:szCs w:val="22"/>
        </w:rPr>
        <w:t xml:space="preserve"> </w:t>
      </w:r>
    </w:p>
    <w:p w:rsidR="007333F3" w:rsidRDefault="007333F3" w:rsidP="007333F3">
      <w:pPr>
        <w:pStyle w:val="ListParagraph"/>
        <w:spacing w:before="100" w:after="200" w:line="360" w:lineRule="auto"/>
        <w:rPr>
          <w:rStyle w:val="BookTitle"/>
          <w:rFonts w:ascii="Arial" w:hAnsi="Arial" w:cs="Arial"/>
          <w:b w:val="0"/>
          <w:i w:val="0"/>
          <w:sz w:val="22"/>
          <w:szCs w:val="22"/>
        </w:rPr>
      </w:pPr>
    </w:p>
    <w:p w:rsidR="00406310" w:rsidRDefault="00566834" w:rsidP="0055142C">
      <w:pPr>
        <w:spacing w:before="100" w:beforeAutospacing="1" w:after="100" w:afterAutospacing="1" w:line="360" w:lineRule="auto"/>
        <w:rPr>
          <w:rFonts w:cs="Arial"/>
          <w:b/>
          <w:sz w:val="22"/>
          <w:szCs w:val="22"/>
        </w:rPr>
      </w:pPr>
      <w:r w:rsidRPr="006F33CB">
        <w:rPr>
          <w:rFonts w:cs="Arial"/>
          <w:b/>
          <w:sz w:val="22"/>
          <w:szCs w:val="22"/>
        </w:rPr>
        <w:t>Background on the Newton Fund</w:t>
      </w:r>
      <w:r w:rsidRPr="00AB6FEF">
        <w:rPr>
          <w:rFonts w:cs="Arial"/>
          <w:b/>
          <w:sz w:val="22"/>
          <w:szCs w:val="22"/>
        </w:rPr>
        <w:t xml:space="preserve"> </w:t>
      </w:r>
    </w:p>
    <w:p w:rsidR="00B6757E" w:rsidRPr="005B07B2" w:rsidRDefault="00B6757E" w:rsidP="0055142C">
      <w:pPr>
        <w:spacing w:line="360" w:lineRule="auto"/>
        <w:rPr>
          <w:rFonts w:cs="Arial"/>
          <w:sz w:val="22"/>
          <w:szCs w:val="22"/>
        </w:rPr>
      </w:pPr>
      <w:r w:rsidRPr="005B07B2">
        <w:rPr>
          <w:rFonts w:cs="Arial"/>
          <w:sz w:val="22"/>
          <w:szCs w:val="22"/>
        </w:rPr>
        <w:t xml:space="preserve">The Newton Fund builds scientific and innovation partnerships with 16 partner countries to support their economic development and social welfare, and to develop their research and innovation capacity for long-term sustainable growth. It has a total UK Government investment of £735 million up until 2021, with matched resources from the partner countries. </w:t>
      </w:r>
    </w:p>
    <w:p w:rsidR="00B6757E" w:rsidRPr="005B07B2" w:rsidRDefault="00B6757E" w:rsidP="0055142C">
      <w:pPr>
        <w:spacing w:line="360" w:lineRule="auto"/>
        <w:rPr>
          <w:rFonts w:cs="Arial"/>
          <w:sz w:val="22"/>
          <w:szCs w:val="22"/>
        </w:rPr>
      </w:pPr>
      <w:r w:rsidRPr="005B07B2">
        <w:rPr>
          <w:rFonts w:cs="Arial"/>
          <w:sz w:val="22"/>
          <w:szCs w:val="22"/>
        </w:rPr>
        <w:t xml:space="preserve">The Newton Fund is managed by the UK Department for Business, Energy and Industrial Strategy (BEIS), and delivered through 15 UK Delivery Partners, which include the Research Councils, the UK Academies, the British Council, Innovate UK and the Met Office. </w:t>
      </w:r>
      <w:r w:rsidRPr="00AB6FEF">
        <w:rPr>
          <w:rFonts w:cs="Arial"/>
          <w:sz w:val="22"/>
          <w:szCs w:val="22"/>
        </w:rPr>
        <w:t xml:space="preserve">The Newton Fund is part of the UK’s official development assistance (ODA) and therefore requires that the UK funding is awarded in a manner that fits with </w:t>
      </w:r>
      <w:hyperlink r:id="rId9" w:history="1">
        <w:r>
          <w:rPr>
            <w:rStyle w:val="Hyperlink"/>
            <w:rFonts w:cs="Arial"/>
            <w:sz w:val="22"/>
            <w:szCs w:val="22"/>
          </w:rPr>
          <w:t>ODA guidelines</w:t>
        </w:r>
      </w:hyperlink>
      <w:r w:rsidRPr="00AB6FEF">
        <w:rPr>
          <w:rFonts w:cs="Arial"/>
          <w:sz w:val="22"/>
          <w:szCs w:val="22"/>
        </w:rPr>
        <w:t>.</w:t>
      </w:r>
    </w:p>
    <w:p w:rsidR="00B6757E" w:rsidRDefault="00B6757E" w:rsidP="0055142C">
      <w:pPr>
        <w:spacing w:line="360" w:lineRule="auto"/>
        <w:rPr>
          <w:rFonts w:cs="Arial"/>
          <w:color w:val="0000FF"/>
          <w:sz w:val="22"/>
          <w:u w:val="single"/>
        </w:rPr>
      </w:pPr>
      <w:r w:rsidRPr="005B07B2">
        <w:rPr>
          <w:rFonts w:cs="Arial"/>
          <w:sz w:val="22"/>
          <w:szCs w:val="22"/>
        </w:rPr>
        <w:t>For further information visit the Newton Fund website (</w:t>
      </w:r>
      <w:hyperlink r:id="rId10" w:history="1">
        <w:r w:rsidRPr="00911AD8">
          <w:rPr>
            <w:rStyle w:val="Hyperlink"/>
            <w:rFonts w:cs="Arial"/>
            <w:sz w:val="22"/>
          </w:rPr>
          <w:t>www.newtonfund.ac.uk</w:t>
        </w:r>
      </w:hyperlink>
      <w:r w:rsidRPr="005B07B2">
        <w:rPr>
          <w:rFonts w:cs="Arial"/>
          <w:sz w:val="22"/>
          <w:szCs w:val="22"/>
        </w:rPr>
        <w:t>) and follow via Twitter</w:t>
      </w:r>
      <w:r w:rsidRPr="00AF0708">
        <w:rPr>
          <w:rFonts w:cs="Arial"/>
          <w:sz w:val="22"/>
        </w:rPr>
        <w:t xml:space="preserve">: </w:t>
      </w:r>
      <w:hyperlink r:id="rId11" w:history="1">
        <w:r>
          <w:rPr>
            <w:rFonts w:cs="Arial"/>
            <w:color w:val="0000FF"/>
            <w:sz w:val="22"/>
            <w:u w:val="single"/>
          </w:rPr>
          <w:t>@</w:t>
        </w:r>
        <w:proofErr w:type="spellStart"/>
        <w:r>
          <w:rPr>
            <w:rFonts w:cs="Arial"/>
            <w:color w:val="0000FF"/>
            <w:sz w:val="22"/>
            <w:u w:val="single"/>
          </w:rPr>
          <w:t>Newton</w:t>
        </w:r>
        <w:r w:rsidRPr="00AF0708">
          <w:rPr>
            <w:rFonts w:cs="Arial"/>
            <w:color w:val="0000FF"/>
            <w:sz w:val="22"/>
            <w:u w:val="single"/>
          </w:rPr>
          <w:t>Fund</w:t>
        </w:r>
        <w:proofErr w:type="spellEnd"/>
      </w:hyperlink>
      <w:r w:rsidRPr="00AF0708">
        <w:rPr>
          <w:rFonts w:cs="Arial"/>
          <w:color w:val="0000FF"/>
          <w:sz w:val="22"/>
          <w:u w:val="single"/>
        </w:rPr>
        <w:t>.</w:t>
      </w:r>
    </w:p>
    <w:p w:rsidR="0024373A" w:rsidRDefault="0024373A" w:rsidP="00B6757E">
      <w:pPr>
        <w:spacing w:line="360" w:lineRule="auto"/>
        <w:rPr>
          <w:rFonts w:cs="Arial"/>
          <w:b/>
          <w:sz w:val="22"/>
          <w:szCs w:val="22"/>
        </w:rPr>
      </w:pPr>
    </w:p>
    <w:p w:rsidR="007333F3" w:rsidRDefault="007333F3" w:rsidP="00B6757E">
      <w:pPr>
        <w:spacing w:line="360" w:lineRule="auto"/>
        <w:rPr>
          <w:rFonts w:cs="Arial"/>
          <w:b/>
          <w:sz w:val="22"/>
          <w:szCs w:val="22"/>
        </w:rPr>
      </w:pPr>
    </w:p>
    <w:p w:rsidR="007333F3" w:rsidRDefault="007333F3" w:rsidP="00B6757E">
      <w:pPr>
        <w:spacing w:line="360" w:lineRule="auto"/>
        <w:rPr>
          <w:rFonts w:cs="Arial"/>
          <w:b/>
          <w:sz w:val="22"/>
          <w:szCs w:val="22"/>
        </w:rPr>
      </w:pPr>
    </w:p>
    <w:p w:rsidR="00B6757E" w:rsidRDefault="00B6757E" w:rsidP="00B6757E">
      <w:pPr>
        <w:spacing w:line="360" w:lineRule="auto"/>
        <w:rPr>
          <w:rFonts w:cs="Arial"/>
          <w:b/>
          <w:sz w:val="22"/>
          <w:szCs w:val="22"/>
        </w:rPr>
      </w:pPr>
      <w:r>
        <w:rPr>
          <w:rFonts w:cs="Arial"/>
          <w:b/>
          <w:sz w:val="22"/>
          <w:szCs w:val="22"/>
        </w:rPr>
        <w:lastRenderedPageBreak/>
        <w:t xml:space="preserve">Background on the </w:t>
      </w:r>
      <w:r w:rsidRPr="00AB6FEF">
        <w:rPr>
          <w:rFonts w:cs="Arial"/>
          <w:b/>
          <w:sz w:val="22"/>
          <w:szCs w:val="22"/>
        </w:rPr>
        <w:t>WCSSP Programme</w:t>
      </w:r>
    </w:p>
    <w:p w:rsidR="00B6757E" w:rsidRDefault="00B6757E" w:rsidP="0055142C">
      <w:pPr>
        <w:spacing w:before="100" w:beforeAutospacing="1" w:after="100" w:afterAutospacing="1" w:line="360" w:lineRule="auto"/>
        <w:rPr>
          <w:rFonts w:cs="Arial"/>
          <w:sz w:val="22"/>
          <w:szCs w:val="22"/>
        </w:rPr>
      </w:pPr>
      <w:r w:rsidRPr="00AB6FEF">
        <w:rPr>
          <w:rFonts w:cs="Arial"/>
          <w:sz w:val="22"/>
          <w:szCs w:val="22"/>
        </w:rPr>
        <w:t>The Met Office is administering the Newton Fund through the Weather and Climate Science for Service Partnership Programme</w:t>
      </w:r>
      <w:r>
        <w:rPr>
          <w:rFonts w:cs="Arial"/>
          <w:sz w:val="22"/>
          <w:szCs w:val="22"/>
        </w:rPr>
        <w:t xml:space="preserve"> (</w:t>
      </w:r>
      <w:hyperlink r:id="rId12" w:history="1">
        <w:r w:rsidRPr="00DE7896">
          <w:rPr>
            <w:rStyle w:val="Hyperlink"/>
            <w:rFonts w:cs="Arial"/>
            <w:sz w:val="22"/>
            <w:szCs w:val="22"/>
          </w:rPr>
          <w:t>WCSSP Programme</w:t>
        </w:r>
      </w:hyperlink>
      <w:r>
        <w:rPr>
          <w:rFonts w:cs="Arial"/>
          <w:sz w:val="22"/>
          <w:szCs w:val="22"/>
        </w:rPr>
        <w:t>), c</w:t>
      </w:r>
      <w:r w:rsidRPr="00AB6FEF">
        <w:rPr>
          <w:rFonts w:cs="Arial"/>
          <w:sz w:val="22"/>
          <w:szCs w:val="22"/>
        </w:rPr>
        <w:t>omprising projects to develop partnerships harnessing UK scientific expertise to build the basis for strengthening the resilience of vulnerable communities to weather and climate variability</w:t>
      </w:r>
      <w:r>
        <w:rPr>
          <w:rFonts w:cs="Arial"/>
          <w:sz w:val="22"/>
          <w:szCs w:val="22"/>
        </w:rPr>
        <w:t xml:space="preserve">. </w:t>
      </w:r>
      <w:r w:rsidR="00390CA5">
        <w:rPr>
          <w:rFonts w:cs="Arial"/>
          <w:sz w:val="22"/>
          <w:szCs w:val="22"/>
        </w:rPr>
        <w:t>W</w:t>
      </w:r>
      <w:r>
        <w:rPr>
          <w:rFonts w:cs="Arial"/>
          <w:sz w:val="22"/>
          <w:szCs w:val="22"/>
        </w:rPr>
        <w:t>CSSP</w:t>
      </w:r>
      <w:r w:rsidR="00390CA5">
        <w:rPr>
          <w:rFonts w:cs="Arial"/>
          <w:sz w:val="22"/>
          <w:szCs w:val="22"/>
        </w:rPr>
        <w:t xml:space="preserve"> S</w:t>
      </w:r>
      <w:r w:rsidR="0024373A">
        <w:rPr>
          <w:rFonts w:cs="Arial"/>
          <w:sz w:val="22"/>
          <w:szCs w:val="22"/>
        </w:rPr>
        <w:t>outheast</w:t>
      </w:r>
      <w:r w:rsidR="00390CA5">
        <w:rPr>
          <w:rFonts w:cs="Arial"/>
          <w:sz w:val="22"/>
          <w:szCs w:val="22"/>
        </w:rPr>
        <w:t xml:space="preserve"> Asia</w:t>
      </w:r>
      <w:r w:rsidR="00CD67CA">
        <w:rPr>
          <w:rFonts w:cs="Arial"/>
          <w:sz w:val="22"/>
          <w:szCs w:val="22"/>
        </w:rPr>
        <w:t xml:space="preserve"> </w:t>
      </w:r>
      <w:r>
        <w:rPr>
          <w:rFonts w:cs="Arial"/>
          <w:sz w:val="22"/>
          <w:szCs w:val="22"/>
        </w:rPr>
        <w:t>is a project in the WCSSP Programme.</w:t>
      </w:r>
    </w:p>
    <w:p w:rsidR="00B6757E" w:rsidRDefault="00DB522B" w:rsidP="0055142C">
      <w:pPr>
        <w:spacing w:before="100" w:beforeAutospacing="1" w:after="100" w:afterAutospacing="1" w:line="360" w:lineRule="auto"/>
        <w:rPr>
          <w:rFonts w:cs="Arial"/>
          <w:b/>
          <w:sz w:val="22"/>
          <w:szCs w:val="22"/>
        </w:rPr>
      </w:pPr>
      <w:r>
        <w:rPr>
          <w:rFonts w:cs="Arial"/>
          <w:b/>
          <w:noProof/>
          <w:sz w:val="22"/>
          <w:szCs w:val="22"/>
          <w:lang w:eastAsia="en-GB"/>
        </w:rPr>
        <w:drawing>
          <wp:inline distT="0" distB="0" distL="0" distR="0">
            <wp:extent cx="4551045" cy="1148080"/>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551045" cy="1148080"/>
                    </a:xfrm>
                    <a:prstGeom prst="rect">
                      <a:avLst/>
                    </a:prstGeom>
                    <a:noFill/>
                    <a:ln w="9525">
                      <a:noFill/>
                      <a:miter lim="800000"/>
                      <a:headEnd/>
                      <a:tailEnd/>
                    </a:ln>
                  </pic:spPr>
                </pic:pic>
              </a:graphicData>
            </a:graphic>
          </wp:inline>
        </w:drawing>
      </w:r>
    </w:p>
    <w:p w:rsidR="002866CE" w:rsidRDefault="002866CE" w:rsidP="00C71A27">
      <w:pPr>
        <w:shd w:val="clear" w:color="auto" w:fill="FFFFFF"/>
        <w:rPr>
          <w:rFonts w:cs="Arial"/>
          <w:b/>
          <w:sz w:val="22"/>
          <w:szCs w:val="22"/>
        </w:rPr>
      </w:pPr>
    </w:p>
    <w:p w:rsidR="00C71A27" w:rsidRPr="00AB6FEF" w:rsidRDefault="00C71A27" w:rsidP="00C71A27">
      <w:pPr>
        <w:shd w:val="clear" w:color="auto" w:fill="FFFFFF"/>
        <w:rPr>
          <w:rFonts w:cs="Arial"/>
          <w:b/>
          <w:sz w:val="22"/>
          <w:szCs w:val="22"/>
        </w:rPr>
      </w:pPr>
      <w:r w:rsidRPr="00AB6FEF">
        <w:rPr>
          <w:rFonts w:cs="Arial"/>
          <w:b/>
          <w:sz w:val="22"/>
          <w:szCs w:val="22"/>
        </w:rPr>
        <w:t>How to Apply:</w:t>
      </w:r>
    </w:p>
    <w:p w:rsidR="008E4399" w:rsidRPr="00AB6FEF" w:rsidRDefault="008E4399" w:rsidP="00C71A27">
      <w:pPr>
        <w:shd w:val="clear" w:color="auto" w:fill="FFFFFF"/>
        <w:rPr>
          <w:rFonts w:cs="Arial"/>
          <w:sz w:val="22"/>
          <w:szCs w:val="22"/>
        </w:rPr>
      </w:pPr>
    </w:p>
    <w:p w:rsidR="00C71A27" w:rsidRPr="006813C6" w:rsidRDefault="00C71A27" w:rsidP="0055142C">
      <w:pPr>
        <w:pStyle w:val="Default"/>
        <w:spacing w:line="360" w:lineRule="auto"/>
        <w:rPr>
          <w:b/>
          <w:bCs/>
          <w:color w:val="FF0000"/>
          <w:sz w:val="22"/>
          <w:szCs w:val="22"/>
        </w:rPr>
      </w:pPr>
      <w:r w:rsidRPr="000200EF">
        <w:rPr>
          <w:sz w:val="22"/>
          <w:szCs w:val="22"/>
        </w:rPr>
        <w:t xml:space="preserve">The above Expression of Interest is advertised on the Met Office </w:t>
      </w:r>
      <w:proofErr w:type="spellStart"/>
      <w:r w:rsidRPr="000200EF">
        <w:rPr>
          <w:sz w:val="22"/>
          <w:szCs w:val="22"/>
        </w:rPr>
        <w:t>ProContract</w:t>
      </w:r>
      <w:proofErr w:type="spellEnd"/>
      <w:r w:rsidRPr="000200EF">
        <w:rPr>
          <w:sz w:val="22"/>
          <w:szCs w:val="22"/>
        </w:rPr>
        <w:t xml:space="preserve"> e-Tendering portal called </w:t>
      </w:r>
      <w:proofErr w:type="spellStart"/>
      <w:r w:rsidRPr="000200EF">
        <w:rPr>
          <w:sz w:val="22"/>
          <w:szCs w:val="22"/>
        </w:rPr>
        <w:t>ProContract</w:t>
      </w:r>
      <w:proofErr w:type="spellEnd"/>
      <w:r w:rsidRPr="000200EF">
        <w:rPr>
          <w:sz w:val="22"/>
          <w:szCs w:val="22"/>
        </w:rPr>
        <w:t xml:space="preserve">. To access and register your interest you will need to log onto the </w:t>
      </w:r>
      <w:proofErr w:type="spellStart"/>
      <w:proofErr w:type="gramStart"/>
      <w:r w:rsidRPr="000200EF">
        <w:rPr>
          <w:sz w:val="22"/>
          <w:szCs w:val="22"/>
        </w:rPr>
        <w:t>ProContract</w:t>
      </w:r>
      <w:proofErr w:type="spellEnd"/>
      <w:proofErr w:type="gramEnd"/>
      <w:r w:rsidRPr="000200EF">
        <w:rPr>
          <w:sz w:val="22"/>
          <w:szCs w:val="22"/>
        </w:rPr>
        <w:t xml:space="preserve"> portal via this link: </w:t>
      </w:r>
      <w:hyperlink r:id="rId14" w:tgtFrame="_blank" w:history="1">
        <w:r w:rsidR="000B49FE" w:rsidRPr="000200EF">
          <w:rPr>
            <w:rStyle w:val="Hyperlink"/>
            <w:b/>
            <w:color w:val="0066FF"/>
            <w:sz w:val="22"/>
            <w:szCs w:val="22"/>
            <w:shd w:val="clear" w:color="auto" w:fill="FFFFFF"/>
          </w:rPr>
          <w:t>tenders.metoffice.gov.uk</w:t>
        </w:r>
      </w:hyperlink>
      <w:r w:rsidR="000B49FE" w:rsidRPr="000200EF">
        <w:rPr>
          <w:b/>
          <w:color w:val="0066FF"/>
          <w:sz w:val="22"/>
          <w:szCs w:val="22"/>
        </w:rPr>
        <w:t xml:space="preserve"> </w:t>
      </w:r>
      <w:r w:rsidR="000B49FE" w:rsidRPr="000200EF">
        <w:rPr>
          <w:sz w:val="22"/>
          <w:szCs w:val="22"/>
        </w:rPr>
        <w:t>Y</w:t>
      </w:r>
      <w:r w:rsidR="0067154B" w:rsidRPr="000200EF">
        <w:rPr>
          <w:sz w:val="22"/>
          <w:szCs w:val="22"/>
        </w:rPr>
        <w:t>ou may need to</w:t>
      </w:r>
      <w:r w:rsidRPr="000200EF">
        <w:rPr>
          <w:sz w:val="22"/>
          <w:szCs w:val="22"/>
        </w:rPr>
        <w:t xml:space="preserve"> search for the </w:t>
      </w:r>
      <w:r w:rsidR="003052D4">
        <w:rPr>
          <w:sz w:val="22"/>
          <w:szCs w:val="22"/>
        </w:rPr>
        <w:t>Call</w:t>
      </w:r>
      <w:r w:rsidRPr="000200EF">
        <w:rPr>
          <w:sz w:val="22"/>
          <w:szCs w:val="22"/>
        </w:rPr>
        <w:t xml:space="preserve"> </w:t>
      </w:r>
      <w:r w:rsidRPr="00313328">
        <w:rPr>
          <w:sz w:val="22"/>
          <w:szCs w:val="22"/>
        </w:rPr>
        <w:t>reference</w:t>
      </w:r>
      <w:r w:rsidR="0067154B" w:rsidRPr="00313328">
        <w:rPr>
          <w:sz w:val="22"/>
          <w:szCs w:val="22"/>
        </w:rPr>
        <w:t xml:space="preserve"> </w:t>
      </w:r>
      <w:r w:rsidR="00AC54BE">
        <w:rPr>
          <w:sz w:val="22"/>
          <w:szCs w:val="22"/>
        </w:rPr>
        <w:t>DN298006</w:t>
      </w:r>
      <w:r w:rsidR="00313328">
        <w:rPr>
          <w:sz w:val="28"/>
          <w:szCs w:val="28"/>
        </w:rPr>
        <w:t>.</w:t>
      </w:r>
    </w:p>
    <w:p w:rsidR="006F0DDB" w:rsidRDefault="006F0DDB" w:rsidP="0055142C">
      <w:pPr>
        <w:pStyle w:val="Default"/>
        <w:spacing w:line="360" w:lineRule="auto"/>
        <w:rPr>
          <w:b/>
          <w:bCs/>
          <w:sz w:val="22"/>
          <w:szCs w:val="22"/>
        </w:rPr>
      </w:pPr>
    </w:p>
    <w:p w:rsidR="006F0DDB" w:rsidRPr="000200EF" w:rsidRDefault="006F0DDB" w:rsidP="0055142C">
      <w:pPr>
        <w:pStyle w:val="Default"/>
        <w:spacing w:line="360" w:lineRule="auto"/>
        <w:rPr>
          <w:b/>
          <w:bCs/>
          <w:sz w:val="22"/>
          <w:szCs w:val="22"/>
        </w:rPr>
      </w:pPr>
      <w:r w:rsidRPr="000200EF">
        <w:rPr>
          <w:b/>
          <w:bCs/>
          <w:sz w:val="22"/>
          <w:szCs w:val="22"/>
        </w:rPr>
        <w:t>You will need to register your company (if you have not already done so) and register your interest against the opportunity before you are able to access the tender documents.</w:t>
      </w:r>
    </w:p>
    <w:p w:rsidR="00C71A27" w:rsidRPr="000200EF" w:rsidRDefault="00C71A27" w:rsidP="0055142C">
      <w:pPr>
        <w:pStyle w:val="Default"/>
        <w:spacing w:line="360" w:lineRule="auto"/>
        <w:rPr>
          <w:sz w:val="22"/>
          <w:szCs w:val="22"/>
        </w:rPr>
      </w:pPr>
    </w:p>
    <w:p w:rsidR="006F0DDB" w:rsidRDefault="00C71A27" w:rsidP="0055142C">
      <w:pPr>
        <w:pStyle w:val="Default"/>
        <w:spacing w:line="360" w:lineRule="auto"/>
        <w:rPr>
          <w:b/>
          <w:sz w:val="22"/>
          <w:szCs w:val="22"/>
        </w:rPr>
      </w:pPr>
      <w:r w:rsidRPr="000200EF">
        <w:rPr>
          <w:sz w:val="22"/>
          <w:szCs w:val="22"/>
        </w:rPr>
        <w:t xml:space="preserve">If you require guidance or ‘how to’ instructions – see the supplier manuals on the right hand side of the supplier home page. </w:t>
      </w:r>
    </w:p>
    <w:p w:rsidR="00363372" w:rsidRPr="006F0DDB" w:rsidRDefault="00363372" w:rsidP="00C71A27">
      <w:pPr>
        <w:pStyle w:val="Default"/>
        <w:rPr>
          <w:b/>
          <w:sz w:val="22"/>
          <w:szCs w:val="22"/>
        </w:rPr>
      </w:pPr>
    </w:p>
    <w:p w:rsidR="006F0DDB" w:rsidRDefault="006F0DDB" w:rsidP="00C71A27">
      <w:pPr>
        <w:pStyle w:val="Default"/>
        <w:rPr>
          <w:b/>
          <w:sz w:val="22"/>
          <w:szCs w:val="22"/>
        </w:rPr>
      </w:pPr>
    </w:p>
    <w:p w:rsidR="006F0DDB" w:rsidRDefault="006F0DDB" w:rsidP="00C71A27">
      <w:pPr>
        <w:pStyle w:val="Default"/>
        <w:rPr>
          <w:b/>
          <w:sz w:val="22"/>
          <w:szCs w:val="22"/>
        </w:rPr>
      </w:pPr>
      <w:r w:rsidRPr="006F0DDB">
        <w:rPr>
          <w:b/>
          <w:sz w:val="22"/>
          <w:szCs w:val="22"/>
        </w:rPr>
        <w:t>Online Discussions between Bidders and the Met Office</w:t>
      </w:r>
      <w:r w:rsidR="00363372">
        <w:rPr>
          <w:b/>
          <w:sz w:val="22"/>
          <w:szCs w:val="22"/>
        </w:rPr>
        <w:t>:</w:t>
      </w:r>
    </w:p>
    <w:p w:rsidR="00363372" w:rsidRPr="006F0DDB" w:rsidRDefault="00363372" w:rsidP="00C71A27">
      <w:pPr>
        <w:pStyle w:val="Default"/>
        <w:rPr>
          <w:b/>
          <w:sz w:val="22"/>
          <w:szCs w:val="22"/>
        </w:rPr>
      </w:pPr>
    </w:p>
    <w:p w:rsidR="00E540D6" w:rsidRDefault="006F0DDB" w:rsidP="0055142C">
      <w:pPr>
        <w:pStyle w:val="Default"/>
        <w:spacing w:line="360" w:lineRule="auto"/>
      </w:pPr>
      <w:r>
        <w:rPr>
          <w:sz w:val="22"/>
          <w:szCs w:val="22"/>
        </w:rPr>
        <w:t xml:space="preserve">There is a Discussions function on </w:t>
      </w:r>
      <w:proofErr w:type="spellStart"/>
      <w:r>
        <w:rPr>
          <w:sz w:val="22"/>
          <w:szCs w:val="22"/>
        </w:rPr>
        <w:t>ProContract</w:t>
      </w:r>
      <w:proofErr w:type="spellEnd"/>
      <w:r w:rsidR="00363372">
        <w:rPr>
          <w:sz w:val="22"/>
          <w:szCs w:val="22"/>
        </w:rPr>
        <w:t xml:space="preserve"> which shall be used to</w:t>
      </w:r>
      <w:r>
        <w:rPr>
          <w:sz w:val="22"/>
          <w:szCs w:val="22"/>
        </w:rPr>
        <w:t xml:space="preserve"> provide</w:t>
      </w:r>
      <w:r w:rsidR="00363372">
        <w:rPr>
          <w:sz w:val="22"/>
          <w:szCs w:val="22"/>
        </w:rPr>
        <w:t xml:space="preserve"> all</w:t>
      </w:r>
      <w:r>
        <w:rPr>
          <w:sz w:val="22"/>
          <w:szCs w:val="22"/>
        </w:rPr>
        <w:t xml:space="preserve"> further </w:t>
      </w:r>
      <w:r w:rsidR="00363372" w:rsidRPr="000200EF">
        <w:rPr>
          <w:sz w:val="22"/>
          <w:szCs w:val="22"/>
        </w:rPr>
        <w:t>information regarding this opportunity includi</w:t>
      </w:r>
      <w:r w:rsidR="00363372">
        <w:rPr>
          <w:sz w:val="22"/>
          <w:szCs w:val="22"/>
        </w:rPr>
        <w:t>ng any changes to time scales,</w:t>
      </w:r>
      <w:r w:rsidR="00363372" w:rsidRPr="000200EF">
        <w:rPr>
          <w:sz w:val="22"/>
          <w:szCs w:val="22"/>
        </w:rPr>
        <w:t xml:space="preserve"> scope</w:t>
      </w:r>
      <w:r w:rsidR="00363372">
        <w:rPr>
          <w:sz w:val="22"/>
          <w:szCs w:val="22"/>
        </w:rPr>
        <w:t xml:space="preserve"> or </w:t>
      </w:r>
      <w:r>
        <w:rPr>
          <w:sz w:val="22"/>
          <w:szCs w:val="22"/>
        </w:rPr>
        <w:t xml:space="preserve">clarifications. </w:t>
      </w:r>
      <w:r w:rsidRPr="006F0DDB">
        <w:rPr>
          <w:b/>
          <w:sz w:val="22"/>
          <w:szCs w:val="22"/>
        </w:rPr>
        <w:t>This function must be used by bidders to submit all c</w:t>
      </w:r>
      <w:r w:rsidR="00C71A27" w:rsidRPr="006F0DDB">
        <w:rPr>
          <w:b/>
          <w:sz w:val="22"/>
          <w:szCs w:val="22"/>
        </w:rPr>
        <w:t>larification</w:t>
      </w:r>
      <w:r w:rsidRPr="006F0DDB">
        <w:rPr>
          <w:b/>
          <w:sz w:val="22"/>
          <w:szCs w:val="22"/>
        </w:rPr>
        <w:t xml:space="preserve"> questions.</w:t>
      </w:r>
    </w:p>
    <w:sectPr w:rsidR="00E540D6" w:rsidSect="00E540D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B3" w:rsidRDefault="00C50BB3" w:rsidP="00566834">
      <w:r>
        <w:separator/>
      </w:r>
    </w:p>
  </w:endnote>
  <w:endnote w:type="continuationSeparator" w:id="0">
    <w:p w:rsidR="00C50BB3" w:rsidRDefault="00C50BB3" w:rsidP="0056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B3" w:rsidRDefault="00C50BB3" w:rsidP="00566834">
      <w:r>
        <w:separator/>
      </w:r>
    </w:p>
  </w:footnote>
  <w:footnote w:type="continuationSeparator" w:id="0">
    <w:p w:rsidR="00C50BB3" w:rsidRDefault="00C50BB3" w:rsidP="0056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B3" w:rsidRDefault="00C50BB3" w:rsidP="000200EF">
    <w:pPr>
      <w:pStyle w:val="Header"/>
      <w:tabs>
        <w:tab w:val="clear" w:pos="4513"/>
      </w:tabs>
    </w:pPr>
    <w:r>
      <w:rPr>
        <w:noProof/>
        <w:lang w:eastAsia="en-GB"/>
      </w:rPr>
      <w:drawing>
        <wp:anchor distT="0" distB="0" distL="114300" distR="114300" simplePos="0" relativeHeight="251657728" behindDoc="0" locked="0" layoutInCell="1" allowOverlap="1">
          <wp:simplePos x="0" y="0"/>
          <wp:positionH relativeFrom="column">
            <wp:posOffset>-129540</wp:posOffset>
          </wp:positionH>
          <wp:positionV relativeFrom="paragraph">
            <wp:posOffset>-103505</wp:posOffset>
          </wp:positionV>
          <wp:extent cx="1167765" cy="1065530"/>
          <wp:effectExtent l="19050" t="0" r="0" b="0"/>
          <wp:wrapNone/>
          <wp:docPr id="1" name="Picture 1" descr="MO_Maste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_Master_B"/>
                  <pic:cNvPicPr>
                    <a:picLocks noChangeAspect="1" noChangeArrowheads="1"/>
                  </pic:cNvPicPr>
                </pic:nvPicPr>
                <pic:blipFill>
                  <a:blip r:embed="rId1"/>
                  <a:srcRect/>
                  <a:stretch>
                    <a:fillRect/>
                  </a:stretch>
                </pic:blipFill>
                <pic:spPr bwMode="auto">
                  <a:xfrm>
                    <a:off x="0" y="0"/>
                    <a:ext cx="1167765" cy="1065530"/>
                  </a:xfrm>
                  <a:prstGeom prst="rect">
                    <a:avLst/>
                  </a:prstGeom>
                  <a:noFill/>
                  <a:ln w="9525">
                    <a:noFill/>
                    <a:miter lim="800000"/>
                    <a:headEnd/>
                    <a:tailEnd/>
                  </a:ln>
                </pic:spPr>
              </pic:pic>
            </a:graphicData>
          </a:graphic>
        </wp:anchor>
      </w:drawing>
    </w:r>
    <w:r w:rsidRPr="00566834">
      <w:rPr>
        <w:noProof/>
        <w:lang w:eastAsia="en-GB"/>
      </w:rPr>
      <w:tab/>
    </w:r>
    <w:r>
      <w:rPr>
        <w:noProof/>
        <w:lang w:eastAsia="en-GB"/>
      </w:rPr>
      <w:drawing>
        <wp:inline distT="0" distB="0" distL="0" distR="0">
          <wp:extent cx="2030730" cy="775970"/>
          <wp:effectExtent l="19050" t="0" r="7620" b="0"/>
          <wp:docPr id="2" name="Picture 4" descr="Newton-Fund-Mast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ton-Fund-Master-rgb.jpg"/>
                  <pic:cNvPicPr>
                    <a:picLocks noChangeAspect="1" noChangeArrowheads="1"/>
                  </pic:cNvPicPr>
                </pic:nvPicPr>
                <pic:blipFill>
                  <a:blip r:embed="rId2"/>
                  <a:srcRect/>
                  <a:stretch>
                    <a:fillRect/>
                  </a:stretch>
                </pic:blipFill>
                <pic:spPr bwMode="auto">
                  <a:xfrm>
                    <a:off x="0" y="0"/>
                    <a:ext cx="2030730" cy="775970"/>
                  </a:xfrm>
                  <a:prstGeom prst="rect">
                    <a:avLst/>
                  </a:prstGeom>
                  <a:noFill/>
                  <a:ln w="9525">
                    <a:noFill/>
                    <a:miter lim="800000"/>
                    <a:headEnd/>
                    <a:tailEnd/>
                  </a:ln>
                </pic:spPr>
              </pic:pic>
            </a:graphicData>
          </a:graphic>
        </wp:inline>
      </w:drawing>
    </w:r>
  </w:p>
  <w:p w:rsidR="00C50BB3" w:rsidRDefault="00C50BB3">
    <w:pPr>
      <w:pStyle w:val="Header"/>
    </w:pPr>
  </w:p>
  <w:p w:rsidR="00C50BB3" w:rsidRDefault="00C5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4FE"/>
    <w:multiLevelType w:val="hybridMultilevel"/>
    <w:tmpl w:val="713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B372E"/>
    <w:multiLevelType w:val="hybridMultilevel"/>
    <w:tmpl w:val="318658BE"/>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46E41"/>
    <w:multiLevelType w:val="hybridMultilevel"/>
    <w:tmpl w:val="8FE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C2A8F"/>
    <w:multiLevelType w:val="hybridMultilevel"/>
    <w:tmpl w:val="D8A24362"/>
    <w:lvl w:ilvl="0" w:tplc="11B0D99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E7BA2"/>
    <w:multiLevelType w:val="hybridMultilevel"/>
    <w:tmpl w:val="EF28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A6055"/>
    <w:multiLevelType w:val="hybridMultilevel"/>
    <w:tmpl w:val="C26E891C"/>
    <w:lvl w:ilvl="0" w:tplc="11B0D99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527E2"/>
    <w:multiLevelType w:val="hybridMultilevel"/>
    <w:tmpl w:val="71F0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F4DF3"/>
    <w:multiLevelType w:val="hybridMultilevel"/>
    <w:tmpl w:val="69BC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64427"/>
    <w:multiLevelType w:val="hybridMultilevel"/>
    <w:tmpl w:val="BC8E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B012F"/>
    <w:multiLevelType w:val="hybridMultilevel"/>
    <w:tmpl w:val="1F68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36060"/>
    <w:multiLevelType w:val="hybridMultilevel"/>
    <w:tmpl w:val="195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14D6D"/>
    <w:multiLevelType w:val="hybridMultilevel"/>
    <w:tmpl w:val="0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10"/>
  </w:num>
  <w:num w:numId="6">
    <w:abstractNumId w:val="2"/>
  </w:num>
  <w:num w:numId="7">
    <w:abstractNumId w:val="9"/>
  </w:num>
  <w:num w:numId="8">
    <w:abstractNumId w:val="6"/>
  </w:num>
  <w:num w:numId="9">
    <w:abstractNumId w:val="7"/>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34"/>
    <w:rsid w:val="0000786D"/>
    <w:rsid w:val="00012484"/>
    <w:rsid w:val="000200EF"/>
    <w:rsid w:val="000210B4"/>
    <w:rsid w:val="00034AB3"/>
    <w:rsid w:val="000518D0"/>
    <w:rsid w:val="00062801"/>
    <w:rsid w:val="00067B26"/>
    <w:rsid w:val="0007553B"/>
    <w:rsid w:val="000853F8"/>
    <w:rsid w:val="000869EC"/>
    <w:rsid w:val="000879E9"/>
    <w:rsid w:val="000B49FE"/>
    <w:rsid w:val="000B5349"/>
    <w:rsid w:val="000D2F2C"/>
    <w:rsid w:val="00101541"/>
    <w:rsid w:val="00101BCF"/>
    <w:rsid w:val="00151905"/>
    <w:rsid w:val="00154879"/>
    <w:rsid w:val="001677B5"/>
    <w:rsid w:val="001E276F"/>
    <w:rsid w:val="001F7EF6"/>
    <w:rsid w:val="002048FD"/>
    <w:rsid w:val="00217883"/>
    <w:rsid w:val="0023554A"/>
    <w:rsid w:val="0024373A"/>
    <w:rsid w:val="0024718E"/>
    <w:rsid w:val="0025655C"/>
    <w:rsid w:val="00261FC5"/>
    <w:rsid w:val="002866CE"/>
    <w:rsid w:val="00291899"/>
    <w:rsid w:val="0029676A"/>
    <w:rsid w:val="002A1A6A"/>
    <w:rsid w:val="002A6359"/>
    <w:rsid w:val="002B1C9E"/>
    <w:rsid w:val="002B4207"/>
    <w:rsid w:val="002C4B09"/>
    <w:rsid w:val="002E0E69"/>
    <w:rsid w:val="003052D4"/>
    <w:rsid w:val="00305EF3"/>
    <w:rsid w:val="00313328"/>
    <w:rsid w:val="0031368E"/>
    <w:rsid w:val="00315DF4"/>
    <w:rsid w:val="0031690E"/>
    <w:rsid w:val="00363372"/>
    <w:rsid w:val="00390CA5"/>
    <w:rsid w:val="0039629F"/>
    <w:rsid w:val="003B4524"/>
    <w:rsid w:val="003E2BD1"/>
    <w:rsid w:val="003E61C7"/>
    <w:rsid w:val="00404278"/>
    <w:rsid w:val="00406310"/>
    <w:rsid w:val="00416DD2"/>
    <w:rsid w:val="00422E14"/>
    <w:rsid w:val="004475E8"/>
    <w:rsid w:val="004577C9"/>
    <w:rsid w:val="0049064E"/>
    <w:rsid w:val="004A107B"/>
    <w:rsid w:val="004A2374"/>
    <w:rsid w:val="004A6F9A"/>
    <w:rsid w:val="004C3B64"/>
    <w:rsid w:val="004C452F"/>
    <w:rsid w:val="004C6DAE"/>
    <w:rsid w:val="004D1DC6"/>
    <w:rsid w:val="004E4A35"/>
    <w:rsid w:val="004F32DC"/>
    <w:rsid w:val="005073FE"/>
    <w:rsid w:val="00535596"/>
    <w:rsid w:val="005372C1"/>
    <w:rsid w:val="005444B6"/>
    <w:rsid w:val="00550DED"/>
    <w:rsid w:val="0055142C"/>
    <w:rsid w:val="00561900"/>
    <w:rsid w:val="00563EFB"/>
    <w:rsid w:val="00566834"/>
    <w:rsid w:val="00570FE1"/>
    <w:rsid w:val="00581BAC"/>
    <w:rsid w:val="00592D11"/>
    <w:rsid w:val="005B07B2"/>
    <w:rsid w:val="005C3CC8"/>
    <w:rsid w:val="005C42F1"/>
    <w:rsid w:val="005F359F"/>
    <w:rsid w:val="0060665F"/>
    <w:rsid w:val="00611C4D"/>
    <w:rsid w:val="0063003F"/>
    <w:rsid w:val="006312E6"/>
    <w:rsid w:val="00645C33"/>
    <w:rsid w:val="00645C3E"/>
    <w:rsid w:val="0067154B"/>
    <w:rsid w:val="0067301C"/>
    <w:rsid w:val="006813C6"/>
    <w:rsid w:val="006A6B8A"/>
    <w:rsid w:val="006B0717"/>
    <w:rsid w:val="006E74D8"/>
    <w:rsid w:val="006F0DDB"/>
    <w:rsid w:val="006F33CB"/>
    <w:rsid w:val="00700A53"/>
    <w:rsid w:val="00704493"/>
    <w:rsid w:val="00706286"/>
    <w:rsid w:val="007120F4"/>
    <w:rsid w:val="00716B61"/>
    <w:rsid w:val="00716F90"/>
    <w:rsid w:val="007221D8"/>
    <w:rsid w:val="00727422"/>
    <w:rsid w:val="00730C73"/>
    <w:rsid w:val="007333F3"/>
    <w:rsid w:val="00761F6D"/>
    <w:rsid w:val="00773F08"/>
    <w:rsid w:val="007758C6"/>
    <w:rsid w:val="007937D2"/>
    <w:rsid w:val="007B3258"/>
    <w:rsid w:val="007F3616"/>
    <w:rsid w:val="0080530A"/>
    <w:rsid w:val="00817A19"/>
    <w:rsid w:val="00831297"/>
    <w:rsid w:val="0085700A"/>
    <w:rsid w:val="00863339"/>
    <w:rsid w:val="00895400"/>
    <w:rsid w:val="008B14F2"/>
    <w:rsid w:val="008C3E2C"/>
    <w:rsid w:val="008D183A"/>
    <w:rsid w:val="008E4399"/>
    <w:rsid w:val="008F5EC1"/>
    <w:rsid w:val="00912B66"/>
    <w:rsid w:val="009463C6"/>
    <w:rsid w:val="009644DC"/>
    <w:rsid w:val="009B1A3A"/>
    <w:rsid w:val="009F5A44"/>
    <w:rsid w:val="00A00569"/>
    <w:rsid w:val="00A02C73"/>
    <w:rsid w:val="00A05866"/>
    <w:rsid w:val="00A25C88"/>
    <w:rsid w:val="00A348F2"/>
    <w:rsid w:val="00A34C3C"/>
    <w:rsid w:val="00A468F0"/>
    <w:rsid w:val="00A85076"/>
    <w:rsid w:val="00A97946"/>
    <w:rsid w:val="00AA5081"/>
    <w:rsid w:val="00AB5F14"/>
    <w:rsid w:val="00AB6FEF"/>
    <w:rsid w:val="00AB7170"/>
    <w:rsid w:val="00AB7290"/>
    <w:rsid w:val="00AC03CF"/>
    <w:rsid w:val="00AC489E"/>
    <w:rsid w:val="00AC54BE"/>
    <w:rsid w:val="00AF181A"/>
    <w:rsid w:val="00B11445"/>
    <w:rsid w:val="00B215C9"/>
    <w:rsid w:val="00B36199"/>
    <w:rsid w:val="00B46794"/>
    <w:rsid w:val="00B65147"/>
    <w:rsid w:val="00B657BF"/>
    <w:rsid w:val="00B6757E"/>
    <w:rsid w:val="00B75D4C"/>
    <w:rsid w:val="00B93D46"/>
    <w:rsid w:val="00B966EF"/>
    <w:rsid w:val="00C32063"/>
    <w:rsid w:val="00C4315C"/>
    <w:rsid w:val="00C50BB3"/>
    <w:rsid w:val="00C61CF4"/>
    <w:rsid w:val="00C71A27"/>
    <w:rsid w:val="00C74170"/>
    <w:rsid w:val="00C965E9"/>
    <w:rsid w:val="00CA3D80"/>
    <w:rsid w:val="00CD5543"/>
    <w:rsid w:val="00CD67CA"/>
    <w:rsid w:val="00CD7696"/>
    <w:rsid w:val="00CE0FD0"/>
    <w:rsid w:val="00CE2F04"/>
    <w:rsid w:val="00CF6399"/>
    <w:rsid w:val="00D1772F"/>
    <w:rsid w:val="00D408A9"/>
    <w:rsid w:val="00D67E32"/>
    <w:rsid w:val="00D7031F"/>
    <w:rsid w:val="00D82367"/>
    <w:rsid w:val="00DA22A1"/>
    <w:rsid w:val="00DA7C96"/>
    <w:rsid w:val="00DB522B"/>
    <w:rsid w:val="00DC693B"/>
    <w:rsid w:val="00DD4AB8"/>
    <w:rsid w:val="00DE0D06"/>
    <w:rsid w:val="00DE7896"/>
    <w:rsid w:val="00DF6265"/>
    <w:rsid w:val="00E2442A"/>
    <w:rsid w:val="00E540D6"/>
    <w:rsid w:val="00E6476E"/>
    <w:rsid w:val="00E76AC6"/>
    <w:rsid w:val="00E8022A"/>
    <w:rsid w:val="00E92BA6"/>
    <w:rsid w:val="00E97DC2"/>
    <w:rsid w:val="00EA7CBB"/>
    <w:rsid w:val="00EB62F5"/>
    <w:rsid w:val="00EC0A02"/>
    <w:rsid w:val="00EC4B0E"/>
    <w:rsid w:val="00ED134D"/>
    <w:rsid w:val="00ED75B8"/>
    <w:rsid w:val="00EE3606"/>
    <w:rsid w:val="00EE48DE"/>
    <w:rsid w:val="00EF1796"/>
    <w:rsid w:val="00F22ACA"/>
    <w:rsid w:val="00F472E1"/>
    <w:rsid w:val="00F529D7"/>
    <w:rsid w:val="00F7791F"/>
    <w:rsid w:val="00F9055F"/>
    <w:rsid w:val="00F96E07"/>
    <w:rsid w:val="00FA393C"/>
    <w:rsid w:val="00FF6D07"/>
    <w:rsid w:val="00FF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F62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34"/>
    <w:rPr>
      <w:rFonts w:eastAsia="Times New Roman" w:cs="Times New Roman"/>
      <w:lang w:eastAsia="zh-CN"/>
    </w:rPr>
  </w:style>
  <w:style w:type="paragraph" w:styleId="Heading1">
    <w:name w:val="heading 1"/>
    <w:basedOn w:val="Normal"/>
    <w:next w:val="Normal"/>
    <w:link w:val="Heading1Char"/>
    <w:uiPriority w:val="9"/>
    <w:qFormat/>
    <w:rsid w:val="00FA393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C54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6834"/>
    <w:pPr>
      <w:tabs>
        <w:tab w:val="center" w:pos="4513"/>
        <w:tab w:val="right" w:pos="9026"/>
      </w:tabs>
    </w:pPr>
  </w:style>
  <w:style w:type="character" w:customStyle="1" w:styleId="HeaderChar">
    <w:name w:val="Header Char"/>
    <w:basedOn w:val="DefaultParagraphFont"/>
    <w:link w:val="Header"/>
    <w:uiPriority w:val="99"/>
    <w:semiHidden/>
    <w:rsid w:val="00566834"/>
  </w:style>
  <w:style w:type="paragraph" w:styleId="Footer">
    <w:name w:val="footer"/>
    <w:basedOn w:val="Normal"/>
    <w:link w:val="FooterChar"/>
    <w:uiPriority w:val="99"/>
    <w:semiHidden/>
    <w:unhideWhenUsed/>
    <w:rsid w:val="00566834"/>
    <w:pPr>
      <w:tabs>
        <w:tab w:val="center" w:pos="4513"/>
        <w:tab w:val="right" w:pos="9026"/>
      </w:tabs>
    </w:pPr>
  </w:style>
  <w:style w:type="character" w:customStyle="1" w:styleId="FooterChar">
    <w:name w:val="Footer Char"/>
    <w:basedOn w:val="DefaultParagraphFont"/>
    <w:link w:val="Footer"/>
    <w:uiPriority w:val="99"/>
    <w:semiHidden/>
    <w:rsid w:val="00566834"/>
  </w:style>
  <w:style w:type="paragraph" w:styleId="BalloonText">
    <w:name w:val="Balloon Text"/>
    <w:basedOn w:val="Normal"/>
    <w:link w:val="BalloonTextChar"/>
    <w:uiPriority w:val="99"/>
    <w:semiHidden/>
    <w:unhideWhenUsed/>
    <w:rsid w:val="00566834"/>
    <w:rPr>
      <w:rFonts w:ascii="Tahoma" w:eastAsia="Calibri" w:hAnsi="Tahoma"/>
      <w:sz w:val="16"/>
      <w:szCs w:val="16"/>
    </w:rPr>
  </w:style>
  <w:style w:type="character" w:customStyle="1" w:styleId="BalloonTextChar">
    <w:name w:val="Balloon Text Char"/>
    <w:link w:val="BalloonText"/>
    <w:uiPriority w:val="99"/>
    <w:semiHidden/>
    <w:rsid w:val="00566834"/>
    <w:rPr>
      <w:rFonts w:ascii="Tahoma" w:hAnsi="Tahoma" w:cs="Tahoma"/>
      <w:sz w:val="16"/>
      <w:szCs w:val="16"/>
    </w:rPr>
  </w:style>
  <w:style w:type="character" w:styleId="CommentReference">
    <w:name w:val="annotation reference"/>
    <w:uiPriority w:val="99"/>
    <w:rsid w:val="00566834"/>
    <w:rPr>
      <w:sz w:val="16"/>
      <w:szCs w:val="16"/>
    </w:rPr>
  </w:style>
  <w:style w:type="paragraph" w:styleId="CommentText">
    <w:name w:val="annotation text"/>
    <w:basedOn w:val="Normal"/>
    <w:link w:val="CommentTextChar"/>
    <w:uiPriority w:val="99"/>
    <w:rsid w:val="00566834"/>
  </w:style>
  <w:style w:type="character" w:customStyle="1" w:styleId="CommentTextChar">
    <w:name w:val="Comment Text Char"/>
    <w:link w:val="CommentText"/>
    <w:uiPriority w:val="99"/>
    <w:rsid w:val="00566834"/>
    <w:rPr>
      <w:rFonts w:eastAsia="Times New Roman" w:cs="Times New Roman"/>
      <w:sz w:val="20"/>
      <w:szCs w:val="20"/>
      <w:lang w:eastAsia="zh-CN"/>
    </w:rPr>
  </w:style>
  <w:style w:type="character" w:styleId="Hyperlink">
    <w:name w:val="Hyperlink"/>
    <w:uiPriority w:val="99"/>
    <w:rsid w:val="00566834"/>
    <w:rPr>
      <w:color w:val="0000FF"/>
      <w:u w:val="single"/>
    </w:rPr>
  </w:style>
  <w:style w:type="paragraph" w:customStyle="1" w:styleId="Default">
    <w:name w:val="Default"/>
    <w:rsid w:val="00C71A27"/>
    <w:pPr>
      <w:autoSpaceDE w:val="0"/>
      <w:autoSpaceDN w:val="0"/>
      <w:adjustRightInd w:val="0"/>
    </w:pPr>
    <w:rPr>
      <w:color w:val="000000"/>
      <w:sz w:val="24"/>
      <w:szCs w:val="24"/>
      <w:lang w:eastAsia="en-US"/>
    </w:rPr>
  </w:style>
  <w:style w:type="table" w:styleId="TableGrid">
    <w:name w:val="Table Grid"/>
    <w:basedOn w:val="TableNormal"/>
    <w:uiPriority w:val="59"/>
    <w:rsid w:val="00C71A2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D183A"/>
    <w:rPr>
      <w:b/>
      <w:bCs/>
    </w:rPr>
  </w:style>
  <w:style w:type="character" w:customStyle="1" w:styleId="CommentSubjectChar">
    <w:name w:val="Comment Subject Char"/>
    <w:link w:val="CommentSubject"/>
    <w:uiPriority w:val="99"/>
    <w:semiHidden/>
    <w:rsid w:val="008D183A"/>
    <w:rPr>
      <w:rFonts w:eastAsia="Times New Roman" w:cs="Times New Roman"/>
      <w:b/>
      <w:bCs/>
      <w:sz w:val="20"/>
      <w:szCs w:val="20"/>
      <w:lang w:eastAsia="zh-CN"/>
    </w:rPr>
  </w:style>
  <w:style w:type="paragraph" w:styleId="Revision">
    <w:name w:val="Revision"/>
    <w:hidden/>
    <w:uiPriority w:val="99"/>
    <w:semiHidden/>
    <w:rsid w:val="00A97946"/>
    <w:rPr>
      <w:rFonts w:eastAsia="Times New Roman" w:cs="Times New Roman"/>
      <w:lang w:eastAsia="zh-CN"/>
    </w:rPr>
  </w:style>
  <w:style w:type="character" w:customStyle="1" w:styleId="Heading1Char">
    <w:name w:val="Heading 1 Char"/>
    <w:link w:val="Heading1"/>
    <w:uiPriority w:val="9"/>
    <w:rsid w:val="00FA393C"/>
    <w:rPr>
      <w:rFonts w:ascii="Cambria" w:eastAsia="Times New Roman" w:hAnsi="Cambria" w:cs="Times New Roman"/>
      <w:b/>
      <w:bCs/>
      <w:color w:val="365F91"/>
      <w:sz w:val="28"/>
      <w:szCs w:val="28"/>
      <w:lang w:eastAsia="zh-CN"/>
    </w:rPr>
  </w:style>
  <w:style w:type="character" w:styleId="FollowedHyperlink">
    <w:name w:val="FollowedHyperlink"/>
    <w:uiPriority w:val="99"/>
    <w:semiHidden/>
    <w:unhideWhenUsed/>
    <w:rsid w:val="00FA393C"/>
    <w:rPr>
      <w:color w:val="800080"/>
      <w:u w:val="single"/>
    </w:rPr>
  </w:style>
  <w:style w:type="paragraph" w:styleId="ListParagraph">
    <w:name w:val="List Paragraph"/>
    <w:basedOn w:val="Normal"/>
    <w:uiPriority w:val="34"/>
    <w:qFormat/>
    <w:rsid w:val="004E4A35"/>
    <w:pPr>
      <w:ind w:left="720"/>
      <w:contextualSpacing/>
    </w:pPr>
    <w:rPr>
      <w:rFonts w:ascii="Calibri" w:hAnsi="Calibri"/>
      <w:sz w:val="24"/>
      <w:szCs w:val="24"/>
      <w:lang w:val="en-US"/>
    </w:rPr>
  </w:style>
  <w:style w:type="character" w:styleId="BookTitle">
    <w:name w:val="Book Title"/>
    <w:uiPriority w:val="33"/>
    <w:qFormat/>
    <w:rsid w:val="004F32DC"/>
    <w:rPr>
      <w:b/>
      <w:bCs/>
      <w:i/>
      <w:iCs/>
      <w:spacing w:val="0"/>
    </w:rPr>
  </w:style>
  <w:style w:type="character" w:customStyle="1" w:styleId="Heading2Char">
    <w:name w:val="Heading 2 Char"/>
    <w:basedOn w:val="DefaultParagraphFont"/>
    <w:link w:val="Heading2"/>
    <w:uiPriority w:val="9"/>
    <w:semiHidden/>
    <w:rsid w:val="00AC54BE"/>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633">
      <w:bodyDiv w:val="1"/>
      <w:marLeft w:val="0"/>
      <w:marRight w:val="0"/>
      <w:marTop w:val="0"/>
      <w:marBottom w:val="0"/>
      <w:divBdr>
        <w:top w:val="none" w:sz="0" w:space="0" w:color="auto"/>
        <w:left w:val="none" w:sz="0" w:space="0" w:color="auto"/>
        <w:bottom w:val="none" w:sz="0" w:space="0" w:color="auto"/>
        <w:right w:val="none" w:sz="0" w:space="0" w:color="auto"/>
      </w:divBdr>
    </w:div>
    <w:div w:id="191845706">
      <w:bodyDiv w:val="1"/>
      <w:marLeft w:val="0"/>
      <w:marRight w:val="0"/>
      <w:marTop w:val="0"/>
      <w:marBottom w:val="0"/>
      <w:divBdr>
        <w:top w:val="none" w:sz="0" w:space="0" w:color="auto"/>
        <w:left w:val="none" w:sz="0" w:space="0" w:color="auto"/>
        <w:bottom w:val="none" w:sz="0" w:space="0" w:color="auto"/>
        <w:right w:val="none" w:sz="0" w:space="0" w:color="auto"/>
      </w:divBdr>
    </w:div>
    <w:div w:id="302583107">
      <w:bodyDiv w:val="1"/>
      <w:marLeft w:val="0"/>
      <w:marRight w:val="0"/>
      <w:marTop w:val="0"/>
      <w:marBottom w:val="0"/>
      <w:divBdr>
        <w:top w:val="none" w:sz="0" w:space="0" w:color="auto"/>
        <w:left w:val="none" w:sz="0" w:space="0" w:color="auto"/>
        <w:bottom w:val="none" w:sz="0" w:space="0" w:color="auto"/>
        <w:right w:val="none" w:sz="0" w:space="0" w:color="auto"/>
      </w:divBdr>
    </w:div>
    <w:div w:id="662782641">
      <w:bodyDiv w:val="1"/>
      <w:marLeft w:val="0"/>
      <w:marRight w:val="0"/>
      <w:marTop w:val="0"/>
      <w:marBottom w:val="0"/>
      <w:divBdr>
        <w:top w:val="none" w:sz="0" w:space="0" w:color="auto"/>
        <w:left w:val="none" w:sz="0" w:space="0" w:color="auto"/>
        <w:bottom w:val="none" w:sz="0" w:space="0" w:color="auto"/>
        <w:right w:val="none" w:sz="0" w:space="0" w:color="auto"/>
      </w:divBdr>
    </w:div>
    <w:div w:id="1342977199">
      <w:bodyDiv w:val="1"/>
      <w:marLeft w:val="0"/>
      <w:marRight w:val="0"/>
      <w:marTop w:val="0"/>
      <w:marBottom w:val="0"/>
      <w:divBdr>
        <w:top w:val="none" w:sz="0" w:space="0" w:color="auto"/>
        <w:left w:val="none" w:sz="0" w:space="0" w:color="auto"/>
        <w:bottom w:val="none" w:sz="0" w:space="0" w:color="auto"/>
        <w:right w:val="none" w:sz="0" w:space="0" w:color="auto"/>
      </w:divBdr>
    </w:div>
    <w:div w:id="1558587403">
      <w:bodyDiv w:val="1"/>
      <w:marLeft w:val="0"/>
      <w:marRight w:val="0"/>
      <w:marTop w:val="0"/>
      <w:marBottom w:val="0"/>
      <w:divBdr>
        <w:top w:val="none" w:sz="0" w:space="0" w:color="auto"/>
        <w:left w:val="none" w:sz="0" w:space="0" w:color="auto"/>
        <w:bottom w:val="none" w:sz="0" w:space="0" w:color="auto"/>
        <w:right w:val="none" w:sz="0" w:space="0" w:color="auto"/>
      </w:divBdr>
    </w:div>
    <w:div w:id="20571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ffice.gov.uk/research/collaboration/newto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office.gov.uk/newt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newtonfund?lang=en-g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ewtonfund.ac.uk" TargetMode="External"/><Relationship Id="rId4" Type="http://schemas.openxmlformats.org/officeDocument/2006/relationships/settings" Target="settings.xml"/><Relationship Id="rId9" Type="http://schemas.openxmlformats.org/officeDocument/2006/relationships/hyperlink" Target="http://www.newtonfund.ac.uk/about/what-is-oda/" TargetMode="External"/><Relationship Id="rId14" Type="http://schemas.openxmlformats.org/officeDocument/2006/relationships/hyperlink" Target="https://tenders.metoffic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42504-182B-4702-8B6B-5815CCFB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7512</CharactersWithSpaces>
  <SharedDoc>false</SharedDoc>
  <HLinks>
    <vt:vector size="36" baseType="variant">
      <vt:variant>
        <vt:i4>4653147</vt:i4>
      </vt:variant>
      <vt:variant>
        <vt:i4>15</vt:i4>
      </vt:variant>
      <vt:variant>
        <vt:i4>0</vt:i4>
      </vt:variant>
      <vt:variant>
        <vt:i4>5</vt:i4>
      </vt:variant>
      <vt:variant>
        <vt:lpwstr>https://tenders.metoffice.gov.uk/</vt:lpwstr>
      </vt:variant>
      <vt:variant>
        <vt:lpwstr/>
      </vt:variant>
      <vt:variant>
        <vt:i4>7077933</vt:i4>
      </vt:variant>
      <vt:variant>
        <vt:i4>12</vt:i4>
      </vt:variant>
      <vt:variant>
        <vt:i4>0</vt:i4>
      </vt:variant>
      <vt:variant>
        <vt:i4>5</vt:i4>
      </vt:variant>
      <vt:variant>
        <vt:lpwstr>http://www.metoffice.gov.uk/newton</vt:lpwstr>
      </vt:variant>
      <vt:variant>
        <vt:lpwstr/>
      </vt:variant>
      <vt:variant>
        <vt:i4>4259930</vt:i4>
      </vt:variant>
      <vt:variant>
        <vt:i4>9</vt:i4>
      </vt:variant>
      <vt:variant>
        <vt:i4>0</vt:i4>
      </vt:variant>
      <vt:variant>
        <vt:i4>5</vt:i4>
      </vt:variant>
      <vt:variant>
        <vt:lpwstr>https://twitter.com/newtonfund?lang=en-gb</vt:lpwstr>
      </vt:variant>
      <vt:variant>
        <vt:lpwstr/>
      </vt:variant>
      <vt:variant>
        <vt:i4>4325402</vt:i4>
      </vt:variant>
      <vt:variant>
        <vt:i4>6</vt:i4>
      </vt:variant>
      <vt:variant>
        <vt:i4>0</vt:i4>
      </vt:variant>
      <vt:variant>
        <vt:i4>5</vt:i4>
      </vt:variant>
      <vt:variant>
        <vt:lpwstr>http://www.newtonfund.ac.uk/</vt:lpwstr>
      </vt:variant>
      <vt:variant>
        <vt:lpwstr/>
      </vt:variant>
      <vt:variant>
        <vt:i4>6881318</vt:i4>
      </vt:variant>
      <vt:variant>
        <vt:i4>3</vt:i4>
      </vt:variant>
      <vt:variant>
        <vt:i4>0</vt:i4>
      </vt:variant>
      <vt:variant>
        <vt:i4>5</vt:i4>
      </vt:variant>
      <vt:variant>
        <vt:lpwstr>http://www.newtonfund.ac.uk/about/what-is-oda/</vt:lpwstr>
      </vt:variant>
      <vt:variant>
        <vt:lpwstr/>
      </vt:variant>
      <vt:variant>
        <vt:i4>1572929</vt:i4>
      </vt:variant>
      <vt:variant>
        <vt:i4>0</vt:i4>
      </vt:variant>
      <vt:variant>
        <vt:i4>0</vt:i4>
      </vt:variant>
      <vt:variant>
        <vt:i4>5</vt:i4>
      </vt:variant>
      <vt:variant>
        <vt:lpwstr>http://www.metoffice.gov.uk/research/collaboration/newton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2017-09-11T11:51:00Z</dcterms:created>
  <dcterms:modified xsi:type="dcterms:W3CDTF">2017-10-18T08:29:00Z</dcterms:modified>
</cp:coreProperties>
</file>