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D7" w:rsidRDefault="0009405D" w:rsidP="00861F0C">
      <w:pPr>
        <w:pStyle w:val="Singline"/>
        <w:tabs>
          <w:tab w:val="left" w:pos="6521"/>
        </w:tabs>
      </w:pPr>
      <w:r>
        <w:object w:dxaOrig="1081"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2.95pt" o:ole="" fillcolor="window">
            <v:imagedata r:id="rId9" o:title=""/>
          </v:shape>
          <o:OLEObject Type="Embed" ProgID="Word.Picture.8" ShapeID="_x0000_i1025" DrawAspect="Content" ObjectID="_1598371704" r:id="rId10"/>
        </w:object>
      </w:r>
      <w:r w:rsidR="008F5B94">
        <w:t xml:space="preserve"> </w:t>
      </w:r>
    </w:p>
    <w:p w:rsidR="00FF13CA" w:rsidRPr="00DF0362" w:rsidRDefault="00FF13CA" w:rsidP="00FF13CA">
      <w:pPr>
        <w:pStyle w:val="Singline"/>
        <w:tabs>
          <w:tab w:val="left" w:pos="6521"/>
        </w:tabs>
        <w:jc w:val="center"/>
        <w:rPr>
          <w:rFonts w:ascii="Arial" w:hAnsi="Arial" w:cs="Arial"/>
          <w:b/>
        </w:rPr>
      </w:pPr>
      <w:r w:rsidRPr="00DF0362">
        <w:rPr>
          <w:rFonts w:ascii="Arial" w:hAnsi="Arial" w:cs="Arial"/>
          <w:b/>
        </w:rPr>
        <w:t xml:space="preserve">THE BANK OF ENGLAND (THE </w:t>
      </w:r>
      <w:r w:rsidRPr="00DF0362">
        <w:rPr>
          <w:rFonts w:ascii="Arial" w:hAnsi="Arial" w:cs="Arial"/>
          <w:b/>
          <w:i/>
        </w:rPr>
        <w:t>BANK</w:t>
      </w:r>
      <w:r w:rsidRPr="00DF0362">
        <w:rPr>
          <w:rFonts w:ascii="Arial" w:hAnsi="Arial" w:cs="Arial"/>
          <w:b/>
        </w:rPr>
        <w:t>)</w:t>
      </w:r>
    </w:p>
    <w:p w:rsidR="00FF13CA" w:rsidRPr="00DF0362" w:rsidRDefault="00FF13CA" w:rsidP="00FF13CA">
      <w:pPr>
        <w:pStyle w:val="Singline"/>
        <w:tabs>
          <w:tab w:val="left" w:pos="6521"/>
        </w:tabs>
        <w:jc w:val="center"/>
        <w:rPr>
          <w:rFonts w:ascii="Arial" w:hAnsi="Arial" w:cs="Arial"/>
          <w:b/>
        </w:rPr>
      </w:pPr>
    </w:p>
    <w:p w:rsidR="00FF13CA" w:rsidRPr="00DF0362" w:rsidRDefault="00FF13CA" w:rsidP="00FF13CA">
      <w:pPr>
        <w:pStyle w:val="Singline"/>
        <w:tabs>
          <w:tab w:val="left" w:pos="6521"/>
        </w:tabs>
        <w:jc w:val="center"/>
        <w:rPr>
          <w:rFonts w:ascii="Arial" w:hAnsi="Arial" w:cs="Arial"/>
          <w:b/>
        </w:rPr>
      </w:pPr>
      <w:r w:rsidRPr="00DF0362">
        <w:rPr>
          <w:rFonts w:ascii="Arial" w:hAnsi="Arial" w:cs="Arial"/>
          <w:b/>
        </w:rPr>
        <w:t>DECLARATION OF SECRECY</w:t>
      </w:r>
    </w:p>
    <w:p w:rsidR="00FF13CA" w:rsidRPr="00DF0362" w:rsidRDefault="00FF13CA" w:rsidP="00FF13CA">
      <w:pPr>
        <w:pStyle w:val="Singline"/>
        <w:tabs>
          <w:tab w:val="left" w:pos="7371"/>
        </w:tabs>
        <w:rPr>
          <w:rFonts w:ascii="Arial" w:hAnsi="Arial" w:cs="Arial"/>
          <w:b/>
        </w:rPr>
      </w:pPr>
    </w:p>
    <w:p w:rsidR="00FF13CA" w:rsidRPr="00DF0362" w:rsidRDefault="00FF13CA" w:rsidP="00FF13CA">
      <w:pPr>
        <w:pStyle w:val="Singline"/>
        <w:tabs>
          <w:tab w:val="left" w:pos="7371"/>
        </w:tabs>
        <w:rPr>
          <w:rFonts w:ascii="Arial" w:hAnsi="Arial" w:cs="Arial"/>
          <w:b/>
        </w:rPr>
      </w:pPr>
      <w:r w:rsidRPr="00DF0362">
        <w:rPr>
          <w:rFonts w:ascii="Arial" w:hAnsi="Arial" w:cs="Arial"/>
          <w:b/>
        </w:rPr>
        <w:t>Bank Secrecy Rules</w:t>
      </w:r>
    </w:p>
    <w:p w:rsidR="00FF13CA" w:rsidRPr="00DF0362" w:rsidRDefault="00FF13CA" w:rsidP="00FF13CA">
      <w:pPr>
        <w:pStyle w:val="Singline"/>
        <w:tabs>
          <w:tab w:val="left" w:pos="7371"/>
        </w:tabs>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The Bank’s rules with regard to secrecy are that:</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The strictest secrecy is to be observed with respect to information of any kind acquired in the course of your duties relating to the affairs and concerns of: the Bank; the Prudential Regulation Authority (the PRA); Her Majesty’s Government; other customers; or other persons, companies or organisations with which the Bank or the PRA may have dealings.</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Information acquired during the course of your duties must not be disclosed outside the Bank or the PRA (other than in the proper exercise of your duties or as required by law). Unless you are expressly authorised by the Bank or the PRA to do so, you must not allow any unauthorised person to have access to, or be provided with copies or extracts from, any books, papers or electronic records belonging to the Bank or the PRA. It is a criminal offence to make unauthorised disclosure of certain information, including information obtained under the regulatory powers of the Bank or the PRA.</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 xml:space="preserve">You must not seek to profit or to minimise any loss, financial or otherwise, by making use directly or indirectly of information acquired in the course of your duties. You must comply with the policies contained in the Staff Handbook, and have regard to the </w:t>
      </w:r>
      <w:hyperlink r:id="rId11" w:tooltip="Doc Num: 10903746&#10;Description: Notice to Staff Official Secrets Act 1989 - 2014 revision" w:history="1">
        <w:r w:rsidR="00671FD4" w:rsidRPr="00DF0362">
          <w:rPr>
            <w:rStyle w:val="Hyperlink"/>
            <w:rFonts w:ascii="Arial" w:hAnsi="Arial" w:cs="Arial"/>
          </w:rPr>
          <w:t>Notice to Staff concerning the Official Secrets Act 1989</w:t>
        </w:r>
      </w:hyperlink>
      <w:r w:rsidRPr="00DF0362">
        <w:rPr>
          <w:rFonts w:ascii="Arial" w:hAnsi="Arial" w:cs="Arial"/>
        </w:rPr>
        <w:t>. Your specific attention is drawn to</w:t>
      </w:r>
      <w:r w:rsidRPr="00DF0362">
        <w:rPr>
          <w:rFonts w:ascii="Arial" w:hAnsi="Arial" w:cs="Arial"/>
          <w:b/>
          <w:i/>
        </w:rPr>
        <w:t xml:space="preserve"> </w:t>
      </w:r>
      <w:r w:rsidRPr="00DF0362">
        <w:rPr>
          <w:rFonts w:ascii="Arial" w:hAnsi="Arial" w:cs="Arial"/>
        </w:rPr>
        <w:t>the contents of the</w:t>
      </w:r>
      <w:r w:rsidR="00245439">
        <w:rPr>
          <w:rFonts w:ascii="Arial" w:hAnsi="Arial" w:cs="Arial"/>
        </w:rPr>
        <w:t xml:space="preserve"> </w:t>
      </w:r>
      <w:hyperlink r:id="rId12" w:tooltip="Doc Num: 11724972&#10;Description: Market abuse regime summary" w:history="1">
        <w:r w:rsidR="005B2230">
          <w:rPr>
            <w:rStyle w:val="Hyperlink"/>
            <w:rFonts w:ascii="Arial" w:hAnsi="Arial" w:cs="Arial"/>
            <w:bCs/>
            <w:iCs/>
            <w:szCs w:val="24"/>
          </w:rPr>
          <w:t>Guidance Note on Market Abuse</w:t>
        </w:r>
      </w:hyperlink>
      <w:r w:rsidR="002C6043">
        <w:rPr>
          <w:rFonts w:ascii="Arial" w:hAnsi="Arial" w:cs="Arial"/>
        </w:rPr>
        <w:t xml:space="preserve"> </w:t>
      </w:r>
      <w:r w:rsidR="00A87E26">
        <w:rPr>
          <w:rFonts w:ascii="Arial" w:hAnsi="Arial" w:cs="Arial"/>
        </w:rPr>
        <w:t xml:space="preserve">(Insider Dealing and Market Manipulation) </w:t>
      </w:r>
      <w:r w:rsidRPr="00DF0362">
        <w:rPr>
          <w:rFonts w:ascii="Arial" w:hAnsi="Arial" w:cs="Arial"/>
        </w:rPr>
        <w:t>and to</w:t>
      </w:r>
      <w:r w:rsidRPr="00DF0362">
        <w:rPr>
          <w:rFonts w:ascii="Arial" w:hAnsi="Arial" w:cs="Arial"/>
          <w:i/>
        </w:rPr>
        <w:t xml:space="preserve"> </w:t>
      </w:r>
      <w:r w:rsidRPr="00DF0362">
        <w:rPr>
          <w:rFonts w:ascii="Arial" w:hAnsi="Arial" w:cs="Arial"/>
        </w:rPr>
        <w:t xml:space="preserve">the </w:t>
      </w:r>
      <w:hyperlink r:id="rId13" w:tooltip="Doc Num: 13596062&#10;Description: Personal Financial Transactions policy, September 2018" w:history="1">
        <w:r w:rsidR="00DB3163">
          <w:rPr>
            <w:rStyle w:val="Hyperlink"/>
            <w:rFonts w:ascii="Arial" w:hAnsi="Arial" w:cs="Arial"/>
          </w:rPr>
          <w:t>Personal Financial Transactions Policy</w:t>
        </w:r>
      </w:hyperlink>
      <w:r w:rsidRPr="00DF0362">
        <w:rPr>
          <w:rFonts w:ascii="Arial" w:hAnsi="Arial" w:cs="Arial"/>
        </w:rPr>
        <w:t xml:space="preserve"> insofar as these apply to you. </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You must not take part in any public discussion, in the press or otherwise, regarding the affairs or policy of the Bank or the PRA without first obtaining, through your Head of</w:t>
      </w:r>
      <w:r w:rsidR="00B41970">
        <w:rPr>
          <w:rFonts w:ascii="Arial" w:hAnsi="Arial" w:cs="Arial"/>
        </w:rPr>
        <w:t xml:space="preserve"> Division</w:t>
      </w:r>
      <w:r w:rsidRPr="00DF0362">
        <w:rPr>
          <w:rFonts w:ascii="Arial" w:hAnsi="Arial" w:cs="Arial"/>
        </w:rPr>
        <w:t xml:space="preserve"> the permission of the </w:t>
      </w:r>
      <w:r w:rsidR="001118C1">
        <w:rPr>
          <w:rFonts w:ascii="Arial" w:hAnsi="Arial" w:cs="Arial"/>
        </w:rPr>
        <w:t>Head of Stakeholder &amp; Media Engagement</w:t>
      </w:r>
      <w:r w:rsidRPr="00DF0362">
        <w:rPr>
          <w:rFonts w:ascii="Arial" w:hAnsi="Arial" w:cs="Arial"/>
        </w:rPr>
        <w:t>.</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b/>
          <w:u w:val="single"/>
        </w:rPr>
      </w:pPr>
      <w:r w:rsidRPr="00DF0362">
        <w:rPr>
          <w:rFonts w:ascii="Arial" w:hAnsi="Arial" w:cs="Arial"/>
          <w:b/>
        </w:rPr>
        <w:t>Declaration</w:t>
      </w:r>
    </w:p>
    <w:p w:rsidR="00FF13CA" w:rsidRPr="00DF0362" w:rsidRDefault="00FF13CA" w:rsidP="00FF13CA">
      <w:pPr>
        <w:pStyle w:val="Singline"/>
        <w:tabs>
          <w:tab w:val="left" w:pos="7371"/>
        </w:tabs>
        <w:jc w:val="both"/>
        <w:rPr>
          <w:rFonts w:ascii="Arial" w:hAnsi="Arial" w:cs="Arial"/>
          <w:u w:val="single"/>
        </w:rPr>
      </w:pPr>
      <w:bookmarkStart w:id="0" w:name="_GoBack"/>
      <w:bookmarkEnd w:id="0"/>
    </w:p>
    <w:p w:rsidR="00FF13CA" w:rsidRPr="00DF0362" w:rsidRDefault="00FF13CA" w:rsidP="00FF13CA">
      <w:pPr>
        <w:pStyle w:val="Singline"/>
        <w:tabs>
          <w:tab w:val="left" w:pos="7371"/>
        </w:tabs>
        <w:jc w:val="both"/>
        <w:rPr>
          <w:rFonts w:ascii="Arial" w:hAnsi="Arial" w:cs="Arial"/>
        </w:rPr>
      </w:pPr>
      <w:r w:rsidRPr="00DF0362">
        <w:rPr>
          <w:rFonts w:ascii="Arial" w:hAnsi="Arial" w:cs="Arial"/>
        </w:rPr>
        <w:t>I do solemnly and sincerely declare that:</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I have read the Bank’s rules with regard to secrecy as given above. I am aware of their importance and I undertake to be bound by them.</w:t>
      </w:r>
    </w:p>
    <w:p w:rsidR="00FF13CA" w:rsidRPr="00DF0362" w:rsidRDefault="00FF13CA" w:rsidP="00FF13CA">
      <w:pPr>
        <w:pStyle w:val="Singline"/>
        <w:tabs>
          <w:tab w:val="left" w:pos="7371"/>
        </w:tabs>
        <w:jc w:val="both"/>
        <w:rPr>
          <w:rFonts w:ascii="Arial" w:hAnsi="Arial" w:cs="Arial"/>
        </w:rPr>
      </w:pPr>
    </w:p>
    <w:p w:rsidR="00FF13CA" w:rsidRPr="00DF0362" w:rsidRDefault="00FF13CA" w:rsidP="00FF13CA">
      <w:pPr>
        <w:pStyle w:val="Singline"/>
        <w:tabs>
          <w:tab w:val="left" w:pos="7371"/>
        </w:tabs>
        <w:jc w:val="both"/>
        <w:rPr>
          <w:rFonts w:ascii="Arial" w:hAnsi="Arial" w:cs="Arial"/>
        </w:rPr>
      </w:pPr>
      <w:r w:rsidRPr="00DF0362">
        <w:rPr>
          <w:rFonts w:ascii="Arial" w:hAnsi="Arial" w:cs="Arial"/>
        </w:rPr>
        <w:t>I understand that as a member of staff of the Bank or the PRA, any infraction of these rules will render me liable to disciplinary action and can lead to immediate dismissal; and that the improper use of or disclosure of information obtained directly or indirectly by virtue of my employment by the Bank or the PRA may lead to prosecution.</w:t>
      </w:r>
    </w:p>
    <w:p w:rsidR="00746BE1" w:rsidRPr="00DF0362" w:rsidRDefault="00746BE1">
      <w:pPr>
        <w:pStyle w:val="Address"/>
        <w:tabs>
          <w:tab w:val="left" w:pos="6521"/>
        </w:tabs>
        <w:rPr>
          <w:rFonts w:ascii="Arial" w:hAnsi="Arial" w:cs="Arial"/>
        </w:rPr>
      </w:pPr>
    </w:p>
    <w:p w:rsidR="00FF13CA" w:rsidRPr="00DF0362" w:rsidRDefault="00FF13CA">
      <w:pPr>
        <w:pStyle w:val="Address"/>
        <w:tabs>
          <w:tab w:val="left" w:pos="6521"/>
        </w:tabs>
        <w:rPr>
          <w:rFonts w:ascii="Arial" w:hAnsi="Arial" w:cs="Arial"/>
        </w:rPr>
      </w:pPr>
    </w:p>
    <w:p w:rsidR="00FF13CA" w:rsidRPr="00DF0362" w:rsidRDefault="00FF13CA" w:rsidP="00C861FE">
      <w:pPr>
        <w:pStyle w:val="Address"/>
        <w:tabs>
          <w:tab w:val="left" w:pos="5218"/>
          <w:tab w:val="left" w:pos="6521"/>
        </w:tabs>
        <w:rPr>
          <w:rFonts w:ascii="Arial" w:hAnsi="Arial" w:cs="Arial"/>
        </w:rPr>
      </w:pPr>
      <w:r w:rsidRPr="00DF0362">
        <w:rPr>
          <w:rFonts w:ascii="Arial" w:hAnsi="Arial" w:cs="Arial"/>
        </w:rPr>
        <w:t>Signed:</w:t>
      </w:r>
      <w:r w:rsidRPr="00DF0362">
        <w:rPr>
          <w:rFonts w:ascii="Arial" w:hAnsi="Arial" w:cs="Arial"/>
        </w:rPr>
        <w:tab/>
      </w:r>
      <w:r w:rsidR="00C861FE" w:rsidRPr="00DF0362">
        <w:rPr>
          <w:rFonts w:ascii="Arial" w:hAnsi="Arial" w:cs="Arial"/>
        </w:rPr>
        <w:tab/>
      </w:r>
      <w:r w:rsidRPr="00DF0362">
        <w:rPr>
          <w:rFonts w:ascii="Arial" w:hAnsi="Arial" w:cs="Arial"/>
        </w:rPr>
        <w:t>Date:</w:t>
      </w:r>
    </w:p>
    <w:p w:rsidR="00C861FE" w:rsidRPr="00DF0362" w:rsidRDefault="00C861FE" w:rsidP="00C861FE">
      <w:pPr>
        <w:pStyle w:val="Address"/>
        <w:tabs>
          <w:tab w:val="left" w:pos="5218"/>
          <w:tab w:val="left" w:pos="6521"/>
        </w:tabs>
        <w:rPr>
          <w:rFonts w:ascii="Arial" w:hAnsi="Arial" w:cs="Arial"/>
        </w:rPr>
      </w:pPr>
    </w:p>
    <w:p w:rsidR="00C861FE" w:rsidRPr="00DF0362" w:rsidRDefault="00C861FE" w:rsidP="00C861FE">
      <w:pPr>
        <w:pStyle w:val="Address"/>
        <w:tabs>
          <w:tab w:val="left" w:pos="5218"/>
          <w:tab w:val="left" w:pos="6521"/>
        </w:tabs>
        <w:rPr>
          <w:rFonts w:ascii="Arial" w:hAnsi="Arial" w:cs="Arial"/>
        </w:rPr>
      </w:pPr>
    </w:p>
    <w:p w:rsidR="00C861FE" w:rsidRPr="00DF0362" w:rsidRDefault="00C861FE" w:rsidP="00C861FE">
      <w:pPr>
        <w:pStyle w:val="Address"/>
        <w:tabs>
          <w:tab w:val="left" w:pos="5218"/>
          <w:tab w:val="left" w:pos="6521"/>
        </w:tabs>
        <w:rPr>
          <w:rFonts w:ascii="Arial" w:hAnsi="Arial" w:cs="Arial"/>
        </w:rPr>
      </w:pPr>
      <w:r w:rsidRPr="00DF0362">
        <w:rPr>
          <w:rFonts w:ascii="Arial" w:hAnsi="Arial" w:cs="Arial"/>
        </w:rPr>
        <w:t>Print name:</w:t>
      </w:r>
    </w:p>
    <w:sectPr w:rsidR="00C861FE" w:rsidRPr="00DF0362" w:rsidSect="00097A12">
      <w:headerReference w:type="even" r:id="rId14"/>
      <w:headerReference w:type="default" r:id="rId15"/>
      <w:pgSz w:w="11907" w:h="16834" w:code="9"/>
      <w:pgMar w:top="426" w:right="720" w:bottom="709" w:left="1140" w:header="720" w:footer="964" w:gutter="0"/>
      <w:paperSrc w:first="3" w:other="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0C" w:rsidRDefault="00861F0C">
      <w:pPr>
        <w:spacing w:after="0"/>
      </w:pPr>
      <w:r>
        <w:separator/>
      </w:r>
    </w:p>
  </w:endnote>
  <w:endnote w:type="continuationSeparator" w:id="0">
    <w:p w:rsidR="00861F0C" w:rsidRDefault="00861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0C" w:rsidRDefault="00861F0C">
      <w:pPr>
        <w:spacing w:after="0"/>
      </w:pPr>
      <w:r>
        <w:separator/>
      </w:r>
    </w:p>
  </w:footnote>
  <w:footnote w:type="continuationSeparator" w:id="0">
    <w:p w:rsidR="00861F0C" w:rsidRDefault="00861F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5D" w:rsidRDefault="000940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5D" w:rsidRDefault="00861F0C">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5B2230">
      <w:rPr>
        <w:rStyle w:val="PageNumber"/>
        <w:noProof/>
      </w:rPr>
      <w:t>1</w:t>
    </w:r>
    <w:r>
      <w:rPr>
        <w:rStyle w:val="PageNumber"/>
      </w:rPr>
      <w:fldChar w:fldCharType="end"/>
    </w:r>
    <w:r w:rsidR="0009405D">
      <w:tab/>
    </w:r>
    <w:r w:rsidR="0009405D">
      <w:tab/>
    </w:r>
    <w:r w:rsidR="0009405D">
      <w:rPr>
        <w:rStyle w:val="PageNumber"/>
      </w:rPr>
      <w:fldChar w:fldCharType="begin"/>
    </w:r>
    <w:r w:rsidR="0009405D">
      <w:rPr>
        <w:rStyle w:val="PageNumber"/>
      </w:rPr>
      <w:instrText xml:space="preserve"> PAGE </w:instrText>
    </w:r>
    <w:r w:rsidR="0009405D">
      <w:rPr>
        <w:rStyle w:val="PageNumber"/>
      </w:rPr>
      <w:fldChar w:fldCharType="separate"/>
    </w:r>
    <w:r w:rsidR="005B2230">
      <w:rPr>
        <w:rStyle w:val="PageNumber"/>
        <w:noProof/>
      </w:rPr>
      <w:t>1</w:t>
    </w:r>
    <w:r w:rsidR="0009405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4C8B13E"/>
    <w:lvl w:ilvl="0">
      <w:start w:val="1"/>
      <w:numFmt w:val="decimal"/>
      <w:pStyle w:val="Heading1"/>
      <w:lvlText w:val="%1"/>
      <w:legacy w:legacy="1" w:legacySpace="0" w:legacyIndent="1134"/>
      <w:lvlJc w:val="left"/>
      <w:pPr>
        <w:ind w:left="1134" w:hanging="1134"/>
      </w:pPr>
    </w:lvl>
    <w:lvl w:ilvl="1">
      <w:start w:val="1"/>
      <w:numFmt w:val="decimal"/>
      <w:pStyle w:val="Heading2"/>
      <w:lvlText w:val="%1.%2"/>
      <w:legacy w:legacy="1" w:legacySpace="0" w:legacyIndent="1134"/>
      <w:lvlJc w:val="left"/>
      <w:pPr>
        <w:ind w:left="1134" w:hanging="1134"/>
      </w:pPr>
    </w:lvl>
    <w:lvl w:ilvl="2">
      <w:start w:val="1"/>
      <w:numFmt w:val="decimal"/>
      <w:pStyle w:val="Heading3"/>
      <w:lvlText w:val="%1.%2.%3"/>
      <w:legacy w:legacy="1" w:legacySpace="0" w:legacyIndent="1134"/>
      <w:lvlJc w:val="left"/>
      <w:pPr>
        <w:ind w:left="1134" w:hanging="1134"/>
      </w:pPr>
    </w:lvl>
    <w:lvl w:ilvl="3">
      <w:start w:val="1"/>
      <w:numFmt w:val="decimal"/>
      <w:pStyle w:val="Heading4"/>
      <w:lvlText w:val="%4"/>
      <w:legacy w:legacy="1" w:legacySpace="0" w:legacyIndent="567"/>
      <w:lvlJc w:val="left"/>
    </w:lvl>
    <w:lvl w:ilvl="4">
      <w:start w:val="1"/>
      <w:numFmt w:val="lowerLetter"/>
      <w:pStyle w:val="Heading5"/>
      <w:lvlText w:val="(%5)"/>
      <w:legacy w:legacy="1" w:legacySpace="0" w:legacyIndent="567"/>
      <w:lvlJc w:val="left"/>
      <w:pPr>
        <w:ind w:left="851" w:hanging="567"/>
      </w:pPr>
    </w:lvl>
    <w:lvl w:ilvl="5">
      <w:start w:val="1"/>
      <w:numFmt w:val="lowerRoman"/>
      <w:pStyle w:val="Heading6"/>
      <w:lvlText w:val="(%6)"/>
      <w:legacy w:legacy="1" w:legacySpace="0" w:legacyIndent="567"/>
      <w:lvlJc w:val="left"/>
      <w:pPr>
        <w:ind w:left="1418" w:hanging="567"/>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291D6940"/>
    <w:multiLevelType w:val="hybridMultilevel"/>
    <w:tmpl w:val="454AA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EE2461"/>
    <w:multiLevelType w:val="hybridMultilevel"/>
    <w:tmpl w:val="9C0E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F42E5"/>
    <w:multiLevelType w:val="hybridMultilevel"/>
    <w:tmpl w:val="F7201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F0C"/>
    <w:rsid w:val="000623BE"/>
    <w:rsid w:val="00083A69"/>
    <w:rsid w:val="0009405D"/>
    <w:rsid w:val="00097A12"/>
    <w:rsid w:val="000E2411"/>
    <w:rsid w:val="001118C1"/>
    <w:rsid w:val="00164443"/>
    <w:rsid w:val="00200417"/>
    <w:rsid w:val="00245439"/>
    <w:rsid w:val="002866E5"/>
    <w:rsid w:val="002B73B1"/>
    <w:rsid w:val="002C6043"/>
    <w:rsid w:val="003475F8"/>
    <w:rsid w:val="00444488"/>
    <w:rsid w:val="0046530E"/>
    <w:rsid w:val="00473BD7"/>
    <w:rsid w:val="004C1A27"/>
    <w:rsid w:val="00593F4C"/>
    <w:rsid w:val="005B2230"/>
    <w:rsid w:val="005C7785"/>
    <w:rsid w:val="005E1868"/>
    <w:rsid w:val="00606300"/>
    <w:rsid w:val="00671FD4"/>
    <w:rsid w:val="00704A5D"/>
    <w:rsid w:val="00725DF7"/>
    <w:rsid w:val="007360D7"/>
    <w:rsid w:val="00746BE1"/>
    <w:rsid w:val="00761554"/>
    <w:rsid w:val="00775D7E"/>
    <w:rsid w:val="00786092"/>
    <w:rsid w:val="00861F0C"/>
    <w:rsid w:val="008D7888"/>
    <w:rsid w:val="008F5B94"/>
    <w:rsid w:val="00956130"/>
    <w:rsid w:val="00957F92"/>
    <w:rsid w:val="00962754"/>
    <w:rsid w:val="00995D8C"/>
    <w:rsid w:val="009A7807"/>
    <w:rsid w:val="00A27672"/>
    <w:rsid w:val="00A54C87"/>
    <w:rsid w:val="00A572CF"/>
    <w:rsid w:val="00A87E26"/>
    <w:rsid w:val="00B2554F"/>
    <w:rsid w:val="00B41970"/>
    <w:rsid w:val="00B81BB9"/>
    <w:rsid w:val="00BA06C7"/>
    <w:rsid w:val="00C205E7"/>
    <w:rsid w:val="00C50FF3"/>
    <w:rsid w:val="00C861FE"/>
    <w:rsid w:val="00D60AD7"/>
    <w:rsid w:val="00D716F8"/>
    <w:rsid w:val="00D71D06"/>
    <w:rsid w:val="00DB3163"/>
    <w:rsid w:val="00DF0362"/>
    <w:rsid w:val="00E54639"/>
    <w:rsid w:val="00F74130"/>
    <w:rsid w:val="00F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0"/>
    </w:pPr>
    <w:rPr>
      <w:sz w:val="24"/>
    </w:rPr>
  </w:style>
  <w:style w:type="paragraph" w:styleId="Heading1">
    <w:name w:val="heading 1"/>
    <w:basedOn w:val="Normal"/>
    <w:next w:val="Heading2"/>
    <w:qFormat/>
    <w:pPr>
      <w:numPr>
        <w:numId w:val="11"/>
      </w:numPr>
      <w:outlineLvl w:val="0"/>
    </w:pPr>
    <w:rPr>
      <w:kern w:val="28"/>
    </w:rPr>
  </w:style>
  <w:style w:type="paragraph" w:styleId="Heading2">
    <w:name w:val="heading 2"/>
    <w:basedOn w:val="Heading1"/>
    <w:qFormat/>
    <w:pPr>
      <w:numPr>
        <w:ilvl w:val="1"/>
        <w:numId w:val="12"/>
      </w:numPr>
      <w:outlineLvl w:val="1"/>
    </w:pPr>
  </w:style>
  <w:style w:type="paragraph" w:styleId="Heading3">
    <w:name w:val="heading 3"/>
    <w:basedOn w:val="Heading2"/>
    <w:qFormat/>
    <w:pPr>
      <w:numPr>
        <w:ilvl w:val="2"/>
        <w:numId w:val="13"/>
      </w:numPr>
      <w:outlineLvl w:val="2"/>
    </w:pPr>
  </w:style>
  <w:style w:type="paragraph" w:styleId="Heading4">
    <w:name w:val="heading 4"/>
    <w:basedOn w:val="Normal"/>
    <w:qFormat/>
    <w:pPr>
      <w:numPr>
        <w:ilvl w:val="3"/>
        <w:numId w:val="14"/>
      </w:numPr>
      <w:outlineLvl w:val="3"/>
    </w:pPr>
  </w:style>
  <w:style w:type="paragraph" w:styleId="Heading5">
    <w:name w:val="heading 5"/>
    <w:basedOn w:val="Normal"/>
    <w:qFormat/>
    <w:pPr>
      <w:numPr>
        <w:ilvl w:val="4"/>
        <w:numId w:val="15"/>
      </w:numPr>
      <w:outlineLvl w:val="4"/>
    </w:pPr>
  </w:style>
  <w:style w:type="paragraph" w:styleId="Heading6">
    <w:name w:val="heading 6"/>
    <w:basedOn w:val="Normal"/>
    <w:qFormat/>
    <w:pPr>
      <w:numPr>
        <w:ilvl w:val="5"/>
        <w:numId w:val="16"/>
      </w:numPr>
      <w:outlineLvl w:val="5"/>
    </w:pPr>
  </w:style>
  <w:style w:type="paragraph" w:styleId="Heading7">
    <w:name w:val="heading 7"/>
    <w:basedOn w:val="Normal"/>
    <w:next w:val="Normal"/>
    <w:qFormat/>
    <w:pPr>
      <w:numPr>
        <w:ilvl w:val="6"/>
        <w:numId w:val="17"/>
      </w:numPr>
      <w:spacing w:before="240" w:after="60"/>
      <w:ind w:left="5103"/>
      <w:outlineLvl w:val="6"/>
    </w:pPr>
    <w:rPr>
      <w:rFonts w:ascii="Arial" w:hAnsi="Arial"/>
      <w:sz w:val="20"/>
    </w:rPr>
  </w:style>
  <w:style w:type="paragraph" w:styleId="Heading8">
    <w:name w:val="heading 8"/>
    <w:basedOn w:val="Normal"/>
    <w:next w:val="Normal"/>
    <w:qFormat/>
    <w:pPr>
      <w:numPr>
        <w:ilvl w:val="7"/>
        <w:numId w:val="18"/>
      </w:numPr>
      <w:spacing w:before="240" w:after="60"/>
      <w:ind w:left="5103"/>
      <w:outlineLvl w:val="7"/>
    </w:pPr>
    <w:rPr>
      <w:rFonts w:ascii="Arial" w:hAnsi="Arial"/>
      <w:i/>
      <w:sz w:val="20"/>
    </w:rPr>
  </w:style>
  <w:style w:type="paragraph" w:styleId="Heading9">
    <w:name w:val="heading 9"/>
    <w:basedOn w:val="Normal"/>
    <w:next w:val="Normal"/>
    <w:qFormat/>
    <w:pPr>
      <w:numPr>
        <w:ilvl w:val="8"/>
        <w:numId w:val="19"/>
      </w:numPr>
      <w:spacing w:before="240" w:after="60"/>
      <w:ind w:left="5103"/>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040"/>
        <w:tab w:val="right" w:pos="9994"/>
      </w:tabs>
      <w:spacing w:after="0"/>
    </w:pPr>
  </w:style>
  <w:style w:type="paragraph" w:styleId="Footer">
    <w:name w:val="footer"/>
    <w:basedOn w:val="Normal"/>
    <w:pPr>
      <w:tabs>
        <w:tab w:val="center" w:pos="5040"/>
        <w:tab w:val="right" w:pos="9994"/>
      </w:tabs>
      <w:spacing w:after="0"/>
    </w:pPr>
  </w:style>
  <w:style w:type="paragraph" w:styleId="NormalIndent">
    <w:name w:val="Normal Indent"/>
    <w:basedOn w:val="Normal"/>
    <w:pPr>
      <w:ind w:left="1134"/>
    </w:pPr>
  </w:style>
  <w:style w:type="paragraph" w:customStyle="1" w:styleId="Address">
    <w:name w:val="Address"/>
    <w:basedOn w:val="Normal"/>
    <w:pPr>
      <w:spacing w:after="0"/>
    </w:pPr>
  </w:style>
  <w:style w:type="paragraph" w:styleId="Subtitle">
    <w:name w:val="Subtitle"/>
    <w:basedOn w:val="Normal"/>
    <w:qFormat/>
    <w:pPr>
      <w:spacing w:after="60"/>
      <w:jc w:val="center"/>
    </w:pPr>
    <w:rPr>
      <w:rFonts w:ascii="Arial" w:hAnsi="Arial"/>
      <w:i/>
    </w:rPr>
  </w:style>
  <w:style w:type="paragraph" w:customStyle="1" w:styleId="Singline">
    <w:name w:val="Singline"/>
    <w:basedOn w:val="Normal"/>
    <w:pPr>
      <w:spacing w:after="0"/>
    </w:pPr>
  </w:style>
  <w:style w:type="paragraph" w:customStyle="1" w:styleId="Undhead">
    <w:name w:val="Undhead"/>
    <w:basedOn w:val="Normal"/>
    <w:pPr>
      <w:keepNext/>
    </w:pPr>
    <w:rPr>
      <w:u w:val="single"/>
    </w:rPr>
  </w:style>
  <w:style w:type="paragraph" w:customStyle="1" w:styleId="Single">
    <w:name w:val="Single"/>
    <w:basedOn w:val="Normal"/>
    <w:pPr>
      <w:spacing w:after="0"/>
    </w:pPr>
  </w:style>
  <w:style w:type="paragraph" w:customStyle="1" w:styleId="112space">
    <w:name w:val="11/2space"/>
    <w:basedOn w:val="Normal"/>
    <w:pPr>
      <w:spacing w:after="360" w:line="360" w:lineRule="auto"/>
    </w:pPr>
  </w:style>
  <w:style w:type="character" w:styleId="PageNumber">
    <w:name w:val="page number"/>
    <w:basedOn w:val="DefaultParagraphFont"/>
  </w:style>
  <w:style w:type="character" w:styleId="Hyperlink">
    <w:name w:val="Hyperlink"/>
    <w:basedOn w:val="DefaultParagraphFont"/>
    <w:uiPriority w:val="99"/>
    <w:unhideWhenUsed/>
    <w:rsid w:val="00861F0C"/>
    <w:rPr>
      <w:color w:val="0000FF" w:themeColor="hyperlink"/>
      <w:u w:val="single"/>
    </w:rPr>
  </w:style>
  <w:style w:type="paragraph" w:styleId="BalloonText">
    <w:name w:val="Balloon Text"/>
    <w:basedOn w:val="Normal"/>
    <w:link w:val="BalloonTextChar"/>
    <w:uiPriority w:val="99"/>
    <w:semiHidden/>
    <w:unhideWhenUsed/>
    <w:rsid w:val="00861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0C"/>
    <w:rPr>
      <w:rFonts w:ascii="Tahoma" w:hAnsi="Tahoma" w:cs="Tahoma"/>
      <w:sz w:val="16"/>
      <w:szCs w:val="16"/>
    </w:rPr>
  </w:style>
  <w:style w:type="paragraph" w:styleId="ListParagraph">
    <w:name w:val="List Paragraph"/>
    <w:basedOn w:val="Normal"/>
    <w:uiPriority w:val="34"/>
    <w:qFormat/>
    <w:rsid w:val="00E54639"/>
    <w:pPr>
      <w:ind w:left="720"/>
    </w:pPr>
  </w:style>
  <w:style w:type="character" w:styleId="FollowedHyperlink">
    <w:name w:val="FollowedHyperlink"/>
    <w:basedOn w:val="DefaultParagraphFont"/>
    <w:uiPriority w:val="99"/>
    <w:semiHidden/>
    <w:unhideWhenUsed/>
    <w:rsid w:val="00B81BB9"/>
    <w:rPr>
      <w:color w:val="800080" w:themeColor="followedHyperlink"/>
      <w:u w:val="single"/>
    </w:rPr>
  </w:style>
  <w:style w:type="character" w:styleId="CommentReference">
    <w:name w:val="annotation reference"/>
    <w:basedOn w:val="DefaultParagraphFont"/>
    <w:uiPriority w:val="99"/>
    <w:semiHidden/>
    <w:unhideWhenUsed/>
    <w:rsid w:val="00473BD7"/>
    <w:rPr>
      <w:sz w:val="16"/>
      <w:szCs w:val="16"/>
    </w:rPr>
  </w:style>
  <w:style w:type="paragraph" w:styleId="CommentText">
    <w:name w:val="annotation text"/>
    <w:basedOn w:val="Normal"/>
    <w:link w:val="CommentTextChar"/>
    <w:uiPriority w:val="99"/>
    <w:semiHidden/>
    <w:unhideWhenUsed/>
    <w:rsid w:val="00473BD7"/>
    <w:rPr>
      <w:sz w:val="20"/>
    </w:rPr>
  </w:style>
  <w:style w:type="character" w:customStyle="1" w:styleId="CommentTextChar">
    <w:name w:val="Comment Text Char"/>
    <w:basedOn w:val="DefaultParagraphFont"/>
    <w:link w:val="CommentText"/>
    <w:uiPriority w:val="99"/>
    <w:semiHidden/>
    <w:rsid w:val="00473BD7"/>
  </w:style>
  <w:style w:type="paragraph" w:styleId="CommentSubject">
    <w:name w:val="annotation subject"/>
    <w:basedOn w:val="CommentText"/>
    <w:next w:val="CommentText"/>
    <w:link w:val="CommentSubjectChar"/>
    <w:uiPriority w:val="99"/>
    <w:semiHidden/>
    <w:unhideWhenUsed/>
    <w:rsid w:val="00473BD7"/>
    <w:rPr>
      <w:b/>
      <w:bCs/>
    </w:rPr>
  </w:style>
  <w:style w:type="character" w:customStyle="1" w:styleId="CommentSubjectChar">
    <w:name w:val="Comment Subject Char"/>
    <w:basedOn w:val="CommentTextChar"/>
    <w:link w:val="CommentSubject"/>
    <w:uiPriority w:val="99"/>
    <w:semiHidden/>
    <w:rsid w:val="00473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wl:dms=BOE-DMS&amp;&amp;lib=Services&amp;&amp;num=13596062&amp;&amp;ver=1&amp;&amp;latest=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iwl:dms=BOE-DMS&amp;&amp;lib=Services&amp;&amp;num=11724972&amp;&amp;ver=4&amp;&amp;lates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wl:dms=BOE-DMS&amp;&amp;lib=Services&amp;&amp;num=10903746&amp;&amp;ver=1&amp;&amp;latest=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nkwide\files\office%202007%20templates\Legal%20Unit\BoEembl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C096-19B4-4BEC-A55E-DE99744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BoEemblem</Template>
  <TotalTime>65</TotalTime>
  <Pages>1</Pages>
  <Words>411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Default HOF Letter</vt:lpstr>
    </vt:vector>
  </TitlesOfParts>
  <Company>Bank of England</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HOF Letter</dc:title>
  <dc:subject>Created 12/5/95</dc:subject>
  <dc:creator>Hemmings, Joanna</dc:creator>
  <cp:keywords>Version 1</cp:keywords>
  <cp:lastModifiedBy>McCARTHY, K E</cp:lastModifiedBy>
  <cp:revision>22</cp:revision>
  <cp:lastPrinted>1901-01-01T00:00:00Z</cp:lastPrinted>
  <dcterms:created xsi:type="dcterms:W3CDTF">2018-09-11T13:05:00Z</dcterms:created>
  <dcterms:modified xsi:type="dcterms:W3CDTF">2018-09-13T18:21:00Z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13604421</vt:lpwstr>
  </property>
  <property fmtid="{D5CDD505-2E9C-101B-9397-08002B2CF9AE}" pid="3" name="DocVer">
    <vt:lpwstr>Services 13604421v1</vt:lpwstr>
  </property>
</Properties>
</file>