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6196" w14:textId="2C22D312" w:rsidR="00CC4CE1" w:rsidRDefault="00CC4CE1" w:rsidP="00101F8B"/>
    <w:tbl>
      <w:tblPr>
        <w:tblStyle w:val="TableGrid"/>
        <w:tblW w:w="9725" w:type="dxa"/>
        <w:tblLook w:val="04A0" w:firstRow="1" w:lastRow="0" w:firstColumn="1" w:lastColumn="0" w:noHBand="0" w:noVBand="1"/>
      </w:tblPr>
      <w:tblGrid>
        <w:gridCol w:w="2385"/>
        <w:gridCol w:w="7340"/>
      </w:tblGrid>
      <w:tr w:rsidR="00BA738E" w:rsidRPr="00BA738E" w14:paraId="6C5039DB" w14:textId="77777777" w:rsidTr="00231100">
        <w:tc>
          <w:tcPr>
            <w:tcW w:w="1980" w:type="dxa"/>
          </w:tcPr>
          <w:p w14:paraId="26F66216" w14:textId="77777777" w:rsidR="00BA738E" w:rsidRPr="00BA738E" w:rsidRDefault="00BA738E" w:rsidP="00231100">
            <w:pPr>
              <w:spacing w:line="360" w:lineRule="auto"/>
              <w:rPr>
                <w:b/>
                <w:bCs/>
                <w:color w:val="4472C4" w:themeColor="accent1"/>
                <w:sz w:val="36"/>
                <w:szCs w:val="36"/>
              </w:rPr>
            </w:pPr>
            <w:bookmarkStart w:id="0" w:name="_Toc397327367"/>
            <w:bookmarkStart w:id="1" w:name="_Toc397330228"/>
            <w:bookmarkStart w:id="2" w:name="_Toc422059236"/>
            <w:bookmarkStart w:id="3" w:name="_Toc422060939"/>
            <w:bookmarkStart w:id="4" w:name="_Toc422079036"/>
            <w:bookmarkStart w:id="5" w:name="_Toc422085288"/>
            <w:bookmarkStart w:id="6" w:name="_Toc426708678"/>
            <w:r w:rsidRPr="00BA738E">
              <w:rPr>
                <w:b/>
                <w:bCs/>
                <w:color w:val="4472C4" w:themeColor="accent1"/>
                <w:sz w:val="36"/>
                <w:szCs w:val="36"/>
              </w:rPr>
              <w:t xml:space="preserve">Document 03 </w:t>
            </w:r>
          </w:p>
        </w:tc>
        <w:tc>
          <w:tcPr>
            <w:tcW w:w="6095" w:type="dxa"/>
          </w:tcPr>
          <w:p w14:paraId="551D9E56" w14:textId="77777777" w:rsidR="00BA738E" w:rsidRPr="00BA738E" w:rsidRDefault="00BA738E" w:rsidP="00231100">
            <w:pPr>
              <w:spacing w:line="360" w:lineRule="auto"/>
              <w:rPr>
                <w:b/>
                <w:bCs/>
                <w:color w:val="4472C4" w:themeColor="accent1"/>
                <w:sz w:val="36"/>
                <w:szCs w:val="36"/>
              </w:rPr>
            </w:pPr>
            <w:r w:rsidRPr="00BA738E">
              <w:rPr>
                <w:b/>
                <w:bCs/>
                <w:color w:val="4472C4" w:themeColor="accent1"/>
                <w:sz w:val="36"/>
                <w:szCs w:val="36"/>
              </w:rPr>
              <w:t>Schedule 1 - Employers Requirements (Specification)</w:t>
            </w:r>
          </w:p>
        </w:tc>
      </w:tr>
      <w:bookmarkEnd w:id="0"/>
      <w:bookmarkEnd w:id="1"/>
      <w:bookmarkEnd w:id="2"/>
      <w:bookmarkEnd w:id="3"/>
      <w:bookmarkEnd w:id="4"/>
      <w:bookmarkEnd w:id="5"/>
      <w:bookmarkEnd w:id="6"/>
    </w:tbl>
    <w:p w14:paraId="7976B922" w14:textId="75147E97" w:rsidR="007554A4" w:rsidRPr="00D1383A" w:rsidRDefault="007554A4" w:rsidP="008378EB">
      <w:pPr>
        <w:pStyle w:val="Heading1"/>
        <w:jc w:val="center"/>
        <w:rPr>
          <w:color w:val="8496B0" w:themeColor="text2" w:themeTint="99"/>
          <w:sz w:val="48"/>
          <w:szCs w:val="48"/>
        </w:rPr>
      </w:pPr>
    </w:p>
    <w:p w14:paraId="2C677FC6" w14:textId="18D82377" w:rsidR="00D56EE7" w:rsidRPr="00D67E2F" w:rsidRDefault="00D56EE7" w:rsidP="00D56EE7">
      <w:pPr>
        <w:ind w:left="851" w:hanging="851"/>
        <w:jc w:val="center"/>
        <w:rPr>
          <w:b/>
          <w:bCs/>
          <w:sz w:val="36"/>
          <w:szCs w:val="36"/>
        </w:rPr>
      </w:pPr>
      <w:r w:rsidRPr="00D67E2F">
        <w:rPr>
          <w:b/>
          <w:bCs/>
          <w:sz w:val="36"/>
          <w:szCs w:val="36"/>
        </w:rPr>
        <w:t>HAC5901 Sanctuary</w:t>
      </w:r>
      <w:r>
        <w:rPr>
          <w:b/>
          <w:bCs/>
          <w:sz w:val="36"/>
          <w:szCs w:val="36"/>
        </w:rPr>
        <w:t xml:space="preserve"> Scheme</w:t>
      </w:r>
      <w:r w:rsidRPr="00D67E2F">
        <w:rPr>
          <w:b/>
          <w:bCs/>
          <w:sz w:val="36"/>
          <w:szCs w:val="36"/>
        </w:rPr>
        <w:t xml:space="preserve"> Project</w:t>
      </w:r>
    </w:p>
    <w:p w14:paraId="1963E644" w14:textId="77777777" w:rsidR="0031624F" w:rsidRPr="005B5BB7" w:rsidRDefault="0031624F" w:rsidP="0031624F">
      <w:pPr>
        <w:jc w:val="center"/>
      </w:pPr>
    </w:p>
    <w:p w14:paraId="28857BCF" w14:textId="77777777" w:rsidR="0031624F" w:rsidRPr="005B5BB7" w:rsidRDefault="0031624F" w:rsidP="0031624F">
      <w:pPr>
        <w:jc w:val="center"/>
      </w:pPr>
    </w:p>
    <w:p w14:paraId="23EB7FC4" w14:textId="77777777" w:rsidR="0031624F" w:rsidRPr="005B5BB7" w:rsidRDefault="0031624F" w:rsidP="0031624F">
      <w:pPr>
        <w:jc w:val="center"/>
      </w:pPr>
    </w:p>
    <w:p w14:paraId="1C914FF2" w14:textId="77777777" w:rsidR="0031624F" w:rsidRPr="005B5BB7" w:rsidRDefault="0031624F" w:rsidP="0031624F">
      <w:r w:rsidRPr="005B5BB7">
        <w:br w:type="page"/>
      </w:r>
    </w:p>
    <w:p w14:paraId="0DB4A88F" w14:textId="77777777" w:rsidR="0031624F" w:rsidRPr="005B5BB7" w:rsidRDefault="0031624F" w:rsidP="0031624F">
      <w:pPr>
        <w:ind w:left="426" w:hanging="426"/>
        <w:rPr>
          <w:b/>
          <w:sz w:val="22"/>
          <w:szCs w:val="20"/>
          <w:lang w:eastAsia="en-US"/>
        </w:rPr>
      </w:pPr>
    </w:p>
    <w:sdt>
      <w:sdtPr>
        <w:rPr>
          <w:rFonts w:ascii="Arial" w:eastAsia="Times New Roman" w:hAnsi="Arial" w:cs="Times New Roman"/>
          <w:color w:val="auto"/>
          <w:sz w:val="24"/>
          <w:szCs w:val="24"/>
          <w:lang w:val="en-GB" w:eastAsia="en-GB"/>
        </w:rPr>
        <w:id w:val="355624227"/>
        <w:docPartObj>
          <w:docPartGallery w:val="Table of Contents"/>
          <w:docPartUnique/>
        </w:docPartObj>
      </w:sdtPr>
      <w:sdtEndPr>
        <w:rPr>
          <w:rFonts w:eastAsiaTheme="minorEastAsia" w:cs="Arial"/>
          <w:b/>
          <w:bCs/>
          <w:noProof/>
        </w:rPr>
      </w:sdtEndPr>
      <w:sdtContent>
        <w:p w14:paraId="66B3232B" w14:textId="77777777" w:rsidR="0031624F" w:rsidRDefault="0031624F" w:rsidP="0031624F">
          <w:pPr>
            <w:pStyle w:val="TOCHeading"/>
          </w:pPr>
          <w:r>
            <w:t>Contents</w:t>
          </w:r>
        </w:p>
        <w:p w14:paraId="01590713" w14:textId="77777777" w:rsidR="0031624F" w:rsidRDefault="0031624F" w:rsidP="0031624F">
          <w:pPr>
            <w:pStyle w:val="TOC1"/>
            <w:tabs>
              <w:tab w:val="right" w:leader="dot" w:pos="8296"/>
            </w:tabs>
            <w:rPr>
              <w:noProof/>
            </w:rPr>
          </w:pPr>
          <w:r>
            <w:fldChar w:fldCharType="begin"/>
          </w:r>
          <w:r>
            <w:instrText xml:space="preserve"> TOC \o "1-3" \h \z \u </w:instrText>
          </w:r>
          <w:r>
            <w:fldChar w:fldCharType="separate"/>
          </w:r>
          <w:hyperlink w:anchor="_Toc64525987" w:history="1">
            <w:r w:rsidRPr="00F97249">
              <w:rPr>
                <w:rStyle w:val="Hyperlink"/>
                <w:noProof/>
              </w:rPr>
              <w:t>Schedule 1- Specifications</w:t>
            </w:r>
            <w:r>
              <w:rPr>
                <w:noProof/>
                <w:webHidden/>
              </w:rPr>
              <w:tab/>
            </w:r>
            <w:r>
              <w:rPr>
                <w:noProof/>
                <w:webHidden/>
              </w:rPr>
              <w:fldChar w:fldCharType="begin"/>
            </w:r>
            <w:r>
              <w:rPr>
                <w:noProof/>
                <w:webHidden/>
              </w:rPr>
              <w:instrText xml:space="preserve"> PAGEREF _Toc64525987 \h </w:instrText>
            </w:r>
            <w:r>
              <w:rPr>
                <w:noProof/>
                <w:webHidden/>
              </w:rPr>
            </w:r>
            <w:r>
              <w:rPr>
                <w:noProof/>
                <w:webHidden/>
              </w:rPr>
              <w:fldChar w:fldCharType="separate"/>
            </w:r>
            <w:r>
              <w:rPr>
                <w:noProof/>
                <w:webHidden/>
              </w:rPr>
              <w:t>1</w:t>
            </w:r>
            <w:r>
              <w:rPr>
                <w:noProof/>
                <w:webHidden/>
              </w:rPr>
              <w:fldChar w:fldCharType="end"/>
            </w:r>
          </w:hyperlink>
        </w:p>
        <w:p w14:paraId="4F71029F" w14:textId="77777777" w:rsidR="0031624F" w:rsidRDefault="00A212DC" w:rsidP="0031624F">
          <w:pPr>
            <w:pStyle w:val="TOC1"/>
            <w:tabs>
              <w:tab w:val="left" w:pos="440"/>
              <w:tab w:val="right" w:leader="dot" w:pos="8296"/>
            </w:tabs>
            <w:rPr>
              <w:noProof/>
            </w:rPr>
          </w:pPr>
          <w:hyperlink w:anchor="_Toc64525988" w:history="1">
            <w:r w:rsidR="0031624F" w:rsidRPr="00F97249">
              <w:rPr>
                <w:rStyle w:val="Hyperlink"/>
                <w:noProof/>
                <w:lang w:eastAsia="en-US"/>
              </w:rPr>
              <w:t>1.</w:t>
            </w:r>
            <w:r w:rsidR="0031624F">
              <w:rPr>
                <w:noProof/>
              </w:rPr>
              <w:tab/>
            </w:r>
            <w:r w:rsidR="0031624F" w:rsidRPr="00F97249">
              <w:rPr>
                <w:rStyle w:val="Hyperlink"/>
                <w:noProof/>
                <w:lang w:eastAsia="en-US"/>
              </w:rPr>
              <w:t>Background</w:t>
            </w:r>
            <w:r w:rsidR="0031624F">
              <w:rPr>
                <w:noProof/>
                <w:webHidden/>
              </w:rPr>
              <w:tab/>
            </w:r>
            <w:r w:rsidR="0031624F">
              <w:rPr>
                <w:noProof/>
                <w:webHidden/>
              </w:rPr>
              <w:fldChar w:fldCharType="begin"/>
            </w:r>
            <w:r w:rsidR="0031624F">
              <w:rPr>
                <w:noProof/>
                <w:webHidden/>
              </w:rPr>
              <w:instrText xml:space="preserve"> PAGEREF _Toc64525988 \h </w:instrText>
            </w:r>
            <w:r w:rsidR="0031624F">
              <w:rPr>
                <w:noProof/>
                <w:webHidden/>
              </w:rPr>
            </w:r>
            <w:r w:rsidR="0031624F">
              <w:rPr>
                <w:noProof/>
                <w:webHidden/>
              </w:rPr>
              <w:fldChar w:fldCharType="separate"/>
            </w:r>
            <w:r w:rsidR="0031624F">
              <w:rPr>
                <w:noProof/>
                <w:webHidden/>
              </w:rPr>
              <w:t>2</w:t>
            </w:r>
            <w:r w:rsidR="0031624F">
              <w:rPr>
                <w:noProof/>
                <w:webHidden/>
              </w:rPr>
              <w:fldChar w:fldCharType="end"/>
            </w:r>
          </w:hyperlink>
        </w:p>
        <w:p w14:paraId="3D7E79BC" w14:textId="77777777" w:rsidR="0031624F" w:rsidRDefault="00A212DC" w:rsidP="0031624F">
          <w:pPr>
            <w:pStyle w:val="TOC1"/>
            <w:tabs>
              <w:tab w:val="left" w:pos="440"/>
              <w:tab w:val="right" w:leader="dot" w:pos="8296"/>
            </w:tabs>
            <w:rPr>
              <w:noProof/>
            </w:rPr>
          </w:pPr>
          <w:hyperlink w:anchor="_Toc64525989" w:history="1">
            <w:r w:rsidR="0031624F" w:rsidRPr="00F97249">
              <w:rPr>
                <w:rStyle w:val="Hyperlink"/>
                <w:noProof/>
                <w:lang w:eastAsia="en-US"/>
              </w:rPr>
              <w:t>2.</w:t>
            </w:r>
            <w:r w:rsidR="0031624F">
              <w:rPr>
                <w:noProof/>
              </w:rPr>
              <w:tab/>
            </w:r>
            <w:r w:rsidR="0031624F" w:rsidRPr="00F97249">
              <w:rPr>
                <w:rStyle w:val="Hyperlink"/>
                <w:noProof/>
                <w:lang w:eastAsia="en-US"/>
              </w:rPr>
              <w:t>Experience</w:t>
            </w:r>
            <w:r w:rsidR="0031624F">
              <w:rPr>
                <w:noProof/>
                <w:webHidden/>
              </w:rPr>
              <w:tab/>
            </w:r>
            <w:r w:rsidR="0031624F">
              <w:rPr>
                <w:noProof/>
                <w:webHidden/>
              </w:rPr>
              <w:fldChar w:fldCharType="begin"/>
            </w:r>
            <w:r w:rsidR="0031624F">
              <w:rPr>
                <w:noProof/>
                <w:webHidden/>
              </w:rPr>
              <w:instrText xml:space="preserve"> PAGEREF _Toc64525989 \h </w:instrText>
            </w:r>
            <w:r w:rsidR="0031624F">
              <w:rPr>
                <w:noProof/>
                <w:webHidden/>
              </w:rPr>
            </w:r>
            <w:r w:rsidR="0031624F">
              <w:rPr>
                <w:noProof/>
                <w:webHidden/>
              </w:rPr>
              <w:fldChar w:fldCharType="separate"/>
            </w:r>
            <w:r w:rsidR="0031624F">
              <w:rPr>
                <w:noProof/>
                <w:webHidden/>
              </w:rPr>
              <w:t>3</w:t>
            </w:r>
            <w:r w:rsidR="0031624F">
              <w:rPr>
                <w:noProof/>
                <w:webHidden/>
              </w:rPr>
              <w:fldChar w:fldCharType="end"/>
            </w:r>
          </w:hyperlink>
        </w:p>
        <w:p w14:paraId="3810FCC9" w14:textId="77777777" w:rsidR="0031624F" w:rsidRDefault="00A212DC" w:rsidP="0031624F">
          <w:pPr>
            <w:pStyle w:val="TOC1"/>
            <w:tabs>
              <w:tab w:val="left" w:pos="440"/>
              <w:tab w:val="right" w:leader="dot" w:pos="8296"/>
            </w:tabs>
            <w:rPr>
              <w:noProof/>
            </w:rPr>
          </w:pPr>
          <w:hyperlink w:anchor="_Toc64525990" w:history="1">
            <w:r w:rsidR="0031624F" w:rsidRPr="00F97249">
              <w:rPr>
                <w:rStyle w:val="Hyperlink"/>
                <w:noProof/>
                <w:lang w:eastAsia="en-US"/>
              </w:rPr>
              <w:t>3.</w:t>
            </w:r>
            <w:r w:rsidR="0031624F">
              <w:rPr>
                <w:noProof/>
              </w:rPr>
              <w:tab/>
            </w:r>
            <w:r w:rsidR="0031624F" w:rsidRPr="00F97249">
              <w:rPr>
                <w:rStyle w:val="Hyperlink"/>
                <w:noProof/>
                <w:lang w:eastAsia="en-US"/>
              </w:rPr>
              <w:t>Service Objectives</w:t>
            </w:r>
            <w:r w:rsidR="0031624F">
              <w:rPr>
                <w:noProof/>
                <w:webHidden/>
              </w:rPr>
              <w:tab/>
            </w:r>
            <w:r w:rsidR="0031624F">
              <w:rPr>
                <w:noProof/>
                <w:webHidden/>
              </w:rPr>
              <w:fldChar w:fldCharType="begin"/>
            </w:r>
            <w:r w:rsidR="0031624F">
              <w:rPr>
                <w:noProof/>
                <w:webHidden/>
              </w:rPr>
              <w:instrText xml:space="preserve"> PAGEREF _Toc64525990 \h </w:instrText>
            </w:r>
            <w:r w:rsidR="0031624F">
              <w:rPr>
                <w:noProof/>
                <w:webHidden/>
              </w:rPr>
            </w:r>
            <w:r w:rsidR="0031624F">
              <w:rPr>
                <w:noProof/>
                <w:webHidden/>
              </w:rPr>
              <w:fldChar w:fldCharType="separate"/>
            </w:r>
            <w:r w:rsidR="0031624F">
              <w:rPr>
                <w:noProof/>
                <w:webHidden/>
              </w:rPr>
              <w:t>3</w:t>
            </w:r>
            <w:r w:rsidR="0031624F">
              <w:rPr>
                <w:noProof/>
                <w:webHidden/>
              </w:rPr>
              <w:fldChar w:fldCharType="end"/>
            </w:r>
          </w:hyperlink>
        </w:p>
        <w:p w14:paraId="7EBE7C8A" w14:textId="77777777" w:rsidR="0031624F" w:rsidRDefault="00A212DC" w:rsidP="0031624F">
          <w:pPr>
            <w:pStyle w:val="TOC1"/>
            <w:tabs>
              <w:tab w:val="left" w:pos="440"/>
              <w:tab w:val="right" w:leader="dot" w:pos="8296"/>
            </w:tabs>
            <w:rPr>
              <w:noProof/>
            </w:rPr>
          </w:pPr>
          <w:hyperlink w:anchor="_Toc64525991" w:history="1">
            <w:r w:rsidR="0031624F" w:rsidRPr="00F97249">
              <w:rPr>
                <w:rStyle w:val="Hyperlink"/>
                <w:noProof/>
                <w:lang w:eastAsia="en-US"/>
              </w:rPr>
              <w:t>4.</w:t>
            </w:r>
            <w:r w:rsidR="0031624F">
              <w:rPr>
                <w:noProof/>
              </w:rPr>
              <w:tab/>
            </w:r>
            <w:r w:rsidR="0031624F" w:rsidRPr="00F97249">
              <w:rPr>
                <w:rStyle w:val="Hyperlink"/>
                <w:noProof/>
                <w:lang w:eastAsia="en-US"/>
              </w:rPr>
              <w:t>Scope of the Work</w:t>
            </w:r>
            <w:r w:rsidR="0031624F">
              <w:rPr>
                <w:noProof/>
                <w:webHidden/>
              </w:rPr>
              <w:tab/>
            </w:r>
            <w:r w:rsidR="0031624F">
              <w:rPr>
                <w:noProof/>
                <w:webHidden/>
              </w:rPr>
              <w:fldChar w:fldCharType="begin"/>
            </w:r>
            <w:r w:rsidR="0031624F">
              <w:rPr>
                <w:noProof/>
                <w:webHidden/>
              </w:rPr>
              <w:instrText xml:space="preserve"> PAGEREF _Toc64525991 \h </w:instrText>
            </w:r>
            <w:r w:rsidR="0031624F">
              <w:rPr>
                <w:noProof/>
                <w:webHidden/>
              </w:rPr>
            </w:r>
            <w:r w:rsidR="0031624F">
              <w:rPr>
                <w:noProof/>
                <w:webHidden/>
              </w:rPr>
              <w:fldChar w:fldCharType="separate"/>
            </w:r>
            <w:r w:rsidR="0031624F">
              <w:rPr>
                <w:noProof/>
                <w:webHidden/>
              </w:rPr>
              <w:t>4</w:t>
            </w:r>
            <w:r w:rsidR="0031624F">
              <w:rPr>
                <w:noProof/>
                <w:webHidden/>
              </w:rPr>
              <w:fldChar w:fldCharType="end"/>
            </w:r>
          </w:hyperlink>
        </w:p>
        <w:p w14:paraId="6CBCABF2" w14:textId="77777777" w:rsidR="0031624F" w:rsidRDefault="00A212DC" w:rsidP="0031624F">
          <w:pPr>
            <w:pStyle w:val="TOC1"/>
            <w:tabs>
              <w:tab w:val="left" w:pos="440"/>
              <w:tab w:val="right" w:leader="dot" w:pos="8296"/>
            </w:tabs>
            <w:rPr>
              <w:noProof/>
            </w:rPr>
          </w:pPr>
          <w:hyperlink w:anchor="_Toc64525992" w:history="1">
            <w:r w:rsidR="0031624F" w:rsidRPr="00F97249">
              <w:rPr>
                <w:rStyle w:val="Hyperlink"/>
                <w:noProof/>
                <w:lang w:eastAsia="en-US"/>
              </w:rPr>
              <w:t>5.</w:t>
            </w:r>
            <w:r w:rsidR="0031624F">
              <w:rPr>
                <w:noProof/>
              </w:rPr>
              <w:tab/>
            </w:r>
            <w:r w:rsidR="0031624F" w:rsidRPr="00F97249">
              <w:rPr>
                <w:rStyle w:val="Hyperlink"/>
                <w:noProof/>
                <w:lang w:eastAsia="en-US"/>
              </w:rPr>
              <w:t>Delivery of Services</w:t>
            </w:r>
            <w:r w:rsidR="0031624F">
              <w:rPr>
                <w:noProof/>
                <w:webHidden/>
              </w:rPr>
              <w:tab/>
            </w:r>
            <w:r w:rsidR="0031624F">
              <w:rPr>
                <w:noProof/>
                <w:webHidden/>
              </w:rPr>
              <w:fldChar w:fldCharType="begin"/>
            </w:r>
            <w:r w:rsidR="0031624F">
              <w:rPr>
                <w:noProof/>
                <w:webHidden/>
              </w:rPr>
              <w:instrText xml:space="preserve"> PAGEREF _Toc64525992 \h </w:instrText>
            </w:r>
            <w:r w:rsidR="0031624F">
              <w:rPr>
                <w:noProof/>
                <w:webHidden/>
              </w:rPr>
            </w:r>
            <w:r w:rsidR="0031624F">
              <w:rPr>
                <w:noProof/>
                <w:webHidden/>
              </w:rPr>
              <w:fldChar w:fldCharType="separate"/>
            </w:r>
            <w:r w:rsidR="0031624F">
              <w:rPr>
                <w:noProof/>
                <w:webHidden/>
              </w:rPr>
              <w:t>4</w:t>
            </w:r>
            <w:r w:rsidR="0031624F">
              <w:rPr>
                <w:noProof/>
                <w:webHidden/>
              </w:rPr>
              <w:fldChar w:fldCharType="end"/>
            </w:r>
          </w:hyperlink>
        </w:p>
        <w:p w14:paraId="1D1D5FD2" w14:textId="77777777" w:rsidR="0031624F" w:rsidRDefault="00A212DC" w:rsidP="0031624F">
          <w:pPr>
            <w:pStyle w:val="TOC1"/>
            <w:tabs>
              <w:tab w:val="left" w:pos="440"/>
              <w:tab w:val="right" w:leader="dot" w:pos="8296"/>
            </w:tabs>
            <w:rPr>
              <w:noProof/>
            </w:rPr>
          </w:pPr>
          <w:hyperlink w:anchor="_Toc64525993" w:history="1">
            <w:r w:rsidR="0031624F" w:rsidRPr="00F97249">
              <w:rPr>
                <w:rStyle w:val="Hyperlink"/>
                <w:noProof/>
                <w:lang w:eastAsia="en-US"/>
              </w:rPr>
              <w:t>6.</w:t>
            </w:r>
            <w:r w:rsidR="0031624F">
              <w:rPr>
                <w:noProof/>
              </w:rPr>
              <w:tab/>
            </w:r>
            <w:r w:rsidR="0031624F" w:rsidRPr="00F97249">
              <w:rPr>
                <w:rStyle w:val="Hyperlink"/>
                <w:noProof/>
                <w:lang w:eastAsia="en-US"/>
              </w:rPr>
              <w:t>Health and Safety requirements</w:t>
            </w:r>
            <w:r w:rsidR="0031624F">
              <w:rPr>
                <w:noProof/>
                <w:webHidden/>
              </w:rPr>
              <w:tab/>
            </w:r>
            <w:r w:rsidR="0031624F">
              <w:rPr>
                <w:noProof/>
                <w:webHidden/>
              </w:rPr>
              <w:fldChar w:fldCharType="begin"/>
            </w:r>
            <w:r w:rsidR="0031624F">
              <w:rPr>
                <w:noProof/>
                <w:webHidden/>
              </w:rPr>
              <w:instrText xml:space="preserve"> PAGEREF _Toc64525993 \h </w:instrText>
            </w:r>
            <w:r w:rsidR="0031624F">
              <w:rPr>
                <w:noProof/>
                <w:webHidden/>
              </w:rPr>
            </w:r>
            <w:r w:rsidR="0031624F">
              <w:rPr>
                <w:noProof/>
                <w:webHidden/>
              </w:rPr>
              <w:fldChar w:fldCharType="separate"/>
            </w:r>
            <w:r w:rsidR="0031624F">
              <w:rPr>
                <w:noProof/>
                <w:webHidden/>
              </w:rPr>
              <w:t>5</w:t>
            </w:r>
            <w:r w:rsidR="0031624F">
              <w:rPr>
                <w:noProof/>
                <w:webHidden/>
              </w:rPr>
              <w:fldChar w:fldCharType="end"/>
            </w:r>
          </w:hyperlink>
        </w:p>
        <w:p w14:paraId="0AF1CD57" w14:textId="77777777" w:rsidR="0031624F" w:rsidRDefault="00A212DC" w:rsidP="0031624F">
          <w:pPr>
            <w:pStyle w:val="TOC1"/>
            <w:tabs>
              <w:tab w:val="left" w:pos="440"/>
              <w:tab w:val="right" w:leader="dot" w:pos="8296"/>
            </w:tabs>
            <w:rPr>
              <w:noProof/>
            </w:rPr>
          </w:pPr>
          <w:hyperlink w:anchor="_Toc64525994" w:history="1">
            <w:r w:rsidR="0031624F" w:rsidRPr="00F97249">
              <w:rPr>
                <w:rStyle w:val="Hyperlink"/>
                <w:noProof/>
                <w:lang w:eastAsia="en-US"/>
              </w:rPr>
              <w:t>7.</w:t>
            </w:r>
            <w:r w:rsidR="0031624F">
              <w:rPr>
                <w:noProof/>
              </w:rPr>
              <w:tab/>
            </w:r>
            <w:r w:rsidR="0031624F" w:rsidRPr="00F97249">
              <w:rPr>
                <w:rStyle w:val="Hyperlink"/>
                <w:noProof/>
                <w:lang w:eastAsia="en-US"/>
              </w:rPr>
              <w:t>Safeguarding practice</w:t>
            </w:r>
            <w:r w:rsidR="0031624F">
              <w:rPr>
                <w:noProof/>
                <w:webHidden/>
              </w:rPr>
              <w:tab/>
            </w:r>
            <w:r w:rsidR="0031624F">
              <w:rPr>
                <w:noProof/>
                <w:webHidden/>
              </w:rPr>
              <w:fldChar w:fldCharType="begin"/>
            </w:r>
            <w:r w:rsidR="0031624F">
              <w:rPr>
                <w:noProof/>
                <w:webHidden/>
              </w:rPr>
              <w:instrText xml:space="preserve"> PAGEREF _Toc64525994 \h </w:instrText>
            </w:r>
            <w:r w:rsidR="0031624F">
              <w:rPr>
                <w:noProof/>
                <w:webHidden/>
              </w:rPr>
            </w:r>
            <w:r w:rsidR="0031624F">
              <w:rPr>
                <w:noProof/>
                <w:webHidden/>
              </w:rPr>
              <w:fldChar w:fldCharType="separate"/>
            </w:r>
            <w:r w:rsidR="0031624F">
              <w:rPr>
                <w:noProof/>
                <w:webHidden/>
              </w:rPr>
              <w:t>6</w:t>
            </w:r>
            <w:r w:rsidR="0031624F">
              <w:rPr>
                <w:noProof/>
                <w:webHidden/>
              </w:rPr>
              <w:fldChar w:fldCharType="end"/>
            </w:r>
          </w:hyperlink>
        </w:p>
        <w:p w14:paraId="795F321B" w14:textId="77777777" w:rsidR="0031624F" w:rsidRDefault="00A212DC" w:rsidP="0031624F">
          <w:pPr>
            <w:pStyle w:val="TOC1"/>
            <w:tabs>
              <w:tab w:val="left" w:pos="440"/>
              <w:tab w:val="right" w:leader="dot" w:pos="8296"/>
            </w:tabs>
            <w:rPr>
              <w:noProof/>
            </w:rPr>
          </w:pPr>
          <w:hyperlink w:anchor="_Toc64525995" w:history="1">
            <w:r w:rsidR="0031624F" w:rsidRPr="00F97249">
              <w:rPr>
                <w:rStyle w:val="Hyperlink"/>
                <w:noProof/>
                <w:lang w:eastAsia="en-US"/>
              </w:rPr>
              <w:t>8.</w:t>
            </w:r>
            <w:r w:rsidR="0031624F">
              <w:rPr>
                <w:noProof/>
              </w:rPr>
              <w:tab/>
            </w:r>
            <w:r w:rsidR="0031624F" w:rsidRPr="00F97249">
              <w:rPr>
                <w:rStyle w:val="Hyperlink"/>
                <w:noProof/>
                <w:lang w:eastAsia="en-US"/>
              </w:rPr>
              <w:t>Emergency processes</w:t>
            </w:r>
            <w:r w:rsidR="0031624F">
              <w:rPr>
                <w:noProof/>
                <w:webHidden/>
              </w:rPr>
              <w:tab/>
            </w:r>
            <w:r w:rsidR="0031624F">
              <w:rPr>
                <w:noProof/>
                <w:webHidden/>
              </w:rPr>
              <w:fldChar w:fldCharType="begin"/>
            </w:r>
            <w:r w:rsidR="0031624F">
              <w:rPr>
                <w:noProof/>
                <w:webHidden/>
              </w:rPr>
              <w:instrText xml:space="preserve"> PAGEREF _Toc64525995 \h </w:instrText>
            </w:r>
            <w:r w:rsidR="0031624F">
              <w:rPr>
                <w:noProof/>
                <w:webHidden/>
              </w:rPr>
            </w:r>
            <w:r w:rsidR="0031624F">
              <w:rPr>
                <w:noProof/>
                <w:webHidden/>
              </w:rPr>
              <w:fldChar w:fldCharType="separate"/>
            </w:r>
            <w:r w:rsidR="0031624F">
              <w:rPr>
                <w:noProof/>
                <w:webHidden/>
              </w:rPr>
              <w:t>6</w:t>
            </w:r>
            <w:r w:rsidR="0031624F">
              <w:rPr>
                <w:noProof/>
                <w:webHidden/>
              </w:rPr>
              <w:fldChar w:fldCharType="end"/>
            </w:r>
          </w:hyperlink>
        </w:p>
        <w:p w14:paraId="54123C27" w14:textId="77777777" w:rsidR="0031624F" w:rsidRDefault="00A212DC" w:rsidP="0031624F">
          <w:pPr>
            <w:pStyle w:val="TOC1"/>
            <w:tabs>
              <w:tab w:val="left" w:pos="440"/>
              <w:tab w:val="right" w:leader="dot" w:pos="8296"/>
            </w:tabs>
            <w:rPr>
              <w:noProof/>
            </w:rPr>
          </w:pPr>
          <w:hyperlink w:anchor="_Toc64525996" w:history="1">
            <w:r w:rsidR="0031624F" w:rsidRPr="00F97249">
              <w:rPr>
                <w:rStyle w:val="Hyperlink"/>
                <w:noProof/>
                <w:lang w:eastAsia="en-US"/>
              </w:rPr>
              <w:t>9.</w:t>
            </w:r>
            <w:r w:rsidR="0031624F">
              <w:rPr>
                <w:noProof/>
              </w:rPr>
              <w:tab/>
            </w:r>
            <w:r w:rsidR="0031624F" w:rsidRPr="00F97249">
              <w:rPr>
                <w:rStyle w:val="Hyperlink"/>
                <w:noProof/>
                <w:lang w:eastAsia="en-US"/>
              </w:rPr>
              <w:t>Information sharing and data protection</w:t>
            </w:r>
            <w:r w:rsidR="0031624F">
              <w:rPr>
                <w:noProof/>
                <w:webHidden/>
              </w:rPr>
              <w:tab/>
            </w:r>
            <w:r w:rsidR="0031624F">
              <w:rPr>
                <w:noProof/>
                <w:webHidden/>
              </w:rPr>
              <w:fldChar w:fldCharType="begin"/>
            </w:r>
            <w:r w:rsidR="0031624F">
              <w:rPr>
                <w:noProof/>
                <w:webHidden/>
              </w:rPr>
              <w:instrText xml:space="preserve"> PAGEREF _Toc64525996 \h </w:instrText>
            </w:r>
            <w:r w:rsidR="0031624F">
              <w:rPr>
                <w:noProof/>
                <w:webHidden/>
              </w:rPr>
            </w:r>
            <w:r w:rsidR="0031624F">
              <w:rPr>
                <w:noProof/>
                <w:webHidden/>
              </w:rPr>
              <w:fldChar w:fldCharType="separate"/>
            </w:r>
            <w:r w:rsidR="0031624F">
              <w:rPr>
                <w:noProof/>
                <w:webHidden/>
              </w:rPr>
              <w:t>6</w:t>
            </w:r>
            <w:r w:rsidR="0031624F">
              <w:rPr>
                <w:noProof/>
                <w:webHidden/>
              </w:rPr>
              <w:fldChar w:fldCharType="end"/>
            </w:r>
          </w:hyperlink>
        </w:p>
        <w:p w14:paraId="5A9A983B" w14:textId="77777777" w:rsidR="0031624F" w:rsidRDefault="00A212DC" w:rsidP="0031624F">
          <w:pPr>
            <w:pStyle w:val="TOC1"/>
            <w:tabs>
              <w:tab w:val="left" w:pos="660"/>
              <w:tab w:val="right" w:leader="dot" w:pos="8296"/>
            </w:tabs>
            <w:rPr>
              <w:noProof/>
            </w:rPr>
          </w:pPr>
          <w:hyperlink w:anchor="_Toc64525997" w:history="1">
            <w:r w:rsidR="0031624F" w:rsidRPr="00F97249">
              <w:rPr>
                <w:rStyle w:val="Hyperlink"/>
                <w:noProof/>
                <w:lang w:eastAsia="en-US"/>
              </w:rPr>
              <w:t>10.</w:t>
            </w:r>
            <w:r w:rsidR="0031624F">
              <w:rPr>
                <w:noProof/>
              </w:rPr>
              <w:tab/>
            </w:r>
            <w:r w:rsidR="0031624F" w:rsidRPr="00F97249">
              <w:rPr>
                <w:rStyle w:val="Hyperlink"/>
                <w:noProof/>
                <w:lang w:eastAsia="en-US"/>
              </w:rPr>
              <w:t>Diversity and equality</w:t>
            </w:r>
            <w:r w:rsidR="0031624F">
              <w:rPr>
                <w:noProof/>
                <w:webHidden/>
              </w:rPr>
              <w:tab/>
            </w:r>
            <w:r w:rsidR="0031624F">
              <w:rPr>
                <w:noProof/>
                <w:webHidden/>
              </w:rPr>
              <w:fldChar w:fldCharType="begin"/>
            </w:r>
            <w:r w:rsidR="0031624F">
              <w:rPr>
                <w:noProof/>
                <w:webHidden/>
              </w:rPr>
              <w:instrText xml:space="preserve"> PAGEREF _Toc64525997 \h </w:instrText>
            </w:r>
            <w:r w:rsidR="0031624F">
              <w:rPr>
                <w:noProof/>
                <w:webHidden/>
              </w:rPr>
            </w:r>
            <w:r w:rsidR="0031624F">
              <w:rPr>
                <w:noProof/>
                <w:webHidden/>
              </w:rPr>
              <w:fldChar w:fldCharType="separate"/>
            </w:r>
            <w:r w:rsidR="0031624F">
              <w:rPr>
                <w:noProof/>
                <w:webHidden/>
              </w:rPr>
              <w:t>6</w:t>
            </w:r>
            <w:r w:rsidR="0031624F">
              <w:rPr>
                <w:noProof/>
                <w:webHidden/>
              </w:rPr>
              <w:fldChar w:fldCharType="end"/>
            </w:r>
          </w:hyperlink>
        </w:p>
        <w:p w14:paraId="77CEF722" w14:textId="77777777" w:rsidR="0031624F" w:rsidRDefault="00A212DC" w:rsidP="0031624F">
          <w:pPr>
            <w:pStyle w:val="TOC1"/>
            <w:tabs>
              <w:tab w:val="left" w:pos="660"/>
              <w:tab w:val="right" w:leader="dot" w:pos="8296"/>
            </w:tabs>
            <w:rPr>
              <w:noProof/>
            </w:rPr>
          </w:pPr>
          <w:hyperlink w:anchor="_Toc64525998" w:history="1">
            <w:r w:rsidR="0031624F" w:rsidRPr="00F97249">
              <w:rPr>
                <w:rStyle w:val="Hyperlink"/>
                <w:noProof/>
                <w:lang w:eastAsia="en-US"/>
              </w:rPr>
              <w:t>11.</w:t>
            </w:r>
            <w:r w:rsidR="0031624F">
              <w:rPr>
                <w:noProof/>
              </w:rPr>
              <w:tab/>
            </w:r>
            <w:r w:rsidR="0031624F" w:rsidRPr="00F97249">
              <w:rPr>
                <w:rStyle w:val="Hyperlink"/>
                <w:noProof/>
                <w:lang w:eastAsia="en-US"/>
              </w:rPr>
              <w:t>Complaints and notifiable incidents</w:t>
            </w:r>
            <w:r w:rsidR="0031624F">
              <w:rPr>
                <w:noProof/>
                <w:webHidden/>
              </w:rPr>
              <w:tab/>
            </w:r>
            <w:r w:rsidR="0031624F">
              <w:rPr>
                <w:noProof/>
                <w:webHidden/>
              </w:rPr>
              <w:fldChar w:fldCharType="begin"/>
            </w:r>
            <w:r w:rsidR="0031624F">
              <w:rPr>
                <w:noProof/>
                <w:webHidden/>
              </w:rPr>
              <w:instrText xml:space="preserve"> PAGEREF _Toc64525998 \h </w:instrText>
            </w:r>
            <w:r w:rsidR="0031624F">
              <w:rPr>
                <w:noProof/>
                <w:webHidden/>
              </w:rPr>
            </w:r>
            <w:r w:rsidR="0031624F">
              <w:rPr>
                <w:noProof/>
                <w:webHidden/>
              </w:rPr>
              <w:fldChar w:fldCharType="separate"/>
            </w:r>
            <w:r w:rsidR="0031624F">
              <w:rPr>
                <w:noProof/>
                <w:webHidden/>
              </w:rPr>
              <w:t>7</w:t>
            </w:r>
            <w:r w:rsidR="0031624F">
              <w:rPr>
                <w:noProof/>
                <w:webHidden/>
              </w:rPr>
              <w:fldChar w:fldCharType="end"/>
            </w:r>
          </w:hyperlink>
        </w:p>
        <w:p w14:paraId="59EBBC2D" w14:textId="77777777" w:rsidR="0031624F" w:rsidRDefault="00A212DC" w:rsidP="0031624F">
          <w:pPr>
            <w:pStyle w:val="TOC1"/>
            <w:tabs>
              <w:tab w:val="left" w:pos="660"/>
              <w:tab w:val="right" w:leader="dot" w:pos="8296"/>
            </w:tabs>
            <w:rPr>
              <w:noProof/>
            </w:rPr>
          </w:pPr>
          <w:hyperlink w:anchor="_Toc64525999" w:history="1">
            <w:r w:rsidR="0031624F" w:rsidRPr="00F97249">
              <w:rPr>
                <w:rStyle w:val="Hyperlink"/>
                <w:noProof/>
                <w:lang w:eastAsia="en-US"/>
              </w:rPr>
              <w:t>12.</w:t>
            </w:r>
            <w:r w:rsidR="0031624F">
              <w:rPr>
                <w:noProof/>
              </w:rPr>
              <w:tab/>
            </w:r>
            <w:r w:rsidR="0031624F" w:rsidRPr="00F97249">
              <w:rPr>
                <w:rStyle w:val="Hyperlink"/>
                <w:noProof/>
                <w:lang w:eastAsia="en-US"/>
              </w:rPr>
              <w:t>Deliverables</w:t>
            </w:r>
            <w:r w:rsidR="0031624F">
              <w:rPr>
                <w:noProof/>
                <w:webHidden/>
              </w:rPr>
              <w:tab/>
            </w:r>
            <w:r w:rsidR="0031624F">
              <w:rPr>
                <w:noProof/>
                <w:webHidden/>
              </w:rPr>
              <w:fldChar w:fldCharType="begin"/>
            </w:r>
            <w:r w:rsidR="0031624F">
              <w:rPr>
                <w:noProof/>
                <w:webHidden/>
              </w:rPr>
              <w:instrText xml:space="preserve"> PAGEREF _Toc64525999 \h </w:instrText>
            </w:r>
            <w:r w:rsidR="0031624F">
              <w:rPr>
                <w:noProof/>
                <w:webHidden/>
              </w:rPr>
            </w:r>
            <w:r w:rsidR="0031624F">
              <w:rPr>
                <w:noProof/>
                <w:webHidden/>
              </w:rPr>
              <w:fldChar w:fldCharType="separate"/>
            </w:r>
            <w:r w:rsidR="0031624F">
              <w:rPr>
                <w:noProof/>
                <w:webHidden/>
              </w:rPr>
              <w:t>7</w:t>
            </w:r>
            <w:r w:rsidR="0031624F">
              <w:rPr>
                <w:noProof/>
                <w:webHidden/>
              </w:rPr>
              <w:fldChar w:fldCharType="end"/>
            </w:r>
          </w:hyperlink>
        </w:p>
        <w:p w14:paraId="439EE8AF" w14:textId="77777777" w:rsidR="0031624F" w:rsidRDefault="00A212DC" w:rsidP="0031624F">
          <w:pPr>
            <w:pStyle w:val="TOC1"/>
            <w:tabs>
              <w:tab w:val="left" w:pos="660"/>
              <w:tab w:val="right" w:leader="dot" w:pos="8296"/>
            </w:tabs>
            <w:rPr>
              <w:noProof/>
            </w:rPr>
          </w:pPr>
          <w:hyperlink w:anchor="_Toc64526000" w:history="1">
            <w:r w:rsidR="0031624F" w:rsidRPr="00F97249">
              <w:rPr>
                <w:rStyle w:val="Hyperlink"/>
                <w:noProof/>
                <w:lang w:eastAsia="en-US"/>
              </w:rPr>
              <w:t>13.</w:t>
            </w:r>
            <w:r w:rsidR="0031624F">
              <w:rPr>
                <w:noProof/>
              </w:rPr>
              <w:tab/>
            </w:r>
            <w:r w:rsidR="0031624F" w:rsidRPr="00F97249">
              <w:rPr>
                <w:rStyle w:val="Hyperlink"/>
                <w:noProof/>
                <w:lang w:eastAsia="en-US"/>
              </w:rPr>
              <w:t>Services</w:t>
            </w:r>
            <w:r w:rsidR="0031624F">
              <w:rPr>
                <w:noProof/>
                <w:webHidden/>
              </w:rPr>
              <w:tab/>
            </w:r>
            <w:r w:rsidR="0031624F">
              <w:rPr>
                <w:noProof/>
                <w:webHidden/>
              </w:rPr>
              <w:fldChar w:fldCharType="begin"/>
            </w:r>
            <w:r w:rsidR="0031624F">
              <w:rPr>
                <w:noProof/>
                <w:webHidden/>
              </w:rPr>
              <w:instrText xml:space="preserve"> PAGEREF _Toc64526000 \h </w:instrText>
            </w:r>
            <w:r w:rsidR="0031624F">
              <w:rPr>
                <w:noProof/>
                <w:webHidden/>
              </w:rPr>
            </w:r>
            <w:r w:rsidR="0031624F">
              <w:rPr>
                <w:noProof/>
                <w:webHidden/>
              </w:rPr>
              <w:fldChar w:fldCharType="separate"/>
            </w:r>
            <w:r w:rsidR="0031624F">
              <w:rPr>
                <w:noProof/>
                <w:webHidden/>
              </w:rPr>
              <w:t>8</w:t>
            </w:r>
            <w:r w:rsidR="0031624F">
              <w:rPr>
                <w:noProof/>
                <w:webHidden/>
              </w:rPr>
              <w:fldChar w:fldCharType="end"/>
            </w:r>
          </w:hyperlink>
        </w:p>
        <w:p w14:paraId="42514F5A" w14:textId="77777777" w:rsidR="0031624F" w:rsidRDefault="00A212DC" w:rsidP="0031624F">
          <w:pPr>
            <w:pStyle w:val="TOC1"/>
            <w:tabs>
              <w:tab w:val="left" w:pos="660"/>
              <w:tab w:val="right" w:leader="dot" w:pos="8296"/>
            </w:tabs>
            <w:rPr>
              <w:noProof/>
            </w:rPr>
          </w:pPr>
          <w:hyperlink w:anchor="_Toc64526001" w:history="1">
            <w:r w:rsidR="0031624F" w:rsidRPr="00F97249">
              <w:rPr>
                <w:rStyle w:val="Hyperlink"/>
                <w:noProof/>
                <w:lang w:eastAsia="en-US"/>
              </w:rPr>
              <w:t>14.</w:t>
            </w:r>
            <w:r w:rsidR="0031624F">
              <w:rPr>
                <w:noProof/>
              </w:rPr>
              <w:tab/>
            </w:r>
            <w:r w:rsidR="0031624F" w:rsidRPr="00F97249">
              <w:rPr>
                <w:rStyle w:val="Hyperlink"/>
                <w:noProof/>
                <w:lang w:eastAsia="en-US"/>
              </w:rPr>
              <w:t>Period of the Agreement</w:t>
            </w:r>
            <w:r w:rsidR="0031624F">
              <w:rPr>
                <w:noProof/>
                <w:webHidden/>
              </w:rPr>
              <w:tab/>
            </w:r>
            <w:r w:rsidR="0031624F">
              <w:rPr>
                <w:noProof/>
                <w:webHidden/>
              </w:rPr>
              <w:fldChar w:fldCharType="begin"/>
            </w:r>
            <w:r w:rsidR="0031624F">
              <w:rPr>
                <w:noProof/>
                <w:webHidden/>
              </w:rPr>
              <w:instrText xml:space="preserve"> PAGEREF _Toc64526001 \h </w:instrText>
            </w:r>
            <w:r w:rsidR="0031624F">
              <w:rPr>
                <w:noProof/>
                <w:webHidden/>
              </w:rPr>
            </w:r>
            <w:r w:rsidR="0031624F">
              <w:rPr>
                <w:noProof/>
                <w:webHidden/>
              </w:rPr>
              <w:fldChar w:fldCharType="separate"/>
            </w:r>
            <w:r w:rsidR="0031624F">
              <w:rPr>
                <w:noProof/>
                <w:webHidden/>
              </w:rPr>
              <w:t>8</w:t>
            </w:r>
            <w:r w:rsidR="0031624F">
              <w:rPr>
                <w:noProof/>
                <w:webHidden/>
              </w:rPr>
              <w:fldChar w:fldCharType="end"/>
            </w:r>
          </w:hyperlink>
        </w:p>
        <w:p w14:paraId="445DF800" w14:textId="77777777" w:rsidR="0031624F" w:rsidRDefault="00A212DC" w:rsidP="0031624F">
          <w:pPr>
            <w:pStyle w:val="TOC1"/>
            <w:tabs>
              <w:tab w:val="left" w:pos="660"/>
              <w:tab w:val="right" w:leader="dot" w:pos="8296"/>
            </w:tabs>
            <w:rPr>
              <w:noProof/>
            </w:rPr>
          </w:pPr>
          <w:hyperlink w:anchor="_Toc64526002" w:history="1">
            <w:r w:rsidR="0031624F" w:rsidRPr="00F97249">
              <w:rPr>
                <w:rStyle w:val="Hyperlink"/>
                <w:noProof/>
                <w:lang w:eastAsia="en-US"/>
              </w:rPr>
              <w:t>15.</w:t>
            </w:r>
            <w:r w:rsidR="0031624F">
              <w:rPr>
                <w:noProof/>
              </w:rPr>
              <w:tab/>
            </w:r>
            <w:r w:rsidR="0031624F" w:rsidRPr="00F97249">
              <w:rPr>
                <w:rStyle w:val="Hyperlink"/>
                <w:noProof/>
                <w:lang w:eastAsia="en-US"/>
              </w:rPr>
              <w:t>Monitoring Performance</w:t>
            </w:r>
            <w:r w:rsidR="0031624F">
              <w:rPr>
                <w:noProof/>
                <w:webHidden/>
              </w:rPr>
              <w:tab/>
            </w:r>
            <w:r w:rsidR="0031624F">
              <w:rPr>
                <w:noProof/>
                <w:webHidden/>
              </w:rPr>
              <w:fldChar w:fldCharType="begin"/>
            </w:r>
            <w:r w:rsidR="0031624F">
              <w:rPr>
                <w:noProof/>
                <w:webHidden/>
              </w:rPr>
              <w:instrText xml:space="preserve"> PAGEREF _Toc64526002 \h </w:instrText>
            </w:r>
            <w:r w:rsidR="0031624F">
              <w:rPr>
                <w:noProof/>
                <w:webHidden/>
              </w:rPr>
            </w:r>
            <w:r w:rsidR="0031624F">
              <w:rPr>
                <w:noProof/>
                <w:webHidden/>
              </w:rPr>
              <w:fldChar w:fldCharType="separate"/>
            </w:r>
            <w:r w:rsidR="0031624F">
              <w:rPr>
                <w:noProof/>
                <w:webHidden/>
              </w:rPr>
              <w:t>8</w:t>
            </w:r>
            <w:r w:rsidR="0031624F">
              <w:rPr>
                <w:noProof/>
                <w:webHidden/>
              </w:rPr>
              <w:fldChar w:fldCharType="end"/>
            </w:r>
          </w:hyperlink>
        </w:p>
        <w:p w14:paraId="63FFFCB4" w14:textId="77777777" w:rsidR="0031624F" w:rsidRDefault="0031624F" w:rsidP="0031624F">
          <w:r>
            <w:rPr>
              <w:b/>
              <w:bCs/>
              <w:noProof/>
            </w:rPr>
            <w:fldChar w:fldCharType="end"/>
          </w:r>
        </w:p>
      </w:sdtContent>
    </w:sdt>
    <w:p w14:paraId="6E8E6406" w14:textId="77777777" w:rsidR="0031624F" w:rsidRPr="005B5BB7" w:rsidRDefault="0031624F" w:rsidP="0031624F">
      <w:pPr>
        <w:pBdr>
          <w:bottom w:val="single" w:sz="4" w:space="1" w:color="auto"/>
        </w:pBdr>
        <w:ind w:left="426" w:hanging="426"/>
        <w:rPr>
          <w:b/>
          <w:sz w:val="22"/>
          <w:szCs w:val="20"/>
          <w:lang w:eastAsia="en-US"/>
        </w:rPr>
      </w:pPr>
    </w:p>
    <w:p w14:paraId="67A023D4" w14:textId="77777777" w:rsidR="0031624F" w:rsidRPr="005B5BB7" w:rsidRDefault="0031624F" w:rsidP="0031624F">
      <w:pPr>
        <w:ind w:left="426" w:hanging="426"/>
        <w:rPr>
          <w:b/>
          <w:sz w:val="22"/>
          <w:szCs w:val="20"/>
          <w:lang w:eastAsia="en-US"/>
        </w:rPr>
      </w:pPr>
    </w:p>
    <w:p w14:paraId="058B5A5B" w14:textId="77777777" w:rsidR="0031624F" w:rsidRPr="005B5BB7" w:rsidRDefault="0031624F" w:rsidP="00D56EE7">
      <w:pPr>
        <w:pStyle w:val="Heading1"/>
        <w:numPr>
          <w:ilvl w:val="0"/>
          <w:numId w:val="5"/>
        </w:numPr>
        <w:ind w:hanging="720"/>
        <w:rPr>
          <w:sz w:val="22"/>
          <w:szCs w:val="20"/>
          <w:lang w:eastAsia="en-US"/>
        </w:rPr>
      </w:pPr>
      <w:bookmarkStart w:id="7" w:name="_Toc64525988"/>
      <w:r w:rsidRPr="005B5BB7">
        <w:rPr>
          <w:sz w:val="22"/>
          <w:szCs w:val="20"/>
          <w:lang w:eastAsia="en-US"/>
        </w:rPr>
        <w:t>Background</w:t>
      </w:r>
      <w:bookmarkEnd w:id="7"/>
      <w:r w:rsidRPr="005B5BB7">
        <w:rPr>
          <w:sz w:val="22"/>
          <w:szCs w:val="20"/>
          <w:lang w:eastAsia="en-US"/>
        </w:rPr>
        <w:t xml:space="preserve"> </w:t>
      </w:r>
    </w:p>
    <w:p w14:paraId="4E15FC78" w14:textId="77777777" w:rsidR="0031624F" w:rsidRPr="005B5BB7" w:rsidRDefault="0031624F" w:rsidP="0031624F">
      <w:pPr>
        <w:rPr>
          <w:sz w:val="22"/>
          <w:szCs w:val="20"/>
          <w:lang w:eastAsia="en-US"/>
        </w:rPr>
      </w:pPr>
    </w:p>
    <w:p w14:paraId="3C837643" w14:textId="77777777" w:rsidR="0031624F" w:rsidRPr="005B5BB7" w:rsidRDefault="0031624F" w:rsidP="0031624F">
      <w:pPr>
        <w:rPr>
          <w:sz w:val="22"/>
          <w:szCs w:val="20"/>
          <w:lang w:eastAsia="en-US"/>
        </w:rPr>
      </w:pPr>
      <w:r w:rsidRPr="005B5BB7">
        <w:rPr>
          <w:sz w:val="22"/>
          <w:szCs w:val="20"/>
          <w:lang w:eastAsia="en-US"/>
        </w:rPr>
        <w:t>This is a partnership initiative between the London Borough of Tower Hamlets Council and the successful Sanctuary installation company. The project offers victims of VAWG the option to remain safely and securely in their homes, through the installation of free, tailored home security.</w:t>
      </w:r>
    </w:p>
    <w:p w14:paraId="1A5CCD0C" w14:textId="77777777" w:rsidR="0031624F" w:rsidRPr="005B5BB7" w:rsidRDefault="0031624F" w:rsidP="0031624F">
      <w:pPr>
        <w:rPr>
          <w:sz w:val="22"/>
          <w:szCs w:val="20"/>
          <w:lang w:eastAsia="en-US"/>
        </w:rPr>
      </w:pPr>
    </w:p>
    <w:p w14:paraId="7532FDA1" w14:textId="77777777" w:rsidR="0031624F" w:rsidRPr="005B5BB7" w:rsidRDefault="0031624F" w:rsidP="0031624F">
      <w:pPr>
        <w:rPr>
          <w:sz w:val="22"/>
          <w:szCs w:val="20"/>
          <w:lang w:eastAsia="en-US"/>
        </w:rPr>
      </w:pPr>
      <w:r w:rsidRPr="005B5BB7">
        <w:rPr>
          <w:sz w:val="22"/>
          <w:szCs w:val="20"/>
          <w:lang w:eastAsia="en-US"/>
        </w:rPr>
        <w:t xml:space="preserve">The United Nations (UN) defines VAWG as "any act of gender-based violence that is directed at a woman because she is a </w:t>
      </w:r>
      <w:proofErr w:type="gramStart"/>
      <w:r w:rsidRPr="005B5BB7">
        <w:rPr>
          <w:sz w:val="22"/>
          <w:szCs w:val="20"/>
          <w:lang w:eastAsia="en-US"/>
        </w:rPr>
        <w:t>woman, or</w:t>
      </w:r>
      <w:proofErr w:type="gramEnd"/>
      <w:r w:rsidRPr="005B5BB7">
        <w:rPr>
          <w:sz w:val="22"/>
          <w:szCs w:val="20"/>
          <w:lang w:eastAsia="en-US"/>
        </w:rPr>
        <w:t xml:space="preserve"> acts of violence which are suffered disproportionally by women". The majority of VAWG is carried out by men against women and girls (although men and boys can also experience violence). </w:t>
      </w:r>
    </w:p>
    <w:p w14:paraId="4038F323" w14:textId="77777777" w:rsidR="0031624F" w:rsidRPr="005B5BB7" w:rsidRDefault="0031624F" w:rsidP="0031624F">
      <w:pPr>
        <w:rPr>
          <w:sz w:val="22"/>
          <w:szCs w:val="20"/>
          <w:lang w:eastAsia="en-US"/>
        </w:rPr>
      </w:pPr>
    </w:p>
    <w:p w14:paraId="63D4640C" w14:textId="77777777" w:rsidR="0031624F" w:rsidRPr="005B5BB7" w:rsidRDefault="0031624F" w:rsidP="0031624F">
      <w:pPr>
        <w:rPr>
          <w:sz w:val="22"/>
          <w:szCs w:val="20"/>
          <w:lang w:eastAsia="en-US"/>
        </w:rPr>
      </w:pPr>
      <w:r w:rsidRPr="005B5BB7">
        <w:rPr>
          <w:sz w:val="22"/>
          <w:szCs w:val="20"/>
          <w:lang w:eastAsia="en-US"/>
        </w:rPr>
        <w:t>VAWG brings together 9 areas of gender-based violence:</w:t>
      </w:r>
    </w:p>
    <w:p w14:paraId="660F147F" w14:textId="77777777" w:rsidR="0031624F" w:rsidRPr="005B5BB7" w:rsidRDefault="0031624F" w:rsidP="0031624F">
      <w:pPr>
        <w:ind w:left="720"/>
        <w:rPr>
          <w:sz w:val="22"/>
          <w:szCs w:val="20"/>
          <w:lang w:eastAsia="en-US"/>
        </w:rPr>
      </w:pPr>
      <w:r w:rsidRPr="005B5BB7">
        <w:rPr>
          <w:sz w:val="22"/>
          <w:szCs w:val="20"/>
          <w:lang w:eastAsia="en-US"/>
        </w:rPr>
        <w:t>1.</w:t>
      </w:r>
      <w:r w:rsidRPr="005B5BB7">
        <w:rPr>
          <w:sz w:val="22"/>
          <w:szCs w:val="20"/>
          <w:lang w:eastAsia="en-US"/>
        </w:rPr>
        <w:tab/>
        <w:t>Domestic abuse</w:t>
      </w:r>
    </w:p>
    <w:p w14:paraId="6B923ACE" w14:textId="77777777" w:rsidR="0031624F" w:rsidRPr="005B5BB7" w:rsidRDefault="0031624F" w:rsidP="0031624F">
      <w:pPr>
        <w:ind w:left="720"/>
        <w:rPr>
          <w:sz w:val="22"/>
          <w:szCs w:val="20"/>
          <w:lang w:eastAsia="en-US"/>
        </w:rPr>
      </w:pPr>
      <w:r w:rsidRPr="005B5BB7">
        <w:rPr>
          <w:sz w:val="22"/>
          <w:szCs w:val="20"/>
          <w:lang w:eastAsia="en-US"/>
        </w:rPr>
        <w:t>2.</w:t>
      </w:r>
      <w:r w:rsidRPr="005B5BB7">
        <w:rPr>
          <w:sz w:val="22"/>
          <w:szCs w:val="20"/>
          <w:lang w:eastAsia="en-US"/>
        </w:rPr>
        <w:tab/>
        <w:t xml:space="preserve">Sexual abuse </w:t>
      </w:r>
    </w:p>
    <w:p w14:paraId="63E6D58A" w14:textId="77777777" w:rsidR="0031624F" w:rsidRPr="005B5BB7" w:rsidRDefault="0031624F" w:rsidP="0031624F">
      <w:pPr>
        <w:ind w:left="720"/>
        <w:rPr>
          <w:sz w:val="22"/>
          <w:szCs w:val="20"/>
          <w:lang w:eastAsia="en-US"/>
        </w:rPr>
      </w:pPr>
      <w:r w:rsidRPr="005B5BB7">
        <w:rPr>
          <w:sz w:val="22"/>
          <w:szCs w:val="20"/>
          <w:lang w:eastAsia="en-US"/>
        </w:rPr>
        <w:lastRenderedPageBreak/>
        <w:t>3.</w:t>
      </w:r>
      <w:r w:rsidRPr="005B5BB7">
        <w:rPr>
          <w:sz w:val="22"/>
          <w:szCs w:val="20"/>
          <w:lang w:eastAsia="en-US"/>
        </w:rPr>
        <w:tab/>
        <w:t>Trafficking</w:t>
      </w:r>
    </w:p>
    <w:p w14:paraId="299AEDC5" w14:textId="77777777" w:rsidR="0031624F" w:rsidRPr="005B5BB7" w:rsidRDefault="0031624F" w:rsidP="0031624F">
      <w:pPr>
        <w:ind w:left="720"/>
        <w:rPr>
          <w:sz w:val="22"/>
          <w:szCs w:val="20"/>
          <w:lang w:eastAsia="en-US"/>
        </w:rPr>
      </w:pPr>
      <w:r w:rsidRPr="005B5BB7">
        <w:rPr>
          <w:sz w:val="22"/>
          <w:szCs w:val="20"/>
          <w:lang w:eastAsia="en-US"/>
        </w:rPr>
        <w:t>4.</w:t>
      </w:r>
      <w:r w:rsidRPr="005B5BB7">
        <w:rPr>
          <w:sz w:val="22"/>
          <w:szCs w:val="20"/>
          <w:lang w:eastAsia="en-US"/>
        </w:rPr>
        <w:tab/>
        <w:t>Prostitution</w:t>
      </w:r>
    </w:p>
    <w:p w14:paraId="37A061DA" w14:textId="77777777" w:rsidR="0031624F" w:rsidRPr="005B5BB7" w:rsidRDefault="0031624F" w:rsidP="0031624F">
      <w:pPr>
        <w:ind w:left="720"/>
        <w:rPr>
          <w:sz w:val="22"/>
          <w:szCs w:val="20"/>
          <w:lang w:eastAsia="en-US"/>
        </w:rPr>
      </w:pPr>
      <w:r w:rsidRPr="005B5BB7">
        <w:rPr>
          <w:sz w:val="22"/>
          <w:szCs w:val="20"/>
          <w:lang w:eastAsia="en-US"/>
        </w:rPr>
        <w:t>5.</w:t>
      </w:r>
      <w:r w:rsidRPr="005B5BB7">
        <w:rPr>
          <w:sz w:val="22"/>
          <w:szCs w:val="20"/>
          <w:lang w:eastAsia="en-US"/>
        </w:rPr>
        <w:tab/>
        <w:t>Forced Marriage</w:t>
      </w:r>
    </w:p>
    <w:p w14:paraId="1ED6C662" w14:textId="77777777" w:rsidR="0031624F" w:rsidRPr="005B5BB7" w:rsidRDefault="0031624F" w:rsidP="0031624F">
      <w:pPr>
        <w:ind w:left="720"/>
        <w:rPr>
          <w:sz w:val="22"/>
          <w:szCs w:val="20"/>
          <w:lang w:eastAsia="en-US"/>
        </w:rPr>
      </w:pPr>
      <w:r w:rsidRPr="005B5BB7">
        <w:rPr>
          <w:sz w:val="22"/>
          <w:szCs w:val="20"/>
          <w:lang w:eastAsia="en-US"/>
        </w:rPr>
        <w:t>6.</w:t>
      </w:r>
      <w:r w:rsidRPr="005B5BB7">
        <w:rPr>
          <w:sz w:val="22"/>
          <w:szCs w:val="20"/>
          <w:lang w:eastAsia="en-US"/>
        </w:rPr>
        <w:tab/>
        <w:t>Female Genital Mutilation</w:t>
      </w:r>
    </w:p>
    <w:p w14:paraId="30855D71" w14:textId="77777777" w:rsidR="0031624F" w:rsidRPr="005B5BB7" w:rsidRDefault="0031624F" w:rsidP="0031624F">
      <w:pPr>
        <w:ind w:left="720"/>
        <w:rPr>
          <w:sz w:val="22"/>
          <w:szCs w:val="20"/>
          <w:lang w:eastAsia="en-US"/>
        </w:rPr>
      </w:pPr>
      <w:r w:rsidRPr="005B5BB7">
        <w:rPr>
          <w:sz w:val="22"/>
          <w:szCs w:val="20"/>
          <w:lang w:eastAsia="en-US"/>
        </w:rPr>
        <w:t>7.</w:t>
      </w:r>
      <w:r w:rsidRPr="005B5BB7">
        <w:rPr>
          <w:sz w:val="22"/>
          <w:szCs w:val="20"/>
          <w:lang w:eastAsia="en-US"/>
        </w:rPr>
        <w:tab/>
        <w:t>So-called ‘honour’ based violence</w:t>
      </w:r>
    </w:p>
    <w:p w14:paraId="075E889A" w14:textId="77777777" w:rsidR="0031624F" w:rsidRPr="005B5BB7" w:rsidRDefault="0031624F" w:rsidP="0031624F">
      <w:pPr>
        <w:ind w:left="720"/>
        <w:rPr>
          <w:sz w:val="22"/>
          <w:szCs w:val="20"/>
          <w:lang w:eastAsia="en-US"/>
        </w:rPr>
      </w:pPr>
      <w:r w:rsidRPr="005B5BB7">
        <w:rPr>
          <w:sz w:val="22"/>
          <w:szCs w:val="20"/>
          <w:lang w:eastAsia="en-US"/>
        </w:rPr>
        <w:t>8.</w:t>
      </w:r>
      <w:r w:rsidRPr="005B5BB7">
        <w:rPr>
          <w:sz w:val="22"/>
          <w:szCs w:val="20"/>
          <w:lang w:eastAsia="en-US"/>
        </w:rPr>
        <w:tab/>
        <w:t>Dowry related abuse</w:t>
      </w:r>
    </w:p>
    <w:p w14:paraId="50AB3989" w14:textId="77777777" w:rsidR="0031624F" w:rsidRPr="005B5BB7" w:rsidRDefault="0031624F" w:rsidP="0031624F">
      <w:pPr>
        <w:ind w:left="720"/>
        <w:rPr>
          <w:sz w:val="22"/>
          <w:szCs w:val="20"/>
          <w:lang w:eastAsia="en-US"/>
        </w:rPr>
      </w:pPr>
      <w:r w:rsidRPr="005B5BB7">
        <w:rPr>
          <w:sz w:val="22"/>
          <w:szCs w:val="20"/>
          <w:lang w:eastAsia="en-US"/>
        </w:rPr>
        <w:t>9.</w:t>
      </w:r>
      <w:r w:rsidRPr="005B5BB7">
        <w:rPr>
          <w:sz w:val="22"/>
          <w:szCs w:val="20"/>
          <w:lang w:eastAsia="en-US"/>
        </w:rPr>
        <w:tab/>
        <w:t>Stalking and Harassment</w:t>
      </w:r>
    </w:p>
    <w:p w14:paraId="53CB2272" w14:textId="77777777" w:rsidR="0031624F" w:rsidRPr="005B5BB7" w:rsidRDefault="0031624F" w:rsidP="0031624F">
      <w:pPr>
        <w:rPr>
          <w:sz w:val="22"/>
          <w:szCs w:val="20"/>
          <w:lang w:eastAsia="en-US"/>
        </w:rPr>
      </w:pPr>
    </w:p>
    <w:p w14:paraId="32F55BE9" w14:textId="77777777" w:rsidR="0031624F" w:rsidRPr="005B5BB7" w:rsidRDefault="0031624F" w:rsidP="0031624F">
      <w:pPr>
        <w:rPr>
          <w:sz w:val="22"/>
          <w:szCs w:val="20"/>
          <w:lang w:eastAsia="en-US"/>
        </w:rPr>
      </w:pPr>
      <w:proofErr w:type="gramStart"/>
      <w:r w:rsidRPr="005B5BB7">
        <w:rPr>
          <w:sz w:val="22"/>
          <w:szCs w:val="20"/>
          <w:lang w:eastAsia="en-US"/>
        </w:rPr>
        <w:t>The majority of</w:t>
      </w:r>
      <w:proofErr w:type="gramEnd"/>
      <w:r w:rsidRPr="005B5BB7">
        <w:rPr>
          <w:sz w:val="22"/>
          <w:szCs w:val="20"/>
          <w:lang w:eastAsia="en-US"/>
        </w:rPr>
        <w:t xml:space="preserve"> our referrals for the Sanctuary Scheme are for families experiencing domestic abuse. </w:t>
      </w:r>
    </w:p>
    <w:p w14:paraId="09D3D416" w14:textId="77777777" w:rsidR="0031624F" w:rsidRPr="005B5BB7" w:rsidRDefault="0031624F" w:rsidP="0031624F">
      <w:pPr>
        <w:rPr>
          <w:sz w:val="22"/>
          <w:szCs w:val="20"/>
          <w:lang w:eastAsia="en-US"/>
        </w:rPr>
      </w:pPr>
    </w:p>
    <w:p w14:paraId="1E7C0CB0" w14:textId="77777777" w:rsidR="0031624F" w:rsidRPr="005B5BB7" w:rsidRDefault="0031624F" w:rsidP="0031624F">
      <w:pPr>
        <w:rPr>
          <w:sz w:val="22"/>
          <w:szCs w:val="20"/>
          <w:lang w:eastAsia="en-US"/>
        </w:rPr>
      </w:pPr>
      <w:r w:rsidRPr="005B5BB7">
        <w:rPr>
          <w:sz w:val="22"/>
          <w:szCs w:val="20"/>
          <w:lang w:eastAsia="en-US"/>
        </w:rPr>
        <w:t xml:space="preserve">The Government defines domestic violence and abuse as: </w:t>
      </w:r>
    </w:p>
    <w:p w14:paraId="17FF745C" w14:textId="77777777" w:rsidR="0031624F" w:rsidRPr="005B5BB7" w:rsidRDefault="0031624F" w:rsidP="0031624F">
      <w:pPr>
        <w:rPr>
          <w:sz w:val="22"/>
          <w:szCs w:val="20"/>
          <w:lang w:eastAsia="en-US"/>
        </w:rPr>
      </w:pPr>
      <w:r w:rsidRPr="005B5BB7">
        <w:rPr>
          <w:sz w:val="22"/>
          <w:szCs w:val="20"/>
          <w:lang w:eastAsia="en-US"/>
        </w:rPr>
        <w:t xml:space="preserve">“Any incident or pattern of incidents of controlling, coercive or threatening </w:t>
      </w:r>
      <w:proofErr w:type="gramStart"/>
      <w:r w:rsidRPr="005B5BB7">
        <w:rPr>
          <w:sz w:val="22"/>
          <w:szCs w:val="20"/>
          <w:lang w:eastAsia="en-US"/>
        </w:rPr>
        <w:t>behaviour,  violence</w:t>
      </w:r>
      <w:proofErr w:type="gramEnd"/>
      <w:r w:rsidRPr="005B5BB7">
        <w:rPr>
          <w:sz w:val="22"/>
          <w:szCs w:val="20"/>
          <w:lang w:eastAsia="en-US"/>
        </w:rPr>
        <w:t xml:space="preserve"> or abuse between those aged 16 or over who are or have been intimate partners or family members regardless of gender or sexuality.”</w:t>
      </w:r>
    </w:p>
    <w:p w14:paraId="3E1FBEA5" w14:textId="77777777" w:rsidR="0031624F" w:rsidRPr="005B5BB7" w:rsidRDefault="0031624F" w:rsidP="0031624F">
      <w:pPr>
        <w:rPr>
          <w:sz w:val="22"/>
          <w:szCs w:val="20"/>
          <w:lang w:eastAsia="en-US"/>
        </w:rPr>
      </w:pPr>
    </w:p>
    <w:p w14:paraId="62E195E2" w14:textId="77777777" w:rsidR="0031624F" w:rsidRPr="005B5BB7" w:rsidRDefault="0031624F" w:rsidP="0031624F">
      <w:pPr>
        <w:rPr>
          <w:sz w:val="22"/>
          <w:szCs w:val="20"/>
          <w:lang w:eastAsia="en-US"/>
        </w:rPr>
      </w:pPr>
      <w:r w:rsidRPr="005B5BB7">
        <w:rPr>
          <w:sz w:val="22"/>
          <w:szCs w:val="20"/>
          <w:lang w:eastAsia="en-US"/>
        </w:rPr>
        <w:t xml:space="preserve">Domestic abuse can be physical, sexual, emotional, </w:t>
      </w:r>
      <w:proofErr w:type="gramStart"/>
      <w:r w:rsidRPr="005B5BB7">
        <w:rPr>
          <w:sz w:val="22"/>
          <w:szCs w:val="20"/>
          <w:lang w:eastAsia="en-US"/>
        </w:rPr>
        <w:t>economical</w:t>
      </w:r>
      <w:proofErr w:type="gramEnd"/>
      <w:r w:rsidRPr="005B5BB7">
        <w:rPr>
          <w:sz w:val="22"/>
          <w:szCs w:val="20"/>
          <w:lang w:eastAsia="en-US"/>
        </w:rPr>
        <w:t xml:space="preserve"> or psychological and consists of a pattern of controlling behaviour which comes from an abuser’s desire to maintain power and control over their partner or family members. It is not caused by alcohol or anger issues. </w:t>
      </w:r>
    </w:p>
    <w:p w14:paraId="033FE60F" w14:textId="77777777" w:rsidR="0031624F" w:rsidRPr="005B5BB7" w:rsidRDefault="0031624F" w:rsidP="0031624F">
      <w:pPr>
        <w:rPr>
          <w:sz w:val="22"/>
          <w:szCs w:val="20"/>
          <w:lang w:eastAsia="en-US"/>
        </w:rPr>
      </w:pPr>
    </w:p>
    <w:p w14:paraId="45697097" w14:textId="77777777" w:rsidR="0031624F" w:rsidRPr="005B5BB7" w:rsidRDefault="0031624F" w:rsidP="0031624F">
      <w:pPr>
        <w:rPr>
          <w:sz w:val="22"/>
          <w:szCs w:val="20"/>
          <w:lang w:eastAsia="en-US"/>
        </w:rPr>
      </w:pPr>
      <w:r w:rsidRPr="005B5BB7">
        <w:rPr>
          <w:sz w:val="22"/>
          <w:szCs w:val="20"/>
          <w:lang w:eastAsia="en-US"/>
        </w:rPr>
        <w:t xml:space="preserve">VAWG can happen to anyone regardless of their social background, age, gender, faith, </w:t>
      </w:r>
      <w:proofErr w:type="gramStart"/>
      <w:r w:rsidRPr="005B5BB7">
        <w:rPr>
          <w:sz w:val="22"/>
          <w:szCs w:val="20"/>
          <w:lang w:eastAsia="en-US"/>
        </w:rPr>
        <w:t>ethnicity</w:t>
      </w:r>
      <w:proofErr w:type="gramEnd"/>
      <w:r w:rsidRPr="005B5BB7">
        <w:rPr>
          <w:sz w:val="22"/>
          <w:szCs w:val="20"/>
          <w:lang w:eastAsia="en-US"/>
        </w:rPr>
        <w:t xml:space="preserve"> or sexuality.</w:t>
      </w:r>
    </w:p>
    <w:p w14:paraId="791131F6" w14:textId="77777777" w:rsidR="0031624F" w:rsidRPr="005B5BB7" w:rsidRDefault="0031624F" w:rsidP="0031624F">
      <w:pPr>
        <w:rPr>
          <w:sz w:val="22"/>
          <w:szCs w:val="20"/>
          <w:lang w:eastAsia="en-US"/>
        </w:rPr>
      </w:pPr>
    </w:p>
    <w:p w14:paraId="23B6AACC" w14:textId="77777777" w:rsidR="0031624F" w:rsidRPr="005B5BB7" w:rsidRDefault="0031624F" w:rsidP="0031624F">
      <w:pPr>
        <w:rPr>
          <w:sz w:val="22"/>
          <w:szCs w:val="20"/>
          <w:lang w:eastAsia="en-US"/>
        </w:rPr>
      </w:pPr>
      <w:r w:rsidRPr="005B5BB7">
        <w:rPr>
          <w:sz w:val="22"/>
          <w:szCs w:val="20"/>
          <w:lang w:eastAsia="en-US"/>
        </w:rPr>
        <w:t xml:space="preserve">We are committed to delivering a trauma-informed approach to working with victims of VAWG, given that a high proportion of them will have experienced some degree of trauma during their lives. There are several principles that we would want to see implemented by the contractor to show that they are working in a trauma informed way: </w:t>
      </w:r>
    </w:p>
    <w:p w14:paraId="31C31479" w14:textId="77777777" w:rsidR="0031624F" w:rsidRPr="005B5BB7" w:rsidRDefault="0031624F" w:rsidP="0031624F">
      <w:pPr>
        <w:ind w:left="426" w:hanging="6"/>
        <w:rPr>
          <w:sz w:val="22"/>
          <w:szCs w:val="20"/>
          <w:lang w:eastAsia="en-US"/>
        </w:rPr>
      </w:pPr>
    </w:p>
    <w:p w14:paraId="23F540EC" w14:textId="77777777" w:rsidR="0031624F" w:rsidRPr="005B5BB7" w:rsidRDefault="0031624F" w:rsidP="00D56EE7">
      <w:pPr>
        <w:pStyle w:val="ListParagraph"/>
        <w:numPr>
          <w:ilvl w:val="0"/>
          <w:numId w:val="4"/>
        </w:numPr>
        <w:rPr>
          <w:rFonts w:cs="Arial"/>
          <w:sz w:val="22"/>
          <w:szCs w:val="20"/>
          <w:lang w:eastAsia="en-US"/>
        </w:rPr>
      </w:pPr>
      <w:r w:rsidRPr="005B5BB7">
        <w:rPr>
          <w:rFonts w:cs="Arial"/>
          <w:i/>
          <w:sz w:val="22"/>
          <w:szCs w:val="20"/>
          <w:lang w:eastAsia="en-US"/>
        </w:rPr>
        <w:t>Safety</w:t>
      </w:r>
      <w:r w:rsidRPr="005B5BB7">
        <w:rPr>
          <w:rFonts w:cs="Arial"/>
          <w:sz w:val="22"/>
          <w:szCs w:val="20"/>
          <w:lang w:eastAsia="en-US"/>
        </w:rPr>
        <w:t>: eye contact; consistency; explanations; procedure to report abuse</w:t>
      </w:r>
    </w:p>
    <w:p w14:paraId="12C864D8" w14:textId="77777777" w:rsidR="0031624F" w:rsidRPr="005B5BB7" w:rsidRDefault="0031624F" w:rsidP="00D56EE7">
      <w:pPr>
        <w:pStyle w:val="ListParagraph"/>
        <w:numPr>
          <w:ilvl w:val="0"/>
          <w:numId w:val="4"/>
        </w:numPr>
        <w:rPr>
          <w:rFonts w:cs="Arial"/>
          <w:sz w:val="22"/>
          <w:szCs w:val="20"/>
          <w:lang w:eastAsia="en-US"/>
        </w:rPr>
      </w:pPr>
      <w:r w:rsidRPr="005B5BB7">
        <w:rPr>
          <w:rFonts w:cs="Arial"/>
          <w:i/>
          <w:sz w:val="22"/>
          <w:szCs w:val="20"/>
          <w:lang w:eastAsia="en-US"/>
        </w:rPr>
        <w:t>Trustworthiness</w:t>
      </w:r>
      <w:r w:rsidRPr="005B5BB7">
        <w:rPr>
          <w:rFonts w:cs="Arial"/>
          <w:sz w:val="22"/>
          <w:szCs w:val="20"/>
          <w:lang w:eastAsia="en-US"/>
        </w:rPr>
        <w:t>: following through on work; model trust; maintaining appropriate boundaries and making tasks clear</w:t>
      </w:r>
    </w:p>
    <w:p w14:paraId="2CD17468" w14:textId="77777777" w:rsidR="0031624F" w:rsidRPr="005B5BB7" w:rsidRDefault="0031624F" w:rsidP="00D56EE7">
      <w:pPr>
        <w:pStyle w:val="ListParagraph"/>
        <w:numPr>
          <w:ilvl w:val="0"/>
          <w:numId w:val="4"/>
        </w:numPr>
        <w:rPr>
          <w:rFonts w:cs="Arial"/>
          <w:sz w:val="22"/>
          <w:szCs w:val="20"/>
          <w:lang w:eastAsia="en-US"/>
        </w:rPr>
      </w:pPr>
      <w:r w:rsidRPr="005B5BB7">
        <w:rPr>
          <w:rFonts w:cs="Arial"/>
          <w:i/>
          <w:sz w:val="22"/>
          <w:szCs w:val="20"/>
          <w:lang w:eastAsia="en-US"/>
        </w:rPr>
        <w:t>Choice</w:t>
      </w:r>
      <w:r w:rsidRPr="005B5BB7">
        <w:rPr>
          <w:rFonts w:cs="Arial"/>
          <w:sz w:val="22"/>
          <w:szCs w:val="20"/>
          <w:lang w:eastAsia="en-US"/>
        </w:rPr>
        <w:t>: emphasising individual choice and control; informed consent</w:t>
      </w:r>
    </w:p>
    <w:p w14:paraId="7A6B8D9F" w14:textId="77777777" w:rsidR="0031624F" w:rsidRPr="005B5BB7" w:rsidRDefault="0031624F" w:rsidP="00D56EE7">
      <w:pPr>
        <w:pStyle w:val="ListParagraph"/>
        <w:numPr>
          <w:ilvl w:val="0"/>
          <w:numId w:val="4"/>
        </w:numPr>
        <w:rPr>
          <w:rFonts w:cs="Arial"/>
          <w:sz w:val="22"/>
          <w:szCs w:val="20"/>
          <w:lang w:eastAsia="en-US"/>
        </w:rPr>
      </w:pPr>
      <w:r w:rsidRPr="005B5BB7">
        <w:rPr>
          <w:rFonts w:cs="Arial"/>
          <w:i/>
          <w:sz w:val="22"/>
          <w:szCs w:val="20"/>
          <w:lang w:eastAsia="en-US"/>
        </w:rPr>
        <w:t>Collaboration</w:t>
      </w:r>
      <w:r w:rsidRPr="005B5BB7">
        <w:rPr>
          <w:rFonts w:cs="Arial"/>
          <w:sz w:val="22"/>
          <w:szCs w:val="20"/>
          <w:lang w:eastAsia="en-US"/>
        </w:rPr>
        <w:t xml:space="preserve">: solicit input; explain options </w:t>
      </w:r>
    </w:p>
    <w:p w14:paraId="0B2516C8" w14:textId="77777777" w:rsidR="0031624F" w:rsidRPr="005B5BB7" w:rsidRDefault="0031624F" w:rsidP="00D56EE7">
      <w:pPr>
        <w:pStyle w:val="ListParagraph"/>
        <w:numPr>
          <w:ilvl w:val="0"/>
          <w:numId w:val="4"/>
        </w:numPr>
        <w:rPr>
          <w:rFonts w:cs="Arial"/>
          <w:sz w:val="22"/>
          <w:szCs w:val="20"/>
          <w:lang w:eastAsia="en-US"/>
        </w:rPr>
      </w:pPr>
      <w:r w:rsidRPr="005B5BB7">
        <w:rPr>
          <w:rFonts w:cs="Arial"/>
          <w:i/>
          <w:sz w:val="22"/>
          <w:szCs w:val="20"/>
          <w:lang w:eastAsia="en-US"/>
        </w:rPr>
        <w:t>Empowerment</w:t>
      </w:r>
      <w:r w:rsidRPr="005B5BB7">
        <w:rPr>
          <w:rFonts w:cs="Arial"/>
          <w:sz w:val="22"/>
          <w:szCs w:val="20"/>
          <w:lang w:eastAsia="en-US"/>
        </w:rPr>
        <w:t xml:space="preserve">: teaching skills so that they know how to use safety equipment.  </w:t>
      </w:r>
    </w:p>
    <w:p w14:paraId="28E7C09D" w14:textId="77777777" w:rsidR="0031624F" w:rsidRPr="005B5BB7" w:rsidRDefault="0031624F" w:rsidP="00D56EE7">
      <w:pPr>
        <w:pStyle w:val="Heading1"/>
        <w:numPr>
          <w:ilvl w:val="0"/>
          <w:numId w:val="5"/>
        </w:numPr>
        <w:ind w:hanging="720"/>
        <w:rPr>
          <w:b w:val="0"/>
          <w:sz w:val="22"/>
          <w:szCs w:val="20"/>
          <w:lang w:eastAsia="en-US"/>
        </w:rPr>
      </w:pPr>
      <w:bookmarkStart w:id="8" w:name="_Toc64525989"/>
      <w:r w:rsidRPr="005B5BB7">
        <w:rPr>
          <w:sz w:val="22"/>
          <w:szCs w:val="20"/>
          <w:lang w:eastAsia="en-US"/>
        </w:rPr>
        <w:t>Experience</w:t>
      </w:r>
      <w:bookmarkEnd w:id="8"/>
    </w:p>
    <w:p w14:paraId="5DD50539" w14:textId="77777777" w:rsidR="0031624F" w:rsidRPr="005B5BB7" w:rsidRDefault="0031624F" w:rsidP="0031624F">
      <w:pPr>
        <w:rPr>
          <w:sz w:val="22"/>
          <w:szCs w:val="20"/>
          <w:lang w:eastAsia="en-US"/>
        </w:rPr>
      </w:pPr>
    </w:p>
    <w:p w14:paraId="503652C4" w14:textId="77777777" w:rsidR="0031624F" w:rsidRPr="005B5BB7" w:rsidRDefault="0031624F" w:rsidP="0031624F">
      <w:pPr>
        <w:rPr>
          <w:sz w:val="22"/>
          <w:szCs w:val="20"/>
          <w:lang w:eastAsia="en-US"/>
        </w:rPr>
      </w:pPr>
      <w:r w:rsidRPr="005B5BB7">
        <w:rPr>
          <w:sz w:val="22"/>
          <w:szCs w:val="20"/>
          <w:lang w:eastAsia="en-US"/>
        </w:rPr>
        <w:t>Service to provide increased security in the homes of VAWG victims and their families as part of a safety plan.</w:t>
      </w:r>
    </w:p>
    <w:p w14:paraId="4F121B18" w14:textId="77777777" w:rsidR="0031624F" w:rsidRPr="005B5BB7" w:rsidRDefault="0031624F" w:rsidP="0031624F">
      <w:pPr>
        <w:rPr>
          <w:sz w:val="22"/>
          <w:szCs w:val="20"/>
          <w:lang w:eastAsia="en-US"/>
        </w:rPr>
      </w:pPr>
    </w:p>
    <w:p w14:paraId="04A64529" w14:textId="77777777" w:rsidR="0031624F" w:rsidRPr="005B5BB7" w:rsidRDefault="0031624F" w:rsidP="0031624F">
      <w:pPr>
        <w:rPr>
          <w:sz w:val="22"/>
          <w:szCs w:val="22"/>
          <w:lang w:eastAsia="en-US"/>
        </w:rPr>
      </w:pPr>
      <w:r w:rsidRPr="005B5BB7">
        <w:rPr>
          <w:sz w:val="22"/>
          <w:szCs w:val="22"/>
          <w:lang w:eastAsia="en-US"/>
        </w:rPr>
        <w:t>Every Sanctuary installation is assessed individually and tailored to the safety needs and circumstances of the individual and property involved by the Contractor</w:t>
      </w:r>
      <w:r>
        <w:rPr>
          <w:sz w:val="22"/>
          <w:szCs w:val="22"/>
          <w:lang w:eastAsia="en-US"/>
        </w:rPr>
        <w:t xml:space="preserve"> and where required the Councils Protective Security Manager.</w:t>
      </w:r>
      <w:r w:rsidRPr="005B5BB7">
        <w:rPr>
          <w:sz w:val="22"/>
          <w:szCs w:val="22"/>
          <w:lang w:eastAsia="en-US"/>
        </w:rPr>
        <w:t xml:space="preserve"> The Sanctuary contractor will carry out these installations based on the</w:t>
      </w:r>
      <w:r>
        <w:rPr>
          <w:sz w:val="22"/>
          <w:szCs w:val="22"/>
          <w:lang w:eastAsia="en-US"/>
        </w:rPr>
        <w:t>ir</w:t>
      </w:r>
      <w:r w:rsidRPr="005B5BB7">
        <w:rPr>
          <w:sz w:val="22"/>
          <w:szCs w:val="22"/>
          <w:lang w:eastAsia="en-US"/>
        </w:rPr>
        <w:t xml:space="preserve"> recommendations</w:t>
      </w:r>
      <w:r>
        <w:rPr>
          <w:sz w:val="22"/>
          <w:szCs w:val="22"/>
          <w:lang w:eastAsia="en-US"/>
        </w:rPr>
        <w:t xml:space="preserve"> and where required recommendations</w:t>
      </w:r>
      <w:r w:rsidRPr="005B5BB7">
        <w:rPr>
          <w:sz w:val="22"/>
          <w:szCs w:val="22"/>
          <w:lang w:eastAsia="en-US"/>
        </w:rPr>
        <w:t xml:space="preserve"> of the Protective Security Manager.</w:t>
      </w:r>
    </w:p>
    <w:p w14:paraId="79B7D669" w14:textId="77777777" w:rsidR="0031624F" w:rsidRPr="005B5BB7" w:rsidRDefault="0031624F" w:rsidP="0031624F">
      <w:pPr>
        <w:ind w:hanging="426"/>
        <w:rPr>
          <w:sz w:val="22"/>
          <w:szCs w:val="20"/>
          <w:lang w:eastAsia="en-US"/>
        </w:rPr>
      </w:pPr>
    </w:p>
    <w:p w14:paraId="1CA973E8" w14:textId="77777777" w:rsidR="0031624F" w:rsidRPr="005B5BB7" w:rsidRDefault="0031624F" w:rsidP="0031624F">
      <w:pPr>
        <w:ind w:left="426" w:hanging="426"/>
        <w:rPr>
          <w:sz w:val="22"/>
          <w:szCs w:val="20"/>
          <w:lang w:eastAsia="en-US"/>
        </w:rPr>
      </w:pPr>
      <w:r w:rsidRPr="005B5BB7">
        <w:rPr>
          <w:sz w:val="22"/>
          <w:szCs w:val="20"/>
          <w:lang w:eastAsia="en-US"/>
        </w:rPr>
        <w:t xml:space="preserve">The contractor will be: </w:t>
      </w:r>
    </w:p>
    <w:p w14:paraId="2BD04534" w14:textId="77777777" w:rsidR="0031624F" w:rsidRPr="005B5BB7" w:rsidRDefault="0031624F" w:rsidP="0031624F">
      <w:pPr>
        <w:ind w:left="426" w:hanging="426"/>
        <w:rPr>
          <w:sz w:val="22"/>
          <w:szCs w:val="20"/>
          <w:lang w:eastAsia="en-US"/>
        </w:rPr>
      </w:pPr>
    </w:p>
    <w:p w14:paraId="6FFB9F06" w14:textId="77777777" w:rsidR="0031624F" w:rsidRPr="005B5BB7" w:rsidRDefault="0031624F" w:rsidP="0031624F">
      <w:pPr>
        <w:ind w:left="852" w:hanging="426"/>
        <w:rPr>
          <w:sz w:val="22"/>
          <w:szCs w:val="20"/>
          <w:lang w:eastAsia="en-US"/>
        </w:rPr>
      </w:pPr>
      <w:r w:rsidRPr="005B5BB7">
        <w:rPr>
          <w:sz w:val="22"/>
          <w:szCs w:val="20"/>
          <w:lang w:eastAsia="en-US"/>
        </w:rPr>
        <w:t>•</w:t>
      </w:r>
      <w:r w:rsidRPr="005B5BB7">
        <w:rPr>
          <w:sz w:val="22"/>
          <w:szCs w:val="20"/>
          <w:lang w:eastAsia="en-US"/>
        </w:rPr>
        <w:tab/>
        <w:t>An established provider of Sanctuary/ security installations</w:t>
      </w:r>
    </w:p>
    <w:p w14:paraId="23109FCB" w14:textId="77777777" w:rsidR="0031624F" w:rsidRPr="005B5BB7" w:rsidRDefault="0031624F" w:rsidP="0031624F">
      <w:pPr>
        <w:ind w:left="852" w:hanging="426"/>
        <w:rPr>
          <w:sz w:val="22"/>
          <w:szCs w:val="20"/>
          <w:lang w:eastAsia="en-US"/>
        </w:rPr>
      </w:pPr>
      <w:r w:rsidRPr="005B5BB7">
        <w:rPr>
          <w:sz w:val="22"/>
          <w:szCs w:val="20"/>
          <w:lang w:eastAsia="en-US"/>
        </w:rPr>
        <w:t>•</w:t>
      </w:r>
      <w:r w:rsidRPr="005B5BB7">
        <w:rPr>
          <w:sz w:val="22"/>
          <w:szCs w:val="20"/>
          <w:lang w:eastAsia="en-US"/>
        </w:rPr>
        <w:tab/>
        <w:t xml:space="preserve">Independent of any statutory services </w:t>
      </w:r>
    </w:p>
    <w:p w14:paraId="4FCEF6E7" w14:textId="77777777" w:rsidR="0031624F" w:rsidRPr="005B5BB7" w:rsidRDefault="0031624F" w:rsidP="0031624F">
      <w:pPr>
        <w:ind w:left="852" w:hanging="426"/>
        <w:rPr>
          <w:sz w:val="22"/>
          <w:szCs w:val="20"/>
          <w:lang w:eastAsia="en-US"/>
        </w:rPr>
      </w:pPr>
      <w:r w:rsidRPr="005B5BB7">
        <w:rPr>
          <w:sz w:val="22"/>
          <w:szCs w:val="20"/>
          <w:lang w:eastAsia="en-US"/>
        </w:rPr>
        <w:t>•</w:t>
      </w:r>
      <w:r w:rsidRPr="005B5BB7">
        <w:rPr>
          <w:sz w:val="22"/>
          <w:szCs w:val="20"/>
          <w:lang w:eastAsia="en-US"/>
        </w:rPr>
        <w:tab/>
        <w:t>Able to deliver a service located within the borough which is accessible to all service users</w:t>
      </w:r>
    </w:p>
    <w:p w14:paraId="51E2D2AF" w14:textId="77777777" w:rsidR="0031624F" w:rsidRPr="005B5BB7" w:rsidRDefault="0031624F" w:rsidP="0031624F">
      <w:pPr>
        <w:ind w:left="852" w:hanging="426"/>
        <w:rPr>
          <w:sz w:val="22"/>
          <w:szCs w:val="20"/>
          <w:lang w:eastAsia="en-US"/>
        </w:rPr>
      </w:pPr>
      <w:r w:rsidRPr="005B5BB7">
        <w:rPr>
          <w:sz w:val="22"/>
          <w:szCs w:val="20"/>
          <w:lang w:eastAsia="en-US"/>
        </w:rPr>
        <w:t>•</w:t>
      </w:r>
      <w:r w:rsidRPr="005B5BB7">
        <w:rPr>
          <w:sz w:val="22"/>
          <w:szCs w:val="20"/>
          <w:lang w:eastAsia="en-US"/>
        </w:rPr>
        <w:tab/>
        <w:t xml:space="preserve">Knowledgeable about VAWG and the impact it can have on victims and families </w:t>
      </w:r>
    </w:p>
    <w:p w14:paraId="05B96A74" w14:textId="77777777" w:rsidR="0031624F" w:rsidRPr="005B5BB7" w:rsidRDefault="0031624F" w:rsidP="0031624F">
      <w:pPr>
        <w:ind w:left="852" w:hanging="426"/>
        <w:rPr>
          <w:sz w:val="22"/>
          <w:szCs w:val="20"/>
          <w:lang w:eastAsia="en-US"/>
        </w:rPr>
      </w:pPr>
      <w:r w:rsidRPr="005B5BB7">
        <w:rPr>
          <w:sz w:val="22"/>
          <w:szCs w:val="20"/>
          <w:lang w:eastAsia="en-US"/>
        </w:rPr>
        <w:t>•</w:t>
      </w:r>
      <w:r w:rsidRPr="005B5BB7">
        <w:rPr>
          <w:sz w:val="22"/>
          <w:szCs w:val="20"/>
          <w:lang w:eastAsia="en-US"/>
        </w:rPr>
        <w:tab/>
        <w:t xml:space="preserve">Able to work with a trauma informed approach </w:t>
      </w:r>
    </w:p>
    <w:p w14:paraId="3535A6AE" w14:textId="77777777" w:rsidR="0031624F" w:rsidRPr="005B5BB7" w:rsidRDefault="0031624F" w:rsidP="0031624F">
      <w:pPr>
        <w:ind w:left="426" w:hanging="426"/>
        <w:rPr>
          <w:sz w:val="22"/>
          <w:szCs w:val="22"/>
          <w:lang w:eastAsia="en-US"/>
        </w:rPr>
      </w:pPr>
    </w:p>
    <w:p w14:paraId="66482013" w14:textId="77777777" w:rsidR="0031624F" w:rsidRPr="005B5BB7" w:rsidRDefault="0031624F" w:rsidP="0031624F">
      <w:pPr>
        <w:ind w:left="426" w:hanging="426"/>
        <w:rPr>
          <w:sz w:val="22"/>
          <w:szCs w:val="20"/>
          <w:lang w:eastAsia="en-US"/>
        </w:rPr>
      </w:pPr>
      <w:r w:rsidRPr="005B5BB7">
        <w:rPr>
          <w:sz w:val="22"/>
          <w:szCs w:val="20"/>
          <w:lang w:eastAsia="en-US"/>
        </w:rPr>
        <w:t xml:space="preserve">The contract provider needs to meet the following criteria: </w:t>
      </w:r>
    </w:p>
    <w:p w14:paraId="780361F3" w14:textId="77777777" w:rsidR="0031624F" w:rsidRPr="005B5BB7" w:rsidRDefault="0031624F" w:rsidP="00D56EE7">
      <w:pPr>
        <w:pStyle w:val="ListParagraph"/>
        <w:numPr>
          <w:ilvl w:val="0"/>
          <w:numId w:val="6"/>
        </w:numPr>
        <w:rPr>
          <w:rFonts w:cs="Arial"/>
          <w:sz w:val="22"/>
          <w:szCs w:val="20"/>
          <w:lang w:eastAsia="en-US"/>
        </w:rPr>
      </w:pPr>
      <w:r w:rsidRPr="005B5BB7">
        <w:rPr>
          <w:rFonts w:cs="Arial"/>
          <w:sz w:val="22"/>
          <w:szCs w:val="20"/>
          <w:lang w:eastAsia="en-US"/>
        </w:rPr>
        <w:t>Evidence of compliance with the national standards and criteria for a security company including GDPR compliant</w:t>
      </w:r>
    </w:p>
    <w:p w14:paraId="34D19A71" w14:textId="77777777" w:rsidR="0031624F" w:rsidRPr="005B5BB7" w:rsidRDefault="0031624F" w:rsidP="00D56EE7">
      <w:pPr>
        <w:pStyle w:val="ListParagraph"/>
        <w:numPr>
          <w:ilvl w:val="0"/>
          <w:numId w:val="6"/>
        </w:numPr>
        <w:rPr>
          <w:rFonts w:cs="Arial"/>
          <w:sz w:val="22"/>
          <w:szCs w:val="20"/>
          <w:lang w:eastAsia="en-US"/>
        </w:rPr>
      </w:pPr>
      <w:r w:rsidRPr="005B5BB7">
        <w:rPr>
          <w:rFonts w:cs="Arial"/>
          <w:sz w:val="22"/>
          <w:szCs w:val="20"/>
          <w:lang w:eastAsia="en-US"/>
        </w:rPr>
        <w:t xml:space="preserve">Have experience of forming strong links with partner organisations to facilitate a coordinated community response to </w:t>
      </w:r>
      <w:proofErr w:type="gramStart"/>
      <w:r w:rsidRPr="005B5BB7">
        <w:rPr>
          <w:rFonts w:cs="Arial"/>
          <w:sz w:val="22"/>
          <w:szCs w:val="20"/>
          <w:lang w:eastAsia="en-US"/>
        </w:rPr>
        <w:t>VAWG</w:t>
      </w:r>
      <w:proofErr w:type="gramEnd"/>
      <w:r w:rsidRPr="005B5BB7">
        <w:rPr>
          <w:rFonts w:cs="Arial"/>
          <w:sz w:val="22"/>
          <w:szCs w:val="20"/>
          <w:lang w:eastAsia="en-US"/>
        </w:rPr>
        <w:t xml:space="preserve"> </w:t>
      </w:r>
    </w:p>
    <w:p w14:paraId="681EC1EE" w14:textId="77777777" w:rsidR="0031624F" w:rsidRPr="005B5BB7" w:rsidRDefault="0031624F" w:rsidP="00D56EE7">
      <w:pPr>
        <w:pStyle w:val="ListParagraph"/>
        <w:numPr>
          <w:ilvl w:val="0"/>
          <w:numId w:val="6"/>
        </w:numPr>
        <w:rPr>
          <w:rFonts w:cs="Arial"/>
          <w:sz w:val="22"/>
          <w:szCs w:val="20"/>
          <w:lang w:eastAsia="en-US"/>
        </w:rPr>
      </w:pPr>
      <w:r w:rsidRPr="005B5BB7">
        <w:rPr>
          <w:rFonts w:cs="Arial"/>
          <w:sz w:val="22"/>
          <w:szCs w:val="20"/>
          <w:lang w:eastAsia="en-US"/>
        </w:rPr>
        <w:t xml:space="preserve">Have experience of working with people from different cultural backgrounds and across age groups, including clients whose second language is </w:t>
      </w:r>
      <w:proofErr w:type="gramStart"/>
      <w:r w:rsidRPr="005B5BB7">
        <w:rPr>
          <w:rFonts w:cs="Arial"/>
          <w:sz w:val="22"/>
          <w:szCs w:val="20"/>
          <w:lang w:eastAsia="en-US"/>
        </w:rPr>
        <w:t>English</w:t>
      </w:r>
      <w:proofErr w:type="gramEnd"/>
    </w:p>
    <w:p w14:paraId="7F02C257" w14:textId="77777777" w:rsidR="0031624F" w:rsidRPr="005B5BB7" w:rsidRDefault="0031624F" w:rsidP="00D56EE7">
      <w:pPr>
        <w:pStyle w:val="ListParagraph"/>
        <w:numPr>
          <w:ilvl w:val="0"/>
          <w:numId w:val="6"/>
        </w:numPr>
        <w:rPr>
          <w:rFonts w:cs="Arial"/>
          <w:sz w:val="22"/>
          <w:szCs w:val="20"/>
          <w:lang w:eastAsia="en-US"/>
        </w:rPr>
      </w:pPr>
      <w:r w:rsidRPr="005B5BB7">
        <w:rPr>
          <w:rFonts w:cs="Arial"/>
          <w:sz w:val="22"/>
          <w:szCs w:val="20"/>
          <w:lang w:eastAsia="en-US"/>
        </w:rPr>
        <w:t xml:space="preserve">Demonstrate understanding of risk in VAWG and safeguarding of children and vulnerable </w:t>
      </w:r>
      <w:proofErr w:type="gramStart"/>
      <w:r w:rsidRPr="005B5BB7">
        <w:rPr>
          <w:rFonts w:cs="Arial"/>
          <w:sz w:val="22"/>
          <w:szCs w:val="20"/>
          <w:lang w:eastAsia="en-US"/>
        </w:rPr>
        <w:t>adults</w:t>
      </w:r>
      <w:proofErr w:type="gramEnd"/>
      <w:r w:rsidRPr="005B5BB7">
        <w:rPr>
          <w:rFonts w:cs="Arial"/>
          <w:sz w:val="22"/>
          <w:szCs w:val="20"/>
          <w:lang w:eastAsia="en-US"/>
        </w:rPr>
        <w:t xml:space="preserve">  </w:t>
      </w:r>
    </w:p>
    <w:p w14:paraId="27E67F9D" w14:textId="77777777" w:rsidR="0031624F" w:rsidRPr="005B5BB7" w:rsidRDefault="0031624F" w:rsidP="00D56EE7">
      <w:pPr>
        <w:pStyle w:val="ListParagraph"/>
        <w:numPr>
          <w:ilvl w:val="0"/>
          <w:numId w:val="6"/>
        </w:numPr>
        <w:rPr>
          <w:rFonts w:cs="Arial"/>
          <w:sz w:val="22"/>
          <w:szCs w:val="20"/>
          <w:lang w:eastAsia="en-US"/>
        </w:rPr>
      </w:pPr>
      <w:r w:rsidRPr="005B5BB7">
        <w:rPr>
          <w:rFonts w:cs="Arial"/>
          <w:sz w:val="22"/>
          <w:szCs w:val="20"/>
          <w:lang w:eastAsia="en-US"/>
        </w:rPr>
        <w:t xml:space="preserve">Demonstrate understanding and application of how to work in a trauma informed </w:t>
      </w:r>
      <w:proofErr w:type="gramStart"/>
      <w:r w:rsidRPr="005B5BB7">
        <w:rPr>
          <w:rFonts w:cs="Arial"/>
          <w:sz w:val="22"/>
          <w:szCs w:val="20"/>
          <w:lang w:eastAsia="en-US"/>
        </w:rPr>
        <w:t>approach</w:t>
      </w:r>
      <w:proofErr w:type="gramEnd"/>
    </w:p>
    <w:p w14:paraId="50BA7530" w14:textId="77777777" w:rsidR="0031624F" w:rsidRPr="005B5BB7" w:rsidRDefault="0031624F" w:rsidP="00D56EE7">
      <w:pPr>
        <w:pStyle w:val="ListParagraph"/>
        <w:numPr>
          <w:ilvl w:val="0"/>
          <w:numId w:val="6"/>
        </w:numPr>
        <w:rPr>
          <w:rFonts w:cs="Arial"/>
          <w:sz w:val="22"/>
          <w:szCs w:val="22"/>
          <w:lang w:eastAsia="en-US"/>
        </w:rPr>
      </w:pPr>
      <w:r w:rsidRPr="005B5BB7">
        <w:rPr>
          <w:rFonts w:cs="Arial"/>
          <w:sz w:val="22"/>
          <w:szCs w:val="22"/>
          <w:lang w:eastAsia="en-US"/>
        </w:rPr>
        <w:t xml:space="preserve">Utilise PPE equipment where </w:t>
      </w:r>
      <w:proofErr w:type="gramStart"/>
      <w:r w:rsidRPr="005B5BB7">
        <w:rPr>
          <w:rFonts w:cs="Arial"/>
          <w:sz w:val="22"/>
          <w:szCs w:val="22"/>
          <w:lang w:eastAsia="en-US"/>
        </w:rPr>
        <w:t>required</w:t>
      </w:r>
      <w:proofErr w:type="gramEnd"/>
      <w:r w:rsidRPr="005B5BB7">
        <w:rPr>
          <w:rFonts w:cs="Arial"/>
          <w:sz w:val="22"/>
          <w:szCs w:val="22"/>
          <w:lang w:eastAsia="en-US"/>
        </w:rPr>
        <w:t xml:space="preserve"> </w:t>
      </w:r>
    </w:p>
    <w:p w14:paraId="1C2E9366" w14:textId="77777777" w:rsidR="0031624F" w:rsidRPr="005B5BB7" w:rsidRDefault="0031624F" w:rsidP="00D56EE7">
      <w:pPr>
        <w:pStyle w:val="Heading1"/>
        <w:numPr>
          <w:ilvl w:val="0"/>
          <w:numId w:val="5"/>
        </w:numPr>
        <w:ind w:hanging="720"/>
        <w:rPr>
          <w:b w:val="0"/>
          <w:sz w:val="22"/>
          <w:szCs w:val="20"/>
          <w:lang w:eastAsia="en-US"/>
        </w:rPr>
      </w:pPr>
      <w:bookmarkStart w:id="9" w:name="_Toc64525990"/>
      <w:r w:rsidRPr="005B5BB7">
        <w:rPr>
          <w:sz w:val="22"/>
          <w:szCs w:val="20"/>
          <w:lang w:eastAsia="en-US"/>
        </w:rPr>
        <w:t>Service Objectives</w:t>
      </w:r>
      <w:bookmarkEnd w:id="9"/>
    </w:p>
    <w:p w14:paraId="41D9652E" w14:textId="77777777" w:rsidR="0031624F" w:rsidRPr="005B5BB7" w:rsidRDefault="0031624F" w:rsidP="0031624F">
      <w:pPr>
        <w:rPr>
          <w:sz w:val="22"/>
          <w:szCs w:val="20"/>
          <w:lang w:eastAsia="en-US"/>
        </w:rPr>
      </w:pPr>
    </w:p>
    <w:p w14:paraId="4C0B673C" w14:textId="77777777" w:rsidR="0031624F" w:rsidRPr="005B5BB7" w:rsidRDefault="0031624F" w:rsidP="0031624F">
      <w:pPr>
        <w:rPr>
          <w:sz w:val="22"/>
          <w:szCs w:val="20"/>
          <w:lang w:eastAsia="en-US"/>
        </w:rPr>
      </w:pPr>
      <w:r w:rsidRPr="005B5BB7">
        <w:rPr>
          <w:sz w:val="22"/>
          <w:szCs w:val="20"/>
          <w:lang w:eastAsia="en-US"/>
        </w:rPr>
        <w:t xml:space="preserve">The overall aims of the service are to: </w:t>
      </w:r>
    </w:p>
    <w:p w14:paraId="6C84343F" w14:textId="77777777" w:rsidR="0031624F" w:rsidRPr="005B5BB7" w:rsidRDefault="0031624F" w:rsidP="0031624F">
      <w:pPr>
        <w:rPr>
          <w:sz w:val="22"/>
          <w:szCs w:val="20"/>
          <w:lang w:eastAsia="en-US"/>
        </w:rPr>
      </w:pPr>
    </w:p>
    <w:p w14:paraId="26D551B8" w14:textId="77777777" w:rsidR="0031624F" w:rsidRPr="005B5BB7" w:rsidRDefault="0031624F" w:rsidP="00D56EE7">
      <w:pPr>
        <w:pStyle w:val="ListParagraph"/>
        <w:numPr>
          <w:ilvl w:val="0"/>
          <w:numId w:val="7"/>
        </w:numPr>
        <w:rPr>
          <w:rFonts w:cs="Arial"/>
          <w:sz w:val="22"/>
          <w:szCs w:val="20"/>
          <w:lang w:eastAsia="en-US"/>
        </w:rPr>
      </w:pPr>
      <w:r w:rsidRPr="005B5BB7">
        <w:rPr>
          <w:rFonts w:cs="Arial"/>
          <w:sz w:val="22"/>
          <w:szCs w:val="20"/>
          <w:lang w:eastAsia="en-US"/>
        </w:rPr>
        <w:t>Increase the immediate and long-term safety of adults and children at risk due to VAWG.</w:t>
      </w:r>
    </w:p>
    <w:p w14:paraId="60ACCAFF" w14:textId="77777777" w:rsidR="0031624F" w:rsidRPr="005B5BB7" w:rsidRDefault="0031624F" w:rsidP="00D56EE7">
      <w:pPr>
        <w:pStyle w:val="ListParagraph"/>
        <w:numPr>
          <w:ilvl w:val="0"/>
          <w:numId w:val="7"/>
        </w:numPr>
        <w:rPr>
          <w:rFonts w:cs="Arial"/>
          <w:sz w:val="22"/>
          <w:szCs w:val="20"/>
          <w:lang w:eastAsia="en-US"/>
        </w:rPr>
      </w:pPr>
      <w:r w:rsidRPr="005B5BB7">
        <w:rPr>
          <w:rFonts w:cs="Arial"/>
          <w:sz w:val="22"/>
          <w:szCs w:val="20"/>
          <w:lang w:eastAsia="en-US"/>
        </w:rPr>
        <w:t xml:space="preserve">Support those affected by VAWG to remain living in their </w:t>
      </w:r>
      <w:proofErr w:type="gramStart"/>
      <w:r w:rsidRPr="005B5BB7">
        <w:rPr>
          <w:rFonts w:cs="Arial"/>
          <w:sz w:val="22"/>
          <w:szCs w:val="20"/>
          <w:lang w:eastAsia="en-US"/>
        </w:rPr>
        <w:t>homes</w:t>
      </w:r>
      <w:proofErr w:type="gramEnd"/>
    </w:p>
    <w:p w14:paraId="5FF47998" w14:textId="77777777" w:rsidR="0031624F" w:rsidRPr="005B5BB7" w:rsidRDefault="0031624F" w:rsidP="00D56EE7">
      <w:pPr>
        <w:pStyle w:val="ListParagraph"/>
        <w:numPr>
          <w:ilvl w:val="0"/>
          <w:numId w:val="7"/>
        </w:numPr>
        <w:rPr>
          <w:rFonts w:cs="Arial"/>
          <w:sz w:val="22"/>
          <w:szCs w:val="20"/>
          <w:lang w:eastAsia="en-US"/>
        </w:rPr>
      </w:pPr>
      <w:r w:rsidRPr="005B5BB7">
        <w:rPr>
          <w:rFonts w:cs="Arial"/>
          <w:sz w:val="22"/>
          <w:szCs w:val="20"/>
          <w:lang w:eastAsia="en-US"/>
        </w:rPr>
        <w:t xml:space="preserve">Reduce the number of homeless VAWG </w:t>
      </w:r>
      <w:proofErr w:type="gramStart"/>
      <w:r w:rsidRPr="005B5BB7">
        <w:rPr>
          <w:rFonts w:cs="Arial"/>
          <w:sz w:val="22"/>
          <w:szCs w:val="20"/>
          <w:lang w:eastAsia="en-US"/>
        </w:rPr>
        <w:t>victims</w:t>
      </w:r>
      <w:proofErr w:type="gramEnd"/>
    </w:p>
    <w:p w14:paraId="40E997B5" w14:textId="77777777" w:rsidR="0031624F" w:rsidRPr="005B5BB7" w:rsidRDefault="0031624F" w:rsidP="00D56EE7">
      <w:pPr>
        <w:pStyle w:val="ListParagraph"/>
        <w:numPr>
          <w:ilvl w:val="0"/>
          <w:numId w:val="7"/>
        </w:numPr>
        <w:rPr>
          <w:rFonts w:cs="Arial"/>
          <w:sz w:val="22"/>
          <w:szCs w:val="20"/>
          <w:lang w:eastAsia="en-US"/>
        </w:rPr>
      </w:pPr>
      <w:r w:rsidRPr="005B5BB7">
        <w:rPr>
          <w:rFonts w:cs="Arial"/>
          <w:sz w:val="22"/>
          <w:szCs w:val="20"/>
          <w:lang w:eastAsia="en-US"/>
        </w:rPr>
        <w:t xml:space="preserve">Reduce the number of children who are made homeless due to the impact of </w:t>
      </w:r>
      <w:proofErr w:type="gramStart"/>
      <w:r w:rsidRPr="005B5BB7">
        <w:rPr>
          <w:rFonts w:cs="Arial"/>
          <w:sz w:val="22"/>
          <w:szCs w:val="20"/>
          <w:lang w:eastAsia="en-US"/>
        </w:rPr>
        <w:t>VAWG</w:t>
      </w:r>
      <w:proofErr w:type="gramEnd"/>
      <w:r w:rsidRPr="005B5BB7">
        <w:rPr>
          <w:rFonts w:cs="Arial"/>
          <w:sz w:val="22"/>
          <w:szCs w:val="20"/>
          <w:lang w:eastAsia="en-US"/>
        </w:rPr>
        <w:t xml:space="preserve"> </w:t>
      </w:r>
    </w:p>
    <w:p w14:paraId="5C6DCC46" w14:textId="77777777" w:rsidR="0031624F" w:rsidRPr="005B5BB7" w:rsidRDefault="0031624F" w:rsidP="00D56EE7">
      <w:pPr>
        <w:pStyle w:val="ListParagraph"/>
        <w:numPr>
          <w:ilvl w:val="0"/>
          <w:numId w:val="7"/>
        </w:numPr>
        <w:rPr>
          <w:rFonts w:cs="Arial"/>
          <w:sz w:val="22"/>
          <w:szCs w:val="20"/>
          <w:lang w:eastAsia="en-US"/>
        </w:rPr>
      </w:pPr>
      <w:r w:rsidRPr="005B5BB7">
        <w:rPr>
          <w:rFonts w:cs="Arial"/>
          <w:sz w:val="22"/>
          <w:szCs w:val="20"/>
          <w:lang w:eastAsia="en-US"/>
        </w:rPr>
        <w:t>Provide additional support to victims who have acquired civil orders against the perpetrator (For example, a non-molestation order)</w:t>
      </w:r>
    </w:p>
    <w:p w14:paraId="7B428B3E" w14:textId="77777777" w:rsidR="0031624F" w:rsidRPr="005B5BB7" w:rsidRDefault="0031624F" w:rsidP="00D56EE7">
      <w:pPr>
        <w:pStyle w:val="ListParagraph"/>
        <w:numPr>
          <w:ilvl w:val="0"/>
          <w:numId w:val="7"/>
        </w:numPr>
        <w:rPr>
          <w:rFonts w:cs="Arial"/>
          <w:sz w:val="22"/>
          <w:szCs w:val="20"/>
          <w:lang w:eastAsia="en-US"/>
        </w:rPr>
      </w:pPr>
      <w:r w:rsidRPr="005B5BB7">
        <w:rPr>
          <w:rFonts w:cs="Arial"/>
          <w:sz w:val="22"/>
          <w:szCs w:val="20"/>
          <w:lang w:eastAsia="en-US"/>
        </w:rPr>
        <w:t xml:space="preserve">Contribute to providing a multi-agency co-ordinated response to adult and child safeguarding </w:t>
      </w:r>
      <w:proofErr w:type="gramStart"/>
      <w:r w:rsidRPr="005B5BB7">
        <w:rPr>
          <w:rFonts w:cs="Arial"/>
          <w:sz w:val="22"/>
          <w:szCs w:val="20"/>
          <w:lang w:eastAsia="en-US"/>
        </w:rPr>
        <w:t>concerns</w:t>
      </w:r>
      <w:proofErr w:type="gramEnd"/>
    </w:p>
    <w:p w14:paraId="42E4C65B" w14:textId="77777777" w:rsidR="0031624F" w:rsidRPr="005B5BB7" w:rsidRDefault="0031624F" w:rsidP="0031624F">
      <w:pPr>
        <w:rPr>
          <w:sz w:val="22"/>
          <w:szCs w:val="20"/>
          <w:lang w:eastAsia="en-US"/>
        </w:rPr>
      </w:pPr>
    </w:p>
    <w:p w14:paraId="5D9A5C36" w14:textId="77777777" w:rsidR="0031624F" w:rsidRPr="005B5BB7" w:rsidRDefault="0031624F" w:rsidP="0031624F">
      <w:pPr>
        <w:rPr>
          <w:sz w:val="22"/>
          <w:szCs w:val="20"/>
          <w:lang w:eastAsia="en-US"/>
        </w:rPr>
      </w:pPr>
    </w:p>
    <w:p w14:paraId="05D06494" w14:textId="77777777" w:rsidR="0031624F" w:rsidRPr="005B5BB7" w:rsidRDefault="0031624F" w:rsidP="00D56EE7">
      <w:pPr>
        <w:pStyle w:val="Heading1"/>
        <w:numPr>
          <w:ilvl w:val="0"/>
          <w:numId w:val="5"/>
        </w:numPr>
        <w:ind w:hanging="720"/>
        <w:rPr>
          <w:b w:val="0"/>
          <w:sz w:val="22"/>
          <w:szCs w:val="20"/>
          <w:lang w:eastAsia="en-US"/>
        </w:rPr>
      </w:pPr>
      <w:bookmarkStart w:id="10" w:name="_Toc64525991"/>
      <w:r w:rsidRPr="005B5BB7">
        <w:rPr>
          <w:sz w:val="22"/>
          <w:szCs w:val="20"/>
          <w:lang w:eastAsia="en-US"/>
        </w:rPr>
        <w:t>Scope of the Work</w:t>
      </w:r>
      <w:bookmarkEnd w:id="10"/>
    </w:p>
    <w:p w14:paraId="26AF36E4" w14:textId="77777777" w:rsidR="0031624F" w:rsidRPr="005B5BB7" w:rsidRDefault="0031624F" w:rsidP="0031624F">
      <w:pPr>
        <w:rPr>
          <w:sz w:val="22"/>
          <w:szCs w:val="20"/>
          <w:lang w:eastAsia="en-US"/>
        </w:rPr>
      </w:pPr>
    </w:p>
    <w:p w14:paraId="2AD99A5A" w14:textId="77777777" w:rsidR="0031624F" w:rsidRPr="005B5BB7" w:rsidRDefault="0031624F" w:rsidP="0031624F">
      <w:pPr>
        <w:rPr>
          <w:sz w:val="22"/>
          <w:szCs w:val="20"/>
          <w:lang w:eastAsia="en-US"/>
        </w:rPr>
      </w:pPr>
      <w:r w:rsidRPr="005B5BB7">
        <w:rPr>
          <w:sz w:val="22"/>
          <w:szCs w:val="20"/>
          <w:lang w:eastAsia="en-US"/>
        </w:rPr>
        <w:t>The service will be available to all those (both male and female) aged 18 years and above that live in the London Borough of Tower Hamlets and who are or have been victims of VAWG (Violence against Women and Girls).</w:t>
      </w:r>
    </w:p>
    <w:p w14:paraId="79033A25" w14:textId="77777777" w:rsidR="0031624F" w:rsidRPr="005B5BB7" w:rsidRDefault="0031624F" w:rsidP="0031624F">
      <w:pPr>
        <w:rPr>
          <w:sz w:val="22"/>
          <w:szCs w:val="20"/>
          <w:lang w:eastAsia="en-US"/>
        </w:rPr>
      </w:pPr>
    </w:p>
    <w:p w14:paraId="0BDA9A47" w14:textId="77777777" w:rsidR="0031624F" w:rsidRPr="005B5BB7" w:rsidRDefault="0031624F" w:rsidP="0031624F">
      <w:pPr>
        <w:rPr>
          <w:sz w:val="22"/>
          <w:szCs w:val="20"/>
          <w:lang w:eastAsia="en-US"/>
        </w:rPr>
      </w:pPr>
      <w:r w:rsidRPr="005B5BB7">
        <w:rPr>
          <w:sz w:val="22"/>
          <w:szCs w:val="20"/>
          <w:lang w:eastAsia="en-US"/>
        </w:rPr>
        <w:t xml:space="preserve">This includes domestic abuse, sexual abuse, forced marriage, so called ‘honour’ based violence, female genital mutilation, dowry related abuse, stalking and harassment, </w:t>
      </w:r>
      <w:proofErr w:type="gramStart"/>
      <w:r w:rsidRPr="005B5BB7">
        <w:rPr>
          <w:sz w:val="22"/>
          <w:szCs w:val="20"/>
          <w:lang w:eastAsia="en-US"/>
        </w:rPr>
        <w:t>prostitution</w:t>
      </w:r>
      <w:proofErr w:type="gramEnd"/>
      <w:r w:rsidRPr="005B5BB7">
        <w:rPr>
          <w:sz w:val="22"/>
          <w:szCs w:val="20"/>
          <w:lang w:eastAsia="en-US"/>
        </w:rPr>
        <w:t xml:space="preserve"> and trafficking.</w:t>
      </w:r>
    </w:p>
    <w:p w14:paraId="5C5D3A95" w14:textId="77777777" w:rsidR="0031624F" w:rsidRPr="005B5BB7" w:rsidRDefault="0031624F" w:rsidP="0031624F">
      <w:pPr>
        <w:rPr>
          <w:sz w:val="22"/>
          <w:szCs w:val="20"/>
          <w:lang w:eastAsia="en-US"/>
        </w:rPr>
      </w:pPr>
    </w:p>
    <w:p w14:paraId="7F9D4715" w14:textId="77777777" w:rsidR="0031624F" w:rsidRPr="005B5BB7" w:rsidRDefault="0031624F" w:rsidP="0031624F">
      <w:pPr>
        <w:rPr>
          <w:sz w:val="22"/>
          <w:szCs w:val="20"/>
          <w:lang w:eastAsia="en-US"/>
        </w:rPr>
      </w:pPr>
      <w:r w:rsidRPr="005B5BB7">
        <w:rPr>
          <w:sz w:val="22"/>
          <w:szCs w:val="20"/>
          <w:lang w:eastAsia="en-US"/>
        </w:rPr>
        <w:t>Applicants need to be resident in permanent or long-term temporary accommodation and require the permission of their property owner/landlord if this is applicable and NOT be in direct contact with the perpetrator of abuse.</w:t>
      </w:r>
    </w:p>
    <w:p w14:paraId="4FBCF27B" w14:textId="77777777" w:rsidR="0031624F" w:rsidRPr="005B5BB7" w:rsidRDefault="0031624F" w:rsidP="0031624F">
      <w:pPr>
        <w:rPr>
          <w:sz w:val="22"/>
          <w:szCs w:val="20"/>
          <w:lang w:eastAsia="en-US"/>
        </w:rPr>
      </w:pPr>
    </w:p>
    <w:p w14:paraId="1EAF2A48" w14:textId="77777777" w:rsidR="0031624F" w:rsidRPr="005B5BB7" w:rsidRDefault="0031624F" w:rsidP="0031624F">
      <w:pPr>
        <w:rPr>
          <w:sz w:val="22"/>
          <w:szCs w:val="20"/>
          <w:lang w:eastAsia="en-US"/>
        </w:rPr>
      </w:pPr>
      <w:r w:rsidRPr="005B5BB7">
        <w:rPr>
          <w:sz w:val="22"/>
          <w:szCs w:val="20"/>
          <w:lang w:eastAsia="en-US"/>
        </w:rPr>
        <w:t xml:space="preserve">If a victim is not eligible for the service, for example if they do not live or work in the borough or if they are seeking support that cannot be provided by the service (such as counselling), then the service will undertake signposting to other relevant services. </w:t>
      </w:r>
    </w:p>
    <w:p w14:paraId="40F5DE94" w14:textId="77777777" w:rsidR="0031624F" w:rsidRPr="005B5BB7" w:rsidRDefault="0031624F" w:rsidP="0031624F">
      <w:pPr>
        <w:rPr>
          <w:sz w:val="22"/>
          <w:szCs w:val="20"/>
          <w:lang w:eastAsia="en-US"/>
        </w:rPr>
      </w:pPr>
    </w:p>
    <w:p w14:paraId="3368A61D" w14:textId="77777777" w:rsidR="0031624F" w:rsidRPr="005B5BB7" w:rsidRDefault="0031624F" w:rsidP="0031624F">
      <w:pPr>
        <w:rPr>
          <w:sz w:val="22"/>
          <w:szCs w:val="20"/>
          <w:lang w:eastAsia="en-US"/>
        </w:rPr>
      </w:pPr>
      <w:r w:rsidRPr="005B5BB7">
        <w:rPr>
          <w:sz w:val="22"/>
          <w:szCs w:val="20"/>
          <w:lang w:eastAsia="en-US"/>
        </w:rPr>
        <w:t xml:space="preserve">Victims of VAWG under the age of 18 will be referred to relevant </w:t>
      </w:r>
      <w:proofErr w:type="gramStart"/>
      <w:r w:rsidRPr="005B5BB7">
        <w:rPr>
          <w:sz w:val="22"/>
          <w:szCs w:val="20"/>
          <w:lang w:eastAsia="en-US"/>
        </w:rPr>
        <w:t>age appropriate</w:t>
      </w:r>
      <w:proofErr w:type="gramEnd"/>
      <w:r w:rsidRPr="005B5BB7">
        <w:rPr>
          <w:sz w:val="22"/>
          <w:szCs w:val="20"/>
          <w:lang w:eastAsia="en-US"/>
        </w:rPr>
        <w:t xml:space="preserve"> services and a child protection referral will be made to Children’s Social Care services in line with London Child Protection Guidelines.</w:t>
      </w:r>
    </w:p>
    <w:p w14:paraId="50B971EA" w14:textId="77777777" w:rsidR="0031624F" w:rsidRPr="005B5BB7" w:rsidRDefault="0031624F" w:rsidP="0031624F">
      <w:pPr>
        <w:rPr>
          <w:sz w:val="22"/>
          <w:szCs w:val="20"/>
          <w:lang w:eastAsia="en-US"/>
        </w:rPr>
      </w:pPr>
    </w:p>
    <w:p w14:paraId="7553ED81" w14:textId="77777777" w:rsidR="0031624F" w:rsidRPr="005B5BB7" w:rsidRDefault="0031624F" w:rsidP="0031624F">
      <w:pPr>
        <w:rPr>
          <w:sz w:val="22"/>
          <w:szCs w:val="22"/>
          <w:lang w:eastAsia="en-US"/>
        </w:rPr>
      </w:pPr>
      <w:r w:rsidRPr="00446D31">
        <w:rPr>
          <w:sz w:val="22"/>
          <w:szCs w:val="22"/>
          <w:lang w:eastAsia="en-US"/>
        </w:rPr>
        <w:t xml:space="preserve">Although the service will offer support to all victims of VAWG, </w:t>
      </w:r>
      <w:proofErr w:type="gramStart"/>
      <w:r w:rsidRPr="00446D31">
        <w:rPr>
          <w:sz w:val="22"/>
          <w:szCs w:val="22"/>
          <w:lang w:eastAsia="en-US"/>
        </w:rPr>
        <w:t>particular priority</w:t>
      </w:r>
      <w:proofErr w:type="gramEnd"/>
      <w:r w:rsidRPr="00446D31">
        <w:rPr>
          <w:sz w:val="22"/>
          <w:szCs w:val="22"/>
          <w:lang w:eastAsia="en-US"/>
        </w:rPr>
        <w:t xml:space="preserve"> will be given to those that are assessed to be at high risk and where the installation would not put the victim at greater risk of domestic abuse/violence.</w:t>
      </w:r>
      <w:r w:rsidRPr="005B5BB7">
        <w:rPr>
          <w:sz w:val="22"/>
          <w:szCs w:val="22"/>
          <w:lang w:eastAsia="en-US"/>
        </w:rPr>
        <w:t xml:space="preserve"> </w:t>
      </w:r>
    </w:p>
    <w:p w14:paraId="2FCB635A" w14:textId="77777777" w:rsidR="0031624F" w:rsidRPr="005B5BB7" w:rsidRDefault="0031624F" w:rsidP="00D56EE7">
      <w:pPr>
        <w:pStyle w:val="Heading1"/>
        <w:numPr>
          <w:ilvl w:val="0"/>
          <w:numId w:val="5"/>
        </w:numPr>
        <w:ind w:hanging="720"/>
        <w:rPr>
          <w:b w:val="0"/>
          <w:sz w:val="22"/>
          <w:szCs w:val="20"/>
          <w:lang w:eastAsia="en-US"/>
        </w:rPr>
      </w:pPr>
      <w:bookmarkStart w:id="11" w:name="_Toc64525992"/>
      <w:r w:rsidRPr="005B5BB7">
        <w:rPr>
          <w:sz w:val="22"/>
          <w:szCs w:val="20"/>
          <w:lang w:eastAsia="en-US"/>
        </w:rPr>
        <w:t>Delivery of Services</w:t>
      </w:r>
      <w:bookmarkEnd w:id="11"/>
      <w:r w:rsidRPr="005B5BB7">
        <w:rPr>
          <w:sz w:val="22"/>
          <w:szCs w:val="20"/>
          <w:lang w:eastAsia="en-US"/>
        </w:rPr>
        <w:t xml:space="preserve"> </w:t>
      </w:r>
    </w:p>
    <w:p w14:paraId="28AF4658" w14:textId="77777777" w:rsidR="0031624F" w:rsidRPr="005B5BB7" w:rsidRDefault="0031624F" w:rsidP="0031624F">
      <w:pPr>
        <w:rPr>
          <w:sz w:val="22"/>
          <w:szCs w:val="20"/>
          <w:lang w:eastAsia="en-US"/>
        </w:rPr>
      </w:pPr>
    </w:p>
    <w:p w14:paraId="672A5EDB" w14:textId="77777777" w:rsidR="0031624F" w:rsidRPr="005B5BB7" w:rsidRDefault="0031624F" w:rsidP="0031624F">
      <w:pPr>
        <w:rPr>
          <w:sz w:val="22"/>
          <w:szCs w:val="20"/>
          <w:lang w:eastAsia="en-US"/>
        </w:rPr>
      </w:pPr>
      <w:r w:rsidRPr="005B5BB7">
        <w:rPr>
          <w:sz w:val="22"/>
          <w:szCs w:val="20"/>
          <w:lang w:eastAsia="en-US"/>
        </w:rPr>
        <w:t>Role of the security installation company</w:t>
      </w:r>
    </w:p>
    <w:p w14:paraId="5F85DCEF" w14:textId="77777777" w:rsidR="0031624F" w:rsidRPr="005B5BB7" w:rsidRDefault="0031624F" w:rsidP="0031624F">
      <w:pPr>
        <w:rPr>
          <w:sz w:val="22"/>
          <w:szCs w:val="20"/>
          <w:lang w:eastAsia="en-US"/>
        </w:rPr>
      </w:pPr>
    </w:p>
    <w:p w14:paraId="2D79B3D0"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 xml:space="preserve">To provide specialist knowledge and the installation of window grills, letter boxes, locks, and safety reinforcements that conforms to all the relevant British Standards. </w:t>
      </w:r>
    </w:p>
    <w:p w14:paraId="30F3F720" w14:textId="77777777" w:rsidR="0031624F" w:rsidRPr="005B5BB7" w:rsidRDefault="0031624F" w:rsidP="0031624F">
      <w:pPr>
        <w:ind w:left="1134" w:hanging="425"/>
        <w:rPr>
          <w:sz w:val="22"/>
          <w:szCs w:val="20"/>
          <w:lang w:eastAsia="en-US"/>
        </w:rPr>
      </w:pPr>
    </w:p>
    <w:p w14:paraId="1A5C41D2"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To work with the Protective Security Manager to deliver their recommended Sanctuary works to each property.</w:t>
      </w:r>
    </w:p>
    <w:p w14:paraId="6055DBCC" w14:textId="77777777" w:rsidR="0031624F" w:rsidRPr="005B5BB7" w:rsidRDefault="0031624F" w:rsidP="0031624F">
      <w:pPr>
        <w:ind w:left="1134" w:hanging="425"/>
        <w:rPr>
          <w:sz w:val="22"/>
          <w:szCs w:val="20"/>
          <w:lang w:eastAsia="en-US"/>
        </w:rPr>
      </w:pPr>
    </w:p>
    <w:p w14:paraId="58DDF806"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 xml:space="preserve">All staff who work on the Sanctuary Project are to have an </w:t>
      </w:r>
      <w:proofErr w:type="gramStart"/>
      <w:r w:rsidRPr="005B5BB7">
        <w:rPr>
          <w:rFonts w:cs="Arial"/>
          <w:sz w:val="22"/>
          <w:szCs w:val="20"/>
          <w:lang w:eastAsia="en-US"/>
        </w:rPr>
        <w:t>enhanced DBS.</w:t>
      </w:r>
      <w:proofErr w:type="gramEnd"/>
      <w:r w:rsidRPr="005B5BB7">
        <w:rPr>
          <w:rFonts w:cs="Arial"/>
          <w:sz w:val="22"/>
          <w:szCs w:val="20"/>
          <w:lang w:eastAsia="en-US"/>
        </w:rPr>
        <w:t xml:space="preserve"> If any staff member knows either the victim or perpetrator, they should disclose this to their line manager who must disclose it to The Sanctuary Project Officer. In these </w:t>
      </w:r>
      <w:r w:rsidRPr="005B5BB7">
        <w:rPr>
          <w:rFonts w:cs="Arial"/>
          <w:sz w:val="22"/>
          <w:szCs w:val="20"/>
          <w:lang w:eastAsia="en-US"/>
        </w:rPr>
        <w:lastRenderedPageBreak/>
        <w:t>circumstances, the staff member involved SHOULD NOT be allocated this installation to work on.</w:t>
      </w:r>
    </w:p>
    <w:p w14:paraId="5680F2FE" w14:textId="77777777" w:rsidR="0031624F" w:rsidRPr="005B5BB7" w:rsidRDefault="0031624F" w:rsidP="0031624F">
      <w:pPr>
        <w:ind w:left="1134" w:hanging="425"/>
        <w:rPr>
          <w:sz w:val="22"/>
          <w:szCs w:val="20"/>
          <w:lang w:eastAsia="en-US"/>
        </w:rPr>
      </w:pPr>
    </w:p>
    <w:p w14:paraId="2BF6DAEF" w14:textId="77777777" w:rsidR="0031624F" w:rsidRPr="005B5BB7" w:rsidRDefault="0031624F" w:rsidP="00D56EE7">
      <w:pPr>
        <w:pStyle w:val="ListParagraph"/>
        <w:numPr>
          <w:ilvl w:val="0"/>
          <w:numId w:val="8"/>
        </w:numPr>
        <w:ind w:left="1134" w:hanging="425"/>
        <w:rPr>
          <w:rFonts w:cs="Arial"/>
          <w:sz w:val="22"/>
          <w:szCs w:val="22"/>
          <w:lang w:eastAsia="en-US"/>
        </w:rPr>
      </w:pPr>
      <w:r w:rsidRPr="005B5BB7">
        <w:rPr>
          <w:rFonts w:cs="Arial"/>
          <w:sz w:val="22"/>
          <w:szCs w:val="22"/>
          <w:lang w:eastAsia="en-US"/>
        </w:rPr>
        <w:t>Upon receipt of a referral from the Sanctuary Project Officer, the contractor will contact the client and arrange a convenient time for the work to be undertaken.</w:t>
      </w:r>
    </w:p>
    <w:p w14:paraId="3839C270" w14:textId="77777777" w:rsidR="0031624F" w:rsidRPr="005B5BB7" w:rsidRDefault="0031624F" w:rsidP="0031624F">
      <w:pPr>
        <w:ind w:left="1134" w:hanging="425"/>
        <w:rPr>
          <w:sz w:val="22"/>
          <w:szCs w:val="20"/>
          <w:lang w:eastAsia="en-US"/>
        </w:rPr>
      </w:pPr>
    </w:p>
    <w:p w14:paraId="1AE524B2"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The successful agency will attempt to install as much as the agreed works on the referral as quickly as possible on a first visit basis and take steps to ensure all required work is completed.  First contact with the householder should be made within 48 hours of receiving the referral.</w:t>
      </w:r>
    </w:p>
    <w:p w14:paraId="63BD8A9E" w14:textId="77777777" w:rsidR="0031624F" w:rsidRPr="005B5BB7" w:rsidRDefault="0031624F" w:rsidP="0031624F">
      <w:pPr>
        <w:ind w:left="1134" w:hanging="425"/>
        <w:rPr>
          <w:sz w:val="22"/>
          <w:szCs w:val="20"/>
          <w:lang w:eastAsia="en-US"/>
        </w:rPr>
      </w:pPr>
    </w:p>
    <w:p w14:paraId="797BB3F3"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 xml:space="preserve">If contact is unable to be established, then the Sanctuary Project Officer should be informed asap. If contact has been successful then the installation works should be completed within 2-5 working days, from the date the contact was made.  This is with the exception of works that require specific measurement and to be ordered to fit </w:t>
      </w:r>
      <w:proofErr w:type="gramStart"/>
      <w:r w:rsidRPr="005B5BB7">
        <w:rPr>
          <w:rFonts w:cs="Arial"/>
          <w:sz w:val="22"/>
          <w:szCs w:val="20"/>
          <w:lang w:eastAsia="en-US"/>
        </w:rPr>
        <w:t>e.g.</w:t>
      </w:r>
      <w:proofErr w:type="gramEnd"/>
      <w:r w:rsidRPr="005B5BB7">
        <w:rPr>
          <w:rFonts w:cs="Arial"/>
          <w:sz w:val="22"/>
          <w:szCs w:val="20"/>
          <w:lang w:eastAsia="en-US"/>
        </w:rPr>
        <w:t xml:space="preserve"> grilles, security film.  Where possible emergency lock changes will be carried out the same day.</w:t>
      </w:r>
    </w:p>
    <w:p w14:paraId="19B36857" w14:textId="77777777" w:rsidR="0031624F" w:rsidRPr="005B5BB7" w:rsidRDefault="0031624F" w:rsidP="0031624F">
      <w:pPr>
        <w:ind w:left="1134" w:hanging="425"/>
        <w:rPr>
          <w:sz w:val="22"/>
          <w:szCs w:val="20"/>
          <w:lang w:eastAsia="en-US"/>
        </w:rPr>
      </w:pPr>
    </w:p>
    <w:p w14:paraId="12B69D36"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 xml:space="preserve">The contractor will work directly with the client within the specified timescale and inform the Sanctuary Project Officer of the </w:t>
      </w:r>
      <w:r>
        <w:rPr>
          <w:rFonts w:cs="Arial"/>
          <w:sz w:val="22"/>
          <w:szCs w:val="20"/>
          <w:lang w:eastAsia="en-US"/>
        </w:rPr>
        <w:t xml:space="preserve">cost of the </w:t>
      </w:r>
      <w:r w:rsidRPr="005B5BB7">
        <w:rPr>
          <w:rFonts w:cs="Arial"/>
          <w:sz w:val="22"/>
          <w:szCs w:val="20"/>
          <w:lang w:eastAsia="en-US"/>
        </w:rPr>
        <w:t>works carried out.</w:t>
      </w:r>
      <w:r>
        <w:rPr>
          <w:rFonts w:cs="Arial"/>
          <w:sz w:val="22"/>
          <w:szCs w:val="20"/>
          <w:lang w:eastAsia="en-US"/>
        </w:rPr>
        <w:t xml:space="preserve"> </w:t>
      </w:r>
      <w:r w:rsidRPr="005B5BB7">
        <w:rPr>
          <w:rFonts w:cs="Arial"/>
          <w:sz w:val="22"/>
          <w:szCs w:val="20"/>
          <w:lang w:eastAsia="en-US"/>
        </w:rPr>
        <w:t xml:space="preserve">If the contractor anticipates any delay, they should contact the Sanctuary Project Officer.  </w:t>
      </w:r>
    </w:p>
    <w:p w14:paraId="02B9DEA9" w14:textId="77777777" w:rsidR="0031624F" w:rsidRPr="005B5BB7" w:rsidRDefault="0031624F" w:rsidP="0031624F">
      <w:pPr>
        <w:ind w:left="1134" w:hanging="425"/>
        <w:rPr>
          <w:sz w:val="22"/>
          <w:szCs w:val="20"/>
          <w:lang w:eastAsia="en-US"/>
        </w:rPr>
      </w:pPr>
    </w:p>
    <w:p w14:paraId="2F9FBC28" w14:textId="77777777" w:rsidR="0031624F" w:rsidRDefault="0031624F" w:rsidP="00D56EE7">
      <w:pPr>
        <w:pStyle w:val="ListParagraph"/>
        <w:numPr>
          <w:ilvl w:val="0"/>
          <w:numId w:val="8"/>
        </w:numPr>
        <w:ind w:left="1134" w:hanging="425"/>
        <w:rPr>
          <w:rFonts w:cs="Arial"/>
          <w:sz w:val="22"/>
          <w:szCs w:val="22"/>
          <w:lang w:eastAsia="en-US"/>
        </w:rPr>
      </w:pPr>
      <w:r w:rsidRPr="732772BE">
        <w:rPr>
          <w:rFonts w:cs="Arial"/>
          <w:sz w:val="22"/>
          <w:szCs w:val="22"/>
          <w:lang w:eastAsia="en-US"/>
        </w:rPr>
        <w:t xml:space="preserve">The contractor will visit the property and complete recommendations made. Should any recommendations </w:t>
      </w:r>
      <w:proofErr w:type="gramStart"/>
      <w:r w:rsidRPr="732772BE">
        <w:rPr>
          <w:rFonts w:cs="Arial"/>
          <w:sz w:val="22"/>
          <w:szCs w:val="22"/>
          <w:lang w:eastAsia="en-US"/>
        </w:rPr>
        <w:t>be considered to be</w:t>
      </w:r>
      <w:proofErr w:type="gramEnd"/>
      <w:r w:rsidRPr="732772BE">
        <w:rPr>
          <w:rFonts w:cs="Arial"/>
          <w:sz w:val="22"/>
          <w:szCs w:val="22"/>
          <w:lang w:eastAsia="en-US"/>
        </w:rPr>
        <w:t xml:space="preserve"> either not feasible or appropriate, they should liaise with the Protective Security Manager to agree an alternative. They should also inform the Sanctuary Project Officer.</w:t>
      </w:r>
    </w:p>
    <w:p w14:paraId="1E021E4E" w14:textId="77777777" w:rsidR="0031624F" w:rsidRPr="00D60272" w:rsidRDefault="0031624F" w:rsidP="0031624F">
      <w:pPr>
        <w:rPr>
          <w:sz w:val="22"/>
          <w:szCs w:val="20"/>
          <w:lang w:eastAsia="en-US"/>
        </w:rPr>
      </w:pPr>
    </w:p>
    <w:p w14:paraId="525163A9" w14:textId="77777777" w:rsidR="0031624F" w:rsidRPr="005B5BB7" w:rsidRDefault="0031624F" w:rsidP="0031624F">
      <w:pPr>
        <w:ind w:left="1134" w:hanging="425"/>
        <w:rPr>
          <w:sz w:val="22"/>
          <w:szCs w:val="20"/>
          <w:lang w:eastAsia="en-US"/>
        </w:rPr>
      </w:pPr>
    </w:p>
    <w:p w14:paraId="1769359F"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The contractor MUST notify the Sanctuary Project Officer immediately if they have concerns that the perpetrator is residing at the address or is visiting the address. If this situation occurs, the contractor should suspend any planned work at the address and wait until the Sanctuary Project Officer has explored this with the victim concerned, discussed it with the LBTH Senior VAWG &amp; Hate Crime Manager and the manager of the contracted provider.</w:t>
      </w:r>
    </w:p>
    <w:p w14:paraId="3A3AC577" w14:textId="77777777" w:rsidR="0031624F" w:rsidRPr="005B5BB7" w:rsidRDefault="0031624F" w:rsidP="0031624F">
      <w:pPr>
        <w:ind w:left="1134" w:hanging="425"/>
        <w:rPr>
          <w:sz w:val="22"/>
          <w:szCs w:val="20"/>
          <w:lang w:eastAsia="en-US"/>
        </w:rPr>
      </w:pPr>
    </w:p>
    <w:p w14:paraId="7BB6429D"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 xml:space="preserve">The successful contractor will be required to attend quarterly contract monitoring meetings convened by the Tower Hamlets VAWG Team to discuss operational issues and feedback from clients and to feedback on the agreed performance indicators that have been agreed. </w:t>
      </w:r>
    </w:p>
    <w:p w14:paraId="1A267FD1" w14:textId="77777777" w:rsidR="0031624F" w:rsidRPr="005B5BB7" w:rsidRDefault="0031624F" w:rsidP="0031624F">
      <w:pPr>
        <w:ind w:left="1134" w:hanging="425"/>
        <w:rPr>
          <w:sz w:val="22"/>
          <w:szCs w:val="20"/>
          <w:lang w:eastAsia="en-US"/>
        </w:rPr>
      </w:pPr>
    </w:p>
    <w:p w14:paraId="5202354A"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The contractor will ensure all correspondence is emailed to the VAWG team.</w:t>
      </w:r>
    </w:p>
    <w:p w14:paraId="39C332D9" w14:textId="77777777" w:rsidR="0031624F" w:rsidRPr="005B5BB7" w:rsidRDefault="0031624F" w:rsidP="0031624F">
      <w:pPr>
        <w:ind w:left="1134" w:hanging="425"/>
        <w:rPr>
          <w:sz w:val="22"/>
          <w:szCs w:val="20"/>
          <w:lang w:eastAsia="en-US"/>
        </w:rPr>
      </w:pPr>
    </w:p>
    <w:p w14:paraId="108275F1" w14:textId="77777777" w:rsidR="0031624F" w:rsidRPr="005B5BB7" w:rsidRDefault="0031624F" w:rsidP="00D56EE7">
      <w:pPr>
        <w:pStyle w:val="ListParagraph"/>
        <w:numPr>
          <w:ilvl w:val="0"/>
          <w:numId w:val="8"/>
        </w:numPr>
        <w:ind w:left="1134" w:hanging="425"/>
        <w:rPr>
          <w:rFonts w:cs="Arial"/>
          <w:sz w:val="22"/>
          <w:szCs w:val="22"/>
          <w:lang w:eastAsia="en-US"/>
        </w:rPr>
      </w:pPr>
      <w:r w:rsidRPr="005B5BB7">
        <w:rPr>
          <w:rFonts w:cs="Arial"/>
          <w:sz w:val="22"/>
          <w:szCs w:val="22"/>
          <w:lang w:eastAsia="en-US"/>
        </w:rPr>
        <w:t>The contractor will email their itemised invoice at the end of each quarter.</w:t>
      </w:r>
    </w:p>
    <w:p w14:paraId="77F3607C" w14:textId="77777777" w:rsidR="0031624F" w:rsidRPr="005B5BB7" w:rsidRDefault="0031624F" w:rsidP="0031624F">
      <w:pPr>
        <w:ind w:left="1134" w:hanging="425"/>
        <w:rPr>
          <w:sz w:val="22"/>
          <w:szCs w:val="20"/>
          <w:lang w:eastAsia="en-US"/>
        </w:rPr>
      </w:pPr>
    </w:p>
    <w:p w14:paraId="4EC96F41"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lastRenderedPageBreak/>
        <w:t xml:space="preserve">The contractor will ensure all information is kept in accordance with the Data Protection Act 1998 and the General Data Protection Regulation (GDPR). </w:t>
      </w:r>
    </w:p>
    <w:p w14:paraId="20BDF458" w14:textId="77777777" w:rsidR="0031624F" w:rsidRPr="005B5BB7" w:rsidRDefault="0031624F" w:rsidP="0031624F">
      <w:pPr>
        <w:ind w:left="1134" w:hanging="425"/>
        <w:rPr>
          <w:sz w:val="22"/>
          <w:szCs w:val="20"/>
          <w:lang w:eastAsia="en-US"/>
        </w:rPr>
      </w:pPr>
    </w:p>
    <w:p w14:paraId="3253A4BE" w14:textId="77777777" w:rsidR="0031624F" w:rsidRPr="005B5BB7" w:rsidRDefault="0031624F" w:rsidP="00D56EE7">
      <w:pPr>
        <w:pStyle w:val="ListParagraph"/>
        <w:numPr>
          <w:ilvl w:val="0"/>
          <w:numId w:val="8"/>
        </w:numPr>
        <w:ind w:left="1134" w:hanging="425"/>
        <w:rPr>
          <w:rFonts w:cs="Arial"/>
          <w:sz w:val="22"/>
          <w:szCs w:val="20"/>
          <w:lang w:eastAsia="en-US"/>
        </w:rPr>
      </w:pPr>
      <w:r w:rsidRPr="005B5BB7">
        <w:rPr>
          <w:rFonts w:cs="Arial"/>
          <w:sz w:val="22"/>
          <w:szCs w:val="20"/>
          <w:lang w:eastAsia="en-US"/>
        </w:rPr>
        <w:t xml:space="preserve">The contractor will ensure that all staff have basic VAWG awareness and work in a trauma informed way. </w:t>
      </w:r>
    </w:p>
    <w:p w14:paraId="4DE3DF85" w14:textId="77777777" w:rsidR="0031624F" w:rsidRPr="005B5BB7" w:rsidRDefault="0031624F" w:rsidP="0031624F">
      <w:pPr>
        <w:rPr>
          <w:sz w:val="22"/>
          <w:szCs w:val="20"/>
          <w:lang w:eastAsia="en-US"/>
        </w:rPr>
      </w:pPr>
    </w:p>
    <w:p w14:paraId="3A02CAA2" w14:textId="77777777" w:rsidR="0031624F" w:rsidRPr="005B5BB7" w:rsidRDefault="0031624F" w:rsidP="00D56EE7">
      <w:pPr>
        <w:pStyle w:val="Heading1"/>
        <w:numPr>
          <w:ilvl w:val="0"/>
          <w:numId w:val="9"/>
        </w:numPr>
        <w:ind w:left="709" w:hanging="360"/>
        <w:rPr>
          <w:b w:val="0"/>
          <w:sz w:val="22"/>
          <w:szCs w:val="20"/>
          <w:lang w:eastAsia="en-US"/>
        </w:rPr>
      </w:pPr>
      <w:bookmarkStart w:id="12" w:name="_Toc64525993"/>
      <w:r w:rsidRPr="005B5BB7">
        <w:rPr>
          <w:sz w:val="22"/>
          <w:szCs w:val="20"/>
          <w:lang w:eastAsia="en-US"/>
        </w:rPr>
        <w:t>Health and Safety requirements</w:t>
      </w:r>
      <w:bookmarkEnd w:id="12"/>
    </w:p>
    <w:p w14:paraId="1824701C" w14:textId="77777777" w:rsidR="0031624F" w:rsidRPr="005B5BB7" w:rsidRDefault="0031624F" w:rsidP="0031624F">
      <w:pPr>
        <w:rPr>
          <w:sz w:val="22"/>
          <w:szCs w:val="20"/>
          <w:lang w:eastAsia="en-US"/>
        </w:rPr>
      </w:pPr>
    </w:p>
    <w:p w14:paraId="48EDB20C" w14:textId="77777777" w:rsidR="0031624F" w:rsidRPr="005B5BB7" w:rsidRDefault="0031624F" w:rsidP="0031624F">
      <w:pPr>
        <w:rPr>
          <w:sz w:val="22"/>
          <w:szCs w:val="20"/>
          <w:lang w:eastAsia="en-US"/>
        </w:rPr>
      </w:pPr>
      <w:r w:rsidRPr="005B5BB7">
        <w:rPr>
          <w:sz w:val="22"/>
          <w:szCs w:val="20"/>
          <w:lang w:eastAsia="en-US"/>
        </w:rPr>
        <w:t xml:space="preserve">All the Contractor’s personnel have been checked and have been cleared by the Disclosure and Barring Service (DBS) and have received an enhanced disclosure. </w:t>
      </w:r>
    </w:p>
    <w:p w14:paraId="61D441F6" w14:textId="77777777" w:rsidR="0031624F" w:rsidRPr="005B5BB7" w:rsidRDefault="0031624F" w:rsidP="0031624F">
      <w:pPr>
        <w:rPr>
          <w:sz w:val="22"/>
          <w:szCs w:val="20"/>
          <w:lang w:eastAsia="en-US"/>
        </w:rPr>
      </w:pPr>
    </w:p>
    <w:p w14:paraId="26F35EC6" w14:textId="77777777" w:rsidR="0031624F" w:rsidRPr="005B5BB7" w:rsidRDefault="0031624F" w:rsidP="0031624F">
      <w:pPr>
        <w:rPr>
          <w:sz w:val="22"/>
          <w:szCs w:val="20"/>
          <w:lang w:eastAsia="en-US"/>
        </w:rPr>
      </w:pPr>
      <w:r w:rsidRPr="005B5BB7">
        <w:rPr>
          <w:sz w:val="22"/>
          <w:szCs w:val="20"/>
          <w:lang w:eastAsia="en-US"/>
        </w:rPr>
        <w:t xml:space="preserve">The Contractor has clear transparent and accessible employment policies which have been received and checked, including: </w:t>
      </w:r>
    </w:p>
    <w:p w14:paraId="618794B0" w14:textId="77777777" w:rsidR="0031624F" w:rsidRPr="005B5BB7" w:rsidRDefault="0031624F" w:rsidP="0031624F">
      <w:pPr>
        <w:rPr>
          <w:sz w:val="22"/>
          <w:szCs w:val="20"/>
          <w:lang w:eastAsia="en-US"/>
        </w:rPr>
      </w:pPr>
    </w:p>
    <w:p w14:paraId="29601E13" w14:textId="77777777" w:rsidR="0031624F" w:rsidRPr="005B5BB7" w:rsidRDefault="0031624F" w:rsidP="00D56EE7">
      <w:pPr>
        <w:pStyle w:val="ListParagraph"/>
        <w:numPr>
          <w:ilvl w:val="0"/>
          <w:numId w:val="3"/>
        </w:numPr>
        <w:rPr>
          <w:rFonts w:cs="Arial"/>
          <w:sz w:val="22"/>
          <w:szCs w:val="20"/>
          <w:lang w:eastAsia="en-US"/>
        </w:rPr>
      </w:pPr>
      <w:r w:rsidRPr="005B5BB7">
        <w:rPr>
          <w:rFonts w:cs="Arial"/>
          <w:sz w:val="22"/>
          <w:szCs w:val="20"/>
          <w:lang w:eastAsia="en-US"/>
        </w:rPr>
        <w:t xml:space="preserve">An Equal Opportunities Policy </w:t>
      </w:r>
    </w:p>
    <w:p w14:paraId="676E7539" w14:textId="77777777" w:rsidR="0031624F" w:rsidRPr="005B5BB7" w:rsidRDefault="0031624F" w:rsidP="00D56EE7">
      <w:pPr>
        <w:pStyle w:val="ListParagraph"/>
        <w:numPr>
          <w:ilvl w:val="0"/>
          <w:numId w:val="3"/>
        </w:numPr>
        <w:rPr>
          <w:rFonts w:cs="Arial"/>
          <w:sz w:val="22"/>
          <w:szCs w:val="20"/>
          <w:lang w:eastAsia="en-US"/>
        </w:rPr>
      </w:pPr>
      <w:r w:rsidRPr="005B5BB7">
        <w:rPr>
          <w:rFonts w:cs="Arial"/>
          <w:sz w:val="22"/>
          <w:szCs w:val="20"/>
          <w:lang w:eastAsia="en-US"/>
        </w:rPr>
        <w:t xml:space="preserve">A Domestic Abuse Policy that addresses the situation of employees as victims or perpetrators of domestic violence </w:t>
      </w:r>
    </w:p>
    <w:p w14:paraId="13940000" w14:textId="77777777" w:rsidR="0031624F" w:rsidRPr="005B5BB7" w:rsidRDefault="0031624F" w:rsidP="00D56EE7">
      <w:pPr>
        <w:pStyle w:val="ListParagraph"/>
        <w:numPr>
          <w:ilvl w:val="0"/>
          <w:numId w:val="3"/>
        </w:numPr>
        <w:rPr>
          <w:rFonts w:cs="Arial"/>
          <w:sz w:val="22"/>
          <w:szCs w:val="20"/>
          <w:lang w:eastAsia="en-US"/>
        </w:rPr>
      </w:pPr>
      <w:r w:rsidRPr="005B5BB7">
        <w:rPr>
          <w:rFonts w:cs="Arial"/>
          <w:sz w:val="22"/>
          <w:szCs w:val="20"/>
          <w:lang w:eastAsia="en-US"/>
        </w:rPr>
        <w:t xml:space="preserve">Health and safety policies to include policies on lone working and risk </w:t>
      </w:r>
      <w:proofErr w:type="gramStart"/>
      <w:r w:rsidRPr="005B5BB7">
        <w:rPr>
          <w:rFonts w:cs="Arial"/>
          <w:sz w:val="22"/>
          <w:szCs w:val="20"/>
          <w:lang w:eastAsia="en-US"/>
        </w:rPr>
        <w:t>management</w:t>
      </w:r>
      <w:proofErr w:type="gramEnd"/>
    </w:p>
    <w:p w14:paraId="2FD0AFE1" w14:textId="77777777" w:rsidR="0031624F" w:rsidRPr="005B5BB7" w:rsidRDefault="0031624F" w:rsidP="00D56EE7">
      <w:pPr>
        <w:pStyle w:val="ListParagraph"/>
        <w:numPr>
          <w:ilvl w:val="0"/>
          <w:numId w:val="3"/>
        </w:numPr>
        <w:rPr>
          <w:rFonts w:cs="Arial"/>
          <w:sz w:val="22"/>
          <w:szCs w:val="20"/>
          <w:lang w:eastAsia="en-US"/>
        </w:rPr>
      </w:pPr>
      <w:r w:rsidRPr="005B5BB7">
        <w:rPr>
          <w:rFonts w:cs="Arial"/>
          <w:sz w:val="22"/>
          <w:szCs w:val="20"/>
          <w:lang w:eastAsia="en-US"/>
        </w:rPr>
        <w:t>A policy on building standards and safety</w:t>
      </w:r>
    </w:p>
    <w:p w14:paraId="73F82732" w14:textId="77777777" w:rsidR="0031624F" w:rsidRPr="005B5BB7" w:rsidRDefault="0031624F" w:rsidP="00D56EE7">
      <w:pPr>
        <w:pStyle w:val="ListParagraph"/>
        <w:numPr>
          <w:ilvl w:val="0"/>
          <w:numId w:val="3"/>
        </w:numPr>
        <w:rPr>
          <w:rFonts w:cs="Arial"/>
          <w:sz w:val="22"/>
          <w:szCs w:val="20"/>
          <w:lang w:eastAsia="en-US"/>
        </w:rPr>
      </w:pPr>
      <w:r w:rsidRPr="005B5BB7">
        <w:rPr>
          <w:rFonts w:cs="Arial"/>
          <w:sz w:val="22"/>
          <w:szCs w:val="20"/>
          <w:lang w:eastAsia="en-US"/>
        </w:rPr>
        <w:t xml:space="preserve">Evidence on how the contractor will be providing training on basic VAWG awareness to their </w:t>
      </w:r>
      <w:proofErr w:type="gramStart"/>
      <w:r w:rsidRPr="005B5BB7">
        <w:rPr>
          <w:rFonts w:cs="Arial"/>
          <w:sz w:val="22"/>
          <w:szCs w:val="20"/>
          <w:lang w:eastAsia="en-US"/>
        </w:rPr>
        <w:t>contractors</w:t>
      </w:r>
      <w:proofErr w:type="gramEnd"/>
    </w:p>
    <w:p w14:paraId="1204AEEA" w14:textId="77777777" w:rsidR="0031624F" w:rsidRPr="005B5BB7" w:rsidRDefault="0031624F" w:rsidP="00D56EE7">
      <w:pPr>
        <w:pStyle w:val="ListParagraph"/>
        <w:numPr>
          <w:ilvl w:val="0"/>
          <w:numId w:val="2"/>
        </w:numPr>
        <w:rPr>
          <w:rFonts w:cs="Arial"/>
          <w:sz w:val="22"/>
          <w:szCs w:val="20"/>
          <w:lang w:eastAsia="en-US"/>
        </w:rPr>
      </w:pPr>
      <w:r w:rsidRPr="005B5BB7">
        <w:rPr>
          <w:rFonts w:cs="Arial"/>
          <w:sz w:val="22"/>
          <w:szCs w:val="20"/>
          <w:lang w:eastAsia="en-US"/>
        </w:rPr>
        <w:t xml:space="preserve">Evidence on how the contractor will work in a trauma informed </w:t>
      </w:r>
      <w:proofErr w:type="gramStart"/>
      <w:r w:rsidRPr="005B5BB7">
        <w:rPr>
          <w:rFonts w:cs="Arial"/>
          <w:sz w:val="22"/>
          <w:szCs w:val="20"/>
          <w:lang w:eastAsia="en-US"/>
        </w:rPr>
        <w:t>way</w:t>
      </w:r>
      <w:proofErr w:type="gramEnd"/>
      <w:r w:rsidRPr="005B5BB7">
        <w:rPr>
          <w:rFonts w:cs="Arial"/>
          <w:sz w:val="22"/>
          <w:szCs w:val="20"/>
          <w:lang w:eastAsia="en-US"/>
        </w:rPr>
        <w:t xml:space="preserve"> </w:t>
      </w:r>
    </w:p>
    <w:p w14:paraId="58B70353" w14:textId="77777777" w:rsidR="0031624F" w:rsidRPr="005B5BB7" w:rsidRDefault="0031624F" w:rsidP="00D56EE7">
      <w:pPr>
        <w:pStyle w:val="Heading1"/>
        <w:numPr>
          <w:ilvl w:val="0"/>
          <w:numId w:val="9"/>
        </w:numPr>
        <w:ind w:left="709" w:hanging="360"/>
        <w:rPr>
          <w:b w:val="0"/>
          <w:sz w:val="22"/>
          <w:szCs w:val="20"/>
          <w:lang w:eastAsia="en-US"/>
        </w:rPr>
      </w:pPr>
      <w:bookmarkStart w:id="13" w:name="_Toc64525994"/>
      <w:r w:rsidRPr="005B5BB7">
        <w:rPr>
          <w:sz w:val="22"/>
          <w:szCs w:val="20"/>
          <w:lang w:eastAsia="en-US"/>
        </w:rPr>
        <w:t>Safeguarding practice</w:t>
      </w:r>
      <w:bookmarkEnd w:id="13"/>
      <w:r w:rsidRPr="005B5BB7">
        <w:rPr>
          <w:sz w:val="22"/>
          <w:szCs w:val="20"/>
          <w:lang w:eastAsia="en-US"/>
        </w:rPr>
        <w:t xml:space="preserve"> </w:t>
      </w:r>
    </w:p>
    <w:p w14:paraId="00076976" w14:textId="77777777" w:rsidR="0031624F" w:rsidRPr="005B5BB7" w:rsidRDefault="0031624F" w:rsidP="0031624F">
      <w:pPr>
        <w:rPr>
          <w:sz w:val="22"/>
          <w:szCs w:val="20"/>
          <w:lang w:eastAsia="en-US"/>
        </w:rPr>
      </w:pPr>
    </w:p>
    <w:p w14:paraId="37659355" w14:textId="77777777" w:rsidR="0031624F" w:rsidRPr="005B5BB7" w:rsidRDefault="0031624F" w:rsidP="0031624F">
      <w:pPr>
        <w:rPr>
          <w:sz w:val="22"/>
          <w:szCs w:val="20"/>
          <w:lang w:eastAsia="en-US"/>
        </w:rPr>
      </w:pPr>
      <w:r w:rsidRPr="005B5BB7">
        <w:rPr>
          <w:sz w:val="22"/>
          <w:szCs w:val="20"/>
          <w:lang w:eastAsia="en-US"/>
        </w:rPr>
        <w:t xml:space="preserve">Victims of VAWG are amongst some of the most vulnerable individuals in the community. We are committed to protecting children and vulnerable adults. The commissioned service will act in line with procedures for safeguarding vulnerable adults and children. </w:t>
      </w:r>
    </w:p>
    <w:p w14:paraId="4ED1F7F3" w14:textId="77777777" w:rsidR="0031624F" w:rsidRPr="005B5BB7" w:rsidRDefault="0031624F" w:rsidP="0031624F">
      <w:pPr>
        <w:rPr>
          <w:sz w:val="22"/>
          <w:szCs w:val="20"/>
          <w:lang w:eastAsia="en-US"/>
        </w:rPr>
      </w:pPr>
    </w:p>
    <w:p w14:paraId="6822051C" w14:textId="77777777" w:rsidR="0031624F" w:rsidRPr="005B5BB7" w:rsidRDefault="0031624F" w:rsidP="0031624F">
      <w:pPr>
        <w:rPr>
          <w:sz w:val="22"/>
          <w:szCs w:val="20"/>
          <w:lang w:eastAsia="en-US"/>
        </w:rPr>
      </w:pPr>
      <w:r w:rsidRPr="005B5BB7">
        <w:rPr>
          <w:sz w:val="22"/>
          <w:szCs w:val="20"/>
          <w:lang w:eastAsia="en-US"/>
        </w:rPr>
        <w:t xml:space="preserve">The Contractor has in place relevant policies relating to the protection of children and vulnerable adults. All staff engaged in the performance of the service undergo an enhanced DBS check. All staff have completed child and adult protection training and reference to responsibilities for protecting children and vulnerable adults should be included within job descriptions for the service. </w:t>
      </w:r>
    </w:p>
    <w:p w14:paraId="7C2AE939" w14:textId="77777777" w:rsidR="0031624F" w:rsidRPr="005B5BB7" w:rsidRDefault="0031624F" w:rsidP="0031624F">
      <w:pPr>
        <w:rPr>
          <w:sz w:val="22"/>
          <w:szCs w:val="20"/>
          <w:lang w:eastAsia="en-US"/>
        </w:rPr>
      </w:pPr>
    </w:p>
    <w:p w14:paraId="154218AF" w14:textId="77777777" w:rsidR="0031624F" w:rsidRPr="005B5BB7" w:rsidRDefault="0031624F" w:rsidP="0031624F">
      <w:pPr>
        <w:rPr>
          <w:sz w:val="22"/>
          <w:szCs w:val="20"/>
          <w:lang w:eastAsia="en-US"/>
        </w:rPr>
      </w:pPr>
      <w:r w:rsidRPr="005B5BB7">
        <w:rPr>
          <w:sz w:val="22"/>
          <w:szCs w:val="20"/>
          <w:lang w:eastAsia="en-US"/>
        </w:rPr>
        <w:t xml:space="preserve">Where there are concerns about risks to a child or vulnerable adult, they would refer these through relevant safeguarding procedures. In certain cases, the Contractor may be required to contribute further information to the assessment process or to attend child or adult protection strategy meetings. </w:t>
      </w:r>
    </w:p>
    <w:p w14:paraId="23B9B77C" w14:textId="77777777" w:rsidR="0031624F" w:rsidRPr="005B5BB7" w:rsidRDefault="0031624F" w:rsidP="00D56EE7">
      <w:pPr>
        <w:pStyle w:val="Heading1"/>
        <w:numPr>
          <w:ilvl w:val="0"/>
          <w:numId w:val="9"/>
        </w:numPr>
        <w:ind w:left="709" w:hanging="360"/>
        <w:rPr>
          <w:b w:val="0"/>
          <w:sz w:val="22"/>
          <w:szCs w:val="20"/>
          <w:lang w:eastAsia="en-US"/>
        </w:rPr>
      </w:pPr>
      <w:bookmarkStart w:id="14" w:name="_Toc64525995"/>
      <w:r w:rsidRPr="005B5BB7">
        <w:rPr>
          <w:sz w:val="22"/>
          <w:szCs w:val="20"/>
          <w:lang w:eastAsia="en-US"/>
        </w:rPr>
        <w:t>Emergency processes</w:t>
      </w:r>
      <w:bookmarkEnd w:id="14"/>
      <w:r w:rsidRPr="005B5BB7">
        <w:rPr>
          <w:sz w:val="22"/>
          <w:szCs w:val="20"/>
          <w:lang w:eastAsia="en-US"/>
        </w:rPr>
        <w:t xml:space="preserve"> </w:t>
      </w:r>
    </w:p>
    <w:p w14:paraId="26C0D595" w14:textId="77777777" w:rsidR="0031624F" w:rsidRPr="005B5BB7" w:rsidRDefault="0031624F" w:rsidP="0031624F">
      <w:pPr>
        <w:rPr>
          <w:sz w:val="22"/>
          <w:szCs w:val="20"/>
          <w:lang w:eastAsia="en-US"/>
        </w:rPr>
      </w:pPr>
    </w:p>
    <w:p w14:paraId="4ECE7E2F" w14:textId="77777777" w:rsidR="0031624F" w:rsidRPr="005B5BB7" w:rsidRDefault="0031624F" w:rsidP="0031624F">
      <w:pPr>
        <w:rPr>
          <w:sz w:val="22"/>
          <w:szCs w:val="20"/>
          <w:lang w:eastAsia="en-US"/>
        </w:rPr>
      </w:pPr>
      <w:r w:rsidRPr="005B5BB7">
        <w:rPr>
          <w:sz w:val="22"/>
          <w:szCs w:val="20"/>
          <w:lang w:eastAsia="en-US"/>
        </w:rPr>
        <w:t>Any emergencies in terms of client safety will be referred to Police. Any emergency issues within the Contractors Company, internal policies will apply.</w:t>
      </w:r>
    </w:p>
    <w:p w14:paraId="62CBAEBC" w14:textId="77777777" w:rsidR="0031624F" w:rsidRPr="005B5BB7" w:rsidRDefault="0031624F" w:rsidP="00D56EE7">
      <w:pPr>
        <w:pStyle w:val="Heading1"/>
        <w:numPr>
          <w:ilvl w:val="0"/>
          <w:numId w:val="9"/>
        </w:numPr>
        <w:ind w:left="709" w:hanging="360"/>
        <w:rPr>
          <w:b w:val="0"/>
          <w:sz w:val="22"/>
          <w:szCs w:val="20"/>
          <w:lang w:eastAsia="en-US"/>
        </w:rPr>
      </w:pPr>
      <w:bookmarkStart w:id="15" w:name="_Toc64525996"/>
      <w:r w:rsidRPr="005B5BB7">
        <w:rPr>
          <w:sz w:val="22"/>
          <w:szCs w:val="20"/>
          <w:lang w:eastAsia="en-US"/>
        </w:rPr>
        <w:t xml:space="preserve">Information sharing and data </w:t>
      </w:r>
      <w:proofErr w:type="gramStart"/>
      <w:r w:rsidRPr="005B5BB7">
        <w:rPr>
          <w:sz w:val="22"/>
          <w:szCs w:val="20"/>
          <w:lang w:eastAsia="en-US"/>
        </w:rPr>
        <w:t>protection</w:t>
      </w:r>
      <w:bookmarkEnd w:id="15"/>
      <w:proofErr w:type="gramEnd"/>
      <w:r w:rsidRPr="005B5BB7">
        <w:rPr>
          <w:sz w:val="22"/>
          <w:szCs w:val="20"/>
          <w:lang w:eastAsia="en-US"/>
        </w:rPr>
        <w:t xml:space="preserve"> </w:t>
      </w:r>
    </w:p>
    <w:p w14:paraId="3AFB3E16" w14:textId="77777777" w:rsidR="0031624F" w:rsidRPr="005B5BB7" w:rsidRDefault="0031624F" w:rsidP="0031624F">
      <w:pPr>
        <w:rPr>
          <w:sz w:val="22"/>
          <w:szCs w:val="20"/>
          <w:lang w:eastAsia="en-US"/>
        </w:rPr>
      </w:pPr>
    </w:p>
    <w:p w14:paraId="53899906" w14:textId="77777777" w:rsidR="0031624F" w:rsidRPr="005B5BB7" w:rsidRDefault="0031624F" w:rsidP="0031624F">
      <w:pPr>
        <w:rPr>
          <w:sz w:val="22"/>
          <w:szCs w:val="20"/>
          <w:lang w:eastAsia="en-US"/>
        </w:rPr>
      </w:pPr>
      <w:r w:rsidRPr="005B5BB7">
        <w:rPr>
          <w:sz w:val="22"/>
          <w:szCs w:val="20"/>
          <w:lang w:eastAsia="en-US"/>
        </w:rPr>
        <w:t xml:space="preserve">The contractor will be required to comply with relevant national standards for the sharing of information, including the Data Protection Act 1998 and the GDPR and to sign up to any local information sharing protocols. In particular, the contractor will ensure that: </w:t>
      </w:r>
    </w:p>
    <w:p w14:paraId="60C05C83" w14:textId="77777777" w:rsidR="0031624F" w:rsidRPr="005B5BB7" w:rsidRDefault="0031624F" w:rsidP="0031624F">
      <w:pPr>
        <w:rPr>
          <w:sz w:val="22"/>
          <w:szCs w:val="20"/>
          <w:lang w:eastAsia="en-US"/>
        </w:rPr>
      </w:pPr>
    </w:p>
    <w:p w14:paraId="4EA9E58E" w14:textId="77777777" w:rsidR="0031624F" w:rsidRPr="005B5BB7" w:rsidRDefault="0031624F" w:rsidP="00D56EE7">
      <w:pPr>
        <w:pStyle w:val="ListParagraph"/>
        <w:numPr>
          <w:ilvl w:val="0"/>
          <w:numId w:val="10"/>
        </w:numPr>
        <w:rPr>
          <w:rFonts w:cs="Arial"/>
          <w:sz w:val="22"/>
          <w:szCs w:val="20"/>
          <w:lang w:eastAsia="en-US"/>
        </w:rPr>
      </w:pPr>
      <w:r w:rsidRPr="005B5BB7">
        <w:rPr>
          <w:rFonts w:cs="Arial"/>
          <w:sz w:val="22"/>
          <w:szCs w:val="20"/>
          <w:lang w:eastAsia="en-US"/>
        </w:rPr>
        <w:t xml:space="preserve">All information relating to service users is kept in a secure </w:t>
      </w:r>
      <w:proofErr w:type="gramStart"/>
      <w:r w:rsidRPr="005B5BB7">
        <w:rPr>
          <w:rFonts w:cs="Arial"/>
          <w:sz w:val="22"/>
          <w:szCs w:val="20"/>
          <w:lang w:eastAsia="en-US"/>
        </w:rPr>
        <w:t>environment</w:t>
      </w:r>
      <w:proofErr w:type="gramEnd"/>
      <w:r w:rsidRPr="005B5BB7">
        <w:rPr>
          <w:rFonts w:cs="Arial"/>
          <w:sz w:val="22"/>
          <w:szCs w:val="20"/>
          <w:lang w:eastAsia="en-US"/>
        </w:rPr>
        <w:t xml:space="preserve"> </w:t>
      </w:r>
    </w:p>
    <w:p w14:paraId="66D85BDD" w14:textId="77777777" w:rsidR="0031624F" w:rsidRPr="005B5BB7" w:rsidRDefault="0031624F" w:rsidP="00D56EE7">
      <w:pPr>
        <w:pStyle w:val="ListParagraph"/>
        <w:numPr>
          <w:ilvl w:val="0"/>
          <w:numId w:val="10"/>
        </w:numPr>
        <w:rPr>
          <w:rFonts w:cs="Arial"/>
          <w:sz w:val="22"/>
          <w:szCs w:val="20"/>
          <w:lang w:eastAsia="en-US"/>
        </w:rPr>
      </w:pPr>
      <w:r w:rsidRPr="005B5BB7">
        <w:rPr>
          <w:rFonts w:cs="Arial"/>
          <w:sz w:val="22"/>
          <w:szCs w:val="20"/>
          <w:lang w:eastAsia="en-US"/>
        </w:rPr>
        <w:t xml:space="preserve">All information sharing is undertaken in accordance with the principles of the Data Protection Act and GDPR </w:t>
      </w:r>
    </w:p>
    <w:p w14:paraId="154920FA" w14:textId="77777777" w:rsidR="0031624F" w:rsidRPr="005B5BB7" w:rsidRDefault="0031624F" w:rsidP="00D56EE7">
      <w:pPr>
        <w:pStyle w:val="Heading1"/>
        <w:numPr>
          <w:ilvl w:val="0"/>
          <w:numId w:val="9"/>
        </w:numPr>
        <w:ind w:left="709" w:hanging="360"/>
        <w:rPr>
          <w:b w:val="0"/>
          <w:sz w:val="22"/>
          <w:szCs w:val="20"/>
          <w:lang w:eastAsia="en-US"/>
        </w:rPr>
      </w:pPr>
      <w:bookmarkStart w:id="16" w:name="_Toc64525997"/>
      <w:r w:rsidRPr="005B5BB7">
        <w:rPr>
          <w:sz w:val="22"/>
          <w:szCs w:val="20"/>
          <w:lang w:eastAsia="en-US"/>
        </w:rPr>
        <w:t>Diversity and equality</w:t>
      </w:r>
      <w:bookmarkEnd w:id="16"/>
      <w:r w:rsidRPr="005B5BB7">
        <w:rPr>
          <w:sz w:val="22"/>
          <w:szCs w:val="20"/>
          <w:lang w:eastAsia="en-US"/>
        </w:rPr>
        <w:t xml:space="preserve"> </w:t>
      </w:r>
    </w:p>
    <w:p w14:paraId="3182DBAE" w14:textId="77777777" w:rsidR="0031624F" w:rsidRPr="005B5BB7" w:rsidRDefault="0031624F" w:rsidP="0031624F">
      <w:pPr>
        <w:rPr>
          <w:sz w:val="22"/>
          <w:szCs w:val="20"/>
          <w:lang w:eastAsia="en-US"/>
        </w:rPr>
      </w:pPr>
    </w:p>
    <w:p w14:paraId="04327948" w14:textId="77777777" w:rsidR="0031624F" w:rsidRPr="005B5BB7" w:rsidRDefault="0031624F" w:rsidP="0031624F">
      <w:pPr>
        <w:rPr>
          <w:sz w:val="22"/>
          <w:szCs w:val="22"/>
          <w:lang w:eastAsia="en-US"/>
        </w:rPr>
      </w:pPr>
      <w:r w:rsidRPr="005B5BB7">
        <w:rPr>
          <w:sz w:val="22"/>
          <w:szCs w:val="22"/>
          <w:lang w:eastAsia="en-US"/>
        </w:rPr>
        <w:t xml:space="preserve">Research on VAWG indicates that it is prevalent across all communities and demographic groups. However, different groups or communities may experience very different sorts of abuse or may experience additional barriers to accessing services. Current legislation recognises equality target groups, which are central to the equality agenda: sex, religion, sexuality, ethnicity, age, disability. The Contractor has demonstrated how it is meeting the needs of these groups and ensure their access to the Service is monitored through contract reporting. </w:t>
      </w:r>
    </w:p>
    <w:p w14:paraId="1F63752F" w14:textId="77777777" w:rsidR="0031624F" w:rsidRPr="005B5BB7" w:rsidRDefault="0031624F" w:rsidP="0031624F">
      <w:pPr>
        <w:rPr>
          <w:sz w:val="22"/>
          <w:szCs w:val="20"/>
          <w:lang w:eastAsia="en-US"/>
        </w:rPr>
      </w:pPr>
    </w:p>
    <w:p w14:paraId="45933E20" w14:textId="77777777" w:rsidR="0031624F" w:rsidRPr="005B5BB7" w:rsidRDefault="0031624F" w:rsidP="0031624F">
      <w:pPr>
        <w:rPr>
          <w:sz w:val="22"/>
          <w:szCs w:val="22"/>
          <w:lang w:eastAsia="en-US"/>
        </w:rPr>
      </w:pPr>
      <w:r w:rsidRPr="005B5BB7">
        <w:rPr>
          <w:sz w:val="22"/>
          <w:szCs w:val="22"/>
          <w:lang w:eastAsia="en-US"/>
        </w:rPr>
        <w:t xml:space="preserve">The Contractor has in place an Equality Policy and to comply with all relevant equalities legislation, including but not limited to: </w:t>
      </w:r>
    </w:p>
    <w:p w14:paraId="3CC3385A" w14:textId="77777777" w:rsidR="0031624F" w:rsidRPr="005B5BB7" w:rsidRDefault="0031624F" w:rsidP="0031624F">
      <w:pPr>
        <w:rPr>
          <w:sz w:val="22"/>
          <w:szCs w:val="22"/>
          <w:lang w:eastAsia="en-US"/>
        </w:rPr>
      </w:pPr>
    </w:p>
    <w:p w14:paraId="2855AFA9" w14:textId="77777777" w:rsidR="0031624F" w:rsidRPr="005B5BB7" w:rsidRDefault="0031624F" w:rsidP="00D56EE7">
      <w:pPr>
        <w:pStyle w:val="ListParagraph"/>
        <w:numPr>
          <w:ilvl w:val="0"/>
          <w:numId w:val="11"/>
        </w:numPr>
        <w:rPr>
          <w:rFonts w:cs="Arial"/>
          <w:sz w:val="22"/>
          <w:szCs w:val="22"/>
          <w:lang w:eastAsia="en-US"/>
        </w:rPr>
      </w:pPr>
      <w:r w:rsidRPr="005B5BB7">
        <w:rPr>
          <w:rFonts w:cs="Arial"/>
          <w:sz w:val="22"/>
          <w:szCs w:val="22"/>
          <w:lang w:eastAsia="en-US"/>
        </w:rPr>
        <w:t xml:space="preserve">Race Relations Act 1976 and Race Relations (Amendment) Act 2000 </w:t>
      </w:r>
    </w:p>
    <w:p w14:paraId="7A40AD80" w14:textId="77777777" w:rsidR="0031624F" w:rsidRPr="005B5BB7" w:rsidRDefault="0031624F" w:rsidP="00D56EE7">
      <w:pPr>
        <w:pStyle w:val="ListParagraph"/>
        <w:numPr>
          <w:ilvl w:val="0"/>
          <w:numId w:val="11"/>
        </w:numPr>
        <w:rPr>
          <w:rFonts w:cs="Arial"/>
          <w:sz w:val="22"/>
          <w:szCs w:val="22"/>
          <w:lang w:eastAsia="en-US"/>
        </w:rPr>
      </w:pPr>
      <w:r w:rsidRPr="005B5BB7">
        <w:rPr>
          <w:rFonts w:cs="Arial"/>
          <w:sz w:val="22"/>
          <w:szCs w:val="22"/>
          <w:lang w:eastAsia="en-US"/>
        </w:rPr>
        <w:t xml:space="preserve">Disability Discrimination Act 1995 and Disability Discrimination (Amendment) Act 2005 </w:t>
      </w:r>
    </w:p>
    <w:p w14:paraId="1E4CEFCD" w14:textId="77777777" w:rsidR="0031624F" w:rsidRPr="005B5BB7" w:rsidRDefault="0031624F" w:rsidP="00D56EE7">
      <w:pPr>
        <w:pStyle w:val="ListParagraph"/>
        <w:numPr>
          <w:ilvl w:val="0"/>
          <w:numId w:val="11"/>
        </w:numPr>
        <w:rPr>
          <w:rFonts w:cs="Arial"/>
          <w:sz w:val="22"/>
          <w:szCs w:val="22"/>
          <w:lang w:eastAsia="en-US"/>
        </w:rPr>
      </w:pPr>
      <w:r w:rsidRPr="005B5BB7">
        <w:rPr>
          <w:rFonts w:cs="Arial"/>
          <w:sz w:val="22"/>
          <w:szCs w:val="22"/>
          <w:lang w:eastAsia="en-US"/>
        </w:rPr>
        <w:t xml:space="preserve">Gender Recognition Act 2004 </w:t>
      </w:r>
    </w:p>
    <w:p w14:paraId="08985F52" w14:textId="77777777" w:rsidR="0031624F" w:rsidRPr="005B5BB7" w:rsidRDefault="0031624F" w:rsidP="00D56EE7">
      <w:pPr>
        <w:pStyle w:val="ListParagraph"/>
        <w:numPr>
          <w:ilvl w:val="0"/>
          <w:numId w:val="11"/>
        </w:numPr>
        <w:rPr>
          <w:rFonts w:cs="Arial"/>
          <w:sz w:val="22"/>
          <w:szCs w:val="22"/>
          <w:lang w:eastAsia="en-US"/>
        </w:rPr>
      </w:pPr>
      <w:r w:rsidRPr="005B5BB7">
        <w:rPr>
          <w:rFonts w:cs="Arial"/>
          <w:sz w:val="22"/>
          <w:szCs w:val="22"/>
          <w:lang w:eastAsia="en-US"/>
        </w:rPr>
        <w:t xml:space="preserve">Equality Act (2010) </w:t>
      </w:r>
    </w:p>
    <w:p w14:paraId="588D8A14" w14:textId="77777777" w:rsidR="0031624F" w:rsidRPr="005B5BB7" w:rsidRDefault="0031624F" w:rsidP="0031624F">
      <w:pPr>
        <w:rPr>
          <w:sz w:val="22"/>
          <w:szCs w:val="20"/>
          <w:lang w:eastAsia="en-US"/>
        </w:rPr>
      </w:pPr>
    </w:p>
    <w:p w14:paraId="48F7116F" w14:textId="77777777" w:rsidR="0031624F" w:rsidRPr="005B5BB7" w:rsidRDefault="0031624F" w:rsidP="0031624F">
      <w:pPr>
        <w:rPr>
          <w:sz w:val="22"/>
          <w:szCs w:val="20"/>
          <w:lang w:eastAsia="en-US"/>
        </w:rPr>
      </w:pPr>
      <w:r w:rsidRPr="005B5BB7">
        <w:rPr>
          <w:sz w:val="22"/>
          <w:szCs w:val="20"/>
          <w:lang w:eastAsia="en-US"/>
        </w:rPr>
        <w:t xml:space="preserve">The Contractor will ensure that the service is accessible to all service users and will, where required provide additional services, such as translation and interpreting to ensure access to the service. Where translation and interpreting services are provided the contractor will ensure that these operate in line with national guidelines for ensuring the safety of VAWG victims, especially concerning provision of services to victims of honour-based </w:t>
      </w:r>
      <w:proofErr w:type="gramStart"/>
      <w:r w:rsidRPr="005B5BB7">
        <w:rPr>
          <w:sz w:val="22"/>
          <w:szCs w:val="20"/>
          <w:lang w:eastAsia="en-US"/>
        </w:rPr>
        <w:t>violence</w:t>
      </w:r>
      <w:proofErr w:type="gramEnd"/>
      <w:r w:rsidRPr="005B5BB7">
        <w:rPr>
          <w:sz w:val="22"/>
          <w:szCs w:val="20"/>
          <w:lang w:eastAsia="en-US"/>
        </w:rPr>
        <w:t xml:space="preserve"> and forced marriage. </w:t>
      </w:r>
    </w:p>
    <w:p w14:paraId="4964A5F1" w14:textId="77777777" w:rsidR="0031624F" w:rsidRPr="005B5BB7" w:rsidRDefault="0031624F" w:rsidP="0031624F">
      <w:pPr>
        <w:rPr>
          <w:sz w:val="22"/>
          <w:szCs w:val="20"/>
          <w:lang w:eastAsia="en-US"/>
        </w:rPr>
      </w:pPr>
    </w:p>
    <w:p w14:paraId="353EE77E" w14:textId="77777777" w:rsidR="0031624F" w:rsidRPr="005B5BB7" w:rsidRDefault="0031624F" w:rsidP="0031624F">
      <w:pPr>
        <w:rPr>
          <w:sz w:val="22"/>
          <w:szCs w:val="20"/>
          <w:lang w:eastAsia="en-US"/>
        </w:rPr>
      </w:pPr>
      <w:r w:rsidRPr="005B5BB7">
        <w:rPr>
          <w:sz w:val="22"/>
          <w:szCs w:val="20"/>
          <w:lang w:eastAsia="en-US"/>
        </w:rPr>
        <w:t xml:space="preserve">The Contractor shall wherever possible provide a service that is accessible to all those who live and work in the borough in terms of its location and times of provision. </w:t>
      </w:r>
    </w:p>
    <w:p w14:paraId="4943978D" w14:textId="77777777" w:rsidR="0031624F" w:rsidRPr="005B5BB7" w:rsidRDefault="0031624F" w:rsidP="00D56EE7">
      <w:pPr>
        <w:pStyle w:val="Heading1"/>
        <w:numPr>
          <w:ilvl w:val="0"/>
          <w:numId w:val="9"/>
        </w:numPr>
        <w:ind w:left="709" w:hanging="360"/>
        <w:rPr>
          <w:b w:val="0"/>
          <w:bCs w:val="0"/>
          <w:sz w:val="22"/>
          <w:szCs w:val="20"/>
          <w:lang w:eastAsia="en-US"/>
        </w:rPr>
      </w:pPr>
      <w:bookmarkStart w:id="17" w:name="_Toc64525998"/>
      <w:r w:rsidRPr="005B5BB7">
        <w:rPr>
          <w:sz w:val="22"/>
          <w:szCs w:val="20"/>
          <w:lang w:eastAsia="en-US"/>
        </w:rPr>
        <w:t>Complaints and notifiable incidents</w:t>
      </w:r>
      <w:bookmarkEnd w:id="17"/>
      <w:r w:rsidRPr="005B5BB7">
        <w:rPr>
          <w:sz w:val="22"/>
          <w:szCs w:val="20"/>
          <w:lang w:eastAsia="en-US"/>
        </w:rPr>
        <w:t xml:space="preserve"> </w:t>
      </w:r>
    </w:p>
    <w:p w14:paraId="4119E0B4" w14:textId="77777777" w:rsidR="0031624F" w:rsidRPr="005B5BB7" w:rsidRDefault="0031624F" w:rsidP="0031624F">
      <w:pPr>
        <w:rPr>
          <w:sz w:val="22"/>
          <w:szCs w:val="20"/>
          <w:lang w:eastAsia="en-US"/>
        </w:rPr>
      </w:pPr>
    </w:p>
    <w:p w14:paraId="18CE231F" w14:textId="77777777" w:rsidR="0031624F" w:rsidRPr="005B5BB7" w:rsidRDefault="0031624F" w:rsidP="0031624F">
      <w:pPr>
        <w:rPr>
          <w:sz w:val="22"/>
          <w:szCs w:val="20"/>
          <w:lang w:eastAsia="en-US"/>
        </w:rPr>
      </w:pPr>
      <w:r w:rsidRPr="005B5BB7">
        <w:rPr>
          <w:sz w:val="22"/>
          <w:szCs w:val="20"/>
          <w:lang w:eastAsia="en-US"/>
        </w:rPr>
        <w:t xml:space="preserve">The Contractor has in place a robust complaints procedure for individual service users. If a service user’s complaint is not resolved to his or her satisfaction by the Contractor, they may then raise the matter with the Council’s Representative and the Contractor shall make it clear to service users that this option is available. </w:t>
      </w:r>
    </w:p>
    <w:p w14:paraId="37262BE9" w14:textId="77777777" w:rsidR="0031624F" w:rsidRPr="005B5BB7" w:rsidRDefault="0031624F" w:rsidP="0031624F">
      <w:pPr>
        <w:rPr>
          <w:sz w:val="22"/>
          <w:szCs w:val="20"/>
          <w:lang w:eastAsia="en-US"/>
        </w:rPr>
      </w:pPr>
    </w:p>
    <w:p w14:paraId="4E6F66B4" w14:textId="77777777" w:rsidR="0031624F" w:rsidRPr="005B5BB7" w:rsidRDefault="0031624F" w:rsidP="0031624F">
      <w:pPr>
        <w:rPr>
          <w:sz w:val="22"/>
          <w:szCs w:val="20"/>
          <w:lang w:eastAsia="en-US"/>
        </w:rPr>
      </w:pPr>
      <w:r w:rsidRPr="005B5BB7">
        <w:rPr>
          <w:sz w:val="22"/>
          <w:szCs w:val="20"/>
          <w:lang w:eastAsia="en-US"/>
        </w:rPr>
        <w:lastRenderedPageBreak/>
        <w:t xml:space="preserve">If a client is unable to make a complaint with the provider or if the complaint being made is at a serious or significant level, then the council must be informed. </w:t>
      </w:r>
    </w:p>
    <w:p w14:paraId="22C3F829" w14:textId="77777777" w:rsidR="0031624F" w:rsidRPr="005B5BB7" w:rsidRDefault="0031624F" w:rsidP="0031624F">
      <w:pPr>
        <w:rPr>
          <w:sz w:val="22"/>
          <w:szCs w:val="20"/>
          <w:lang w:eastAsia="en-US"/>
        </w:rPr>
      </w:pPr>
    </w:p>
    <w:p w14:paraId="5313FE88" w14:textId="77777777" w:rsidR="0031624F" w:rsidRPr="005B5BB7" w:rsidRDefault="0031624F" w:rsidP="0031624F">
      <w:pPr>
        <w:rPr>
          <w:sz w:val="22"/>
          <w:szCs w:val="20"/>
          <w:lang w:eastAsia="en-US"/>
        </w:rPr>
      </w:pPr>
      <w:r w:rsidRPr="005B5BB7">
        <w:rPr>
          <w:sz w:val="22"/>
          <w:szCs w:val="20"/>
          <w:lang w:eastAsia="en-US"/>
        </w:rPr>
        <w:t xml:space="preserve">The contractor will be required to have a notifiable incidents procedure in place, which will cover the organisation’s incident reporting procedures. This policy should include but not be limited to assaults on staff, </w:t>
      </w:r>
      <w:proofErr w:type="gramStart"/>
      <w:r w:rsidRPr="005B5BB7">
        <w:rPr>
          <w:sz w:val="22"/>
          <w:szCs w:val="20"/>
          <w:lang w:eastAsia="en-US"/>
        </w:rPr>
        <w:t>death</w:t>
      </w:r>
      <w:proofErr w:type="gramEnd"/>
      <w:r w:rsidRPr="005B5BB7">
        <w:rPr>
          <w:sz w:val="22"/>
          <w:szCs w:val="20"/>
          <w:lang w:eastAsia="en-US"/>
        </w:rPr>
        <w:t xml:space="preserve"> or serious injury of clients, near misses, and serious failing in the delivery of the service.</w:t>
      </w:r>
    </w:p>
    <w:p w14:paraId="411885BE" w14:textId="77777777" w:rsidR="0031624F" w:rsidRPr="005B5BB7" w:rsidRDefault="0031624F" w:rsidP="00D56EE7">
      <w:pPr>
        <w:pStyle w:val="Heading1"/>
        <w:numPr>
          <w:ilvl w:val="0"/>
          <w:numId w:val="9"/>
        </w:numPr>
        <w:ind w:left="709" w:hanging="360"/>
        <w:rPr>
          <w:b w:val="0"/>
          <w:sz w:val="22"/>
          <w:szCs w:val="20"/>
          <w:lang w:eastAsia="en-US"/>
        </w:rPr>
      </w:pPr>
      <w:bookmarkStart w:id="18" w:name="_Toc64525999"/>
      <w:r w:rsidRPr="005B5BB7">
        <w:rPr>
          <w:sz w:val="22"/>
          <w:szCs w:val="20"/>
          <w:lang w:eastAsia="en-US"/>
        </w:rPr>
        <w:t>Deliverables</w:t>
      </w:r>
      <w:bookmarkEnd w:id="18"/>
    </w:p>
    <w:p w14:paraId="64CF97CC" w14:textId="77777777" w:rsidR="0031624F" w:rsidRPr="005B5BB7" w:rsidRDefault="0031624F" w:rsidP="0031624F">
      <w:pPr>
        <w:rPr>
          <w:sz w:val="22"/>
          <w:szCs w:val="20"/>
          <w:lang w:eastAsia="en-US"/>
        </w:rPr>
      </w:pPr>
    </w:p>
    <w:p w14:paraId="0AFF5BC8" w14:textId="77777777" w:rsidR="0031624F" w:rsidRPr="005B5BB7" w:rsidRDefault="0031624F" w:rsidP="0031624F">
      <w:pPr>
        <w:rPr>
          <w:sz w:val="22"/>
          <w:szCs w:val="22"/>
          <w:lang w:eastAsia="en-US"/>
        </w:rPr>
      </w:pPr>
      <w:r w:rsidRPr="005B5BB7">
        <w:rPr>
          <w:sz w:val="22"/>
          <w:szCs w:val="22"/>
          <w:lang w:eastAsia="en-US"/>
        </w:rPr>
        <w:t xml:space="preserve">The awarded contractor will be paid in arrears. </w:t>
      </w:r>
      <w:r w:rsidRPr="00446D31">
        <w:rPr>
          <w:sz w:val="22"/>
          <w:szCs w:val="22"/>
          <w:lang w:eastAsia="en-US"/>
        </w:rPr>
        <w:t>The annual target is to support 60 households costing no more than £75,000. T</w:t>
      </w:r>
      <w:r w:rsidRPr="005B5BB7">
        <w:rPr>
          <w:sz w:val="22"/>
          <w:szCs w:val="22"/>
          <w:lang w:eastAsia="en-US"/>
        </w:rPr>
        <w:t xml:space="preserve">his may include and not limited to items installed within the last year listed below: </w:t>
      </w:r>
    </w:p>
    <w:p w14:paraId="0170C600" w14:textId="77777777" w:rsidR="0031624F" w:rsidRPr="005B5BB7" w:rsidRDefault="0031624F" w:rsidP="0031624F">
      <w:pPr>
        <w:rPr>
          <w:lang w:eastAsia="en-US"/>
        </w:rPr>
      </w:pPr>
    </w:p>
    <w:p w14:paraId="5E68A645" w14:textId="77777777" w:rsidR="0031624F" w:rsidRPr="005B5BB7" w:rsidRDefault="0031624F" w:rsidP="0031624F">
      <w:pPr>
        <w:rPr>
          <w:sz w:val="22"/>
          <w:szCs w:val="22"/>
          <w:lang w:eastAsia="en-US"/>
        </w:rPr>
      </w:pPr>
      <w:r w:rsidRPr="005B5BB7">
        <w:rPr>
          <w:sz w:val="22"/>
          <w:szCs w:val="22"/>
          <w:lang w:eastAsia="en-US"/>
        </w:rPr>
        <w:t>2* Star Security Handle Set</w:t>
      </w:r>
    </w:p>
    <w:p w14:paraId="6FBF8EB7" w14:textId="77777777" w:rsidR="0031624F" w:rsidRPr="005B5BB7" w:rsidRDefault="0031624F" w:rsidP="0031624F">
      <w:pPr>
        <w:rPr>
          <w:sz w:val="22"/>
          <w:szCs w:val="22"/>
          <w:lang w:eastAsia="en-US"/>
        </w:rPr>
      </w:pPr>
      <w:r w:rsidRPr="005B5BB7">
        <w:rPr>
          <w:sz w:val="22"/>
          <w:szCs w:val="22"/>
          <w:lang w:eastAsia="en-US"/>
        </w:rPr>
        <w:t>3 Star Euro Cylinder</w:t>
      </w:r>
    </w:p>
    <w:p w14:paraId="22D2EC22" w14:textId="77777777" w:rsidR="0031624F" w:rsidRPr="005B5BB7" w:rsidRDefault="0031624F" w:rsidP="0031624F">
      <w:pPr>
        <w:rPr>
          <w:sz w:val="22"/>
          <w:szCs w:val="22"/>
          <w:lang w:eastAsia="en-US"/>
        </w:rPr>
      </w:pPr>
      <w:r w:rsidRPr="005B5BB7">
        <w:rPr>
          <w:sz w:val="22"/>
          <w:szCs w:val="22"/>
          <w:lang w:eastAsia="en-US"/>
        </w:rPr>
        <w:t xml:space="preserve">Anti Thrust Plate </w:t>
      </w:r>
    </w:p>
    <w:p w14:paraId="10B98C54" w14:textId="77777777" w:rsidR="0031624F" w:rsidRPr="005B5BB7" w:rsidRDefault="0031624F" w:rsidP="0031624F">
      <w:pPr>
        <w:rPr>
          <w:sz w:val="22"/>
          <w:szCs w:val="22"/>
          <w:lang w:eastAsia="en-US"/>
        </w:rPr>
      </w:pPr>
      <w:r w:rsidRPr="005B5BB7">
        <w:rPr>
          <w:sz w:val="22"/>
          <w:szCs w:val="22"/>
          <w:lang w:eastAsia="en-US"/>
        </w:rPr>
        <w:t>Birmingham Bar</w:t>
      </w:r>
    </w:p>
    <w:p w14:paraId="394919EE" w14:textId="77777777" w:rsidR="0031624F" w:rsidRPr="005B5BB7" w:rsidRDefault="0031624F" w:rsidP="0031624F">
      <w:pPr>
        <w:rPr>
          <w:sz w:val="22"/>
          <w:szCs w:val="22"/>
          <w:lang w:eastAsia="en-US"/>
        </w:rPr>
      </w:pPr>
      <w:r w:rsidRPr="005B5BB7">
        <w:rPr>
          <w:sz w:val="22"/>
          <w:szCs w:val="22"/>
          <w:lang w:eastAsia="en-US"/>
        </w:rPr>
        <w:t>BS Rim Cylinder</w:t>
      </w:r>
    </w:p>
    <w:p w14:paraId="447487C4" w14:textId="77777777" w:rsidR="0031624F" w:rsidRPr="005B5BB7" w:rsidRDefault="0031624F" w:rsidP="0031624F">
      <w:pPr>
        <w:rPr>
          <w:sz w:val="22"/>
          <w:szCs w:val="22"/>
          <w:lang w:eastAsia="en-US"/>
        </w:rPr>
      </w:pPr>
      <w:r w:rsidRPr="005B5BB7">
        <w:rPr>
          <w:sz w:val="22"/>
          <w:szCs w:val="22"/>
          <w:lang w:eastAsia="en-US"/>
        </w:rPr>
        <w:t>BS3621 5 Lever Deadlock</w:t>
      </w:r>
    </w:p>
    <w:p w14:paraId="45894EE8" w14:textId="77777777" w:rsidR="0031624F" w:rsidRPr="005B5BB7" w:rsidRDefault="0031624F" w:rsidP="0031624F">
      <w:pPr>
        <w:rPr>
          <w:sz w:val="22"/>
          <w:szCs w:val="22"/>
          <w:lang w:eastAsia="en-US"/>
        </w:rPr>
      </w:pPr>
      <w:r w:rsidRPr="005B5BB7">
        <w:rPr>
          <w:sz w:val="22"/>
          <w:szCs w:val="22"/>
          <w:lang w:eastAsia="en-US"/>
        </w:rPr>
        <w:t xml:space="preserve">CCTV Door Viewer to Front Door </w:t>
      </w:r>
    </w:p>
    <w:p w14:paraId="3FA4F8EB" w14:textId="77777777" w:rsidR="0031624F" w:rsidRPr="005B5BB7" w:rsidRDefault="0031624F" w:rsidP="0031624F">
      <w:pPr>
        <w:rPr>
          <w:sz w:val="22"/>
          <w:szCs w:val="22"/>
          <w:lang w:eastAsia="en-US"/>
        </w:rPr>
      </w:pPr>
      <w:r w:rsidRPr="005B5BB7">
        <w:rPr>
          <w:sz w:val="22"/>
          <w:szCs w:val="22"/>
          <w:lang w:eastAsia="en-US"/>
        </w:rPr>
        <w:t>Door Chain</w:t>
      </w:r>
    </w:p>
    <w:p w14:paraId="36EE12A8" w14:textId="77777777" w:rsidR="0031624F" w:rsidRPr="005B5BB7" w:rsidRDefault="0031624F" w:rsidP="0031624F">
      <w:pPr>
        <w:rPr>
          <w:sz w:val="22"/>
          <w:szCs w:val="22"/>
          <w:lang w:eastAsia="en-US"/>
        </w:rPr>
      </w:pPr>
      <w:r w:rsidRPr="005B5BB7">
        <w:rPr>
          <w:sz w:val="22"/>
          <w:szCs w:val="22"/>
          <w:lang w:eastAsia="en-US"/>
        </w:rPr>
        <w:t>Fire blanket</w:t>
      </w:r>
    </w:p>
    <w:p w14:paraId="664E9537" w14:textId="77777777" w:rsidR="0031624F" w:rsidRPr="005B5BB7" w:rsidRDefault="0031624F" w:rsidP="0031624F">
      <w:pPr>
        <w:rPr>
          <w:sz w:val="22"/>
          <w:szCs w:val="22"/>
          <w:lang w:eastAsia="en-US"/>
        </w:rPr>
      </w:pPr>
      <w:r w:rsidRPr="005B5BB7">
        <w:rPr>
          <w:sz w:val="22"/>
          <w:szCs w:val="22"/>
          <w:lang w:eastAsia="en-US"/>
        </w:rPr>
        <w:t>Fire Extinguisher CE Unit</w:t>
      </w:r>
    </w:p>
    <w:p w14:paraId="6FBF452E" w14:textId="77777777" w:rsidR="0031624F" w:rsidRPr="005B5BB7" w:rsidRDefault="0031624F" w:rsidP="0031624F">
      <w:pPr>
        <w:rPr>
          <w:sz w:val="22"/>
          <w:szCs w:val="22"/>
          <w:lang w:eastAsia="en-US"/>
        </w:rPr>
      </w:pPr>
      <w:r w:rsidRPr="005B5BB7">
        <w:rPr>
          <w:sz w:val="22"/>
          <w:szCs w:val="22"/>
          <w:lang w:eastAsia="en-US"/>
        </w:rPr>
        <w:t>Fireproof Letterbox</w:t>
      </w:r>
    </w:p>
    <w:p w14:paraId="17CDECA0" w14:textId="77777777" w:rsidR="0031624F" w:rsidRPr="005B5BB7" w:rsidRDefault="0031624F" w:rsidP="0031624F">
      <w:pPr>
        <w:rPr>
          <w:sz w:val="22"/>
          <w:szCs w:val="22"/>
          <w:lang w:eastAsia="en-US"/>
        </w:rPr>
      </w:pPr>
      <w:r w:rsidRPr="005B5BB7">
        <w:rPr>
          <w:sz w:val="22"/>
          <w:szCs w:val="22"/>
          <w:lang w:eastAsia="en-US"/>
        </w:rPr>
        <w:t>Handle Set</w:t>
      </w:r>
    </w:p>
    <w:p w14:paraId="51FB73CA" w14:textId="77777777" w:rsidR="0031624F" w:rsidRPr="005B5BB7" w:rsidRDefault="0031624F" w:rsidP="0031624F">
      <w:pPr>
        <w:rPr>
          <w:sz w:val="22"/>
          <w:szCs w:val="22"/>
          <w:lang w:eastAsia="en-US"/>
        </w:rPr>
      </w:pPr>
      <w:r w:rsidRPr="005B5BB7">
        <w:rPr>
          <w:sz w:val="22"/>
          <w:szCs w:val="22"/>
          <w:lang w:eastAsia="en-US"/>
        </w:rPr>
        <w:t>Hinge Bolts</w:t>
      </w:r>
    </w:p>
    <w:p w14:paraId="3695F908" w14:textId="77777777" w:rsidR="0031624F" w:rsidRPr="005B5BB7" w:rsidRDefault="0031624F" w:rsidP="0031624F">
      <w:pPr>
        <w:rPr>
          <w:sz w:val="22"/>
          <w:szCs w:val="22"/>
          <w:lang w:eastAsia="en-US"/>
        </w:rPr>
      </w:pPr>
      <w:r w:rsidRPr="005B5BB7">
        <w:rPr>
          <w:sz w:val="22"/>
          <w:szCs w:val="22"/>
          <w:lang w:eastAsia="en-US"/>
        </w:rPr>
        <w:t>Letterbox Guard Visor</w:t>
      </w:r>
    </w:p>
    <w:p w14:paraId="327F69EB" w14:textId="77777777" w:rsidR="0031624F" w:rsidRPr="005B5BB7" w:rsidRDefault="0031624F" w:rsidP="0031624F">
      <w:pPr>
        <w:rPr>
          <w:sz w:val="22"/>
          <w:szCs w:val="22"/>
          <w:lang w:eastAsia="en-US"/>
        </w:rPr>
      </w:pPr>
      <w:r w:rsidRPr="005B5BB7">
        <w:rPr>
          <w:sz w:val="22"/>
          <w:szCs w:val="22"/>
          <w:lang w:eastAsia="en-US"/>
        </w:rPr>
        <w:t>London Bar</w:t>
      </w:r>
    </w:p>
    <w:p w14:paraId="5D0F372F" w14:textId="77777777" w:rsidR="0031624F" w:rsidRPr="005B5BB7" w:rsidRDefault="0031624F" w:rsidP="0031624F">
      <w:pPr>
        <w:rPr>
          <w:sz w:val="22"/>
          <w:szCs w:val="22"/>
          <w:lang w:eastAsia="en-US"/>
        </w:rPr>
      </w:pPr>
      <w:r w:rsidRPr="005B5BB7">
        <w:rPr>
          <w:sz w:val="22"/>
          <w:szCs w:val="22"/>
          <w:lang w:eastAsia="en-US"/>
        </w:rPr>
        <w:t>Pay as you go Mobile Phone for Sanctuary Room</w:t>
      </w:r>
    </w:p>
    <w:p w14:paraId="2BC4E59C" w14:textId="77777777" w:rsidR="0031624F" w:rsidRPr="005B5BB7" w:rsidRDefault="0031624F" w:rsidP="0031624F">
      <w:pPr>
        <w:rPr>
          <w:sz w:val="22"/>
          <w:szCs w:val="22"/>
          <w:lang w:eastAsia="en-US"/>
        </w:rPr>
      </w:pPr>
      <w:r w:rsidRPr="005B5BB7">
        <w:rPr>
          <w:sz w:val="22"/>
          <w:szCs w:val="22"/>
          <w:lang w:eastAsia="en-US"/>
        </w:rPr>
        <w:t xml:space="preserve">Security </w:t>
      </w:r>
      <w:proofErr w:type="spellStart"/>
      <w:r w:rsidRPr="005B5BB7">
        <w:rPr>
          <w:sz w:val="22"/>
          <w:szCs w:val="22"/>
          <w:lang w:eastAsia="en-US"/>
        </w:rPr>
        <w:t>Escutheon</w:t>
      </w:r>
      <w:proofErr w:type="spellEnd"/>
      <w:r w:rsidRPr="005B5BB7">
        <w:rPr>
          <w:sz w:val="22"/>
          <w:szCs w:val="22"/>
          <w:lang w:eastAsia="en-US"/>
        </w:rPr>
        <w:t xml:space="preserve"> Set</w:t>
      </w:r>
    </w:p>
    <w:p w14:paraId="3BA95BDA" w14:textId="77777777" w:rsidR="0031624F" w:rsidRPr="005B5BB7" w:rsidRDefault="0031624F" w:rsidP="0031624F">
      <w:pPr>
        <w:rPr>
          <w:sz w:val="22"/>
          <w:szCs w:val="22"/>
          <w:lang w:eastAsia="en-US"/>
        </w:rPr>
      </w:pPr>
      <w:r w:rsidRPr="005B5BB7">
        <w:rPr>
          <w:sz w:val="22"/>
          <w:szCs w:val="22"/>
          <w:lang w:eastAsia="en-US"/>
        </w:rPr>
        <w:t>Spy Hole</w:t>
      </w:r>
    </w:p>
    <w:p w14:paraId="6B358D4A" w14:textId="77777777" w:rsidR="0031624F" w:rsidRPr="005B5BB7" w:rsidRDefault="0031624F" w:rsidP="0031624F">
      <w:pPr>
        <w:rPr>
          <w:sz w:val="22"/>
          <w:szCs w:val="22"/>
          <w:lang w:eastAsia="en-US"/>
        </w:rPr>
      </w:pPr>
      <w:r w:rsidRPr="005B5BB7">
        <w:rPr>
          <w:sz w:val="22"/>
          <w:szCs w:val="22"/>
          <w:lang w:eastAsia="en-US"/>
        </w:rPr>
        <w:t xml:space="preserve">Tower Hamlets BS3621 </w:t>
      </w:r>
      <w:proofErr w:type="spellStart"/>
      <w:r w:rsidRPr="005B5BB7">
        <w:rPr>
          <w:sz w:val="22"/>
          <w:szCs w:val="22"/>
          <w:lang w:eastAsia="en-US"/>
        </w:rPr>
        <w:t>Nightlatch</w:t>
      </w:r>
      <w:proofErr w:type="spellEnd"/>
    </w:p>
    <w:p w14:paraId="007A3A96" w14:textId="77777777" w:rsidR="0031624F" w:rsidRPr="005B5BB7" w:rsidRDefault="0031624F" w:rsidP="0031624F">
      <w:pPr>
        <w:rPr>
          <w:sz w:val="22"/>
          <w:szCs w:val="22"/>
          <w:lang w:eastAsia="en-US"/>
        </w:rPr>
      </w:pPr>
      <w:r w:rsidRPr="005B5BB7">
        <w:rPr>
          <w:sz w:val="22"/>
          <w:szCs w:val="22"/>
          <w:lang w:eastAsia="en-US"/>
        </w:rPr>
        <w:t>Tower Hamlets Door</w:t>
      </w:r>
    </w:p>
    <w:p w14:paraId="6C2632C7" w14:textId="77777777" w:rsidR="0031624F" w:rsidRPr="005B5BB7" w:rsidRDefault="0031624F" w:rsidP="0031624F">
      <w:pPr>
        <w:rPr>
          <w:sz w:val="22"/>
          <w:szCs w:val="22"/>
          <w:lang w:eastAsia="en-US"/>
        </w:rPr>
      </w:pPr>
      <w:r w:rsidRPr="005B5BB7">
        <w:rPr>
          <w:sz w:val="22"/>
          <w:szCs w:val="22"/>
          <w:lang w:eastAsia="en-US"/>
        </w:rPr>
        <w:t>Window Restrictor</w:t>
      </w:r>
    </w:p>
    <w:p w14:paraId="1076F588" w14:textId="77777777" w:rsidR="0031624F" w:rsidRPr="005B5BB7" w:rsidRDefault="0031624F" w:rsidP="0031624F">
      <w:pPr>
        <w:rPr>
          <w:sz w:val="22"/>
          <w:szCs w:val="22"/>
          <w:lang w:eastAsia="en-US"/>
        </w:rPr>
      </w:pPr>
      <w:r w:rsidRPr="005B5BB7">
        <w:rPr>
          <w:sz w:val="22"/>
          <w:szCs w:val="22"/>
          <w:lang w:eastAsia="en-US"/>
        </w:rPr>
        <w:t>Window Shock Alarm</w:t>
      </w:r>
    </w:p>
    <w:p w14:paraId="3EB61D60" w14:textId="77777777" w:rsidR="0031624F" w:rsidRPr="005B5BB7" w:rsidRDefault="0031624F" w:rsidP="0031624F">
      <w:pPr>
        <w:rPr>
          <w:sz w:val="22"/>
          <w:szCs w:val="22"/>
          <w:lang w:eastAsia="en-US"/>
        </w:rPr>
      </w:pPr>
    </w:p>
    <w:p w14:paraId="6B91C3D7" w14:textId="77777777" w:rsidR="0031624F" w:rsidRPr="005B5BB7" w:rsidRDefault="0031624F" w:rsidP="0031624F">
      <w:pPr>
        <w:rPr>
          <w:sz w:val="22"/>
          <w:szCs w:val="22"/>
          <w:lang w:eastAsia="en-US"/>
        </w:rPr>
      </w:pPr>
      <w:r w:rsidRPr="005B5BB7">
        <w:rPr>
          <w:sz w:val="22"/>
          <w:szCs w:val="22"/>
          <w:lang w:eastAsia="en-US"/>
        </w:rPr>
        <w:t xml:space="preserve">Additional items could include: </w:t>
      </w:r>
    </w:p>
    <w:p w14:paraId="5212F262" w14:textId="77777777" w:rsidR="0031624F" w:rsidRPr="005B5BB7" w:rsidRDefault="0031624F" w:rsidP="0031624F">
      <w:pPr>
        <w:rPr>
          <w:sz w:val="22"/>
          <w:szCs w:val="22"/>
          <w:lang w:eastAsia="en-US"/>
        </w:rPr>
      </w:pPr>
    </w:p>
    <w:p w14:paraId="3BE98D5E" w14:textId="77777777" w:rsidR="0031624F" w:rsidRPr="005B5BB7" w:rsidRDefault="0031624F" w:rsidP="0031624F">
      <w:pPr>
        <w:rPr>
          <w:sz w:val="22"/>
          <w:szCs w:val="22"/>
          <w:lang w:eastAsia="en-US"/>
        </w:rPr>
      </w:pPr>
      <w:r w:rsidRPr="005B5BB7">
        <w:rPr>
          <w:sz w:val="22"/>
          <w:szCs w:val="22"/>
          <w:lang w:eastAsia="en-US"/>
        </w:rPr>
        <w:t xml:space="preserve">Battery operated alarms which connect directly to the police where there is no </w:t>
      </w:r>
      <w:proofErr w:type="gramStart"/>
      <w:r w:rsidRPr="005B5BB7">
        <w:rPr>
          <w:sz w:val="22"/>
          <w:szCs w:val="22"/>
          <w:lang w:eastAsia="en-US"/>
        </w:rPr>
        <w:t>landline</w:t>
      </w:r>
      <w:proofErr w:type="gramEnd"/>
      <w:r w:rsidRPr="005B5BB7">
        <w:rPr>
          <w:sz w:val="22"/>
          <w:szCs w:val="22"/>
          <w:lang w:eastAsia="en-US"/>
        </w:rPr>
        <w:t> </w:t>
      </w:r>
    </w:p>
    <w:p w14:paraId="09E11AFB" w14:textId="77777777" w:rsidR="0031624F" w:rsidRPr="005B5BB7" w:rsidRDefault="0031624F" w:rsidP="0031624F">
      <w:pPr>
        <w:rPr>
          <w:sz w:val="22"/>
          <w:szCs w:val="22"/>
          <w:lang w:eastAsia="en-US"/>
        </w:rPr>
      </w:pPr>
      <w:r w:rsidRPr="005B5BB7">
        <w:rPr>
          <w:sz w:val="22"/>
          <w:szCs w:val="22"/>
          <w:lang w:eastAsia="en-US"/>
        </w:rPr>
        <w:t>Hard wired smoke alarms </w:t>
      </w:r>
    </w:p>
    <w:p w14:paraId="1BD4BBC5" w14:textId="77777777" w:rsidR="0031624F" w:rsidRPr="005B5BB7" w:rsidRDefault="0031624F" w:rsidP="0031624F">
      <w:pPr>
        <w:rPr>
          <w:sz w:val="22"/>
          <w:szCs w:val="22"/>
          <w:lang w:eastAsia="en-US"/>
        </w:rPr>
      </w:pPr>
      <w:r w:rsidRPr="005B5BB7">
        <w:rPr>
          <w:sz w:val="22"/>
          <w:szCs w:val="22"/>
          <w:lang w:eastAsia="en-US"/>
        </w:rPr>
        <w:t>Intercom systems and video entry systems. </w:t>
      </w:r>
    </w:p>
    <w:p w14:paraId="4B342AF7" w14:textId="77777777" w:rsidR="0031624F" w:rsidRPr="005B5BB7" w:rsidRDefault="0031624F" w:rsidP="0031624F">
      <w:pPr>
        <w:rPr>
          <w:sz w:val="22"/>
          <w:szCs w:val="22"/>
          <w:lang w:eastAsia="en-US"/>
        </w:rPr>
      </w:pPr>
      <w:r w:rsidRPr="005B5BB7">
        <w:rPr>
          <w:sz w:val="22"/>
          <w:szCs w:val="22"/>
          <w:lang w:eastAsia="en-US"/>
        </w:rPr>
        <w:t>Panic alarms which alert neighbours </w:t>
      </w:r>
    </w:p>
    <w:p w14:paraId="2B611AA0" w14:textId="77777777" w:rsidR="0031624F" w:rsidRPr="005B5BB7" w:rsidRDefault="0031624F" w:rsidP="0031624F">
      <w:pPr>
        <w:rPr>
          <w:sz w:val="22"/>
          <w:szCs w:val="22"/>
          <w:lang w:eastAsia="en-US"/>
        </w:rPr>
      </w:pPr>
      <w:r w:rsidRPr="005B5BB7">
        <w:rPr>
          <w:sz w:val="22"/>
          <w:szCs w:val="22"/>
          <w:lang w:eastAsia="en-US"/>
        </w:rPr>
        <w:t xml:space="preserve">Reinforced double glazed </w:t>
      </w:r>
      <w:proofErr w:type="gramStart"/>
      <w:r w:rsidRPr="005B5BB7">
        <w:rPr>
          <w:sz w:val="22"/>
          <w:szCs w:val="22"/>
          <w:lang w:eastAsia="en-US"/>
        </w:rPr>
        <w:t>windows</w:t>
      </w:r>
      <w:proofErr w:type="gramEnd"/>
      <w:r w:rsidRPr="005B5BB7">
        <w:rPr>
          <w:sz w:val="22"/>
          <w:szCs w:val="22"/>
          <w:lang w:eastAsia="en-US"/>
        </w:rPr>
        <w:t> </w:t>
      </w:r>
    </w:p>
    <w:p w14:paraId="47473E3F" w14:textId="77777777" w:rsidR="0031624F" w:rsidRPr="005B5BB7" w:rsidRDefault="0031624F" w:rsidP="0031624F">
      <w:pPr>
        <w:rPr>
          <w:sz w:val="22"/>
          <w:szCs w:val="22"/>
          <w:lang w:eastAsia="en-US"/>
        </w:rPr>
      </w:pPr>
      <w:r w:rsidRPr="005B5BB7">
        <w:rPr>
          <w:sz w:val="22"/>
          <w:szCs w:val="22"/>
          <w:lang w:eastAsia="en-US"/>
        </w:rPr>
        <w:t>Smoke detectors </w:t>
      </w:r>
    </w:p>
    <w:p w14:paraId="132BD3BA" w14:textId="77777777" w:rsidR="0031624F" w:rsidRPr="005B5BB7" w:rsidRDefault="0031624F" w:rsidP="0031624F">
      <w:pPr>
        <w:rPr>
          <w:sz w:val="22"/>
          <w:szCs w:val="22"/>
          <w:lang w:eastAsia="en-US"/>
        </w:rPr>
      </w:pPr>
      <w:r w:rsidRPr="005B5BB7">
        <w:rPr>
          <w:sz w:val="22"/>
          <w:szCs w:val="22"/>
          <w:lang w:eastAsia="en-US"/>
        </w:rPr>
        <w:t>Window alarms </w:t>
      </w:r>
    </w:p>
    <w:p w14:paraId="13663C12" w14:textId="77777777" w:rsidR="0031624F" w:rsidRPr="005B5BB7" w:rsidRDefault="0031624F" w:rsidP="0031624F">
      <w:pPr>
        <w:rPr>
          <w:sz w:val="22"/>
          <w:szCs w:val="22"/>
          <w:lang w:eastAsia="en-US"/>
        </w:rPr>
      </w:pPr>
      <w:r w:rsidRPr="005B5BB7">
        <w:rPr>
          <w:sz w:val="22"/>
          <w:szCs w:val="22"/>
          <w:lang w:eastAsia="en-US"/>
        </w:rPr>
        <w:t>Window grilles </w:t>
      </w:r>
    </w:p>
    <w:p w14:paraId="541B4C8A" w14:textId="77777777" w:rsidR="0031624F" w:rsidRPr="005B5BB7" w:rsidRDefault="0031624F" w:rsidP="0031624F">
      <w:pPr>
        <w:rPr>
          <w:sz w:val="22"/>
          <w:szCs w:val="22"/>
          <w:lang w:eastAsia="en-US"/>
        </w:rPr>
      </w:pPr>
    </w:p>
    <w:p w14:paraId="36542758" w14:textId="77777777" w:rsidR="0031624F" w:rsidRPr="005B5BB7" w:rsidRDefault="0031624F" w:rsidP="0031624F">
      <w:pPr>
        <w:rPr>
          <w:sz w:val="22"/>
          <w:szCs w:val="22"/>
          <w:lang w:eastAsia="en-US"/>
        </w:rPr>
      </w:pPr>
      <w:r w:rsidRPr="005B5BB7">
        <w:rPr>
          <w:rFonts w:eastAsia="Arial"/>
          <w:sz w:val="22"/>
          <w:szCs w:val="22"/>
        </w:rPr>
        <w:t>External measures might include:</w:t>
      </w:r>
    </w:p>
    <w:p w14:paraId="5576334F" w14:textId="77777777" w:rsidR="0031624F" w:rsidRPr="005B5BB7" w:rsidRDefault="0031624F" w:rsidP="0031624F">
      <w:pPr>
        <w:rPr>
          <w:rFonts w:eastAsia="Arial"/>
          <w:sz w:val="22"/>
          <w:szCs w:val="22"/>
        </w:rPr>
      </w:pPr>
    </w:p>
    <w:p w14:paraId="329B3D75" w14:textId="77777777" w:rsidR="0031624F" w:rsidRPr="005B5BB7" w:rsidRDefault="0031624F" w:rsidP="0031624F">
      <w:pPr>
        <w:rPr>
          <w:sz w:val="22"/>
          <w:szCs w:val="22"/>
          <w:lang w:eastAsia="en-US"/>
        </w:rPr>
      </w:pPr>
      <w:r w:rsidRPr="005B5BB7">
        <w:rPr>
          <w:sz w:val="22"/>
          <w:szCs w:val="22"/>
          <w:lang w:eastAsia="en-US"/>
        </w:rPr>
        <w:t xml:space="preserve">Anti-climb topping for fences, walls, gates and flat </w:t>
      </w:r>
      <w:proofErr w:type="gramStart"/>
      <w:r w:rsidRPr="005B5BB7">
        <w:rPr>
          <w:sz w:val="22"/>
          <w:szCs w:val="22"/>
          <w:lang w:eastAsia="en-US"/>
        </w:rPr>
        <w:t>roofs</w:t>
      </w:r>
      <w:proofErr w:type="gramEnd"/>
      <w:r w:rsidRPr="005B5BB7">
        <w:rPr>
          <w:sz w:val="22"/>
          <w:szCs w:val="22"/>
          <w:lang w:eastAsia="en-US"/>
        </w:rPr>
        <w:t> </w:t>
      </w:r>
    </w:p>
    <w:p w14:paraId="08919097" w14:textId="77777777" w:rsidR="0031624F" w:rsidRPr="005B5BB7" w:rsidRDefault="0031624F" w:rsidP="0031624F">
      <w:pPr>
        <w:rPr>
          <w:sz w:val="22"/>
          <w:szCs w:val="22"/>
          <w:lang w:eastAsia="en-US"/>
        </w:rPr>
      </w:pPr>
      <w:r w:rsidRPr="005B5BB7">
        <w:rPr>
          <w:sz w:val="22"/>
          <w:szCs w:val="22"/>
          <w:lang w:eastAsia="en-US"/>
        </w:rPr>
        <w:t>Security Light</w:t>
      </w:r>
    </w:p>
    <w:p w14:paraId="5364B796" w14:textId="77777777" w:rsidR="0031624F" w:rsidRPr="005B5BB7" w:rsidRDefault="0031624F" w:rsidP="0031624F">
      <w:pPr>
        <w:rPr>
          <w:sz w:val="22"/>
          <w:szCs w:val="22"/>
          <w:lang w:eastAsia="en-US"/>
        </w:rPr>
      </w:pPr>
      <w:r w:rsidRPr="005B5BB7">
        <w:rPr>
          <w:sz w:val="22"/>
          <w:szCs w:val="22"/>
          <w:lang w:eastAsia="en-US"/>
        </w:rPr>
        <w:t>Cutting back hedges/removing branches </w:t>
      </w:r>
    </w:p>
    <w:p w14:paraId="59E3E150" w14:textId="77777777" w:rsidR="0031624F" w:rsidRPr="005B5BB7" w:rsidRDefault="0031624F" w:rsidP="0031624F">
      <w:pPr>
        <w:rPr>
          <w:sz w:val="22"/>
          <w:szCs w:val="22"/>
          <w:lang w:eastAsia="en-US"/>
        </w:rPr>
      </w:pPr>
      <w:r w:rsidRPr="005B5BB7">
        <w:rPr>
          <w:sz w:val="22"/>
          <w:szCs w:val="22"/>
          <w:lang w:eastAsia="en-US"/>
        </w:rPr>
        <w:t>Erecting fences and gates </w:t>
      </w:r>
    </w:p>
    <w:p w14:paraId="1647A284" w14:textId="77777777" w:rsidR="0031624F" w:rsidRPr="005B5BB7" w:rsidRDefault="0031624F" w:rsidP="0031624F">
      <w:pPr>
        <w:rPr>
          <w:sz w:val="22"/>
          <w:szCs w:val="22"/>
          <w:lang w:eastAsia="en-US"/>
        </w:rPr>
      </w:pPr>
      <w:r w:rsidRPr="005B5BB7">
        <w:rPr>
          <w:sz w:val="22"/>
          <w:szCs w:val="22"/>
          <w:lang w:eastAsia="en-US"/>
        </w:rPr>
        <w:t>Securing shared entrances (for </w:t>
      </w:r>
      <w:proofErr w:type="gramStart"/>
      <w:r w:rsidRPr="005B5BB7">
        <w:rPr>
          <w:sz w:val="22"/>
          <w:szCs w:val="22"/>
          <w:lang w:eastAsia="en-US"/>
        </w:rPr>
        <w:t>example;</w:t>
      </w:r>
      <w:proofErr w:type="gramEnd"/>
      <w:r w:rsidRPr="005B5BB7">
        <w:rPr>
          <w:sz w:val="22"/>
          <w:szCs w:val="22"/>
          <w:lang w:eastAsia="en-US"/>
        </w:rPr>
        <w:t> fixing communal doors so that they close automatically) </w:t>
      </w:r>
    </w:p>
    <w:p w14:paraId="55325D5F" w14:textId="77777777" w:rsidR="0031624F" w:rsidRPr="005B5BB7" w:rsidRDefault="0031624F" w:rsidP="00D56EE7">
      <w:pPr>
        <w:pStyle w:val="Heading1"/>
        <w:numPr>
          <w:ilvl w:val="0"/>
          <w:numId w:val="9"/>
        </w:numPr>
        <w:ind w:left="709" w:hanging="360"/>
        <w:rPr>
          <w:b w:val="0"/>
          <w:sz w:val="22"/>
          <w:szCs w:val="20"/>
          <w:lang w:eastAsia="en-US"/>
        </w:rPr>
      </w:pPr>
      <w:bookmarkStart w:id="19" w:name="_Toc64526000"/>
      <w:r w:rsidRPr="005B5BB7">
        <w:rPr>
          <w:sz w:val="22"/>
          <w:szCs w:val="20"/>
          <w:lang w:eastAsia="en-US"/>
        </w:rPr>
        <w:t>Services</w:t>
      </w:r>
      <w:bookmarkEnd w:id="19"/>
    </w:p>
    <w:p w14:paraId="0834E0EE" w14:textId="77777777" w:rsidR="0031624F" w:rsidRPr="005B5BB7" w:rsidRDefault="0031624F" w:rsidP="0031624F">
      <w:pPr>
        <w:ind w:left="420"/>
        <w:rPr>
          <w:sz w:val="22"/>
          <w:szCs w:val="20"/>
          <w:lang w:eastAsia="en-US"/>
        </w:rPr>
      </w:pPr>
    </w:p>
    <w:p w14:paraId="6FA5AEA6" w14:textId="77777777" w:rsidR="0031624F" w:rsidRPr="005B5BB7" w:rsidRDefault="0031624F" w:rsidP="0031624F">
      <w:pPr>
        <w:rPr>
          <w:sz w:val="22"/>
          <w:szCs w:val="20"/>
          <w:lang w:eastAsia="en-US"/>
        </w:rPr>
      </w:pPr>
      <w:r w:rsidRPr="005B5BB7">
        <w:rPr>
          <w:sz w:val="22"/>
          <w:szCs w:val="20"/>
          <w:lang w:eastAsia="en-US"/>
        </w:rPr>
        <w:t xml:space="preserve">An overall target of 60 households receiving security installations will be agreed. However, this may be subject to change as more or fewer installations are required. </w:t>
      </w:r>
    </w:p>
    <w:p w14:paraId="422A0C3E" w14:textId="77777777" w:rsidR="0031624F" w:rsidRPr="005B5BB7" w:rsidRDefault="0031624F" w:rsidP="00D56EE7">
      <w:pPr>
        <w:pStyle w:val="Heading1"/>
        <w:numPr>
          <w:ilvl w:val="0"/>
          <w:numId w:val="9"/>
        </w:numPr>
        <w:ind w:left="709" w:hanging="360"/>
        <w:rPr>
          <w:b w:val="0"/>
          <w:sz w:val="22"/>
          <w:szCs w:val="20"/>
          <w:lang w:eastAsia="en-US"/>
        </w:rPr>
      </w:pPr>
      <w:bookmarkStart w:id="20" w:name="_Toc64526001"/>
      <w:r w:rsidRPr="005B5BB7">
        <w:rPr>
          <w:sz w:val="22"/>
          <w:szCs w:val="20"/>
          <w:lang w:eastAsia="en-US"/>
        </w:rPr>
        <w:t>Period of the Agreement</w:t>
      </w:r>
      <w:bookmarkEnd w:id="20"/>
    </w:p>
    <w:p w14:paraId="62247CC4" w14:textId="77777777" w:rsidR="0031624F" w:rsidRPr="005B5BB7" w:rsidRDefault="0031624F" w:rsidP="0031624F">
      <w:pPr>
        <w:ind w:left="426" w:hanging="6"/>
        <w:rPr>
          <w:sz w:val="22"/>
          <w:szCs w:val="20"/>
          <w:lang w:eastAsia="en-US"/>
        </w:rPr>
      </w:pPr>
    </w:p>
    <w:p w14:paraId="2CD347AB" w14:textId="77777777" w:rsidR="0031624F" w:rsidRPr="005B5BB7" w:rsidRDefault="0031624F" w:rsidP="0031624F">
      <w:pPr>
        <w:rPr>
          <w:sz w:val="22"/>
          <w:szCs w:val="20"/>
          <w:lang w:eastAsia="en-US"/>
        </w:rPr>
      </w:pPr>
      <w:r w:rsidRPr="005B5BB7">
        <w:rPr>
          <w:sz w:val="22"/>
          <w:szCs w:val="20"/>
          <w:lang w:eastAsia="en-US"/>
        </w:rPr>
        <w:t xml:space="preserve">The agreement will be in place for two years subject to performance. Tower Hamlets may, at its absolute discretion, </w:t>
      </w:r>
      <w:proofErr w:type="gramStart"/>
      <w:r w:rsidRPr="005B5BB7">
        <w:rPr>
          <w:sz w:val="22"/>
          <w:szCs w:val="20"/>
          <w:lang w:eastAsia="en-US"/>
        </w:rPr>
        <w:t>enter into</w:t>
      </w:r>
      <w:proofErr w:type="gramEnd"/>
      <w:r w:rsidRPr="005B5BB7">
        <w:rPr>
          <w:sz w:val="22"/>
          <w:szCs w:val="20"/>
          <w:lang w:eastAsia="en-US"/>
        </w:rPr>
        <w:t xml:space="preserve"> arrangements with third party providers to provide the services or any services connected with the agreement.</w:t>
      </w:r>
    </w:p>
    <w:p w14:paraId="40712424" w14:textId="77777777" w:rsidR="0031624F" w:rsidRPr="005B5BB7" w:rsidRDefault="0031624F" w:rsidP="0031624F">
      <w:pPr>
        <w:rPr>
          <w:sz w:val="22"/>
          <w:szCs w:val="20"/>
          <w:lang w:eastAsia="en-US"/>
        </w:rPr>
      </w:pPr>
    </w:p>
    <w:p w14:paraId="4F845BAF" w14:textId="77777777" w:rsidR="0031624F" w:rsidRPr="005B5BB7" w:rsidRDefault="0031624F" w:rsidP="0031624F">
      <w:pPr>
        <w:rPr>
          <w:sz w:val="22"/>
          <w:szCs w:val="20"/>
          <w:lang w:eastAsia="en-US"/>
        </w:rPr>
      </w:pPr>
    </w:p>
    <w:p w14:paraId="23BE23EA" w14:textId="77777777" w:rsidR="0031624F" w:rsidRPr="005B5BB7" w:rsidRDefault="0031624F" w:rsidP="0031624F">
      <w:pPr>
        <w:rPr>
          <w:sz w:val="22"/>
          <w:szCs w:val="20"/>
          <w:lang w:eastAsia="en-US"/>
        </w:rPr>
      </w:pPr>
    </w:p>
    <w:p w14:paraId="50748B98" w14:textId="77777777" w:rsidR="0031624F" w:rsidRPr="005B5BB7" w:rsidRDefault="0031624F" w:rsidP="00D56EE7">
      <w:pPr>
        <w:pStyle w:val="Heading1"/>
        <w:numPr>
          <w:ilvl w:val="0"/>
          <w:numId w:val="9"/>
        </w:numPr>
        <w:ind w:left="709" w:hanging="360"/>
        <w:rPr>
          <w:b w:val="0"/>
          <w:sz w:val="22"/>
          <w:szCs w:val="20"/>
          <w:lang w:eastAsia="en-US"/>
        </w:rPr>
      </w:pPr>
      <w:bookmarkStart w:id="21" w:name="_Toc64526002"/>
      <w:r w:rsidRPr="005B5BB7">
        <w:rPr>
          <w:sz w:val="22"/>
          <w:szCs w:val="20"/>
          <w:lang w:eastAsia="en-US"/>
        </w:rPr>
        <w:t>Monitoring Performance</w:t>
      </w:r>
      <w:bookmarkEnd w:id="21"/>
    </w:p>
    <w:p w14:paraId="221C19EA" w14:textId="77777777" w:rsidR="0031624F" w:rsidRPr="005B5BB7" w:rsidRDefault="0031624F" w:rsidP="0031624F">
      <w:pPr>
        <w:ind w:left="426"/>
        <w:rPr>
          <w:b/>
          <w:sz w:val="22"/>
          <w:szCs w:val="20"/>
          <w:lang w:eastAsia="en-US"/>
        </w:rPr>
      </w:pPr>
    </w:p>
    <w:p w14:paraId="2B1AFBBA" w14:textId="77777777" w:rsidR="0031624F" w:rsidRPr="005B5BB7" w:rsidRDefault="0031624F" w:rsidP="0031624F">
      <w:pPr>
        <w:jc w:val="both"/>
        <w:rPr>
          <w:b/>
        </w:rPr>
      </w:pPr>
      <w:r w:rsidRPr="005B5BB7">
        <w:rPr>
          <w:b/>
        </w:rPr>
        <w:t xml:space="preserve">Performance management, </w:t>
      </w:r>
      <w:proofErr w:type="gramStart"/>
      <w:r w:rsidRPr="005B5BB7">
        <w:rPr>
          <w:b/>
        </w:rPr>
        <w:t>monitoring</w:t>
      </w:r>
      <w:proofErr w:type="gramEnd"/>
      <w:r w:rsidRPr="005B5BB7">
        <w:rPr>
          <w:b/>
        </w:rPr>
        <w:t xml:space="preserve"> and review </w:t>
      </w:r>
    </w:p>
    <w:p w14:paraId="4537E09E" w14:textId="77777777" w:rsidR="0031624F" w:rsidRPr="005B5BB7" w:rsidRDefault="0031624F" w:rsidP="0031624F">
      <w:pPr>
        <w:jc w:val="both"/>
        <w:rPr>
          <w:b/>
        </w:rPr>
      </w:pPr>
    </w:p>
    <w:p w14:paraId="0BB0E345" w14:textId="77777777" w:rsidR="0031624F" w:rsidRPr="005B5BB7" w:rsidRDefault="0031624F" w:rsidP="0031624F">
      <w:pPr>
        <w:jc w:val="both"/>
      </w:pPr>
      <w:r w:rsidRPr="005B5BB7">
        <w:t>The London borough of Tower Hamlets will monitor the performance of the contract through quarterly reports and meetings, feedback from service users and evaluation of the Contractors performance against agreed performance indicators (PI’s).</w:t>
      </w:r>
    </w:p>
    <w:p w14:paraId="1C0B87B0" w14:textId="77777777" w:rsidR="0031624F" w:rsidRPr="005B5BB7" w:rsidRDefault="0031624F" w:rsidP="0031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060"/>
        <w:gridCol w:w="2654"/>
      </w:tblGrid>
      <w:tr w:rsidR="0031624F" w:rsidRPr="005B5BB7" w14:paraId="453D05F0" w14:textId="77777777" w:rsidTr="00231100">
        <w:trPr>
          <w:tblHeader/>
        </w:trPr>
        <w:tc>
          <w:tcPr>
            <w:tcW w:w="2808" w:type="dxa"/>
          </w:tcPr>
          <w:p w14:paraId="01613891" w14:textId="77777777" w:rsidR="0031624F" w:rsidRPr="005B5BB7" w:rsidRDefault="0031624F" w:rsidP="00231100">
            <w:pPr>
              <w:overflowPunct w:val="0"/>
              <w:autoSpaceDE w:val="0"/>
              <w:autoSpaceDN w:val="0"/>
              <w:adjustRightInd w:val="0"/>
              <w:jc w:val="both"/>
              <w:textAlignment w:val="baseline"/>
              <w:rPr>
                <w:b/>
                <w:bCs/>
                <w:lang w:eastAsia="en-US"/>
              </w:rPr>
            </w:pPr>
            <w:r w:rsidRPr="005B5BB7">
              <w:rPr>
                <w:b/>
                <w:bCs/>
                <w:lang w:eastAsia="en-US"/>
              </w:rPr>
              <w:t>Indicator</w:t>
            </w:r>
          </w:p>
        </w:tc>
        <w:tc>
          <w:tcPr>
            <w:tcW w:w="3060" w:type="dxa"/>
          </w:tcPr>
          <w:p w14:paraId="09C3CD0C" w14:textId="77777777" w:rsidR="0031624F" w:rsidRPr="005B5BB7" w:rsidRDefault="0031624F" w:rsidP="00231100">
            <w:pPr>
              <w:overflowPunct w:val="0"/>
              <w:autoSpaceDE w:val="0"/>
              <w:autoSpaceDN w:val="0"/>
              <w:adjustRightInd w:val="0"/>
              <w:jc w:val="both"/>
              <w:textAlignment w:val="baseline"/>
              <w:rPr>
                <w:b/>
                <w:bCs/>
                <w:lang w:eastAsia="en-US"/>
              </w:rPr>
            </w:pPr>
            <w:r w:rsidRPr="005B5BB7">
              <w:rPr>
                <w:b/>
                <w:bCs/>
                <w:lang w:eastAsia="en-US"/>
              </w:rPr>
              <w:t>Measure</w:t>
            </w:r>
          </w:p>
        </w:tc>
        <w:tc>
          <w:tcPr>
            <w:tcW w:w="2654" w:type="dxa"/>
          </w:tcPr>
          <w:p w14:paraId="379E0BF2" w14:textId="77777777" w:rsidR="0031624F" w:rsidRPr="005B5BB7" w:rsidRDefault="0031624F" w:rsidP="00231100">
            <w:pPr>
              <w:overflowPunct w:val="0"/>
              <w:autoSpaceDE w:val="0"/>
              <w:autoSpaceDN w:val="0"/>
              <w:adjustRightInd w:val="0"/>
              <w:ind w:left="18"/>
              <w:textAlignment w:val="baseline"/>
              <w:rPr>
                <w:b/>
                <w:bCs/>
                <w:lang w:eastAsia="en-US"/>
              </w:rPr>
            </w:pPr>
            <w:r w:rsidRPr="005B5BB7">
              <w:rPr>
                <w:b/>
                <w:bCs/>
                <w:lang w:eastAsia="en-US"/>
              </w:rPr>
              <w:t>Evidence</w:t>
            </w:r>
          </w:p>
        </w:tc>
      </w:tr>
      <w:tr w:rsidR="0031624F" w:rsidRPr="005B5BB7" w14:paraId="2DC06B82" w14:textId="77777777" w:rsidTr="00231100">
        <w:tc>
          <w:tcPr>
            <w:tcW w:w="2808" w:type="dxa"/>
          </w:tcPr>
          <w:p w14:paraId="5119A134"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Referrals</w:t>
            </w:r>
          </w:p>
        </w:tc>
        <w:tc>
          <w:tcPr>
            <w:tcW w:w="3060" w:type="dxa"/>
          </w:tcPr>
          <w:p w14:paraId="5F4A19A3"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Number of referrals received and referral sources </w:t>
            </w:r>
          </w:p>
        </w:tc>
        <w:tc>
          <w:tcPr>
            <w:tcW w:w="2654" w:type="dxa"/>
          </w:tcPr>
          <w:p w14:paraId="38C66293" w14:textId="77777777" w:rsidR="0031624F" w:rsidRPr="005B5BB7" w:rsidRDefault="0031624F" w:rsidP="00231100">
            <w:pPr>
              <w:overflowPunct w:val="0"/>
              <w:autoSpaceDE w:val="0"/>
              <w:autoSpaceDN w:val="0"/>
              <w:adjustRightInd w:val="0"/>
              <w:ind w:left="18"/>
              <w:textAlignment w:val="baseline"/>
              <w:rPr>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tc>
      </w:tr>
      <w:tr w:rsidR="0031624F" w:rsidRPr="005B5BB7" w14:paraId="3150B30D" w14:textId="77777777" w:rsidTr="00231100">
        <w:tc>
          <w:tcPr>
            <w:tcW w:w="2808" w:type="dxa"/>
          </w:tcPr>
          <w:p w14:paraId="49E9265A"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Clients successfully contacted by service </w:t>
            </w:r>
          </w:p>
        </w:tc>
        <w:tc>
          <w:tcPr>
            <w:tcW w:w="3060" w:type="dxa"/>
          </w:tcPr>
          <w:p w14:paraId="10713984"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of clients contacted within 24 hours</w:t>
            </w:r>
          </w:p>
          <w:p w14:paraId="62B8493A" w14:textId="77777777" w:rsidR="0031624F" w:rsidRPr="005B5BB7" w:rsidRDefault="0031624F" w:rsidP="00231100">
            <w:pPr>
              <w:overflowPunct w:val="0"/>
              <w:autoSpaceDE w:val="0"/>
              <w:autoSpaceDN w:val="0"/>
              <w:adjustRightInd w:val="0"/>
              <w:textAlignment w:val="baseline"/>
              <w:rPr>
                <w:color w:val="FF0000"/>
                <w:lang w:eastAsia="en-US"/>
              </w:rPr>
            </w:pPr>
            <w:r w:rsidRPr="005B5BB7">
              <w:rPr>
                <w:lang w:eastAsia="en-US"/>
              </w:rPr>
              <w:t>% of clients the service was able to successfully contact</w:t>
            </w:r>
            <w:r w:rsidRPr="005B5BB7">
              <w:rPr>
                <w:color w:val="FF0000"/>
                <w:lang w:eastAsia="en-US"/>
              </w:rPr>
              <w:t xml:space="preserve"> </w:t>
            </w:r>
          </w:p>
        </w:tc>
        <w:tc>
          <w:tcPr>
            <w:tcW w:w="2654" w:type="dxa"/>
          </w:tcPr>
          <w:p w14:paraId="52DE32D3" w14:textId="77777777" w:rsidR="0031624F" w:rsidRPr="005B5BB7" w:rsidRDefault="0031624F" w:rsidP="00231100">
            <w:pPr>
              <w:overflowPunct w:val="0"/>
              <w:autoSpaceDE w:val="0"/>
              <w:autoSpaceDN w:val="0"/>
              <w:adjustRightInd w:val="0"/>
              <w:ind w:left="18"/>
              <w:textAlignment w:val="baseline"/>
              <w:rPr>
                <w:color w:val="FF0000"/>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tc>
      </w:tr>
      <w:tr w:rsidR="0031624F" w:rsidRPr="005B5BB7" w14:paraId="08D261B5" w14:textId="77777777" w:rsidTr="00231100">
        <w:tc>
          <w:tcPr>
            <w:tcW w:w="2808" w:type="dxa"/>
          </w:tcPr>
          <w:p w14:paraId="7FF1D0DC"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Clients engaging with service </w:t>
            </w:r>
          </w:p>
        </w:tc>
        <w:tc>
          <w:tcPr>
            <w:tcW w:w="3060" w:type="dxa"/>
          </w:tcPr>
          <w:p w14:paraId="7AE691A3"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of clients taking up the service when offered</w:t>
            </w:r>
          </w:p>
          <w:p w14:paraId="7A6E1505"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Reasons for no take up of service when offered </w:t>
            </w:r>
          </w:p>
        </w:tc>
        <w:tc>
          <w:tcPr>
            <w:tcW w:w="2654" w:type="dxa"/>
          </w:tcPr>
          <w:p w14:paraId="6C2955ED" w14:textId="77777777" w:rsidR="0031624F" w:rsidRPr="005B5BB7" w:rsidRDefault="0031624F" w:rsidP="00231100">
            <w:pPr>
              <w:overflowPunct w:val="0"/>
              <w:autoSpaceDE w:val="0"/>
              <w:autoSpaceDN w:val="0"/>
              <w:adjustRightInd w:val="0"/>
              <w:ind w:left="18"/>
              <w:textAlignment w:val="baseline"/>
              <w:rPr>
                <w:color w:val="FF0000"/>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tc>
      </w:tr>
      <w:tr w:rsidR="0031624F" w:rsidRPr="005B5BB7" w14:paraId="481EEC0E" w14:textId="77777777" w:rsidTr="00231100">
        <w:tc>
          <w:tcPr>
            <w:tcW w:w="2808" w:type="dxa"/>
          </w:tcPr>
          <w:p w14:paraId="09FB12EE"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Level of contact with clients </w:t>
            </w:r>
          </w:p>
        </w:tc>
        <w:tc>
          <w:tcPr>
            <w:tcW w:w="3060" w:type="dxa"/>
          </w:tcPr>
          <w:p w14:paraId="0011F474"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Level and numbers of contacts with victims taking up service (telephone, face to face, letter, other)</w:t>
            </w:r>
          </w:p>
        </w:tc>
        <w:tc>
          <w:tcPr>
            <w:tcW w:w="2654" w:type="dxa"/>
          </w:tcPr>
          <w:p w14:paraId="4BDBBE43" w14:textId="77777777" w:rsidR="0031624F" w:rsidRPr="005B5BB7" w:rsidRDefault="0031624F" w:rsidP="00231100">
            <w:pPr>
              <w:overflowPunct w:val="0"/>
              <w:autoSpaceDE w:val="0"/>
              <w:autoSpaceDN w:val="0"/>
              <w:adjustRightInd w:val="0"/>
              <w:ind w:left="18"/>
              <w:textAlignment w:val="baseline"/>
              <w:rPr>
                <w:color w:val="FF0000"/>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tc>
      </w:tr>
      <w:tr w:rsidR="0031624F" w:rsidRPr="005B5BB7" w14:paraId="1C800D62" w14:textId="77777777" w:rsidTr="00231100">
        <w:tc>
          <w:tcPr>
            <w:tcW w:w="2808" w:type="dxa"/>
          </w:tcPr>
          <w:p w14:paraId="6552A2C9"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Victim demographics  </w:t>
            </w:r>
          </w:p>
        </w:tc>
        <w:tc>
          <w:tcPr>
            <w:tcW w:w="3060" w:type="dxa"/>
          </w:tcPr>
          <w:p w14:paraId="2E3BE0B9"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Age, sex, ethnicity, faith, disability, </w:t>
            </w:r>
            <w:proofErr w:type="gramStart"/>
            <w:r w:rsidRPr="005B5BB7">
              <w:rPr>
                <w:lang w:eastAsia="en-US"/>
              </w:rPr>
              <w:t>sexuality</w:t>
            </w:r>
            <w:proofErr w:type="gramEnd"/>
            <w:r w:rsidRPr="005B5BB7">
              <w:rPr>
                <w:lang w:eastAsia="en-US"/>
              </w:rPr>
              <w:t xml:space="preserve"> and language support needs of those taking up the service</w:t>
            </w:r>
          </w:p>
        </w:tc>
        <w:tc>
          <w:tcPr>
            <w:tcW w:w="2654" w:type="dxa"/>
          </w:tcPr>
          <w:p w14:paraId="4A28DBAB" w14:textId="77777777" w:rsidR="0031624F" w:rsidRPr="005B5BB7" w:rsidRDefault="0031624F" w:rsidP="00231100">
            <w:pPr>
              <w:overflowPunct w:val="0"/>
              <w:autoSpaceDE w:val="0"/>
              <w:autoSpaceDN w:val="0"/>
              <w:adjustRightInd w:val="0"/>
              <w:ind w:left="18"/>
              <w:textAlignment w:val="baseline"/>
              <w:rPr>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tc>
      </w:tr>
      <w:tr w:rsidR="0031624F" w:rsidRPr="005B5BB7" w14:paraId="19483C4F" w14:textId="77777777" w:rsidTr="00231100">
        <w:tc>
          <w:tcPr>
            <w:tcW w:w="2808" w:type="dxa"/>
          </w:tcPr>
          <w:p w14:paraId="778E2F68"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Clients with children in household </w:t>
            </w:r>
          </w:p>
        </w:tc>
        <w:tc>
          <w:tcPr>
            <w:tcW w:w="3060" w:type="dxa"/>
          </w:tcPr>
          <w:p w14:paraId="24BD9B93"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Number of clients with children living in household and total number of children   </w:t>
            </w:r>
          </w:p>
        </w:tc>
        <w:tc>
          <w:tcPr>
            <w:tcW w:w="2654" w:type="dxa"/>
          </w:tcPr>
          <w:p w14:paraId="1906145F" w14:textId="77777777" w:rsidR="0031624F" w:rsidRPr="005B5BB7" w:rsidRDefault="0031624F" w:rsidP="00231100">
            <w:pPr>
              <w:overflowPunct w:val="0"/>
              <w:autoSpaceDE w:val="0"/>
              <w:autoSpaceDN w:val="0"/>
              <w:adjustRightInd w:val="0"/>
              <w:ind w:left="18"/>
              <w:textAlignment w:val="baseline"/>
              <w:rPr>
                <w:color w:val="FF0000"/>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tc>
      </w:tr>
      <w:tr w:rsidR="0031624F" w:rsidRPr="005B5BB7" w14:paraId="3EF3BB24" w14:textId="77777777" w:rsidTr="00231100">
        <w:tc>
          <w:tcPr>
            <w:tcW w:w="2808" w:type="dxa"/>
          </w:tcPr>
          <w:p w14:paraId="033E543B"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Safety outcomes for clients at point of case closure </w:t>
            </w:r>
          </w:p>
          <w:p w14:paraId="09321163" w14:textId="77777777" w:rsidR="0031624F" w:rsidRPr="005B5BB7" w:rsidRDefault="0031624F" w:rsidP="00231100">
            <w:pPr>
              <w:overflowPunct w:val="0"/>
              <w:autoSpaceDE w:val="0"/>
              <w:autoSpaceDN w:val="0"/>
              <w:adjustRightInd w:val="0"/>
              <w:textAlignment w:val="baseline"/>
              <w:rPr>
                <w:lang w:eastAsia="en-US"/>
              </w:rPr>
            </w:pPr>
          </w:p>
          <w:p w14:paraId="60D1AE0D" w14:textId="77777777" w:rsidR="0031624F" w:rsidRPr="005B5BB7" w:rsidRDefault="0031624F" w:rsidP="00231100">
            <w:pPr>
              <w:overflowPunct w:val="0"/>
              <w:autoSpaceDE w:val="0"/>
              <w:autoSpaceDN w:val="0"/>
              <w:adjustRightInd w:val="0"/>
              <w:textAlignment w:val="baseline"/>
              <w:rPr>
                <w:lang w:eastAsia="en-US"/>
              </w:rPr>
            </w:pPr>
          </w:p>
        </w:tc>
        <w:tc>
          <w:tcPr>
            <w:tcW w:w="3060" w:type="dxa"/>
          </w:tcPr>
          <w:p w14:paraId="670F0433"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Evidence of how the installation has made the client </w:t>
            </w:r>
            <w:proofErr w:type="gramStart"/>
            <w:r w:rsidRPr="005B5BB7">
              <w:rPr>
                <w:lang w:eastAsia="en-US"/>
              </w:rPr>
              <w:t>safer</w:t>
            </w:r>
            <w:proofErr w:type="gramEnd"/>
          </w:p>
          <w:p w14:paraId="46210121" w14:textId="77777777" w:rsidR="0031624F" w:rsidRPr="005B5BB7" w:rsidRDefault="0031624F" w:rsidP="00231100">
            <w:pPr>
              <w:overflowPunct w:val="0"/>
              <w:autoSpaceDE w:val="0"/>
              <w:autoSpaceDN w:val="0"/>
              <w:adjustRightInd w:val="0"/>
              <w:textAlignment w:val="baseline"/>
              <w:rPr>
                <w:lang w:eastAsia="en-US"/>
              </w:rPr>
            </w:pPr>
          </w:p>
        </w:tc>
        <w:tc>
          <w:tcPr>
            <w:tcW w:w="2654" w:type="dxa"/>
          </w:tcPr>
          <w:p w14:paraId="7B351857" w14:textId="77777777" w:rsidR="0031624F" w:rsidRPr="005B5BB7" w:rsidRDefault="0031624F" w:rsidP="00231100">
            <w:pPr>
              <w:overflowPunct w:val="0"/>
              <w:autoSpaceDE w:val="0"/>
              <w:autoSpaceDN w:val="0"/>
              <w:adjustRightInd w:val="0"/>
              <w:ind w:left="18"/>
              <w:textAlignment w:val="baseline"/>
              <w:rPr>
                <w:color w:val="FF0000"/>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tc>
      </w:tr>
      <w:tr w:rsidR="0031624F" w:rsidRPr="005B5BB7" w14:paraId="52C0D1B5" w14:textId="77777777" w:rsidTr="00231100">
        <w:tc>
          <w:tcPr>
            <w:tcW w:w="2808" w:type="dxa"/>
          </w:tcPr>
          <w:p w14:paraId="275F1F88"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lastRenderedPageBreak/>
              <w:t xml:space="preserve">Complaints and incidents </w:t>
            </w:r>
          </w:p>
        </w:tc>
        <w:tc>
          <w:tcPr>
            <w:tcW w:w="3060" w:type="dxa"/>
          </w:tcPr>
          <w:p w14:paraId="07497AE1"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Number received and number resolved in accordance with complaints procedure and notifiable incidents procedure </w:t>
            </w:r>
          </w:p>
        </w:tc>
        <w:tc>
          <w:tcPr>
            <w:tcW w:w="2654" w:type="dxa"/>
          </w:tcPr>
          <w:p w14:paraId="28FBAE61" w14:textId="77777777" w:rsidR="0031624F" w:rsidRPr="005B5BB7" w:rsidRDefault="0031624F" w:rsidP="00231100">
            <w:pPr>
              <w:overflowPunct w:val="0"/>
              <w:autoSpaceDE w:val="0"/>
              <w:autoSpaceDN w:val="0"/>
              <w:adjustRightInd w:val="0"/>
              <w:ind w:left="18"/>
              <w:textAlignment w:val="baseline"/>
              <w:rPr>
                <w:lang w:eastAsia="en-US"/>
              </w:rPr>
            </w:pPr>
            <w:r w:rsidRPr="005B5BB7">
              <w:rPr>
                <w:lang w:eastAsia="en-US"/>
              </w:rPr>
              <w:t xml:space="preserve">Monitoring, </w:t>
            </w:r>
            <w:proofErr w:type="gramStart"/>
            <w:r w:rsidRPr="005B5BB7">
              <w:rPr>
                <w:lang w:eastAsia="en-US"/>
              </w:rPr>
              <w:t>meeting</w:t>
            </w:r>
            <w:proofErr w:type="gramEnd"/>
            <w:r w:rsidRPr="005B5BB7">
              <w:rPr>
                <w:lang w:eastAsia="en-US"/>
              </w:rPr>
              <w:t xml:space="preserve"> and reports</w:t>
            </w:r>
          </w:p>
          <w:p w14:paraId="5A5D9242" w14:textId="77777777" w:rsidR="0031624F" w:rsidRPr="005B5BB7" w:rsidRDefault="0031624F" w:rsidP="00231100">
            <w:pPr>
              <w:overflowPunct w:val="0"/>
              <w:autoSpaceDE w:val="0"/>
              <w:autoSpaceDN w:val="0"/>
              <w:adjustRightInd w:val="0"/>
              <w:ind w:left="18"/>
              <w:textAlignment w:val="baseline"/>
              <w:rPr>
                <w:lang w:eastAsia="en-US"/>
              </w:rPr>
            </w:pPr>
          </w:p>
        </w:tc>
      </w:tr>
      <w:tr w:rsidR="0031624F" w:rsidRPr="005B5BB7" w14:paraId="425AED25" w14:textId="77777777" w:rsidTr="00231100">
        <w:tc>
          <w:tcPr>
            <w:tcW w:w="2808" w:type="dxa"/>
          </w:tcPr>
          <w:p w14:paraId="4A39DD87"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Staffing arrangements </w:t>
            </w:r>
          </w:p>
        </w:tc>
        <w:tc>
          <w:tcPr>
            <w:tcW w:w="3060" w:type="dxa"/>
          </w:tcPr>
          <w:p w14:paraId="28F4568A"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Evidence of staff having received VAWG </w:t>
            </w:r>
            <w:proofErr w:type="gramStart"/>
            <w:r w:rsidRPr="005B5BB7">
              <w:rPr>
                <w:lang w:eastAsia="en-US"/>
              </w:rPr>
              <w:t>training</w:t>
            </w:r>
            <w:proofErr w:type="gramEnd"/>
          </w:p>
          <w:p w14:paraId="40A8C573"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Record of staff employed to deliver the service, with any changes </w:t>
            </w:r>
          </w:p>
        </w:tc>
        <w:tc>
          <w:tcPr>
            <w:tcW w:w="2654" w:type="dxa"/>
          </w:tcPr>
          <w:p w14:paraId="25AB9409" w14:textId="77777777" w:rsidR="0031624F" w:rsidRPr="005B5BB7" w:rsidRDefault="0031624F" w:rsidP="00231100">
            <w:pPr>
              <w:overflowPunct w:val="0"/>
              <w:autoSpaceDE w:val="0"/>
              <w:autoSpaceDN w:val="0"/>
              <w:adjustRightInd w:val="0"/>
              <w:ind w:left="18"/>
              <w:textAlignment w:val="baseline"/>
              <w:rPr>
                <w:lang w:eastAsia="en-US"/>
              </w:rPr>
            </w:pPr>
            <w:r w:rsidRPr="005B5BB7">
              <w:rPr>
                <w:lang w:eastAsia="en-US"/>
              </w:rPr>
              <w:t xml:space="preserve">Record of training completed by each advocate, Monitoring, </w:t>
            </w:r>
            <w:proofErr w:type="gramStart"/>
            <w:r w:rsidRPr="005B5BB7">
              <w:rPr>
                <w:lang w:eastAsia="en-US"/>
              </w:rPr>
              <w:t>meeting</w:t>
            </w:r>
            <w:proofErr w:type="gramEnd"/>
            <w:r w:rsidRPr="005B5BB7">
              <w:rPr>
                <w:lang w:eastAsia="en-US"/>
              </w:rPr>
              <w:t xml:space="preserve"> and reports  </w:t>
            </w:r>
          </w:p>
        </w:tc>
      </w:tr>
      <w:tr w:rsidR="0031624F" w:rsidRPr="005B5BB7" w14:paraId="4F45D52E" w14:textId="77777777" w:rsidTr="00231100">
        <w:tc>
          <w:tcPr>
            <w:tcW w:w="2808" w:type="dxa"/>
          </w:tcPr>
          <w:p w14:paraId="3548700C"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Client satisfaction with the service </w:t>
            </w:r>
          </w:p>
        </w:tc>
        <w:tc>
          <w:tcPr>
            <w:tcW w:w="3060" w:type="dxa"/>
          </w:tcPr>
          <w:p w14:paraId="36FF3A67"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 of clients offered opportunity to feedback </w:t>
            </w:r>
          </w:p>
          <w:p w14:paraId="7870442D"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No of Feedback forms completed with </w:t>
            </w:r>
            <w:proofErr w:type="gramStart"/>
            <w:r w:rsidRPr="005B5BB7">
              <w:rPr>
                <w:lang w:eastAsia="en-US"/>
              </w:rPr>
              <w:t>clients</w:t>
            </w:r>
            <w:proofErr w:type="gramEnd"/>
            <w:r w:rsidRPr="005B5BB7">
              <w:rPr>
                <w:lang w:eastAsia="en-US"/>
              </w:rPr>
              <w:t xml:space="preserve"> </w:t>
            </w:r>
          </w:p>
          <w:p w14:paraId="05F46C7C" w14:textId="77777777" w:rsidR="0031624F" w:rsidRPr="005B5BB7" w:rsidRDefault="0031624F" w:rsidP="00231100">
            <w:pPr>
              <w:overflowPunct w:val="0"/>
              <w:autoSpaceDE w:val="0"/>
              <w:autoSpaceDN w:val="0"/>
              <w:adjustRightInd w:val="0"/>
              <w:textAlignment w:val="baseline"/>
              <w:rPr>
                <w:lang w:eastAsia="en-US"/>
              </w:rPr>
            </w:pPr>
            <w:r w:rsidRPr="005B5BB7">
              <w:rPr>
                <w:lang w:eastAsia="en-US"/>
              </w:rPr>
              <w:t xml:space="preserve">% of clients providing </w:t>
            </w:r>
            <w:proofErr w:type="gramStart"/>
            <w:r w:rsidRPr="005B5BB7">
              <w:rPr>
                <w:lang w:eastAsia="en-US"/>
              </w:rPr>
              <w:t>feedback  reporting</w:t>
            </w:r>
            <w:proofErr w:type="gramEnd"/>
            <w:r w:rsidRPr="005B5BB7">
              <w:rPr>
                <w:lang w:eastAsia="en-US"/>
              </w:rPr>
              <w:t xml:space="preserve"> satisfied or very satisfied with service </w:t>
            </w:r>
          </w:p>
        </w:tc>
        <w:tc>
          <w:tcPr>
            <w:tcW w:w="2654" w:type="dxa"/>
          </w:tcPr>
          <w:p w14:paraId="0CF28786" w14:textId="77777777" w:rsidR="0031624F" w:rsidRPr="005B5BB7" w:rsidRDefault="0031624F" w:rsidP="00231100">
            <w:pPr>
              <w:overflowPunct w:val="0"/>
              <w:autoSpaceDE w:val="0"/>
              <w:autoSpaceDN w:val="0"/>
              <w:adjustRightInd w:val="0"/>
              <w:ind w:left="18"/>
              <w:textAlignment w:val="baseline"/>
              <w:rPr>
                <w:lang w:eastAsia="en-US"/>
              </w:rPr>
            </w:pPr>
            <w:r w:rsidRPr="005B5BB7">
              <w:rPr>
                <w:lang w:eastAsia="en-US"/>
              </w:rPr>
              <w:t xml:space="preserve">Report showing analysis of feedback obtained from service users with an action plan showing How any issues raised will be addressed </w:t>
            </w:r>
          </w:p>
        </w:tc>
      </w:tr>
    </w:tbl>
    <w:p w14:paraId="451013B6" w14:textId="77777777" w:rsidR="0031624F" w:rsidRPr="005B5BB7" w:rsidRDefault="0031624F" w:rsidP="0031624F"/>
    <w:p w14:paraId="14D10A55" w14:textId="77777777" w:rsidR="0031624F" w:rsidRPr="005B5BB7" w:rsidRDefault="0031624F" w:rsidP="0031624F">
      <w:pPr>
        <w:jc w:val="both"/>
        <w:rPr>
          <w:color w:val="3366FF"/>
        </w:rPr>
      </w:pPr>
      <w:r w:rsidRPr="005B5BB7">
        <w:t>These Performance Indicators will be reviewed at each quarterly meeting with the LBTH Senior VAWG &amp; Hate Crime Manager. Any proposed changes and/or additions to the schedule of PI’s will be agreed at the quarterly meeting between both parties.</w:t>
      </w:r>
    </w:p>
    <w:p w14:paraId="5AA94EE7" w14:textId="77777777" w:rsidR="007554A4" w:rsidRDefault="007554A4" w:rsidP="0031624F">
      <w:pPr>
        <w:rPr>
          <w:b/>
          <w:color w:val="8496B0" w:themeColor="text2" w:themeTint="99"/>
          <w:sz w:val="48"/>
          <w:szCs w:val="48"/>
        </w:rPr>
      </w:pPr>
    </w:p>
    <w:sectPr w:rsidR="007554A4" w:rsidSect="0031624F">
      <w:headerReference w:type="firs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FB93" w14:textId="77777777" w:rsidR="003029A1" w:rsidRDefault="003029A1" w:rsidP="00101F8B">
      <w:r>
        <w:separator/>
      </w:r>
    </w:p>
    <w:p w14:paraId="4A9DF378" w14:textId="77777777" w:rsidR="003029A1" w:rsidRDefault="003029A1" w:rsidP="00101F8B"/>
    <w:p w14:paraId="28921DDC" w14:textId="77777777" w:rsidR="003029A1" w:rsidRDefault="003029A1" w:rsidP="00101F8B"/>
    <w:p w14:paraId="08903D8B" w14:textId="77777777" w:rsidR="003029A1" w:rsidRDefault="003029A1" w:rsidP="00101F8B"/>
    <w:p w14:paraId="2095AEF3" w14:textId="77777777" w:rsidR="003029A1" w:rsidRDefault="003029A1" w:rsidP="00101F8B"/>
    <w:p w14:paraId="2965759F" w14:textId="77777777" w:rsidR="003029A1" w:rsidRDefault="003029A1" w:rsidP="00101F8B"/>
  </w:endnote>
  <w:endnote w:type="continuationSeparator" w:id="0">
    <w:p w14:paraId="1B8AC2FE" w14:textId="77777777" w:rsidR="003029A1" w:rsidRDefault="003029A1" w:rsidP="00101F8B">
      <w:r>
        <w:continuationSeparator/>
      </w:r>
    </w:p>
    <w:p w14:paraId="35674205" w14:textId="77777777" w:rsidR="003029A1" w:rsidRDefault="003029A1" w:rsidP="00101F8B"/>
    <w:p w14:paraId="555C990D" w14:textId="77777777" w:rsidR="003029A1" w:rsidRDefault="003029A1" w:rsidP="00101F8B"/>
    <w:p w14:paraId="5C685C64" w14:textId="77777777" w:rsidR="003029A1" w:rsidRDefault="003029A1" w:rsidP="00101F8B"/>
    <w:p w14:paraId="2AAD4BE9" w14:textId="77777777" w:rsidR="003029A1" w:rsidRDefault="003029A1" w:rsidP="00101F8B"/>
    <w:p w14:paraId="5545EC7B" w14:textId="77777777" w:rsidR="003029A1" w:rsidRDefault="003029A1"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BE1B" w14:textId="77777777" w:rsidR="003029A1" w:rsidRDefault="003029A1" w:rsidP="00101F8B">
      <w:r>
        <w:separator/>
      </w:r>
    </w:p>
    <w:p w14:paraId="72A5D757" w14:textId="77777777" w:rsidR="003029A1" w:rsidRDefault="003029A1" w:rsidP="00101F8B"/>
    <w:p w14:paraId="5F431406" w14:textId="77777777" w:rsidR="003029A1" w:rsidRDefault="003029A1" w:rsidP="00101F8B"/>
    <w:p w14:paraId="2B6407EB" w14:textId="77777777" w:rsidR="003029A1" w:rsidRDefault="003029A1" w:rsidP="00101F8B"/>
    <w:p w14:paraId="37907EC4" w14:textId="77777777" w:rsidR="003029A1" w:rsidRDefault="003029A1" w:rsidP="00101F8B"/>
    <w:p w14:paraId="3D5BE81D" w14:textId="77777777" w:rsidR="003029A1" w:rsidRDefault="003029A1" w:rsidP="00101F8B"/>
  </w:footnote>
  <w:footnote w:type="continuationSeparator" w:id="0">
    <w:p w14:paraId="1E6558F8" w14:textId="77777777" w:rsidR="003029A1" w:rsidRDefault="003029A1" w:rsidP="00101F8B">
      <w:r>
        <w:continuationSeparator/>
      </w:r>
    </w:p>
    <w:p w14:paraId="3112F0C5" w14:textId="77777777" w:rsidR="003029A1" w:rsidRDefault="003029A1" w:rsidP="00101F8B"/>
    <w:p w14:paraId="3EAB84C4" w14:textId="77777777" w:rsidR="003029A1" w:rsidRDefault="003029A1" w:rsidP="00101F8B"/>
    <w:p w14:paraId="55112CD1" w14:textId="77777777" w:rsidR="003029A1" w:rsidRDefault="003029A1" w:rsidP="00101F8B"/>
    <w:p w14:paraId="0EF1310F" w14:textId="77777777" w:rsidR="003029A1" w:rsidRDefault="003029A1" w:rsidP="00101F8B"/>
    <w:p w14:paraId="55F3CBD6" w14:textId="77777777" w:rsidR="003029A1" w:rsidRDefault="003029A1"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127"/>
    <w:multiLevelType w:val="hybridMultilevel"/>
    <w:tmpl w:val="4ADC44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61FD"/>
    <w:multiLevelType w:val="hybridMultilevel"/>
    <w:tmpl w:val="053630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70EB3"/>
    <w:multiLevelType w:val="hybridMultilevel"/>
    <w:tmpl w:val="518CE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E4E2B"/>
    <w:multiLevelType w:val="hybridMultilevel"/>
    <w:tmpl w:val="2E36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66761"/>
    <w:multiLevelType w:val="hybridMultilevel"/>
    <w:tmpl w:val="93AEF996"/>
    <w:lvl w:ilvl="0" w:tplc="08090001">
      <w:start w:val="1"/>
      <w:numFmt w:val="bullet"/>
      <w:lvlText w:val=""/>
      <w:lvlJc w:val="left"/>
      <w:pPr>
        <w:ind w:left="720" w:hanging="360"/>
      </w:pPr>
      <w:rPr>
        <w:rFonts w:ascii="Symbol" w:hAnsi="Symbol" w:hint="default"/>
      </w:rPr>
    </w:lvl>
    <w:lvl w:ilvl="1" w:tplc="893426CE">
      <w:numFmt w:val="bullet"/>
      <w:lvlText w:val="•"/>
      <w:lvlJc w:val="left"/>
      <w:pPr>
        <w:ind w:left="1510" w:hanging="4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2736A"/>
    <w:multiLevelType w:val="hybridMultilevel"/>
    <w:tmpl w:val="0C1043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65223"/>
    <w:multiLevelType w:val="hybridMultilevel"/>
    <w:tmpl w:val="58808A5E"/>
    <w:lvl w:ilvl="0" w:tplc="D6760D3A">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8081B"/>
    <w:multiLevelType w:val="hybridMultilevel"/>
    <w:tmpl w:val="4244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5C015B"/>
    <w:multiLevelType w:val="hybridMultilevel"/>
    <w:tmpl w:val="4C025C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36D99"/>
    <w:multiLevelType w:val="singleLevel"/>
    <w:tmpl w:val="5870493C"/>
    <w:lvl w:ilvl="0">
      <w:start w:val="1"/>
      <w:numFmt w:val="lowerLetter"/>
      <w:pStyle w:val="indent"/>
      <w:lvlText w:val="%1)"/>
      <w:lvlJc w:val="left"/>
      <w:pPr>
        <w:tabs>
          <w:tab w:val="num" w:pos="2016"/>
        </w:tabs>
        <w:ind w:left="2016" w:hanging="432"/>
      </w:pPr>
      <w:rPr>
        <w:rFonts w:cs="Times New Roman"/>
      </w:rPr>
    </w:lvl>
  </w:abstractNum>
  <w:abstractNum w:abstractNumId="10" w15:restartNumberingAfterBreak="0">
    <w:nsid w:val="7E9C67D6"/>
    <w:multiLevelType w:val="hybridMultilevel"/>
    <w:tmpl w:val="76C26C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16240">
    <w:abstractNumId w:val="9"/>
  </w:num>
  <w:num w:numId="2" w16cid:durableId="619537421">
    <w:abstractNumId w:val="3"/>
  </w:num>
  <w:num w:numId="3" w16cid:durableId="263535034">
    <w:abstractNumId w:val="7"/>
  </w:num>
  <w:num w:numId="4" w16cid:durableId="1585645975">
    <w:abstractNumId w:val="4"/>
  </w:num>
  <w:num w:numId="5" w16cid:durableId="586429189">
    <w:abstractNumId w:val="2"/>
  </w:num>
  <w:num w:numId="6" w16cid:durableId="1914312669">
    <w:abstractNumId w:val="0"/>
  </w:num>
  <w:num w:numId="7" w16cid:durableId="798188195">
    <w:abstractNumId w:val="10"/>
  </w:num>
  <w:num w:numId="8" w16cid:durableId="1356468699">
    <w:abstractNumId w:val="8"/>
  </w:num>
  <w:num w:numId="9" w16cid:durableId="726220263">
    <w:abstractNumId w:val="6"/>
  </w:num>
  <w:num w:numId="10" w16cid:durableId="213202931">
    <w:abstractNumId w:val="5"/>
  </w:num>
  <w:num w:numId="11" w16cid:durableId="81430187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3ECE"/>
    <w:rsid w:val="00013078"/>
    <w:rsid w:val="0001407E"/>
    <w:rsid w:val="000239D3"/>
    <w:rsid w:val="00024324"/>
    <w:rsid w:val="00024EDF"/>
    <w:rsid w:val="000263CC"/>
    <w:rsid w:val="00030E59"/>
    <w:rsid w:val="000414C9"/>
    <w:rsid w:val="000512E5"/>
    <w:rsid w:val="00063976"/>
    <w:rsid w:val="00070438"/>
    <w:rsid w:val="00071F65"/>
    <w:rsid w:val="0007613C"/>
    <w:rsid w:val="00080CA2"/>
    <w:rsid w:val="00085CAE"/>
    <w:rsid w:val="00093C7C"/>
    <w:rsid w:val="000A1B04"/>
    <w:rsid w:val="000B0429"/>
    <w:rsid w:val="000B07B1"/>
    <w:rsid w:val="000B5E9B"/>
    <w:rsid w:val="000B716D"/>
    <w:rsid w:val="000C2407"/>
    <w:rsid w:val="000C4B06"/>
    <w:rsid w:val="000D5FB8"/>
    <w:rsid w:val="000D608D"/>
    <w:rsid w:val="000E4EDC"/>
    <w:rsid w:val="000F06FC"/>
    <w:rsid w:val="000F1083"/>
    <w:rsid w:val="00101F8B"/>
    <w:rsid w:val="001030EB"/>
    <w:rsid w:val="00114878"/>
    <w:rsid w:val="00122836"/>
    <w:rsid w:val="001329E7"/>
    <w:rsid w:val="001357FA"/>
    <w:rsid w:val="00147005"/>
    <w:rsid w:val="0015557C"/>
    <w:rsid w:val="00165E50"/>
    <w:rsid w:val="001702A6"/>
    <w:rsid w:val="00173D7C"/>
    <w:rsid w:val="00174A86"/>
    <w:rsid w:val="001854B6"/>
    <w:rsid w:val="001A035B"/>
    <w:rsid w:val="001A70F9"/>
    <w:rsid w:val="001B7B68"/>
    <w:rsid w:val="001C1897"/>
    <w:rsid w:val="001C1A6A"/>
    <w:rsid w:val="001C703E"/>
    <w:rsid w:val="001D3F63"/>
    <w:rsid w:val="001F1C86"/>
    <w:rsid w:val="001F2AE7"/>
    <w:rsid w:val="001F6123"/>
    <w:rsid w:val="001F66DA"/>
    <w:rsid w:val="00223D5A"/>
    <w:rsid w:val="00250B12"/>
    <w:rsid w:val="0025332D"/>
    <w:rsid w:val="00256D1E"/>
    <w:rsid w:val="00271E97"/>
    <w:rsid w:val="00276B47"/>
    <w:rsid w:val="00281D85"/>
    <w:rsid w:val="00284556"/>
    <w:rsid w:val="00291EE4"/>
    <w:rsid w:val="002948E8"/>
    <w:rsid w:val="00297396"/>
    <w:rsid w:val="002A11B1"/>
    <w:rsid w:val="002A28F0"/>
    <w:rsid w:val="002A761B"/>
    <w:rsid w:val="002A7A43"/>
    <w:rsid w:val="002C072D"/>
    <w:rsid w:val="002C41A2"/>
    <w:rsid w:val="002D0BBC"/>
    <w:rsid w:val="002D7D9A"/>
    <w:rsid w:val="002F2449"/>
    <w:rsid w:val="002F4033"/>
    <w:rsid w:val="00301CCC"/>
    <w:rsid w:val="003029A1"/>
    <w:rsid w:val="00304B3D"/>
    <w:rsid w:val="00310499"/>
    <w:rsid w:val="00315102"/>
    <w:rsid w:val="0031624F"/>
    <w:rsid w:val="00321C5D"/>
    <w:rsid w:val="003264B3"/>
    <w:rsid w:val="0032671F"/>
    <w:rsid w:val="00331FA2"/>
    <w:rsid w:val="0033261E"/>
    <w:rsid w:val="003470EC"/>
    <w:rsid w:val="003508F0"/>
    <w:rsid w:val="00354F72"/>
    <w:rsid w:val="003559B8"/>
    <w:rsid w:val="00357A47"/>
    <w:rsid w:val="0036209E"/>
    <w:rsid w:val="00375858"/>
    <w:rsid w:val="003823A6"/>
    <w:rsid w:val="0039626D"/>
    <w:rsid w:val="003D047D"/>
    <w:rsid w:val="003D55C2"/>
    <w:rsid w:val="003E154E"/>
    <w:rsid w:val="003F1E47"/>
    <w:rsid w:val="003F235B"/>
    <w:rsid w:val="00417509"/>
    <w:rsid w:val="00430D22"/>
    <w:rsid w:val="004342DA"/>
    <w:rsid w:val="00434C04"/>
    <w:rsid w:val="004369A3"/>
    <w:rsid w:val="004507A0"/>
    <w:rsid w:val="00452FA8"/>
    <w:rsid w:val="00455417"/>
    <w:rsid w:val="00460638"/>
    <w:rsid w:val="004631E3"/>
    <w:rsid w:val="004637B5"/>
    <w:rsid w:val="00473ACF"/>
    <w:rsid w:val="00477F5E"/>
    <w:rsid w:val="00483D71"/>
    <w:rsid w:val="004A7D9A"/>
    <w:rsid w:val="004B1359"/>
    <w:rsid w:val="004B4A3E"/>
    <w:rsid w:val="004C3E4B"/>
    <w:rsid w:val="004C3FB6"/>
    <w:rsid w:val="004C64C1"/>
    <w:rsid w:val="004D3D87"/>
    <w:rsid w:val="004D6849"/>
    <w:rsid w:val="004E765A"/>
    <w:rsid w:val="00515EBD"/>
    <w:rsid w:val="0052128E"/>
    <w:rsid w:val="005316E3"/>
    <w:rsid w:val="005333C7"/>
    <w:rsid w:val="00534043"/>
    <w:rsid w:val="00534CE9"/>
    <w:rsid w:val="0055716A"/>
    <w:rsid w:val="00562491"/>
    <w:rsid w:val="00570B44"/>
    <w:rsid w:val="005710FE"/>
    <w:rsid w:val="00584EC8"/>
    <w:rsid w:val="005922AB"/>
    <w:rsid w:val="005A6739"/>
    <w:rsid w:val="005B1DD3"/>
    <w:rsid w:val="005C1857"/>
    <w:rsid w:val="005C7974"/>
    <w:rsid w:val="005E044A"/>
    <w:rsid w:val="005E57A5"/>
    <w:rsid w:val="005F24A9"/>
    <w:rsid w:val="005F24B4"/>
    <w:rsid w:val="00610CE4"/>
    <w:rsid w:val="00620515"/>
    <w:rsid w:val="00620E22"/>
    <w:rsid w:val="006377A1"/>
    <w:rsid w:val="0064440F"/>
    <w:rsid w:val="00651C5E"/>
    <w:rsid w:val="00661949"/>
    <w:rsid w:val="00675C3D"/>
    <w:rsid w:val="00676C8B"/>
    <w:rsid w:val="00685C25"/>
    <w:rsid w:val="006932D9"/>
    <w:rsid w:val="006933A4"/>
    <w:rsid w:val="00697603"/>
    <w:rsid w:val="006A1F5D"/>
    <w:rsid w:val="006A65E2"/>
    <w:rsid w:val="006A6700"/>
    <w:rsid w:val="006B0EE5"/>
    <w:rsid w:val="006B5B6A"/>
    <w:rsid w:val="006B610F"/>
    <w:rsid w:val="006C4292"/>
    <w:rsid w:val="006C5617"/>
    <w:rsid w:val="006D0632"/>
    <w:rsid w:val="006D3D20"/>
    <w:rsid w:val="006E0E28"/>
    <w:rsid w:val="006F0F73"/>
    <w:rsid w:val="006F1D60"/>
    <w:rsid w:val="00704042"/>
    <w:rsid w:val="007074E5"/>
    <w:rsid w:val="00707CD3"/>
    <w:rsid w:val="00713AD1"/>
    <w:rsid w:val="0073116E"/>
    <w:rsid w:val="00752654"/>
    <w:rsid w:val="00752CEF"/>
    <w:rsid w:val="00753499"/>
    <w:rsid w:val="007554A4"/>
    <w:rsid w:val="00760983"/>
    <w:rsid w:val="00760EEC"/>
    <w:rsid w:val="00761478"/>
    <w:rsid w:val="0076606F"/>
    <w:rsid w:val="00772C6D"/>
    <w:rsid w:val="00774185"/>
    <w:rsid w:val="00775C4F"/>
    <w:rsid w:val="00780EC8"/>
    <w:rsid w:val="007810E2"/>
    <w:rsid w:val="00783DE1"/>
    <w:rsid w:val="00794C84"/>
    <w:rsid w:val="007B40D8"/>
    <w:rsid w:val="007B62E7"/>
    <w:rsid w:val="007B6C1B"/>
    <w:rsid w:val="007C4F08"/>
    <w:rsid w:val="007C7E47"/>
    <w:rsid w:val="007D0C8E"/>
    <w:rsid w:val="007D1344"/>
    <w:rsid w:val="007D7A16"/>
    <w:rsid w:val="007F1C25"/>
    <w:rsid w:val="007F3F33"/>
    <w:rsid w:val="008158A3"/>
    <w:rsid w:val="00817EB9"/>
    <w:rsid w:val="00820B9B"/>
    <w:rsid w:val="00826DDB"/>
    <w:rsid w:val="008378EB"/>
    <w:rsid w:val="008466BA"/>
    <w:rsid w:val="00854AB9"/>
    <w:rsid w:val="008624C2"/>
    <w:rsid w:val="00867068"/>
    <w:rsid w:val="00867505"/>
    <w:rsid w:val="0087063F"/>
    <w:rsid w:val="00871AC3"/>
    <w:rsid w:val="008760C2"/>
    <w:rsid w:val="00880FFC"/>
    <w:rsid w:val="0089458D"/>
    <w:rsid w:val="008A1430"/>
    <w:rsid w:val="008A5FC9"/>
    <w:rsid w:val="008B4B06"/>
    <w:rsid w:val="008B70E7"/>
    <w:rsid w:val="008E3910"/>
    <w:rsid w:val="00911F5D"/>
    <w:rsid w:val="009178CF"/>
    <w:rsid w:val="0092085D"/>
    <w:rsid w:val="00942465"/>
    <w:rsid w:val="00946648"/>
    <w:rsid w:val="00953452"/>
    <w:rsid w:val="009634D9"/>
    <w:rsid w:val="0097264D"/>
    <w:rsid w:val="00974AA7"/>
    <w:rsid w:val="0097674A"/>
    <w:rsid w:val="009802F6"/>
    <w:rsid w:val="009807E3"/>
    <w:rsid w:val="0098783C"/>
    <w:rsid w:val="00990645"/>
    <w:rsid w:val="00992B93"/>
    <w:rsid w:val="00994A1F"/>
    <w:rsid w:val="009A096F"/>
    <w:rsid w:val="009A7774"/>
    <w:rsid w:val="009B0E5D"/>
    <w:rsid w:val="009B45C1"/>
    <w:rsid w:val="009C5F87"/>
    <w:rsid w:val="009D2635"/>
    <w:rsid w:val="009E095C"/>
    <w:rsid w:val="009E4514"/>
    <w:rsid w:val="009F6C08"/>
    <w:rsid w:val="00A100A2"/>
    <w:rsid w:val="00A10713"/>
    <w:rsid w:val="00A26504"/>
    <w:rsid w:val="00A356D1"/>
    <w:rsid w:val="00A35CE7"/>
    <w:rsid w:val="00A41C33"/>
    <w:rsid w:val="00A449BF"/>
    <w:rsid w:val="00A45EE1"/>
    <w:rsid w:val="00A51C8A"/>
    <w:rsid w:val="00A60F4C"/>
    <w:rsid w:val="00A61A7C"/>
    <w:rsid w:val="00A635CA"/>
    <w:rsid w:val="00A66A9E"/>
    <w:rsid w:val="00A7332E"/>
    <w:rsid w:val="00A73A2A"/>
    <w:rsid w:val="00A82667"/>
    <w:rsid w:val="00A876B1"/>
    <w:rsid w:val="00AA12B4"/>
    <w:rsid w:val="00AA4722"/>
    <w:rsid w:val="00AA79F3"/>
    <w:rsid w:val="00AB56C7"/>
    <w:rsid w:val="00AB5B58"/>
    <w:rsid w:val="00AB74F4"/>
    <w:rsid w:val="00AB7DE3"/>
    <w:rsid w:val="00AD00DE"/>
    <w:rsid w:val="00AD0895"/>
    <w:rsid w:val="00AD4D4F"/>
    <w:rsid w:val="00AE58EC"/>
    <w:rsid w:val="00AE5FD3"/>
    <w:rsid w:val="00AE79CD"/>
    <w:rsid w:val="00AF11C5"/>
    <w:rsid w:val="00AF4292"/>
    <w:rsid w:val="00B439EC"/>
    <w:rsid w:val="00B54927"/>
    <w:rsid w:val="00B72890"/>
    <w:rsid w:val="00B74D2B"/>
    <w:rsid w:val="00B762EE"/>
    <w:rsid w:val="00B84BCA"/>
    <w:rsid w:val="00B91F98"/>
    <w:rsid w:val="00B96E0F"/>
    <w:rsid w:val="00BA63ED"/>
    <w:rsid w:val="00BA738E"/>
    <w:rsid w:val="00BC3188"/>
    <w:rsid w:val="00BD0C22"/>
    <w:rsid w:val="00BE6FB3"/>
    <w:rsid w:val="00BF19EE"/>
    <w:rsid w:val="00BF3AAF"/>
    <w:rsid w:val="00BF5FDD"/>
    <w:rsid w:val="00C07D0C"/>
    <w:rsid w:val="00C13C96"/>
    <w:rsid w:val="00C15A7C"/>
    <w:rsid w:val="00C23096"/>
    <w:rsid w:val="00C244FD"/>
    <w:rsid w:val="00C25EFA"/>
    <w:rsid w:val="00C322AB"/>
    <w:rsid w:val="00C77B52"/>
    <w:rsid w:val="00C80BDD"/>
    <w:rsid w:val="00C91BEF"/>
    <w:rsid w:val="00C9208F"/>
    <w:rsid w:val="00C932FB"/>
    <w:rsid w:val="00C94EA0"/>
    <w:rsid w:val="00C967EF"/>
    <w:rsid w:val="00CA3924"/>
    <w:rsid w:val="00CA6E94"/>
    <w:rsid w:val="00CC4CE1"/>
    <w:rsid w:val="00CD0614"/>
    <w:rsid w:val="00CD2AF7"/>
    <w:rsid w:val="00CD5749"/>
    <w:rsid w:val="00CE2137"/>
    <w:rsid w:val="00D02115"/>
    <w:rsid w:val="00D110FC"/>
    <w:rsid w:val="00D158A9"/>
    <w:rsid w:val="00D3659E"/>
    <w:rsid w:val="00D439D7"/>
    <w:rsid w:val="00D461A5"/>
    <w:rsid w:val="00D56EE7"/>
    <w:rsid w:val="00D63E82"/>
    <w:rsid w:val="00D64117"/>
    <w:rsid w:val="00D70EC7"/>
    <w:rsid w:val="00D72B0C"/>
    <w:rsid w:val="00D82CA3"/>
    <w:rsid w:val="00D85D4E"/>
    <w:rsid w:val="00D860A3"/>
    <w:rsid w:val="00D87120"/>
    <w:rsid w:val="00D93694"/>
    <w:rsid w:val="00D943CF"/>
    <w:rsid w:val="00DA5D46"/>
    <w:rsid w:val="00DB320C"/>
    <w:rsid w:val="00DB3C44"/>
    <w:rsid w:val="00DC0596"/>
    <w:rsid w:val="00DC5F73"/>
    <w:rsid w:val="00DC609F"/>
    <w:rsid w:val="00DC6838"/>
    <w:rsid w:val="00DC6E79"/>
    <w:rsid w:val="00DD08E8"/>
    <w:rsid w:val="00DD4964"/>
    <w:rsid w:val="00DE41FE"/>
    <w:rsid w:val="00E056E4"/>
    <w:rsid w:val="00E110B8"/>
    <w:rsid w:val="00E12FA1"/>
    <w:rsid w:val="00E27BEF"/>
    <w:rsid w:val="00E45262"/>
    <w:rsid w:val="00E6733C"/>
    <w:rsid w:val="00E67894"/>
    <w:rsid w:val="00E67DFE"/>
    <w:rsid w:val="00E859E6"/>
    <w:rsid w:val="00E9172E"/>
    <w:rsid w:val="00E9569C"/>
    <w:rsid w:val="00E95924"/>
    <w:rsid w:val="00E97547"/>
    <w:rsid w:val="00EA2F97"/>
    <w:rsid w:val="00EA5058"/>
    <w:rsid w:val="00EA5B62"/>
    <w:rsid w:val="00EB5C3D"/>
    <w:rsid w:val="00EC0E0D"/>
    <w:rsid w:val="00EC0EA1"/>
    <w:rsid w:val="00EC3204"/>
    <w:rsid w:val="00EC5960"/>
    <w:rsid w:val="00ED2D5C"/>
    <w:rsid w:val="00EE7439"/>
    <w:rsid w:val="00EF08F6"/>
    <w:rsid w:val="00EF13C8"/>
    <w:rsid w:val="00EF60BC"/>
    <w:rsid w:val="00EF6CF9"/>
    <w:rsid w:val="00F034A1"/>
    <w:rsid w:val="00F05431"/>
    <w:rsid w:val="00F15D79"/>
    <w:rsid w:val="00F2618C"/>
    <w:rsid w:val="00F267CC"/>
    <w:rsid w:val="00F27FAC"/>
    <w:rsid w:val="00F32DCC"/>
    <w:rsid w:val="00F3593B"/>
    <w:rsid w:val="00F36690"/>
    <w:rsid w:val="00F46BD8"/>
    <w:rsid w:val="00F5083F"/>
    <w:rsid w:val="00F52872"/>
    <w:rsid w:val="00F54287"/>
    <w:rsid w:val="00F629FF"/>
    <w:rsid w:val="00F63BBE"/>
    <w:rsid w:val="00F7377F"/>
    <w:rsid w:val="00F7691B"/>
    <w:rsid w:val="00F82A63"/>
    <w:rsid w:val="00F84ADA"/>
    <w:rsid w:val="00F91479"/>
    <w:rsid w:val="00F9219E"/>
    <w:rsid w:val="00FA2AC2"/>
    <w:rsid w:val="00FA3606"/>
    <w:rsid w:val="00FA6D17"/>
    <w:rsid w:val="00FD1A64"/>
    <w:rsid w:val="00FD3E77"/>
    <w:rsid w:val="00FE3954"/>
    <w:rsid w:val="00FF0399"/>
    <w:rsid w:val="00FF0CD1"/>
    <w:rsid w:val="00FF4232"/>
    <w:rsid w:val="00FF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4">
    <w:name w:val="heading 4"/>
    <w:basedOn w:val="Normal"/>
    <w:next w:val="Normal"/>
    <w:link w:val="Heading4Char"/>
    <w:unhideWhenUsed/>
    <w:qFormat/>
    <w:rsid w:val="00783DE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qFormat/>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List Bullet2"/>
    <w:basedOn w:val="Normal"/>
    <w:link w:val="ListParagraphChar"/>
    <w:uiPriority w:val="34"/>
    <w:qFormat/>
    <w:rsid w:val="00780EC8"/>
    <w:pPr>
      <w:spacing w:after="0"/>
      <w:ind w:left="720"/>
      <w:contextualSpacing/>
    </w:pPr>
    <w:rPr>
      <w:rFonts w:eastAsia="Times New Roman" w:cs="Times New Roman"/>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780EC8"/>
    <w:rPr>
      <w:rFonts w:ascii="Arial" w:eastAsia="Times New Roman" w:hAnsi="Arial" w:cs="Times New Roman"/>
      <w:sz w:val="24"/>
      <w:szCs w:val="24"/>
      <w:lang w:eastAsia="en-GB"/>
    </w:rPr>
  </w:style>
  <w:style w:type="paragraph" w:styleId="NormalWeb">
    <w:name w:val="Normal (Web)"/>
    <w:basedOn w:val="Normal"/>
    <w:uiPriority w:val="99"/>
    <w:unhideWhenUsed/>
    <w:rsid w:val="00780EC8"/>
    <w:pPr>
      <w:spacing w:before="100" w:beforeAutospacing="1" w:after="100" w:afterAutospacing="1"/>
    </w:pPr>
    <w:rPr>
      <w:rFonts w:ascii="Times New Roman" w:eastAsia="Times New Roman" w:hAnsi="Times New Roman" w:cs="Times New Roman"/>
    </w:rPr>
  </w:style>
  <w:style w:type="paragraph" w:customStyle="1" w:styleId="Default">
    <w:name w:val="Default"/>
    <w:rsid w:val="00780EC8"/>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selectionshareable">
    <w:name w:val="selectionshareable"/>
    <w:basedOn w:val="Normal"/>
    <w:rsid w:val="00780EC8"/>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rsid w:val="00783DE1"/>
    <w:rPr>
      <w:rFonts w:asciiTheme="majorHAnsi" w:eastAsiaTheme="majorEastAsia" w:hAnsiTheme="majorHAnsi" w:cstheme="majorBidi"/>
      <w:b/>
      <w:bCs/>
      <w:i/>
      <w:iCs/>
      <w:color w:val="4472C4" w:themeColor="accent1"/>
      <w:sz w:val="24"/>
      <w:szCs w:val="24"/>
      <w:lang w:eastAsia="en-GB"/>
    </w:rPr>
  </w:style>
  <w:style w:type="table" w:styleId="TableGrid">
    <w:name w:val="Table Grid"/>
    <w:basedOn w:val="TableNormal"/>
    <w:uiPriority w:val="39"/>
    <w:rsid w:val="00783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83DE1"/>
    <w:pPr>
      <w:spacing w:after="0"/>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783DE1"/>
    <w:rPr>
      <w:rFonts w:ascii="Times New Roman" w:eastAsia="Times New Roman" w:hAnsi="Times New Roman" w:cs="Times New Roman"/>
      <w:sz w:val="20"/>
      <w:szCs w:val="20"/>
    </w:rPr>
  </w:style>
  <w:style w:type="character" w:styleId="Strong">
    <w:name w:val="Strong"/>
    <w:basedOn w:val="DefaultParagraphFont"/>
    <w:uiPriority w:val="22"/>
    <w:qFormat/>
    <w:rsid w:val="00783DE1"/>
    <w:rPr>
      <w:b/>
      <w:bCs/>
    </w:rPr>
  </w:style>
  <w:style w:type="character" w:styleId="FollowedHyperlink">
    <w:name w:val="FollowedHyperlink"/>
    <w:basedOn w:val="DefaultParagraphFont"/>
    <w:semiHidden/>
    <w:unhideWhenUsed/>
    <w:rsid w:val="00783DE1"/>
    <w:rPr>
      <w:color w:val="954F72" w:themeColor="followedHyperlink"/>
      <w:u w:val="single"/>
    </w:rPr>
  </w:style>
  <w:style w:type="paragraph" w:styleId="BalloonText">
    <w:name w:val="Balloon Text"/>
    <w:basedOn w:val="Normal"/>
    <w:link w:val="BalloonTextChar"/>
    <w:semiHidden/>
    <w:unhideWhenUsed/>
    <w:rsid w:val="00783DE1"/>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83DE1"/>
    <w:rPr>
      <w:rFonts w:ascii="Tahoma" w:eastAsia="Times New Roman" w:hAnsi="Tahoma" w:cs="Tahoma"/>
      <w:sz w:val="16"/>
      <w:szCs w:val="16"/>
      <w:lang w:eastAsia="en-GB"/>
    </w:rPr>
  </w:style>
  <w:style w:type="paragraph" w:customStyle="1" w:styleId="p1">
    <w:name w:val="p1"/>
    <w:basedOn w:val="Normal"/>
    <w:rsid w:val="00783DE1"/>
    <w:pPr>
      <w:spacing w:after="0"/>
    </w:pPr>
    <w:rPr>
      <w:rFonts w:ascii="Helvetica Neue" w:eastAsia="Calibri" w:hAnsi="Helvetica Neue" w:cs="Times New Roman"/>
      <w:color w:val="454545"/>
      <w:sz w:val="18"/>
      <w:szCs w:val="18"/>
    </w:rPr>
  </w:style>
  <w:style w:type="paragraph" w:customStyle="1" w:styleId="p2">
    <w:name w:val="p2"/>
    <w:basedOn w:val="Normal"/>
    <w:rsid w:val="00783DE1"/>
    <w:pPr>
      <w:spacing w:after="0"/>
    </w:pPr>
    <w:rPr>
      <w:rFonts w:ascii="Helvetica Neue" w:eastAsia="Calibri" w:hAnsi="Helvetica Neue" w:cs="Times New Roman"/>
      <w:color w:val="454545"/>
      <w:sz w:val="18"/>
      <w:szCs w:val="18"/>
    </w:rPr>
  </w:style>
  <w:style w:type="paragraph" w:customStyle="1" w:styleId="indent">
    <w:name w:val="indent"/>
    <w:basedOn w:val="Normal"/>
    <w:uiPriority w:val="99"/>
    <w:rsid w:val="00783DE1"/>
    <w:pPr>
      <w:numPr>
        <w:numId w:val="1"/>
      </w:numPr>
      <w:spacing w:before="120" w:after="0"/>
    </w:pPr>
    <w:rPr>
      <w:rFonts w:ascii="Tahoma" w:eastAsia="Times New Roman" w:hAnsi="Tahoma" w:cs="Times New Roman"/>
      <w:sz w:val="23"/>
      <w:szCs w:val="20"/>
      <w:lang w:eastAsia="en-US"/>
    </w:rPr>
  </w:style>
  <w:style w:type="paragraph" w:customStyle="1" w:styleId="CM36">
    <w:name w:val="CM36"/>
    <w:basedOn w:val="Default"/>
    <w:next w:val="Default"/>
    <w:rsid w:val="00783DE1"/>
    <w:pPr>
      <w:widowControl w:val="0"/>
      <w:spacing w:after="88"/>
    </w:pPr>
    <w:rPr>
      <w:rFonts w:ascii="Helvetica" w:eastAsia="Times New Roman" w:hAnsi="Helvetica" w:cs="Times New Roman"/>
      <w:color w:val="auto"/>
    </w:rPr>
  </w:style>
  <w:style w:type="paragraph" w:customStyle="1" w:styleId="CM37">
    <w:name w:val="CM37"/>
    <w:basedOn w:val="Default"/>
    <w:next w:val="Default"/>
    <w:rsid w:val="00783DE1"/>
    <w:pPr>
      <w:widowControl w:val="0"/>
      <w:spacing w:after="150"/>
    </w:pPr>
    <w:rPr>
      <w:rFonts w:ascii="Helvetica" w:eastAsia="Times New Roman" w:hAnsi="Helvetica" w:cs="Times New Roman"/>
      <w:color w:val="auto"/>
    </w:rPr>
  </w:style>
  <w:style w:type="paragraph" w:styleId="BodyTextIndent">
    <w:name w:val="Body Text Indent"/>
    <w:basedOn w:val="Normal"/>
    <w:link w:val="BodyTextIndentChar"/>
    <w:semiHidden/>
    <w:unhideWhenUsed/>
    <w:rsid w:val="00783DE1"/>
    <w:pPr>
      <w:spacing w:after="120"/>
      <w:ind w:left="283"/>
    </w:pPr>
    <w:rPr>
      <w:rFonts w:eastAsia="Times New Roman" w:cs="Times New Roman"/>
    </w:rPr>
  </w:style>
  <w:style w:type="character" w:customStyle="1" w:styleId="BodyTextIndentChar">
    <w:name w:val="Body Text Indent Char"/>
    <w:basedOn w:val="DefaultParagraphFont"/>
    <w:link w:val="BodyTextIndent"/>
    <w:semiHidden/>
    <w:rsid w:val="00783DE1"/>
    <w:rPr>
      <w:rFonts w:ascii="Arial" w:eastAsia="Times New Roman" w:hAnsi="Arial" w:cs="Times New Roman"/>
      <w:sz w:val="24"/>
      <w:szCs w:val="24"/>
      <w:lang w:eastAsia="en-GB"/>
    </w:rPr>
  </w:style>
  <w:style w:type="paragraph" w:styleId="CommentText">
    <w:name w:val="annotation text"/>
    <w:basedOn w:val="Normal"/>
    <w:link w:val="CommentTextChar"/>
    <w:semiHidden/>
    <w:unhideWhenUsed/>
    <w:rsid w:val="00783DE1"/>
    <w:pPr>
      <w:spacing w:after="0"/>
    </w:pPr>
    <w:rPr>
      <w:rFonts w:eastAsia="Times New Roman" w:cs="Times New Roman"/>
      <w:sz w:val="20"/>
      <w:szCs w:val="20"/>
    </w:rPr>
  </w:style>
  <w:style w:type="character" w:customStyle="1" w:styleId="CommentTextChar">
    <w:name w:val="Comment Text Char"/>
    <w:basedOn w:val="DefaultParagraphFont"/>
    <w:link w:val="CommentText"/>
    <w:semiHidden/>
    <w:rsid w:val="00783DE1"/>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783DE1"/>
    <w:rPr>
      <w:color w:val="605E5C"/>
      <w:shd w:val="clear" w:color="auto" w:fill="E1DFDD"/>
    </w:rPr>
  </w:style>
  <w:style w:type="character" w:styleId="CommentReference">
    <w:name w:val="annotation reference"/>
    <w:basedOn w:val="DefaultParagraphFont"/>
    <w:uiPriority w:val="99"/>
    <w:semiHidden/>
    <w:unhideWhenUsed/>
    <w:rsid w:val="00071F65"/>
    <w:rPr>
      <w:sz w:val="16"/>
      <w:szCs w:val="16"/>
    </w:rPr>
  </w:style>
  <w:style w:type="paragraph" w:styleId="CommentSubject">
    <w:name w:val="annotation subject"/>
    <w:basedOn w:val="CommentText"/>
    <w:next w:val="CommentText"/>
    <w:link w:val="CommentSubjectChar"/>
    <w:uiPriority w:val="99"/>
    <w:semiHidden/>
    <w:unhideWhenUsed/>
    <w:rsid w:val="00071F65"/>
    <w:pPr>
      <w:spacing w:after="160"/>
    </w:pPr>
    <w:rPr>
      <w:rFonts w:eastAsiaTheme="minorEastAsia" w:cs="Arial"/>
      <w:b/>
      <w:bCs/>
    </w:rPr>
  </w:style>
  <w:style w:type="character" w:customStyle="1" w:styleId="CommentSubjectChar">
    <w:name w:val="Comment Subject Char"/>
    <w:basedOn w:val="CommentTextChar"/>
    <w:link w:val="CommentSubject"/>
    <w:uiPriority w:val="99"/>
    <w:semiHidden/>
    <w:rsid w:val="00071F65"/>
    <w:rPr>
      <w:rFonts w:ascii="Arial" w:eastAsiaTheme="minorEastAsia"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3.xml><?xml version="1.0" encoding="utf-8"?>
<ds:datastoreItem xmlns:ds="http://schemas.openxmlformats.org/officeDocument/2006/customXml" ds:itemID="{2D5E82DB-C8B9-458A-BEEF-2126D17E0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6350</TotalTime>
  <Pages>12</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Report template</vt:lpstr>
    </vt:vector>
  </TitlesOfParts>
  <Company>Tower Hamlets</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subject>
  <dc:creator>Eleea Islam</dc:creator>
  <cp:keywords>
  </cp:keywords>
  <dc:description>
  </dc:description>
  <cp:lastModifiedBy>Michel Ngue-Awane</cp:lastModifiedBy>
  <cp:revision>320</cp:revision>
  <dcterms:created xsi:type="dcterms:W3CDTF">2023-05-09T08:50:00Z</dcterms:created>
  <dcterms:modified xsi:type="dcterms:W3CDTF">2023-05-24T09:45:00Z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