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D7ED" w14:textId="78E0E084" w:rsidR="00B069E5" w:rsidRPr="0032149D" w:rsidRDefault="0000787E" w:rsidP="0032149D">
      <w:pPr>
        <w:pStyle w:val="Title"/>
        <w:spacing w:line="360" w:lineRule="auto"/>
        <w:contextualSpacing/>
        <w:jc w:val="left"/>
        <w:rPr>
          <w:rFonts w:ascii="Arial" w:hAnsi="Arial" w:cs="Arial"/>
          <w:i w:val="0"/>
          <w:u w:val="none"/>
        </w:rPr>
      </w:pPr>
      <w:r w:rsidRPr="00E83E25">
        <w:rPr>
          <w:rFonts w:ascii="Arial" w:hAnsi="Arial" w:cs="Arial"/>
          <w:i w:val="0"/>
          <w:u w:val="none"/>
        </w:rPr>
        <w:t>I</w:t>
      </w:r>
      <w:r w:rsidR="00B069E5" w:rsidRPr="00E83E25">
        <w:rPr>
          <w:rFonts w:ascii="Arial" w:hAnsi="Arial" w:cs="Arial"/>
          <w:i w:val="0"/>
          <w:u w:val="none"/>
        </w:rPr>
        <w:t>nvitation to Tender</w:t>
      </w:r>
    </w:p>
    <w:p w14:paraId="4FAA4EA2" w14:textId="2DCB3513" w:rsidR="00B069E5" w:rsidRPr="0032149D" w:rsidRDefault="0000787E" w:rsidP="0032149D">
      <w:pPr>
        <w:pStyle w:val="Title"/>
        <w:spacing w:line="360" w:lineRule="auto"/>
        <w:contextualSpacing/>
        <w:jc w:val="left"/>
        <w:rPr>
          <w:rFonts w:ascii="Arial" w:hAnsi="Arial" w:cs="Arial"/>
          <w:i w:val="0"/>
          <w:u w:val="none"/>
        </w:rPr>
      </w:pPr>
      <w:r w:rsidRPr="00E83E25">
        <w:rPr>
          <w:rFonts w:ascii="Arial" w:hAnsi="Arial" w:cs="Arial"/>
          <w:i w:val="0"/>
          <w:u w:val="none"/>
        </w:rPr>
        <w:t xml:space="preserve">Instructions </w:t>
      </w:r>
      <w:r w:rsidR="003D43FE">
        <w:rPr>
          <w:rFonts w:ascii="Arial" w:hAnsi="Arial" w:cs="Arial"/>
          <w:i w:val="0"/>
          <w:u w:val="none"/>
        </w:rPr>
        <w:t xml:space="preserve">for </w:t>
      </w:r>
      <w:r w:rsidR="00584EB1">
        <w:rPr>
          <w:rFonts w:ascii="Arial" w:hAnsi="Arial" w:cs="Arial"/>
          <w:i w:val="0"/>
          <w:u w:val="none"/>
        </w:rPr>
        <w:t>Tenderer</w:t>
      </w:r>
      <w:r w:rsidR="003D43FE">
        <w:rPr>
          <w:rFonts w:ascii="Arial" w:hAnsi="Arial" w:cs="Arial"/>
          <w:i w:val="0"/>
          <w:u w:val="none"/>
        </w:rPr>
        <w:t xml:space="preserve">s </w:t>
      </w:r>
    </w:p>
    <w:p w14:paraId="78296E02" w14:textId="0776E9CD" w:rsidR="00B069E5" w:rsidRPr="0032149D" w:rsidRDefault="00B069E5" w:rsidP="0032149D">
      <w:pPr>
        <w:pStyle w:val="Title"/>
        <w:spacing w:line="360" w:lineRule="auto"/>
        <w:contextualSpacing/>
        <w:jc w:val="left"/>
        <w:rPr>
          <w:rFonts w:ascii="Arial" w:hAnsi="Arial" w:cs="Arial"/>
          <w:i w:val="0"/>
          <w:u w:val="none"/>
        </w:rPr>
      </w:pPr>
      <w:r w:rsidRPr="0071677C">
        <w:rPr>
          <w:rFonts w:ascii="Arial" w:hAnsi="Arial" w:cs="Arial"/>
          <w:i w:val="0"/>
          <w:u w:val="none"/>
        </w:rPr>
        <w:t>For the supply, installation, and maintenance of</w:t>
      </w:r>
      <w:r w:rsidR="003F6BC2" w:rsidRPr="0071677C">
        <w:rPr>
          <w:rFonts w:ascii="Arial" w:hAnsi="Arial" w:cs="Arial"/>
          <w:i w:val="0"/>
          <w:u w:val="none"/>
        </w:rPr>
        <w:t xml:space="preserve"> a</w:t>
      </w:r>
      <w:r w:rsidRPr="0071677C">
        <w:rPr>
          <w:rFonts w:ascii="Arial" w:hAnsi="Arial" w:cs="Arial"/>
          <w:i w:val="0"/>
          <w:u w:val="none"/>
        </w:rPr>
        <w:t xml:space="preserve"> Mobility Hubs</w:t>
      </w:r>
      <w:r w:rsidR="003F6BC2" w:rsidRPr="0071677C">
        <w:rPr>
          <w:rFonts w:ascii="Arial" w:hAnsi="Arial" w:cs="Arial"/>
          <w:i w:val="0"/>
          <w:u w:val="none"/>
        </w:rPr>
        <w:t xml:space="preserve"> solution</w:t>
      </w:r>
    </w:p>
    <w:p w14:paraId="55CD31D2" w14:textId="0FB41FA5" w:rsidR="003F6BC2" w:rsidRDefault="003F6BC2" w:rsidP="003F6BC2"/>
    <w:p w14:paraId="77102095" w14:textId="3608A496" w:rsidR="003F6BC2" w:rsidRPr="00DF3D31" w:rsidRDefault="003F6BC2" w:rsidP="3E35B9E5">
      <w:pPr>
        <w:rPr>
          <w:b/>
          <w:bCs/>
        </w:rPr>
      </w:pPr>
      <w:r w:rsidRPr="3E35B9E5">
        <w:rPr>
          <w:b/>
          <w:bCs/>
        </w:rPr>
        <w:t xml:space="preserve">Project REF: </w:t>
      </w:r>
      <w:r w:rsidR="4B482097" w:rsidRPr="3E35B9E5">
        <w:rPr>
          <w:b/>
          <w:bCs/>
        </w:rPr>
        <w:t xml:space="preserve"> </w:t>
      </w:r>
      <w:r w:rsidR="4B482097" w:rsidRPr="00055277">
        <w:rPr>
          <w:b/>
          <w:bCs/>
        </w:rPr>
        <w:t>DN651617</w:t>
      </w:r>
    </w:p>
    <w:p w14:paraId="02E2B297" w14:textId="1751477D" w:rsidR="003F6BC2" w:rsidRPr="00335203" w:rsidRDefault="00AA4414" w:rsidP="003F6BC2">
      <w:pPr>
        <w:rPr>
          <w:b/>
          <w:bCs/>
        </w:rPr>
      </w:pPr>
      <w:r>
        <w:rPr>
          <w:b/>
          <w:bCs/>
        </w:rPr>
        <w:t xml:space="preserve">Issue </w:t>
      </w:r>
      <w:r w:rsidRPr="00335203">
        <w:rPr>
          <w:b/>
          <w:bCs/>
        </w:rPr>
        <w:t>date</w:t>
      </w:r>
      <w:r w:rsidR="003F6BC2" w:rsidRPr="00335203">
        <w:rPr>
          <w:b/>
          <w:bCs/>
        </w:rPr>
        <w:t xml:space="preserve">: </w:t>
      </w:r>
      <w:r w:rsidR="00341001" w:rsidRPr="00335203">
        <w:rPr>
          <w:b/>
          <w:bCs/>
        </w:rPr>
        <w:t>14</w:t>
      </w:r>
      <w:r w:rsidR="003F6BC2" w:rsidRPr="00335203">
        <w:rPr>
          <w:b/>
          <w:bCs/>
        </w:rPr>
        <w:t xml:space="preserve"> </w:t>
      </w:r>
      <w:r w:rsidRPr="00335203">
        <w:rPr>
          <w:b/>
          <w:bCs/>
        </w:rPr>
        <w:t>February</w:t>
      </w:r>
      <w:r w:rsidR="003F6BC2" w:rsidRPr="00335203">
        <w:rPr>
          <w:b/>
          <w:bCs/>
        </w:rPr>
        <w:t xml:space="preserve"> 202</w:t>
      </w:r>
      <w:r w:rsidR="00BD3F2D" w:rsidRPr="00335203">
        <w:rPr>
          <w:b/>
          <w:bCs/>
        </w:rPr>
        <w:t>3</w:t>
      </w:r>
    </w:p>
    <w:p w14:paraId="7F59CF29" w14:textId="41B5FCC9" w:rsidR="003F6BC2" w:rsidRPr="00335203" w:rsidRDefault="003F6BC2" w:rsidP="003F6BC2">
      <w:pPr>
        <w:rPr>
          <w:b/>
          <w:bCs/>
        </w:rPr>
      </w:pPr>
      <w:r w:rsidRPr="00335203">
        <w:rPr>
          <w:b/>
          <w:bCs/>
        </w:rPr>
        <w:t xml:space="preserve">Contract term: </w:t>
      </w:r>
      <w:r w:rsidR="007D3493" w:rsidRPr="00335203">
        <w:rPr>
          <w:b/>
          <w:bCs/>
        </w:rPr>
        <w:t>24</w:t>
      </w:r>
      <w:r w:rsidRPr="00335203">
        <w:rPr>
          <w:b/>
        </w:rPr>
        <w:t xml:space="preserve"> months</w:t>
      </w:r>
      <w:r w:rsidR="00276C10" w:rsidRPr="00335203">
        <w:rPr>
          <w:b/>
          <w:bCs/>
        </w:rPr>
        <w:t xml:space="preserve"> + </w:t>
      </w:r>
      <w:r w:rsidR="00AA4414" w:rsidRPr="00335203">
        <w:rPr>
          <w:b/>
          <w:bCs/>
        </w:rPr>
        <w:t>12</w:t>
      </w:r>
      <w:r w:rsidR="00341001" w:rsidRPr="00335203">
        <w:rPr>
          <w:b/>
          <w:bCs/>
        </w:rPr>
        <w:t>-</w:t>
      </w:r>
      <w:r w:rsidR="00AA4414" w:rsidRPr="00335203">
        <w:rPr>
          <w:b/>
          <w:bCs/>
        </w:rPr>
        <w:t>month</w:t>
      </w:r>
      <w:r w:rsidR="00276C10" w:rsidRPr="00335203">
        <w:rPr>
          <w:b/>
          <w:bCs/>
        </w:rPr>
        <w:t xml:space="preserve"> optional extension</w:t>
      </w:r>
    </w:p>
    <w:p w14:paraId="1E3C3C20" w14:textId="0D3D09D9" w:rsidR="003F6BC2" w:rsidRPr="00335203" w:rsidRDefault="003F6BC2" w:rsidP="003F6BC2">
      <w:pPr>
        <w:rPr>
          <w:b/>
          <w:bCs/>
        </w:rPr>
      </w:pPr>
      <w:r w:rsidRPr="00335203">
        <w:rPr>
          <w:b/>
          <w:bCs/>
        </w:rPr>
        <w:t>Procedure: Open</w:t>
      </w:r>
    </w:p>
    <w:p w14:paraId="5CC30D3B" w14:textId="23F536A3" w:rsidR="003F6BC2" w:rsidRDefault="003F6BC2" w:rsidP="003F6BC2">
      <w:pPr>
        <w:rPr>
          <w:b/>
          <w:bCs/>
        </w:rPr>
      </w:pPr>
      <w:r w:rsidRPr="00335203">
        <w:rPr>
          <w:b/>
          <w:bCs/>
        </w:rPr>
        <w:t xml:space="preserve">Tender submission deadline: </w:t>
      </w:r>
      <w:r w:rsidR="00DC7308" w:rsidRPr="00335203">
        <w:rPr>
          <w:b/>
          <w:bCs/>
        </w:rPr>
        <w:t>03 April</w:t>
      </w:r>
      <w:r w:rsidRPr="00335203">
        <w:rPr>
          <w:b/>
          <w:bCs/>
        </w:rPr>
        <w:t xml:space="preserve"> 202</w:t>
      </w:r>
      <w:r w:rsidR="00BD3F2D" w:rsidRPr="00335203">
        <w:rPr>
          <w:b/>
          <w:bCs/>
        </w:rPr>
        <w:t>3</w:t>
      </w:r>
    </w:p>
    <w:p w14:paraId="4692EC21" w14:textId="3A0EDDDD" w:rsidR="003B10A2" w:rsidRPr="00DF3D31" w:rsidRDefault="003B10A2" w:rsidP="003F6BC2">
      <w:pPr>
        <w:rPr>
          <w:b/>
          <w:bCs/>
        </w:rPr>
      </w:pPr>
      <w:r>
        <w:rPr>
          <w:b/>
          <w:bCs/>
        </w:rPr>
        <w:br w:type="page"/>
      </w:r>
    </w:p>
    <w:sdt>
      <w:sdtPr>
        <w:rPr>
          <w:rFonts w:asciiTheme="minorHAnsi" w:eastAsiaTheme="minorHAnsi" w:hAnsiTheme="minorHAnsi" w:cstheme="minorBidi"/>
          <w:color w:val="auto"/>
          <w:sz w:val="22"/>
          <w:szCs w:val="22"/>
          <w:lang w:val="en-GB"/>
        </w:rPr>
        <w:id w:val="-444848198"/>
        <w:docPartObj>
          <w:docPartGallery w:val="Table of Contents"/>
          <w:docPartUnique/>
        </w:docPartObj>
      </w:sdtPr>
      <w:sdtEndPr>
        <w:rPr>
          <w:b/>
          <w:bCs/>
          <w:noProof/>
        </w:rPr>
      </w:sdtEndPr>
      <w:sdtContent>
        <w:p w14:paraId="304C2BB3" w14:textId="3CD5D7A4" w:rsidR="003B10A2" w:rsidRDefault="003B10A2">
          <w:pPr>
            <w:pStyle w:val="TOCHeading"/>
          </w:pPr>
          <w:r>
            <w:t>Contents</w:t>
          </w:r>
        </w:p>
        <w:p w14:paraId="4AF7A398" w14:textId="1D37858C" w:rsidR="00833149" w:rsidRDefault="003B10A2">
          <w:pPr>
            <w:pStyle w:val="TOC2"/>
            <w:rPr>
              <w:rFonts w:eastAsiaTheme="minorEastAsia"/>
              <w:noProof/>
              <w:lang w:eastAsia="en-GB"/>
            </w:rPr>
          </w:pPr>
          <w:r>
            <w:fldChar w:fldCharType="begin"/>
          </w:r>
          <w:r>
            <w:instrText xml:space="preserve"> TOC \o "1-3" \h \z \u </w:instrText>
          </w:r>
          <w:r>
            <w:fldChar w:fldCharType="separate"/>
          </w:r>
          <w:hyperlink w:anchor="_Toc127213824" w:history="1">
            <w:r w:rsidR="00833149" w:rsidRPr="00611546">
              <w:rPr>
                <w:rStyle w:val="Hyperlink"/>
                <w:noProof/>
              </w:rPr>
              <w:t>Instructions for Tender</w:t>
            </w:r>
            <w:r w:rsidR="00833149">
              <w:rPr>
                <w:noProof/>
                <w:webHidden/>
              </w:rPr>
              <w:tab/>
            </w:r>
            <w:r w:rsidR="00833149">
              <w:rPr>
                <w:noProof/>
                <w:webHidden/>
              </w:rPr>
              <w:fldChar w:fldCharType="begin"/>
            </w:r>
            <w:r w:rsidR="00833149">
              <w:rPr>
                <w:noProof/>
                <w:webHidden/>
              </w:rPr>
              <w:instrText xml:space="preserve"> PAGEREF _Toc127213824 \h </w:instrText>
            </w:r>
            <w:r w:rsidR="00833149">
              <w:rPr>
                <w:noProof/>
                <w:webHidden/>
              </w:rPr>
            </w:r>
            <w:r w:rsidR="00833149">
              <w:rPr>
                <w:noProof/>
                <w:webHidden/>
              </w:rPr>
              <w:fldChar w:fldCharType="separate"/>
            </w:r>
            <w:r w:rsidR="00833149">
              <w:rPr>
                <w:noProof/>
                <w:webHidden/>
              </w:rPr>
              <w:t>3</w:t>
            </w:r>
            <w:r w:rsidR="00833149">
              <w:rPr>
                <w:noProof/>
                <w:webHidden/>
              </w:rPr>
              <w:fldChar w:fldCharType="end"/>
            </w:r>
          </w:hyperlink>
        </w:p>
        <w:p w14:paraId="194BCD1F" w14:textId="08040161" w:rsidR="00833149" w:rsidRDefault="00335203">
          <w:pPr>
            <w:pStyle w:val="TOC2"/>
            <w:rPr>
              <w:rFonts w:eastAsiaTheme="minorEastAsia"/>
              <w:noProof/>
              <w:lang w:eastAsia="en-GB"/>
            </w:rPr>
          </w:pPr>
          <w:hyperlink w:anchor="_Toc127213825" w:history="1">
            <w:r w:rsidR="00833149" w:rsidRPr="00611546">
              <w:rPr>
                <w:rStyle w:val="Hyperlink"/>
                <w:noProof/>
              </w:rPr>
              <w:t>The West of England Combined Authority</w:t>
            </w:r>
            <w:r w:rsidR="00833149">
              <w:rPr>
                <w:noProof/>
                <w:webHidden/>
              </w:rPr>
              <w:tab/>
            </w:r>
            <w:r w:rsidR="00833149">
              <w:rPr>
                <w:noProof/>
                <w:webHidden/>
              </w:rPr>
              <w:fldChar w:fldCharType="begin"/>
            </w:r>
            <w:r w:rsidR="00833149">
              <w:rPr>
                <w:noProof/>
                <w:webHidden/>
              </w:rPr>
              <w:instrText xml:space="preserve"> PAGEREF _Toc127213825 \h </w:instrText>
            </w:r>
            <w:r w:rsidR="00833149">
              <w:rPr>
                <w:noProof/>
                <w:webHidden/>
              </w:rPr>
            </w:r>
            <w:r w:rsidR="00833149">
              <w:rPr>
                <w:noProof/>
                <w:webHidden/>
              </w:rPr>
              <w:fldChar w:fldCharType="separate"/>
            </w:r>
            <w:r w:rsidR="00833149">
              <w:rPr>
                <w:noProof/>
                <w:webHidden/>
              </w:rPr>
              <w:t>4</w:t>
            </w:r>
            <w:r w:rsidR="00833149">
              <w:rPr>
                <w:noProof/>
                <w:webHidden/>
              </w:rPr>
              <w:fldChar w:fldCharType="end"/>
            </w:r>
          </w:hyperlink>
        </w:p>
        <w:p w14:paraId="0C08DC02" w14:textId="4D3E3D07" w:rsidR="00833149" w:rsidRDefault="00335203">
          <w:pPr>
            <w:pStyle w:val="TOC3"/>
            <w:rPr>
              <w:rFonts w:eastAsiaTheme="minorEastAsia"/>
              <w:noProof/>
              <w:lang w:eastAsia="en-GB"/>
            </w:rPr>
          </w:pPr>
          <w:hyperlink w:anchor="_Toc127213826" w:history="1">
            <w:r w:rsidR="00833149" w:rsidRPr="00611546">
              <w:rPr>
                <w:rStyle w:val="Hyperlink"/>
                <w:noProof/>
                <w:lang w:eastAsia="en-GB"/>
              </w:rPr>
              <w:t>1.</w:t>
            </w:r>
            <w:r w:rsidR="00833149">
              <w:rPr>
                <w:rFonts w:eastAsiaTheme="minorEastAsia"/>
                <w:noProof/>
                <w:lang w:eastAsia="en-GB"/>
              </w:rPr>
              <w:tab/>
            </w:r>
            <w:r w:rsidR="00833149" w:rsidRPr="00611546">
              <w:rPr>
                <w:rStyle w:val="Hyperlink"/>
                <w:noProof/>
                <w:lang w:eastAsia="en-GB"/>
              </w:rPr>
              <w:t>Introduction</w:t>
            </w:r>
            <w:r w:rsidR="00833149">
              <w:rPr>
                <w:noProof/>
                <w:webHidden/>
              </w:rPr>
              <w:tab/>
            </w:r>
            <w:r w:rsidR="00833149">
              <w:rPr>
                <w:noProof/>
                <w:webHidden/>
              </w:rPr>
              <w:fldChar w:fldCharType="begin"/>
            </w:r>
            <w:r w:rsidR="00833149">
              <w:rPr>
                <w:noProof/>
                <w:webHidden/>
              </w:rPr>
              <w:instrText xml:space="preserve"> PAGEREF _Toc127213826 \h </w:instrText>
            </w:r>
            <w:r w:rsidR="00833149">
              <w:rPr>
                <w:noProof/>
                <w:webHidden/>
              </w:rPr>
            </w:r>
            <w:r w:rsidR="00833149">
              <w:rPr>
                <w:noProof/>
                <w:webHidden/>
              </w:rPr>
              <w:fldChar w:fldCharType="separate"/>
            </w:r>
            <w:r w:rsidR="00833149">
              <w:rPr>
                <w:noProof/>
                <w:webHidden/>
              </w:rPr>
              <w:t>5</w:t>
            </w:r>
            <w:r w:rsidR="00833149">
              <w:rPr>
                <w:noProof/>
                <w:webHidden/>
              </w:rPr>
              <w:fldChar w:fldCharType="end"/>
            </w:r>
          </w:hyperlink>
        </w:p>
        <w:p w14:paraId="4AECDF9D" w14:textId="7D243783" w:rsidR="00833149" w:rsidRDefault="00335203">
          <w:pPr>
            <w:pStyle w:val="TOC3"/>
            <w:rPr>
              <w:rFonts w:eastAsiaTheme="minorEastAsia"/>
              <w:noProof/>
              <w:lang w:eastAsia="en-GB"/>
            </w:rPr>
          </w:pPr>
          <w:hyperlink w:anchor="_Toc127213827" w:history="1">
            <w:r w:rsidR="00833149" w:rsidRPr="00611546">
              <w:rPr>
                <w:rStyle w:val="Hyperlink"/>
                <w:noProof/>
                <w:lang w:eastAsia="en-GB"/>
              </w:rPr>
              <w:t>2.</w:t>
            </w:r>
            <w:r w:rsidR="00833149">
              <w:rPr>
                <w:rFonts w:eastAsiaTheme="minorEastAsia"/>
                <w:noProof/>
                <w:lang w:eastAsia="en-GB"/>
              </w:rPr>
              <w:tab/>
            </w:r>
            <w:r w:rsidR="00833149" w:rsidRPr="00611546">
              <w:rPr>
                <w:rStyle w:val="Hyperlink"/>
                <w:noProof/>
                <w:lang w:eastAsia="en-GB"/>
              </w:rPr>
              <w:t>ITT Documentation</w:t>
            </w:r>
            <w:r w:rsidR="00833149">
              <w:rPr>
                <w:noProof/>
                <w:webHidden/>
              </w:rPr>
              <w:tab/>
            </w:r>
            <w:r w:rsidR="00833149">
              <w:rPr>
                <w:noProof/>
                <w:webHidden/>
              </w:rPr>
              <w:fldChar w:fldCharType="begin"/>
            </w:r>
            <w:r w:rsidR="00833149">
              <w:rPr>
                <w:noProof/>
                <w:webHidden/>
              </w:rPr>
              <w:instrText xml:space="preserve"> PAGEREF _Toc127213827 \h </w:instrText>
            </w:r>
            <w:r w:rsidR="00833149">
              <w:rPr>
                <w:noProof/>
                <w:webHidden/>
              </w:rPr>
            </w:r>
            <w:r w:rsidR="00833149">
              <w:rPr>
                <w:noProof/>
                <w:webHidden/>
              </w:rPr>
              <w:fldChar w:fldCharType="separate"/>
            </w:r>
            <w:r w:rsidR="00833149">
              <w:rPr>
                <w:noProof/>
                <w:webHidden/>
              </w:rPr>
              <w:t>5</w:t>
            </w:r>
            <w:r w:rsidR="00833149">
              <w:rPr>
                <w:noProof/>
                <w:webHidden/>
              </w:rPr>
              <w:fldChar w:fldCharType="end"/>
            </w:r>
          </w:hyperlink>
        </w:p>
        <w:p w14:paraId="7C4B6E49" w14:textId="112EA131" w:rsidR="00833149" w:rsidRDefault="00335203">
          <w:pPr>
            <w:pStyle w:val="TOC3"/>
            <w:rPr>
              <w:rFonts w:eastAsiaTheme="minorEastAsia"/>
              <w:noProof/>
              <w:lang w:eastAsia="en-GB"/>
            </w:rPr>
          </w:pPr>
          <w:hyperlink w:anchor="_Toc127213828" w:history="1">
            <w:r w:rsidR="00833149" w:rsidRPr="00611546">
              <w:rPr>
                <w:rStyle w:val="Hyperlink"/>
                <w:noProof/>
                <w:lang w:eastAsia="en-GB"/>
              </w:rPr>
              <w:t>3.</w:t>
            </w:r>
            <w:r w:rsidR="00833149">
              <w:rPr>
                <w:rFonts w:eastAsiaTheme="minorEastAsia"/>
                <w:noProof/>
                <w:lang w:eastAsia="en-GB"/>
              </w:rPr>
              <w:tab/>
            </w:r>
            <w:r w:rsidR="00833149" w:rsidRPr="00611546">
              <w:rPr>
                <w:rStyle w:val="Hyperlink"/>
                <w:noProof/>
                <w:lang w:eastAsia="en-GB"/>
              </w:rPr>
              <w:t>Procurement Route</w:t>
            </w:r>
            <w:r w:rsidR="00833149">
              <w:rPr>
                <w:noProof/>
                <w:webHidden/>
              </w:rPr>
              <w:tab/>
            </w:r>
            <w:r w:rsidR="00833149">
              <w:rPr>
                <w:noProof/>
                <w:webHidden/>
              </w:rPr>
              <w:fldChar w:fldCharType="begin"/>
            </w:r>
            <w:r w:rsidR="00833149">
              <w:rPr>
                <w:noProof/>
                <w:webHidden/>
              </w:rPr>
              <w:instrText xml:space="preserve"> PAGEREF _Toc127213828 \h </w:instrText>
            </w:r>
            <w:r w:rsidR="00833149">
              <w:rPr>
                <w:noProof/>
                <w:webHidden/>
              </w:rPr>
            </w:r>
            <w:r w:rsidR="00833149">
              <w:rPr>
                <w:noProof/>
                <w:webHidden/>
              </w:rPr>
              <w:fldChar w:fldCharType="separate"/>
            </w:r>
            <w:r w:rsidR="00833149">
              <w:rPr>
                <w:noProof/>
                <w:webHidden/>
              </w:rPr>
              <w:t>6</w:t>
            </w:r>
            <w:r w:rsidR="00833149">
              <w:rPr>
                <w:noProof/>
                <w:webHidden/>
              </w:rPr>
              <w:fldChar w:fldCharType="end"/>
            </w:r>
          </w:hyperlink>
        </w:p>
        <w:p w14:paraId="74D2E811" w14:textId="5878F889" w:rsidR="00833149" w:rsidRDefault="00335203">
          <w:pPr>
            <w:pStyle w:val="TOC3"/>
            <w:rPr>
              <w:rFonts w:eastAsiaTheme="minorEastAsia"/>
              <w:noProof/>
              <w:lang w:eastAsia="en-GB"/>
            </w:rPr>
          </w:pPr>
          <w:hyperlink w:anchor="_Toc127213829" w:history="1">
            <w:r w:rsidR="00833149" w:rsidRPr="00611546">
              <w:rPr>
                <w:rStyle w:val="Hyperlink"/>
                <w:noProof/>
                <w:lang w:eastAsia="en-GB"/>
              </w:rPr>
              <w:t>4.</w:t>
            </w:r>
            <w:r w:rsidR="00833149">
              <w:rPr>
                <w:rFonts w:eastAsiaTheme="minorEastAsia"/>
                <w:noProof/>
                <w:lang w:eastAsia="en-GB"/>
              </w:rPr>
              <w:tab/>
            </w:r>
            <w:r w:rsidR="00833149" w:rsidRPr="00611546">
              <w:rPr>
                <w:rStyle w:val="Hyperlink"/>
                <w:noProof/>
                <w:lang w:eastAsia="en-GB"/>
              </w:rPr>
              <w:t>Procurement timescales</w:t>
            </w:r>
            <w:r w:rsidR="00833149">
              <w:rPr>
                <w:noProof/>
                <w:webHidden/>
              </w:rPr>
              <w:tab/>
            </w:r>
            <w:r w:rsidR="00833149">
              <w:rPr>
                <w:noProof/>
                <w:webHidden/>
              </w:rPr>
              <w:fldChar w:fldCharType="begin"/>
            </w:r>
            <w:r w:rsidR="00833149">
              <w:rPr>
                <w:noProof/>
                <w:webHidden/>
              </w:rPr>
              <w:instrText xml:space="preserve"> PAGEREF _Toc127213829 \h </w:instrText>
            </w:r>
            <w:r w:rsidR="00833149">
              <w:rPr>
                <w:noProof/>
                <w:webHidden/>
              </w:rPr>
            </w:r>
            <w:r w:rsidR="00833149">
              <w:rPr>
                <w:noProof/>
                <w:webHidden/>
              </w:rPr>
              <w:fldChar w:fldCharType="separate"/>
            </w:r>
            <w:r w:rsidR="00833149">
              <w:rPr>
                <w:noProof/>
                <w:webHidden/>
              </w:rPr>
              <w:t>6</w:t>
            </w:r>
            <w:r w:rsidR="00833149">
              <w:rPr>
                <w:noProof/>
                <w:webHidden/>
              </w:rPr>
              <w:fldChar w:fldCharType="end"/>
            </w:r>
          </w:hyperlink>
        </w:p>
        <w:p w14:paraId="5A1DD6A0" w14:textId="7FC8DEA7" w:rsidR="00833149" w:rsidRDefault="00335203">
          <w:pPr>
            <w:pStyle w:val="TOC3"/>
            <w:rPr>
              <w:rFonts w:eastAsiaTheme="minorEastAsia"/>
              <w:noProof/>
              <w:lang w:eastAsia="en-GB"/>
            </w:rPr>
          </w:pPr>
          <w:hyperlink w:anchor="_Toc127213830" w:history="1">
            <w:r w:rsidR="00833149" w:rsidRPr="00611546">
              <w:rPr>
                <w:rStyle w:val="Hyperlink"/>
                <w:noProof/>
                <w:lang w:eastAsia="en-GB"/>
              </w:rPr>
              <w:t>5.</w:t>
            </w:r>
            <w:r w:rsidR="00833149">
              <w:rPr>
                <w:rFonts w:eastAsiaTheme="minorEastAsia"/>
                <w:noProof/>
                <w:lang w:eastAsia="en-GB"/>
              </w:rPr>
              <w:tab/>
            </w:r>
            <w:r w:rsidR="00833149" w:rsidRPr="00611546">
              <w:rPr>
                <w:rStyle w:val="Hyperlink"/>
                <w:noProof/>
                <w:lang w:eastAsia="en-GB"/>
              </w:rPr>
              <w:t>Compliant Tender</w:t>
            </w:r>
            <w:r w:rsidR="00833149">
              <w:rPr>
                <w:noProof/>
                <w:webHidden/>
              </w:rPr>
              <w:tab/>
            </w:r>
            <w:r w:rsidR="00833149">
              <w:rPr>
                <w:noProof/>
                <w:webHidden/>
              </w:rPr>
              <w:fldChar w:fldCharType="begin"/>
            </w:r>
            <w:r w:rsidR="00833149">
              <w:rPr>
                <w:noProof/>
                <w:webHidden/>
              </w:rPr>
              <w:instrText xml:space="preserve"> PAGEREF _Toc127213830 \h </w:instrText>
            </w:r>
            <w:r w:rsidR="00833149">
              <w:rPr>
                <w:noProof/>
                <w:webHidden/>
              </w:rPr>
            </w:r>
            <w:r w:rsidR="00833149">
              <w:rPr>
                <w:noProof/>
                <w:webHidden/>
              </w:rPr>
              <w:fldChar w:fldCharType="separate"/>
            </w:r>
            <w:r w:rsidR="00833149">
              <w:rPr>
                <w:noProof/>
                <w:webHidden/>
              </w:rPr>
              <w:t>7</w:t>
            </w:r>
            <w:r w:rsidR="00833149">
              <w:rPr>
                <w:noProof/>
                <w:webHidden/>
              </w:rPr>
              <w:fldChar w:fldCharType="end"/>
            </w:r>
          </w:hyperlink>
        </w:p>
        <w:p w14:paraId="45BF9B1B" w14:textId="4D21746B" w:rsidR="00833149" w:rsidRDefault="00335203">
          <w:pPr>
            <w:pStyle w:val="TOC3"/>
            <w:rPr>
              <w:rFonts w:eastAsiaTheme="minorEastAsia"/>
              <w:noProof/>
              <w:lang w:eastAsia="en-GB"/>
            </w:rPr>
          </w:pPr>
          <w:hyperlink w:anchor="_Toc127213831" w:history="1">
            <w:r w:rsidR="00833149" w:rsidRPr="00611546">
              <w:rPr>
                <w:rStyle w:val="Hyperlink"/>
                <w:noProof/>
                <w:lang w:eastAsia="en-GB"/>
              </w:rPr>
              <w:t>6.</w:t>
            </w:r>
            <w:r w:rsidR="00833149">
              <w:rPr>
                <w:rFonts w:eastAsiaTheme="minorEastAsia"/>
                <w:noProof/>
                <w:lang w:eastAsia="en-GB"/>
              </w:rPr>
              <w:tab/>
            </w:r>
            <w:r w:rsidR="00833149" w:rsidRPr="00611546">
              <w:rPr>
                <w:rStyle w:val="Hyperlink"/>
                <w:noProof/>
                <w:lang w:eastAsia="en-GB"/>
              </w:rPr>
              <w:t>Variant Tender</w:t>
            </w:r>
            <w:r w:rsidR="00833149">
              <w:rPr>
                <w:noProof/>
                <w:webHidden/>
              </w:rPr>
              <w:tab/>
            </w:r>
            <w:r w:rsidR="00833149">
              <w:rPr>
                <w:noProof/>
                <w:webHidden/>
              </w:rPr>
              <w:fldChar w:fldCharType="begin"/>
            </w:r>
            <w:r w:rsidR="00833149">
              <w:rPr>
                <w:noProof/>
                <w:webHidden/>
              </w:rPr>
              <w:instrText xml:space="preserve"> PAGEREF _Toc127213831 \h </w:instrText>
            </w:r>
            <w:r w:rsidR="00833149">
              <w:rPr>
                <w:noProof/>
                <w:webHidden/>
              </w:rPr>
            </w:r>
            <w:r w:rsidR="00833149">
              <w:rPr>
                <w:noProof/>
                <w:webHidden/>
              </w:rPr>
              <w:fldChar w:fldCharType="separate"/>
            </w:r>
            <w:r w:rsidR="00833149">
              <w:rPr>
                <w:noProof/>
                <w:webHidden/>
              </w:rPr>
              <w:t>8</w:t>
            </w:r>
            <w:r w:rsidR="00833149">
              <w:rPr>
                <w:noProof/>
                <w:webHidden/>
              </w:rPr>
              <w:fldChar w:fldCharType="end"/>
            </w:r>
          </w:hyperlink>
        </w:p>
        <w:p w14:paraId="62AE329F" w14:textId="7D49133D" w:rsidR="00833149" w:rsidRDefault="00335203">
          <w:pPr>
            <w:pStyle w:val="TOC3"/>
            <w:rPr>
              <w:rFonts w:eastAsiaTheme="minorEastAsia"/>
              <w:noProof/>
              <w:lang w:eastAsia="en-GB"/>
            </w:rPr>
          </w:pPr>
          <w:hyperlink w:anchor="_Toc127213832" w:history="1">
            <w:r w:rsidR="00833149" w:rsidRPr="00611546">
              <w:rPr>
                <w:rStyle w:val="Hyperlink"/>
                <w:noProof/>
                <w:lang w:eastAsia="en-GB"/>
              </w:rPr>
              <w:t>7.</w:t>
            </w:r>
            <w:r w:rsidR="00833149">
              <w:rPr>
                <w:rFonts w:eastAsiaTheme="minorEastAsia"/>
                <w:noProof/>
                <w:lang w:eastAsia="en-GB"/>
              </w:rPr>
              <w:tab/>
            </w:r>
            <w:r w:rsidR="00833149" w:rsidRPr="00611546">
              <w:rPr>
                <w:rStyle w:val="Hyperlink"/>
                <w:noProof/>
                <w:lang w:eastAsia="en-GB"/>
              </w:rPr>
              <w:t>Form of Contract</w:t>
            </w:r>
            <w:r w:rsidR="00833149">
              <w:rPr>
                <w:noProof/>
                <w:webHidden/>
              </w:rPr>
              <w:tab/>
            </w:r>
            <w:r w:rsidR="00833149">
              <w:rPr>
                <w:noProof/>
                <w:webHidden/>
              </w:rPr>
              <w:fldChar w:fldCharType="begin"/>
            </w:r>
            <w:r w:rsidR="00833149">
              <w:rPr>
                <w:noProof/>
                <w:webHidden/>
              </w:rPr>
              <w:instrText xml:space="preserve"> PAGEREF _Toc127213832 \h </w:instrText>
            </w:r>
            <w:r w:rsidR="00833149">
              <w:rPr>
                <w:noProof/>
                <w:webHidden/>
              </w:rPr>
            </w:r>
            <w:r w:rsidR="00833149">
              <w:rPr>
                <w:noProof/>
                <w:webHidden/>
              </w:rPr>
              <w:fldChar w:fldCharType="separate"/>
            </w:r>
            <w:r w:rsidR="00833149">
              <w:rPr>
                <w:noProof/>
                <w:webHidden/>
              </w:rPr>
              <w:t>9</w:t>
            </w:r>
            <w:r w:rsidR="00833149">
              <w:rPr>
                <w:noProof/>
                <w:webHidden/>
              </w:rPr>
              <w:fldChar w:fldCharType="end"/>
            </w:r>
          </w:hyperlink>
        </w:p>
        <w:p w14:paraId="4FD8F978" w14:textId="719A01B5" w:rsidR="00833149" w:rsidRDefault="00335203">
          <w:pPr>
            <w:pStyle w:val="TOC3"/>
            <w:rPr>
              <w:rFonts w:eastAsiaTheme="minorEastAsia"/>
              <w:noProof/>
              <w:lang w:eastAsia="en-GB"/>
            </w:rPr>
          </w:pPr>
          <w:hyperlink w:anchor="_Toc127213833" w:history="1">
            <w:r w:rsidR="00833149" w:rsidRPr="00611546">
              <w:rPr>
                <w:rStyle w:val="Hyperlink"/>
                <w:noProof/>
                <w:lang w:eastAsia="en-GB"/>
              </w:rPr>
              <w:t>8.</w:t>
            </w:r>
            <w:r w:rsidR="00833149">
              <w:rPr>
                <w:rFonts w:eastAsiaTheme="minorEastAsia"/>
                <w:noProof/>
                <w:lang w:eastAsia="en-GB"/>
              </w:rPr>
              <w:tab/>
            </w:r>
            <w:r w:rsidR="00833149" w:rsidRPr="00611546">
              <w:rPr>
                <w:rStyle w:val="Hyperlink"/>
                <w:noProof/>
                <w:lang w:eastAsia="en-GB"/>
              </w:rPr>
              <w:t>Tenderer’s Responsibility</w:t>
            </w:r>
            <w:r w:rsidR="00833149">
              <w:rPr>
                <w:noProof/>
                <w:webHidden/>
              </w:rPr>
              <w:tab/>
            </w:r>
            <w:r w:rsidR="00833149">
              <w:rPr>
                <w:noProof/>
                <w:webHidden/>
              </w:rPr>
              <w:fldChar w:fldCharType="begin"/>
            </w:r>
            <w:r w:rsidR="00833149">
              <w:rPr>
                <w:noProof/>
                <w:webHidden/>
              </w:rPr>
              <w:instrText xml:space="preserve"> PAGEREF _Toc127213833 \h </w:instrText>
            </w:r>
            <w:r w:rsidR="00833149">
              <w:rPr>
                <w:noProof/>
                <w:webHidden/>
              </w:rPr>
            </w:r>
            <w:r w:rsidR="00833149">
              <w:rPr>
                <w:noProof/>
                <w:webHidden/>
              </w:rPr>
              <w:fldChar w:fldCharType="separate"/>
            </w:r>
            <w:r w:rsidR="00833149">
              <w:rPr>
                <w:noProof/>
                <w:webHidden/>
              </w:rPr>
              <w:t>9</w:t>
            </w:r>
            <w:r w:rsidR="00833149">
              <w:rPr>
                <w:noProof/>
                <w:webHidden/>
              </w:rPr>
              <w:fldChar w:fldCharType="end"/>
            </w:r>
          </w:hyperlink>
        </w:p>
        <w:p w14:paraId="51E74629" w14:textId="4F3B51EA" w:rsidR="00833149" w:rsidRDefault="00335203">
          <w:pPr>
            <w:pStyle w:val="TOC3"/>
            <w:rPr>
              <w:rFonts w:eastAsiaTheme="minorEastAsia"/>
              <w:noProof/>
              <w:lang w:eastAsia="en-GB"/>
            </w:rPr>
          </w:pPr>
          <w:hyperlink w:anchor="_Toc127213834" w:history="1">
            <w:r w:rsidR="00833149" w:rsidRPr="00611546">
              <w:rPr>
                <w:rStyle w:val="Hyperlink"/>
                <w:noProof/>
                <w:lang w:eastAsia="en-GB"/>
              </w:rPr>
              <w:t>9.</w:t>
            </w:r>
            <w:r w:rsidR="00833149">
              <w:rPr>
                <w:rFonts w:eastAsiaTheme="minorEastAsia"/>
                <w:noProof/>
                <w:lang w:eastAsia="en-GB"/>
              </w:rPr>
              <w:tab/>
            </w:r>
            <w:r w:rsidR="00833149" w:rsidRPr="00611546">
              <w:rPr>
                <w:rStyle w:val="Hyperlink"/>
                <w:noProof/>
                <w:lang w:eastAsia="en-GB"/>
              </w:rPr>
              <w:t>Completing the Selection Questionnaire</w:t>
            </w:r>
            <w:r w:rsidR="00833149">
              <w:rPr>
                <w:noProof/>
                <w:webHidden/>
              </w:rPr>
              <w:tab/>
            </w:r>
            <w:r w:rsidR="00833149">
              <w:rPr>
                <w:noProof/>
                <w:webHidden/>
              </w:rPr>
              <w:fldChar w:fldCharType="begin"/>
            </w:r>
            <w:r w:rsidR="00833149">
              <w:rPr>
                <w:noProof/>
                <w:webHidden/>
              </w:rPr>
              <w:instrText xml:space="preserve"> PAGEREF _Toc127213834 \h </w:instrText>
            </w:r>
            <w:r w:rsidR="00833149">
              <w:rPr>
                <w:noProof/>
                <w:webHidden/>
              </w:rPr>
            </w:r>
            <w:r w:rsidR="00833149">
              <w:rPr>
                <w:noProof/>
                <w:webHidden/>
              </w:rPr>
              <w:fldChar w:fldCharType="separate"/>
            </w:r>
            <w:r w:rsidR="00833149">
              <w:rPr>
                <w:noProof/>
                <w:webHidden/>
              </w:rPr>
              <w:t>9</w:t>
            </w:r>
            <w:r w:rsidR="00833149">
              <w:rPr>
                <w:noProof/>
                <w:webHidden/>
              </w:rPr>
              <w:fldChar w:fldCharType="end"/>
            </w:r>
          </w:hyperlink>
        </w:p>
        <w:p w14:paraId="307B7D5E" w14:textId="51CDB452" w:rsidR="00833149" w:rsidRDefault="00335203">
          <w:pPr>
            <w:pStyle w:val="TOC3"/>
            <w:rPr>
              <w:rFonts w:eastAsiaTheme="minorEastAsia"/>
              <w:noProof/>
              <w:lang w:eastAsia="en-GB"/>
            </w:rPr>
          </w:pPr>
          <w:hyperlink w:anchor="_Toc127213835" w:history="1">
            <w:r w:rsidR="00833149" w:rsidRPr="00611546">
              <w:rPr>
                <w:rStyle w:val="Hyperlink"/>
                <w:noProof/>
                <w:lang w:eastAsia="en-GB"/>
              </w:rPr>
              <w:t>10.</w:t>
            </w:r>
            <w:r w:rsidR="00833149">
              <w:rPr>
                <w:rFonts w:eastAsiaTheme="minorEastAsia"/>
                <w:noProof/>
                <w:lang w:eastAsia="en-GB"/>
              </w:rPr>
              <w:tab/>
            </w:r>
            <w:r w:rsidR="00833149" w:rsidRPr="00611546">
              <w:rPr>
                <w:rStyle w:val="Hyperlink"/>
                <w:noProof/>
                <w:lang w:eastAsia="en-GB"/>
              </w:rPr>
              <w:t>Completing the Quality Questions</w:t>
            </w:r>
            <w:r w:rsidR="00833149">
              <w:rPr>
                <w:noProof/>
                <w:webHidden/>
              </w:rPr>
              <w:tab/>
            </w:r>
            <w:r w:rsidR="00833149">
              <w:rPr>
                <w:noProof/>
                <w:webHidden/>
              </w:rPr>
              <w:fldChar w:fldCharType="begin"/>
            </w:r>
            <w:r w:rsidR="00833149">
              <w:rPr>
                <w:noProof/>
                <w:webHidden/>
              </w:rPr>
              <w:instrText xml:space="preserve"> PAGEREF _Toc127213835 \h </w:instrText>
            </w:r>
            <w:r w:rsidR="00833149">
              <w:rPr>
                <w:noProof/>
                <w:webHidden/>
              </w:rPr>
            </w:r>
            <w:r w:rsidR="00833149">
              <w:rPr>
                <w:noProof/>
                <w:webHidden/>
              </w:rPr>
              <w:fldChar w:fldCharType="separate"/>
            </w:r>
            <w:r w:rsidR="00833149">
              <w:rPr>
                <w:noProof/>
                <w:webHidden/>
              </w:rPr>
              <w:t>9</w:t>
            </w:r>
            <w:r w:rsidR="00833149">
              <w:rPr>
                <w:noProof/>
                <w:webHidden/>
              </w:rPr>
              <w:fldChar w:fldCharType="end"/>
            </w:r>
          </w:hyperlink>
        </w:p>
        <w:p w14:paraId="0C855D43" w14:textId="340B8B57" w:rsidR="00833149" w:rsidRDefault="00335203">
          <w:pPr>
            <w:pStyle w:val="TOC3"/>
            <w:rPr>
              <w:rFonts w:eastAsiaTheme="minorEastAsia"/>
              <w:noProof/>
              <w:lang w:eastAsia="en-GB"/>
            </w:rPr>
          </w:pPr>
          <w:hyperlink w:anchor="_Toc127213836" w:history="1">
            <w:r w:rsidR="00833149" w:rsidRPr="00611546">
              <w:rPr>
                <w:rStyle w:val="Hyperlink"/>
                <w:noProof/>
                <w:lang w:eastAsia="en-GB"/>
              </w:rPr>
              <w:t>11.</w:t>
            </w:r>
            <w:r w:rsidR="00833149">
              <w:rPr>
                <w:rFonts w:eastAsiaTheme="minorEastAsia"/>
                <w:noProof/>
                <w:lang w:eastAsia="en-GB"/>
              </w:rPr>
              <w:tab/>
            </w:r>
            <w:r w:rsidR="00833149" w:rsidRPr="00611546">
              <w:rPr>
                <w:rStyle w:val="Hyperlink"/>
                <w:noProof/>
                <w:lang w:eastAsia="en-GB"/>
              </w:rPr>
              <w:t>Pricing Schedule</w:t>
            </w:r>
            <w:r w:rsidR="00833149">
              <w:rPr>
                <w:noProof/>
                <w:webHidden/>
              </w:rPr>
              <w:tab/>
            </w:r>
            <w:r w:rsidR="00833149">
              <w:rPr>
                <w:noProof/>
                <w:webHidden/>
              </w:rPr>
              <w:fldChar w:fldCharType="begin"/>
            </w:r>
            <w:r w:rsidR="00833149">
              <w:rPr>
                <w:noProof/>
                <w:webHidden/>
              </w:rPr>
              <w:instrText xml:space="preserve"> PAGEREF _Toc127213836 \h </w:instrText>
            </w:r>
            <w:r w:rsidR="00833149">
              <w:rPr>
                <w:noProof/>
                <w:webHidden/>
              </w:rPr>
            </w:r>
            <w:r w:rsidR="00833149">
              <w:rPr>
                <w:noProof/>
                <w:webHidden/>
              </w:rPr>
              <w:fldChar w:fldCharType="separate"/>
            </w:r>
            <w:r w:rsidR="00833149">
              <w:rPr>
                <w:noProof/>
                <w:webHidden/>
              </w:rPr>
              <w:t>10</w:t>
            </w:r>
            <w:r w:rsidR="00833149">
              <w:rPr>
                <w:noProof/>
                <w:webHidden/>
              </w:rPr>
              <w:fldChar w:fldCharType="end"/>
            </w:r>
          </w:hyperlink>
        </w:p>
        <w:p w14:paraId="73578C35" w14:textId="1167DC0C" w:rsidR="00833149" w:rsidRDefault="00335203">
          <w:pPr>
            <w:pStyle w:val="TOC3"/>
            <w:rPr>
              <w:rFonts w:eastAsiaTheme="minorEastAsia"/>
              <w:noProof/>
              <w:lang w:eastAsia="en-GB"/>
            </w:rPr>
          </w:pPr>
          <w:hyperlink w:anchor="_Toc127213837" w:history="1">
            <w:r w:rsidR="00833149" w:rsidRPr="00611546">
              <w:rPr>
                <w:rStyle w:val="Hyperlink"/>
                <w:noProof/>
                <w:lang w:eastAsia="en-GB"/>
              </w:rPr>
              <w:t>12.</w:t>
            </w:r>
            <w:r w:rsidR="00833149">
              <w:rPr>
                <w:rFonts w:eastAsiaTheme="minorEastAsia"/>
                <w:noProof/>
                <w:lang w:eastAsia="en-GB"/>
              </w:rPr>
              <w:tab/>
            </w:r>
            <w:r w:rsidR="00833149" w:rsidRPr="00611546">
              <w:rPr>
                <w:rStyle w:val="Hyperlink"/>
                <w:noProof/>
                <w:lang w:eastAsia="en-GB"/>
              </w:rPr>
              <w:t>Submission of Tender - Electronic Tendering</w:t>
            </w:r>
            <w:r w:rsidR="00833149">
              <w:rPr>
                <w:noProof/>
                <w:webHidden/>
              </w:rPr>
              <w:tab/>
            </w:r>
            <w:r w:rsidR="00833149">
              <w:rPr>
                <w:noProof/>
                <w:webHidden/>
              </w:rPr>
              <w:fldChar w:fldCharType="begin"/>
            </w:r>
            <w:r w:rsidR="00833149">
              <w:rPr>
                <w:noProof/>
                <w:webHidden/>
              </w:rPr>
              <w:instrText xml:space="preserve"> PAGEREF _Toc127213837 \h </w:instrText>
            </w:r>
            <w:r w:rsidR="00833149">
              <w:rPr>
                <w:noProof/>
                <w:webHidden/>
              </w:rPr>
            </w:r>
            <w:r w:rsidR="00833149">
              <w:rPr>
                <w:noProof/>
                <w:webHidden/>
              </w:rPr>
              <w:fldChar w:fldCharType="separate"/>
            </w:r>
            <w:r w:rsidR="00833149">
              <w:rPr>
                <w:noProof/>
                <w:webHidden/>
              </w:rPr>
              <w:t>10</w:t>
            </w:r>
            <w:r w:rsidR="00833149">
              <w:rPr>
                <w:noProof/>
                <w:webHidden/>
              </w:rPr>
              <w:fldChar w:fldCharType="end"/>
            </w:r>
          </w:hyperlink>
        </w:p>
        <w:p w14:paraId="00AAC84A" w14:textId="47CC3596" w:rsidR="00833149" w:rsidRDefault="00335203">
          <w:pPr>
            <w:pStyle w:val="TOC3"/>
            <w:rPr>
              <w:rFonts w:eastAsiaTheme="minorEastAsia"/>
              <w:noProof/>
              <w:lang w:eastAsia="en-GB"/>
            </w:rPr>
          </w:pPr>
          <w:hyperlink w:anchor="_Toc127213838" w:history="1">
            <w:r w:rsidR="00833149" w:rsidRPr="00611546">
              <w:rPr>
                <w:rStyle w:val="Hyperlink"/>
                <w:noProof/>
                <w:lang w:eastAsia="en-GB"/>
              </w:rPr>
              <w:t>13.</w:t>
            </w:r>
            <w:r w:rsidR="00833149">
              <w:rPr>
                <w:rFonts w:eastAsiaTheme="minorEastAsia"/>
                <w:noProof/>
                <w:lang w:eastAsia="en-GB"/>
              </w:rPr>
              <w:tab/>
            </w:r>
            <w:r w:rsidR="00833149" w:rsidRPr="00611546">
              <w:rPr>
                <w:rStyle w:val="Hyperlink"/>
                <w:noProof/>
                <w:lang w:eastAsia="en-GB"/>
              </w:rPr>
              <w:t>Tender Clarifications</w:t>
            </w:r>
            <w:r w:rsidR="00833149">
              <w:rPr>
                <w:noProof/>
                <w:webHidden/>
              </w:rPr>
              <w:tab/>
            </w:r>
            <w:r w:rsidR="00833149">
              <w:rPr>
                <w:noProof/>
                <w:webHidden/>
              </w:rPr>
              <w:fldChar w:fldCharType="begin"/>
            </w:r>
            <w:r w:rsidR="00833149">
              <w:rPr>
                <w:noProof/>
                <w:webHidden/>
              </w:rPr>
              <w:instrText xml:space="preserve"> PAGEREF _Toc127213838 \h </w:instrText>
            </w:r>
            <w:r w:rsidR="00833149">
              <w:rPr>
                <w:noProof/>
                <w:webHidden/>
              </w:rPr>
            </w:r>
            <w:r w:rsidR="00833149">
              <w:rPr>
                <w:noProof/>
                <w:webHidden/>
              </w:rPr>
              <w:fldChar w:fldCharType="separate"/>
            </w:r>
            <w:r w:rsidR="00833149">
              <w:rPr>
                <w:noProof/>
                <w:webHidden/>
              </w:rPr>
              <w:t>11</w:t>
            </w:r>
            <w:r w:rsidR="00833149">
              <w:rPr>
                <w:noProof/>
                <w:webHidden/>
              </w:rPr>
              <w:fldChar w:fldCharType="end"/>
            </w:r>
          </w:hyperlink>
        </w:p>
        <w:p w14:paraId="32D27C40" w14:textId="743A7D59" w:rsidR="00833149" w:rsidRDefault="00335203">
          <w:pPr>
            <w:pStyle w:val="TOC3"/>
            <w:rPr>
              <w:rFonts w:eastAsiaTheme="minorEastAsia"/>
              <w:noProof/>
              <w:lang w:eastAsia="en-GB"/>
            </w:rPr>
          </w:pPr>
          <w:hyperlink w:anchor="_Toc127213839" w:history="1">
            <w:r w:rsidR="00833149" w:rsidRPr="00611546">
              <w:rPr>
                <w:rStyle w:val="Hyperlink"/>
                <w:noProof/>
                <w:lang w:eastAsia="en-GB"/>
              </w:rPr>
              <w:t>14.</w:t>
            </w:r>
            <w:r w:rsidR="00833149">
              <w:rPr>
                <w:rFonts w:eastAsiaTheme="minorEastAsia"/>
                <w:noProof/>
                <w:lang w:eastAsia="en-GB"/>
              </w:rPr>
              <w:tab/>
            </w:r>
            <w:r w:rsidR="00833149" w:rsidRPr="00611546">
              <w:rPr>
                <w:rStyle w:val="Hyperlink"/>
                <w:noProof/>
                <w:lang w:eastAsia="en-GB"/>
              </w:rPr>
              <w:t>Evaluation and Selection of Preferred Tenderer</w:t>
            </w:r>
            <w:r w:rsidR="00833149">
              <w:rPr>
                <w:noProof/>
                <w:webHidden/>
              </w:rPr>
              <w:tab/>
            </w:r>
            <w:r w:rsidR="00833149">
              <w:rPr>
                <w:noProof/>
                <w:webHidden/>
              </w:rPr>
              <w:fldChar w:fldCharType="begin"/>
            </w:r>
            <w:r w:rsidR="00833149">
              <w:rPr>
                <w:noProof/>
                <w:webHidden/>
              </w:rPr>
              <w:instrText xml:space="preserve"> PAGEREF _Toc127213839 \h </w:instrText>
            </w:r>
            <w:r w:rsidR="00833149">
              <w:rPr>
                <w:noProof/>
                <w:webHidden/>
              </w:rPr>
            </w:r>
            <w:r w:rsidR="00833149">
              <w:rPr>
                <w:noProof/>
                <w:webHidden/>
              </w:rPr>
              <w:fldChar w:fldCharType="separate"/>
            </w:r>
            <w:r w:rsidR="00833149">
              <w:rPr>
                <w:noProof/>
                <w:webHidden/>
              </w:rPr>
              <w:t>12</w:t>
            </w:r>
            <w:r w:rsidR="00833149">
              <w:rPr>
                <w:noProof/>
                <w:webHidden/>
              </w:rPr>
              <w:fldChar w:fldCharType="end"/>
            </w:r>
          </w:hyperlink>
        </w:p>
        <w:p w14:paraId="4FF57406" w14:textId="258A9F76" w:rsidR="00833149" w:rsidRDefault="00335203">
          <w:pPr>
            <w:pStyle w:val="TOC3"/>
            <w:rPr>
              <w:rFonts w:eastAsiaTheme="minorEastAsia"/>
              <w:noProof/>
              <w:lang w:eastAsia="en-GB"/>
            </w:rPr>
          </w:pPr>
          <w:hyperlink w:anchor="_Toc127213840" w:history="1">
            <w:r w:rsidR="00833149" w:rsidRPr="00611546">
              <w:rPr>
                <w:rStyle w:val="Hyperlink"/>
                <w:noProof/>
                <w:lang w:eastAsia="en-GB"/>
              </w:rPr>
              <w:t>15.</w:t>
            </w:r>
            <w:r w:rsidR="00833149">
              <w:rPr>
                <w:rFonts w:eastAsiaTheme="minorEastAsia"/>
                <w:noProof/>
                <w:lang w:eastAsia="en-GB"/>
              </w:rPr>
              <w:tab/>
            </w:r>
            <w:r w:rsidR="00833149" w:rsidRPr="00611546">
              <w:rPr>
                <w:rStyle w:val="Hyperlink"/>
                <w:noProof/>
                <w:lang w:eastAsia="en-GB"/>
              </w:rPr>
              <w:t>Evaluation of Quality Questions</w:t>
            </w:r>
            <w:r w:rsidR="00833149">
              <w:rPr>
                <w:noProof/>
                <w:webHidden/>
              </w:rPr>
              <w:tab/>
            </w:r>
            <w:r w:rsidR="00833149">
              <w:rPr>
                <w:noProof/>
                <w:webHidden/>
              </w:rPr>
              <w:fldChar w:fldCharType="begin"/>
            </w:r>
            <w:r w:rsidR="00833149">
              <w:rPr>
                <w:noProof/>
                <w:webHidden/>
              </w:rPr>
              <w:instrText xml:space="preserve"> PAGEREF _Toc127213840 \h </w:instrText>
            </w:r>
            <w:r w:rsidR="00833149">
              <w:rPr>
                <w:noProof/>
                <w:webHidden/>
              </w:rPr>
            </w:r>
            <w:r w:rsidR="00833149">
              <w:rPr>
                <w:noProof/>
                <w:webHidden/>
              </w:rPr>
              <w:fldChar w:fldCharType="separate"/>
            </w:r>
            <w:r w:rsidR="00833149">
              <w:rPr>
                <w:noProof/>
                <w:webHidden/>
              </w:rPr>
              <w:t>13</w:t>
            </w:r>
            <w:r w:rsidR="00833149">
              <w:rPr>
                <w:noProof/>
                <w:webHidden/>
              </w:rPr>
              <w:fldChar w:fldCharType="end"/>
            </w:r>
          </w:hyperlink>
        </w:p>
        <w:p w14:paraId="1670E82E" w14:textId="05D7DB8A" w:rsidR="00833149" w:rsidRDefault="00335203">
          <w:pPr>
            <w:pStyle w:val="TOC3"/>
            <w:rPr>
              <w:rFonts w:eastAsiaTheme="minorEastAsia"/>
              <w:noProof/>
              <w:lang w:eastAsia="en-GB"/>
            </w:rPr>
          </w:pPr>
          <w:hyperlink w:anchor="_Toc127213841" w:history="1">
            <w:r w:rsidR="00833149" w:rsidRPr="00611546">
              <w:rPr>
                <w:rStyle w:val="Hyperlink"/>
                <w:noProof/>
                <w:lang w:eastAsia="en-GB"/>
              </w:rPr>
              <w:t>16.</w:t>
            </w:r>
            <w:r w:rsidR="00833149">
              <w:rPr>
                <w:rFonts w:eastAsiaTheme="minorEastAsia"/>
                <w:noProof/>
                <w:lang w:eastAsia="en-GB"/>
              </w:rPr>
              <w:tab/>
            </w:r>
            <w:r w:rsidR="00833149" w:rsidRPr="00611546">
              <w:rPr>
                <w:rStyle w:val="Hyperlink"/>
                <w:noProof/>
                <w:lang w:eastAsia="en-GB"/>
              </w:rPr>
              <w:t>Evaluation of Price submission</w:t>
            </w:r>
            <w:r w:rsidR="00833149">
              <w:rPr>
                <w:noProof/>
                <w:webHidden/>
              </w:rPr>
              <w:tab/>
            </w:r>
            <w:r w:rsidR="00833149">
              <w:rPr>
                <w:noProof/>
                <w:webHidden/>
              </w:rPr>
              <w:fldChar w:fldCharType="begin"/>
            </w:r>
            <w:r w:rsidR="00833149">
              <w:rPr>
                <w:noProof/>
                <w:webHidden/>
              </w:rPr>
              <w:instrText xml:space="preserve"> PAGEREF _Toc127213841 \h </w:instrText>
            </w:r>
            <w:r w:rsidR="00833149">
              <w:rPr>
                <w:noProof/>
                <w:webHidden/>
              </w:rPr>
            </w:r>
            <w:r w:rsidR="00833149">
              <w:rPr>
                <w:noProof/>
                <w:webHidden/>
              </w:rPr>
              <w:fldChar w:fldCharType="separate"/>
            </w:r>
            <w:r w:rsidR="00833149">
              <w:rPr>
                <w:noProof/>
                <w:webHidden/>
              </w:rPr>
              <w:t>15</w:t>
            </w:r>
            <w:r w:rsidR="00833149">
              <w:rPr>
                <w:noProof/>
                <w:webHidden/>
              </w:rPr>
              <w:fldChar w:fldCharType="end"/>
            </w:r>
          </w:hyperlink>
        </w:p>
        <w:p w14:paraId="0487EE5A" w14:textId="26B55D6B" w:rsidR="00833149" w:rsidRDefault="00335203">
          <w:pPr>
            <w:pStyle w:val="TOC3"/>
            <w:rPr>
              <w:rFonts w:eastAsiaTheme="minorEastAsia"/>
              <w:noProof/>
              <w:lang w:eastAsia="en-GB"/>
            </w:rPr>
          </w:pPr>
          <w:hyperlink w:anchor="_Toc127213842" w:history="1">
            <w:r w:rsidR="00833149" w:rsidRPr="00611546">
              <w:rPr>
                <w:rStyle w:val="Hyperlink"/>
                <w:noProof/>
                <w:lang w:eastAsia="en-GB"/>
              </w:rPr>
              <w:t>17.</w:t>
            </w:r>
            <w:r w:rsidR="00833149">
              <w:rPr>
                <w:rFonts w:eastAsiaTheme="minorEastAsia"/>
                <w:noProof/>
                <w:lang w:eastAsia="en-GB"/>
              </w:rPr>
              <w:tab/>
            </w:r>
            <w:r w:rsidR="00833149" w:rsidRPr="00611546">
              <w:rPr>
                <w:rStyle w:val="Hyperlink"/>
                <w:noProof/>
                <w:lang w:eastAsia="en-GB"/>
              </w:rPr>
              <w:t>Abnormally Low Tender</w:t>
            </w:r>
            <w:r w:rsidR="00833149">
              <w:rPr>
                <w:noProof/>
                <w:webHidden/>
              </w:rPr>
              <w:tab/>
            </w:r>
            <w:r w:rsidR="00833149">
              <w:rPr>
                <w:noProof/>
                <w:webHidden/>
              </w:rPr>
              <w:fldChar w:fldCharType="begin"/>
            </w:r>
            <w:r w:rsidR="00833149">
              <w:rPr>
                <w:noProof/>
                <w:webHidden/>
              </w:rPr>
              <w:instrText xml:space="preserve"> PAGEREF _Toc127213842 \h </w:instrText>
            </w:r>
            <w:r w:rsidR="00833149">
              <w:rPr>
                <w:noProof/>
                <w:webHidden/>
              </w:rPr>
            </w:r>
            <w:r w:rsidR="00833149">
              <w:rPr>
                <w:noProof/>
                <w:webHidden/>
              </w:rPr>
              <w:fldChar w:fldCharType="separate"/>
            </w:r>
            <w:r w:rsidR="00833149">
              <w:rPr>
                <w:noProof/>
                <w:webHidden/>
              </w:rPr>
              <w:t>16</w:t>
            </w:r>
            <w:r w:rsidR="00833149">
              <w:rPr>
                <w:noProof/>
                <w:webHidden/>
              </w:rPr>
              <w:fldChar w:fldCharType="end"/>
            </w:r>
          </w:hyperlink>
        </w:p>
        <w:p w14:paraId="6DCFAAAA" w14:textId="35A9E7A9" w:rsidR="00833149" w:rsidRDefault="00335203">
          <w:pPr>
            <w:pStyle w:val="TOC3"/>
            <w:rPr>
              <w:rFonts w:eastAsiaTheme="minorEastAsia"/>
              <w:noProof/>
              <w:lang w:eastAsia="en-GB"/>
            </w:rPr>
          </w:pPr>
          <w:hyperlink w:anchor="_Toc127213843" w:history="1">
            <w:r w:rsidR="00833149" w:rsidRPr="00611546">
              <w:rPr>
                <w:rStyle w:val="Hyperlink"/>
                <w:noProof/>
                <w:lang w:eastAsia="en-GB"/>
              </w:rPr>
              <w:t>18.</w:t>
            </w:r>
            <w:r w:rsidR="00833149">
              <w:rPr>
                <w:rFonts w:eastAsiaTheme="minorEastAsia"/>
                <w:noProof/>
                <w:lang w:eastAsia="en-GB"/>
              </w:rPr>
              <w:tab/>
            </w:r>
            <w:r w:rsidR="00833149" w:rsidRPr="00611546">
              <w:rPr>
                <w:rStyle w:val="Hyperlink"/>
                <w:noProof/>
                <w:lang w:eastAsia="en-GB"/>
              </w:rPr>
              <w:t>Financial Standing Appraisals</w:t>
            </w:r>
            <w:r w:rsidR="00833149">
              <w:rPr>
                <w:noProof/>
                <w:webHidden/>
              </w:rPr>
              <w:tab/>
            </w:r>
            <w:r w:rsidR="00833149">
              <w:rPr>
                <w:noProof/>
                <w:webHidden/>
              </w:rPr>
              <w:fldChar w:fldCharType="begin"/>
            </w:r>
            <w:r w:rsidR="00833149">
              <w:rPr>
                <w:noProof/>
                <w:webHidden/>
              </w:rPr>
              <w:instrText xml:space="preserve"> PAGEREF _Toc127213843 \h </w:instrText>
            </w:r>
            <w:r w:rsidR="00833149">
              <w:rPr>
                <w:noProof/>
                <w:webHidden/>
              </w:rPr>
            </w:r>
            <w:r w:rsidR="00833149">
              <w:rPr>
                <w:noProof/>
                <w:webHidden/>
              </w:rPr>
              <w:fldChar w:fldCharType="separate"/>
            </w:r>
            <w:r w:rsidR="00833149">
              <w:rPr>
                <w:noProof/>
                <w:webHidden/>
              </w:rPr>
              <w:t>16</w:t>
            </w:r>
            <w:r w:rsidR="00833149">
              <w:rPr>
                <w:noProof/>
                <w:webHidden/>
              </w:rPr>
              <w:fldChar w:fldCharType="end"/>
            </w:r>
          </w:hyperlink>
        </w:p>
        <w:p w14:paraId="52D32FE5" w14:textId="0E81539F" w:rsidR="00833149" w:rsidRDefault="00335203">
          <w:pPr>
            <w:pStyle w:val="TOC3"/>
            <w:rPr>
              <w:rFonts w:eastAsiaTheme="minorEastAsia"/>
              <w:noProof/>
              <w:lang w:eastAsia="en-GB"/>
            </w:rPr>
          </w:pPr>
          <w:hyperlink w:anchor="_Toc127213844" w:history="1">
            <w:r w:rsidR="00833149" w:rsidRPr="00611546">
              <w:rPr>
                <w:rStyle w:val="Hyperlink"/>
                <w:noProof/>
                <w:lang w:eastAsia="en-GB"/>
              </w:rPr>
              <w:t>19.</w:t>
            </w:r>
            <w:r w:rsidR="00833149">
              <w:rPr>
                <w:rFonts w:eastAsiaTheme="minorEastAsia"/>
                <w:noProof/>
                <w:lang w:eastAsia="en-GB"/>
              </w:rPr>
              <w:tab/>
            </w:r>
            <w:r w:rsidR="00833149" w:rsidRPr="00611546">
              <w:rPr>
                <w:rStyle w:val="Hyperlink"/>
                <w:noProof/>
                <w:lang w:eastAsia="en-GB"/>
              </w:rPr>
              <w:t>Collaboration Arrangements</w:t>
            </w:r>
            <w:r w:rsidR="00833149">
              <w:rPr>
                <w:noProof/>
                <w:webHidden/>
              </w:rPr>
              <w:tab/>
            </w:r>
            <w:r w:rsidR="00833149">
              <w:rPr>
                <w:noProof/>
                <w:webHidden/>
              </w:rPr>
              <w:fldChar w:fldCharType="begin"/>
            </w:r>
            <w:r w:rsidR="00833149">
              <w:rPr>
                <w:noProof/>
                <w:webHidden/>
              </w:rPr>
              <w:instrText xml:space="preserve"> PAGEREF _Toc127213844 \h </w:instrText>
            </w:r>
            <w:r w:rsidR="00833149">
              <w:rPr>
                <w:noProof/>
                <w:webHidden/>
              </w:rPr>
            </w:r>
            <w:r w:rsidR="00833149">
              <w:rPr>
                <w:noProof/>
                <w:webHidden/>
              </w:rPr>
              <w:fldChar w:fldCharType="separate"/>
            </w:r>
            <w:r w:rsidR="00833149">
              <w:rPr>
                <w:noProof/>
                <w:webHidden/>
              </w:rPr>
              <w:t>17</w:t>
            </w:r>
            <w:r w:rsidR="00833149">
              <w:rPr>
                <w:noProof/>
                <w:webHidden/>
              </w:rPr>
              <w:fldChar w:fldCharType="end"/>
            </w:r>
          </w:hyperlink>
        </w:p>
        <w:p w14:paraId="0AE15304" w14:textId="4E45BBC6" w:rsidR="00833149" w:rsidRDefault="00335203">
          <w:pPr>
            <w:pStyle w:val="TOC3"/>
            <w:rPr>
              <w:rFonts w:eastAsiaTheme="minorEastAsia"/>
              <w:noProof/>
              <w:lang w:eastAsia="en-GB"/>
            </w:rPr>
          </w:pPr>
          <w:hyperlink w:anchor="_Toc127213845" w:history="1">
            <w:r w:rsidR="00833149" w:rsidRPr="00611546">
              <w:rPr>
                <w:rStyle w:val="Hyperlink"/>
                <w:noProof/>
                <w:lang w:eastAsia="en-GB"/>
              </w:rPr>
              <w:t>20.</w:t>
            </w:r>
            <w:r w:rsidR="00833149">
              <w:rPr>
                <w:rFonts w:eastAsiaTheme="minorEastAsia"/>
                <w:noProof/>
                <w:lang w:eastAsia="en-GB"/>
              </w:rPr>
              <w:tab/>
            </w:r>
            <w:r w:rsidR="00833149" w:rsidRPr="00611546">
              <w:rPr>
                <w:rStyle w:val="Hyperlink"/>
                <w:noProof/>
                <w:lang w:eastAsia="en-GB"/>
              </w:rPr>
              <w:t>Changes in Circumstances</w:t>
            </w:r>
            <w:r w:rsidR="00833149">
              <w:rPr>
                <w:noProof/>
                <w:webHidden/>
              </w:rPr>
              <w:tab/>
            </w:r>
            <w:r w:rsidR="00833149">
              <w:rPr>
                <w:noProof/>
                <w:webHidden/>
              </w:rPr>
              <w:fldChar w:fldCharType="begin"/>
            </w:r>
            <w:r w:rsidR="00833149">
              <w:rPr>
                <w:noProof/>
                <w:webHidden/>
              </w:rPr>
              <w:instrText xml:space="preserve"> PAGEREF _Toc127213845 \h </w:instrText>
            </w:r>
            <w:r w:rsidR="00833149">
              <w:rPr>
                <w:noProof/>
                <w:webHidden/>
              </w:rPr>
            </w:r>
            <w:r w:rsidR="00833149">
              <w:rPr>
                <w:noProof/>
                <w:webHidden/>
              </w:rPr>
              <w:fldChar w:fldCharType="separate"/>
            </w:r>
            <w:r w:rsidR="00833149">
              <w:rPr>
                <w:noProof/>
                <w:webHidden/>
              </w:rPr>
              <w:t>19</w:t>
            </w:r>
            <w:r w:rsidR="00833149">
              <w:rPr>
                <w:noProof/>
                <w:webHidden/>
              </w:rPr>
              <w:fldChar w:fldCharType="end"/>
            </w:r>
          </w:hyperlink>
        </w:p>
        <w:p w14:paraId="013A665F" w14:textId="0BED1C9D" w:rsidR="00833149" w:rsidRDefault="00335203">
          <w:pPr>
            <w:pStyle w:val="TOC3"/>
            <w:rPr>
              <w:rFonts w:eastAsiaTheme="minorEastAsia"/>
              <w:noProof/>
              <w:lang w:eastAsia="en-GB"/>
            </w:rPr>
          </w:pPr>
          <w:hyperlink w:anchor="_Toc127213846" w:history="1">
            <w:r w:rsidR="00833149" w:rsidRPr="00611546">
              <w:rPr>
                <w:rStyle w:val="Hyperlink"/>
                <w:noProof/>
                <w:lang w:eastAsia="en-GB"/>
              </w:rPr>
              <w:t>21.</w:t>
            </w:r>
            <w:r w:rsidR="00833149">
              <w:rPr>
                <w:rFonts w:eastAsiaTheme="minorEastAsia"/>
                <w:noProof/>
                <w:lang w:eastAsia="en-GB"/>
              </w:rPr>
              <w:tab/>
            </w:r>
            <w:r w:rsidR="00833149" w:rsidRPr="00611546">
              <w:rPr>
                <w:rStyle w:val="Hyperlink"/>
                <w:noProof/>
                <w:lang w:eastAsia="en-GB"/>
              </w:rPr>
              <w:t>Conflict of Interest</w:t>
            </w:r>
            <w:r w:rsidR="00833149">
              <w:rPr>
                <w:noProof/>
                <w:webHidden/>
              </w:rPr>
              <w:tab/>
            </w:r>
            <w:r w:rsidR="00833149">
              <w:rPr>
                <w:noProof/>
                <w:webHidden/>
              </w:rPr>
              <w:fldChar w:fldCharType="begin"/>
            </w:r>
            <w:r w:rsidR="00833149">
              <w:rPr>
                <w:noProof/>
                <w:webHidden/>
              </w:rPr>
              <w:instrText xml:space="preserve"> PAGEREF _Toc127213846 \h </w:instrText>
            </w:r>
            <w:r w:rsidR="00833149">
              <w:rPr>
                <w:noProof/>
                <w:webHidden/>
              </w:rPr>
            </w:r>
            <w:r w:rsidR="00833149">
              <w:rPr>
                <w:noProof/>
                <w:webHidden/>
              </w:rPr>
              <w:fldChar w:fldCharType="separate"/>
            </w:r>
            <w:r w:rsidR="00833149">
              <w:rPr>
                <w:noProof/>
                <w:webHidden/>
              </w:rPr>
              <w:t>19</w:t>
            </w:r>
            <w:r w:rsidR="00833149">
              <w:rPr>
                <w:noProof/>
                <w:webHidden/>
              </w:rPr>
              <w:fldChar w:fldCharType="end"/>
            </w:r>
          </w:hyperlink>
        </w:p>
        <w:p w14:paraId="3875FA8B" w14:textId="475FE900" w:rsidR="00833149" w:rsidRDefault="00335203">
          <w:pPr>
            <w:pStyle w:val="TOC3"/>
            <w:rPr>
              <w:rFonts w:eastAsiaTheme="minorEastAsia"/>
              <w:noProof/>
              <w:lang w:eastAsia="en-GB"/>
            </w:rPr>
          </w:pPr>
          <w:hyperlink w:anchor="_Toc127213847" w:history="1">
            <w:r w:rsidR="00833149" w:rsidRPr="00611546">
              <w:rPr>
                <w:rStyle w:val="Hyperlink"/>
                <w:noProof/>
                <w:lang w:eastAsia="en-GB"/>
              </w:rPr>
              <w:t>22.</w:t>
            </w:r>
            <w:r w:rsidR="00833149">
              <w:rPr>
                <w:rFonts w:eastAsiaTheme="minorEastAsia"/>
                <w:noProof/>
                <w:lang w:eastAsia="en-GB"/>
              </w:rPr>
              <w:tab/>
            </w:r>
            <w:r w:rsidR="00833149" w:rsidRPr="00611546">
              <w:rPr>
                <w:rStyle w:val="Hyperlink"/>
                <w:noProof/>
                <w:lang w:eastAsia="en-GB"/>
              </w:rPr>
              <w:t>Social Value</w:t>
            </w:r>
            <w:r w:rsidR="00833149">
              <w:rPr>
                <w:noProof/>
                <w:webHidden/>
              </w:rPr>
              <w:tab/>
            </w:r>
            <w:r w:rsidR="00833149">
              <w:rPr>
                <w:noProof/>
                <w:webHidden/>
              </w:rPr>
              <w:fldChar w:fldCharType="begin"/>
            </w:r>
            <w:r w:rsidR="00833149">
              <w:rPr>
                <w:noProof/>
                <w:webHidden/>
              </w:rPr>
              <w:instrText xml:space="preserve"> PAGEREF _Toc127213847 \h </w:instrText>
            </w:r>
            <w:r w:rsidR="00833149">
              <w:rPr>
                <w:noProof/>
                <w:webHidden/>
              </w:rPr>
            </w:r>
            <w:r w:rsidR="00833149">
              <w:rPr>
                <w:noProof/>
                <w:webHidden/>
              </w:rPr>
              <w:fldChar w:fldCharType="separate"/>
            </w:r>
            <w:r w:rsidR="00833149">
              <w:rPr>
                <w:noProof/>
                <w:webHidden/>
              </w:rPr>
              <w:t>20</w:t>
            </w:r>
            <w:r w:rsidR="00833149">
              <w:rPr>
                <w:noProof/>
                <w:webHidden/>
              </w:rPr>
              <w:fldChar w:fldCharType="end"/>
            </w:r>
          </w:hyperlink>
        </w:p>
        <w:p w14:paraId="21196A89" w14:textId="255E851E" w:rsidR="00833149" w:rsidRDefault="00335203">
          <w:pPr>
            <w:pStyle w:val="TOC3"/>
            <w:rPr>
              <w:rFonts w:eastAsiaTheme="minorEastAsia"/>
              <w:noProof/>
              <w:lang w:eastAsia="en-GB"/>
            </w:rPr>
          </w:pPr>
          <w:hyperlink w:anchor="_Toc127213848" w:history="1">
            <w:r w:rsidR="00833149" w:rsidRPr="00611546">
              <w:rPr>
                <w:rStyle w:val="Hyperlink"/>
                <w:noProof/>
                <w:lang w:eastAsia="en-GB"/>
              </w:rPr>
              <w:t>23.</w:t>
            </w:r>
            <w:r w:rsidR="00833149">
              <w:rPr>
                <w:rFonts w:eastAsiaTheme="minorEastAsia"/>
                <w:noProof/>
                <w:lang w:eastAsia="en-GB"/>
              </w:rPr>
              <w:tab/>
            </w:r>
            <w:r w:rsidR="00833149" w:rsidRPr="00611546">
              <w:rPr>
                <w:rStyle w:val="Hyperlink"/>
                <w:noProof/>
                <w:lang w:eastAsia="en-GB"/>
              </w:rPr>
              <w:t>Tender Costs</w:t>
            </w:r>
            <w:r w:rsidR="00833149">
              <w:rPr>
                <w:noProof/>
                <w:webHidden/>
              </w:rPr>
              <w:tab/>
            </w:r>
            <w:r w:rsidR="00833149">
              <w:rPr>
                <w:noProof/>
                <w:webHidden/>
              </w:rPr>
              <w:fldChar w:fldCharType="begin"/>
            </w:r>
            <w:r w:rsidR="00833149">
              <w:rPr>
                <w:noProof/>
                <w:webHidden/>
              </w:rPr>
              <w:instrText xml:space="preserve"> PAGEREF _Toc127213848 \h </w:instrText>
            </w:r>
            <w:r w:rsidR="00833149">
              <w:rPr>
                <w:noProof/>
                <w:webHidden/>
              </w:rPr>
            </w:r>
            <w:r w:rsidR="00833149">
              <w:rPr>
                <w:noProof/>
                <w:webHidden/>
              </w:rPr>
              <w:fldChar w:fldCharType="separate"/>
            </w:r>
            <w:r w:rsidR="00833149">
              <w:rPr>
                <w:noProof/>
                <w:webHidden/>
              </w:rPr>
              <w:t>24</w:t>
            </w:r>
            <w:r w:rsidR="00833149">
              <w:rPr>
                <w:noProof/>
                <w:webHidden/>
              </w:rPr>
              <w:fldChar w:fldCharType="end"/>
            </w:r>
          </w:hyperlink>
        </w:p>
        <w:p w14:paraId="6718C603" w14:textId="2C992968" w:rsidR="00833149" w:rsidRDefault="00335203">
          <w:pPr>
            <w:pStyle w:val="TOC3"/>
            <w:rPr>
              <w:rFonts w:eastAsiaTheme="minorEastAsia"/>
              <w:noProof/>
              <w:lang w:eastAsia="en-GB"/>
            </w:rPr>
          </w:pPr>
          <w:hyperlink w:anchor="_Toc127213849" w:history="1">
            <w:r w:rsidR="00833149" w:rsidRPr="00611546">
              <w:rPr>
                <w:rStyle w:val="Hyperlink"/>
                <w:noProof/>
                <w:lang w:eastAsia="en-GB"/>
              </w:rPr>
              <w:t>24.</w:t>
            </w:r>
            <w:r w:rsidR="00833149">
              <w:rPr>
                <w:rFonts w:eastAsiaTheme="minorEastAsia"/>
                <w:noProof/>
                <w:lang w:eastAsia="en-GB"/>
              </w:rPr>
              <w:tab/>
            </w:r>
            <w:r w:rsidR="00833149" w:rsidRPr="00611546">
              <w:rPr>
                <w:rStyle w:val="Hyperlink"/>
                <w:noProof/>
                <w:lang w:eastAsia="en-GB"/>
              </w:rPr>
              <w:t>General Information</w:t>
            </w:r>
            <w:r w:rsidR="00833149">
              <w:rPr>
                <w:noProof/>
                <w:webHidden/>
              </w:rPr>
              <w:tab/>
            </w:r>
            <w:r w:rsidR="00833149">
              <w:rPr>
                <w:noProof/>
                <w:webHidden/>
              </w:rPr>
              <w:fldChar w:fldCharType="begin"/>
            </w:r>
            <w:r w:rsidR="00833149">
              <w:rPr>
                <w:noProof/>
                <w:webHidden/>
              </w:rPr>
              <w:instrText xml:space="preserve"> PAGEREF _Toc127213849 \h </w:instrText>
            </w:r>
            <w:r w:rsidR="00833149">
              <w:rPr>
                <w:noProof/>
                <w:webHidden/>
              </w:rPr>
            </w:r>
            <w:r w:rsidR="00833149">
              <w:rPr>
                <w:noProof/>
                <w:webHidden/>
              </w:rPr>
              <w:fldChar w:fldCharType="separate"/>
            </w:r>
            <w:r w:rsidR="00833149">
              <w:rPr>
                <w:noProof/>
                <w:webHidden/>
              </w:rPr>
              <w:t>24</w:t>
            </w:r>
            <w:r w:rsidR="00833149">
              <w:rPr>
                <w:noProof/>
                <w:webHidden/>
              </w:rPr>
              <w:fldChar w:fldCharType="end"/>
            </w:r>
          </w:hyperlink>
        </w:p>
        <w:p w14:paraId="75352FB1" w14:textId="3C713C6E" w:rsidR="003B10A2" w:rsidRDefault="003B10A2">
          <w:r>
            <w:rPr>
              <w:b/>
              <w:bCs/>
              <w:noProof/>
            </w:rPr>
            <w:fldChar w:fldCharType="end"/>
          </w:r>
        </w:p>
      </w:sdtContent>
    </w:sdt>
    <w:p w14:paraId="7FCED3BC" w14:textId="3E68BAF5" w:rsidR="002325A1" w:rsidRDefault="002325A1"/>
    <w:p w14:paraId="5E46E5A9" w14:textId="77777777" w:rsidR="007C3AC6" w:rsidRDefault="007C3AC6">
      <w:pPr>
        <w:rPr>
          <w:rFonts w:asciiTheme="majorHAnsi" w:eastAsiaTheme="majorEastAsia" w:hAnsiTheme="majorHAnsi" w:cstheme="majorBidi"/>
          <w:color w:val="2F5496" w:themeColor="accent1" w:themeShade="BF"/>
          <w:sz w:val="26"/>
          <w:szCs w:val="26"/>
        </w:rPr>
      </w:pPr>
      <w:r>
        <w:br w:type="page"/>
      </w:r>
    </w:p>
    <w:p w14:paraId="3C1F436F" w14:textId="661220E3" w:rsidR="003F6BC2" w:rsidRDefault="002325A1" w:rsidP="00DF3D31">
      <w:pPr>
        <w:pStyle w:val="Heading2"/>
      </w:pPr>
      <w:bookmarkStart w:id="0" w:name="_Toc127213824"/>
      <w:r>
        <w:lastRenderedPageBreak/>
        <w:t xml:space="preserve">Instructions </w:t>
      </w:r>
      <w:r w:rsidR="00143D96">
        <w:t xml:space="preserve">for </w:t>
      </w:r>
      <w:r>
        <w:t>Te</w:t>
      </w:r>
      <w:r w:rsidR="00DF3D31">
        <w:t>nder</w:t>
      </w:r>
      <w:bookmarkEnd w:id="0"/>
    </w:p>
    <w:p w14:paraId="6CD325FB" w14:textId="67D1CD52" w:rsidR="007A6BB7" w:rsidRDefault="00DF3D31" w:rsidP="003F6BC2">
      <w:r w:rsidRPr="00335203">
        <w:t xml:space="preserve">Date </w:t>
      </w:r>
      <w:r w:rsidR="008A63BF" w:rsidRPr="00335203">
        <w:t>14</w:t>
      </w:r>
      <w:r w:rsidRPr="00335203">
        <w:t xml:space="preserve"> </w:t>
      </w:r>
      <w:r w:rsidR="008A63BF" w:rsidRPr="00335203">
        <w:t>February</w:t>
      </w:r>
      <w:r w:rsidRPr="00335203">
        <w:t xml:space="preserve"> 202</w:t>
      </w:r>
      <w:r w:rsidR="0001290D" w:rsidRPr="00335203">
        <w:t>3</w:t>
      </w:r>
    </w:p>
    <w:p w14:paraId="6CFFF3A4" w14:textId="783E3C00" w:rsidR="007A6BB7" w:rsidRPr="007A6BB7" w:rsidRDefault="00530969" w:rsidP="003F6BC2">
      <w:pPr>
        <w:rPr>
          <w:b/>
          <w:bCs/>
        </w:rPr>
      </w:pPr>
      <w:r>
        <w:rPr>
          <w:b/>
          <w:bCs/>
        </w:rPr>
        <w:t>TENDER INVITATION</w:t>
      </w:r>
    </w:p>
    <w:p w14:paraId="6565650A" w14:textId="0B867C81" w:rsidR="007A6BB7" w:rsidRPr="00530969" w:rsidRDefault="007A6BB7" w:rsidP="003F6BC2">
      <w:pPr>
        <w:rPr>
          <w:b/>
          <w:bCs/>
        </w:rPr>
      </w:pPr>
      <w:r w:rsidRPr="007A6BB7">
        <w:rPr>
          <w:b/>
          <w:bCs/>
        </w:rPr>
        <w:t>For the supply, installation, and maintenance of a Mobility Hubs solution</w:t>
      </w:r>
    </w:p>
    <w:p w14:paraId="1544DC01" w14:textId="77777777" w:rsidR="006B1710" w:rsidRPr="006B1710" w:rsidRDefault="006B1710" w:rsidP="006B1710">
      <w:r w:rsidRPr="006B1710">
        <w:t>I have pleasure in enclosing the Invitation to Tender documents in order that you may submit a Tender for the above contract. </w:t>
      </w:r>
    </w:p>
    <w:p w14:paraId="64CC2687" w14:textId="14C1175A" w:rsidR="006B1710" w:rsidRPr="006B1710" w:rsidRDefault="006B1710" w:rsidP="006B1710">
      <w:r w:rsidRPr="006B1710">
        <w:t>This contract is being procured under the Open Procedure pursuant to the Public Contracts Regulations 2015</w:t>
      </w:r>
      <w:r w:rsidR="008C516F">
        <w:t xml:space="preserve"> (</w:t>
      </w:r>
      <w:r w:rsidR="008C516F" w:rsidRPr="00792F15">
        <w:rPr>
          <w:b/>
        </w:rPr>
        <w:t>PCR 2015</w:t>
      </w:r>
      <w:r w:rsidR="008C516F">
        <w:t>)</w:t>
      </w:r>
      <w:r w:rsidRPr="006B1710">
        <w:t>.</w:t>
      </w:r>
    </w:p>
    <w:p w14:paraId="06EEF445" w14:textId="5E62451D" w:rsidR="006B1710" w:rsidRPr="006B1710" w:rsidRDefault="006B1710" w:rsidP="006B1710">
      <w:r w:rsidRPr="006B1710">
        <w:t xml:space="preserve">Please note that the </w:t>
      </w:r>
      <w:r w:rsidRPr="00E03349">
        <w:rPr>
          <w:bCs/>
        </w:rPr>
        <w:t>Combined Authority</w:t>
      </w:r>
      <w:r w:rsidRPr="006B1710">
        <w:t xml:space="preserve"> will only be bound to consider your Tender if you comply with all requirements of the Tender documentation and complete and return all necessary documents. In particular:</w:t>
      </w:r>
    </w:p>
    <w:p w14:paraId="181DABC6" w14:textId="5EF7BAC9" w:rsidR="006B1710" w:rsidRPr="006B1710" w:rsidRDefault="006B1710" w:rsidP="00EE024B">
      <w:pPr>
        <w:pStyle w:val="ListParagraph"/>
        <w:numPr>
          <w:ilvl w:val="0"/>
          <w:numId w:val="2"/>
        </w:numPr>
      </w:pPr>
      <w:r w:rsidRPr="006B1710">
        <w:t>the bidding entity must meet all the mandatory requirements</w:t>
      </w:r>
    </w:p>
    <w:p w14:paraId="455380F4" w14:textId="4BF10F4D" w:rsidR="006B1710" w:rsidRPr="006B1710" w:rsidRDefault="54EAED7F" w:rsidP="00EE024B">
      <w:pPr>
        <w:pStyle w:val="ListParagraph"/>
        <w:numPr>
          <w:ilvl w:val="0"/>
          <w:numId w:val="2"/>
        </w:numPr>
        <w:rPr>
          <w:rFonts w:eastAsiaTheme="minorEastAsia"/>
        </w:rPr>
      </w:pPr>
      <w:r>
        <w:t>your Tender must be submitted to the Combined Authority through the</w:t>
      </w:r>
      <w:r w:rsidR="50BF7518">
        <w:t xml:space="preserve"> </w:t>
      </w:r>
      <w:r w:rsidR="7F64364C" w:rsidRPr="00E03349">
        <w:t>e-Procurement</w:t>
      </w:r>
      <w:r w:rsidR="50BF7518" w:rsidRPr="00792F15">
        <w:rPr>
          <w:b/>
        </w:rPr>
        <w:t xml:space="preserve"> Portal</w:t>
      </w:r>
      <w:r w:rsidR="50BF7518">
        <w:t xml:space="preserve"> (</w:t>
      </w:r>
      <w:r w:rsidR="61B0482A">
        <w:t>www.supplyingthesouthwest.org.uk)</w:t>
      </w:r>
      <w:r>
        <w:t xml:space="preserve"> no later than </w:t>
      </w:r>
      <w:r w:rsidR="005D1971" w:rsidRPr="00335203">
        <w:t>03 April</w:t>
      </w:r>
      <w:r w:rsidRPr="00335203">
        <w:t xml:space="preserve"> 202</w:t>
      </w:r>
      <w:r w:rsidR="00E12A05" w:rsidRPr="00335203">
        <w:t>3</w:t>
      </w:r>
      <w:r w:rsidRPr="00335203">
        <w:t>; and</w:t>
      </w:r>
    </w:p>
    <w:p w14:paraId="2F86E90F" w14:textId="057AC478" w:rsidR="006B1710" w:rsidRPr="006B1710" w:rsidRDefault="006B1710" w:rsidP="00EE024B">
      <w:pPr>
        <w:pStyle w:val="ListParagraph"/>
        <w:numPr>
          <w:ilvl w:val="0"/>
          <w:numId w:val="2"/>
        </w:numPr>
      </w:pPr>
      <w:r w:rsidRPr="006B1710">
        <w:t xml:space="preserve">your Tender must be accompanied by </w:t>
      </w:r>
      <w:r w:rsidR="00C8334B" w:rsidRPr="006B1710">
        <w:t>all</w:t>
      </w:r>
      <w:r w:rsidRPr="006B1710">
        <w:t xml:space="preserve"> the documents listed in the Requirements Checklist. </w:t>
      </w:r>
    </w:p>
    <w:p w14:paraId="65A7A4D0" w14:textId="1973581D" w:rsidR="006B1710" w:rsidRPr="006B1710" w:rsidRDefault="006B1710" w:rsidP="006B1710">
      <w:r w:rsidRPr="006B1710">
        <w:t xml:space="preserve">You are required to </w:t>
      </w:r>
      <w:r w:rsidR="00CA7AFF">
        <w:t>keep</w:t>
      </w:r>
      <w:r w:rsidR="00CA7AFF" w:rsidRPr="006B1710">
        <w:t xml:space="preserve"> </w:t>
      </w:r>
      <w:r w:rsidRPr="006B1710">
        <w:t xml:space="preserve">all information pertaining to this </w:t>
      </w:r>
      <w:r w:rsidR="00CA7AFF">
        <w:t>procurement</w:t>
      </w:r>
      <w:r w:rsidR="00CA7AFF" w:rsidRPr="006B1710">
        <w:t xml:space="preserve"> </w:t>
      </w:r>
      <w:r w:rsidRPr="006B1710">
        <w:t>confidential and to limit the dissemination of information within your organisation on a need-to-know basis. </w:t>
      </w:r>
    </w:p>
    <w:p w14:paraId="73B6F426" w14:textId="581078C9" w:rsidR="006B1710" w:rsidRPr="006B1710" w:rsidRDefault="006B1710" w:rsidP="006B1710">
      <w:r w:rsidRPr="006B1710">
        <w:t>Yours faithfully </w:t>
      </w:r>
    </w:p>
    <w:p w14:paraId="3246430D" w14:textId="054513DF" w:rsidR="00F20BFA" w:rsidRDefault="006B1710" w:rsidP="006B1710">
      <w:r w:rsidRPr="006B1710">
        <w:t>On behalf of THE WEST OF ENGLAND COMBINED AUTHORITY </w:t>
      </w:r>
    </w:p>
    <w:p w14:paraId="4618032A" w14:textId="77777777" w:rsidR="00F20BFA" w:rsidRDefault="00F20BFA">
      <w:r>
        <w:br w:type="page"/>
      </w:r>
    </w:p>
    <w:p w14:paraId="2B537CA8" w14:textId="6BC13666" w:rsidR="00AB2A7F" w:rsidRDefault="00AB2A7F" w:rsidP="001004D5">
      <w:pPr>
        <w:pStyle w:val="Heading2"/>
      </w:pPr>
      <w:bookmarkStart w:id="1" w:name="_Toc127213825"/>
      <w:r>
        <w:lastRenderedPageBreak/>
        <w:t>The West of England Combined Authority</w:t>
      </w:r>
      <w:bookmarkEnd w:id="1"/>
    </w:p>
    <w:p w14:paraId="46A12840" w14:textId="2E353E36" w:rsidR="005014DD" w:rsidRPr="005014DD" w:rsidRDefault="005014DD" w:rsidP="005014DD">
      <w:r w:rsidRPr="005014DD">
        <w:t>The West of England Combined Authority is creating a better, greener future for people who live and work in the region.</w:t>
      </w:r>
    </w:p>
    <w:p w14:paraId="2F9200F5" w14:textId="77777777" w:rsidR="005014DD" w:rsidRPr="005014DD" w:rsidRDefault="005014DD" w:rsidP="005014DD">
      <w:r w:rsidRPr="005014DD">
        <w:t>It’s improving peoples’ lives:</w:t>
      </w:r>
    </w:p>
    <w:p w14:paraId="0F3B8B74" w14:textId="77777777" w:rsidR="005014DD" w:rsidRPr="005014DD" w:rsidRDefault="005014DD" w:rsidP="00EE024B">
      <w:pPr>
        <w:pStyle w:val="ListParagraph"/>
        <w:numPr>
          <w:ilvl w:val="0"/>
          <w:numId w:val="3"/>
        </w:numPr>
      </w:pPr>
      <w:r w:rsidRPr="005014DD">
        <w:t xml:space="preserve">helping residents secure decent jobs and homes they can afford.  </w:t>
      </w:r>
    </w:p>
    <w:p w14:paraId="7A618973" w14:textId="77777777" w:rsidR="005014DD" w:rsidRPr="005014DD" w:rsidRDefault="005014DD" w:rsidP="00EE024B">
      <w:pPr>
        <w:pStyle w:val="ListParagraph"/>
        <w:numPr>
          <w:ilvl w:val="0"/>
          <w:numId w:val="3"/>
        </w:numPr>
      </w:pPr>
      <w:r w:rsidRPr="005014DD">
        <w:t>tackling climate change and the ecological emergency.</w:t>
      </w:r>
    </w:p>
    <w:p w14:paraId="0AE2F658" w14:textId="77777777" w:rsidR="005014DD" w:rsidRPr="005014DD" w:rsidRDefault="005014DD" w:rsidP="00EE024B">
      <w:pPr>
        <w:pStyle w:val="ListParagraph"/>
        <w:numPr>
          <w:ilvl w:val="0"/>
          <w:numId w:val="3"/>
        </w:numPr>
      </w:pPr>
      <w:r w:rsidRPr="005014DD">
        <w:t>providing access to skills and training.</w:t>
      </w:r>
    </w:p>
    <w:p w14:paraId="4011414C" w14:textId="77777777" w:rsidR="005014DD" w:rsidRPr="005014DD" w:rsidRDefault="005014DD" w:rsidP="00EE024B">
      <w:pPr>
        <w:pStyle w:val="ListParagraph"/>
        <w:numPr>
          <w:ilvl w:val="0"/>
          <w:numId w:val="3"/>
        </w:numPr>
      </w:pPr>
      <w:r w:rsidRPr="005014DD">
        <w:t>improving transport and the places people live, work and visit.</w:t>
      </w:r>
    </w:p>
    <w:p w14:paraId="1233459A" w14:textId="2E2E508C" w:rsidR="005014DD" w:rsidRPr="005014DD" w:rsidRDefault="005014DD" w:rsidP="00EE024B">
      <w:pPr>
        <w:pStyle w:val="ListParagraph"/>
        <w:numPr>
          <w:ilvl w:val="0"/>
          <w:numId w:val="3"/>
        </w:numPr>
      </w:pPr>
      <w:r w:rsidRPr="005014DD">
        <w:t xml:space="preserve">supporting businesses to succeed. </w:t>
      </w:r>
    </w:p>
    <w:p w14:paraId="69C0CBE6" w14:textId="64252B6B" w:rsidR="005014DD" w:rsidRPr="005014DD" w:rsidRDefault="005014DD" w:rsidP="005014DD">
      <w:r w:rsidRPr="005014DD">
        <w:t>The West of England Combined Authority is creating a region to be proud of.</w:t>
      </w:r>
    </w:p>
    <w:p w14:paraId="245B27A0" w14:textId="77777777" w:rsidR="005014DD" w:rsidRPr="005014DD" w:rsidRDefault="005014DD" w:rsidP="005014DD">
      <w:r w:rsidRPr="005014DD">
        <w:t>The West of England region:</w:t>
      </w:r>
    </w:p>
    <w:p w14:paraId="580BDC45" w14:textId="6D20647A" w:rsidR="005014DD" w:rsidRPr="005014DD" w:rsidRDefault="005014DD" w:rsidP="00EE024B">
      <w:pPr>
        <w:pStyle w:val="ListParagraph"/>
        <w:numPr>
          <w:ilvl w:val="0"/>
          <w:numId w:val="4"/>
        </w:numPr>
      </w:pPr>
      <w:r w:rsidRPr="005014DD">
        <w:t xml:space="preserve">has a diverse population of more than 1.1million </w:t>
      </w:r>
      <w:proofErr w:type="gramStart"/>
      <w:r w:rsidRPr="005014DD">
        <w:t>people</w:t>
      </w:r>
      <w:proofErr w:type="gramEnd"/>
    </w:p>
    <w:p w14:paraId="5A0E3747" w14:textId="0EBB8B4B" w:rsidR="005014DD" w:rsidRPr="005014DD" w:rsidRDefault="005014DD" w:rsidP="00EE024B">
      <w:pPr>
        <w:pStyle w:val="ListParagraph"/>
        <w:numPr>
          <w:ilvl w:val="0"/>
          <w:numId w:val="4"/>
        </w:numPr>
      </w:pPr>
      <w:r w:rsidRPr="005014DD">
        <w:t>boasts a highly skilled workforce and one of the highest levels of graduates in the UK</w:t>
      </w:r>
    </w:p>
    <w:p w14:paraId="6E6B946E" w14:textId="77777777" w:rsidR="005014DD" w:rsidRPr="005014DD" w:rsidRDefault="005014DD" w:rsidP="00EE024B">
      <w:pPr>
        <w:pStyle w:val="ListParagraph"/>
        <w:numPr>
          <w:ilvl w:val="0"/>
          <w:numId w:val="4"/>
        </w:numPr>
      </w:pPr>
      <w:r w:rsidRPr="005014DD">
        <w:t xml:space="preserve">is home to innovative and creative businesses </w:t>
      </w:r>
    </w:p>
    <w:p w14:paraId="5B2F5394" w14:textId="4BDB702C" w:rsidR="005014DD" w:rsidRPr="005014DD" w:rsidRDefault="005014DD" w:rsidP="00EE024B">
      <w:pPr>
        <w:pStyle w:val="ListParagraph"/>
        <w:numPr>
          <w:ilvl w:val="0"/>
          <w:numId w:val="4"/>
        </w:numPr>
      </w:pPr>
      <w:r w:rsidRPr="005014DD">
        <w:t xml:space="preserve">has an economy, built on strong foundations, worth over £40bn a year </w:t>
      </w:r>
    </w:p>
    <w:p w14:paraId="223980BF" w14:textId="62323A18" w:rsidR="005014DD" w:rsidRPr="005014DD" w:rsidRDefault="005014DD" w:rsidP="005014DD">
      <w:r w:rsidRPr="005014DD">
        <w:t xml:space="preserve">It’s a region which competes on global scale. A region where ideas flourish and businesses grow. </w:t>
      </w:r>
    </w:p>
    <w:p w14:paraId="130CE17A" w14:textId="77777777" w:rsidR="005014DD" w:rsidRDefault="005014DD" w:rsidP="005014DD">
      <w:pPr>
        <w:autoSpaceDE w:val="0"/>
        <w:autoSpaceDN w:val="0"/>
        <w:adjustRightInd w:val="0"/>
        <w:rPr>
          <w:rFonts w:ascii="Arial" w:eastAsia="Calibri" w:hAnsi="Arial" w:cs="Arial"/>
          <w:color w:val="000000"/>
        </w:rPr>
      </w:pPr>
    </w:p>
    <w:p w14:paraId="7032C0BC" w14:textId="77777777" w:rsidR="005014DD" w:rsidRPr="004E6D9F" w:rsidRDefault="005014DD" w:rsidP="005014DD">
      <w:pPr>
        <w:autoSpaceDE w:val="0"/>
        <w:autoSpaceDN w:val="0"/>
        <w:adjustRightInd w:val="0"/>
        <w:rPr>
          <w:rFonts w:ascii="Arial" w:eastAsia="Calibri" w:hAnsi="Arial" w:cs="Arial"/>
          <w:color w:val="000000"/>
        </w:rPr>
      </w:pPr>
      <w:r>
        <w:rPr>
          <w:noProof/>
        </w:rPr>
        <w:drawing>
          <wp:inline distT="0" distB="0" distL="0" distR="0" wp14:anchorId="00306E5D" wp14:editId="5D068DF2">
            <wp:extent cx="4267200" cy="3614182"/>
            <wp:effectExtent l="0" t="0" r="0" b="5715"/>
            <wp:docPr id="9239721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431863"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267200" cy="3614182"/>
                    </a:xfrm>
                    <a:prstGeom prst="rect">
                      <a:avLst/>
                    </a:prstGeom>
                  </pic:spPr>
                </pic:pic>
              </a:graphicData>
            </a:graphic>
          </wp:inline>
        </w:drawing>
      </w:r>
    </w:p>
    <w:p w14:paraId="6618EE12" w14:textId="77777777" w:rsidR="005014DD" w:rsidRPr="004E6D9F" w:rsidRDefault="005014DD" w:rsidP="005014DD">
      <w:pPr>
        <w:autoSpaceDE w:val="0"/>
        <w:autoSpaceDN w:val="0"/>
        <w:adjustRightInd w:val="0"/>
        <w:rPr>
          <w:rFonts w:ascii="Arial" w:eastAsia="Calibri" w:hAnsi="Arial" w:cs="Arial"/>
          <w:color w:val="000000"/>
        </w:rPr>
      </w:pPr>
    </w:p>
    <w:p w14:paraId="65721974" w14:textId="2B58C725" w:rsidR="005014DD" w:rsidRDefault="00335203" w:rsidP="005014DD">
      <w:pPr>
        <w:autoSpaceDE w:val="0"/>
        <w:autoSpaceDN w:val="0"/>
        <w:adjustRightInd w:val="0"/>
        <w:rPr>
          <w:rStyle w:val="Hyperlink"/>
          <w:rFonts w:eastAsia="Calibri" w:cstheme="minorHAnsi"/>
        </w:rPr>
      </w:pPr>
      <w:hyperlink r:id="rId12" w:history="1">
        <w:r w:rsidR="005014DD" w:rsidRPr="005014DD">
          <w:rPr>
            <w:rStyle w:val="Hyperlink"/>
            <w:rFonts w:eastAsia="Calibri" w:cstheme="minorHAnsi"/>
          </w:rPr>
          <w:t>www.westofengland-ca.gov.uk</w:t>
        </w:r>
      </w:hyperlink>
    </w:p>
    <w:p w14:paraId="1429FEE1" w14:textId="7202F7DE" w:rsidR="00821EFA" w:rsidRDefault="00821EFA" w:rsidP="009F1B99">
      <w:pPr>
        <w:pStyle w:val="Heading3"/>
        <w:numPr>
          <w:ilvl w:val="0"/>
          <w:numId w:val="14"/>
        </w:numPr>
        <w:ind w:left="1134" w:hanging="708"/>
        <w:rPr>
          <w:lang w:eastAsia="en-GB"/>
        </w:rPr>
      </w:pPr>
      <w:bookmarkStart w:id="2" w:name="_Introduction"/>
      <w:bookmarkStart w:id="3" w:name="_Toc127213826"/>
      <w:bookmarkStart w:id="4" w:name="OLE_LINK34"/>
      <w:bookmarkStart w:id="5" w:name="_Toc312844430"/>
      <w:bookmarkStart w:id="6" w:name="_Toc312844466"/>
      <w:bookmarkEnd w:id="2"/>
      <w:r>
        <w:rPr>
          <w:lang w:eastAsia="en-GB"/>
        </w:rPr>
        <w:lastRenderedPageBreak/>
        <w:t>Introduction</w:t>
      </w:r>
      <w:bookmarkEnd w:id="3"/>
    </w:p>
    <w:p w14:paraId="0E36AAE2" w14:textId="2BD30019" w:rsidR="00821EFA" w:rsidRPr="008B093E" w:rsidRDefault="00821EFA" w:rsidP="00EE024B">
      <w:pPr>
        <w:pStyle w:val="ListParagraph"/>
        <w:numPr>
          <w:ilvl w:val="1"/>
          <w:numId w:val="14"/>
        </w:numPr>
        <w:rPr>
          <w:lang w:eastAsia="en-GB"/>
        </w:rPr>
      </w:pPr>
      <w:r>
        <w:t xml:space="preserve">The West of England Combined Authority (the “Combined Authority”) invites Tenders for the </w:t>
      </w:r>
      <w:r w:rsidR="004C13B1">
        <w:t xml:space="preserve">supply, </w:t>
      </w:r>
      <w:r w:rsidR="00C55B31">
        <w:t>installation,</w:t>
      </w:r>
      <w:r w:rsidR="004C13B1">
        <w:t xml:space="preserve"> and maintenance of a mobility hub solution</w:t>
      </w:r>
      <w:r>
        <w:t xml:space="preserve">. </w:t>
      </w:r>
      <w:r w:rsidR="008A4591">
        <w:t xml:space="preserve">For full details of the scope of the tender and the requirements which the successful </w:t>
      </w:r>
      <w:r w:rsidR="00584EB1">
        <w:t>Tenderer</w:t>
      </w:r>
      <w:r w:rsidR="00381324">
        <w:t xml:space="preserve"> </w:t>
      </w:r>
      <w:r w:rsidR="008A4591">
        <w:t>will be required to fulfil please refer to</w:t>
      </w:r>
      <w:r w:rsidR="00BA1C97">
        <w:t xml:space="preserve"> Appendix A – Specification Description</w:t>
      </w:r>
    </w:p>
    <w:p w14:paraId="3F9C5F74" w14:textId="77777777" w:rsidR="00821EFA" w:rsidRPr="00821EFA" w:rsidRDefault="00821EFA" w:rsidP="00821EFA">
      <w:pPr>
        <w:pStyle w:val="ListParagraph"/>
        <w:ind w:left="1080"/>
        <w:rPr>
          <w:rFonts w:cstheme="minorHAnsi"/>
          <w:lang w:eastAsia="en-GB"/>
        </w:rPr>
      </w:pPr>
    </w:p>
    <w:p w14:paraId="3504EBA8" w14:textId="493C66A5" w:rsidR="00821EFA" w:rsidRPr="00821EFA" w:rsidRDefault="5581C016" w:rsidP="00EE024B">
      <w:pPr>
        <w:pStyle w:val="ListParagraph"/>
        <w:numPr>
          <w:ilvl w:val="1"/>
          <w:numId w:val="14"/>
        </w:numPr>
        <w:rPr>
          <w:lang w:eastAsia="en-GB"/>
        </w:rPr>
      </w:pPr>
      <w:r>
        <w:t xml:space="preserve">This </w:t>
      </w:r>
      <w:r w:rsidR="009728B6" w:rsidRPr="009728B6">
        <w:t>ITT</w:t>
      </w:r>
      <w:r>
        <w:t xml:space="preserve"> provide</w:t>
      </w:r>
      <w:r w:rsidR="1DE688C9">
        <w:t>s</w:t>
      </w:r>
      <w:r>
        <w:t xml:space="preserve"> all the information required at this stage.  However, </w:t>
      </w:r>
      <w:r w:rsidR="00584EB1">
        <w:t>Tenderer</w:t>
      </w:r>
      <w:r>
        <w:t xml:space="preserve">s are free to ask questions or seek clarification as necessary to enable them to provide the best possible Tender. Any such questions or clarifications must be submitted via the </w:t>
      </w:r>
      <w:r w:rsidR="7F64364C">
        <w:t>e-Procurement</w:t>
      </w:r>
      <w:r>
        <w:t xml:space="preserve"> portal. Details are set out in </w:t>
      </w:r>
      <w:hyperlink w:anchor="_Communication_and_Clarifications">
        <w:r w:rsidR="7C4D0951" w:rsidRPr="00080205">
          <w:rPr>
            <w:rStyle w:val="Hyperlink"/>
          </w:rPr>
          <w:t>S</w:t>
        </w:r>
        <w:r w:rsidRPr="00080205">
          <w:rPr>
            <w:rStyle w:val="Hyperlink"/>
          </w:rPr>
          <w:t>ection 1</w:t>
        </w:r>
        <w:r w:rsidR="004D3147" w:rsidRPr="00080205">
          <w:rPr>
            <w:rStyle w:val="Hyperlink"/>
          </w:rPr>
          <w:t>3</w:t>
        </w:r>
        <w:r w:rsidR="7C4D0951" w:rsidRPr="00080205">
          <w:rPr>
            <w:rStyle w:val="Hyperlink"/>
          </w:rPr>
          <w:t xml:space="preserve">: </w:t>
        </w:r>
        <w:r w:rsidR="00BA1C97" w:rsidRPr="00080205">
          <w:rPr>
            <w:rStyle w:val="Hyperlink"/>
          </w:rPr>
          <w:t>Tender Clarifications</w:t>
        </w:r>
      </w:hyperlink>
      <w:r>
        <w:t xml:space="preserve"> below.</w:t>
      </w:r>
    </w:p>
    <w:p w14:paraId="288C9388" w14:textId="77777777" w:rsidR="00821EFA" w:rsidRPr="00821EFA" w:rsidRDefault="00821EFA" w:rsidP="00821EFA">
      <w:pPr>
        <w:pStyle w:val="ListParagraph"/>
        <w:rPr>
          <w:rFonts w:cstheme="minorHAnsi"/>
          <w:lang w:eastAsia="en-GB"/>
        </w:rPr>
      </w:pPr>
    </w:p>
    <w:p w14:paraId="329717C7" w14:textId="3336D11F" w:rsidR="00821EFA" w:rsidRPr="00821EFA" w:rsidRDefault="5581C016" w:rsidP="00EE024B">
      <w:pPr>
        <w:pStyle w:val="ListParagraph"/>
        <w:numPr>
          <w:ilvl w:val="1"/>
          <w:numId w:val="14"/>
        </w:numPr>
        <w:rPr>
          <w:lang w:eastAsia="en-GB"/>
        </w:rPr>
      </w:pPr>
      <w:r>
        <w:t>Tenders must be submitted no later th</w:t>
      </w:r>
      <w:r w:rsidRPr="00335203">
        <w:t xml:space="preserve">an </w:t>
      </w:r>
      <w:r w:rsidR="005D1971" w:rsidRPr="00335203">
        <w:t>0</w:t>
      </w:r>
      <w:r w:rsidR="0043683B" w:rsidRPr="00335203">
        <w:t>3</w:t>
      </w:r>
      <w:r w:rsidR="005D1971" w:rsidRPr="00335203">
        <w:t xml:space="preserve"> April</w:t>
      </w:r>
      <w:r w:rsidRPr="00335203">
        <w:t xml:space="preserve"> 202</w:t>
      </w:r>
      <w:r w:rsidR="00423DDE" w:rsidRPr="00335203">
        <w:t>3</w:t>
      </w:r>
      <w:r w:rsidRPr="00335203">
        <w:t>. Tenders</w:t>
      </w:r>
      <w:r>
        <w:t xml:space="preserve"> will only be accepted if submitted electronically on the Combined Authority’s chosen </w:t>
      </w:r>
      <w:r w:rsidR="7F64364C">
        <w:t>e-Procurement</w:t>
      </w:r>
      <w:r w:rsidR="3CE7D760">
        <w:t xml:space="preserve"> Portal </w:t>
      </w:r>
      <w:r>
        <w:t>procure</w:t>
      </w:r>
      <w:r w:rsidR="491E4CFA">
        <w:t>m</w:t>
      </w:r>
      <w:r>
        <w:t xml:space="preserve">ent portal </w:t>
      </w:r>
      <w:hyperlink r:id="rId13" w:history="1">
        <w:r w:rsidR="4D4E0817" w:rsidRPr="3F0E91BE">
          <w:rPr>
            <w:rStyle w:val="Hyperlink"/>
          </w:rPr>
          <w:t>www.supplyingthesouthwest.org.uk</w:t>
        </w:r>
      </w:hyperlink>
      <w:r>
        <w:t>. Tenders will not be accepted by email.</w:t>
      </w:r>
    </w:p>
    <w:p w14:paraId="7808A132" w14:textId="77777777" w:rsidR="00821EFA" w:rsidRPr="00821EFA" w:rsidRDefault="00821EFA" w:rsidP="00821EFA">
      <w:pPr>
        <w:pStyle w:val="ListParagraph"/>
        <w:rPr>
          <w:rFonts w:cstheme="minorHAnsi"/>
          <w:lang w:eastAsia="en-GB"/>
        </w:rPr>
      </w:pPr>
    </w:p>
    <w:p w14:paraId="39F354D7" w14:textId="65C38BF1" w:rsidR="00821EFA" w:rsidRPr="00821EFA" w:rsidRDefault="00821EFA" w:rsidP="00EE024B">
      <w:pPr>
        <w:pStyle w:val="ListParagraph"/>
        <w:numPr>
          <w:ilvl w:val="1"/>
          <w:numId w:val="14"/>
        </w:numPr>
        <w:rPr>
          <w:lang w:eastAsia="en-GB"/>
        </w:rPr>
      </w:pPr>
      <w:r w:rsidRPr="00821EFA">
        <w:t xml:space="preserve">Tenders will be evaluated in accordance with the </w:t>
      </w:r>
      <w:r w:rsidR="6EEAA901" w:rsidRPr="007941BD">
        <w:t xml:space="preserve">scoring </w:t>
      </w:r>
      <w:r w:rsidRPr="007941BD">
        <w:t>methodology</w:t>
      </w:r>
      <w:r w:rsidRPr="00821EFA">
        <w:t xml:space="preserve"> </w:t>
      </w:r>
      <w:r w:rsidRPr="00E479EC">
        <w:t xml:space="preserve">set out </w:t>
      </w:r>
      <w:r w:rsidRPr="00BA1C97">
        <w:t>in</w:t>
      </w:r>
      <w:r w:rsidR="00080205">
        <w:t xml:space="preserve"> </w:t>
      </w:r>
      <w:r w:rsidR="00080205" w:rsidRPr="009F1B99">
        <w:t>Section</w:t>
      </w:r>
      <w:r w:rsidRPr="009F1B99">
        <w:t xml:space="preserve"> </w:t>
      </w:r>
      <w:r w:rsidR="007257FE" w:rsidRPr="007941BD">
        <w:fldChar w:fldCharType="begin"/>
      </w:r>
      <w:r w:rsidR="007257FE" w:rsidRPr="009F1B99">
        <w:instrText xml:space="preserve"> REF _Ref122335170 \r \h </w:instrText>
      </w:r>
      <w:r w:rsidR="009F1B99" w:rsidRPr="007941BD">
        <w:instrText xml:space="preserve"> \* MERGEFORMAT </w:instrText>
      </w:r>
      <w:r w:rsidR="007257FE" w:rsidRPr="007941BD">
        <w:fldChar w:fldCharType="separate"/>
      </w:r>
      <w:r w:rsidR="007257FE" w:rsidRPr="009F1B99">
        <w:t>15</w:t>
      </w:r>
      <w:r w:rsidR="007257FE" w:rsidRPr="007941BD">
        <w:fldChar w:fldCharType="end"/>
      </w:r>
      <w:r w:rsidR="00080205" w:rsidRPr="009F1B99">
        <w:t xml:space="preserve"> </w:t>
      </w:r>
      <w:r w:rsidR="007257FE" w:rsidRPr="007941BD">
        <w:fldChar w:fldCharType="begin"/>
      </w:r>
      <w:r w:rsidR="007257FE" w:rsidRPr="007941BD">
        <w:instrText xml:space="preserve"> REF _Ref122335184 \h </w:instrText>
      </w:r>
      <w:r w:rsidR="009F1B99" w:rsidRPr="007941BD">
        <w:instrText xml:space="preserve"> \* MERGEFORMAT </w:instrText>
      </w:r>
      <w:r w:rsidR="007257FE" w:rsidRPr="007941BD">
        <w:fldChar w:fldCharType="separate"/>
      </w:r>
      <w:r w:rsidR="007257FE" w:rsidRPr="009F1B99">
        <w:rPr>
          <w:lang w:eastAsia="en-GB"/>
        </w:rPr>
        <w:t>Evaluation of Quality Questions</w:t>
      </w:r>
      <w:r w:rsidR="007257FE" w:rsidRPr="007941BD">
        <w:fldChar w:fldCharType="end"/>
      </w:r>
      <w:r w:rsidR="00080205" w:rsidRPr="009F1B99">
        <w:t>.</w:t>
      </w:r>
      <w:r w:rsidR="00080205" w:rsidRPr="00153573">
        <w:t xml:space="preserve"> </w:t>
      </w:r>
      <w:r w:rsidRPr="00153573">
        <w:t>T</w:t>
      </w:r>
      <w:r w:rsidRPr="00BA1C97">
        <w:t xml:space="preserve">he </w:t>
      </w:r>
      <w:r w:rsidR="00584EB1">
        <w:t>Tenderer</w:t>
      </w:r>
      <w:r w:rsidRPr="00BA1C97">
        <w:t xml:space="preserve"> that submits the </w:t>
      </w:r>
      <w:r w:rsidR="00D44511">
        <w:t>m</w:t>
      </w:r>
      <w:r w:rsidRPr="00BA1C97">
        <w:t>os</w:t>
      </w:r>
      <w:r w:rsidRPr="00821EFA">
        <w:t xml:space="preserve">t </w:t>
      </w:r>
      <w:r w:rsidR="00D44511">
        <w:t>e</w:t>
      </w:r>
      <w:r w:rsidRPr="00821EFA">
        <w:t xml:space="preserve">conomically </w:t>
      </w:r>
      <w:r w:rsidR="00D44511">
        <w:t>a</w:t>
      </w:r>
      <w:r w:rsidRPr="00821EFA">
        <w:t xml:space="preserve">dvantageous </w:t>
      </w:r>
      <w:r w:rsidR="00D44511">
        <w:t>t</w:t>
      </w:r>
      <w:r w:rsidRPr="00821EFA">
        <w:t xml:space="preserve">ender will be awarded the contract, subject to that </w:t>
      </w:r>
      <w:r w:rsidR="00584EB1">
        <w:t>Tenderer</w:t>
      </w:r>
      <w:r w:rsidRPr="00821EFA">
        <w:t xml:space="preserve"> meeting the requirements of the Selection Questionnaire.</w:t>
      </w:r>
    </w:p>
    <w:p w14:paraId="4322D471" w14:textId="43900BCC" w:rsidR="00821EFA" w:rsidRPr="00821EFA" w:rsidRDefault="009728B6" w:rsidP="00EE024B">
      <w:pPr>
        <w:pStyle w:val="Heading3"/>
        <w:numPr>
          <w:ilvl w:val="0"/>
          <w:numId w:val="14"/>
        </w:numPr>
        <w:ind w:left="1134" w:hanging="708"/>
        <w:rPr>
          <w:lang w:eastAsia="en-GB"/>
        </w:rPr>
      </w:pPr>
      <w:bookmarkStart w:id="7" w:name="_Toc127213827"/>
      <w:r w:rsidRPr="009728B6">
        <w:rPr>
          <w:lang w:eastAsia="en-GB"/>
        </w:rPr>
        <w:t>ITT</w:t>
      </w:r>
      <w:r w:rsidR="00821EFA" w:rsidRPr="00821EFA">
        <w:rPr>
          <w:lang w:eastAsia="en-GB"/>
        </w:rPr>
        <w:t xml:space="preserve"> Documentation</w:t>
      </w:r>
      <w:bookmarkEnd w:id="7"/>
    </w:p>
    <w:p w14:paraId="4CE1DAAF" w14:textId="1B046356" w:rsidR="00821EFA" w:rsidRDefault="00821EFA" w:rsidP="00EE024B">
      <w:pPr>
        <w:pStyle w:val="ListParagraph"/>
        <w:numPr>
          <w:ilvl w:val="1"/>
          <w:numId w:val="14"/>
        </w:numPr>
      </w:pPr>
      <w:r>
        <w:t xml:space="preserve">The Invitation to Tender documents </w:t>
      </w:r>
      <w:r w:rsidR="00415C19">
        <w:t>comprises</w:t>
      </w:r>
      <w:r w:rsidR="33A56CA1">
        <w:t xml:space="preserve"> </w:t>
      </w:r>
      <w:r w:rsidR="00D719D6">
        <w:t>the following documentation:</w:t>
      </w:r>
    </w:p>
    <w:p w14:paraId="17D39877" w14:textId="77777777" w:rsidR="00821EFA" w:rsidRPr="00821EFA" w:rsidRDefault="00821EFA" w:rsidP="00821EFA">
      <w:pPr>
        <w:pStyle w:val="ListParagraph"/>
        <w:ind w:left="1080"/>
      </w:pPr>
    </w:p>
    <w:p w14:paraId="56BEEFF2" w14:textId="035AD838" w:rsidR="00821EFA" w:rsidRDefault="00D719D6" w:rsidP="00834211">
      <w:pPr>
        <w:pStyle w:val="ListParagraph"/>
        <w:numPr>
          <w:ilvl w:val="2"/>
          <w:numId w:val="35"/>
        </w:numPr>
      </w:pPr>
      <w:r>
        <w:t>I</w:t>
      </w:r>
      <w:r w:rsidR="00E75A7C">
        <w:t>nvitation to Tender (ITT)</w:t>
      </w:r>
    </w:p>
    <w:p w14:paraId="545E0527" w14:textId="1A9F4818" w:rsidR="00E75A7C" w:rsidRDefault="00E75A7C" w:rsidP="00834211">
      <w:pPr>
        <w:pStyle w:val="ListParagraph"/>
        <w:numPr>
          <w:ilvl w:val="2"/>
          <w:numId w:val="35"/>
        </w:numPr>
      </w:pPr>
      <w:r>
        <w:t>ITT Appendix A – Specification Description</w:t>
      </w:r>
    </w:p>
    <w:p w14:paraId="77D674EA" w14:textId="35C5601A" w:rsidR="03543168" w:rsidRDefault="03543168" w:rsidP="58193A43">
      <w:pPr>
        <w:pStyle w:val="ListParagraph"/>
        <w:numPr>
          <w:ilvl w:val="2"/>
          <w:numId w:val="35"/>
        </w:numPr>
      </w:pPr>
      <w:r>
        <w:t>ITT Appendix A2 – Site Information Pack</w:t>
      </w:r>
    </w:p>
    <w:p w14:paraId="08FB263E" w14:textId="2B5C6A71" w:rsidR="00E75A7C" w:rsidRDefault="00E75A7C" w:rsidP="00834211">
      <w:pPr>
        <w:pStyle w:val="ListParagraph"/>
        <w:numPr>
          <w:ilvl w:val="2"/>
          <w:numId w:val="35"/>
        </w:numPr>
      </w:pPr>
      <w:bookmarkStart w:id="8" w:name="_Hlk116033913"/>
      <w:r>
        <w:t>ITT Appendix B – Supplier Selection Questionnaire (SSQ)</w:t>
      </w:r>
    </w:p>
    <w:bookmarkEnd w:id="8"/>
    <w:p w14:paraId="718C7CE8" w14:textId="5C3813D0" w:rsidR="00E75A7C" w:rsidRDefault="00E75A7C" w:rsidP="00834211">
      <w:pPr>
        <w:pStyle w:val="ListParagraph"/>
        <w:numPr>
          <w:ilvl w:val="2"/>
          <w:numId w:val="35"/>
        </w:numPr>
      </w:pPr>
      <w:r>
        <w:t>ITT Appendix C – Technical Questionnaire</w:t>
      </w:r>
    </w:p>
    <w:p w14:paraId="7AF02104" w14:textId="1D0B624D" w:rsidR="00E75A7C" w:rsidRDefault="00E75A7C" w:rsidP="00834211">
      <w:pPr>
        <w:pStyle w:val="ListParagraph"/>
        <w:numPr>
          <w:ilvl w:val="2"/>
          <w:numId w:val="35"/>
        </w:numPr>
      </w:pPr>
      <w:r>
        <w:t>ITT Appendix D – Pricing Schedule</w:t>
      </w:r>
    </w:p>
    <w:p w14:paraId="43AAC5C2" w14:textId="1854A444" w:rsidR="00E75A7C" w:rsidRDefault="00E75A7C" w:rsidP="00834211">
      <w:pPr>
        <w:pStyle w:val="ListParagraph"/>
        <w:numPr>
          <w:ilvl w:val="2"/>
          <w:numId w:val="35"/>
        </w:numPr>
      </w:pPr>
      <w:r>
        <w:t>ITT Appendix E – Mobility Hubs Contract</w:t>
      </w:r>
    </w:p>
    <w:p w14:paraId="321E5887" w14:textId="159B7EC4" w:rsidR="00E75A7C" w:rsidRDefault="00E75A7C" w:rsidP="00834211">
      <w:pPr>
        <w:pStyle w:val="ListParagraph"/>
        <w:numPr>
          <w:ilvl w:val="2"/>
          <w:numId w:val="35"/>
        </w:numPr>
      </w:pPr>
      <w:r>
        <w:t>ITT Appendix F – Form of Tender</w:t>
      </w:r>
    </w:p>
    <w:p w14:paraId="116E9F32" w14:textId="6BFA359B" w:rsidR="00E75A7C" w:rsidRDefault="00E75A7C" w:rsidP="00834211">
      <w:pPr>
        <w:pStyle w:val="ListParagraph"/>
        <w:numPr>
          <w:ilvl w:val="2"/>
          <w:numId w:val="35"/>
        </w:numPr>
      </w:pPr>
      <w:r>
        <w:t>ITT Appendix G – Lead Party Acknowledgement</w:t>
      </w:r>
    </w:p>
    <w:p w14:paraId="5CB53428" w14:textId="25102E34" w:rsidR="00E75A7C" w:rsidRDefault="00E75A7C" w:rsidP="00834211">
      <w:pPr>
        <w:pStyle w:val="ListParagraph"/>
        <w:numPr>
          <w:ilvl w:val="2"/>
          <w:numId w:val="35"/>
        </w:numPr>
      </w:pPr>
      <w:r>
        <w:t>ITT Appendix H – Non-collusion certificate</w:t>
      </w:r>
    </w:p>
    <w:p w14:paraId="2BC280B6" w14:textId="704C6D60" w:rsidR="00E75A7C" w:rsidRDefault="00E75A7C" w:rsidP="00834211">
      <w:pPr>
        <w:pStyle w:val="ListParagraph"/>
        <w:numPr>
          <w:ilvl w:val="2"/>
          <w:numId w:val="35"/>
        </w:numPr>
      </w:pPr>
      <w:r>
        <w:t>ITT Appendix I – Certificate as to canvassing</w:t>
      </w:r>
    </w:p>
    <w:p w14:paraId="3F630D9A" w14:textId="7251DF0C" w:rsidR="00E75A7C" w:rsidRDefault="00E75A7C">
      <w:pPr>
        <w:pStyle w:val="ListParagraph"/>
        <w:numPr>
          <w:ilvl w:val="2"/>
          <w:numId w:val="35"/>
        </w:numPr>
      </w:pPr>
      <w:r>
        <w:t xml:space="preserve">ITT Appendix J – </w:t>
      </w:r>
      <w:proofErr w:type="gramStart"/>
      <w:r>
        <w:t>Requirements</w:t>
      </w:r>
      <w:proofErr w:type="gramEnd"/>
      <w:r>
        <w:t xml:space="preserve"> checklist</w:t>
      </w:r>
    </w:p>
    <w:p w14:paraId="5FAB33FA" w14:textId="0C27BDA9" w:rsidR="00481424" w:rsidRDefault="00481424" w:rsidP="00834211">
      <w:pPr>
        <w:pStyle w:val="ListParagraph"/>
        <w:numPr>
          <w:ilvl w:val="2"/>
          <w:numId w:val="35"/>
        </w:numPr>
      </w:pPr>
      <w:r>
        <w:t xml:space="preserve">ITT Appendix K – Social Value Delivery Plan </w:t>
      </w:r>
    </w:p>
    <w:p w14:paraId="0A23FE50" w14:textId="77777777" w:rsidR="00821EFA" w:rsidRPr="00821EFA" w:rsidRDefault="00821EFA" w:rsidP="00821EFA">
      <w:pPr>
        <w:pStyle w:val="ListParagraph"/>
        <w:ind w:left="1440"/>
      </w:pPr>
    </w:p>
    <w:p w14:paraId="28923A76" w14:textId="1CD78122" w:rsidR="00415C19" w:rsidRDefault="00821EFA" w:rsidP="00EE024B">
      <w:pPr>
        <w:pStyle w:val="ListParagraph"/>
        <w:numPr>
          <w:ilvl w:val="1"/>
          <w:numId w:val="14"/>
        </w:numPr>
      </w:pPr>
      <w:r w:rsidRPr="00821EFA">
        <w:t xml:space="preserve">A list of the documents which must be submitted by the </w:t>
      </w:r>
      <w:r w:rsidR="00584EB1">
        <w:t>Tenderer</w:t>
      </w:r>
      <w:r w:rsidRPr="00821EFA">
        <w:t xml:space="preserve"> can be found in </w:t>
      </w:r>
      <w:r w:rsidR="00DD6BAA">
        <w:t>ITT Appendix J -</w:t>
      </w:r>
      <w:r w:rsidR="00DD6BAA" w:rsidRPr="00821EFA">
        <w:t xml:space="preserve"> </w:t>
      </w:r>
      <w:r w:rsidRPr="00821EFA">
        <w:t>Requirements Checklist</w:t>
      </w:r>
      <w:r w:rsidR="003D3221">
        <w:t>.</w:t>
      </w:r>
    </w:p>
    <w:p w14:paraId="00DF1B4D" w14:textId="77777777" w:rsidR="00415C19" w:rsidRDefault="00415C19">
      <w:r>
        <w:br w:type="page"/>
      </w:r>
    </w:p>
    <w:p w14:paraId="0566769B" w14:textId="77777777" w:rsidR="00415C19" w:rsidRPr="009D70A6" w:rsidRDefault="00415C19" w:rsidP="00EE024B">
      <w:pPr>
        <w:pStyle w:val="Heading3"/>
        <w:numPr>
          <w:ilvl w:val="0"/>
          <w:numId w:val="14"/>
        </w:numPr>
        <w:ind w:left="1134" w:hanging="708"/>
        <w:rPr>
          <w:lang w:eastAsia="en-GB"/>
        </w:rPr>
      </w:pPr>
      <w:bookmarkStart w:id="9" w:name="_heading=h.lnxbz9"/>
      <w:bookmarkStart w:id="10" w:name="_Toc127213828"/>
      <w:bookmarkEnd w:id="9"/>
      <w:r w:rsidRPr="009D70A6">
        <w:rPr>
          <w:lang w:eastAsia="en-GB"/>
        </w:rPr>
        <w:lastRenderedPageBreak/>
        <w:t>Procurement Route</w:t>
      </w:r>
      <w:bookmarkEnd w:id="10"/>
      <w:r w:rsidRPr="009D70A6">
        <w:rPr>
          <w:lang w:eastAsia="en-GB"/>
        </w:rPr>
        <w:t xml:space="preserve"> </w:t>
      </w:r>
    </w:p>
    <w:p w14:paraId="46E0D7C6" w14:textId="1F443F0A" w:rsidR="00415C19" w:rsidRPr="009B401C" w:rsidRDefault="00415C19" w:rsidP="00EE024B">
      <w:pPr>
        <w:pStyle w:val="ListParagraph"/>
        <w:numPr>
          <w:ilvl w:val="1"/>
          <w:numId w:val="14"/>
        </w:numPr>
      </w:pPr>
      <w:r w:rsidRPr="009B401C">
        <w:t xml:space="preserve">The procurement process for the </w:t>
      </w:r>
      <w:r w:rsidR="00E945D7" w:rsidRPr="009B401C">
        <w:t xml:space="preserve">Mobility Hubs solution </w:t>
      </w:r>
      <w:r w:rsidRPr="009B401C">
        <w:t>contract (Contract) will be in accordance with PCR 2015 using the Open Procedure.</w:t>
      </w:r>
    </w:p>
    <w:p w14:paraId="36EADE5A" w14:textId="30F863EE" w:rsidR="00821EFA" w:rsidRPr="00821EFA" w:rsidRDefault="00821EFA" w:rsidP="00E75A7C">
      <w:pPr>
        <w:pStyle w:val="ListParagraph"/>
        <w:ind w:left="1080"/>
        <w:rPr>
          <w:rFonts w:ascii="Arial" w:hAnsi="Arial"/>
          <w:i/>
          <w:iCs/>
          <w:lang w:eastAsia="en-GB"/>
        </w:rPr>
      </w:pPr>
    </w:p>
    <w:p w14:paraId="10480380" w14:textId="0761C5DC" w:rsidR="00821EFA" w:rsidRDefault="00904DBF" w:rsidP="00EE024B">
      <w:pPr>
        <w:pStyle w:val="Heading3"/>
        <w:numPr>
          <w:ilvl w:val="0"/>
          <w:numId w:val="14"/>
        </w:numPr>
        <w:ind w:left="1134" w:hanging="708"/>
        <w:rPr>
          <w:lang w:eastAsia="en-GB"/>
        </w:rPr>
      </w:pPr>
      <w:bookmarkStart w:id="11" w:name="_Procurement_timescales"/>
      <w:bookmarkStart w:id="12" w:name="_Toc127213829"/>
      <w:bookmarkEnd w:id="11"/>
      <w:r>
        <w:rPr>
          <w:lang w:eastAsia="en-GB"/>
        </w:rPr>
        <w:t>Procurement timescales</w:t>
      </w:r>
      <w:bookmarkEnd w:id="12"/>
    </w:p>
    <w:p w14:paraId="6889CBF4" w14:textId="1465CE6A" w:rsidR="00821EFA" w:rsidRDefault="00EE551E" w:rsidP="00EE024B">
      <w:pPr>
        <w:pStyle w:val="ListParagraph"/>
        <w:numPr>
          <w:ilvl w:val="1"/>
          <w:numId w:val="14"/>
        </w:numPr>
      </w:pPr>
      <w:r w:rsidRPr="00E75A7C">
        <w:t>The key activities and target dates for the procurement process are stated in</w:t>
      </w:r>
      <w:r w:rsidR="006A6FAE">
        <w:t xml:space="preserve"> </w:t>
      </w:r>
      <w:hyperlink w:anchor="_Procurement_timescales" w:history="1">
        <w:r w:rsidR="006A6FAE" w:rsidRPr="006A6FAE">
          <w:rPr>
            <w:rStyle w:val="Hyperlink"/>
          </w:rPr>
          <w:t>Table 1- Procurement timescales</w:t>
        </w:r>
      </w:hyperlink>
      <w:r w:rsidRPr="00E75A7C">
        <w:t xml:space="preserve"> below. </w:t>
      </w:r>
      <w:r w:rsidR="00821EFA" w:rsidRPr="00821EFA">
        <w:t>This is intended as a guide and</w:t>
      </w:r>
      <w:r w:rsidR="00AD2461">
        <w:t xml:space="preserve"> </w:t>
      </w:r>
      <w:r w:rsidR="00821EFA" w:rsidRPr="00821EFA">
        <w:t>whilst the Combined Authority does not intend to depart from the timetable</w:t>
      </w:r>
      <w:r w:rsidR="00D12DFE">
        <w:t>,</w:t>
      </w:r>
      <w:r w:rsidR="00821EFA" w:rsidRPr="00821EFA">
        <w:t xml:space="preserve"> it reserves the right to do so at any stage.</w:t>
      </w:r>
      <w:r w:rsidR="00924939">
        <w:br/>
      </w:r>
    </w:p>
    <w:p w14:paraId="7980AE9C" w14:textId="0C63F254" w:rsidR="006A4EB7" w:rsidRPr="00B741AD" w:rsidRDefault="001F19E1" w:rsidP="00B741AD">
      <w:pPr>
        <w:pStyle w:val="Caption"/>
        <w:ind w:left="360" w:firstLine="720"/>
        <w:rPr>
          <w:sz w:val="20"/>
          <w:szCs w:val="20"/>
        </w:rPr>
      </w:pPr>
      <w:r w:rsidRPr="00B741AD">
        <w:rPr>
          <w:sz w:val="20"/>
          <w:szCs w:val="20"/>
        </w:rPr>
        <w:t xml:space="preserve">Table </w:t>
      </w:r>
      <w:r w:rsidRPr="00B741AD">
        <w:rPr>
          <w:sz w:val="20"/>
          <w:szCs w:val="20"/>
        </w:rPr>
        <w:fldChar w:fldCharType="begin"/>
      </w:r>
      <w:r w:rsidRPr="00B741AD">
        <w:rPr>
          <w:sz w:val="20"/>
          <w:szCs w:val="20"/>
        </w:rPr>
        <w:instrText xml:space="preserve"> SEQ Table \* ARABIC </w:instrText>
      </w:r>
      <w:r w:rsidRPr="00B741AD">
        <w:rPr>
          <w:sz w:val="20"/>
          <w:szCs w:val="20"/>
        </w:rPr>
        <w:fldChar w:fldCharType="separate"/>
      </w:r>
      <w:r w:rsidR="007C157A">
        <w:rPr>
          <w:noProof/>
          <w:sz w:val="20"/>
          <w:szCs w:val="20"/>
        </w:rPr>
        <w:t>1</w:t>
      </w:r>
      <w:r w:rsidRPr="00B741AD">
        <w:rPr>
          <w:sz w:val="20"/>
          <w:szCs w:val="20"/>
        </w:rPr>
        <w:fldChar w:fldCharType="end"/>
      </w:r>
      <w:r w:rsidRPr="00B741AD">
        <w:rPr>
          <w:sz w:val="20"/>
          <w:szCs w:val="20"/>
        </w:rPr>
        <w:t xml:space="preserve"> - Procurement Timescales</w:t>
      </w:r>
    </w:p>
    <w:tbl>
      <w:tblPr>
        <w:tblStyle w:val="GridTable1Light-Accent1"/>
        <w:tblW w:w="4374" w:type="pct"/>
        <w:tblInd w:w="1129" w:type="dxa"/>
        <w:tblLook w:val="04A0" w:firstRow="1" w:lastRow="0" w:firstColumn="1" w:lastColumn="0" w:noHBand="0" w:noVBand="1"/>
      </w:tblPr>
      <w:tblGrid>
        <w:gridCol w:w="4679"/>
        <w:gridCol w:w="3208"/>
      </w:tblGrid>
      <w:tr w:rsidR="00924939" w:rsidRPr="00993D45" w14:paraId="51D22BA9" w14:textId="77777777" w:rsidTr="00B74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6" w:type="pct"/>
          </w:tcPr>
          <w:p w14:paraId="3E638550" w14:textId="1E88F12A" w:rsidR="00924939" w:rsidRPr="00335203" w:rsidRDefault="006A4EB7" w:rsidP="006A4EB7">
            <w:pPr>
              <w:pStyle w:val="ListParagraph"/>
              <w:ind w:left="0"/>
            </w:pPr>
            <w:bookmarkStart w:id="13" w:name="_Hlk117675961"/>
            <w:r w:rsidRPr="00335203">
              <w:t>Activity</w:t>
            </w:r>
          </w:p>
        </w:tc>
        <w:tc>
          <w:tcPr>
            <w:tcW w:w="2034" w:type="pct"/>
          </w:tcPr>
          <w:p w14:paraId="0AFE1E04" w14:textId="0BCA2CAF" w:rsidR="00924939" w:rsidRPr="00335203" w:rsidRDefault="006A4EB7" w:rsidP="006A4EB7">
            <w:pPr>
              <w:pStyle w:val="ListParagraph"/>
              <w:ind w:left="0"/>
              <w:cnfStyle w:val="100000000000" w:firstRow="1" w:lastRow="0" w:firstColumn="0" w:lastColumn="0" w:oddVBand="0" w:evenVBand="0" w:oddHBand="0" w:evenHBand="0" w:firstRowFirstColumn="0" w:firstRowLastColumn="0" w:lastRowFirstColumn="0" w:lastRowLastColumn="0"/>
            </w:pPr>
            <w:r w:rsidRPr="00335203">
              <w:t>Date</w:t>
            </w:r>
          </w:p>
        </w:tc>
      </w:tr>
      <w:tr w:rsidR="00924939" w:rsidRPr="00993D45" w14:paraId="4649B4AD" w14:textId="77777777" w:rsidTr="00B741AD">
        <w:tc>
          <w:tcPr>
            <w:cnfStyle w:val="001000000000" w:firstRow="0" w:lastRow="0" w:firstColumn="1" w:lastColumn="0" w:oddVBand="0" w:evenVBand="0" w:oddHBand="0" w:evenHBand="0" w:firstRowFirstColumn="0" w:firstRowLastColumn="0" w:lastRowFirstColumn="0" w:lastRowLastColumn="0"/>
            <w:tcW w:w="2966" w:type="pct"/>
          </w:tcPr>
          <w:p w14:paraId="6553C8BF" w14:textId="395B0EFC" w:rsidR="00924939" w:rsidRPr="00335203" w:rsidRDefault="006A4EB7" w:rsidP="00924939">
            <w:pPr>
              <w:pStyle w:val="ListParagraph"/>
              <w:ind w:left="0"/>
            </w:pPr>
            <w:r w:rsidRPr="00335203">
              <w:t xml:space="preserve">Issue Contract Notice and </w:t>
            </w:r>
            <w:r w:rsidR="00E3427E" w:rsidRPr="00335203">
              <w:t xml:space="preserve">publish procurement documents </w:t>
            </w:r>
          </w:p>
        </w:tc>
        <w:tc>
          <w:tcPr>
            <w:tcW w:w="2034" w:type="pct"/>
          </w:tcPr>
          <w:p w14:paraId="5A493A2D" w14:textId="5EC42280" w:rsidR="00924939" w:rsidRPr="00335203" w:rsidRDefault="00BA1D76" w:rsidP="006A4EB7">
            <w:pPr>
              <w:pStyle w:val="ListParagraph"/>
              <w:ind w:left="0"/>
              <w:cnfStyle w:val="000000000000" w:firstRow="0" w:lastRow="0" w:firstColumn="0" w:lastColumn="0" w:oddVBand="0" w:evenVBand="0" w:oddHBand="0" w:evenHBand="0" w:firstRowFirstColumn="0" w:firstRowLastColumn="0" w:lastRowFirstColumn="0" w:lastRowLastColumn="0"/>
            </w:pPr>
            <w:r w:rsidRPr="00335203">
              <w:t>14/02/2023</w:t>
            </w:r>
          </w:p>
        </w:tc>
      </w:tr>
      <w:tr w:rsidR="00924939" w:rsidRPr="00993D45" w14:paraId="15DEEAEE" w14:textId="77777777" w:rsidTr="00B741AD">
        <w:tc>
          <w:tcPr>
            <w:cnfStyle w:val="001000000000" w:firstRow="0" w:lastRow="0" w:firstColumn="1" w:lastColumn="0" w:oddVBand="0" w:evenVBand="0" w:oddHBand="0" w:evenHBand="0" w:firstRowFirstColumn="0" w:firstRowLastColumn="0" w:lastRowFirstColumn="0" w:lastRowLastColumn="0"/>
            <w:tcW w:w="2966" w:type="pct"/>
          </w:tcPr>
          <w:p w14:paraId="14A53302" w14:textId="2D10D01E" w:rsidR="00924939" w:rsidRPr="00335203" w:rsidRDefault="006A4EB7" w:rsidP="00924939">
            <w:pPr>
              <w:pStyle w:val="ListParagraph"/>
              <w:ind w:left="0"/>
            </w:pPr>
            <w:r w:rsidRPr="00335203">
              <w:t>Clarification period</w:t>
            </w:r>
          </w:p>
        </w:tc>
        <w:tc>
          <w:tcPr>
            <w:tcW w:w="2034" w:type="pct"/>
          </w:tcPr>
          <w:p w14:paraId="20A28542" w14:textId="0D992DF8" w:rsidR="00924939" w:rsidRPr="00335203" w:rsidRDefault="00BA1D76" w:rsidP="006A4EB7">
            <w:pPr>
              <w:pStyle w:val="ListParagraph"/>
              <w:ind w:left="0"/>
              <w:cnfStyle w:val="000000000000" w:firstRow="0" w:lastRow="0" w:firstColumn="0" w:lastColumn="0" w:oddVBand="0" w:evenVBand="0" w:oddHBand="0" w:evenHBand="0" w:firstRowFirstColumn="0" w:firstRowLastColumn="0" w:lastRowFirstColumn="0" w:lastRowLastColumn="0"/>
            </w:pPr>
            <w:r w:rsidRPr="00335203">
              <w:t>14/02/2023 – 13/03/2023</w:t>
            </w:r>
          </w:p>
        </w:tc>
      </w:tr>
      <w:tr w:rsidR="00071DC7" w:rsidRPr="00993D45" w14:paraId="0DC6FA5B" w14:textId="77777777" w:rsidTr="00B741AD">
        <w:tc>
          <w:tcPr>
            <w:cnfStyle w:val="001000000000" w:firstRow="0" w:lastRow="0" w:firstColumn="1" w:lastColumn="0" w:oddVBand="0" w:evenVBand="0" w:oddHBand="0" w:evenHBand="0" w:firstRowFirstColumn="0" w:firstRowLastColumn="0" w:lastRowFirstColumn="0" w:lastRowLastColumn="0"/>
            <w:tcW w:w="2966" w:type="pct"/>
          </w:tcPr>
          <w:p w14:paraId="4A82A933" w14:textId="755ABE66" w:rsidR="00071DC7" w:rsidRPr="00335203" w:rsidRDefault="000E7A79" w:rsidP="00952FBF">
            <w:pPr>
              <w:pStyle w:val="ListParagraph"/>
              <w:tabs>
                <w:tab w:val="center" w:pos="3206"/>
              </w:tabs>
              <w:ind w:left="0"/>
            </w:pPr>
            <w:r w:rsidRPr="00335203">
              <w:t xml:space="preserve">Tender submission </w:t>
            </w:r>
            <w:r w:rsidR="005F646D" w:rsidRPr="00335203">
              <w:t>deadlin</w:t>
            </w:r>
            <w:r w:rsidR="00D12DFE" w:rsidRPr="00335203">
              <w:t>e</w:t>
            </w:r>
          </w:p>
        </w:tc>
        <w:tc>
          <w:tcPr>
            <w:tcW w:w="2034" w:type="pct"/>
          </w:tcPr>
          <w:p w14:paraId="11A1F880" w14:textId="5AB2FD2E" w:rsidR="00071DC7" w:rsidRPr="00335203" w:rsidRDefault="005F646D" w:rsidP="006A4EB7">
            <w:pPr>
              <w:pStyle w:val="ListParagraph"/>
              <w:ind w:left="0"/>
              <w:cnfStyle w:val="000000000000" w:firstRow="0" w:lastRow="0" w:firstColumn="0" w:lastColumn="0" w:oddVBand="0" w:evenVBand="0" w:oddHBand="0" w:evenHBand="0" w:firstRowFirstColumn="0" w:firstRowLastColumn="0" w:lastRowFirstColumn="0" w:lastRowLastColumn="0"/>
            </w:pPr>
            <w:r w:rsidRPr="00335203">
              <w:t>03/</w:t>
            </w:r>
            <w:r w:rsidR="005C1F02" w:rsidRPr="00335203">
              <w:t>04/</w:t>
            </w:r>
            <w:r w:rsidRPr="00335203">
              <w:t>2023</w:t>
            </w:r>
          </w:p>
        </w:tc>
      </w:tr>
      <w:tr w:rsidR="00924939" w:rsidRPr="00993D45" w14:paraId="6BAD2A8F" w14:textId="77777777" w:rsidTr="00B741AD">
        <w:tc>
          <w:tcPr>
            <w:cnfStyle w:val="001000000000" w:firstRow="0" w:lastRow="0" w:firstColumn="1" w:lastColumn="0" w:oddVBand="0" w:evenVBand="0" w:oddHBand="0" w:evenHBand="0" w:firstRowFirstColumn="0" w:firstRowLastColumn="0" w:lastRowFirstColumn="0" w:lastRowLastColumn="0"/>
            <w:tcW w:w="2966" w:type="pct"/>
          </w:tcPr>
          <w:p w14:paraId="2E1284A7" w14:textId="643C008F" w:rsidR="00924939" w:rsidRPr="00335203" w:rsidRDefault="006A4EB7" w:rsidP="00924939">
            <w:pPr>
              <w:pStyle w:val="ListParagraph"/>
              <w:ind w:left="0"/>
            </w:pPr>
            <w:r w:rsidRPr="00335203">
              <w:t>Evaluate bids</w:t>
            </w:r>
            <w:r w:rsidR="00AC27B2" w:rsidRPr="00335203">
              <w:t xml:space="preserve"> and internal approval</w:t>
            </w:r>
          </w:p>
        </w:tc>
        <w:tc>
          <w:tcPr>
            <w:tcW w:w="2034" w:type="pct"/>
          </w:tcPr>
          <w:p w14:paraId="1777D82E" w14:textId="779C329E" w:rsidR="00924939" w:rsidRPr="00335203" w:rsidRDefault="005C1F02" w:rsidP="006A4EB7">
            <w:pPr>
              <w:pStyle w:val="ListParagraph"/>
              <w:ind w:left="0"/>
              <w:cnfStyle w:val="000000000000" w:firstRow="0" w:lastRow="0" w:firstColumn="0" w:lastColumn="0" w:oddVBand="0" w:evenVBand="0" w:oddHBand="0" w:evenHBand="0" w:firstRowFirstColumn="0" w:firstRowLastColumn="0" w:lastRowFirstColumn="0" w:lastRowLastColumn="0"/>
            </w:pPr>
            <w:r w:rsidRPr="00335203">
              <w:t>04</w:t>
            </w:r>
            <w:r w:rsidR="00755F7A" w:rsidRPr="00335203">
              <w:t>/</w:t>
            </w:r>
            <w:r w:rsidR="00F02256" w:rsidRPr="00335203">
              <w:t xml:space="preserve">04/2023 – </w:t>
            </w:r>
            <w:r w:rsidR="00755F7A" w:rsidRPr="00335203">
              <w:t>05/</w:t>
            </w:r>
            <w:r w:rsidR="005D4D55" w:rsidRPr="00335203">
              <w:t>06/</w:t>
            </w:r>
            <w:r w:rsidR="00755F7A" w:rsidRPr="00335203">
              <w:t>2023</w:t>
            </w:r>
          </w:p>
        </w:tc>
      </w:tr>
      <w:tr w:rsidR="006A4EB7" w:rsidRPr="00993D45" w14:paraId="5E33463F" w14:textId="77777777" w:rsidTr="00B741AD">
        <w:tc>
          <w:tcPr>
            <w:cnfStyle w:val="001000000000" w:firstRow="0" w:lastRow="0" w:firstColumn="1" w:lastColumn="0" w:oddVBand="0" w:evenVBand="0" w:oddHBand="0" w:evenHBand="0" w:firstRowFirstColumn="0" w:firstRowLastColumn="0" w:lastRowFirstColumn="0" w:lastRowLastColumn="0"/>
            <w:tcW w:w="2966" w:type="pct"/>
          </w:tcPr>
          <w:p w14:paraId="45B1F211" w14:textId="5FC2BF0A" w:rsidR="006A4EB7" w:rsidRPr="00335203" w:rsidRDefault="000D27B5" w:rsidP="00924939">
            <w:pPr>
              <w:pStyle w:val="ListParagraph"/>
              <w:ind w:left="0"/>
            </w:pPr>
            <w:r w:rsidRPr="00335203">
              <w:t>Announc</w:t>
            </w:r>
            <w:r w:rsidR="003741F9" w:rsidRPr="00335203">
              <w:t>e</w:t>
            </w:r>
            <w:r w:rsidR="006A4EB7" w:rsidRPr="00335203">
              <w:t xml:space="preserve"> preferred bidder</w:t>
            </w:r>
          </w:p>
        </w:tc>
        <w:tc>
          <w:tcPr>
            <w:tcW w:w="2034" w:type="pct"/>
          </w:tcPr>
          <w:p w14:paraId="56A04992" w14:textId="626A78A9" w:rsidR="006A4EB7" w:rsidRPr="00335203" w:rsidRDefault="003741F9" w:rsidP="006A4EB7">
            <w:pPr>
              <w:pStyle w:val="ListParagraph"/>
              <w:ind w:left="0"/>
              <w:cnfStyle w:val="000000000000" w:firstRow="0" w:lastRow="0" w:firstColumn="0" w:lastColumn="0" w:oddVBand="0" w:evenVBand="0" w:oddHBand="0" w:evenHBand="0" w:firstRowFirstColumn="0" w:firstRowLastColumn="0" w:lastRowFirstColumn="0" w:lastRowLastColumn="0"/>
            </w:pPr>
            <w:r w:rsidRPr="00335203">
              <w:t>05</w:t>
            </w:r>
            <w:r w:rsidR="006A4EB7" w:rsidRPr="00335203">
              <w:t>/</w:t>
            </w:r>
            <w:r w:rsidR="00F02E32" w:rsidRPr="00335203">
              <w:t>06/</w:t>
            </w:r>
            <w:r w:rsidR="006A4EB7" w:rsidRPr="00335203">
              <w:t>2023</w:t>
            </w:r>
          </w:p>
        </w:tc>
      </w:tr>
      <w:tr w:rsidR="006A4EB7" w14:paraId="28265F23" w14:textId="77777777" w:rsidTr="00B741AD">
        <w:tc>
          <w:tcPr>
            <w:cnfStyle w:val="001000000000" w:firstRow="0" w:lastRow="0" w:firstColumn="1" w:lastColumn="0" w:oddVBand="0" w:evenVBand="0" w:oddHBand="0" w:evenHBand="0" w:firstRowFirstColumn="0" w:firstRowLastColumn="0" w:lastRowFirstColumn="0" w:lastRowLastColumn="0"/>
            <w:tcW w:w="2966" w:type="pct"/>
          </w:tcPr>
          <w:p w14:paraId="01DEE462" w14:textId="707251FC" w:rsidR="006A4EB7" w:rsidRPr="00335203" w:rsidRDefault="006A4EB7" w:rsidP="006A4EB7">
            <w:pPr>
              <w:pStyle w:val="ListParagraph"/>
              <w:ind w:left="0"/>
            </w:pPr>
            <w:r w:rsidRPr="00335203">
              <w:t xml:space="preserve">Contract </w:t>
            </w:r>
            <w:r w:rsidR="003741F9" w:rsidRPr="00335203">
              <w:t>signing</w:t>
            </w:r>
            <w:r w:rsidRPr="00335203">
              <w:t xml:space="preserve"> (after 10-day standstill)</w:t>
            </w:r>
          </w:p>
        </w:tc>
        <w:tc>
          <w:tcPr>
            <w:tcW w:w="2034" w:type="pct"/>
          </w:tcPr>
          <w:p w14:paraId="5EEC3E7E" w14:textId="570A09EF" w:rsidR="006A4EB7" w:rsidRPr="00335203" w:rsidRDefault="00AF6977" w:rsidP="006A4EB7">
            <w:pPr>
              <w:pStyle w:val="ListParagraph"/>
              <w:ind w:left="0"/>
              <w:cnfStyle w:val="000000000000" w:firstRow="0" w:lastRow="0" w:firstColumn="0" w:lastColumn="0" w:oddVBand="0" w:evenVBand="0" w:oddHBand="0" w:evenHBand="0" w:firstRowFirstColumn="0" w:firstRowLastColumn="0" w:lastRowFirstColumn="0" w:lastRowLastColumn="0"/>
            </w:pPr>
            <w:r w:rsidRPr="00335203">
              <w:t>03/07</w:t>
            </w:r>
            <w:r w:rsidR="00507784" w:rsidRPr="00335203">
              <w:t>/2023</w:t>
            </w:r>
          </w:p>
        </w:tc>
      </w:tr>
      <w:bookmarkEnd w:id="13"/>
    </w:tbl>
    <w:p w14:paraId="4D6C4F62" w14:textId="77777777" w:rsidR="00821EFA" w:rsidRDefault="00821EFA" w:rsidP="00821EFA">
      <w:pPr>
        <w:rPr>
          <w:rFonts w:ascii="Arial" w:hAnsi="Arial"/>
          <w:lang w:eastAsia="en-GB"/>
        </w:rPr>
      </w:pPr>
    </w:p>
    <w:p w14:paraId="6A6078F1" w14:textId="77777777" w:rsidR="00E13E28" w:rsidRDefault="00E13E28">
      <w:r>
        <w:br w:type="page"/>
      </w:r>
    </w:p>
    <w:p w14:paraId="34E1399D" w14:textId="6CA4988E" w:rsidR="00821EFA" w:rsidRPr="006B75D0" w:rsidRDefault="00A23409" w:rsidP="00EE024B">
      <w:pPr>
        <w:pStyle w:val="Heading3"/>
        <w:numPr>
          <w:ilvl w:val="0"/>
          <w:numId w:val="14"/>
        </w:numPr>
        <w:ind w:left="1134" w:hanging="708"/>
        <w:rPr>
          <w:lang w:eastAsia="en-GB"/>
        </w:rPr>
      </w:pPr>
      <w:bookmarkStart w:id="14" w:name="_Toc114425270"/>
      <w:bookmarkStart w:id="15" w:name="_Toc114501435"/>
      <w:bookmarkStart w:id="16" w:name="_Toc114501468"/>
      <w:bookmarkStart w:id="17" w:name="_Toc115190922"/>
      <w:bookmarkStart w:id="18" w:name="_Toc115190950"/>
      <w:bookmarkStart w:id="19" w:name="_Toc115191041"/>
      <w:bookmarkStart w:id="20" w:name="_Toc127213830"/>
      <w:bookmarkEnd w:id="14"/>
      <w:bookmarkEnd w:id="15"/>
      <w:bookmarkEnd w:id="16"/>
      <w:bookmarkEnd w:id="17"/>
      <w:bookmarkEnd w:id="18"/>
      <w:bookmarkEnd w:id="19"/>
      <w:r>
        <w:rPr>
          <w:lang w:eastAsia="en-GB"/>
        </w:rPr>
        <w:lastRenderedPageBreak/>
        <w:t>Compliant Tender</w:t>
      </w:r>
      <w:bookmarkEnd w:id="20"/>
    </w:p>
    <w:p w14:paraId="3064E5FD" w14:textId="363F122C" w:rsidR="00821EFA" w:rsidRPr="00475302" w:rsidRDefault="00821EFA" w:rsidP="00EE024B">
      <w:pPr>
        <w:pStyle w:val="ListParagraph"/>
        <w:numPr>
          <w:ilvl w:val="1"/>
          <w:numId w:val="14"/>
        </w:numPr>
      </w:pPr>
      <w:r w:rsidRPr="00821EFA">
        <w:t xml:space="preserve">Tenders must be submitted in accordance with the instructions set out in the </w:t>
      </w:r>
      <w:r w:rsidR="009728B6" w:rsidRPr="009728B6">
        <w:t>ITT</w:t>
      </w:r>
      <w:r>
        <w:t>.</w:t>
      </w:r>
      <w:r w:rsidRPr="00821EFA">
        <w:t xml:space="preserve"> </w:t>
      </w:r>
      <w:r w:rsidR="00584EB1">
        <w:t>Tenderer</w:t>
      </w:r>
      <w:r w:rsidRPr="00821EFA">
        <w:t>s should read the instructions and guidance carefully before completing the Tender documentation. Any Tenders not complying with the requirements of the Tender documentation in any way may be rejected by the Combined Authority, whose decision in the matter shall be final.  Non-compliant Tenders may include, but will not be limited to, late responses, qualified bids, or bids that do not follow the requested format.</w:t>
      </w:r>
      <w:r w:rsidR="00A945E5">
        <w:br/>
      </w:r>
    </w:p>
    <w:p w14:paraId="5A87F5EF" w14:textId="674DBC4B" w:rsidR="00821EFA" w:rsidRPr="00475302" w:rsidRDefault="00821EFA" w:rsidP="00EE024B">
      <w:pPr>
        <w:pStyle w:val="ListParagraph"/>
        <w:numPr>
          <w:ilvl w:val="1"/>
          <w:numId w:val="14"/>
        </w:numPr>
      </w:pPr>
      <w:proofErr w:type="gramStart"/>
      <w:r w:rsidRPr="00475302">
        <w:t>In order to</w:t>
      </w:r>
      <w:proofErr w:type="gramEnd"/>
      <w:r w:rsidRPr="00475302">
        <w:t xml:space="preserve"> provide a compliant Tender response, </w:t>
      </w:r>
      <w:r w:rsidR="00584EB1">
        <w:t>Tenderer</w:t>
      </w:r>
      <w:r w:rsidRPr="00475302">
        <w:t xml:space="preserve">s must submit the following </w:t>
      </w:r>
      <w:r w:rsidR="00E13A5A">
        <w:t xml:space="preserve">completed </w:t>
      </w:r>
      <w:r w:rsidRPr="00475302">
        <w:t>documents:</w:t>
      </w:r>
    </w:p>
    <w:p w14:paraId="24E71B25" w14:textId="54D129AA" w:rsidR="00E13A5A" w:rsidRPr="00B551FA" w:rsidRDefault="00E13A5A" w:rsidP="007941BD">
      <w:pPr>
        <w:pStyle w:val="ListParagraph"/>
        <w:numPr>
          <w:ilvl w:val="2"/>
          <w:numId w:val="36"/>
        </w:numPr>
      </w:pPr>
      <w:r w:rsidRPr="00B551FA">
        <w:t>ITT Appendix B – Supplier Selection Questionnaire (SSQ) responses</w:t>
      </w:r>
    </w:p>
    <w:p w14:paraId="705BC500" w14:textId="77777777" w:rsidR="00E13A5A" w:rsidRPr="00B551FA" w:rsidRDefault="00E13A5A" w:rsidP="007941BD">
      <w:pPr>
        <w:pStyle w:val="ListParagraph"/>
        <w:numPr>
          <w:ilvl w:val="2"/>
          <w:numId w:val="36"/>
        </w:numPr>
      </w:pPr>
      <w:r w:rsidRPr="00B551FA">
        <w:t>ITT Appendix C – Technical Questionnaire</w:t>
      </w:r>
    </w:p>
    <w:p w14:paraId="5A2062ED" w14:textId="77777777" w:rsidR="00E13A5A" w:rsidRPr="00B551FA" w:rsidRDefault="00E13A5A" w:rsidP="007941BD">
      <w:pPr>
        <w:pStyle w:val="ListParagraph"/>
        <w:numPr>
          <w:ilvl w:val="2"/>
          <w:numId w:val="36"/>
        </w:numPr>
      </w:pPr>
      <w:r w:rsidRPr="00B551FA">
        <w:t>ITT Appendix D – Pricing Schedule</w:t>
      </w:r>
    </w:p>
    <w:p w14:paraId="08E4120F" w14:textId="77777777" w:rsidR="00E13A5A" w:rsidRPr="00B551FA" w:rsidRDefault="00E13A5A" w:rsidP="007941BD">
      <w:pPr>
        <w:pStyle w:val="ListParagraph"/>
        <w:numPr>
          <w:ilvl w:val="2"/>
          <w:numId w:val="36"/>
        </w:numPr>
      </w:pPr>
      <w:r w:rsidRPr="00B551FA">
        <w:t>ITT Appendix F – Form of Tender</w:t>
      </w:r>
    </w:p>
    <w:p w14:paraId="600DD53C" w14:textId="77777777" w:rsidR="00E13A5A" w:rsidRPr="00B551FA" w:rsidRDefault="00E13A5A" w:rsidP="007941BD">
      <w:pPr>
        <w:pStyle w:val="ListParagraph"/>
        <w:numPr>
          <w:ilvl w:val="2"/>
          <w:numId w:val="36"/>
        </w:numPr>
      </w:pPr>
      <w:r w:rsidRPr="00B551FA">
        <w:t>ITT Appendix H – Non-collusion certificate</w:t>
      </w:r>
    </w:p>
    <w:p w14:paraId="0DBA4407" w14:textId="77777777" w:rsidR="00E13A5A" w:rsidRPr="00B551FA" w:rsidRDefault="00E13A5A" w:rsidP="007941BD">
      <w:pPr>
        <w:pStyle w:val="ListParagraph"/>
        <w:numPr>
          <w:ilvl w:val="2"/>
          <w:numId w:val="36"/>
        </w:numPr>
      </w:pPr>
      <w:r w:rsidRPr="00B551FA">
        <w:t>ITT Appendix I – Certificate as to canvassing</w:t>
      </w:r>
    </w:p>
    <w:p w14:paraId="088CA505" w14:textId="375130CF" w:rsidR="00E13A5A" w:rsidRPr="00B551FA" w:rsidRDefault="00E13A5A">
      <w:pPr>
        <w:pStyle w:val="ListParagraph"/>
        <w:numPr>
          <w:ilvl w:val="2"/>
          <w:numId w:val="36"/>
        </w:numPr>
      </w:pPr>
      <w:r w:rsidRPr="00B551FA">
        <w:t xml:space="preserve">ITT Appendix J – </w:t>
      </w:r>
      <w:proofErr w:type="gramStart"/>
      <w:r w:rsidRPr="00B551FA">
        <w:t>Requirements</w:t>
      </w:r>
      <w:proofErr w:type="gramEnd"/>
      <w:r w:rsidRPr="00B551FA">
        <w:t xml:space="preserve"> checklist</w:t>
      </w:r>
    </w:p>
    <w:p w14:paraId="32B36F27" w14:textId="0CFCA110" w:rsidR="00481424" w:rsidRPr="00B551FA" w:rsidRDefault="00481424" w:rsidP="00481424">
      <w:pPr>
        <w:pStyle w:val="ListParagraph"/>
        <w:numPr>
          <w:ilvl w:val="2"/>
          <w:numId w:val="36"/>
        </w:numPr>
      </w:pPr>
      <w:r w:rsidRPr="00B551FA">
        <w:t xml:space="preserve">ITT Appendix K – Social Value Delivery Plan </w:t>
      </w:r>
    </w:p>
    <w:p w14:paraId="59CB955F" w14:textId="4A59D14D" w:rsidR="00821EFA" w:rsidRDefault="00C40DE8" w:rsidP="00CA6E33">
      <w:pPr>
        <w:pStyle w:val="ListParagraph"/>
        <w:ind w:left="1080"/>
      </w:pPr>
      <w:r>
        <w:br/>
      </w:r>
      <w:r w:rsidR="00821EFA" w:rsidRPr="00475302">
        <w:t xml:space="preserve">The </w:t>
      </w:r>
      <w:r w:rsidR="00821EFA" w:rsidRPr="00E75A7C">
        <w:t>Requirements Checklist</w:t>
      </w:r>
      <w:r w:rsidR="00821EFA" w:rsidRPr="00475302">
        <w:t xml:space="preserve"> must be completed by </w:t>
      </w:r>
      <w:r w:rsidR="00584EB1">
        <w:t>Tenderer</w:t>
      </w:r>
      <w:r w:rsidR="00821EFA" w:rsidRPr="00475302">
        <w:t xml:space="preserve">s and returned with the documents listed above. </w:t>
      </w:r>
    </w:p>
    <w:p w14:paraId="0FB801EB" w14:textId="77777777" w:rsidR="00CA6E33" w:rsidRPr="00C03053" w:rsidRDefault="00CA6E33" w:rsidP="00CA6E33">
      <w:pPr>
        <w:pStyle w:val="ListParagraph"/>
        <w:ind w:left="1080"/>
      </w:pPr>
    </w:p>
    <w:p w14:paraId="71FA2A45" w14:textId="305163AF" w:rsidR="00821EFA" w:rsidRDefault="00584EB1" w:rsidP="00EE024B">
      <w:pPr>
        <w:pStyle w:val="ListParagraph"/>
        <w:numPr>
          <w:ilvl w:val="1"/>
          <w:numId w:val="14"/>
        </w:numPr>
      </w:pPr>
      <w:r>
        <w:t>Tenderer</w:t>
      </w:r>
      <w:r w:rsidR="00821EFA" w:rsidRPr="00CA6E33">
        <w:t xml:space="preserve">s should note that the Combined Authority will regard the lodging of a false Non-Collusion or Canvassing Certificate as grounds justifying immediate rejection of the Tender without further reference to the relevant </w:t>
      </w:r>
      <w:r>
        <w:t>Tenderer</w:t>
      </w:r>
      <w:r w:rsidR="00821EFA" w:rsidRPr="00CA6E33">
        <w:t xml:space="preserve"> or for immediate termination of the contract if it has already been </w:t>
      </w:r>
      <w:proofErr w:type="gramStart"/>
      <w:r w:rsidR="00821EFA" w:rsidRPr="00CA6E33">
        <w:t>entered into</w:t>
      </w:r>
      <w:proofErr w:type="gramEnd"/>
      <w:r w:rsidR="00821EFA" w:rsidRPr="00CA6E33">
        <w:t>.</w:t>
      </w:r>
    </w:p>
    <w:p w14:paraId="2396090E" w14:textId="77777777" w:rsidR="00CA6E33" w:rsidRDefault="00CA6E33" w:rsidP="00CA6E33">
      <w:pPr>
        <w:pStyle w:val="ListParagraph"/>
        <w:ind w:left="1080"/>
      </w:pPr>
    </w:p>
    <w:p w14:paraId="48BC4F7F" w14:textId="23BD489E" w:rsidR="00CA6E33" w:rsidRPr="00CA6E33" w:rsidRDefault="00821EFA" w:rsidP="00EE024B">
      <w:pPr>
        <w:pStyle w:val="ListParagraph"/>
        <w:numPr>
          <w:ilvl w:val="1"/>
          <w:numId w:val="14"/>
        </w:numPr>
      </w:pPr>
      <w:r w:rsidRPr="00CA6E33">
        <w:t xml:space="preserve">The Tender documents must not be amended by the </w:t>
      </w:r>
      <w:r w:rsidR="00584EB1">
        <w:t>Tenderer</w:t>
      </w:r>
      <w:r w:rsidRPr="00CA6E33">
        <w:t xml:space="preserve"> and no altered or erased figures should appear in the financial information.</w:t>
      </w:r>
      <w:r w:rsidR="00CA6E33">
        <w:br/>
      </w:r>
    </w:p>
    <w:p w14:paraId="72BE3138" w14:textId="4A6F83A0" w:rsidR="00821EFA" w:rsidRDefault="00821EFA" w:rsidP="00EE024B">
      <w:pPr>
        <w:pStyle w:val="ListParagraph"/>
        <w:numPr>
          <w:ilvl w:val="1"/>
          <w:numId w:val="14"/>
        </w:numPr>
      </w:pPr>
      <w:r w:rsidRPr="00CA6E33">
        <w:t xml:space="preserve">Following the submission deadline, the Combined Authority shall undertake a compliance check and review </w:t>
      </w:r>
      <w:r w:rsidR="00584EB1">
        <w:t>Tenderer</w:t>
      </w:r>
      <w:r w:rsidRPr="00CA6E33">
        <w:t xml:space="preserve">s’ responses to the Selection Questionnaire. The Combined Authority reserves the right to reject any </w:t>
      </w:r>
      <w:r w:rsidR="00584EB1">
        <w:t>Tenderer</w:t>
      </w:r>
      <w:r w:rsidRPr="00CA6E33">
        <w:t xml:space="preserve"> that fails to meet the minimum requirements set out in the Selection Questionnaire. </w:t>
      </w:r>
    </w:p>
    <w:p w14:paraId="4F02DB64" w14:textId="77777777" w:rsidR="00CA6E33" w:rsidRPr="00CA6E33" w:rsidRDefault="00CA6E33" w:rsidP="00CA6E33">
      <w:pPr>
        <w:pStyle w:val="ListParagraph"/>
        <w:ind w:left="1080"/>
      </w:pPr>
    </w:p>
    <w:p w14:paraId="18FAA955" w14:textId="7E3CD936" w:rsidR="00821EFA" w:rsidRPr="00CA6E33" w:rsidRDefault="00821EFA" w:rsidP="00EE024B">
      <w:pPr>
        <w:pStyle w:val="ListParagraph"/>
        <w:numPr>
          <w:ilvl w:val="1"/>
          <w:numId w:val="14"/>
        </w:numPr>
      </w:pPr>
      <w:r w:rsidRPr="00CA6E33">
        <w:rPr>
          <w:b/>
          <w:bCs/>
        </w:rPr>
        <w:t>Contract Award</w:t>
      </w:r>
      <w:r w:rsidRPr="00CA6E33">
        <w:t xml:space="preserve"> - Should this procurement process conclude with a contract award the following stages shall apply:</w:t>
      </w:r>
    </w:p>
    <w:p w14:paraId="633EEF5A" w14:textId="673BABD3" w:rsidR="00821EFA" w:rsidRPr="00CA6E33" w:rsidRDefault="00821EFA" w:rsidP="00EE024B">
      <w:pPr>
        <w:pStyle w:val="ListParagraph"/>
        <w:numPr>
          <w:ilvl w:val="0"/>
          <w:numId w:val="15"/>
        </w:numPr>
      </w:pPr>
      <w:r w:rsidRPr="00CA6E33">
        <w:t xml:space="preserve">The Combined Authority will announce the outcome of the procurement and issue </w:t>
      </w:r>
      <w:r w:rsidR="00584EB1">
        <w:t>Tenderer</w:t>
      </w:r>
      <w:r w:rsidRPr="00CA6E33">
        <w:t xml:space="preserve">s with an intention to award letter – these letters will, for unsuccessful </w:t>
      </w:r>
      <w:r w:rsidR="00584EB1">
        <w:t>Tenderer</w:t>
      </w:r>
      <w:r w:rsidRPr="00CA6E33">
        <w:t xml:space="preserve">s, give their score, the score of the ‘preferred </w:t>
      </w:r>
      <w:r w:rsidR="00584EB1">
        <w:t>Tenderer</w:t>
      </w:r>
      <w:r w:rsidRPr="00CA6E33">
        <w:t xml:space="preserve">’ and state the distinct characteristics and </w:t>
      </w:r>
      <w:r w:rsidR="005D2304">
        <w:t xml:space="preserve">relative </w:t>
      </w:r>
      <w:r w:rsidRPr="00CA6E33">
        <w:t xml:space="preserve">advantages (where applicable) of the preferred </w:t>
      </w:r>
      <w:r w:rsidR="00584EB1">
        <w:t>Tenderer</w:t>
      </w:r>
      <w:r w:rsidRPr="00CA6E33">
        <w:t>’s submission.</w:t>
      </w:r>
    </w:p>
    <w:p w14:paraId="738834BC" w14:textId="47404B24" w:rsidR="00821EFA" w:rsidRPr="00CA6E33" w:rsidRDefault="00821EFA" w:rsidP="00EE024B">
      <w:pPr>
        <w:pStyle w:val="ListParagraph"/>
        <w:numPr>
          <w:ilvl w:val="0"/>
          <w:numId w:val="15"/>
        </w:numPr>
      </w:pPr>
      <w:r>
        <w:t xml:space="preserve">Issue of the intention to award letters will start a 10-day standstill period which will conclude at midnight on Day 10. This period is mandatory under the </w:t>
      </w:r>
      <w:r w:rsidR="2F69B682">
        <w:t>PCR</w:t>
      </w:r>
      <w:r>
        <w:t xml:space="preserve"> 2015. </w:t>
      </w:r>
      <w:r w:rsidR="00584EB1">
        <w:t>Tenderer</w:t>
      </w:r>
      <w:r>
        <w:t>s should familiarise themselves with the purpose of this period.</w:t>
      </w:r>
    </w:p>
    <w:p w14:paraId="1DF582B1" w14:textId="01F0084B" w:rsidR="00CA6E33" w:rsidRPr="00CA6E33" w:rsidRDefault="00821EFA" w:rsidP="00EE024B">
      <w:pPr>
        <w:pStyle w:val="ListParagraph"/>
        <w:numPr>
          <w:ilvl w:val="0"/>
          <w:numId w:val="15"/>
        </w:numPr>
      </w:pPr>
      <w:r w:rsidRPr="00CA6E33">
        <w:lastRenderedPageBreak/>
        <w:t xml:space="preserve">At any time after conclusion of the mandatory standstill period (Day 11) the   contract may be awarded by the Combined Authority to the preferred </w:t>
      </w:r>
      <w:r w:rsidR="00584EB1">
        <w:t>Tenderer</w:t>
      </w:r>
      <w:r w:rsidRPr="00CA6E33">
        <w:t>.</w:t>
      </w:r>
      <w:r w:rsidR="00CA6E33">
        <w:br/>
      </w:r>
    </w:p>
    <w:p w14:paraId="52137342" w14:textId="4A267FD3" w:rsidR="00821EFA" w:rsidRPr="00F4287C" w:rsidRDefault="00584EB1" w:rsidP="00EE024B">
      <w:pPr>
        <w:pStyle w:val="ListParagraph"/>
        <w:numPr>
          <w:ilvl w:val="1"/>
          <w:numId w:val="14"/>
        </w:numPr>
      </w:pPr>
      <w:r>
        <w:t>Tenderer</w:t>
      </w:r>
      <w:r w:rsidR="00821EFA" w:rsidRPr="00CA6E33">
        <w:t xml:space="preserve">s may modify their submissions prior to the deadline for receipt. </w:t>
      </w:r>
      <w:r>
        <w:t>Tenderer</w:t>
      </w:r>
      <w:r w:rsidR="00821EFA" w:rsidRPr="00CA6E33">
        <w:t>s may withdraw their submission at any time prior to accepting notification of award.</w:t>
      </w:r>
      <w:r w:rsidR="00F4287C">
        <w:br/>
      </w:r>
    </w:p>
    <w:p w14:paraId="6C333CE6" w14:textId="7759565C" w:rsidR="00821EFA" w:rsidRPr="00ED630A" w:rsidRDefault="00821EFA" w:rsidP="00EE024B">
      <w:pPr>
        <w:pStyle w:val="ListParagraph"/>
        <w:numPr>
          <w:ilvl w:val="1"/>
          <w:numId w:val="14"/>
        </w:numPr>
      </w:pPr>
      <w:r w:rsidRPr="00ED630A">
        <w:t xml:space="preserve">No part of a </w:t>
      </w:r>
      <w:r w:rsidR="00584EB1">
        <w:t>Tenderer</w:t>
      </w:r>
      <w:r w:rsidRPr="00ED630A">
        <w:t>’s Tender should be:</w:t>
      </w:r>
    </w:p>
    <w:p w14:paraId="04B42C75" w14:textId="77777777" w:rsidR="00821EFA" w:rsidRPr="00ED630A" w:rsidRDefault="00821EFA" w:rsidP="00EE024B">
      <w:pPr>
        <w:pStyle w:val="ListParagraph"/>
        <w:numPr>
          <w:ilvl w:val="0"/>
          <w:numId w:val="16"/>
        </w:numPr>
      </w:pPr>
      <w:proofErr w:type="gramStart"/>
      <w:r w:rsidRPr="00ED630A">
        <w:t>qualified;</w:t>
      </w:r>
      <w:proofErr w:type="gramEnd"/>
    </w:p>
    <w:p w14:paraId="0F1A435F" w14:textId="77777777" w:rsidR="00821EFA" w:rsidRPr="00ED630A" w:rsidRDefault="00821EFA" w:rsidP="00EE024B">
      <w:pPr>
        <w:pStyle w:val="ListParagraph"/>
        <w:numPr>
          <w:ilvl w:val="0"/>
          <w:numId w:val="16"/>
        </w:numPr>
      </w:pPr>
      <w:r w:rsidRPr="00ED630A">
        <w:t>conditional; or</w:t>
      </w:r>
    </w:p>
    <w:p w14:paraId="31D2AF54" w14:textId="3EA675E9" w:rsidR="00821EFA" w:rsidRDefault="00821EFA" w:rsidP="00EE024B">
      <w:pPr>
        <w:pStyle w:val="ListParagraph"/>
        <w:numPr>
          <w:ilvl w:val="0"/>
          <w:numId w:val="16"/>
        </w:numPr>
      </w:pPr>
      <w:r w:rsidRPr="00ED630A">
        <w:t xml:space="preserve">accompanied by statements which could be construed as rendering the Tender equivocal and/or placed on a different footing to those of other </w:t>
      </w:r>
      <w:r w:rsidR="00584EB1">
        <w:t>Tenderer</w:t>
      </w:r>
      <w:r w:rsidRPr="00ED630A">
        <w:t>s.</w:t>
      </w:r>
    </w:p>
    <w:p w14:paraId="7550CA56" w14:textId="77777777" w:rsidR="006F49C4" w:rsidRPr="00ED630A" w:rsidRDefault="006F49C4" w:rsidP="00E75A7C">
      <w:pPr>
        <w:pStyle w:val="ListParagraph"/>
        <w:ind w:left="1800"/>
      </w:pPr>
    </w:p>
    <w:p w14:paraId="75A4BF92" w14:textId="5E55A1F4" w:rsidR="00821EFA" w:rsidRPr="00F4287C" w:rsidRDefault="00821EFA" w:rsidP="00EE024B">
      <w:pPr>
        <w:pStyle w:val="ListParagraph"/>
        <w:numPr>
          <w:ilvl w:val="1"/>
          <w:numId w:val="14"/>
        </w:numPr>
      </w:pPr>
      <w:r w:rsidRPr="00ED630A">
        <w:t xml:space="preserve">The Combined Authority’s decision on </w:t>
      </w:r>
      <w:proofErr w:type="gramStart"/>
      <w:r w:rsidRPr="00ED630A">
        <w:t>whether or not</w:t>
      </w:r>
      <w:proofErr w:type="gramEnd"/>
      <w:r w:rsidRPr="00ED630A">
        <w:t xml:space="preserve"> a Tender meets this requirement will be final and the </w:t>
      </w:r>
      <w:r w:rsidR="00584EB1">
        <w:t>Tenderer</w:t>
      </w:r>
      <w:r w:rsidRPr="00ED630A">
        <w:t xml:space="preserve"> concerned will not be consulted. If a Tender is excluded from further consideration the </w:t>
      </w:r>
      <w:r w:rsidR="00584EB1">
        <w:t>Tenderer</w:t>
      </w:r>
      <w:r w:rsidRPr="00ED630A">
        <w:t xml:space="preserve"> concerned will be notified.</w:t>
      </w:r>
      <w:r w:rsidR="00F4287C">
        <w:br/>
      </w:r>
    </w:p>
    <w:p w14:paraId="23E3D784" w14:textId="1E5D4181" w:rsidR="00821EFA" w:rsidRDefault="00821EFA" w:rsidP="00EE024B">
      <w:pPr>
        <w:pStyle w:val="ListParagraph"/>
        <w:numPr>
          <w:ilvl w:val="1"/>
          <w:numId w:val="14"/>
        </w:numPr>
      </w:pPr>
      <w:r w:rsidRPr="00F4287C">
        <w:t xml:space="preserve">If the Combined Authority suspects that there has been a technical or arithmetical error in a </w:t>
      </w:r>
      <w:r w:rsidR="00584EB1">
        <w:t>Tenderer</w:t>
      </w:r>
      <w:r w:rsidRPr="00F4287C">
        <w:t xml:space="preserve">’s submission, it reserves the right to seek such clarification as it considers necessary from that </w:t>
      </w:r>
      <w:r w:rsidR="00584EB1">
        <w:t>Tenderer</w:t>
      </w:r>
      <w:r w:rsidRPr="00F4287C">
        <w:t xml:space="preserve"> only.</w:t>
      </w:r>
    </w:p>
    <w:p w14:paraId="5E088C18" w14:textId="77777777" w:rsidR="002031CA" w:rsidRPr="00E75A7C" w:rsidRDefault="002031CA" w:rsidP="00EE024B">
      <w:pPr>
        <w:pStyle w:val="Heading3"/>
        <w:numPr>
          <w:ilvl w:val="0"/>
          <w:numId w:val="14"/>
        </w:numPr>
        <w:ind w:left="1134" w:hanging="708"/>
        <w:rPr>
          <w:lang w:eastAsia="en-GB"/>
        </w:rPr>
      </w:pPr>
      <w:bookmarkStart w:id="21" w:name="_Toc127213831"/>
      <w:r w:rsidRPr="00E75A7C">
        <w:rPr>
          <w:lang w:eastAsia="en-GB"/>
        </w:rPr>
        <w:t>Variant Tender</w:t>
      </w:r>
      <w:bookmarkEnd w:id="21"/>
      <w:r w:rsidRPr="00E75A7C">
        <w:rPr>
          <w:lang w:eastAsia="en-GB"/>
        </w:rPr>
        <w:t xml:space="preserve"> </w:t>
      </w:r>
    </w:p>
    <w:p w14:paraId="08F37047" w14:textId="4260EA75" w:rsidR="002031CA" w:rsidRDefault="002031CA" w:rsidP="00EE024B">
      <w:pPr>
        <w:pStyle w:val="ListParagraph"/>
        <w:numPr>
          <w:ilvl w:val="1"/>
          <w:numId w:val="14"/>
        </w:numPr>
      </w:pPr>
      <w:r w:rsidRPr="00E75A7C">
        <w:t xml:space="preserve">A variant tender is a tender that is different from that which has been specifically requested by </w:t>
      </w:r>
      <w:r w:rsidR="00937381">
        <w:t>the Combined Authority</w:t>
      </w:r>
      <w:r w:rsidRPr="00E75A7C">
        <w:t xml:space="preserve"> in this </w:t>
      </w:r>
      <w:r w:rsidRPr="009728B6">
        <w:t>ITT</w:t>
      </w:r>
      <w:r w:rsidRPr="00E75A7C">
        <w:t xml:space="preserve">. For example, a tender that contains different pricing proposals or purports to deliver the services in a different way to that set out in </w:t>
      </w:r>
      <w:r w:rsidR="00937381">
        <w:t>Combined Authority’s</w:t>
      </w:r>
      <w:r w:rsidRPr="00E75A7C">
        <w:t xml:space="preserve"> requirements.</w:t>
      </w:r>
    </w:p>
    <w:p w14:paraId="07C24404" w14:textId="77777777" w:rsidR="00937381" w:rsidRPr="00E75A7C" w:rsidRDefault="00937381" w:rsidP="00E75A7C">
      <w:pPr>
        <w:pStyle w:val="ListParagraph"/>
        <w:ind w:left="1080"/>
      </w:pPr>
    </w:p>
    <w:p w14:paraId="436086E3" w14:textId="0FE88909" w:rsidR="00E91A1E" w:rsidRDefault="00584EB1" w:rsidP="00402B18">
      <w:pPr>
        <w:pStyle w:val="ListParagraph"/>
        <w:numPr>
          <w:ilvl w:val="1"/>
          <w:numId w:val="14"/>
        </w:numPr>
      </w:pPr>
      <w:r>
        <w:t>Tenderer</w:t>
      </w:r>
      <w:r w:rsidR="002031CA" w:rsidRPr="00E75A7C">
        <w:t>s are not permitted to submit variant tenders</w:t>
      </w:r>
      <w:r w:rsidR="000F6A98">
        <w:t>;</w:t>
      </w:r>
      <w:r w:rsidR="002031CA" w:rsidRPr="00E75A7C">
        <w:t xml:space="preserve"> </w:t>
      </w:r>
      <w:r w:rsidR="00937381">
        <w:t>the Combined Authority</w:t>
      </w:r>
      <w:r w:rsidR="00E91A1E">
        <w:t xml:space="preserve"> will reject any variant tenders. </w:t>
      </w:r>
    </w:p>
    <w:p w14:paraId="16374214" w14:textId="77777777" w:rsidR="00E91A1E" w:rsidRDefault="00E91A1E">
      <w:r>
        <w:br w:type="page"/>
      </w:r>
    </w:p>
    <w:p w14:paraId="15DBDF5A" w14:textId="7E129532" w:rsidR="00821EFA" w:rsidRDefault="00821EFA" w:rsidP="00EE024B">
      <w:pPr>
        <w:pStyle w:val="Heading3"/>
        <w:numPr>
          <w:ilvl w:val="0"/>
          <w:numId w:val="14"/>
        </w:numPr>
        <w:ind w:left="1134" w:hanging="708"/>
        <w:rPr>
          <w:lang w:eastAsia="en-GB"/>
        </w:rPr>
      </w:pPr>
      <w:bookmarkStart w:id="22" w:name="_Toc127213832"/>
      <w:r w:rsidRPr="006F7FFD">
        <w:rPr>
          <w:lang w:eastAsia="en-GB"/>
        </w:rPr>
        <w:lastRenderedPageBreak/>
        <w:t>Form of Contract</w:t>
      </w:r>
      <w:bookmarkEnd w:id="22"/>
    </w:p>
    <w:p w14:paraId="11735700" w14:textId="64A4A613" w:rsidR="0071207F" w:rsidRDefault="00821EFA" w:rsidP="00EE024B">
      <w:pPr>
        <w:pStyle w:val="ListParagraph"/>
        <w:numPr>
          <w:ilvl w:val="1"/>
          <w:numId w:val="14"/>
        </w:numPr>
      </w:pPr>
      <w:r w:rsidRPr="006F7FFD">
        <w:t xml:space="preserve">The form of contract that the Combined Authority proposes to </w:t>
      </w:r>
      <w:proofErr w:type="gramStart"/>
      <w:r w:rsidRPr="006F7FFD">
        <w:t>enter into</w:t>
      </w:r>
      <w:proofErr w:type="gramEnd"/>
      <w:r w:rsidRPr="006F7FFD">
        <w:t xml:space="preserve"> with the </w:t>
      </w:r>
      <w:r w:rsidR="00AD7CD8">
        <w:t>preferred</w:t>
      </w:r>
      <w:r w:rsidR="00AD7CD8" w:rsidRPr="006F7FFD">
        <w:t xml:space="preserve"> </w:t>
      </w:r>
      <w:r w:rsidR="00584EB1">
        <w:t>Tenderer</w:t>
      </w:r>
      <w:r w:rsidRPr="006F7FFD">
        <w:t xml:space="preserve"> can be found </w:t>
      </w:r>
      <w:r w:rsidR="0071207F">
        <w:t>in ITT Appendix E</w:t>
      </w:r>
      <w:r w:rsidR="006531BA">
        <w:t xml:space="preserve"> -</w:t>
      </w:r>
      <w:r w:rsidRPr="007D20F9">
        <w:t xml:space="preserve"> </w:t>
      </w:r>
      <w:r w:rsidR="005277C5" w:rsidRPr="007D20F9">
        <w:t xml:space="preserve">Mobility Hub </w:t>
      </w:r>
      <w:r w:rsidRPr="007D20F9">
        <w:t>Contract.</w:t>
      </w:r>
      <w:r w:rsidRPr="006F7FFD">
        <w:t xml:space="preserve"> </w:t>
      </w:r>
    </w:p>
    <w:p w14:paraId="1984D86F" w14:textId="77777777" w:rsidR="00381056" w:rsidRDefault="00381056" w:rsidP="00381056">
      <w:pPr>
        <w:pStyle w:val="ListParagraph"/>
        <w:ind w:left="1080"/>
      </w:pPr>
    </w:p>
    <w:p w14:paraId="33BFBEE2" w14:textId="66092627" w:rsidR="00821EFA" w:rsidRPr="006F7FFD" w:rsidRDefault="00584EB1" w:rsidP="00EE024B">
      <w:pPr>
        <w:pStyle w:val="ListParagraph"/>
        <w:numPr>
          <w:ilvl w:val="1"/>
          <w:numId w:val="14"/>
        </w:numPr>
      </w:pPr>
      <w:r>
        <w:t>Tenderer</w:t>
      </w:r>
      <w:r w:rsidR="00821EFA" w:rsidRPr="006F7FFD">
        <w:t xml:space="preserve">s may raise queries in respect of the contract terms through the clarification process described </w:t>
      </w:r>
      <w:r w:rsidR="00821EFA" w:rsidRPr="007D20F9">
        <w:t xml:space="preserve">in </w:t>
      </w:r>
      <w:hyperlink w:anchor="_Communication_and_Clarifications">
        <w:r w:rsidR="007D20F9" w:rsidRPr="083D5341">
          <w:rPr>
            <w:rStyle w:val="Hyperlink"/>
          </w:rPr>
          <w:t>Section</w:t>
        </w:r>
        <w:r w:rsidR="00821EFA" w:rsidRPr="083D5341">
          <w:rPr>
            <w:rStyle w:val="Hyperlink"/>
          </w:rPr>
          <w:t xml:space="preserve"> 1</w:t>
        </w:r>
        <w:r w:rsidR="00DB234A" w:rsidRPr="083D5341">
          <w:rPr>
            <w:rStyle w:val="Hyperlink"/>
          </w:rPr>
          <w:t>3</w:t>
        </w:r>
        <w:r w:rsidR="007D20F9" w:rsidRPr="083D5341">
          <w:rPr>
            <w:rStyle w:val="Hyperlink"/>
          </w:rPr>
          <w:t>:</w:t>
        </w:r>
        <w:r w:rsidR="00E75A7C" w:rsidRPr="083D5341">
          <w:rPr>
            <w:rStyle w:val="Hyperlink"/>
          </w:rPr>
          <w:t xml:space="preserve"> Tender Clarifications</w:t>
        </w:r>
      </w:hyperlink>
      <w:r w:rsidR="00821EFA">
        <w:t>.</w:t>
      </w:r>
      <w:r w:rsidR="00821EFA" w:rsidRPr="00E75A7C">
        <w:t xml:space="preserve"> If, at</w:t>
      </w:r>
      <w:r w:rsidR="00821EFA" w:rsidRPr="006F7FFD">
        <w:t xml:space="preserve"> any time prior to the </w:t>
      </w:r>
      <w:r w:rsidR="00E91A1E">
        <w:t>tender</w:t>
      </w:r>
      <w:r w:rsidR="00E91A1E" w:rsidRPr="006F7FFD">
        <w:t xml:space="preserve"> </w:t>
      </w:r>
      <w:r w:rsidR="00821EFA" w:rsidRPr="006F7FFD">
        <w:t xml:space="preserve">submission date, the Combined Authority considers that changes are required to the contract, whether prompted by </w:t>
      </w:r>
      <w:r>
        <w:t>Tenderer</w:t>
      </w:r>
      <w:r w:rsidR="00821EFA" w:rsidRPr="006F7FFD">
        <w:t xml:space="preserve"> queries or otherwise, the Combined Authority will reissue the contract through the on-line portal.</w:t>
      </w:r>
      <w:r w:rsidR="006F7FFD">
        <w:br/>
      </w:r>
    </w:p>
    <w:p w14:paraId="7151368D" w14:textId="53E9C627" w:rsidR="00821EFA" w:rsidRPr="0030128A" w:rsidRDefault="00821EFA" w:rsidP="00EE024B">
      <w:pPr>
        <w:pStyle w:val="ListParagraph"/>
        <w:numPr>
          <w:ilvl w:val="1"/>
          <w:numId w:val="14"/>
        </w:numPr>
        <w:rPr>
          <w:rFonts w:ascii="Arial" w:hAnsi="Arial" w:cs="Arial"/>
        </w:rPr>
      </w:pPr>
      <w:r w:rsidRPr="006F7FFD">
        <w:t xml:space="preserve">By submitting its Tender, each </w:t>
      </w:r>
      <w:r w:rsidR="00584EB1">
        <w:t>Tenderer</w:t>
      </w:r>
      <w:r w:rsidRPr="006F7FFD">
        <w:t xml:space="preserve"> is committing to </w:t>
      </w:r>
      <w:proofErr w:type="gramStart"/>
      <w:r w:rsidRPr="006F7FFD">
        <w:t>enter into</w:t>
      </w:r>
      <w:proofErr w:type="gramEnd"/>
      <w:r w:rsidRPr="006F7FFD">
        <w:t xml:space="preserve"> the form of contract set out </w:t>
      </w:r>
      <w:r w:rsidRPr="005277C5">
        <w:t xml:space="preserve">in </w:t>
      </w:r>
      <w:r w:rsidR="00ED013D">
        <w:t>ITT Appendix E -</w:t>
      </w:r>
      <w:r w:rsidR="00ED013D" w:rsidRPr="007D20F9">
        <w:t xml:space="preserve"> Mobility Hub Contract</w:t>
      </w:r>
      <w:r w:rsidRPr="005277C5">
        <w:t>, as</w:t>
      </w:r>
      <w:r w:rsidRPr="006F7FFD">
        <w:t xml:space="preserve"> may be updated by the Combined Authority prior to the bid submission date. After selection of the winning </w:t>
      </w:r>
      <w:r w:rsidR="00584EB1">
        <w:t>Tenderer</w:t>
      </w:r>
      <w:r w:rsidRPr="006F7FFD">
        <w:t xml:space="preserve">, the Combined Authority will only make such changes to the draft contract (in conjunction with the </w:t>
      </w:r>
      <w:r w:rsidR="00960ADF">
        <w:t xml:space="preserve">preferred </w:t>
      </w:r>
      <w:r w:rsidR="00584EB1">
        <w:t>Tenderer</w:t>
      </w:r>
      <w:r w:rsidRPr="006F7FFD">
        <w:t>) as are necessary to complete any gaps and ensure the draft is ready for execution by the parties</w:t>
      </w:r>
      <w:r w:rsidR="0BAF3BE0">
        <w:t>, such as factual issues (name, address etc), administrative issues or to correct an obvious error, to ensure consistency within the terms or to comply with the law.</w:t>
      </w:r>
    </w:p>
    <w:p w14:paraId="3B4D557C" w14:textId="4CE80687" w:rsidR="00821EFA" w:rsidRPr="006F7FFD" w:rsidRDefault="00584EB1" w:rsidP="00EE024B">
      <w:pPr>
        <w:pStyle w:val="Heading3"/>
        <w:numPr>
          <w:ilvl w:val="0"/>
          <w:numId w:val="14"/>
        </w:numPr>
        <w:ind w:left="1134" w:hanging="708"/>
        <w:rPr>
          <w:lang w:eastAsia="en-GB"/>
        </w:rPr>
      </w:pPr>
      <w:bookmarkStart w:id="23" w:name="_Toc312844427"/>
      <w:bookmarkStart w:id="24" w:name="_Toc312844463"/>
      <w:bookmarkStart w:id="25" w:name="_Toc312850630"/>
      <w:bookmarkStart w:id="26" w:name="_Toc127213833"/>
      <w:r>
        <w:rPr>
          <w:lang w:eastAsia="en-GB"/>
        </w:rPr>
        <w:t>Tenderer</w:t>
      </w:r>
      <w:r w:rsidR="00821EFA" w:rsidRPr="006F7FFD">
        <w:rPr>
          <w:lang w:eastAsia="en-GB"/>
        </w:rPr>
        <w:t>’s Responsibility</w:t>
      </w:r>
      <w:bookmarkEnd w:id="23"/>
      <w:bookmarkEnd w:id="24"/>
      <w:bookmarkEnd w:id="25"/>
      <w:bookmarkEnd w:id="26"/>
    </w:p>
    <w:p w14:paraId="331BA0FE" w14:textId="0A8BA9D5" w:rsidR="00821EFA" w:rsidRPr="006F7FFD" w:rsidRDefault="00821EFA" w:rsidP="00EE024B">
      <w:pPr>
        <w:pStyle w:val="ListParagraph"/>
        <w:numPr>
          <w:ilvl w:val="1"/>
          <w:numId w:val="14"/>
        </w:numPr>
      </w:pPr>
      <w:r w:rsidRPr="006F7FFD">
        <w:t xml:space="preserve">It is the responsibility of each </w:t>
      </w:r>
      <w:r w:rsidR="00584EB1">
        <w:t>Tenderer</w:t>
      </w:r>
      <w:r w:rsidRPr="006F7FFD">
        <w:t xml:space="preserve"> to satisfy itself as to the nature, extent</w:t>
      </w:r>
      <w:r w:rsidR="005277C5">
        <w:t>,</w:t>
      </w:r>
      <w:r w:rsidRPr="006F7FFD">
        <w:t xml:space="preserve"> and circumstances of the services to be provided and satisfy itself as to its ability to fulfil the Combined Authority’s requirements. </w:t>
      </w:r>
      <w:r w:rsidR="006F7FFD">
        <w:br/>
      </w:r>
    </w:p>
    <w:p w14:paraId="6CA1DFCE" w14:textId="16E45BF9" w:rsidR="00821EFA" w:rsidRPr="006F7FFD" w:rsidRDefault="00821EFA" w:rsidP="00EE024B">
      <w:pPr>
        <w:pStyle w:val="ListParagraph"/>
        <w:numPr>
          <w:ilvl w:val="1"/>
          <w:numId w:val="14"/>
        </w:numPr>
      </w:pPr>
      <w:r w:rsidRPr="006F7FFD">
        <w:t xml:space="preserve">By their own examination of the </w:t>
      </w:r>
      <w:r w:rsidR="009728B6" w:rsidRPr="009728B6">
        <w:t>ITT</w:t>
      </w:r>
      <w:r w:rsidRPr="006F7FFD">
        <w:t xml:space="preserve"> documentation, </w:t>
      </w:r>
      <w:r w:rsidR="00584EB1">
        <w:t>Tenderer</w:t>
      </w:r>
      <w:r w:rsidRPr="006F7FFD">
        <w:t>s will be taken to have satisfied themselves as to the full requirements of the specification and contract terms.</w:t>
      </w:r>
    </w:p>
    <w:p w14:paraId="29F6156A" w14:textId="61A58E0C" w:rsidR="00821EFA" w:rsidRPr="006F7FFD" w:rsidRDefault="00821EFA" w:rsidP="00EE024B">
      <w:pPr>
        <w:pStyle w:val="Heading3"/>
        <w:numPr>
          <w:ilvl w:val="0"/>
          <w:numId w:val="14"/>
        </w:numPr>
        <w:ind w:left="1134" w:hanging="708"/>
        <w:rPr>
          <w:lang w:eastAsia="en-GB"/>
        </w:rPr>
      </w:pPr>
      <w:bookmarkStart w:id="27" w:name="_Toc127213834"/>
      <w:r w:rsidRPr="006F7FFD">
        <w:rPr>
          <w:lang w:eastAsia="en-GB"/>
        </w:rPr>
        <w:t>Completing the Selection Questionnaire</w:t>
      </w:r>
      <w:bookmarkEnd w:id="27"/>
    </w:p>
    <w:p w14:paraId="00FF29F8" w14:textId="2FE02361" w:rsidR="00821EFA" w:rsidRPr="006F7FFD" w:rsidRDefault="00821EFA" w:rsidP="00EE024B">
      <w:pPr>
        <w:pStyle w:val="ListParagraph"/>
        <w:numPr>
          <w:ilvl w:val="1"/>
          <w:numId w:val="14"/>
        </w:numPr>
      </w:pPr>
      <w:r w:rsidRPr="006F7FFD">
        <w:t xml:space="preserve">The Supplier Selection Questionnaire can be </w:t>
      </w:r>
      <w:r w:rsidRPr="005277C5">
        <w:t xml:space="preserve">found in </w:t>
      </w:r>
      <w:r w:rsidR="004A6AC1">
        <w:t>Appendix B</w:t>
      </w:r>
      <w:r w:rsidR="00063235">
        <w:t xml:space="preserve">. </w:t>
      </w:r>
      <w:r w:rsidRPr="005277C5">
        <w:t xml:space="preserve"> The</w:t>
      </w:r>
      <w:r w:rsidRPr="006F7FFD">
        <w:t xml:space="preserve"> Selection Questionnaire requests basic information about the </w:t>
      </w:r>
      <w:r w:rsidR="00584EB1">
        <w:t>Tenderer</w:t>
      </w:r>
      <w:r w:rsidRPr="006F7FFD">
        <w:t xml:space="preserve">, including in relation to mandatory and discretionary exclusion criteria and the </w:t>
      </w:r>
      <w:r w:rsidR="00584EB1">
        <w:t>Tenderer</w:t>
      </w:r>
      <w:r w:rsidRPr="006F7FFD">
        <w:t xml:space="preserve">’s financial standing. The Selection Questionnaire will enable the Combined Authority to assess whether the </w:t>
      </w:r>
      <w:r w:rsidR="00584EB1">
        <w:t>Tenderer</w:t>
      </w:r>
      <w:r w:rsidRPr="006F7FFD">
        <w:t xml:space="preserve"> is eligible to participate in this procurement process, and whether it can meet certain minimum requirements of the Combined Authority.</w:t>
      </w:r>
    </w:p>
    <w:p w14:paraId="220F1F35" w14:textId="2797A510" w:rsidR="00821EFA" w:rsidRPr="006F7FFD" w:rsidRDefault="00821EFA" w:rsidP="00EE024B">
      <w:pPr>
        <w:pStyle w:val="Heading3"/>
        <w:numPr>
          <w:ilvl w:val="0"/>
          <w:numId w:val="14"/>
        </w:numPr>
        <w:ind w:left="1134" w:hanging="708"/>
        <w:rPr>
          <w:lang w:eastAsia="en-GB"/>
        </w:rPr>
      </w:pPr>
      <w:bookmarkStart w:id="28" w:name="_Toc127213835"/>
      <w:r w:rsidRPr="006F7FFD">
        <w:rPr>
          <w:lang w:eastAsia="en-GB"/>
        </w:rPr>
        <w:t>Completing the Quality Questions</w:t>
      </w:r>
      <w:bookmarkEnd w:id="28"/>
    </w:p>
    <w:p w14:paraId="28553529" w14:textId="639E89AE" w:rsidR="006B0CA4" w:rsidRDefault="00821EFA" w:rsidP="00EE024B">
      <w:pPr>
        <w:pStyle w:val="ListParagraph"/>
        <w:numPr>
          <w:ilvl w:val="1"/>
          <w:numId w:val="14"/>
        </w:numPr>
      </w:pPr>
      <w:r w:rsidRPr="006F7FFD">
        <w:t xml:space="preserve">The Quality Questions can be found in </w:t>
      </w:r>
      <w:r w:rsidR="001A209F">
        <w:t xml:space="preserve">ITT </w:t>
      </w:r>
      <w:r w:rsidR="001A209F" w:rsidRPr="007B5858">
        <w:t>Appendix C</w:t>
      </w:r>
      <w:r w:rsidR="001A209F">
        <w:t xml:space="preserve"> – Technical Questionnaire</w:t>
      </w:r>
      <w:r w:rsidR="001A209F" w:rsidDel="001A209F">
        <w:t xml:space="preserve"> </w:t>
      </w:r>
      <w:r w:rsidRPr="006F7FFD">
        <w:t xml:space="preserve">.  </w:t>
      </w:r>
      <w:r w:rsidR="00584EB1">
        <w:t>Tenderer</w:t>
      </w:r>
      <w:r w:rsidRPr="006F7FFD">
        <w:t xml:space="preserve">s </w:t>
      </w:r>
      <w:r w:rsidR="008128D1">
        <w:t xml:space="preserve">shall respond to </w:t>
      </w:r>
      <w:r w:rsidR="001A209F">
        <w:t xml:space="preserve">ITT </w:t>
      </w:r>
      <w:r w:rsidR="001A209F" w:rsidRPr="007B5858">
        <w:t>Appendix C</w:t>
      </w:r>
      <w:r w:rsidR="001A209F">
        <w:t xml:space="preserve"> – Technical Questionnaire</w:t>
      </w:r>
      <w:r w:rsidR="001A209F" w:rsidDel="001A209F">
        <w:t xml:space="preserve"> </w:t>
      </w:r>
      <w:r w:rsidR="008128D1">
        <w:t>in the format below</w:t>
      </w:r>
      <w:r w:rsidR="00184317">
        <w:t>:</w:t>
      </w:r>
    </w:p>
    <w:p w14:paraId="0763C2E0" w14:textId="062EC73F" w:rsidR="00C30FDD" w:rsidRPr="00E75A7C" w:rsidRDefault="00584EB1" w:rsidP="00EE024B">
      <w:pPr>
        <w:pStyle w:val="HS2AlphabetList"/>
        <w:numPr>
          <w:ilvl w:val="1"/>
          <w:numId w:val="23"/>
        </w:numPr>
        <w:rPr>
          <w:rFonts w:asciiTheme="minorHAnsi" w:eastAsiaTheme="minorEastAsia" w:hAnsiTheme="minorHAnsi" w:cstheme="minorBidi"/>
          <w:color w:val="auto"/>
        </w:rPr>
      </w:pPr>
      <w:r>
        <w:rPr>
          <w:rFonts w:asciiTheme="minorHAnsi" w:eastAsiaTheme="minorEastAsia" w:hAnsiTheme="minorHAnsi" w:cstheme="minorBidi"/>
          <w:color w:val="auto"/>
        </w:rPr>
        <w:t>Tenderer</w:t>
      </w:r>
      <w:r w:rsidR="00C30FDD" w:rsidRPr="544D664D">
        <w:rPr>
          <w:rFonts w:asciiTheme="minorHAnsi" w:eastAsiaTheme="minorEastAsia" w:hAnsiTheme="minorHAnsi" w:cstheme="minorBidi"/>
          <w:color w:val="auto"/>
        </w:rPr>
        <w:t xml:space="preserve">s must use a </w:t>
      </w:r>
      <w:r w:rsidR="196BFB21" w:rsidRPr="544D664D">
        <w:rPr>
          <w:rFonts w:asciiTheme="minorHAnsi" w:eastAsiaTheme="minorEastAsia" w:hAnsiTheme="minorHAnsi" w:cstheme="minorBidi"/>
          <w:color w:val="auto"/>
        </w:rPr>
        <w:t>San</w:t>
      </w:r>
      <w:r w:rsidR="00C30FDD" w:rsidRPr="544D664D">
        <w:rPr>
          <w:rFonts w:asciiTheme="minorHAnsi" w:eastAsiaTheme="minorEastAsia" w:hAnsiTheme="minorHAnsi" w:cstheme="minorBidi"/>
          <w:color w:val="auto"/>
        </w:rPr>
        <w:t xml:space="preserve"> </w:t>
      </w:r>
      <w:r w:rsidR="2199CE6D" w:rsidRPr="544D664D">
        <w:rPr>
          <w:rFonts w:asciiTheme="minorHAnsi" w:eastAsiaTheme="minorEastAsia" w:hAnsiTheme="minorHAnsi" w:cstheme="minorBidi"/>
          <w:color w:val="auto"/>
        </w:rPr>
        <w:t>S</w:t>
      </w:r>
      <w:r w:rsidR="00C30FDD" w:rsidRPr="544D664D">
        <w:rPr>
          <w:rFonts w:asciiTheme="minorHAnsi" w:eastAsiaTheme="minorEastAsia" w:hAnsiTheme="minorHAnsi" w:cstheme="minorBidi"/>
          <w:color w:val="auto"/>
        </w:rPr>
        <w:t xml:space="preserve">erif font, optimised for both on screen and printed legibility and readability, such as Open Sans or </w:t>
      </w:r>
      <w:r w:rsidR="00184317" w:rsidRPr="544D664D">
        <w:rPr>
          <w:rFonts w:asciiTheme="minorHAnsi" w:eastAsiaTheme="minorEastAsia" w:hAnsiTheme="minorHAnsi" w:cstheme="minorBidi"/>
          <w:color w:val="auto"/>
        </w:rPr>
        <w:t>Calibri.</w:t>
      </w:r>
    </w:p>
    <w:p w14:paraId="7A566CB8" w14:textId="6D70E234" w:rsidR="00A46BD2" w:rsidRPr="00E75A7C" w:rsidRDefault="00A46BD2" w:rsidP="00EE024B">
      <w:pPr>
        <w:pStyle w:val="HS2AlphabetList"/>
        <w:numPr>
          <w:ilvl w:val="1"/>
          <w:numId w:val="23"/>
        </w:numPr>
        <w:rPr>
          <w:rFonts w:asciiTheme="minorHAnsi" w:eastAsiaTheme="minorEastAsia" w:hAnsiTheme="minorHAnsi" w:cstheme="minorBidi"/>
          <w:color w:val="auto"/>
        </w:rPr>
      </w:pPr>
      <w:r w:rsidRPr="083D5341">
        <w:rPr>
          <w:rFonts w:asciiTheme="minorHAnsi" w:eastAsiaTheme="minorEastAsia" w:hAnsiTheme="minorHAnsi" w:cstheme="minorBidi"/>
          <w:color w:val="auto"/>
        </w:rPr>
        <w:t>Except where otherwise expressly directed by th</w:t>
      </w:r>
      <w:r w:rsidR="57F21C4C" w:rsidRPr="083D5341">
        <w:rPr>
          <w:rFonts w:asciiTheme="minorHAnsi" w:eastAsiaTheme="minorEastAsia" w:hAnsiTheme="minorHAnsi" w:cstheme="minorBidi"/>
          <w:color w:val="auto"/>
        </w:rPr>
        <w:t>ese</w:t>
      </w:r>
      <w:r w:rsidR="006531BA" w:rsidRPr="083D5341">
        <w:rPr>
          <w:rFonts w:asciiTheme="minorHAnsi" w:eastAsiaTheme="minorEastAsia" w:hAnsiTheme="minorHAnsi" w:cstheme="minorBidi"/>
          <w:color w:val="auto"/>
        </w:rPr>
        <w:t xml:space="preserve"> In</w:t>
      </w:r>
      <w:r w:rsidR="78B1E4E4" w:rsidRPr="083D5341">
        <w:rPr>
          <w:rFonts w:asciiTheme="minorHAnsi" w:eastAsiaTheme="minorEastAsia" w:hAnsiTheme="minorHAnsi" w:cstheme="minorBidi"/>
          <w:color w:val="auto"/>
        </w:rPr>
        <w:t>structions</w:t>
      </w:r>
      <w:r w:rsidR="006531BA" w:rsidRPr="083D5341">
        <w:rPr>
          <w:rFonts w:asciiTheme="minorHAnsi" w:eastAsiaTheme="minorEastAsia" w:hAnsiTheme="minorHAnsi" w:cstheme="minorBidi"/>
          <w:color w:val="auto"/>
        </w:rPr>
        <w:t xml:space="preserve"> for </w:t>
      </w:r>
      <w:r w:rsidR="00584EB1" w:rsidRPr="083D5341">
        <w:rPr>
          <w:rFonts w:asciiTheme="minorHAnsi" w:eastAsiaTheme="minorEastAsia" w:hAnsiTheme="minorHAnsi" w:cstheme="minorBidi"/>
          <w:color w:val="auto"/>
        </w:rPr>
        <w:t>Tenderer</w:t>
      </w:r>
      <w:r w:rsidR="006531BA" w:rsidRPr="083D5341">
        <w:rPr>
          <w:rFonts w:asciiTheme="minorHAnsi" w:eastAsiaTheme="minorEastAsia" w:hAnsiTheme="minorHAnsi" w:cstheme="minorBidi"/>
          <w:color w:val="auto"/>
        </w:rPr>
        <w:t>s</w:t>
      </w:r>
      <w:r w:rsidRPr="083D5341">
        <w:rPr>
          <w:rFonts w:asciiTheme="minorHAnsi" w:eastAsiaTheme="minorEastAsia" w:hAnsiTheme="minorHAnsi" w:cstheme="minorBidi"/>
          <w:color w:val="auto"/>
        </w:rPr>
        <w:t xml:space="preserve"> (</w:t>
      </w:r>
      <w:proofErr w:type="gramStart"/>
      <w:r w:rsidRPr="083D5341">
        <w:rPr>
          <w:rFonts w:asciiTheme="minorHAnsi" w:eastAsiaTheme="minorEastAsia" w:hAnsiTheme="minorHAnsi" w:cstheme="minorBidi"/>
          <w:color w:val="auto"/>
        </w:rPr>
        <w:t>e.g.</w:t>
      </w:r>
      <w:proofErr w:type="gramEnd"/>
      <w:r w:rsidRPr="083D5341">
        <w:rPr>
          <w:rFonts w:asciiTheme="minorHAnsi" w:eastAsiaTheme="minorEastAsia" w:hAnsiTheme="minorHAnsi" w:cstheme="minorBidi"/>
          <w:color w:val="auto"/>
        </w:rPr>
        <w:t xml:space="preserve"> Excel or Primavera files), all documents should be provided in PDF format configured to allow excerpts to be extracted, copied or printed. </w:t>
      </w:r>
    </w:p>
    <w:p w14:paraId="65D8A25F" w14:textId="5544D95E" w:rsidR="00487CC1" w:rsidRPr="00E75A7C" w:rsidRDefault="114A52B0" w:rsidP="00EE024B">
      <w:pPr>
        <w:pStyle w:val="HS2AlphabetList"/>
        <w:numPr>
          <w:ilvl w:val="1"/>
          <w:numId w:val="23"/>
        </w:numPr>
        <w:rPr>
          <w:rFonts w:asciiTheme="minorHAnsi" w:eastAsiaTheme="minorEastAsia" w:hAnsiTheme="minorHAnsi" w:cstheme="minorBidi"/>
          <w:color w:val="auto"/>
        </w:rPr>
      </w:pPr>
      <w:r w:rsidRPr="3F0E91BE">
        <w:rPr>
          <w:rFonts w:asciiTheme="minorHAnsi" w:eastAsiaTheme="minorEastAsia" w:hAnsiTheme="minorHAnsi" w:cstheme="minorBidi"/>
          <w:color w:val="auto"/>
        </w:rPr>
        <w:lastRenderedPageBreak/>
        <w:t>G</w:t>
      </w:r>
      <w:r w:rsidR="61E547F5" w:rsidRPr="00E75A7C">
        <w:rPr>
          <w:rFonts w:asciiTheme="minorHAnsi" w:eastAsiaTheme="minorEastAsia" w:hAnsiTheme="minorHAnsi" w:cstheme="minorBidi"/>
          <w:color w:val="auto"/>
        </w:rPr>
        <w:t xml:space="preserve">eneral text must be set to A4-size paper with the margins set to 2.0cm or greater, single line spacing, body text must be at least 2.0cm </w:t>
      </w:r>
      <w:r w:rsidR="00184317" w:rsidRPr="00E75A7C">
        <w:rPr>
          <w:rFonts w:asciiTheme="minorHAnsi" w:eastAsiaTheme="minorEastAsia" w:hAnsiTheme="minorHAnsi" w:cstheme="minorBidi"/>
          <w:color w:val="auto"/>
        </w:rPr>
        <w:t>hanging.</w:t>
      </w:r>
      <w:r w:rsidR="61E547F5" w:rsidRPr="00E75A7C">
        <w:rPr>
          <w:rFonts w:asciiTheme="minorHAnsi" w:eastAsiaTheme="minorEastAsia" w:hAnsiTheme="minorHAnsi" w:cstheme="minorBidi"/>
          <w:color w:val="auto"/>
        </w:rPr>
        <w:t xml:space="preserve"> </w:t>
      </w:r>
    </w:p>
    <w:p w14:paraId="42DA0B8D" w14:textId="0809A5B3" w:rsidR="00487CC1" w:rsidRPr="00E75A7C" w:rsidRDefault="00487CC1" w:rsidP="00EE024B">
      <w:pPr>
        <w:pStyle w:val="HS2AlphabetList"/>
        <w:numPr>
          <w:ilvl w:val="1"/>
          <w:numId w:val="23"/>
        </w:numPr>
        <w:rPr>
          <w:rFonts w:asciiTheme="minorHAnsi" w:eastAsiaTheme="minorHAnsi" w:hAnsiTheme="minorHAnsi" w:cstheme="minorBidi"/>
          <w:bCs w:val="0"/>
          <w:color w:val="auto"/>
        </w:rPr>
      </w:pPr>
      <w:r w:rsidRPr="00E75A7C">
        <w:rPr>
          <w:rFonts w:asciiTheme="minorHAnsi" w:eastAsiaTheme="minorHAnsi" w:hAnsiTheme="minorHAnsi" w:cstheme="minorBidi"/>
          <w:bCs w:val="0"/>
          <w:color w:val="auto"/>
        </w:rPr>
        <w:t xml:space="preserve">For general text the font size must be no smaller than 11 </w:t>
      </w:r>
      <w:r w:rsidR="001A209F" w:rsidRPr="00E75A7C">
        <w:rPr>
          <w:rFonts w:asciiTheme="minorHAnsi" w:eastAsiaTheme="minorHAnsi" w:hAnsiTheme="minorHAnsi" w:cstheme="minorBidi"/>
          <w:bCs w:val="0"/>
          <w:color w:val="auto"/>
        </w:rPr>
        <w:t>points</w:t>
      </w:r>
      <w:r w:rsidRPr="00E75A7C">
        <w:rPr>
          <w:rFonts w:asciiTheme="minorHAnsi" w:eastAsiaTheme="minorHAnsi" w:hAnsiTheme="minorHAnsi" w:cstheme="minorBidi"/>
          <w:bCs w:val="0"/>
          <w:color w:val="auto"/>
        </w:rPr>
        <w:t xml:space="preserve">. Text in tables, graphics or images may be smaller but must be legible on screen and when </w:t>
      </w:r>
      <w:r w:rsidR="00184317" w:rsidRPr="00E75A7C">
        <w:rPr>
          <w:rFonts w:asciiTheme="minorHAnsi" w:eastAsiaTheme="minorHAnsi" w:hAnsiTheme="minorHAnsi" w:cstheme="minorBidi"/>
          <w:bCs w:val="0"/>
          <w:color w:val="auto"/>
        </w:rPr>
        <w:t>printed</w:t>
      </w:r>
      <w:r w:rsidR="00184317">
        <w:rPr>
          <w:rFonts w:asciiTheme="minorHAnsi" w:eastAsiaTheme="minorHAnsi" w:hAnsiTheme="minorHAnsi" w:cstheme="minorBidi"/>
          <w:bCs w:val="0"/>
          <w:color w:val="auto"/>
        </w:rPr>
        <w:t>.</w:t>
      </w:r>
    </w:p>
    <w:p w14:paraId="6401BF32" w14:textId="2D87A424" w:rsidR="00842512" w:rsidRPr="00E75A7C" w:rsidRDefault="00821EFA" w:rsidP="00EE024B">
      <w:pPr>
        <w:pStyle w:val="HS2AlphabetList"/>
        <w:numPr>
          <w:ilvl w:val="1"/>
          <w:numId w:val="23"/>
        </w:numPr>
      </w:pPr>
      <w:r w:rsidRPr="00E75A7C">
        <w:rPr>
          <w:rFonts w:asciiTheme="minorHAnsi" w:eastAsiaTheme="minorHAnsi" w:hAnsiTheme="minorHAnsi" w:cstheme="minorBidi"/>
          <w:bCs w:val="0"/>
          <w:color w:val="auto"/>
        </w:rPr>
        <w:t>Responses must make clear which question is being answered. This could be achieved by clearly stating the question at the top of the relevant section of the Tender submission.</w:t>
      </w:r>
    </w:p>
    <w:p w14:paraId="0E7D17AC" w14:textId="7EB81BCE" w:rsidR="00821EFA" w:rsidRPr="006F7FFD" w:rsidRDefault="009444FF" w:rsidP="00EE024B">
      <w:pPr>
        <w:pStyle w:val="HS2AlphabetList"/>
        <w:numPr>
          <w:ilvl w:val="1"/>
          <w:numId w:val="23"/>
        </w:numPr>
      </w:pPr>
      <w:r>
        <w:rPr>
          <w:rFonts w:asciiTheme="minorHAnsi" w:eastAsiaTheme="minorHAnsi" w:hAnsiTheme="minorHAnsi" w:cstheme="minorBidi"/>
          <w:bCs w:val="0"/>
          <w:color w:val="auto"/>
        </w:rPr>
        <w:t xml:space="preserve">All responses to each question must be contained in the stated page count for the question. </w:t>
      </w:r>
      <w:r w:rsidR="00584EB1">
        <w:rPr>
          <w:rFonts w:asciiTheme="minorHAnsi" w:eastAsiaTheme="minorHAnsi" w:hAnsiTheme="minorHAnsi" w:cstheme="minorBidi"/>
          <w:bCs w:val="0"/>
          <w:color w:val="auto"/>
        </w:rPr>
        <w:t>Tenderer</w:t>
      </w:r>
      <w:r w:rsidR="00842512" w:rsidRPr="00842512">
        <w:rPr>
          <w:rFonts w:asciiTheme="minorHAnsi" w:eastAsiaTheme="minorHAnsi" w:hAnsiTheme="minorHAnsi" w:cstheme="minorBidi"/>
          <w:bCs w:val="0"/>
          <w:color w:val="auto"/>
        </w:rPr>
        <w:t>s must not cross-refer to information contained elsewhere within their Tender (</w:t>
      </w:r>
      <w:proofErr w:type="gramStart"/>
      <w:r w:rsidR="00842512" w:rsidRPr="00842512">
        <w:rPr>
          <w:rFonts w:asciiTheme="minorHAnsi" w:eastAsiaTheme="minorHAnsi" w:hAnsiTheme="minorHAnsi" w:cstheme="minorBidi"/>
          <w:bCs w:val="0"/>
          <w:color w:val="auto"/>
        </w:rPr>
        <w:t>i.e.</w:t>
      </w:r>
      <w:proofErr w:type="gramEnd"/>
      <w:r w:rsidR="00842512" w:rsidRPr="00842512">
        <w:rPr>
          <w:rFonts w:asciiTheme="minorHAnsi" w:eastAsiaTheme="minorHAnsi" w:hAnsiTheme="minorHAnsi" w:cstheme="minorBidi"/>
          <w:bCs w:val="0"/>
          <w:color w:val="auto"/>
        </w:rPr>
        <w:t xml:space="preserve"> in response to other questions). No such cross references will be followed up.</w:t>
      </w:r>
      <w:r w:rsidR="00FA2A3D">
        <w:rPr>
          <w:rFonts w:asciiTheme="minorHAnsi" w:eastAsiaTheme="minorHAnsi" w:hAnsiTheme="minorHAnsi" w:cstheme="minorBidi"/>
          <w:bCs w:val="0"/>
          <w:color w:val="auto"/>
        </w:rPr>
        <w:t xml:space="preserve"> </w:t>
      </w:r>
      <w:r w:rsidR="006F7FFD">
        <w:br/>
      </w:r>
    </w:p>
    <w:p w14:paraId="1330DD93" w14:textId="0C834829" w:rsidR="00821EFA" w:rsidRPr="006F7FFD" w:rsidRDefault="00821EFA" w:rsidP="00EE024B">
      <w:pPr>
        <w:pStyle w:val="ListParagraph"/>
        <w:numPr>
          <w:ilvl w:val="1"/>
          <w:numId w:val="14"/>
        </w:numPr>
      </w:pPr>
      <w:bookmarkStart w:id="29" w:name="_Hlk103323852"/>
      <w:r w:rsidRPr="006F7FFD">
        <w:t xml:space="preserve">Where a </w:t>
      </w:r>
      <w:r w:rsidR="00FA03B5">
        <w:t>page</w:t>
      </w:r>
      <w:r w:rsidR="00FA03B5" w:rsidRPr="006F7FFD">
        <w:t xml:space="preserve"> </w:t>
      </w:r>
      <w:r w:rsidRPr="006F7FFD">
        <w:t xml:space="preserve">limit has been indicated for a specific response, </w:t>
      </w:r>
      <w:r w:rsidR="00584EB1">
        <w:t>Tenderer</w:t>
      </w:r>
      <w:r w:rsidRPr="006F7FFD">
        <w:t>s must not exceed this limit. Where a response exceeds a stated limit, the Combined Authority will not take account of additional text and such text will therefore be disregarded from the evaluation.</w:t>
      </w:r>
      <w:bookmarkEnd w:id="29"/>
      <w:r w:rsidRPr="006F7FFD">
        <w:t xml:space="preserve"> </w:t>
      </w:r>
      <w:r w:rsidR="006F7FFD">
        <w:br/>
      </w:r>
    </w:p>
    <w:p w14:paraId="26D49611" w14:textId="34030266" w:rsidR="00821EFA" w:rsidRPr="006F7FFD" w:rsidRDefault="00821EFA" w:rsidP="00EE024B">
      <w:pPr>
        <w:pStyle w:val="ListParagraph"/>
        <w:numPr>
          <w:ilvl w:val="1"/>
          <w:numId w:val="14"/>
        </w:numPr>
      </w:pPr>
      <w:r w:rsidRPr="006F7FFD">
        <w:t xml:space="preserve">If a </w:t>
      </w:r>
      <w:r w:rsidR="00584EB1">
        <w:t>Tenderer</w:t>
      </w:r>
      <w:r w:rsidRPr="006F7FFD">
        <w:t xml:space="preserve"> cannot answer a question or provide requested information, the </w:t>
      </w:r>
      <w:r w:rsidR="00584EB1">
        <w:t>Tenderer</w:t>
      </w:r>
      <w:r w:rsidRPr="006F7FFD">
        <w:t xml:space="preserve"> should give a full explanation as to the reasons within its submission.</w:t>
      </w:r>
      <w:r w:rsidR="006F7FFD">
        <w:br/>
      </w:r>
    </w:p>
    <w:p w14:paraId="0EF62738" w14:textId="7A3D1D8C" w:rsidR="00821EFA" w:rsidRPr="006F7FFD" w:rsidRDefault="00821EFA" w:rsidP="00EE024B">
      <w:pPr>
        <w:pStyle w:val="ListParagraph"/>
        <w:numPr>
          <w:ilvl w:val="1"/>
          <w:numId w:val="14"/>
        </w:numPr>
      </w:pPr>
      <w:r w:rsidRPr="006F7FFD">
        <w:t xml:space="preserve">Tenders should be submitted in </w:t>
      </w:r>
      <w:r w:rsidRPr="3D0EEA66">
        <w:rPr>
          <w:b/>
        </w:rPr>
        <w:t xml:space="preserve">PDF </w:t>
      </w:r>
      <w:r w:rsidRPr="006F7FFD">
        <w:t xml:space="preserve">format, </w:t>
      </w:r>
      <w:proofErr w:type="gramStart"/>
      <w:r w:rsidRPr="006F7FFD">
        <w:t>with the exception of</w:t>
      </w:r>
      <w:proofErr w:type="gramEnd"/>
      <w:r w:rsidRPr="006F7FFD">
        <w:t xml:space="preserve"> the Pricing Submission Template. Please note that submitting a brochure will not be considered a bona fide Tender. Any brochures will not be evaluated. </w:t>
      </w:r>
      <w:r w:rsidR="006F7FFD">
        <w:br/>
      </w:r>
    </w:p>
    <w:p w14:paraId="27F8B0D3" w14:textId="15A38A5C" w:rsidR="00821EFA" w:rsidRPr="006F7FFD" w:rsidRDefault="00821EFA" w:rsidP="00EE024B">
      <w:pPr>
        <w:pStyle w:val="ListParagraph"/>
        <w:numPr>
          <w:ilvl w:val="1"/>
          <w:numId w:val="14"/>
        </w:numPr>
      </w:pPr>
      <w:r w:rsidRPr="006F7FFD">
        <w:t xml:space="preserve">Any information provided that has not been asked for will not be taken into consideration. </w:t>
      </w:r>
      <w:r w:rsidR="006F7FFD">
        <w:br/>
      </w:r>
    </w:p>
    <w:p w14:paraId="588F3CFD" w14:textId="3DCFF25A" w:rsidR="006F7FFD" w:rsidRPr="006F7FFD" w:rsidRDefault="00821EFA" w:rsidP="00EE024B">
      <w:pPr>
        <w:pStyle w:val="Heading3"/>
        <w:numPr>
          <w:ilvl w:val="0"/>
          <w:numId w:val="14"/>
        </w:numPr>
        <w:ind w:left="1134" w:hanging="708"/>
        <w:rPr>
          <w:lang w:eastAsia="en-GB"/>
        </w:rPr>
      </w:pPr>
      <w:bookmarkStart w:id="30" w:name="_Toc127213836"/>
      <w:r w:rsidRPr="006F7FFD">
        <w:rPr>
          <w:lang w:eastAsia="en-GB"/>
        </w:rPr>
        <w:t xml:space="preserve">Pricing </w:t>
      </w:r>
      <w:r w:rsidR="003414C9">
        <w:rPr>
          <w:lang w:eastAsia="en-GB"/>
        </w:rPr>
        <w:t>Schedule</w:t>
      </w:r>
      <w:bookmarkEnd w:id="30"/>
    </w:p>
    <w:p w14:paraId="0490459E" w14:textId="269BF900" w:rsidR="00821EFA" w:rsidRPr="006F7FFD" w:rsidRDefault="00821EFA" w:rsidP="00EE024B">
      <w:pPr>
        <w:pStyle w:val="ListParagraph"/>
        <w:numPr>
          <w:ilvl w:val="1"/>
          <w:numId w:val="14"/>
        </w:numPr>
      </w:pPr>
      <w:r w:rsidRPr="006F7FFD">
        <w:t xml:space="preserve">The Pricing </w:t>
      </w:r>
      <w:r w:rsidR="00150706">
        <w:t>submission</w:t>
      </w:r>
      <w:r w:rsidR="0033205B">
        <w:t xml:space="preserve"> template </w:t>
      </w:r>
      <w:r w:rsidRPr="006F7FFD">
        <w:t xml:space="preserve">can be found in </w:t>
      </w:r>
      <w:r w:rsidR="009B04B2">
        <w:t xml:space="preserve">ITT </w:t>
      </w:r>
      <w:r w:rsidRPr="006F7FFD">
        <w:t xml:space="preserve">Appendix </w:t>
      </w:r>
      <w:r w:rsidR="006235F9">
        <w:t>D</w:t>
      </w:r>
      <w:r w:rsidR="00790A37">
        <w:t xml:space="preserve"> – Pricing Schedule</w:t>
      </w:r>
      <w:r w:rsidRPr="006F7FFD">
        <w:t xml:space="preserve">. </w:t>
      </w:r>
      <w:r w:rsidR="00584EB1">
        <w:t>Tenderer</w:t>
      </w:r>
      <w:r w:rsidRPr="006F7FFD">
        <w:t xml:space="preserve">s must ensure they complete </w:t>
      </w:r>
      <w:r w:rsidR="00150706">
        <w:t xml:space="preserve">ITT </w:t>
      </w:r>
      <w:r w:rsidR="00150706" w:rsidRPr="006F7FFD">
        <w:t xml:space="preserve">Appendix </w:t>
      </w:r>
      <w:r w:rsidR="00150706">
        <w:t>D – Pricing Schedule</w:t>
      </w:r>
      <w:r w:rsidR="00150706" w:rsidRPr="006F7FFD" w:rsidDel="00150706">
        <w:t xml:space="preserve"> </w:t>
      </w:r>
      <w:r w:rsidRPr="006F7FFD">
        <w:t>according to the instructions given within it.</w:t>
      </w:r>
      <w:r w:rsidR="000C38F0">
        <w:br/>
      </w:r>
    </w:p>
    <w:p w14:paraId="26FADE7F" w14:textId="77777777" w:rsidR="006F7FFD" w:rsidRDefault="00821EFA" w:rsidP="00EE024B">
      <w:pPr>
        <w:pStyle w:val="ListParagraph"/>
        <w:numPr>
          <w:ilvl w:val="1"/>
          <w:numId w:val="14"/>
        </w:numPr>
      </w:pPr>
      <w:r w:rsidRPr="006F7FFD">
        <w:t>Prices quoted should be:</w:t>
      </w:r>
    </w:p>
    <w:p w14:paraId="096A4044" w14:textId="2BDE3476" w:rsidR="006F7FFD" w:rsidRDefault="5581C016" w:rsidP="00EE024B">
      <w:pPr>
        <w:pStyle w:val="ListParagraph"/>
        <w:numPr>
          <w:ilvl w:val="0"/>
          <w:numId w:val="17"/>
        </w:numPr>
      </w:pPr>
      <w:r>
        <w:t xml:space="preserve">in </w:t>
      </w:r>
      <w:r w:rsidR="00C82966">
        <w:t>P</w:t>
      </w:r>
      <w:r>
        <w:t>ounds Sterling; and</w:t>
      </w:r>
    </w:p>
    <w:p w14:paraId="67268F6F" w14:textId="67B3905C" w:rsidR="00821EFA" w:rsidRPr="006F7FFD" w:rsidRDefault="5581C016" w:rsidP="00EE024B">
      <w:pPr>
        <w:pStyle w:val="ListParagraph"/>
        <w:numPr>
          <w:ilvl w:val="0"/>
          <w:numId w:val="17"/>
        </w:numPr>
      </w:pPr>
      <w:r>
        <w:t>quoted exclusive of VAT.</w:t>
      </w:r>
    </w:p>
    <w:p w14:paraId="7DE1AF35" w14:textId="624BDDD2" w:rsidR="00821EFA" w:rsidRPr="006F7FFD" w:rsidRDefault="00821EFA" w:rsidP="00EE024B">
      <w:pPr>
        <w:pStyle w:val="Heading3"/>
        <w:numPr>
          <w:ilvl w:val="0"/>
          <w:numId w:val="14"/>
        </w:numPr>
        <w:ind w:left="1134" w:hanging="708"/>
        <w:rPr>
          <w:lang w:eastAsia="en-GB"/>
        </w:rPr>
      </w:pPr>
      <w:bookmarkStart w:id="31" w:name="_Toc312844440"/>
      <w:bookmarkStart w:id="32" w:name="_Toc312844476"/>
      <w:bookmarkStart w:id="33" w:name="_Toc312850641"/>
      <w:bookmarkStart w:id="34" w:name="_Toc127213837"/>
      <w:r w:rsidRPr="006F7FFD">
        <w:rPr>
          <w:lang w:eastAsia="en-GB"/>
        </w:rPr>
        <w:t>Submission of Tender - Electronic Tendering</w:t>
      </w:r>
      <w:bookmarkEnd w:id="31"/>
      <w:bookmarkEnd w:id="32"/>
      <w:bookmarkEnd w:id="33"/>
      <w:bookmarkEnd w:id="34"/>
    </w:p>
    <w:p w14:paraId="11CE7AE0" w14:textId="2B048CC4" w:rsidR="00821EFA" w:rsidRPr="006F7FFD" w:rsidRDefault="00821EFA" w:rsidP="00EE024B">
      <w:pPr>
        <w:pStyle w:val="ListParagraph"/>
        <w:numPr>
          <w:ilvl w:val="1"/>
          <w:numId w:val="14"/>
        </w:numPr>
      </w:pPr>
      <w:bookmarkStart w:id="35" w:name="_Hlk10538591"/>
      <w:r w:rsidRPr="006F7FFD">
        <w:t xml:space="preserve">The Combined Authority is utilising an electronic tendering portal to manage this procurement and communicate with </w:t>
      </w:r>
      <w:r w:rsidR="00584EB1">
        <w:t>Tenderer</w:t>
      </w:r>
      <w:r w:rsidRPr="006F7FFD">
        <w:t xml:space="preserve">s. Accordingly, there will be no hard copy documents issued to </w:t>
      </w:r>
      <w:r w:rsidR="00584EB1">
        <w:t>Tenderer</w:t>
      </w:r>
      <w:r w:rsidRPr="006F7FFD">
        <w:t xml:space="preserve">s and all communications with the Combined Authority </w:t>
      </w:r>
      <w:r w:rsidRPr="006F7FFD">
        <w:lastRenderedPageBreak/>
        <w:t xml:space="preserve">including the submission of </w:t>
      </w:r>
      <w:r w:rsidR="00584EB1">
        <w:t>Tenderer</w:t>
      </w:r>
      <w:r w:rsidRPr="006F7FFD">
        <w:t>s’ responses will be conducted via this portal.</w:t>
      </w:r>
      <w:r w:rsidR="006F7FFD">
        <w:br/>
      </w:r>
    </w:p>
    <w:p w14:paraId="48F3AA00" w14:textId="5CA56C04" w:rsidR="00821EFA" w:rsidRPr="006F7FFD" w:rsidRDefault="5581C016" w:rsidP="00EE024B">
      <w:pPr>
        <w:pStyle w:val="ListParagraph"/>
        <w:numPr>
          <w:ilvl w:val="1"/>
          <w:numId w:val="14"/>
        </w:numPr>
      </w:pPr>
      <w:r>
        <w:t xml:space="preserve">The Combined Authority’s chosen </w:t>
      </w:r>
      <w:r w:rsidR="0A9D5B80">
        <w:t>e-Procurement</w:t>
      </w:r>
      <w:r w:rsidR="66885A15">
        <w:t xml:space="preserve"> </w:t>
      </w:r>
      <w:r>
        <w:t xml:space="preserve">portal is the ‘Supplying the </w:t>
      </w:r>
      <w:proofErr w:type="gramStart"/>
      <w:r>
        <w:t>South West</w:t>
      </w:r>
      <w:proofErr w:type="gramEnd"/>
      <w:r>
        <w:t xml:space="preserve">’ portal - </w:t>
      </w:r>
      <w:hyperlink r:id="rId14">
        <w:r>
          <w:t>www.supplyingthesouthwest.org.uk</w:t>
        </w:r>
      </w:hyperlink>
      <w:r>
        <w:t>.</w:t>
      </w:r>
      <w:r w:rsidR="00821EFA">
        <w:br/>
      </w:r>
    </w:p>
    <w:p w14:paraId="5653D622" w14:textId="7AC1E587" w:rsidR="00821EFA" w:rsidRPr="006F7FFD" w:rsidRDefault="00584EB1" w:rsidP="00EE024B">
      <w:pPr>
        <w:pStyle w:val="ListParagraph"/>
        <w:numPr>
          <w:ilvl w:val="1"/>
          <w:numId w:val="14"/>
        </w:numPr>
      </w:pPr>
      <w:r>
        <w:t>Tenderer</w:t>
      </w:r>
      <w:r w:rsidR="5581C016">
        <w:t xml:space="preserve">s should allow sufficient time to upload documentation to the Portal. It would be unwise to commence uploading documents less than two hours before the deadline. </w:t>
      </w:r>
      <w:bookmarkEnd w:id="35"/>
      <w:r w:rsidR="00821EFA">
        <w:br/>
      </w:r>
    </w:p>
    <w:p w14:paraId="510C038E" w14:textId="057E968E" w:rsidR="00821EFA" w:rsidRPr="00C54709" w:rsidRDefault="007C4100" w:rsidP="00EE024B">
      <w:pPr>
        <w:pStyle w:val="ListParagraph"/>
        <w:numPr>
          <w:ilvl w:val="1"/>
          <w:numId w:val="14"/>
        </w:numPr>
      </w:pPr>
      <w:r>
        <w:t>Proactis</w:t>
      </w:r>
      <w:r w:rsidR="5581C016">
        <w:t xml:space="preserve"> who provide the Portal also offer support</w:t>
      </w:r>
      <w:r w:rsidR="000C34DF">
        <w:t xml:space="preserve"> for </w:t>
      </w:r>
      <w:r w:rsidR="00584EB1">
        <w:t>Tenderer</w:t>
      </w:r>
      <w:r w:rsidR="000C34DF">
        <w:t>s</w:t>
      </w:r>
      <w:r w:rsidR="5581C016">
        <w:t xml:space="preserve">. </w:t>
      </w:r>
      <w:r w:rsidR="00A2741F">
        <w:t xml:space="preserve">If Tenderers experience any technical difficulties in the lead up to the submission deadline, please contact </w:t>
      </w:r>
      <w:hyperlink r:id="rId15" w:history="1">
        <w:r w:rsidR="00A2741F">
          <w:t>p</w:t>
        </w:r>
        <w:r w:rsidR="00A2741F" w:rsidRPr="3F0E91BE">
          <w:rPr>
            <w:rStyle w:val="Hyperlink"/>
          </w:rPr>
          <w:t>rocontractsuppliers@proactis.com</w:t>
        </w:r>
      </w:hyperlink>
      <w:r w:rsidR="00A2741F">
        <w:rPr>
          <w:rStyle w:val="Hyperlink"/>
        </w:rPr>
        <w:t>.</w:t>
      </w:r>
      <w:r w:rsidR="00A2741F">
        <w:t xml:space="preserve"> </w:t>
      </w:r>
      <w:r w:rsidR="5581C016">
        <w:t xml:space="preserve">For all support issues </w:t>
      </w:r>
      <w:r w:rsidR="00584EB1">
        <w:t>Tenderer</w:t>
      </w:r>
      <w:r w:rsidR="5581C016">
        <w:t>s must in the first instance log their query via:</w:t>
      </w:r>
      <w:r w:rsidR="10D0D27C">
        <w:t xml:space="preserve"> </w:t>
      </w:r>
      <w:hyperlink r:id="rId16" w:history="1">
        <w:r w:rsidR="7E426E08" w:rsidRPr="3F0E91BE">
          <w:rPr>
            <w:rStyle w:val="Hyperlink"/>
          </w:rPr>
          <w:t>procontractsuppliers@proactis.com</w:t>
        </w:r>
      </w:hyperlink>
      <w:r w:rsidR="00103B3B">
        <w:t xml:space="preserve">. </w:t>
      </w:r>
      <w:r w:rsidR="00821EFA" w:rsidRPr="00C54709">
        <w:t>If the query is of a time sensitive nature, they also have an Emergency Contact number:</w:t>
      </w:r>
      <w:r w:rsidR="00C54709">
        <w:t xml:space="preserve"> </w:t>
      </w:r>
      <w:r w:rsidR="00821EFA" w:rsidRPr="00C54709">
        <w:t>0330 0050352</w:t>
      </w:r>
      <w:r w:rsidR="00911B18">
        <w:t>.</w:t>
      </w:r>
      <w:r w:rsidR="00103B3B">
        <w:rPr>
          <w:rFonts w:ascii="Arial" w:eastAsia="Times New Roman" w:hAnsi="Arial" w:cs="Times New Roman"/>
          <w:lang w:eastAsia="en-GB"/>
        </w:rPr>
        <w:t xml:space="preserve"> </w:t>
      </w:r>
      <w:r w:rsidR="00821EFA" w:rsidRPr="00C54709">
        <w:t xml:space="preserve">In the first instance </w:t>
      </w:r>
      <w:r w:rsidR="00584EB1">
        <w:t>Tenderer</w:t>
      </w:r>
      <w:r w:rsidR="00821EFA" w:rsidRPr="00C54709">
        <w:t>s should log their call using the email address provided.</w:t>
      </w:r>
      <w:r w:rsidR="00C54709">
        <w:br/>
      </w:r>
    </w:p>
    <w:p w14:paraId="45451CD0" w14:textId="6E36424E" w:rsidR="00821EFA" w:rsidRPr="00C54709" w:rsidRDefault="5581C016" w:rsidP="00EE024B">
      <w:pPr>
        <w:pStyle w:val="ListParagraph"/>
        <w:numPr>
          <w:ilvl w:val="1"/>
          <w:numId w:val="14"/>
        </w:numPr>
      </w:pPr>
      <w:r>
        <w:t xml:space="preserve">It is the </w:t>
      </w:r>
      <w:r w:rsidR="00584EB1">
        <w:t>Tenderer</w:t>
      </w:r>
      <w:r>
        <w:t>s’ responsibility to ensure that all documents are uploaded on time. The e</w:t>
      </w:r>
      <w:r w:rsidR="1CA8461D">
        <w:t>-Procurement</w:t>
      </w:r>
      <w:r w:rsidR="70657166">
        <w:t xml:space="preserve"> portal</w:t>
      </w:r>
      <w:r>
        <w:t xml:space="preserve"> ‘Pro Contract’ will hold all the information that </w:t>
      </w:r>
      <w:r w:rsidR="00584EB1">
        <w:t>Tenderer</w:t>
      </w:r>
      <w:r>
        <w:t xml:space="preserve">s upload securely until the Tender opening date. </w:t>
      </w:r>
      <w:r w:rsidR="00821EFA">
        <w:br/>
      </w:r>
    </w:p>
    <w:p w14:paraId="4F797195" w14:textId="6F9943D1" w:rsidR="00821EFA" w:rsidRDefault="5581C016" w:rsidP="00EE024B">
      <w:pPr>
        <w:pStyle w:val="ListParagraph"/>
        <w:numPr>
          <w:ilvl w:val="1"/>
          <w:numId w:val="14"/>
        </w:numPr>
      </w:pPr>
      <w:r>
        <w:t xml:space="preserve">By submitting a Tender, each </w:t>
      </w:r>
      <w:r w:rsidR="00584EB1">
        <w:t>Tenderer</w:t>
      </w:r>
      <w:r>
        <w:t xml:space="preserve"> will be taken to have agreed that its Tender will remain open for acceptance for a minimum of 1</w:t>
      </w:r>
      <w:r w:rsidR="340EF9DD">
        <w:t>8</w:t>
      </w:r>
      <w:r>
        <w:t>0 days from the submission deadline date.</w:t>
      </w:r>
    </w:p>
    <w:p w14:paraId="1572DCFC" w14:textId="77777777" w:rsidR="000142FF" w:rsidRDefault="000142FF" w:rsidP="000F6A98">
      <w:pPr>
        <w:pStyle w:val="ListParagraph"/>
        <w:ind w:left="1080"/>
      </w:pPr>
    </w:p>
    <w:p w14:paraId="667FC147" w14:textId="77777777" w:rsidR="00524948" w:rsidRPr="000F6A98" w:rsidRDefault="00524948" w:rsidP="00524948">
      <w:pPr>
        <w:pStyle w:val="ListParagraph"/>
        <w:numPr>
          <w:ilvl w:val="1"/>
          <w:numId w:val="14"/>
        </w:numPr>
      </w:pPr>
      <w:r w:rsidRPr="000F6A98">
        <w:t xml:space="preserve">Any Tender response received after the specified deadline will not be considered unless the closing date for receipt of tenders is formally extended by the Combined Authority and communicated to Tenderers. </w:t>
      </w:r>
    </w:p>
    <w:p w14:paraId="4E26B9F4" w14:textId="77777777" w:rsidR="00524948" w:rsidRPr="000F6A98" w:rsidRDefault="00524948" w:rsidP="00524948">
      <w:pPr>
        <w:pStyle w:val="ListParagraph"/>
        <w:ind w:left="1080"/>
      </w:pPr>
    </w:p>
    <w:p w14:paraId="3EB89477" w14:textId="77777777" w:rsidR="00524948" w:rsidRPr="000F6A98" w:rsidRDefault="00524948" w:rsidP="00524948">
      <w:pPr>
        <w:pStyle w:val="ListParagraph"/>
        <w:numPr>
          <w:ilvl w:val="1"/>
          <w:numId w:val="14"/>
        </w:numPr>
      </w:pPr>
      <w:r w:rsidRPr="000F6A98">
        <w:t xml:space="preserve">Submissions received after the closing date may be considered in exceptional cases where submission is not possible for reasons outside of the Tenderer’s control, however this will be permitted only at the discretion of the Combined Authority and its decision on this will be final. </w:t>
      </w:r>
    </w:p>
    <w:p w14:paraId="4DF73A26" w14:textId="77777777" w:rsidR="00524948" w:rsidRPr="00C54709" w:rsidRDefault="00524948" w:rsidP="000F6A98">
      <w:pPr>
        <w:pStyle w:val="ListParagraph"/>
        <w:ind w:left="1080"/>
      </w:pPr>
    </w:p>
    <w:p w14:paraId="0CCA3524" w14:textId="585652F5" w:rsidR="00821EFA" w:rsidRPr="00C54709" w:rsidRDefault="2930092C" w:rsidP="00EE024B">
      <w:pPr>
        <w:pStyle w:val="Heading3"/>
        <w:numPr>
          <w:ilvl w:val="0"/>
          <w:numId w:val="14"/>
        </w:numPr>
        <w:ind w:left="1134" w:hanging="708"/>
        <w:rPr>
          <w:lang w:eastAsia="en-GB"/>
        </w:rPr>
      </w:pPr>
      <w:bookmarkStart w:id="36" w:name="_Communication_and_Clarifications"/>
      <w:bookmarkStart w:id="37" w:name="_Toc127213838"/>
      <w:bookmarkEnd w:id="36"/>
      <w:r w:rsidRPr="3F0E91BE">
        <w:rPr>
          <w:lang w:eastAsia="en-GB"/>
        </w:rPr>
        <w:t>Tender</w:t>
      </w:r>
      <w:r w:rsidR="5581C016" w:rsidRPr="3F0E91BE">
        <w:rPr>
          <w:lang w:eastAsia="en-GB"/>
        </w:rPr>
        <w:t xml:space="preserve"> Clarifications</w:t>
      </w:r>
      <w:bookmarkEnd w:id="37"/>
    </w:p>
    <w:p w14:paraId="7FCD5262" w14:textId="6A27C9DC" w:rsidR="00821EFA" w:rsidRPr="00C54709" w:rsidRDefault="5581C016" w:rsidP="00EE024B">
      <w:pPr>
        <w:pStyle w:val="ListParagraph"/>
        <w:numPr>
          <w:ilvl w:val="1"/>
          <w:numId w:val="14"/>
        </w:numPr>
      </w:pPr>
      <w:r>
        <w:t xml:space="preserve">If a </w:t>
      </w:r>
      <w:r w:rsidR="00584EB1">
        <w:t>Tenderer</w:t>
      </w:r>
      <w:r>
        <w:t xml:space="preserve"> has any enquiries about the Tender documentation which might have any bearing on its Tender, the </w:t>
      </w:r>
      <w:r w:rsidR="00584EB1">
        <w:t>Tenderer</w:t>
      </w:r>
      <w:r>
        <w:t xml:space="preserve"> should raise these through the Portal. All such clarification questions must be received no later than</w:t>
      </w:r>
      <w:r w:rsidR="0B676CB0">
        <w:t xml:space="preserve"> the </w:t>
      </w:r>
      <w:r w:rsidR="00584EB1">
        <w:t>Tenderer</w:t>
      </w:r>
      <w:r w:rsidR="6A3B17A3">
        <w:t xml:space="preserve"> Clarification Deadline as stated in</w:t>
      </w:r>
      <w:r w:rsidR="004D3147">
        <w:t xml:space="preserve"> </w:t>
      </w:r>
      <w:hyperlink w:anchor="_Procurement_timescales" w:history="1">
        <w:r w:rsidR="004D3147" w:rsidRPr="00172025">
          <w:rPr>
            <w:rStyle w:val="Hyperlink"/>
          </w:rPr>
          <w:t>Table 1: Procurement timescales</w:t>
        </w:r>
      </w:hyperlink>
      <w:r w:rsidR="004D3147">
        <w:t xml:space="preserve">. </w:t>
      </w:r>
      <w:r>
        <w:t xml:space="preserve">to allow time for a detailed response to be distributed prior to the </w:t>
      </w:r>
      <w:r w:rsidR="0AD50090">
        <w:t>Deadline of submission of Tenders</w:t>
      </w:r>
      <w:r>
        <w:t>.</w:t>
      </w:r>
      <w:r w:rsidR="00821EFA">
        <w:br/>
      </w:r>
    </w:p>
    <w:p w14:paraId="011E400B" w14:textId="165B2836" w:rsidR="00CB478F" w:rsidRDefault="5581C016" w:rsidP="00EE024B">
      <w:pPr>
        <w:pStyle w:val="ListParagraph"/>
        <w:numPr>
          <w:ilvl w:val="1"/>
          <w:numId w:val="14"/>
        </w:numPr>
      </w:pPr>
      <w:r>
        <w:t xml:space="preserve">Unless a </w:t>
      </w:r>
      <w:r w:rsidR="00584EB1">
        <w:t>Tenderer</w:t>
      </w:r>
      <w:r>
        <w:t xml:space="preserve"> states that an enquiry is confidential the Combined Authority will circulate a copy of the enquiry and its written reply to all </w:t>
      </w:r>
      <w:r w:rsidR="00584EB1">
        <w:t>Tenderer</w:t>
      </w:r>
      <w:r>
        <w:t xml:space="preserve">s but will preserve the anonymity of the enquirer. If the </w:t>
      </w:r>
      <w:r w:rsidR="00584EB1">
        <w:t>Tenderer</w:t>
      </w:r>
      <w:r>
        <w:t xml:space="preserve"> states an enquiry is confidential and the Combined Authority agrees then the enquiry and response shall remain private to that </w:t>
      </w:r>
      <w:r w:rsidR="00584EB1">
        <w:lastRenderedPageBreak/>
        <w:t>Tenderer</w:t>
      </w:r>
      <w:r>
        <w:t xml:space="preserve">. If the Combined Authority does not agree that the enquiry is confidential, it shall notify the </w:t>
      </w:r>
      <w:r w:rsidR="00584EB1">
        <w:t>Tenderer</w:t>
      </w:r>
      <w:r>
        <w:t xml:space="preserve"> and give the </w:t>
      </w:r>
      <w:r w:rsidR="00584EB1">
        <w:t>Tenderer</w:t>
      </w:r>
      <w:r>
        <w:t xml:space="preserve"> the option to </w:t>
      </w:r>
      <w:r w:rsidR="00755D62">
        <w:t>either.</w:t>
      </w:r>
    </w:p>
    <w:p w14:paraId="11F71739" w14:textId="77777777" w:rsidR="00CB478F" w:rsidRDefault="00CB478F" w:rsidP="00CB478F">
      <w:pPr>
        <w:pStyle w:val="ListParagraph"/>
        <w:ind w:left="1080"/>
      </w:pPr>
    </w:p>
    <w:p w14:paraId="358BB632" w14:textId="4AF714AA" w:rsidR="00CB478F" w:rsidRDefault="5581C016" w:rsidP="00CB478F">
      <w:pPr>
        <w:pStyle w:val="ListParagraph"/>
        <w:numPr>
          <w:ilvl w:val="0"/>
          <w:numId w:val="47"/>
        </w:numPr>
      </w:pPr>
      <w:r>
        <w:t>withdraw the question; or</w:t>
      </w:r>
    </w:p>
    <w:p w14:paraId="2D60B53C" w14:textId="5B976992" w:rsidR="00821EFA" w:rsidRPr="00C54709" w:rsidRDefault="5581C016" w:rsidP="00755D62">
      <w:pPr>
        <w:pStyle w:val="ListParagraph"/>
        <w:numPr>
          <w:ilvl w:val="0"/>
          <w:numId w:val="47"/>
        </w:numPr>
      </w:pPr>
      <w:r>
        <w:t xml:space="preserve">have the enquiry and response shared with all </w:t>
      </w:r>
      <w:r w:rsidR="00584EB1">
        <w:t>Tenderer</w:t>
      </w:r>
      <w:r>
        <w:t>s.</w:t>
      </w:r>
      <w:r w:rsidR="00821EFA">
        <w:br/>
      </w:r>
    </w:p>
    <w:p w14:paraId="3FE14129" w14:textId="7215E173" w:rsidR="00821EFA" w:rsidRPr="00C54709" w:rsidRDefault="00584EB1" w:rsidP="00EE024B">
      <w:pPr>
        <w:pStyle w:val="ListParagraph"/>
        <w:numPr>
          <w:ilvl w:val="1"/>
          <w:numId w:val="14"/>
        </w:numPr>
      </w:pPr>
      <w:r>
        <w:t>Tenderer</w:t>
      </w:r>
      <w:r w:rsidR="5581C016">
        <w:t xml:space="preserve">s should notify the Combined Authority promptly of any perceived ambiguity, inconsistency, or omission in the </w:t>
      </w:r>
      <w:r w:rsidR="009728B6" w:rsidRPr="009728B6">
        <w:t>ITT</w:t>
      </w:r>
      <w:r w:rsidR="5581C016">
        <w:t xml:space="preserve"> documents, any of their associated documents and/or any other information issued to them during the procurement process. </w:t>
      </w:r>
      <w:r w:rsidR="00821EFA">
        <w:br/>
      </w:r>
    </w:p>
    <w:p w14:paraId="3537DD02" w14:textId="083269DA" w:rsidR="00821EFA" w:rsidRPr="00C54709" w:rsidRDefault="5581C016" w:rsidP="00EE024B">
      <w:pPr>
        <w:pStyle w:val="ListParagraph"/>
        <w:numPr>
          <w:ilvl w:val="1"/>
          <w:numId w:val="14"/>
        </w:numPr>
      </w:pPr>
      <w:r>
        <w:t xml:space="preserve">The Combined Authority may make changes to the Tender documentation at any time prior to the bid submission date. Such changes will be notified to </w:t>
      </w:r>
      <w:r w:rsidR="00584EB1">
        <w:t>Tenderer</w:t>
      </w:r>
      <w:r>
        <w:t xml:space="preserve">s via the Portal. </w:t>
      </w:r>
    </w:p>
    <w:p w14:paraId="48994D21" w14:textId="35AF03A6" w:rsidR="00821EFA" w:rsidRPr="00C54709" w:rsidRDefault="5581C016" w:rsidP="00EE024B">
      <w:pPr>
        <w:pStyle w:val="Heading3"/>
        <w:numPr>
          <w:ilvl w:val="0"/>
          <w:numId w:val="14"/>
        </w:numPr>
        <w:ind w:left="1134" w:hanging="708"/>
        <w:rPr>
          <w:lang w:eastAsia="en-GB"/>
        </w:rPr>
      </w:pPr>
      <w:bookmarkStart w:id="38" w:name="OLE_LINK38"/>
      <w:bookmarkStart w:id="39" w:name="_Toc312844432"/>
      <w:bookmarkStart w:id="40" w:name="_Toc312844468"/>
      <w:bookmarkStart w:id="41" w:name="_Toc312850640"/>
      <w:bookmarkStart w:id="42" w:name="_Toc127213839"/>
      <w:r w:rsidRPr="3F0E91BE">
        <w:rPr>
          <w:lang w:eastAsia="en-GB"/>
        </w:rPr>
        <w:t xml:space="preserve">Evaluation and Selection of Preferred </w:t>
      </w:r>
      <w:r w:rsidR="00584EB1">
        <w:rPr>
          <w:lang w:eastAsia="en-GB"/>
        </w:rPr>
        <w:t>Tenderer</w:t>
      </w:r>
      <w:bookmarkEnd w:id="38"/>
      <w:bookmarkEnd w:id="39"/>
      <w:bookmarkEnd w:id="40"/>
      <w:bookmarkEnd w:id="41"/>
      <w:bookmarkEnd w:id="42"/>
    </w:p>
    <w:p w14:paraId="3612C9A7" w14:textId="57946DE9" w:rsidR="00821EFA" w:rsidRDefault="5581C016" w:rsidP="00EE024B">
      <w:pPr>
        <w:pStyle w:val="ListParagraph"/>
        <w:numPr>
          <w:ilvl w:val="1"/>
          <w:numId w:val="14"/>
        </w:numPr>
      </w:pPr>
      <w:r>
        <w:t xml:space="preserve">Following the submission deadline, the Combined Authority shall undertake a compliance check and review </w:t>
      </w:r>
      <w:r w:rsidR="00584EB1">
        <w:t>Tenderer</w:t>
      </w:r>
      <w:r>
        <w:t xml:space="preserve">s’ responses to the Selection Questionnaire. The Combined Authority reserves the right to reject any </w:t>
      </w:r>
      <w:r w:rsidR="00584EB1">
        <w:t>Tenderer</w:t>
      </w:r>
      <w:r>
        <w:t xml:space="preserve"> that fails to meet the minimum requirements set out in the Selection Questionnaire.</w:t>
      </w:r>
      <w:r w:rsidR="00821EFA">
        <w:br/>
      </w:r>
    </w:p>
    <w:p w14:paraId="6205355C" w14:textId="23BB9FC2" w:rsidR="00821EFA" w:rsidRPr="00C54709" w:rsidRDefault="5581C016" w:rsidP="00EE024B">
      <w:pPr>
        <w:pStyle w:val="ListParagraph"/>
        <w:numPr>
          <w:ilvl w:val="1"/>
          <w:numId w:val="14"/>
        </w:numPr>
      </w:pPr>
      <w:r>
        <w:t>Tenders shall be evaluated in accordanc</w:t>
      </w:r>
      <w:r w:rsidRPr="00A10CA7">
        <w:t xml:space="preserve">e with </w:t>
      </w:r>
      <w:hyperlink w:anchor="_Toc114425281" w:history="1">
        <w:r w:rsidR="4A5AAC28" w:rsidRPr="00153573">
          <w:rPr>
            <w:rStyle w:val="Hyperlink"/>
          </w:rPr>
          <w:t>S</w:t>
        </w:r>
        <w:r w:rsidRPr="00153573">
          <w:rPr>
            <w:rStyle w:val="Hyperlink"/>
          </w:rPr>
          <w:t>ection 1</w:t>
        </w:r>
        <w:r w:rsidR="00172025" w:rsidRPr="00153573">
          <w:rPr>
            <w:rStyle w:val="Hyperlink"/>
          </w:rPr>
          <w:t>5</w:t>
        </w:r>
        <w:r w:rsidR="00A10CA7" w:rsidRPr="00153573">
          <w:rPr>
            <w:rStyle w:val="Hyperlink"/>
          </w:rPr>
          <w:t>:</w:t>
        </w:r>
        <w:r w:rsidR="4A5AAC28" w:rsidRPr="00153573">
          <w:rPr>
            <w:rStyle w:val="Hyperlink"/>
          </w:rPr>
          <w:t xml:space="preserve"> Evaluation of Quality Questions</w:t>
        </w:r>
      </w:hyperlink>
      <w:r w:rsidRPr="00153573">
        <w:t xml:space="preserve"> and </w:t>
      </w:r>
      <w:hyperlink w:anchor="_Evaluation_of_Price" w:history="1">
        <w:r w:rsidR="4A5AAC28" w:rsidRPr="00153573">
          <w:rPr>
            <w:rStyle w:val="Hyperlink"/>
          </w:rPr>
          <w:t xml:space="preserve">Section </w:t>
        </w:r>
        <w:r w:rsidRPr="00153573">
          <w:rPr>
            <w:rStyle w:val="Hyperlink"/>
          </w:rPr>
          <w:t>1</w:t>
        </w:r>
        <w:r w:rsidR="00172025" w:rsidRPr="00153573">
          <w:rPr>
            <w:rStyle w:val="Hyperlink"/>
          </w:rPr>
          <w:t>6</w:t>
        </w:r>
        <w:r w:rsidR="00A10CA7" w:rsidRPr="00153573">
          <w:rPr>
            <w:rStyle w:val="Hyperlink"/>
          </w:rPr>
          <w:t>:</w:t>
        </w:r>
        <w:r w:rsidRPr="00153573">
          <w:rPr>
            <w:rStyle w:val="Hyperlink"/>
          </w:rPr>
          <w:t xml:space="preserve"> </w:t>
        </w:r>
        <w:r w:rsidR="4A5AAC28" w:rsidRPr="00153573">
          <w:rPr>
            <w:rStyle w:val="Hyperlink"/>
          </w:rPr>
          <w:t>Evaluation of Price submission</w:t>
        </w:r>
      </w:hyperlink>
      <w:r w:rsidR="4A5AAC28">
        <w:t xml:space="preserve"> </w:t>
      </w:r>
      <w:r>
        <w:t>below in order to identify the most economically advantageous Tender.</w:t>
      </w:r>
      <w:r w:rsidR="00821EFA">
        <w:br/>
      </w:r>
    </w:p>
    <w:p w14:paraId="4657F486" w14:textId="54682DA8" w:rsidR="00821EFA" w:rsidRPr="00C54709" w:rsidRDefault="5581C016" w:rsidP="00EE024B">
      <w:pPr>
        <w:pStyle w:val="ListParagraph"/>
        <w:numPr>
          <w:ilvl w:val="1"/>
          <w:numId w:val="14"/>
        </w:numPr>
      </w:pPr>
      <w:r>
        <w:t>The most economically advantageous Tender will be identified through the combined score of the following weighted criteria:</w:t>
      </w:r>
    </w:p>
    <w:p w14:paraId="374C8256" w14:textId="425D0891" w:rsidR="00821EFA" w:rsidRPr="00C54709" w:rsidRDefault="00821EFA" w:rsidP="00EE024B">
      <w:pPr>
        <w:pStyle w:val="ListParagraph"/>
        <w:numPr>
          <w:ilvl w:val="0"/>
          <w:numId w:val="18"/>
        </w:numPr>
      </w:pPr>
      <w:r w:rsidRPr="00C54709">
        <w:t xml:space="preserve">70% </w:t>
      </w:r>
      <w:r w:rsidR="000C38F0">
        <w:t>quality</w:t>
      </w:r>
    </w:p>
    <w:p w14:paraId="27F16FEB" w14:textId="31BAFAA7" w:rsidR="00782EC9" w:rsidRDefault="00821EFA" w:rsidP="00EE024B">
      <w:pPr>
        <w:pStyle w:val="ListParagraph"/>
        <w:numPr>
          <w:ilvl w:val="0"/>
          <w:numId w:val="18"/>
        </w:numPr>
      </w:pPr>
      <w:r w:rsidRPr="00C54709">
        <w:t xml:space="preserve">30% </w:t>
      </w:r>
      <w:r w:rsidR="000C38F0">
        <w:t>price</w:t>
      </w:r>
    </w:p>
    <w:p w14:paraId="6D2EAC49" w14:textId="77777777" w:rsidR="00782EC9" w:rsidRDefault="00782EC9">
      <w:r>
        <w:br w:type="page"/>
      </w:r>
    </w:p>
    <w:p w14:paraId="23C99947" w14:textId="78704877" w:rsidR="00E479EC" w:rsidRPr="00E479EC" w:rsidRDefault="5581C016" w:rsidP="00EE024B">
      <w:pPr>
        <w:pStyle w:val="Heading3"/>
        <w:numPr>
          <w:ilvl w:val="0"/>
          <w:numId w:val="14"/>
        </w:numPr>
        <w:ind w:left="1134" w:hanging="708"/>
        <w:rPr>
          <w:lang w:eastAsia="en-GB"/>
        </w:rPr>
      </w:pPr>
      <w:bookmarkStart w:id="43" w:name="_Toc114425281"/>
      <w:bookmarkStart w:id="44" w:name="_Toc114501446"/>
      <w:bookmarkStart w:id="45" w:name="_Toc114501479"/>
      <w:bookmarkStart w:id="46" w:name="_Toc115190933"/>
      <w:bookmarkStart w:id="47" w:name="_Toc115190961"/>
      <w:bookmarkStart w:id="48" w:name="_Toc115191052"/>
      <w:bookmarkStart w:id="49" w:name="_Evaluation_of_Quality"/>
      <w:bookmarkStart w:id="50" w:name="_Ref122335170"/>
      <w:bookmarkStart w:id="51" w:name="_Ref122335184"/>
      <w:bookmarkStart w:id="52" w:name="_Ref122335210"/>
      <w:bookmarkStart w:id="53" w:name="_Toc127213840"/>
      <w:bookmarkStart w:id="54" w:name="_Ref114425320"/>
      <w:bookmarkStart w:id="55" w:name="_Ref114425371"/>
      <w:bookmarkStart w:id="56" w:name="_Ref114425419"/>
      <w:bookmarkStart w:id="57" w:name="_Ref114425423"/>
      <w:bookmarkEnd w:id="43"/>
      <w:bookmarkEnd w:id="44"/>
      <w:bookmarkEnd w:id="45"/>
      <w:bookmarkEnd w:id="46"/>
      <w:bookmarkEnd w:id="47"/>
      <w:bookmarkEnd w:id="48"/>
      <w:bookmarkEnd w:id="49"/>
      <w:r w:rsidRPr="3F0E91BE">
        <w:rPr>
          <w:lang w:eastAsia="en-GB"/>
        </w:rPr>
        <w:lastRenderedPageBreak/>
        <w:t xml:space="preserve">Evaluation of </w:t>
      </w:r>
      <w:r w:rsidR="000D7279">
        <w:rPr>
          <w:lang w:eastAsia="en-GB"/>
        </w:rPr>
        <w:t>Quality Questions</w:t>
      </w:r>
      <w:bookmarkEnd w:id="50"/>
      <w:bookmarkEnd w:id="51"/>
      <w:bookmarkEnd w:id="52"/>
      <w:bookmarkEnd w:id="53"/>
      <w:r w:rsidR="00590FEC" w:rsidRPr="3F0E91BE">
        <w:rPr>
          <w:lang w:eastAsia="en-GB"/>
        </w:rPr>
        <w:t xml:space="preserve"> </w:t>
      </w:r>
      <w:bookmarkEnd w:id="54"/>
      <w:bookmarkEnd w:id="55"/>
      <w:bookmarkEnd w:id="56"/>
      <w:bookmarkEnd w:id="57"/>
    </w:p>
    <w:p w14:paraId="2B06010E" w14:textId="77777777" w:rsidR="005F24A0" w:rsidRDefault="5581C016" w:rsidP="005F24A0">
      <w:pPr>
        <w:pStyle w:val="ListParagraph"/>
        <w:numPr>
          <w:ilvl w:val="1"/>
          <w:numId w:val="14"/>
        </w:numPr>
      </w:pPr>
      <w:r>
        <w:t>The Quality Questions</w:t>
      </w:r>
      <w:r w:rsidR="00F94233">
        <w:t xml:space="preserve"> and</w:t>
      </w:r>
      <w:r>
        <w:t xml:space="preserve"> their associated weightings are set out in </w:t>
      </w:r>
      <w:r w:rsidR="006674FC">
        <w:t xml:space="preserve">ITT </w:t>
      </w:r>
      <w:r w:rsidR="00590FEC">
        <w:t>Appendix C -Technical</w:t>
      </w:r>
      <w:r w:rsidR="000D7279">
        <w:t xml:space="preserve"> </w:t>
      </w:r>
      <w:r w:rsidR="00590FEC">
        <w:t>Ques</w:t>
      </w:r>
      <w:r w:rsidR="000D7279">
        <w:t>tionnaire.</w:t>
      </w:r>
      <w:r w:rsidR="005F24A0" w:rsidRPr="005F24A0">
        <w:t xml:space="preserve"> </w:t>
      </w:r>
    </w:p>
    <w:p w14:paraId="1D1227DE" w14:textId="77777777" w:rsidR="005F24A0" w:rsidRDefault="005F24A0" w:rsidP="00734240">
      <w:pPr>
        <w:pStyle w:val="ListParagraph"/>
        <w:ind w:left="1080"/>
      </w:pPr>
    </w:p>
    <w:p w14:paraId="145C0E04" w14:textId="1BA52EED" w:rsidR="005F24A0" w:rsidRDefault="005F24A0" w:rsidP="005F24A0">
      <w:pPr>
        <w:pStyle w:val="ListParagraph"/>
        <w:numPr>
          <w:ilvl w:val="1"/>
          <w:numId w:val="14"/>
        </w:numPr>
      </w:pPr>
      <w:r w:rsidRPr="005F24A0">
        <w:t xml:space="preserve">The quality of submitted tenders will be assessed using the information submitted in response to ITT Appendix C – Technical Questionnaire. The response to each question (other than Question 1 </w:t>
      </w:r>
      <w:proofErr w:type="gramStart"/>
      <w:r w:rsidRPr="005F24A0">
        <w:t>i.e.</w:t>
      </w:r>
      <w:proofErr w:type="gramEnd"/>
      <w:r w:rsidRPr="005F24A0">
        <w:t xml:space="preserve"> Component specification questionnaire) will be marked using the scoring methodology set out in the ITT. </w:t>
      </w:r>
    </w:p>
    <w:p w14:paraId="75015B4E" w14:textId="77777777" w:rsidR="00D65477" w:rsidRDefault="00D65477" w:rsidP="00734240">
      <w:pPr>
        <w:pStyle w:val="ListParagraph"/>
      </w:pPr>
    </w:p>
    <w:p w14:paraId="542E21C9" w14:textId="3ED7B3C2" w:rsidR="005F24A0" w:rsidRDefault="00D65477" w:rsidP="00EE024B">
      <w:pPr>
        <w:pStyle w:val="ListParagraph"/>
        <w:numPr>
          <w:ilvl w:val="1"/>
          <w:numId w:val="14"/>
        </w:numPr>
      </w:pPr>
      <w:r w:rsidRPr="00D65477">
        <w:t>The response to Question 1 i.e., Component specification questionnaire will be assessed using the table below.</w:t>
      </w:r>
    </w:p>
    <w:p w14:paraId="27713412" w14:textId="3AD491D9" w:rsidR="00D65477" w:rsidRDefault="007C157A" w:rsidP="00734240">
      <w:pPr>
        <w:pStyle w:val="Caption"/>
        <w:ind w:firstLine="720"/>
      </w:pPr>
      <w:r>
        <w:t xml:space="preserve">Table </w:t>
      </w:r>
      <w:r w:rsidR="00335203">
        <w:fldChar w:fldCharType="begin"/>
      </w:r>
      <w:r w:rsidR="00335203">
        <w:instrText xml:space="preserve"> SEQ Table \* ARABIC </w:instrText>
      </w:r>
      <w:r w:rsidR="00335203">
        <w:fldChar w:fldCharType="separate"/>
      </w:r>
      <w:r>
        <w:rPr>
          <w:noProof/>
        </w:rPr>
        <w:t>2</w:t>
      </w:r>
      <w:r w:rsidR="00335203">
        <w:rPr>
          <w:noProof/>
        </w:rPr>
        <w:fldChar w:fldCharType="end"/>
      </w:r>
      <w:r>
        <w:t xml:space="preserve">- </w:t>
      </w:r>
      <w:r w:rsidRPr="00B14773">
        <w:t>Component Specification scoring methodology</w:t>
      </w:r>
    </w:p>
    <w:tbl>
      <w:tblPr>
        <w:tblStyle w:val="GridTable1Light-Accent1"/>
        <w:tblW w:w="3950" w:type="pct"/>
        <w:tblInd w:w="799" w:type="dxa"/>
        <w:tblLook w:val="04A0" w:firstRow="1" w:lastRow="0" w:firstColumn="1" w:lastColumn="0" w:noHBand="0" w:noVBand="1"/>
      </w:tblPr>
      <w:tblGrid>
        <w:gridCol w:w="1323"/>
        <w:gridCol w:w="5800"/>
      </w:tblGrid>
      <w:tr w:rsidR="008C3DC3" w14:paraId="5204A257" w14:textId="77777777" w:rsidTr="00B55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hideMark/>
          </w:tcPr>
          <w:p w14:paraId="19D1BA48" w14:textId="77777777" w:rsidR="008C3DC3" w:rsidRPr="004B25BC" w:rsidRDefault="008C3DC3" w:rsidP="00FE50D0">
            <w:pPr>
              <w:rPr>
                <w:b w:val="0"/>
                <w:bCs w:val="0"/>
              </w:rPr>
            </w:pPr>
            <w:r w:rsidRPr="004B25BC">
              <w:t>Score</w:t>
            </w:r>
          </w:p>
        </w:tc>
        <w:tc>
          <w:tcPr>
            <w:tcW w:w="4071" w:type="pct"/>
            <w:hideMark/>
          </w:tcPr>
          <w:p w14:paraId="1DE414F4" w14:textId="77777777" w:rsidR="008C3DC3" w:rsidRPr="004B25BC" w:rsidRDefault="008C3DC3" w:rsidP="00FE50D0">
            <w:pPr>
              <w:cnfStyle w:val="100000000000" w:firstRow="1" w:lastRow="0" w:firstColumn="0" w:lastColumn="0" w:oddVBand="0" w:evenVBand="0" w:oddHBand="0" w:evenHBand="0" w:firstRowFirstColumn="0" w:firstRowLastColumn="0" w:lastRowFirstColumn="0" w:lastRowLastColumn="0"/>
              <w:rPr>
                <w:b w:val="0"/>
                <w:bCs w:val="0"/>
              </w:rPr>
            </w:pPr>
            <w:r w:rsidRPr="004B25BC">
              <w:t>Definition</w:t>
            </w:r>
          </w:p>
        </w:tc>
      </w:tr>
      <w:tr w:rsidR="008C3DC3" w14:paraId="15AAFB28" w14:textId="77777777" w:rsidTr="00B551FA">
        <w:tc>
          <w:tcPr>
            <w:cnfStyle w:val="001000000000" w:firstRow="0" w:lastRow="0" w:firstColumn="1" w:lastColumn="0" w:oddVBand="0" w:evenVBand="0" w:oddHBand="0" w:evenHBand="0" w:firstRowFirstColumn="0" w:firstRowLastColumn="0" w:lastRowFirstColumn="0" w:lastRowLastColumn="0"/>
            <w:tcW w:w="929" w:type="pct"/>
            <w:hideMark/>
          </w:tcPr>
          <w:p w14:paraId="16D4CB4F" w14:textId="77777777" w:rsidR="008C3DC3" w:rsidRPr="004A3EB9" w:rsidRDefault="008C3DC3" w:rsidP="00FE50D0">
            <w:pPr>
              <w:rPr>
                <w:b w:val="0"/>
                <w:bCs w:val="0"/>
              </w:rPr>
            </w:pPr>
            <w:r w:rsidRPr="004A3EB9">
              <w:rPr>
                <w:b w:val="0"/>
                <w:bCs w:val="0"/>
              </w:rPr>
              <w:t>0</w:t>
            </w:r>
          </w:p>
        </w:tc>
        <w:tc>
          <w:tcPr>
            <w:tcW w:w="4071" w:type="pct"/>
          </w:tcPr>
          <w:p w14:paraId="7C885828" w14:textId="77777777" w:rsidR="008C3DC3" w:rsidRPr="00F941FA" w:rsidRDefault="008C3DC3" w:rsidP="00FE50D0">
            <w:pPr>
              <w:cnfStyle w:val="000000000000" w:firstRow="0" w:lastRow="0" w:firstColumn="0" w:lastColumn="0" w:oddVBand="0" w:evenVBand="0" w:oddHBand="0" w:evenHBand="0" w:firstRowFirstColumn="0" w:firstRowLastColumn="0" w:lastRowFirstColumn="0" w:lastRowLastColumn="0"/>
            </w:pPr>
            <w:r w:rsidRPr="00F941FA">
              <w:t>There is no response, insufficient information or the submission does not meet the component</w:t>
            </w:r>
            <w:r>
              <w:t>’s</w:t>
            </w:r>
            <w:r w:rsidRPr="00F941FA">
              <w:t xml:space="preserve"> specification in any area.</w:t>
            </w:r>
          </w:p>
        </w:tc>
      </w:tr>
      <w:tr w:rsidR="008C3DC3" w14:paraId="1F5E3D05" w14:textId="77777777" w:rsidTr="00B551FA">
        <w:tc>
          <w:tcPr>
            <w:cnfStyle w:val="001000000000" w:firstRow="0" w:lastRow="0" w:firstColumn="1" w:lastColumn="0" w:oddVBand="0" w:evenVBand="0" w:oddHBand="0" w:evenHBand="0" w:firstRowFirstColumn="0" w:firstRowLastColumn="0" w:lastRowFirstColumn="0" w:lastRowLastColumn="0"/>
            <w:tcW w:w="929" w:type="pct"/>
            <w:hideMark/>
          </w:tcPr>
          <w:p w14:paraId="5B71F47D" w14:textId="77777777" w:rsidR="008C3DC3" w:rsidRPr="004A3EB9" w:rsidRDefault="008C3DC3" w:rsidP="00FE50D0">
            <w:pPr>
              <w:rPr>
                <w:b w:val="0"/>
                <w:bCs w:val="0"/>
              </w:rPr>
            </w:pPr>
            <w:r w:rsidRPr="004A3EB9">
              <w:rPr>
                <w:b w:val="0"/>
                <w:bCs w:val="0"/>
              </w:rPr>
              <w:t>1</w:t>
            </w:r>
          </w:p>
        </w:tc>
        <w:tc>
          <w:tcPr>
            <w:tcW w:w="4071" w:type="pct"/>
          </w:tcPr>
          <w:p w14:paraId="3DBD39C6" w14:textId="77777777" w:rsidR="008C3DC3" w:rsidRPr="007D7A4A" w:rsidRDefault="008C3DC3" w:rsidP="00FE50D0">
            <w:pPr>
              <w:cnfStyle w:val="000000000000" w:firstRow="0" w:lastRow="0" w:firstColumn="0" w:lastColumn="0" w:oddVBand="0" w:evenVBand="0" w:oddHBand="0" w:evenHBand="0" w:firstRowFirstColumn="0" w:firstRowLastColumn="0" w:lastRowFirstColumn="0" w:lastRowLastColumn="0"/>
            </w:pPr>
            <w:r>
              <w:t xml:space="preserve">The submission does not meet the component’s specification with some major </w:t>
            </w:r>
            <w:r w:rsidDel="00264CB6">
              <w:t>weaknesses</w:t>
            </w:r>
            <w:r>
              <w:t>, or reservations.</w:t>
            </w:r>
            <w:r w:rsidRPr="00F941FA">
              <w:t xml:space="preserve"> </w:t>
            </w:r>
          </w:p>
        </w:tc>
      </w:tr>
      <w:tr w:rsidR="008C3DC3" w14:paraId="203EAF9C" w14:textId="77777777" w:rsidTr="00B551FA">
        <w:tc>
          <w:tcPr>
            <w:cnfStyle w:val="001000000000" w:firstRow="0" w:lastRow="0" w:firstColumn="1" w:lastColumn="0" w:oddVBand="0" w:evenVBand="0" w:oddHBand="0" w:evenHBand="0" w:firstRowFirstColumn="0" w:firstRowLastColumn="0" w:lastRowFirstColumn="0" w:lastRowLastColumn="0"/>
            <w:tcW w:w="929" w:type="pct"/>
            <w:hideMark/>
          </w:tcPr>
          <w:p w14:paraId="7D57A55B" w14:textId="77777777" w:rsidR="008C3DC3" w:rsidRPr="004A3EB9" w:rsidRDefault="008C3DC3" w:rsidP="00FE50D0">
            <w:pPr>
              <w:rPr>
                <w:b w:val="0"/>
                <w:bCs w:val="0"/>
              </w:rPr>
            </w:pPr>
            <w:r w:rsidRPr="004A3EB9">
              <w:rPr>
                <w:b w:val="0"/>
                <w:bCs w:val="0"/>
              </w:rPr>
              <w:t>2</w:t>
            </w:r>
          </w:p>
        </w:tc>
        <w:tc>
          <w:tcPr>
            <w:tcW w:w="4071" w:type="pct"/>
          </w:tcPr>
          <w:p w14:paraId="266F8B45" w14:textId="77777777" w:rsidR="008C3DC3" w:rsidRDefault="008C3DC3" w:rsidP="00FE50D0">
            <w:pPr>
              <w:cnfStyle w:val="000000000000" w:firstRow="0" w:lastRow="0" w:firstColumn="0" w:lastColumn="0" w:oddVBand="0" w:evenVBand="0" w:oddHBand="0" w:evenHBand="0" w:firstRowFirstColumn="0" w:firstRowLastColumn="0" w:lastRowFirstColumn="0" w:lastRowLastColumn="0"/>
            </w:pPr>
            <w:r>
              <w:t xml:space="preserve">The submission partially meets all the component’s specification with some minor </w:t>
            </w:r>
            <w:r w:rsidDel="00264CB6">
              <w:t>weaknesses</w:t>
            </w:r>
            <w:r>
              <w:t>, or reservations in a few areas.</w:t>
            </w:r>
          </w:p>
        </w:tc>
      </w:tr>
      <w:tr w:rsidR="008C3DC3" w14:paraId="3FDAAA52" w14:textId="77777777" w:rsidTr="00B551FA">
        <w:tc>
          <w:tcPr>
            <w:cnfStyle w:val="001000000000" w:firstRow="0" w:lastRow="0" w:firstColumn="1" w:lastColumn="0" w:oddVBand="0" w:evenVBand="0" w:oddHBand="0" w:evenHBand="0" w:firstRowFirstColumn="0" w:firstRowLastColumn="0" w:lastRowFirstColumn="0" w:lastRowLastColumn="0"/>
            <w:tcW w:w="929" w:type="pct"/>
            <w:hideMark/>
          </w:tcPr>
          <w:p w14:paraId="1FE3A979" w14:textId="77777777" w:rsidR="008C3DC3" w:rsidRPr="004A3EB9" w:rsidRDefault="008C3DC3" w:rsidP="00FE50D0">
            <w:pPr>
              <w:rPr>
                <w:b w:val="0"/>
                <w:bCs w:val="0"/>
              </w:rPr>
            </w:pPr>
            <w:r w:rsidRPr="004A3EB9">
              <w:rPr>
                <w:b w:val="0"/>
                <w:bCs w:val="0"/>
              </w:rPr>
              <w:t>3</w:t>
            </w:r>
          </w:p>
        </w:tc>
        <w:tc>
          <w:tcPr>
            <w:tcW w:w="4071" w:type="pct"/>
          </w:tcPr>
          <w:p w14:paraId="7BE94A77" w14:textId="77777777" w:rsidR="008C3DC3" w:rsidRDefault="008C3DC3" w:rsidP="00FE50D0">
            <w:pPr>
              <w:cnfStyle w:val="000000000000" w:firstRow="0" w:lastRow="0" w:firstColumn="0" w:lastColumn="0" w:oddVBand="0" w:evenVBand="0" w:oddHBand="0" w:evenHBand="0" w:firstRowFirstColumn="0" w:firstRowLastColumn="0" w:lastRowFirstColumn="0" w:lastRowLastColumn="0"/>
            </w:pPr>
            <w:r>
              <w:t xml:space="preserve">The submission meets all the component’s specification with some minor </w:t>
            </w:r>
            <w:r w:rsidDel="00264CB6">
              <w:t>weaknesses</w:t>
            </w:r>
            <w:r>
              <w:t>, or reservations in a few areas.</w:t>
            </w:r>
          </w:p>
        </w:tc>
      </w:tr>
      <w:tr w:rsidR="008C3DC3" w14:paraId="1813B549" w14:textId="77777777" w:rsidTr="00B551FA">
        <w:tc>
          <w:tcPr>
            <w:cnfStyle w:val="001000000000" w:firstRow="0" w:lastRow="0" w:firstColumn="1" w:lastColumn="0" w:oddVBand="0" w:evenVBand="0" w:oddHBand="0" w:evenHBand="0" w:firstRowFirstColumn="0" w:firstRowLastColumn="0" w:lastRowFirstColumn="0" w:lastRowLastColumn="0"/>
            <w:tcW w:w="929" w:type="pct"/>
            <w:hideMark/>
          </w:tcPr>
          <w:p w14:paraId="42C4E5A1" w14:textId="77777777" w:rsidR="008C3DC3" w:rsidRPr="004A3EB9" w:rsidRDefault="008C3DC3" w:rsidP="00FE50D0">
            <w:pPr>
              <w:rPr>
                <w:b w:val="0"/>
                <w:bCs w:val="0"/>
              </w:rPr>
            </w:pPr>
            <w:r w:rsidRPr="004A3EB9">
              <w:rPr>
                <w:b w:val="0"/>
                <w:bCs w:val="0"/>
              </w:rPr>
              <w:t>4</w:t>
            </w:r>
          </w:p>
        </w:tc>
        <w:tc>
          <w:tcPr>
            <w:tcW w:w="4071" w:type="pct"/>
          </w:tcPr>
          <w:p w14:paraId="16AA232A" w14:textId="77777777" w:rsidR="008C3DC3" w:rsidRDefault="008C3DC3" w:rsidP="00FE50D0">
            <w:pPr>
              <w:cnfStyle w:val="000000000000" w:firstRow="0" w:lastRow="0" w:firstColumn="0" w:lastColumn="0" w:oddVBand="0" w:evenVBand="0" w:oddHBand="0" w:evenHBand="0" w:firstRowFirstColumn="0" w:firstRowLastColumn="0" w:lastRowFirstColumn="0" w:lastRowLastColumn="0"/>
            </w:pPr>
            <w:r>
              <w:t>The submission meets all the component’s specifications.</w:t>
            </w:r>
          </w:p>
        </w:tc>
      </w:tr>
      <w:tr w:rsidR="008C3DC3" w14:paraId="3AB4C70E" w14:textId="77777777" w:rsidTr="00B551FA">
        <w:tc>
          <w:tcPr>
            <w:cnfStyle w:val="001000000000" w:firstRow="0" w:lastRow="0" w:firstColumn="1" w:lastColumn="0" w:oddVBand="0" w:evenVBand="0" w:oddHBand="0" w:evenHBand="0" w:firstRowFirstColumn="0" w:firstRowLastColumn="0" w:lastRowFirstColumn="0" w:lastRowLastColumn="0"/>
            <w:tcW w:w="929" w:type="pct"/>
            <w:hideMark/>
          </w:tcPr>
          <w:p w14:paraId="471E7FBF" w14:textId="77777777" w:rsidR="008C3DC3" w:rsidRPr="004A3EB9" w:rsidRDefault="008C3DC3" w:rsidP="00FE50D0">
            <w:pPr>
              <w:rPr>
                <w:b w:val="0"/>
                <w:bCs w:val="0"/>
              </w:rPr>
            </w:pPr>
            <w:r w:rsidRPr="004A3EB9">
              <w:rPr>
                <w:b w:val="0"/>
                <w:bCs w:val="0"/>
              </w:rPr>
              <w:t>5</w:t>
            </w:r>
          </w:p>
        </w:tc>
        <w:tc>
          <w:tcPr>
            <w:tcW w:w="4071" w:type="pct"/>
          </w:tcPr>
          <w:p w14:paraId="78178E23" w14:textId="77777777" w:rsidR="008C3DC3" w:rsidRDefault="008C3DC3" w:rsidP="00FE50D0">
            <w:pPr>
              <w:cnfStyle w:val="000000000000" w:firstRow="0" w:lastRow="0" w:firstColumn="0" w:lastColumn="0" w:oddVBand="0" w:evenVBand="0" w:oddHBand="0" w:evenHBand="0" w:firstRowFirstColumn="0" w:firstRowLastColumn="0" w:lastRowFirstColumn="0" w:lastRowLastColumn="0"/>
            </w:pPr>
            <w:r>
              <w:t>The submission meets all the component’s specifications and exceeds them.</w:t>
            </w:r>
          </w:p>
        </w:tc>
      </w:tr>
    </w:tbl>
    <w:p w14:paraId="3D0FEFD9" w14:textId="77777777" w:rsidR="00D65477" w:rsidRPr="00C54709" w:rsidRDefault="00D65477" w:rsidP="00734240">
      <w:pPr>
        <w:pStyle w:val="ListParagraph"/>
        <w:ind w:left="1080"/>
      </w:pPr>
    </w:p>
    <w:p w14:paraId="35F77C85" w14:textId="77777777" w:rsidR="008F25CD" w:rsidRDefault="008F25CD" w:rsidP="00605906">
      <w:pPr>
        <w:pStyle w:val="ListParagraph"/>
        <w:ind w:left="1080"/>
      </w:pPr>
    </w:p>
    <w:p w14:paraId="0166D484" w14:textId="70B18426" w:rsidR="00B638BA" w:rsidRDefault="00B638BA" w:rsidP="00EE024B">
      <w:pPr>
        <w:pStyle w:val="ListParagraph"/>
        <w:numPr>
          <w:ilvl w:val="1"/>
          <w:numId w:val="14"/>
        </w:numPr>
      </w:pPr>
      <w:r>
        <w:t xml:space="preserve">The scoring methodology for the Quality Questions </w:t>
      </w:r>
      <w:r w:rsidR="003C244A">
        <w:t>(</w:t>
      </w:r>
      <w:proofErr w:type="gramStart"/>
      <w:r w:rsidR="003C244A">
        <w:t>i.e.</w:t>
      </w:r>
      <w:proofErr w:type="gramEnd"/>
      <w:r w:rsidR="003C244A">
        <w:t xml:space="preserve"> Questions 2 – 8) is se</w:t>
      </w:r>
      <w:r>
        <w:t>t out in the t</w:t>
      </w:r>
      <w:r w:rsidR="00EC7830">
        <w:t>able below;</w:t>
      </w:r>
    </w:p>
    <w:p w14:paraId="4BBF361C" w14:textId="5E95F4FC" w:rsidR="00EC7830" w:rsidRDefault="00921E24" w:rsidP="00605906">
      <w:pPr>
        <w:pStyle w:val="Caption"/>
        <w:ind w:left="360" w:firstLine="720"/>
      </w:pPr>
      <w:r>
        <w:t xml:space="preserve">Table </w:t>
      </w:r>
      <w:r w:rsidR="00335203">
        <w:fldChar w:fldCharType="begin"/>
      </w:r>
      <w:r w:rsidR="00335203">
        <w:instrText xml:space="preserve"> SEQ Table \* ARABIC </w:instrText>
      </w:r>
      <w:r w:rsidR="00335203">
        <w:fldChar w:fldCharType="separate"/>
      </w:r>
      <w:r w:rsidR="0061249C">
        <w:rPr>
          <w:noProof/>
        </w:rPr>
        <w:t>3</w:t>
      </w:r>
      <w:r w:rsidR="00335203">
        <w:rPr>
          <w:noProof/>
        </w:rPr>
        <w:fldChar w:fldCharType="end"/>
      </w:r>
      <w:r>
        <w:t>- Scoring methodology</w:t>
      </w:r>
    </w:p>
    <w:tbl>
      <w:tblPr>
        <w:tblStyle w:val="GridTable1Light-Accent5"/>
        <w:tblW w:w="9358" w:type="dxa"/>
        <w:tblInd w:w="846" w:type="dxa"/>
        <w:tblLook w:val="04A0" w:firstRow="1" w:lastRow="0" w:firstColumn="1" w:lastColumn="0" w:noHBand="0" w:noVBand="1"/>
      </w:tblPr>
      <w:tblGrid>
        <w:gridCol w:w="2666"/>
        <w:gridCol w:w="1477"/>
        <w:gridCol w:w="5215"/>
      </w:tblGrid>
      <w:tr w:rsidR="0076119C" w:rsidRPr="0076119C" w14:paraId="140F4049" w14:textId="77777777" w:rsidTr="0073424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013F09D1" w14:textId="61BD3BD1" w:rsidR="0076119C" w:rsidRPr="00605906" w:rsidRDefault="0076119C" w:rsidP="00605906">
            <w:pPr>
              <w:ind w:left="720" w:hanging="720"/>
              <w:jc w:val="center"/>
              <w:rPr>
                <w:rFonts w:asciiTheme="majorHAnsi" w:eastAsiaTheme="majorEastAsia" w:hAnsiTheme="majorHAnsi" w:cstheme="majorBidi"/>
                <w:b w:val="0"/>
                <w:bCs w:val="0"/>
                <w:color w:val="1F3763" w:themeColor="accent1" w:themeShade="7F"/>
                <w:lang w:eastAsia="en-GB"/>
              </w:rPr>
            </w:pPr>
            <w:r w:rsidRPr="00605906">
              <w:rPr>
                <w:rFonts w:asciiTheme="majorHAnsi" w:eastAsiaTheme="majorEastAsia" w:hAnsiTheme="majorHAnsi" w:cstheme="majorBidi"/>
                <w:color w:val="1F3763" w:themeColor="accent1" w:themeShade="7F"/>
                <w:lang w:eastAsia="en-GB"/>
              </w:rPr>
              <w:t>Classification</w:t>
            </w:r>
          </w:p>
        </w:tc>
        <w:tc>
          <w:tcPr>
            <w:tcW w:w="0" w:type="dxa"/>
            <w:hideMark/>
          </w:tcPr>
          <w:p w14:paraId="6A683F63" w14:textId="33AC9F1D" w:rsidR="0076119C" w:rsidRPr="00605906" w:rsidRDefault="0076119C" w:rsidP="00605906">
            <w:pPr>
              <w:ind w:left="720" w:hanging="72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1F3763" w:themeColor="accent1" w:themeShade="7F"/>
                <w:lang w:eastAsia="en-GB"/>
              </w:rPr>
            </w:pPr>
            <w:r w:rsidRPr="00605906">
              <w:rPr>
                <w:rFonts w:asciiTheme="majorHAnsi" w:eastAsiaTheme="majorEastAsia" w:hAnsiTheme="majorHAnsi" w:cstheme="majorBidi"/>
                <w:color w:val="1F3763" w:themeColor="accent1" w:themeShade="7F"/>
                <w:lang w:eastAsia="en-GB"/>
              </w:rPr>
              <w:t>Score</w:t>
            </w:r>
          </w:p>
        </w:tc>
        <w:tc>
          <w:tcPr>
            <w:tcW w:w="0" w:type="dxa"/>
            <w:hideMark/>
          </w:tcPr>
          <w:p w14:paraId="3C54961A" w14:textId="0060DB61" w:rsidR="0076119C" w:rsidRPr="00605906" w:rsidRDefault="0076119C" w:rsidP="00605906">
            <w:pPr>
              <w:ind w:left="720" w:hanging="72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1F3763" w:themeColor="accent1" w:themeShade="7F"/>
                <w:lang w:eastAsia="en-GB"/>
              </w:rPr>
            </w:pPr>
            <w:r w:rsidRPr="00605906">
              <w:rPr>
                <w:rFonts w:asciiTheme="majorHAnsi" w:eastAsiaTheme="majorEastAsia" w:hAnsiTheme="majorHAnsi" w:cstheme="majorBidi"/>
                <w:color w:val="1F3763" w:themeColor="accent1" w:themeShade="7F"/>
                <w:lang w:eastAsia="en-GB"/>
              </w:rPr>
              <w:t>Scoring Methodology </w:t>
            </w:r>
          </w:p>
        </w:tc>
      </w:tr>
      <w:tr w:rsidR="0076119C" w:rsidRPr="0076119C" w14:paraId="512F5D0E" w14:textId="77777777" w:rsidTr="00734240">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2821E605" w14:textId="5FD3FA69" w:rsidR="0076119C" w:rsidRPr="00605906" w:rsidRDefault="0076119C" w:rsidP="00605906">
            <w:pPr>
              <w:jc w:val="center"/>
              <w:textAlignment w:val="baseline"/>
            </w:pPr>
            <w:r w:rsidRPr="00605906">
              <w:t>Major Concerns </w:t>
            </w:r>
          </w:p>
        </w:tc>
        <w:tc>
          <w:tcPr>
            <w:tcW w:w="0" w:type="dxa"/>
            <w:hideMark/>
          </w:tcPr>
          <w:p w14:paraId="37821BD1" w14:textId="77777777" w:rsidR="0076119C" w:rsidRPr="00605906" w:rsidRDefault="0076119C" w:rsidP="0076119C">
            <w:pPr>
              <w:jc w:val="center"/>
              <w:textAlignment w:val="baseline"/>
              <w:cnfStyle w:val="000000000000" w:firstRow="0" w:lastRow="0" w:firstColumn="0" w:lastColumn="0" w:oddVBand="0" w:evenVBand="0" w:oddHBand="0" w:evenHBand="0" w:firstRowFirstColumn="0" w:firstRowLastColumn="0" w:lastRowFirstColumn="0" w:lastRowLastColumn="0"/>
            </w:pPr>
            <w:r w:rsidRPr="00605906">
              <w:t>0% </w:t>
            </w:r>
          </w:p>
        </w:tc>
        <w:tc>
          <w:tcPr>
            <w:tcW w:w="0" w:type="dxa"/>
            <w:hideMark/>
          </w:tcPr>
          <w:p w14:paraId="1571FE24" w14:textId="77777777" w:rsidR="0076119C" w:rsidRPr="00605906" w:rsidRDefault="0076119C" w:rsidP="0076119C">
            <w:pPr>
              <w:textAlignment w:val="baseline"/>
              <w:cnfStyle w:val="000000000000" w:firstRow="0" w:lastRow="0" w:firstColumn="0" w:lastColumn="0" w:oddVBand="0" w:evenVBand="0" w:oddHBand="0" w:evenHBand="0" w:firstRowFirstColumn="0" w:firstRowLastColumn="0" w:lastRowFirstColumn="0" w:lastRowLastColumn="0"/>
            </w:pPr>
            <w:r w:rsidRPr="00605906">
              <w:t>No response submitted or an unacceptable response which fails to address the Mandatory Questionnaire/Technical Questionnaire/Interview Schedule/tender criteria.   </w:t>
            </w:r>
          </w:p>
        </w:tc>
      </w:tr>
      <w:tr w:rsidR="0076119C" w:rsidRPr="0076119C" w14:paraId="7A2D8C55" w14:textId="77777777" w:rsidTr="00734240">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2111C1D9" w14:textId="623A6955" w:rsidR="0076119C" w:rsidRPr="00605906" w:rsidRDefault="0076119C" w:rsidP="00605906">
            <w:pPr>
              <w:jc w:val="center"/>
              <w:textAlignment w:val="baseline"/>
            </w:pPr>
            <w:r w:rsidRPr="00605906">
              <w:t>Concerns </w:t>
            </w:r>
          </w:p>
        </w:tc>
        <w:tc>
          <w:tcPr>
            <w:tcW w:w="0" w:type="dxa"/>
            <w:hideMark/>
          </w:tcPr>
          <w:p w14:paraId="41465A8E" w14:textId="77777777" w:rsidR="0076119C" w:rsidRPr="00605906" w:rsidRDefault="0076119C" w:rsidP="0076119C">
            <w:pPr>
              <w:jc w:val="center"/>
              <w:textAlignment w:val="baseline"/>
              <w:cnfStyle w:val="000000000000" w:firstRow="0" w:lastRow="0" w:firstColumn="0" w:lastColumn="0" w:oddVBand="0" w:evenVBand="0" w:oddHBand="0" w:evenHBand="0" w:firstRowFirstColumn="0" w:firstRowLastColumn="0" w:lastRowFirstColumn="0" w:lastRowLastColumn="0"/>
            </w:pPr>
            <w:r w:rsidRPr="00605906">
              <w:t>10% </w:t>
            </w:r>
          </w:p>
        </w:tc>
        <w:tc>
          <w:tcPr>
            <w:tcW w:w="0" w:type="dxa"/>
            <w:hideMark/>
          </w:tcPr>
          <w:p w14:paraId="430CC052" w14:textId="77777777" w:rsidR="0076119C" w:rsidRPr="00605906" w:rsidRDefault="0076119C" w:rsidP="0076119C">
            <w:pPr>
              <w:ind w:right="255"/>
              <w:textAlignment w:val="baseline"/>
              <w:cnfStyle w:val="000000000000" w:firstRow="0" w:lastRow="0" w:firstColumn="0" w:lastColumn="0" w:oddVBand="0" w:evenVBand="0" w:oddHBand="0" w:evenHBand="0" w:firstRowFirstColumn="0" w:firstRowLastColumn="0" w:lastRowFirstColumn="0" w:lastRowLastColumn="0"/>
            </w:pPr>
            <w:r w:rsidRPr="00605906">
              <w:t>The response fails to address adequately one or more of the factors in the relevant Evaluation Guidance for the Mandatory Questionnaire/Technical Questionnaire/Interview Schedule/tender criteria; and/or overall, the response provides very low level of confidence of successful delivery.  </w:t>
            </w:r>
          </w:p>
          <w:p w14:paraId="5B3ACF3F" w14:textId="77777777" w:rsidR="0076119C" w:rsidRPr="00605906" w:rsidRDefault="0076119C" w:rsidP="0076119C">
            <w:pPr>
              <w:ind w:right="255"/>
              <w:textAlignment w:val="baseline"/>
              <w:cnfStyle w:val="000000000000" w:firstRow="0" w:lastRow="0" w:firstColumn="0" w:lastColumn="0" w:oddVBand="0" w:evenVBand="0" w:oddHBand="0" w:evenHBand="0" w:firstRowFirstColumn="0" w:firstRowLastColumn="0" w:lastRowFirstColumn="0" w:lastRowLastColumn="0"/>
            </w:pPr>
            <w:r w:rsidRPr="00605906">
              <w:t> </w:t>
            </w:r>
          </w:p>
        </w:tc>
      </w:tr>
      <w:tr w:rsidR="0076119C" w:rsidRPr="0076119C" w14:paraId="2C184065" w14:textId="77777777" w:rsidTr="00734240">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406DA106" w14:textId="75E7BDE3" w:rsidR="0076119C" w:rsidRPr="00605906" w:rsidRDefault="0076119C" w:rsidP="00605906">
            <w:pPr>
              <w:jc w:val="center"/>
              <w:textAlignment w:val="baseline"/>
            </w:pPr>
            <w:r w:rsidRPr="00605906">
              <w:lastRenderedPageBreak/>
              <w:t>Minor Concerns </w:t>
            </w:r>
          </w:p>
        </w:tc>
        <w:tc>
          <w:tcPr>
            <w:tcW w:w="0" w:type="dxa"/>
            <w:hideMark/>
          </w:tcPr>
          <w:p w14:paraId="48C73EAB" w14:textId="77777777" w:rsidR="0076119C" w:rsidRPr="00605906" w:rsidRDefault="0076119C" w:rsidP="0076119C">
            <w:pPr>
              <w:jc w:val="center"/>
              <w:textAlignment w:val="baseline"/>
              <w:cnfStyle w:val="000000000000" w:firstRow="0" w:lastRow="0" w:firstColumn="0" w:lastColumn="0" w:oddVBand="0" w:evenVBand="0" w:oddHBand="0" w:evenHBand="0" w:firstRowFirstColumn="0" w:firstRowLastColumn="0" w:lastRowFirstColumn="0" w:lastRowLastColumn="0"/>
            </w:pPr>
            <w:r w:rsidRPr="00605906">
              <w:t>25% </w:t>
            </w:r>
          </w:p>
        </w:tc>
        <w:tc>
          <w:tcPr>
            <w:tcW w:w="0" w:type="dxa"/>
            <w:hideMark/>
          </w:tcPr>
          <w:p w14:paraId="1EBBF7A5" w14:textId="77777777" w:rsidR="0076119C" w:rsidRPr="00605906" w:rsidRDefault="0076119C" w:rsidP="0076119C">
            <w:pPr>
              <w:textAlignment w:val="baseline"/>
              <w:cnfStyle w:val="000000000000" w:firstRow="0" w:lastRow="0" w:firstColumn="0" w:lastColumn="0" w:oddVBand="0" w:evenVBand="0" w:oddHBand="0" w:evenHBand="0" w:firstRowFirstColumn="0" w:firstRowLastColumn="0" w:lastRowFirstColumn="0" w:lastRowLastColumn="0"/>
            </w:pPr>
            <w:r w:rsidRPr="00605906">
              <w:t>The response fails to address adequately one or more of the factors in the relevant Evaluation Guidance for the Mandatory Questionnaire/Technical Questionnaire/Interview Schedule/tender criteria; and/or overall, the response provides a low level of confidence of successful delivery  </w:t>
            </w:r>
          </w:p>
        </w:tc>
      </w:tr>
      <w:tr w:rsidR="0076119C" w:rsidRPr="0076119C" w14:paraId="6C3D9121" w14:textId="77777777" w:rsidTr="00734240">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396B3929" w14:textId="566CAFC4" w:rsidR="0076119C" w:rsidRPr="00605906" w:rsidRDefault="0076119C" w:rsidP="00605906">
            <w:pPr>
              <w:jc w:val="center"/>
              <w:textAlignment w:val="baseline"/>
            </w:pPr>
            <w:r w:rsidRPr="00605906">
              <w:t>Moderate Confidence </w:t>
            </w:r>
          </w:p>
        </w:tc>
        <w:tc>
          <w:tcPr>
            <w:tcW w:w="0" w:type="dxa"/>
            <w:hideMark/>
          </w:tcPr>
          <w:p w14:paraId="617CA4E5" w14:textId="77777777" w:rsidR="0076119C" w:rsidRPr="00605906" w:rsidRDefault="0076119C" w:rsidP="0076119C">
            <w:pPr>
              <w:jc w:val="center"/>
              <w:textAlignment w:val="baseline"/>
              <w:cnfStyle w:val="000000000000" w:firstRow="0" w:lastRow="0" w:firstColumn="0" w:lastColumn="0" w:oddVBand="0" w:evenVBand="0" w:oddHBand="0" w:evenHBand="0" w:firstRowFirstColumn="0" w:firstRowLastColumn="0" w:lastRowFirstColumn="0" w:lastRowLastColumn="0"/>
            </w:pPr>
            <w:r w:rsidRPr="00605906">
              <w:t>50% </w:t>
            </w:r>
          </w:p>
        </w:tc>
        <w:tc>
          <w:tcPr>
            <w:tcW w:w="0" w:type="dxa"/>
            <w:hideMark/>
          </w:tcPr>
          <w:p w14:paraId="05CEDE94" w14:textId="77777777" w:rsidR="0076119C" w:rsidRPr="00605906" w:rsidRDefault="0076119C" w:rsidP="0076119C">
            <w:pPr>
              <w:textAlignment w:val="baseline"/>
              <w:cnfStyle w:val="000000000000" w:firstRow="0" w:lastRow="0" w:firstColumn="0" w:lastColumn="0" w:oddVBand="0" w:evenVBand="0" w:oddHBand="0" w:evenHBand="0" w:firstRowFirstColumn="0" w:firstRowLastColumn="0" w:lastRowFirstColumn="0" w:lastRowLastColumn="0"/>
            </w:pPr>
            <w:r w:rsidRPr="00605906">
              <w:t xml:space="preserve">The response generally addresses </w:t>
            </w:r>
            <w:proofErr w:type="gramStart"/>
            <w:r w:rsidRPr="00605906">
              <w:t>all of</w:t>
            </w:r>
            <w:proofErr w:type="gramEnd"/>
            <w:r w:rsidRPr="00605906">
              <w:t xml:space="preserve"> the factors in the relevant Evaluation Guidance for the Mandatory Questionnaire/Technical Questionnaire/Interview Schedule/tender criteria; and/or overall, the response provides a moderate level of confidence of successful delivery  </w:t>
            </w:r>
          </w:p>
        </w:tc>
      </w:tr>
      <w:tr w:rsidR="0076119C" w:rsidRPr="0076119C" w14:paraId="5E358ACD" w14:textId="77777777" w:rsidTr="00734240">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10F59621" w14:textId="229FC740" w:rsidR="0076119C" w:rsidRPr="00605906" w:rsidRDefault="0076119C" w:rsidP="00605906">
            <w:pPr>
              <w:jc w:val="center"/>
              <w:textAlignment w:val="baseline"/>
            </w:pPr>
            <w:r w:rsidRPr="00605906">
              <w:t>Good Confidence </w:t>
            </w:r>
          </w:p>
        </w:tc>
        <w:tc>
          <w:tcPr>
            <w:tcW w:w="0" w:type="dxa"/>
            <w:hideMark/>
          </w:tcPr>
          <w:p w14:paraId="388D1C46" w14:textId="77777777" w:rsidR="0076119C" w:rsidRPr="00605906" w:rsidRDefault="0076119C" w:rsidP="0076119C">
            <w:pPr>
              <w:jc w:val="center"/>
              <w:textAlignment w:val="baseline"/>
              <w:cnfStyle w:val="000000000000" w:firstRow="0" w:lastRow="0" w:firstColumn="0" w:lastColumn="0" w:oddVBand="0" w:evenVBand="0" w:oddHBand="0" w:evenHBand="0" w:firstRowFirstColumn="0" w:firstRowLastColumn="0" w:lastRowFirstColumn="0" w:lastRowLastColumn="0"/>
            </w:pPr>
            <w:r w:rsidRPr="00605906">
              <w:t>75% </w:t>
            </w:r>
          </w:p>
        </w:tc>
        <w:tc>
          <w:tcPr>
            <w:tcW w:w="0" w:type="dxa"/>
            <w:hideMark/>
          </w:tcPr>
          <w:p w14:paraId="18826A52" w14:textId="77777777" w:rsidR="0076119C" w:rsidRPr="00605906" w:rsidRDefault="0076119C" w:rsidP="0076119C">
            <w:pPr>
              <w:textAlignment w:val="baseline"/>
              <w:cnfStyle w:val="000000000000" w:firstRow="0" w:lastRow="0" w:firstColumn="0" w:lastColumn="0" w:oddVBand="0" w:evenVBand="0" w:oddHBand="0" w:evenHBand="0" w:firstRowFirstColumn="0" w:firstRowLastColumn="0" w:lastRowFirstColumn="0" w:lastRowLastColumn="0"/>
            </w:pPr>
            <w:r w:rsidRPr="00605906">
              <w:t xml:space="preserve">The response addresses well </w:t>
            </w:r>
            <w:proofErr w:type="gramStart"/>
            <w:r w:rsidRPr="00605906">
              <w:t>all of</w:t>
            </w:r>
            <w:proofErr w:type="gramEnd"/>
            <w:r w:rsidRPr="00605906">
              <w:t xml:space="preserve"> the factors in the relevant Evaluation Guidance for the Mandatory Questionnaire/Technical Questionnaire/Interview Schedule/tender criteria; and/or overall, the response provides good level of confidence of successful delivery  </w:t>
            </w:r>
          </w:p>
        </w:tc>
      </w:tr>
      <w:tr w:rsidR="0076119C" w:rsidRPr="0076119C" w14:paraId="77772030" w14:textId="77777777" w:rsidTr="00734240">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471AD175" w14:textId="66AB9BF1" w:rsidR="0076119C" w:rsidRPr="00605906" w:rsidRDefault="0076119C" w:rsidP="00605906">
            <w:pPr>
              <w:jc w:val="center"/>
              <w:textAlignment w:val="baseline"/>
            </w:pPr>
            <w:r w:rsidRPr="00605906">
              <w:t>Very Good Confidence </w:t>
            </w:r>
          </w:p>
        </w:tc>
        <w:tc>
          <w:tcPr>
            <w:tcW w:w="0" w:type="dxa"/>
            <w:hideMark/>
          </w:tcPr>
          <w:p w14:paraId="6AE2606D" w14:textId="77777777" w:rsidR="0076119C" w:rsidRPr="00605906" w:rsidRDefault="0076119C" w:rsidP="0076119C">
            <w:pPr>
              <w:jc w:val="center"/>
              <w:textAlignment w:val="baseline"/>
              <w:cnfStyle w:val="000000000000" w:firstRow="0" w:lastRow="0" w:firstColumn="0" w:lastColumn="0" w:oddVBand="0" w:evenVBand="0" w:oddHBand="0" w:evenHBand="0" w:firstRowFirstColumn="0" w:firstRowLastColumn="0" w:lastRowFirstColumn="0" w:lastRowLastColumn="0"/>
            </w:pPr>
            <w:r w:rsidRPr="00605906">
              <w:t>90% </w:t>
            </w:r>
          </w:p>
        </w:tc>
        <w:tc>
          <w:tcPr>
            <w:tcW w:w="0" w:type="dxa"/>
            <w:hideMark/>
          </w:tcPr>
          <w:p w14:paraId="099A1728" w14:textId="77777777" w:rsidR="0076119C" w:rsidRPr="00605906" w:rsidRDefault="0076119C" w:rsidP="0076119C">
            <w:pPr>
              <w:textAlignment w:val="baseline"/>
              <w:cnfStyle w:val="000000000000" w:firstRow="0" w:lastRow="0" w:firstColumn="0" w:lastColumn="0" w:oddVBand="0" w:evenVBand="0" w:oddHBand="0" w:evenHBand="0" w:firstRowFirstColumn="0" w:firstRowLastColumn="0" w:lastRowFirstColumn="0" w:lastRowLastColumn="0"/>
            </w:pPr>
            <w:r w:rsidRPr="00605906">
              <w:t xml:space="preserve">The response addresses very well </w:t>
            </w:r>
            <w:proofErr w:type="gramStart"/>
            <w:r w:rsidRPr="00605906">
              <w:t>all of</w:t>
            </w:r>
            <w:proofErr w:type="gramEnd"/>
            <w:r w:rsidRPr="00605906">
              <w:t xml:space="preserve"> the factors in the relevant Evaluation Guidance for the Mandatory Questionnaire/Technical Questionnaire/Interview Schedule/tender criteria; and/or overall, the response provides very good level of confidence of successful delivery  </w:t>
            </w:r>
          </w:p>
        </w:tc>
      </w:tr>
      <w:tr w:rsidR="0076119C" w:rsidRPr="0076119C" w14:paraId="5D65ED93" w14:textId="77777777" w:rsidTr="00734240">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301AB64B" w14:textId="608A6782" w:rsidR="0076119C" w:rsidRPr="00605906" w:rsidRDefault="0076119C" w:rsidP="00605906">
            <w:pPr>
              <w:jc w:val="center"/>
              <w:textAlignment w:val="baseline"/>
            </w:pPr>
            <w:r w:rsidRPr="00605906">
              <w:t>Excellent Confidence </w:t>
            </w:r>
          </w:p>
        </w:tc>
        <w:tc>
          <w:tcPr>
            <w:tcW w:w="0" w:type="dxa"/>
            <w:hideMark/>
          </w:tcPr>
          <w:p w14:paraId="0BD0219B" w14:textId="77777777" w:rsidR="0076119C" w:rsidRPr="00605906" w:rsidRDefault="0076119C" w:rsidP="0076119C">
            <w:pPr>
              <w:jc w:val="center"/>
              <w:textAlignment w:val="baseline"/>
              <w:cnfStyle w:val="000000000000" w:firstRow="0" w:lastRow="0" w:firstColumn="0" w:lastColumn="0" w:oddVBand="0" w:evenVBand="0" w:oddHBand="0" w:evenHBand="0" w:firstRowFirstColumn="0" w:firstRowLastColumn="0" w:lastRowFirstColumn="0" w:lastRowLastColumn="0"/>
            </w:pPr>
            <w:r w:rsidRPr="00605906">
              <w:t>100% </w:t>
            </w:r>
          </w:p>
        </w:tc>
        <w:tc>
          <w:tcPr>
            <w:tcW w:w="0" w:type="dxa"/>
            <w:hideMark/>
          </w:tcPr>
          <w:p w14:paraId="4AA6004A" w14:textId="77777777" w:rsidR="0076119C" w:rsidRPr="00605906" w:rsidRDefault="0076119C" w:rsidP="0076119C">
            <w:pPr>
              <w:textAlignment w:val="baseline"/>
              <w:cnfStyle w:val="000000000000" w:firstRow="0" w:lastRow="0" w:firstColumn="0" w:lastColumn="0" w:oddVBand="0" w:evenVBand="0" w:oddHBand="0" w:evenHBand="0" w:firstRowFirstColumn="0" w:firstRowLastColumn="0" w:lastRowFirstColumn="0" w:lastRowLastColumn="0"/>
            </w:pPr>
            <w:r w:rsidRPr="00605906">
              <w:t xml:space="preserve">The response addresses in an excellent and robust manner </w:t>
            </w:r>
            <w:proofErr w:type="gramStart"/>
            <w:r w:rsidRPr="00605906">
              <w:t>all of</w:t>
            </w:r>
            <w:proofErr w:type="gramEnd"/>
            <w:r w:rsidRPr="00605906">
              <w:t xml:space="preserve"> the factors in the relevant Evaluation Guidance for the Mandatory Questionnaire/Technical Questionnaire/Interview Schedule/tender criteria; and overall, the response provides excellent level of confidence of successful delivery  </w:t>
            </w:r>
          </w:p>
        </w:tc>
      </w:tr>
    </w:tbl>
    <w:p w14:paraId="7DB4A7E5" w14:textId="77777777" w:rsidR="0076119C" w:rsidRPr="00C54709" w:rsidRDefault="0076119C" w:rsidP="00605906">
      <w:pPr>
        <w:pStyle w:val="ListParagraph"/>
        <w:ind w:left="1080"/>
      </w:pPr>
    </w:p>
    <w:p w14:paraId="64566E59" w14:textId="77777777" w:rsidR="000D7279" w:rsidRPr="00C54709" w:rsidRDefault="000D7279" w:rsidP="00381324">
      <w:pPr>
        <w:pStyle w:val="ListParagraph"/>
        <w:ind w:left="1080"/>
      </w:pPr>
    </w:p>
    <w:p w14:paraId="50FA8DF1" w14:textId="5185D751" w:rsidR="00821EFA" w:rsidRPr="00C54709" w:rsidRDefault="5581C016" w:rsidP="00EE024B">
      <w:pPr>
        <w:pStyle w:val="ListParagraph"/>
        <w:numPr>
          <w:ilvl w:val="1"/>
          <w:numId w:val="14"/>
        </w:numPr>
      </w:pPr>
      <w:r>
        <w:t>The weighted score for each question will be calculated as following:</w:t>
      </w:r>
    </w:p>
    <w:p w14:paraId="0BCC1C67" w14:textId="7936051E" w:rsidR="00943442" w:rsidRPr="00943442" w:rsidRDefault="00943442" w:rsidP="00DC450E">
      <w:pPr>
        <w:pStyle w:val="ListParagraph"/>
        <w:ind w:left="1080"/>
        <w:rPr>
          <w:i/>
          <w:iCs/>
        </w:rPr>
      </w:pPr>
      <w:r w:rsidRPr="00943442">
        <w:rPr>
          <w:i/>
          <w:iCs/>
        </w:rPr>
        <w:t xml:space="preserve">(Note that this example does not use the weightings set out in </w:t>
      </w:r>
      <w:r w:rsidR="000D7279">
        <w:rPr>
          <w:i/>
          <w:iCs/>
        </w:rPr>
        <w:t>Appendix C</w:t>
      </w:r>
      <w:r w:rsidRPr="00943442">
        <w:rPr>
          <w:i/>
          <w:iCs/>
        </w:rPr>
        <w:t>.  It is provided to assist with understanding only)</w:t>
      </w:r>
    </w:p>
    <w:p w14:paraId="012ACBF9" w14:textId="7277A3D7" w:rsidR="00821EFA" w:rsidRPr="00C54709" w:rsidRDefault="00821EFA" w:rsidP="00DC450E">
      <w:pPr>
        <w:ind w:left="720" w:firstLine="414"/>
        <w:rPr>
          <w:rFonts w:eastAsia="Times New Roman" w:cstheme="minorHAnsi"/>
          <w:b/>
          <w:bCs/>
          <w:lang w:eastAsia="en-GB"/>
        </w:rPr>
      </w:pPr>
      <w:r w:rsidRPr="00C54709">
        <w:rPr>
          <w:rFonts w:eastAsia="Times New Roman" w:cstheme="minorHAnsi"/>
          <w:b/>
          <w:bCs/>
          <w:lang w:eastAsia="en-GB"/>
        </w:rPr>
        <w:t>Question Score (0</w:t>
      </w:r>
      <w:r w:rsidR="0003332C">
        <w:rPr>
          <w:rFonts w:eastAsia="Times New Roman" w:cstheme="minorHAnsi"/>
          <w:b/>
          <w:bCs/>
          <w:lang w:eastAsia="en-GB"/>
        </w:rPr>
        <w:t xml:space="preserve">% </w:t>
      </w:r>
      <w:r w:rsidRPr="00C54709">
        <w:rPr>
          <w:rFonts w:eastAsia="Times New Roman" w:cstheme="minorHAnsi"/>
          <w:b/>
          <w:bCs/>
          <w:lang w:eastAsia="en-GB"/>
        </w:rPr>
        <w:t>-</w:t>
      </w:r>
      <w:r w:rsidR="0003332C">
        <w:rPr>
          <w:rFonts w:eastAsia="Times New Roman" w:cstheme="minorHAnsi"/>
          <w:b/>
          <w:bCs/>
          <w:lang w:eastAsia="en-GB"/>
        </w:rPr>
        <w:t xml:space="preserve"> 100%</w:t>
      </w:r>
      <w:r w:rsidR="00593BD7" w:rsidRPr="00C54709">
        <w:rPr>
          <w:rFonts w:eastAsia="Times New Roman" w:cstheme="minorHAnsi"/>
          <w:b/>
          <w:bCs/>
          <w:lang w:eastAsia="en-GB"/>
        </w:rPr>
        <w:t>)</w:t>
      </w:r>
      <w:r w:rsidR="00593BD7">
        <w:rPr>
          <w:rFonts w:eastAsia="Times New Roman" w:cstheme="minorHAnsi"/>
          <w:b/>
          <w:bCs/>
          <w:lang w:eastAsia="en-GB"/>
        </w:rPr>
        <w:t xml:space="preserve"> * </w:t>
      </w:r>
      <w:r w:rsidRPr="00C54709">
        <w:rPr>
          <w:rFonts w:eastAsia="Times New Roman" w:cstheme="minorHAnsi"/>
          <w:b/>
          <w:bCs/>
          <w:lang w:eastAsia="en-GB"/>
        </w:rPr>
        <w:t xml:space="preserve">Weighting = Actual </w:t>
      </w:r>
      <w:r w:rsidR="00E83CA0">
        <w:rPr>
          <w:rFonts w:eastAsia="Times New Roman" w:cstheme="minorHAnsi"/>
          <w:b/>
          <w:bCs/>
          <w:lang w:eastAsia="en-GB"/>
        </w:rPr>
        <w:t>Weighted</w:t>
      </w:r>
      <w:r w:rsidR="00E83CA0" w:rsidRPr="00C54709">
        <w:rPr>
          <w:rFonts w:eastAsia="Times New Roman" w:cstheme="minorHAnsi"/>
          <w:b/>
          <w:bCs/>
          <w:lang w:eastAsia="en-GB"/>
        </w:rPr>
        <w:t xml:space="preserve"> </w:t>
      </w:r>
      <w:r w:rsidRPr="00C54709">
        <w:rPr>
          <w:rFonts w:eastAsia="Times New Roman" w:cstheme="minorHAnsi"/>
          <w:b/>
          <w:bCs/>
          <w:lang w:eastAsia="en-GB"/>
        </w:rPr>
        <w:t>Score</w:t>
      </w:r>
    </w:p>
    <w:p w14:paraId="06FD3BF4" w14:textId="677991BD" w:rsidR="00821EFA" w:rsidRDefault="00821EFA" w:rsidP="00987EA1">
      <w:pPr>
        <w:ind w:left="720" w:firstLine="414"/>
      </w:pPr>
      <w:r w:rsidRPr="00C54709">
        <w:t xml:space="preserve">The maximum possible total score is </w:t>
      </w:r>
      <w:r w:rsidR="0003332C">
        <w:t>100</w:t>
      </w:r>
    </w:p>
    <w:p w14:paraId="3F6D901C" w14:textId="6FF89634" w:rsidR="00BE1F8B" w:rsidRPr="000F6A98" w:rsidRDefault="001F19E1" w:rsidP="000F5D78">
      <w:pPr>
        <w:pStyle w:val="Caption"/>
        <w:ind w:left="414" w:firstLine="720"/>
        <w:rPr>
          <w:b/>
          <w:bCs/>
          <w:sz w:val="20"/>
          <w:szCs w:val="20"/>
        </w:rPr>
      </w:pPr>
      <w:r w:rsidRPr="000F6A98">
        <w:rPr>
          <w:sz w:val="20"/>
          <w:szCs w:val="20"/>
        </w:rPr>
        <w:t xml:space="preserve">Table </w:t>
      </w:r>
      <w:r w:rsidRPr="000F6A98">
        <w:rPr>
          <w:sz w:val="20"/>
          <w:szCs w:val="20"/>
        </w:rPr>
        <w:fldChar w:fldCharType="begin"/>
      </w:r>
      <w:r w:rsidRPr="000F6A98">
        <w:rPr>
          <w:sz w:val="20"/>
          <w:szCs w:val="20"/>
        </w:rPr>
        <w:instrText xml:space="preserve"> SEQ Table \* ARABIC </w:instrText>
      </w:r>
      <w:r w:rsidRPr="000F6A98">
        <w:rPr>
          <w:sz w:val="20"/>
          <w:szCs w:val="20"/>
        </w:rPr>
        <w:fldChar w:fldCharType="separate"/>
      </w:r>
      <w:r w:rsidR="0061249C">
        <w:rPr>
          <w:noProof/>
          <w:sz w:val="20"/>
          <w:szCs w:val="20"/>
        </w:rPr>
        <w:t>4</w:t>
      </w:r>
      <w:r w:rsidRPr="000F6A98">
        <w:rPr>
          <w:sz w:val="20"/>
          <w:szCs w:val="20"/>
        </w:rPr>
        <w:fldChar w:fldCharType="end"/>
      </w:r>
      <w:r w:rsidRPr="000F6A98">
        <w:rPr>
          <w:sz w:val="20"/>
          <w:szCs w:val="20"/>
        </w:rPr>
        <w:t xml:space="preserve"> - Example of Quality Questions Evaluation</w:t>
      </w:r>
    </w:p>
    <w:tbl>
      <w:tblPr>
        <w:tblStyle w:val="GridTable1Light-Accent1"/>
        <w:tblW w:w="8595" w:type="dxa"/>
        <w:tblInd w:w="1129" w:type="dxa"/>
        <w:tblLook w:val="04A0" w:firstRow="1" w:lastRow="0" w:firstColumn="1" w:lastColumn="0" w:noHBand="0" w:noVBand="1"/>
      </w:tblPr>
      <w:tblGrid>
        <w:gridCol w:w="1058"/>
        <w:gridCol w:w="1401"/>
        <w:gridCol w:w="717"/>
        <w:gridCol w:w="1090"/>
        <w:gridCol w:w="717"/>
        <w:gridCol w:w="1514"/>
        <w:gridCol w:w="820"/>
        <w:gridCol w:w="1278"/>
      </w:tblGrid>
      <w:tr w:rsidR="00BE1F8B" w:rsidRPr="00C54709" w14:paraId="65C16FA4" w14:textId="77777777" w:rsidTr="00E83CA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59" w:type="dxa"/>
            <w:gridSpan w:val="2"/>
            <w:noWrap/>
            <w:hideMark/>
          </w:tcPr>
          <w:p w14:paraId="4255589B" w14:textId="77777777" w:rsidR="00821EFA" w:rsidRPr="00C54709" w:rsidRDefault="00821EFA">
            <w:pPr>
              <w:jc w:val="center"/>
              <w:rPr>
                <w:rFonts w:eastAsia="Times New Roman" w:cstheme="minorHAnsi"/>
                <w:color w:val="000000"/>
                <w:lang w:eastAsia="en-GB"/>
              </w:rPr>
            </w:pPr>
            <w:r w:rsidRPr="00C54709">
              <w:rPr>
                <w:rFonts w:eastAsia="Times New Roman" w:cstheme="minorHAnsi"/>
                <w:color w:val="000000"/>
                <w:lang w:eastAsia="en-GB"/>
              </w:rPr>
              <w:t> </w:t>
            </w:r>
          </w:p>
        </w:tc>
        <w:tc>
          <w:tcPr>
            <w:tcW w:w="1807" w:type="dxa"/>
            <w:gridSpan w:val="2"/>
            <w:noWrap/>
            <w:hideMark/>
          </w:tcPr>
          <w:p w14:paraId="5F350ED8" w14:textId="409F2CAC" w:rsidR="00821EFA" w:rsidRPr="00C54709" w:rsidRDefault="00584EB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Pr>
                <w:rFonts w:eastAsia="Times New Roman" w:cstheme="minorHAnsi"/>
                <w:color w:val="000000"/>
                <w:lang w:eastAsia="en-GB"/>
              </w:rPr>
              <w:t>Tenderer</w:t>
            </w:r>
            <w:r w:rsidR="00821EFA" w:rsidRPr="00C54709">
              <w:rPr>
                <w:rFonts w:eastAsia="Times New Roman" w:cstheme="minorHAnsi"/>
                <w:color w:val="000000"/>
                <w:lang w:eastAsia="en-GB"/>
              </w:rPr>
              <w:t xml:space="preserve"> A</w:t>
            </w:r>
          </w:p>
        </w:tc>
        <w:tc>
          <w:tcPr>
            <w:tcW w:w="2231" w:type="dxa"/>
            <w:gridSpan w:val="2"/>
            <w:noWrap/>
            <w:hideMark/>
          </w:tcPr>
          <w:p w14:paraId="11875AD3" w14:textId="47A4B5D8" w:rsidR="00821EFA" w:rsidRPr="00C54709" w:rsidRDefault="00584EB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Pr>
                <w:rFonts w:eastAsia="Times New Roman" w:cstheme="minorHAnsi"/>
                <w:color w:val="000000"/>
                <w:lang w:eastAsia="en-GB"/>
              </w:rPr>
              <w:t>Tenderer</w:t>
            </w:r>
            <w:r w:rsidR="00821EFA" w:rsidRPr="00C54709">
              <w:rPr>
                <w:rFonts w:eastAsia="Times New Roman" w:cstheme="minorHAnsi"/>
                <w:color w:val="000000"/>
                <w:lang w:eastAsia="en-GB"/>
              </w:rPr>
              <w:t xml:space="preserve"> </w:t>
            </w:r>
            <w:r w:rsidR="00172025">
              <w:rPr>
                <w:rFonts w:eastAsia="Times New Roman" w:cstheme="minorHAnsi"/>
                <w:color w:val="000000"/>
                <w:lang w:eastAsia="en-GB"/>
              </w:rPr>
              <w:t>B</w:t>
            </w:r>
          </w:p>
        </w:tc>
        <w:tc>
          <w:tcPr>
            <w:tcW w:w="2098" w:type="dxa"/>
            <w:gridSpan w:val="2"/>
            <w:noWrap/>
            <w:hideMark/>
          </w:tcPr>
          <w:p w14:paraId="10B408C7" w14:textId="13C3B4A7" w:rsidR="00821EFA" w:rsidRPr="00C54709" w:rsidRDefault="00584EB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Pr>
                <w:rFonts w:eastAsia="Times New Roman" w:cstheme="minorHAnsi"/>
                <w:color w:val="000000"/>
                <w:lang w:eastAsia="en-GB"/>
              </w:rPr>
              <w:t>Tenderer</w:t>
            </w:r>
            <w:r w:rsidR="00821EFA" w:rsidRPr="00C54709">
              <w:rPr>
                <w:rFonts w:eastAsia="Times New Roman" w:cstheme="minorHAnsi"/>
                <w:color w:val="000000"/>
                <w:lang w:eastAsia="en-GB"/>
              </w:rPr>
              <w:t xml:space="preserve"> </w:t>
            </w:r>
            <w:r w:rsidR="00172025">
              <w:rPr>
                <w:rFonts w:eastAsia="Times New Roman" w:cstheme="minorHAnsi"/>
                <w:color w:val="000000"/>
                <w:lang w:eastAsia="en-GB"/>
              </w:rPr>
              <w:t>C</w:t>
            </w:r>
          </w:p>
        </w:tc>
      </w:tr>
      <w:tr w:rsidR="003E1DA9" w:rsidRPr="00C54709" w14:paraId="1F6BDDC1" w14:textId="77777777" w:rsidTr="00E83CA0">
        <w:trPr>
          <w:trHeight w:val="31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48E4CD01" w14:textId="77777777" w:rsidR="00821EFA" w:rsidRPr="00C54709" w:rsidRDefault="00821EFA" w:rsidP="00E41705">
            <w:pPr>
              <w:jc w:val="center"/>
              <w:rPr>
                <w:rFonts w:eastAsia="Times New Roman" w:cstheme="minorHAnsi"/>
                <w:color w:val="000000"/>
                <w:lang w:eastAsia="en-GB"/>
              </w:rPr>
            </w:pPr>
            <w:r w:rsidRPr="00C54709">
              <w:rPr>
                <w:rFonts w:eastAsia="Times New Roman" w:cstheme="minorHAnsi"/>
                <w:color w:val="000000"/>
                <w:lang w:eastAsia="en-GB"/>
              </w:rPr>
              <w:t>Question</w:t>
            </w:r>
          </w:p>
        </w:tc>
        <w:tc>
          <w:tcPr>
            <w:tcW w:w="0" w:type="auto"/>
            <w:noWrap/>
            <w:hideMark/>
          </w:tcPr>
          <w:p w14:paraId="0C9984D2" w14:textId="00D6110C" w:rsidR="00821EFA" w:rsidRPr="00C54709" w:rsidRDefault="00821EFA"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54709">
              <w:rPr>
                <w:rFonts w:eastAsia="Times New Roman" w:cstheme="minorHAnsi"/>
                <w:color w:val="000000"/>
                <w:lang w:eastAsia="en-GB"/>
              </w:rPr>
              <w:t>Weigh</w:t>
            </w:r>
            <w:r w:rsidR="003E1DA9">
              <w:rPr>
                <w:rFonts w:eastAsia="Times New Roman" w:cstheme="minorHAnsi"/>
                <w:color w:val="000000"/>
                <w:lang w:eastAsia="en-GB"/>
              </w:rPr>
              <w:t>t</w:t>
            </w:r>
          </w:p>
        </w:tc>
        <w:tc>
          <w:tcPr>
            <w:tcW w:w="717" w:type="dxa"/>
            <w:noWrap/>
            <w:hideMark/>
          </w:tcPr>
          <w:p w14:paraId="78891D84" w14:textId="24F8A6FB" w:rsidR="00821EFA" w:rsidRPr="00C54709" w:rsidRDefault="00821EFA"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54709">
              <w:rPr>
                <w:rFonts w:eastAsia="Times New Roman" w:cstheme="minorHAnsi"/>
                <w:color w:val="000000"/>
                <w:lang w:eastAsia="en-GB"/>
              </w:rPr>
              <w:t>Score</w:t>
            </w:r>
            <w:r w:rsidR="006C484D">
              <w:rPr>
                <w:rFonts w:eastAsia="Times New Roman" w:cstheme="minorHAnsi"/>
                <w:color w:val="000000"/>
                <w:lang w:eastAsia="en-GB"/>
              </w:rPr>
              <w:t xml:space="preserve"> (%)</w:t>
            </w:r>
          </w:p>
        </w:tc>
        <w:tc>
          <w:tcPr>
            <w:tcW w:w="1090" w:type="dxa"/>
            <w:noWrap/>
            <w:hideMark/>
          </w:tcPr>
          <w:p w14:paraId="3F3E37C1" w14:textId="7BAC1A3D" w:rsidR="00821EFA" w:rsidRPr="00C54709" w:rsidRDefault="00821EFA"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54709">
              <w:rPr>
                <w:rFonts w:eastAsia="Times New Roman" w:cstheme="minorHAnsi"/>
                <w:color w:val="000000"/>
                <w:lang w:eastAsia="en-GB"/>
              </w:rPr>
              <w:t xml:space="preserve">Actual </w:t>
            </w:r>
            <w:r w:rsidR="00321F6A">
              <w:rPr>
                <w:rFonts w:eastAsia="Times New Roman" w:cstheme="minorHAnsi"/>
                <w:color w:val="000000"/>
                <w:lang w:eastAsia="en-GB"/>
              </w:rPr>
              <w:t>Weighted</w:t>
            </w:r>
            <w:r w:rsidR="00321F6A" w:rsidRPr="00C54709">
              <w:rPr>
                <w:rFonts w:eastAsia="Times New Roman" w:cstheme="minorHAnsi"/>
                <w:color w:val="000000"/>
                <w:lang w:eastAsia="en-GB"/>
              </w:rPr>
              <w:t xml:space="preserve"> </w:t>
            </w:r>
            <w:r w:rsidRPr="00C54709">
              <w:rPr>
                <w:rFonts w:eastAsia="Times New Roman" w:cstheme="minorHAnsi"/>
                <w:color w:val="000000"/>
                <w:lang w:eastAsia="en-GB"/>
              </w:rPr>
              <w:t>Score</w:t>
            </w:r>
            <w:r w:rsidR="006C484D">
              <w:rPr>
                <w:rFonts w:eastAsia="Times New Roman" w:cstheme="minorHAnsi"/>
                <w:color w:val="000000"/>
                <w:lang w:eastAsia="en-GB"/>
              </w:rPr>
              <w:t xml:space="preserve"> (%)</w:t>
            </w:r>
          </w:p>
        </w:tc>
        <w:tc>
          <w:tcPr>
            <w:tcW w:w="717" w:type="dxa"/>
            <w:noWrap/>
            <w:hideMark/>
          </w:tcPr>
          <w:p w14:paraId="50EDC90B" w14:textId="51AAB609" w:rsidR="00821EFA" w:rsidRPr="00C54709" w:rsidRDefault="00821EFA"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54709">
              <w:rPr>
                <w:rFonts w:eastAsia="Times New Roman" w:cstheme="minorHAnsi"/>
                <w:color w:val="000000"/>
                <w:lang w:eastAsia="en-GB"/>
              </w:rPr>
              <w:t>Score</w:t>
            </w:r>
            <w:r w:rsidR="006C484D">
              <w:rPr>
                <w:rFonts w:eastAsia="Times New Roman" w:cstheme="minorHAnsi"/>
                <w:color w:val="000000"/>
                <w:lang w:eastAsia="en-GB"/>
              </w:rPr>
              <w:t xml:space="preserve"> (%)</w:t>
            </w:r>
          </w:p>
        </w:tc>
        <w:tc>
          <w:tcPr>
            <w:tcW w:w="1514" w:type="dxa"/>
            <w:noWrap/>
            <w:hideMark/>
          </w:tcPr>
          <w:p w14:paraId="4D469458" w14:textId="3AF1F929" w:rsidR="00821EFA" w:rsidRPr="00C54709" w:rsidRDefault="00321F6A"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54709">
              <w:rPr>
                <w:rFonts w:eastAsia="Times New Roman" w:cstheme="minorHAnsi"/>
                <w:color w:val="000000"/>
                <w:lang w:eastAsia="en-GB"/>
              </w:rPr>
              <w:t xml:space="preserve">Actual </w:t>
            </w:r>
            <w:r>
              <w:rPr>
                <w:rFonts w:eastAsia="Times New Roman" w:cstheme="minorHAnsi"/>
                <w:color w:val="000000"/>
                <w:lang w:eastAsia="en-GB"/>
              </w:rPr>
              <w:t>Weighted</w:t>
            </w:r>
            <w:r w:rsidRPr="00C54709">
              <w:rPr>
                <w:rFonts w:eastAsia="Times New Roman" w:cstheme="minorHAnsi"/>
                <w:color w:val="000000"/>
                <w:lang w:eastAsia="en-GB"/>
              </w:rPr>
              <w:t xml:space="preserve"> Score</w:t>
            </w:r>
            <w:r w:rsidR="006C484D">
              <w:rPr>
                <w:rFonts w:eastAsia="Times New Roman" w:cstheme="minorHAnsi"/>
                <w:color w:val="000000"/>
                <w:lang w:eastAsia="en-GB"/>
              </w:rPr>
              <w:t xml:space="preserve"> (%)</w:t>
            </w:r>
          </w:p>
        </w:tc>
        <w:tc>
          <w:tcPr>
            <w:tcW w:w="820" w:type="dxa"/>
            <w:noWrap/>
            <w:hideMark/>
          </w:tcPr>
          <w:p w14:paraId="27B5DCA5" w14:textId="0CEFD9A0" w:rsidR="00821EFA" w:rsidRPr="00C54709" w:rsidRDefault="00821EFA"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54709">
              <w:rPr>
                <w:rFonts w:eastAsia="Times New Roman" w:cstheme="minorHAnsi"/>
                <w:color w:val="000000"/>
                <w:lang w:eastAsia="en-GB"/>
              </w:rPr>
              <w:t>Score</w:t>
            </w:r>
            <w:r w:rsidR="006C484D">
              <w:rPr>
                <w:rFonts w:eastAsia="Times New Roman" w:cstheme="minorHAnsi"/>
                <w:color w:val="000000"/>
                <w:lang w:eastAsia="en-GB"/>
              </w:rPr>
              <w:t xml:space="preserve"> (%)</w:t>
            </w:r>
          </w:p>
        </w:tc>
        <w:tc>
          <w:tcPr>
            <w:tcW w:w="1278" w:type="dxa"/>
            <w:noWrap/>
            <w:hideMark/>
          </w:tcPr>
          <w:p w14:paraId="06DE7645" w14:textId="21777AC4" w:rsidR="00821EFA" w:rsidRPr="00C54709" w:rsidRDefault="00321F6A"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54709">
              <w:rPr>
                <w:rFonts w:eastAsia="Times New Roman" w:cstheme="minorHAnsi"/>
                <w:color w:val="000000"/>
                <w:lang w:eastAsia="en-GB"/>
              </w:rPr>
              <w:t xml:space="preserve">Actual </w:t>
            </w:r>
            <w:r>
              <w:rPr>
                <w:rFonts w:eastAsia="Times New Roman" w:cstheme="minorHAnsi"/>
                <w:color w:val="000000"/>
                <w:lang w:eastAsia="en-GB"/>
              </w:rPr>
              <w:t>Weighted</w:t>
            </w:r>
            <w:r w:rsidRPr="00C54709">
              <w:rPr>
                <w:rFonts w:eastAsia="Times New Roman" w:cstheme="minorHAnsi"/>
                <w:color w:val="000000"/>
                <w:lang w:eastAsia="en-GB"/>
              </w:rPr>
              <w:t xml:space="preserve"> Score</w:t>
            </w:r>
            <w:r w:rsidR="006C484D">
              <w:rPr>
                <w:rFonts w:eastAsia="Times New Roman" w:cstheme="minorHAnsi"/>
                <w:color w:val="000000"/>
                <w:lang w:eastAsia="en-GB"/>
              </w:rPr>
              <w:t xml:space="preserve"> (%)</w:t>
            </w:r>
          </w:p>
        </w:tc>
      </w:tr>
      <w:tr w:rsidR="003E1DA9" w:rsidRPr="00C54709" w14:paraId="45776416" w14:textId="77777777" w:rsidTr="00D12DBE">
        <w:trPr>
          <w:trHeight w:val="300"/>
        </w:trPr>
        <w:tc>
          <w:tcPr>
            <w:cnfStyle w:val="001000000000" w:firstRow="0" w:lastRow="0" w:firstColumn="1" w:lastColumn="0" w:oddVBand="0" w:evenVBand="0" w:oddHBand="0" w:evenHBand="0" w:firstRowFirstColumn="0" w:firstRowLastColumn="0" w:lastRowFirstColumn="0" w:lastRowLastColumn="0"/>
            <w:tcW w:w="1058" w:type="dxa"/>
            <w:noWrap/>
            <w:hideMark/>
          </w:tcPr>
          <w:p w14:paraId="082700CB" w14:textId="77777777" w:rsidR="00821EFA" w:rsidRPr="00C54709" w:rsidRDefault="00821EFA" w:rsidP="00E41705">
            <w:pPr>
              <w:jc w:val="center"/>
              <w:rPr>
                <w:rFonts w:eastAsia="Times New Roman" w:cstheme="minorHAnsi"/>
                <w:color w:val="000000"/>
                <w:lang w:eastAsia="en-GB"/>
              </w:rPr>
            </w:pPr>
            <w:r w:rsidRPr="00C54709">
              <w:rPr>
                <w:rFonts w:eastAsia="Times New Roman" w:cstheme="minorHAnsi"/>
                <w:color w:val="000000"/>
                <w:lang w:eastAsia="en-GB"/>
              </w:rPr>
              <w:t>1</w:t>
            </w:r>
          </w:p>
        </w:tc>
        <w:tc>
          <w:tcPr>
            <w:tcW w:w="0" w:type="auto"/>
            <w:noWrap/>
            <w:hideMark/>
          </w:tcPr>
          <w:p w14:paraId="5B5630C1" w14:textId="3CB57376" w:rsidR="00821EFA" w:rsidRPr="00C54709" w:rsidRDefault="00821EFA"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54709">
              <w:rPr>
                <w:rFonts w:eastAsia="Times New Roman" w:cstheme="minorHAnsi"/>
                <w:color w:val="000000"/>
                <w:lang w:eastAsia="en-GB"/>
              </w:rPr>
              <w:t>10</w:t>
            </w:r>
          </w:p>
        </w:tc>
        <w:tc>
          <w:tcPr>
            <w:tcW w:w="717" w:type="dxa"/>
            <w:noWrap/>
            <w:hideMark/>
          </w:tcPr>
          <w:p w14:paraId="1499411F" w14:textId="235DCA5F"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25</w:t>
            </w:r>
          </w:p>
        </w:tc>
        <w:tc>
          <w:tcPr>
            <w:tcW w:w="1090" w:type="dxa"/>
            <w:noWrap/>
            <w:vAlign w:val="center"/>
          </w:tcPr>
          <w:p w14:paraId="5663F00B" w14:textId="79A6EE9A"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2.50</w:t>
            </w:r>
          </w:p>
        </w:tc>
        <w:tc>
          <w:tcPr>
            <w:tcW w:w="717" w:type="dxa"/>
            <w:noWrap/>
            <w:vAlign w:val="center"/>
            <w:hideMark/>
          </w:tcPr>
          <w:p w14:paraId="52FCAF29" w14:textId="14A439AE"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50</w:t>
            </w:r>
          </w:p>
        </w:tc>
        <w:tc>
          <w:tcPr>
            <w:tcW w:w="1514" w:type="dxa"/>
            <w:noWrap/>
            <w:vAlign w:val="center"/>
            <w:hideMark/>
          </w:tcPr>
          <w:p w14:paraId="42D89794" w14:textId="6A8E4A49"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5.00</w:t>
            </w:r>
          </w:p>
        </w:tc>
        <w:tc>
          <w:tcPr>
            <w:tcW w:w="820" w:type="dxa"/>
            <w:noWrap/>
            <w:vAlign w:val="center"/>
            <w:hideMark/>
          </w:tcPr>
          <w:p w14:paraId="0A3BE0E3" w14:textId="0C2E4DA0"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100</w:t>
            </w:r>
          </w:p>
        </w:tc>
        <w:tc>
          <w:tcPr>
            <w:tcW w:w="1278" w:type="dxa"/>
            <w:noWrap/>
            <w:vAlign w:val="center"/>
            <w:hideMark/>
          </w:tcPr>
          <w:p w14:paraId="362F08F5" w14:textId="022E5799"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10.00</w:t>
            </w:r>
          </w:p>
        </w:tc>
      </w:tr>
      <w:tr w:rsidR="003E1DA9" w:rsidRPr="00C54709" w14:paraId="27A85675" w14:textId="77777777" w:rsidTr="00D12DBE">
        <w:trPr>
          <w:trHeight w:val="300"/>
        </w:trPr>
        <w:tc>
          <w:tcPr>
            <w:cnfStyle w:val="001000000000" w:firstRow="0" w:lastRow="0" w:firstColumn="1" w:lastColumn="0" w:oddVBand="0" w:evenVBand="0" w:oddHBand="0" w:evenHBand="0" w:firstRowFirstColumn="0" w:firstRowLastColumn="0" w:lastRowFirstColumn="0" w:lastRowLastColumn="0"/>
            <w:tcW w:w="1058" w:type="dxa"/>
            <w:noWrap/>
            <w:hideMark/>
          </w:tcPr>
          <w:p w14:paraId="10478BF8" w14:textId="77777777" w:rsidR="00821EFA" w:rsidRPr="00C54709" w:rsidRDefault="00821EFA" w:rsidP="00E41705">
            <w:pPr>
              <w:jc w:val="center"/>
              <w:rPr>
                <w:rFonts w:eastAsia="Times New Roman" w:cstheme="minorHAnsi"/>
                <w:color w:val="000000"/>
                <w:lang w:eastAsia="en-GB"/>
              </w:rPr>
            </w:pPr>
            <w:r w:rsidRPr="00C54709">
              <w:rPr>
                <w:rFonts w:eastAsia="Times New Roman" w:cstheme="minorHAnsi"/>
                <w:color w:val="000000"/>
                <w:lang w:eastAsia="en-GB"/>
              </w:rPr>
              <w:t>2</w:t>
            </w:r>
          </w:p>
        </w:tc>
        <w:tc>
          <w:tcPr>
            <w:tcW w:w="0" w:type="auto"/>
            <w:noWrap/>
            <w:hideMark/>
          </w:tcPr>
          <w:p w14:paraId="23D152C2" w14:textId="4DBF296B" w:rsidR="00821EFA" w:rsidRPr="00C54709" w:rsidRDefault="00821EFA"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54709">
              <w:rPr>
                <w:rFonts w:eastAsia="Times New Roman" w:cstheme="minorHAnsi"/>
                <w:color w:val="000000"/>
                <w:lang w:eastAsia="en-GB"/>
              </w:rPr>
              <w:t>15</w:t>
            </w:r>
          </w:p>
        </w:tc>
        <w:tc>
          <w:tcPr>
            <w:tcW w:w="717" w:type="dxa"/>
            <w:noWrap/>
            <w:hideMark/>
          </w:tcPr>
          <w:p w14:paraId="30608FA7" w14:textId="573533CF"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10</w:t>
            </w:r>
          </w:p>
        </w:tc>
        <w:tc>
          <w:tcPr>
            <w:tcW w:w="1090" w:type="dxa"/>
            <w:noWrap/>
            <w:vAlign w:val="center"/>
          </w:tcPr>
          <w:p w14:paraId="0373D5D5" w14:textId="748D077D"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1.50</w:t>
            </w:r>
          </w:p>
        </w:tc>
        <w:tc>
          <w:tcPr>
            <w:tcW w:w="717" w:type="dxa"/>
            <w:noWrap/>
            <w:vAlign w:val="center"/>
            <w:hideMark/>
          </w:tcPr>
          <w:p w14:paraId="0DDF0FE5" w14:textId="6D172023"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75</w:t>
            </w:r>
          </w:p>
        </w:tc>
        <w:tc>
          <w:tcPr>
            <w:tcW w:w="1514" w:type="dxa"/>
            <w:noWrap/>
            <w:vAlign w:val="center"/>
            <w:hideMark/>
          </w:tcPr>
          <w:p w14:paraId="41716A8E" w14:textId="6357A6A7"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11.25</w:t>
            </w:r>
          </w:p>
        </w:tc>
        <w:tc>
          <w:tcPr>
            <w:tcW w:w="820" w:type="dxa"/>
            <w:noWrap/>
            <w:vAlign w:val="center"/>
            <w:hideMark/>
          </w:tcPr>
          <w:p w14:paraId="3711A36D" w14:textId="49E83F5F"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50</w:t>
            </w:r>
          </w:p>
        </w:tc>
        <w:tc>
          <w:tcPr>
            <w:tcW w:w="1278" w:type="dxa"/>
            <w:noWrap/>
            <w:vAlign w:val="center"/>
            <w:hideMark/>
          </w:tcPr>
          <w:p w14:paraId="3AB75E45" w14:textId="7BC99A10"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7.50</w:t>
            </w:r>
          </w:p>
        </w:tc>
      </w:tr>
      <w:tr w:rsidR="003E1DA9" w:rsidRPr="00C54709" w14:paraId="51FF1083" w14:textId="77777777" w:rsidTr="00D12DBE">
        <w:trPr>
          <w:trHeight w:val="300"/>
        </w:trPr>
        <w:tc>
          <w:tcPr>
            <w:cnfStyle w:val="001000000000" w:firstRow="0" w:lastRow="0" w:firstColumn="1" w:lastColumn="0" w:oddVBand="0" w:evenVBand="0" w:oddHBand="0" w:evenHBand="0" w:firstRowFirstColumn="0" w:firstRowLastColumn="0" w:lastRowFirstColumn="0" w:lastRowLastColumn="0"/>
            <w:tcW w:w="1058" w:type="dxa"/>
            <w:noWrap/>
            <w:hideMark/>
          </w:tcPr>
          <w:p w14:paraId="000994BC" w14:textId="77777777" w:rsidR="00821EFA" w:rsidRPr="00C54709" w:rsidRDefault="00821EFA" w:rsidP="00E41705">
            <w:pPr>
              <w:jc w:val="center"/>
              <w:rPr>
                <w:rFonts w:eastAsia="Times New Roman" w:cstheme="minorHAnsi"/>
                <w:color w:val="000000"/>
                <w:lang w:eastAsia="en-GB"/>
              </w:rPr>
            </w:pPr>
            <w:r w:rsidRPr="00C54709">
              <w:rPr>
                <w:rFonts w:eastAsia="Times New Roman" w:cstheme="minorHAnsi"/>
                <w:color w:val="000000"/>
                <w:lang w:eastAsia="en-GB"/>
              </w:rPr>
              <w:lastRenderedPageBreak/>
              <w:t>3</w:t>
            </w:r>
          </w:p>
        </w:tc>
        <w:tc>
          <w:tcPr>
            <w:tcW w:w="0" w:type="auto"/>
            <w:noWrap/>
            <w:hideMark/>
          </w:tcPr>
          <w:p w14:paraId="0A9B95B1" w14:textId="4A952B23" w:rsidR="00821EFA" w:rsidRPr="00C54709" w:rsidRDefault="00821EFA"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54709">
              <w:rPr>
                <w:rFonts w:eastAsia="Times New Roman" w:cstheme="minorHAnsi"/>
                <w:color w:val="000000"/>
                <w:lang w:eastAsia="en-GB"/>
              </w:rPr>
              <w:t>25</w:t>
            </w:r>
          </w:p>
        </w:tc>
        <w:tc>
          <w:tcPr>
            <w:tcW w:w="717" w:type="dxa"/>
            <w:noWrap/>
            <w:hideMark/>
          </w:tcPr>
          <w:p w14:paraId="0DCA4CEB" w14:textId="6490120C"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50</w:t>
            </w:r>
          </w:p>
        </w:tc>
        <w:tc>
          <w:tcPr>
            <w:tcW w:w="1090" w:type="dxa"/>
            <w:noWrap/>
            <w:vAlign w:val="center"/>
          </w:tcPr>
          <w:p w14:paraId="24F59B8C" w14:textId="0AD38A84"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12.50</w:t>
            </w:r>
          </w:p>
        </w:tc>
        <w:tc>
          <w:tcPr>
            <w:tcW w:w="717" w:type="dxa"/>
            <w:noWrap/>
            <w:vAlign w:val="center"/>
            <w:hideMark/>
          </w:tcPr>
          <w:p w14:paraId="7D5D18C6" w14:textId="0C1164F4"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25</w:t>
            </w:r>
          </w:p>
        </w:tc>
        <w:tc>
          <w:tcPr>
            <w:tcW w:w="1514" w:type="dxa"/>
            <w:noWrap/>
            <w:vAlign w:val="center"/>
            <w:hideMark/>
          </w:tcPr>
          <w:p w14:paraId="778C6687" w14:textId="6FA2EEE6"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6.25</w:t>
            </w:r>
          </w:p>
        </w:tc>
        <w:tc>
          <w:tcPr>
            <w:tcW w:w="820" w:type="dxa"/>
            <w:noWrap/>
            <w:vAlign w:val="center"/>
            <w:hideMark/>
          </w:tcPr>
          <w:p w14:paraId="604639F5" w14:textId="4DAEB131"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75</w:t>
            </w:r>
          </w:p>
        </w:tc>
        <w:tc>
          <w:tcPr>
            <w:tcW w:w="1278" w:type="dxa"/>
            <w:noWrap/>
            <w:vAlign w:val="center"/>
            <w:hideMark/>
          </w:tcPr>
          <w:p w14:paraId="012A6205" w14:textId="6687ED37"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18.75</w:t>
            </w:r>
          </w:p>
        </w:tc>
      </w:tr>
      <w:tr w:rsidR="003E1DA9" w:rsidRPr="00C54709" w14:paraId="474F0BF9" w14:textId="77777777" w:rsidTr="00D12DBE">
        <w:trPr>
          <w:trHeight w:val="300"/>
        </w:trPr>
        <w:tc>
          <w:tcPr>
            <w:cnfStyle w:val="001000000000" w:firstRow="0" w:lastRow="0" w:firstColumn="1" w:lastColumn="0" w:oddVBand="0" w:evenVBand="0" w:oddHBand="0" w:evenHBand="0" w:firstRowFirstColumn="0" w:firstRowLastColumn="0" w:lastRowFirstColumn="0" w:lastRowLastColumn="0"/>
            <w:tcW w:w="1058" w:type="dxa"/>
            <w:noWrap/>
            <w:hideMark/>
          </w:tcPr>
          <w:p w14:paraId="4129625C" w14:textId="77777777" w:rsidR="00821EFA" w:rsidRPr="00C54709" w:rsidRDefault="00821EFA" w:rsidP="00E41705">
            <w:pPr>
              <w:jc w:val="center"/>
              <w:rPr>
                <w:rFonts w:eastAsia="Times New Roman" w:cstheme="minorHAnsi"/>
                <w:color w:val="000000"/>
                <w:lang w:eastAsia="en-GB"/>
              </w:rPr>
            </w:pPr>
            <w:r w:rsidRPr="00C54709">
              <w:rPr>
                <w:rFonts w:eastAsia="Times New Roman" w:cstheme="minorHAnsi"/>
                <w:color w:val="000000"/>
                <w:lang w:eastAsia="en-GB"/>
              </w:rPr>
              <w:t>4</w:t>
            </w:r>
          </w:p>
        </w:tc>
        <w:tc>
          <w:tcPr>
            <w:tcW w:w="0" w:type="auto"/>
            <w:noWrap/>
            <w:hideMark/>
          </w:tcPr>
          <w:p w14:paraId="6BAF3085" w14:textId="32876E08" w:rsidR="00821EFA" w:rsidRPr="00C54709" w:rsidRDefault="00821EFA"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54709">
              <w:rPr>
                <w:rFonts w:eastAsia="Times New Roman" w:cstheme="minorHAnsi"/>
                <w:color w:val="000000"/>
                <w:lang w:eastAsia="en-GB"/>
              </w:rPr>
              <w:t>25</w:t>
            </w:r>
          </w:p>
        </w:tc>
        <w:tc>
          <w:tcPr>
            <w:tcW w:w="717" w:type="dxa"/>
            <w:noWrap/>
            <w:hideMark/>
          </w:tcPr>
          <w:p w14:paraId="3AE55AFF" w14:textId="5CF85F3F"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75</w:t>
            </w:r>
          </w:p>
        </w:tc>
        <w:tc>
          <w:tcPr>
            <w:tcW w:w="1090" w:type="dxa"/>
            <w:noWrap/>
            <w:vAlign w:val="center"/>
          </w:tcPr>
          <w:p w14:paraId="0BE0CC12" w14:textId="3D881AB7"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18.75</w:t>
            </w:r>
          </w:p>
        </w:tc>
        <w:tc>
          <w:tcPr>
            <w:tcW w:w="717" w:type="dxa"/>
            <w:noWrap/>
            <w:vAlign w:val="center"/>
            <w:hideMark/>
          </w:tcPr>
          <w:p w14:paraId="4A018370" w14:textId="79FBA653"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10</w:t>
            </w:r>
          </w:p>
        </w:tc>
        <w:tc>
          <w:tcPr>
            <w:tcW w:w="1514" w:type="dxa"/>
            <w:noWrap/>
            <w:vAlign w:val="center"/>
            <w:hideMark/>
          </w:tcPr>
          <w:p w14:paraId="371C42AB" w14:textId="161D7C5A"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2.50</w:t>
            </w:r>
          </w:p>
        </w:tc>
        <w:tc>
          <w:tcPr>
            <w:tcW w:w="820" w:type="dxa"/>
            <w:noWrap/>
            <w:vAlign w:val="center"/>
            <w:hideMark/>
          </w:tcPr>
          <w:p w14:paraId="523671F0" w14:textId="23207D79"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10</w:t>
            </w:r>
          </w:p>
        </w:tc>
        <w:tc>
          <w:tcPr>
            <w:tcW w:w="1278" w:type="dxa"/>
            <w:noWrap/>
            <w:vAlign w:val="center"/>
            <w:hideMark/>
          </w:tcPr>
          <w:p w14:paraId="0DBDD989" w14:textId="2F94D914"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2.50</w:t>
            </w:r>
          </w:p>
        </w:tc>
      </w:tr>
      <w:tr w:rsidR="003E1DA9" w:rsidRPr="00C54709" w14:paraId="26C9673F" w14:textId="77777777" w:rsidTr="00D12DBE">
        <w:trPr>
          <w:trHeight w:val="300"/>
        </w:trPr>
        <w:tc>
          <w:tcPr>
            <w:cnfStyle w:val="001000000000" w:firstRow="0" w:lastRow="0" w:firstColumn="1" w:lastColumn="0" w:oddVBand="0" w:evenVBand="0" w:oddHBand="0" w:evenHBand="0" w:firstRowFirstColumn="0" w:firstRowLastColumn="0" w:lastRowFirstColumn="0" w:lastRowLastColumn="0"/>
            <w:tcW w:w="1058" w:type="dxa"/>
            <w:noWrap/>
            <w:hideMark/>
          </w:tcPr>
          <w:p w14:paraId="3E8B39EE" w14:textId="77777777" w:rsidR="00821EFA" w:rsidRPr="00C54709" w:rsidRDefault="00821EFA" w:rsidP="00E41705">
            <w:pPr>
              <w:jc w:val="center"/>
              <w:rPr>
                <w:rFonts w:eastAsia="Times New Roman" w:cstheme="minorHAnsi"/>
                <w:color w:val="000000"/>
                <w:lang w:eastAsia="en-GB"/>
              </w:rPr>
            </w:pPr>
            <w:r w:rsidRPr="00C54709">
              <w:rPr>
                <w:rFonts w:eastAsia="Times New Roman" w:cstheme="minorHAnsi"/>
                <w:color w:val="000000"/>
                <w:lang w:eastAsia="en-GB"/>
              </w:rPr>
              <w:t>5</w:t>
            </w:r>
          </w:p>
        </w:tc>
        <w:tc>
          <w:tcPr>
            <w:tcW w:w="0" w:type="auto"/>
            <w:noWrap/>
            <w:hideMark/>
          </w:tcPr>
          <w:p w14:paraId="7E3A3D91" w14:textId="177610FE" w:rsidR="00821EFA" w:rsidRPr="00C54709" w:rsidRDefault="00821EFA"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54709">
              <w:rPr>
                <w:rFonts w:eastAsia="Times New Roman" w:cstheme="minorHAnsi"/>
                <w:color w:val="000000"/>
                <w:lang w:eastAsia="en-GB"/>
              </w:rPr>
              <w:t>15</w:t>
            </w:r>
          </w:p>
        </w:tc>
        <w:tc>
          <w:tcPr>
            <w:tcW w:w="717" w:type="dxa"/>
            <w:noWrap/>
            <w:hideMark/>
          </w:tcPr>
          <w:p w14:paraId="1B58E947" w14:textId="24D52778"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10</w:t>
            </w:r>
          </w:p>
        </w:tc>
        <w:tc>
          <w:tcPr>
            <w:tcW w:w="1090" w:type="dxa"/>
            <w:noWrap/>
            <w:vAlign w:val="center"/>
          </w:tcPr>
          <w:p w14:paraId="3CF9F72D" w14:textId="5F9F0272"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1.50</w:t>
            </w:r>
          </w:p>
        </w:tc>
        <w:tc>
          <w:tcPr>
            <w:tcW w:w="717" w:type="dxa"/>
            <w:noWrap/>
            <w:vAlign w:val="center"/>
            <w:hideMark/>
          </w:tcPr>
          <w:p w14:paraId="5C8C3D88" w14:textId="3A4A6842"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0</w:t>
            </w:r>
          </w:p>
        </w:tc>
        <w:tc>
          <w:tcPr>
            <w:tcW w:w="1514" w:type="dxa"/>
            <w:noWrap/>
            <w:vAlign w:val="center"/>
            <w:hideMark/>
          </w:tcPr>
          <w:p w14:paraId="0B216F7D" w14:textId="4565C2B6"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0.00</w:t>
            </w:r>
          </w:p>
        </w:tc>
        <w:tc>
          <w:tcPr>
            <w:tcW w:w="820" w:type="dxa"/>
            <w:noWrap/>
            <w:vAlign w:val="center"/>
            <w:hideMark/>
          </w:tcPr>
          <w:p w14:paraId="1CBEC32A" w14:textId="285F333E"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10</w:t>
            </w:r>
          </w:p>
        </w:tc>
        <w:tc>
          <w:tcPr>
            <w:tcW w:w="1278" w:type="dxa"/>
            <w:noWrap/>
            <w:vAlign w:val="center"/>
            <w:hideMark/>
          </w:tcPr>
          <w:p w14:paraId="5D51D0F0" w14:textId="61F428F5"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1.50</w:t>
            </w:r>
          </w:p>
        </w:tc>
      </w:tr>
      <w:tr w:rsidR="003E1DA9" w:rsidRPr="00C54709" w14:paraId="4FE2086C" w14:textId="77777777" w:rsidTr="00D12DBE">
        <w:trPr>
          <w:trHeight w:val="31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178AB07C" w14:textId="77777777" w:rsidR="00821EFA" w:rsidRPr="00C54709" w:rsidRDefault="00821EFA" w:rsidP="00E41705">
            <w:pPr>
              <w:jc w:val="center"/>
              <w:rPr>
                <w:rFonts w:eastAsia="Times New Roman" w:cstheme="minorHAnsi"/>
                <w:color w:val="000000"/>
                <w:lang w:eastAsia="en-GB"/>
              </w:rPr>
            </w:pPr>
            <w:r w:rsidRPr="00C54709">
              <w:rPr>
                <w:rFonts w:eastAsia="Times New Roman" w:cstheme="minorHAnsi"/>
                <w:color w:val="000000"/>
                <w:lang w:eastAsia="en-GB"/>
              </w:rPr>
              <w:t>6</w:t>
            </w:r>
          </w:p>
        </w:tc>
        <w:tc>
          <w:tcPr>
            <w:tcW w:w="0" w:type="auto"/>
            <w:noWrap/>
            <w:hideMark/>
          </w:tcPr>
          <w:p w14:paraId="3EA13B4C" w14:textId="23A59876" w:rsidR="00821EFA" w:rsidRPr="00C54709" w:rsidRDefault="00821EFA"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54709">
              <w:rPr>
                <w:rFonts w:eastAsia="Times New Roman" w:cstheme="minorHAnsi"/>
                <w:color w:val="000000"/>
                <w:lang w:eastAsia="en-GB"/>
              </w:rPr>
              <w:t>10</w:t>
            </w:r>
          </w:p>
        </w:tc>
        <w:tc>
          <w:tcPr>
            <w:tcW w:w="717" w:type="dxa"/>
            <w:noWrap/>
            <w:hideMark/>
          </w:tcPr>
          <w:p w14:paraId="4A6C9991" w14:textId="0A5EAF4E"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50</w:t>
            </w:r>
          </w:p>
        </w:tc>
        <w:tc>
          <w:tcPr>
            <w:tcW w:w="1090" w:type="dxa"/>
            <w:noWrap/>
            <w:vAlign w:val="center"/>
          </w:tcPr>
          <w:p w14:paraId="434C2A0A" w14:textId="3E0350E1"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5.00</w:t>
            </w:r>
          </w:p>
        </w:tc>
        <w:tc>
          <w:tcPr>
            <w:tcW w:w="717" w:type="dxa"/>
            <w:noWrap/>
            <w:vAlign w:val="center"/>
            <w:hideMark/>
          </w:tcPr>
          <w:p w14:paraId="5BF59DB8" w14:textId="18813D76"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10</w:t>
            </w:r>
          </w:p>
        </w:tc>
        <w:tc>
          <w:tcPr>
            <w:tcW w:w="1514" w:type="dxa"/>
            <w:noWrap/>
            <w:vAlign w:val="center"/>
            <w:hideMark/>
          </w:tcPr>
          <w:p w14:paraId="78B07EBF" w14:textId="7C1174A2"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1.00</w:t>
            </w:r>
          </w:p>
        </w:tc>
        <w:tc>
          <w:tcPr>
            <w:tcW w:w="820" w:type="dxa"/>
            <w:noWrap/>
            <w:vAlign w:val="center"/>
            <w:hideMark/>
          </w:tcPr>
          <w:p w14:paraId="25FB5C99" w14:textId="163FDDD5"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25</w:t>
            </w:r>
          </w:p>
        </w:tc>
        <w:tc>
          <w:tcPr>
            <w:tcW w:w="1278" w:type="dxa"/>
            <w:noWrap/>
            <w:vAlign w:val="center"/>
            <w:hideMark/>
          </w:tcPr>
          <w:p w14:paraId="371C331F" w14:textId="29A464C1" w:rsidR="00821EFA" w:rsidRPr="00C54709"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ascii="Calibri" w:hAnsi="Calibri" w:cs="Calibri"/>
                <w:color w:val="000000"/>
              </w:rPr>
              <w:t>2.50</w:t>
            </w:r>
          </w:p>
        </w:tc>
      </w:tr>
      <w:tr w:rsidR="003E1DA9" w:rsidRPr="00C54709" w14:paraId="5B568242" w14:textId="77777777" w:rsidTr="00E83CA0">
        <w:trPr>
          <w:trHeight w:val="31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2D6A011C" w14:textId="1578A915" w:rsidR="00821EFA" w:rsidRPr="00DC450E" w:rsidRDefault="00593BD7" w:rsidP="00E41705">
            <w:pPr>
              <w:jc w:val="center"/>
              <w:rPr>
                <w:rFonts w:eastAsia="Times New Roman" w:cstheme="minorHAnsi"/>
                <w:color w:val="000000"/>
                <w:lang w:eastAsia="en-GB"/>
              </w:rPr>
            </w:pPr>
            <w:r w:rsidRPr="00593BD7">
              <w:rPr>
                <w:rFonts w:eastAsia="Times New Roman" w:cstheme="minorHAnsi"/>
                <w:color w:val="000000"/>
                <w:lang w:eastAsia="en-GB"/>
              </w:rPr>
              <w:t>Total</w:t>
            </w:r>
          </w:p>
        </w:tc>
        <w:tc>
          <w:tcPr>
            <w:tcW w:w="0" w:type="auto"/>
            <w:noWrap/>
            <w:hideMark/>
          </w:tcPr>
          <w:p w14:paraId="56B95BE6" w14:textId="1A7CE483" w:rsidR="00821EFA" w:rsidRPr="00C54709" w:rsidRDefault="00821EFA"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en-GB"/>
              </w:rPr>
            </w:pPr>
            <w:r w:rsidRPr="00C54709">
              <w:rPr>
                <w:rFonts w:eastAsia="Times New Roman" w:cstheme="minorHAnsi"/>
                <w:b/>
                <w:bCs/>
                <w:color w:val="000000"/>
                <w:lang w:eastAsia="en-GB"/>
              </w:rPr>
              <w:t>100</w:t>
            </w:r>
          </w:p>
        </w:tc>
        <w:tc>
          <w:tcPr>
            <w:tcW w:w="717" w:type="dxa"/>
            <w:noWrap/>
            <w:hideMark/>
          </w:tcPr>
          <w:p w14:paraId="20076065" w14:textId="1FABA0F0" w:rsidR="00821EFA" w:rsidRPr="00C54709" w:rsidRDefault="00821EFA"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090" w:type="dxa"/>
            <w:noWrap/>
            <w:hideMark/>
          </w:tcPr>
          <w:p w14:paraId="5609D45D" w14:textId="55C5F689" w:rsidR="00821EFA" w:rsidRPr="00E83CA0"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lang w:eastAsia="en-GB"/>
              </w:rPr>
            </w:pPr>
            <w:r w:rsidRPr="00E83CA0">
              <w:rPr>
                <w:rFonts w:eastAsia="Times New Roman"/>
                <w:b/>
                <w:bCs/>
                <w:color w:val="000000" w:themeColor="text1"/>
                <w:lang w:eastAsia="en-GB"/>
              </w:rPr>
              <w:t>41.75</w:t>
            </w:r>
          </w:p>
        </w:tc>
        <w:tc>
          <w:tcPr>
            <w:tcW w:w="717" w:type="dxa"/>
            <w:noWrap/>
            <w:hideMark/>
          </w:tcPr>
          <w:p w14:paraId="5224CD2C" w14:textId="1649C738" w:rsidR="00821EFA" w:rsidRPr="0037442E" w:rsidRDefault="00821EFA"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lang w:eastAsia="en-GB"/>
              </w:rPr>
            </w:pPr>
          </w:p>
        </w:tc>
        <w:tc>
          <w:tcPr>
            <w:tcW w:w="1514" w:type="dxa"/>
            <w:noWrap/>
            <w:hideMark/>
          </w:tcPr>
          <w:p w14:paraId="68E00592" w14:textId="104402C9" w:rsidR="00821EFA" w:rsidRPr="0037442E" w:rsidRDefault="00E83CA0"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lang w:eastAsia="en-GB"/>
              </w:rPr>
            </w:pPr>
            <w:r w:rsidRPr="003F5B5A">
              <w:rPr>
                <w:b/>
                <w:bCs/>
              </w:rPr>
              <w:t>26.00</w:t>
            </w:r>
          </w:p>
        </w:tc>
        <w:tc>
          <w:tcPr>
            <w:tcW w:w="820" w:type="dxa"/>
            <w:noWrap/>
            <w:hideMark/>
          </w:tcPr>
          <w:p w14:paraId="7542A427" w14:textId="276C7361" w:rsidR="00821EFA" w:rsidRPr="00F81534" w:rsidRDefault="00821EFA" w:rsidP="00E4170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lang w:eastAsia="en-GB"/>
              </w:rPr>
            </w:pPr>
          </w:p>
        </w:tc>
        <w:tc>
          <w:tcPr>
            <w:tcW w:w="1278" w:type="dxa"/>
            <w:hideMark/>
          </w:tcPr>
          <w:p w14:paraId="18A05E83" w14:textId="41208E23" w:rsidR="00821EFA" w:rsidRPr="003F5B5A" w:rsidRDefault="00E83CA0" w:rsidP="00E41705">
            <w:pPr>
              <w:jc w:val="center"/>
              <w:cnfStyle w:val="000000000000" w:firstRow="0" w:lastRow="0" w:firstColumn="0" w:lastColumn="0" w:oddVBand="0" w:evenVBand="0" w:oddHBand="0" w:evenHBand="0" w:firstRowFirstColumn="0" w:firstRowLastColumn="0" w:lastRowFirstColumn="0" w:lastRowLastColumn="0"/>
              <w:rPr>
                <w:b/>
                <w:vertAlign w:val="superscript"/>
              </w:rPr>
            </w:pPr>
            <w:r w:rsidRPr="00E83CA0">
              <w:rPr>
                <w:rFonts w:eastAsia="Times New Roman"/>
                <w:b/>
                <w:bCs/>
                <w:color w:val="000000" w:themeColor="text1"/>
                <w:lang w:eastAsia="en-GB"/>
              </w:rPr>
              <w:t>42.75</w:t>
            </w:r>
          </w:p>
        </w:tc>
      </w:tr>
    </w:tbl>
    <w:p w14:paraId="66C302BC" w14:textId="67FA0FD7" w:rsidR="00C54709" w:rsidRPr="004C1C46" w:rsidRDefault="00C54709" w:rsidP="009C4F8B">
      <w:pPr>
        <w:rPr>
          <w:rFonts w:eastAsia="Times New Roman"/>
        </w:rPr>
      </w:pPr>
    </w:p>
    <w:p w14:paraId="0A6E2A5B" w14:textId="033A190D" w:rsidR="00821EFA" w:rsidRPr="00C54709" w:rsidRDefault="10D0D27C" w:rsidP="00EE024B">
      <w:pPr>
        <w:pStyle w:val="Heading3"/>
        <w:numPr>
          <w:ilvl w:val="0"/>
          <w:numId w:val="14"/>
        </w:numPr>
        <w:ind w:left="1134" w:hanging="708"/>
        <w:rPr>
          <w:lang w:eastAsia="en-GB"/>
        </w:rPr>
      </w:pPr>
      <w:bookmarkStart w:id="58" w:name="_Evaluation_of_Price"/>
      <w:bookmarkStart w:id="59" w:name="_Toc127213841"/>
      <w:bookmarkEnd w:id="58"/>
      <w:r w:rsidRPr="3F0E91BE">
        <w:rPr>
          <w:lang w:eastAsia="en-GB"/>
        </w:rPr>
        <w:t>Evaluation of Price submission</w:t>
      </w:r>
      <w:bookmarkEnd w:id="59"/>
    </w:p>
    <w:p w14:paraId="648B4F2F" w14:textId="63EB8E6B" w:rsidR="00E479EC" w:rsidRPr="00C54709" w:rsidRDefault="5581C016" w:rsidP="00EE024B">
      <w:pPr>
        <w:pStyle w:val="ListParagraph"/>
        <w:numPr>
          <w:ilvl w:val="1"/>
          <w:numId w:val="14"/>
        </w:numPr>
      </w:pPr>
      <w:r>
        <w:t xml:space="preserve">This accounts for 30% of the overall evaluation marks available. </w:t>
      </w:r>
      <w:r w:rsidR="00821EFA">
        <w:br/>
      </w:r>
    </w:p>
    <w:p w14:paraId="4114D5C7" w14:textId="406678C5" w:rsidR="00821EFA" w:rsidRPr="00C54709" w:rsidRDefault="5581C016" w:rsidP="00EE024B">
      <w:pPr>
        <w:pStyle w:val="ListParagraph"/>
        <w:numPr>
          <w:ilvl w:val="1"/>
          <w:numId w:val="14"/>
        </w:numPr>
      </w:pPr>
      <w:r>
        <w:t xml:space="preserve">Please refer to </w:t>
      </w:r>
      <w:r w:rsidR="00383EF0">
        <w:t>ITT Appendix D – Pricing Schedule which</w:t>
      </w:r>
      <w:r>
        <w:t xml:space="preserve"> includ</w:t>
      </w:r>
      <w:r w:rsidR="00383EF0">
        <w:t>es</w:t>
      </w:r>
      <w:r>
        <w:t xml:space="preserve"> instructions for completion. </w:t>
      </w:r>
      <w:r w:rsidR="00584EB1">
        <w:t>Tenderer</w:t>
      </w:r>
      <w:r>
        <w:t xml:space="preserve">s should ensure the instructions in the Pricing </w:t>
      </w:r>
      <w:r w:rsidR="00383EF0">
        <w:t xml:space="preserve">Schedule </w:t>
      </w:r>
      <w:r>
        <w:t xml:space="preserve">are followed carefully. If </w:t>
      </w:r>
      <w:r w:rsidR="00584EB1">
        <w:t>Tenderer</w:t>
      </w:r>
      <w:r>
        <w:t xml:space="preserve">s have any questions or are unsure about completing the Pricing </w:t>
      </w:r>
      <w:r w:rsidR="00383EF0">
        <w:t>Schedule</w:t>
      </w:r>
      <w:r>
        <w:t xml:space="preserve"> </w:t>
      </w:r>
      <w:r w:rsidR="391FAB4A">
        <w:t>Template,</w:t>
      </w:r>
      <w:r>
        <w:t xml:space="preserve"> please raise these as a clarification through the messaging function available in the Portal.</w:t>
      </w:r>
      <w:r w:rsidR="00821EFA">
        <w:br/>
      </w:r>
    </w:p>
    <w:p w14:paraId="4545E468" w14:textId="38D0B427" w:rsidR="00821EFA" w:rsidRDefault="5581C016" w:rsidP="00EE024B">
      <w:pPr>
        <w:pStyle w:val="ListParagraph"/>
        <w:numPr>
          <w:ilvl w:val="1"/>
          <w:numId w:val="14"/>
        </w:numPr>
      </w:pPr>
      <w:r>
        <w:t xml:space="preserve">The Pricing </w:t>
      </w:r>
      <w:r w:rsidR="00383EF0">
        <w:t>Schedule</w:t>
      </w:r>
      <w:r>
        <w:t xml:space="preserve"> contains a list of cost elements for evaluation. Please refer to</w:t>
      </w:r>
      <w:r w:rsidR="00D570AA">
        <w:t xml:space="preserve"> </w:t>
      </w:r>
      <w:r w:rsidR="006B60A1">
        <w:t>ITT Appendix D – Pricing Schedule</w:t>
      </w:r>
      <w:r w:rsidR="0051221C">
        <w:t>.</w:t>
      </w:r>
      <w:r w:rsidR="001817C4">
        <w:t xml:space="preserve"> </w:t>
      </w:r>
      <w:r>
        <w:t xml:space="preserve">Once </w:t>
      </w:r>
      <w:r w:rsidR="00A3021A">
        <w:t xml:space="preserve">Tenderers have input all </w:t>
      </w:r>
      <w:r>
        <w:t xml:space="preserve">pricing information, the Pricing </w:t>
      </w:r>
      <w:r w:rsidR="003C38C0">
        <w:t>Schedule</w:t>
      </w:r>
      <w:r>
        <w:t xml:space="preserve"> will produce an overall price for each </w:t>
      </w:r>
      <w:r w:rsidR="00584EB1">
        <w:t>Tenderer</w:t>
      </w:r>
      <w:r w:rsidR="00747DD3">
        <w:t>, to which a 30% weighting will then be applied</w:t>
      </w:r>
      <w:r>
        <w:t>.</w:t>
      </w:r>
    </w:p>
    <w:p w14:paraId="749A7B35" w14:textId="77777777" w:rsidR="00C54709" w:rsidRPr="00C54709" w:rsidRDefault="00C54709" w:rsidP="00C54709">
      <w:pPr>
        <w:pStyle w:val="ListParagraph"/>
        <w:ind w:left="1080"/>
      </w:pPr>
    </w:p>
    <w:p w14:paraId="5F49F5CC" w14:textId="0118F1F6" w:rsidR="00821EFA" w:rsidRDefault="5581C016" w:rsidP="00EE024B">
      <w:pPr>
        <w:pStyle w:val="ListParagraph"/>
        <w:numPr>
          <w:ilvl w:val="1"/>
          <w:numId w:val="14"/>
        </w:numPr>
      </w:pPr>
      <w:r>
        <w:t xml:space="preserve">The </w:t>
      </w:r>
      <w:r w:rsidR="00584EB1">
        <w:t>Tenderer</w:t>
      </w:r>
      <w:r>
        <w:t xml:space="preserve"> with the lowest overall price, shall be awarded 30% (</w:t>
      </w:r>
      <w:r w:rsidR="297AE4DA">
        <w:t>i.e.,</w:t>
      </w:r>
      <w:r>
        <w:t xml:space="preserve"> full marks) for price. Scores for the remaining </w:t>
      </w:r>
      <w:r w:rsidR="00584EB1">
        <w:t>Tenderer</w:t>
      </w:r>
      <w:r>
        <w:t>s will be calculated using the following formula:</w:t>
      </w:r>
      <w:r w:rsidR="00B34A09">
        <w:t xml:space="preserve"> </w:t>
      </w:r>
    </w:p>
    <w:p w14:paraId="22467A8C" w14:textId="77777777" w:rsidR="00D13516" w:rsidRDefault="00D13516" w:rsidP="00D13516">
      <w:pPr>
        <w:pStyle w:val="ListParagraph"/>
        <w:ind w:left="1080"/>
      </w:pPr>
    </w:p>
    <w:p w14:paraId="2D37F644" w14:textId="10631CA7" w:rsidR="00C4062A" w:rsidRDefault="00BB48D7" w:rsidP="00E548EF">
      <w:pPr>
        <w:pStyle w:val="ListParagraph"/>
        <w:ind w:left="1080"/>
        <w:rPr>
          <w:rFonts w:eastAsia="Times New Roman"/>
          <w:b/>
          <w:lang w:eastAsia="en-GB"/>
        </w:rPr>
      </w:pPr>
      <w:r>
        <w:t>Step</w:t>
      </w:r>
      <w:r w:rsidR="00D13516">
        <w:t xml:space="preserve"> 1:</w:t>
      </w:r>
      <w:r w:rsidR="00E548EF">
        <w:t xml:space="preserve"> </w:t>
      </w:r>
      <w:r w:rsidR="00C4062A" w:rsidRPr="083D5341">
        <w:rPr>
          <w:rFonts w:eastAsia="Times New Roman"/>
          <w:b/>
          <w:lang w:eastAsia="en-GB"/>
        </w:rPr>
        <w:t>(Lowest bid)</w:t>
      </w:r>
      <w:r w:rsidRPr="083D5341">
        <w:rPr>
          <w:rFonts w:eastAsia="Times New Roman"/>
          <w:b/>
          <w:lang w:eastAsia="en-GB"/>
        </w:rPr>
        <w:t>/</w:t>
      </w:r>
      <w:r w:rsidR="00C4062A" w:rsidRPr="083D5341">
        <w:rPr>
          <w:rFonts w:eastAsia="Times New Roman"/>
          <w:b/>
          <w:lang w:eastAsia="en-GB"/>
        </w:rPr>
        <w:t>(</w:t>
      </w:r>
      <w:r w:rsidR="00584EB1" w:rsidRPr="083D5341">
        <w:rPr>
          <w:rFonts w:eastAsia="Times New Roman"/>
          <w:b/>
          <w:lang w:eastAsia="en-GB"/>
        </w:rPr>
        <w:t>Tenderer</w:t>
      </w:r>
      <w:r w:rsidR="00C4062A" w:rsidRPr="083D5341">
        <w:rPr>
          <w:rFonts w:eastAsia="Times New Roman"/>
          <w:b/>
          <w:lang w:eastAsia="en-GB"/>
        </w:rPr>
        <w:t>s Weighted Price) = Unweighted price score</w:t>
      </w:r>
    </w:p>
    <w:p w14:paraId="69F14138" w14:textId="77777777" w:rsidR="00E548EF" w:rsidRPr="00E548EF" w:rsidRDefault="00E548EF" w:rsidP="00E548EF">
      <w:pPr>
        <w:pStyle w:val="ListParagraph"/>
        <w:ind w:left="1080"/>
      </w:pPr>
    </w:p>
    <w:p w14:paraId="06EE71F8" w14:textId="128AF872" w:rsidR="00935AA6" w:rsidRDefault="00BB48D7" w:rsidP="00734240">
      <w:pPr>
        <w:pStyle w:val="ListParagraph"/>
        <w:ind w:left="1080"/>
        <w:rPr>
          <w:rFonts w:eastAsia="Times New Roman"/>
          <w:b/>
          <w:bCs/>
          <w:lang w:eastAsia="en-GB"/>
        </w:rPr>
      </w:pPr>
      <w:r>
        <w:t>Step</w:t>
      </w:r>
      <w:r w:rsidR="00821EFA" w:rsidRPr="001C5B8C">
        <w:t xml:space="preserve"> 2</w:t>
      </w:r>
      <w:r>
        <w:t>:</w:t>
      </w:r>
      <w:r w:rsidR="00821EFA" w:rsidRPr="001C5B8C">
        <w:t xml:space="preserve"> </w:t>
      </w:r>
      <w:r w:rsidR="00821EFA" w:rsidRPr="083D5341">
        <w:rPr>
          <w:rFonts w:eastAsia="Times New Roman"/>
          <w:b/>
          <w:lang w:eastAsia="en-GB"/>
        </w:rPr>
        <w:t>Unweighted Price Score</w:t>
      </w:r>
      <w:r w:rsidRPr="083D5341">
        <w:rPr>
          <w:rFonts w:eastAsia="Times New Roman"/>
          <w:b/>
          <w:lang w:eastAsia="en-GB"/>
        </w:rPr>
        <w:t>*</w:t>
      </w:r>
      <w:r w:rsidR="00821EFA" w:rsidRPr="083D5341">
        <w:rPr>
          <w:rFonts w:eastAsia="Times New Roman"/>
          <w:b/>
          <w:lang w:eastAsia="en-GB"/>
        </w:rPr>
        <w:t>30</w:t>
      </w:r>
      <w:r w:rsidR="002942AE" w:rsidRPr="083D5341">
        <w:rPr>
          <w:rFonts w:eastAsia="Times New Roman"/>
          <w:b/>
          <w:lang w:eastAsia="en-GB"/>
        </w:rPr>
        <w:t>%</w:t>
      </w:r>
      <w:r w:rsidR="00821EFA" w:rsidRPr="083D5341">
        <w:rPr>
          <w:rFonts w:eastAsia="Times New Roman"/>
          <w:b/>
          <w:lang w:eastAsia="en-GB"/>
        </w:rPr>
        <w:t xml:space="preserve"> = Weighted Price Score</w:t>
      </w:r>
    </w:p>
    <w:p w14:paraId="15076812" w14:textId="377A954E" w:rsidR="004C6327" w:rsidRPr="000F6A98" w:rsidRDefault="000845D0" w:rsidP="008B03E0">
      <w:pPr>
        <w:pStyle w:val="Caption"/>
        <w:ind w:left="360" w:firstLine="720"/>
        <w:rPr>
          <w:b/>
          <w:bCs/>
          <w:i w:val="0"/>
          <w:iCs w:val="0"/>
          <w:sz w:val="20"/>
          <w:szCs w:val="20"/>
        </w:rPr>
      </w:pPr>
      <w:r w:rsidRPr="000F6A98">
        <w:rPr>
          <w:sz w:val="20"/>
          <w:szCs w:val="20"/>
        </w:rPr>
        <w:t xml:space="preserve">Table </w:t>
      </w:r>
      <w:r w:rsidRPr="000F6A98">
        <w:rPr>
          <w:sz w:val="20"/>
          <w:szCs w:val="20"/>
        </w:rPr>
        <w:fldChar w:fldCharType="begin"/>
      </w:r>
      <w:r w:rsidRPr="000F6A98">
        <w:rPr>
          <w:sz w:val="20"/>
          <w:szCs w:val="20"/>
        </w:rPr>
        <w:instrText xml:space="preserve"> SEQ Table \* ARABIC </w:instrText>
      </w:r>
      <w:r w:rsidRPr="000F6A98">
        <w:rPr>
          <w:sz w:val="20"/>
          <w:szCs w:val="20"/>
        </w:rPr>
        <w:fldChar w:fldCharType="separate"/>
      </w:r>
      <w:r w:rsidR="0061249C">
        <w:rPr>
          <w:noProof/>
          <w:sz w:val="20"/>
          <w:szCs w:val="20"/>
        </w:rPr>
        <w:t>5</w:t>
      </w:r>
      <w:r w:rsidRPr="000F6A98">
        <w:rPr>
          <w:sz w:val="20"/>
          <w:szCs w:val="20"/>
        </w:rPr>
        <w:fldChar w:fldCharType="end"/>
      </w:r>
      <w:r w:rsidRPr="000F6A98">
        <w:rPr>
          <w:sz w:val="20"/>
          <w:szCs w:val="20"/>
        </w:rPr>
        <w:t xml:space="preserve"> - Example Price Submission Evaluation</w:t>
      </w:r>
    </w:p>
    <w:tbl>
      <w:tblPr>
        <w:tblStyle w:val="GridTable1Light-Accent1"/>
        <w:tblW w:w="0" w:type="auto"/>
        <w:tblInd w:w="988" w:type="dxa"/>
        <w:tblLook w:val="04A0" w:firstRow="1" w:lastRow="0" w:firstColumn="1" w:lastColumn="0" w:noHBand="0" w:noVBand="1"/>
      </w:tblPr>
      <w:tblGrid>
        <w:gridCol w:w="1276"/>
        <w:gridCol w:w="1497"/>
        <w:gridCol w:w="1536"/>
        <w:gridCol w:w="1372"/>
        <w:gridCol w:w="1187"/>
        <w:gridCol w:w="1160"/>
      </w:tblGrid>
      <w:tr w:rsidR="000C34DF" w:rsidRPr="00821EFA" w14:paraId="5006F81D" w14:textId="77777777" w:rsidTr="005E7580">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275" w:type="dxa"/>
            <w:hideMark/>
          </w:tcPr>
          <w:p w14:paraId="13A0AA22" w14:textId="1774899C" w:rsidR="00561B02" w:rsidRPr="00821EFA" w:rsidRDefault="00584EB1">
            <w:pPr>
              <w:jc w:val="center"/>
              <w:rPr>
                <w:rFonts w:eastAsia="Times New Roman" w:cstheme="minorHAnsi"/>
                <w:b w:val="0"/>
                <w:bCs w:val="0"/>
                <w:color w:val="000000"/>
                <w:lang w:eastAsia="en-GB"/>
              </w:rPr>
            </w:pPr>
            <w:r>
              <w:rPr>
                <w:rFonts w:eastAsia="Times New Roman" w:cstheme="minorHAnsi"/>
                <w:color w:val="000000"/>
                <w:lang w:eastAsia="en-GB"/>
              </w:rPr>
              <w:t>Tenderer</w:t>
            </w:r>
          </w:p>
        </w:tc>
        <w:tc>
          <w:tcPr>
            <w:tcW w:w="1275" w:type="dxa"/>
          </w:tcPr>
          <w:p w14:paraId="0FA97E3C" w14:textId="10B78D44" w:rsidR="00561B02" w:rsidRPr="00561B02" w:rsidRDefault="00561B02" w:rsidP="005E758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561B02">
              <w:rPr>
                <w:rFonts w:eastAsia="Times New Roman" w:cstheme="minorHAnsi"/>
                <w:color w:val="000000"/>
                <w:lang w:eastAsia="en-GB"/>
              </w:rPr>
              <w:t>Lowest bid</w:t>
            </w:r>
          </w:p>
        </w:tc>
        <w:tc>
          <w:tcPr>
            <w:tcW w:w="0" w:type="auto"/>
            <w:hideMark/>
          </w:tcPr>
          <w:p w14:paraId="15AB9AB8" w14:textId="6CB3153C" w:rsidR="00561B02" w:rsidRPr="00821EFA" w:rsidRDefault="00584EB1" w:rsidP="005E75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Pr>
                <w:rFonts w:eastAsia="Times New Roman" w:cstheme="minorHAnsi"/>
                <w:color w:val="000000"/>
                <w:lang w:eastAsia="en-GB"/>
              </w:rPr>
              <w:t>Tenderer</w:t>
            </w:r>
            <w:r w:rsidR="00561B02" w:rsidRPr="00821EFA">
              <w:rPr>
                <w:rFonts w:eastAsia="Times New Roman" w:cstheme="minorHAnsi"/>
                <w:color w:val="000000"/>
                <w:lang w:eastAsia="en-GB"/>
              </w:rPr>
              <w:t xml:space="preserve">s Weighted Price </w:t>
            </w:r>
          </w:p>
        </w:tc>
        <w:tc>
          <w:tcPr>
            <w:tcW w:w="0" w:type="auto"/>
            <w:hideMark/>
          </w:tcPr>
          <w:p w14:paraId="735B3971" w14:textId="32310ACF" w:rsidR="00561B02" w:rsidRPr="00821EFA" w:rsidRDefault="00561B0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821EFA">
              <w:rPr>
                <w:rFonts w:eastAsia="Times New Roman" w:cstheme="minorHAnsi"/>
                <w:color w:val="000000"/>
                <w:lang w:eastAsia="en-GB"/>
              </w:rPr>
              <w:t xml:space="preserve">Unweighted Price Score </w:t>
            </w:r>
          </w:p>
        </w:tc>
        <w:tc>
          <w:tcPr>
            <w:tcW w:w="0" w:type="auto"/>
            <w:hideMark/>
          </w:tcPr>
          <w:p w14:paraId="0DB79186" w14:textId="5C729166" w:rsidR="00561B02" w:rsidRPr="00821EFA" w:rsidRDefault="00561B02" w:rsidP="005E75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821EFA">
              <w:rPr>
                <w:rFonts w:eastAsia="Times New Roman" w:cstheme="minorHAnsi"/>
                <w:color w:val="000000"/>
                <w:lang w:eastAsia="en-GB"/>
              </w:rPr>
              <w:t>Price Weighting</w:t>
            </w:r>
            <w:r w:rsidR="003369AC">
              <w:rPr>
                <w:rFonts w:eastAsia="Times New Roman" w:cstheme="minorHAnsi"/>
                <w:color w:val="000000"/>
                <w:lang w:eastAsia="en-GB"/>
              </w:rPr>
              <w:t xml:space="preserve"> </w:t>
            </w:r>
            <w:r w:rsidR="00F72B2F">
              <w:rPr>
                <w:rFonts w:eastAsia="Times New Roman" w:cstheme="minorHAnsi"/>
                <w:color w:val="000000"/>
                <w:lang w:eastAsia="en-GB"/>
              </w:rPr>
              <w:t>(</w:t>
            </w:r>
            <w:r w:rsidR="003369AC">
              <w:rPr>
                <w:rFonts w:eastAsia="Times New Roman" w:cstheme="minorHAnsi"/>
                <w:color w:val="000000"/>
                <w:lang w:eastAsia="en-GB"/>
              </w:rPr>
              <w:t>%</w:t>
            </w:r>
            <w:r w:rsidR="00F72B2F">
              <w:rPr>
                <w:rFonts w:eastAsia="Times New Roman" w:cstheme="minorHAnsi"/>
                <w:color w:val="000000"/>
                <w:lang w:eastAsia="en-GB"/>
              </w:rPr>
              <w:t>)</w:t>
            </w:r>
            <w:r w:rsidRPr="00821EFA">
              <w:rPr>
                <w:rFonts w:eastAsia="Times New Roman" w:cstheme="minorHAnsi"/>
                <w:color w:val="000000"/>
                <w:lang w:eastAsia="en-GB"/>
              </w:rPr>
              <w:t xml:space="preserve"> </w:t>
            </w:r>
          </w:p>
        </w:tc>
        <w:tc>
          <w:tcPr>
            <w:tcW w:w="0" w:type="auto"/>
            <w:hideMark/>
          </w:tcPr>
          <w:p w14:paraId="565683B1" w14:textId="2A03DFE2" w:rsidR="00561B02" w:rsidRPr="00821EFA" w:rsidRDefault="00561B0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821EFA">
              <w:rPr>
                <w:rFonts w:eastAsia="Times New Roman" w:cstheme="minorHAnsi"/>
                <w:color w:val="000000"/>
                <w:lang w:eastAsia="en-GB"/>
              </w:rPr>
              <w:t>Weighted price score</w:t>
            </w:r>
            <w:r w:rsidR="008D300E">
              <w:rPr>
                <w:rFonts w:eastAsia="Times New Roman" w:cstheme="minorHAnsi"/>
                <w:color w:val="000000"/>
                <w:lang w:eastAsia="en-GB"/>
              </w:rPr>
              <w:t xml:space="preserve"> (</w:t>
            </w:r>
            <w:r w:rsidRPr="00821EFA">
              <w:rPr>
                <w:rFonts w:eastAsia="Times New Roman" w:cstheme="minorHAnsi"/>
                <w:color w:val="000000"/>
                <w:lang w:eastAsia="en-GB"/>
              </w:rPr>
              <w:t xml:space="preserve"> %</w:t>
            </w:r>
            <w:r w:rsidR="008D300E">
              <w:rPr>
                <w:rFonts w:eastAsia="Times New Roman" w:cstheme="minorHAnsi"/>
                <w:color w:val="000000"/>
                <w:lang w:eastAsia="en-GB"/>
              </w:rPr>
              <w:t>)</w:t>
            </w:r>
          </w:p>
        </w:tc>
      </w:tr>
      <w:tr w:rsidR="000C34DF" w:rsidRPr="00821EFA" w14:paraId="7CC7F8FB" w14:textId="77777777" w:rsidTr="005E7580">
        <w:trPr>
          <w:trHeight w:val="315"/>
        </w:trPr>
        <w:tc>
          <w:tcPr>
            <w:cnfStyle w:val="001000000000" w:firstRow="0" w:lastRow="0" w:firstColumn="1" w:lastColumn="0" w:oddVBand="0" w:evenVBand="0" w:oddHBand="0" w:evenHBand="0" w:firstRowFirstColumn="0" w:firstRowLastColumn="0" w:lastRowFirstColumn="0" w:lastRowLastColumn="0"/>
            <w:tcW w:w="1275" w:type="dxa"/>
            <w:noWrap/>
            <w:hideMark/>
          </w:tcPr>
          <w:p w14:paraId="36695012" w14:textId="7B0ED03A" w:rsidR="00561B02" w:rsidRPr="00821EFA" w:rsidRDefault="00584EB1">
            <w:pPr>
              <w:jc w:val="center"/>
              <w:rPr>
                <w:rFonts w:eastAsia="Times New Roman" w:cstheme="minorHAnsi"/>
                <w:color w:val="000000"/>
                <w:lang w:eastAsia="en-GB"/>
              </w:rPr>
            </w:pPr>
            <w:r>
              <w:rPr>
                <w:rFonts w:eastAsia="Times New Roman" w:cstheme="minorHAnsi"/>
                <w:color w:val="000000"/>
                <w:lang w:eastAsia="en-GB"/>
              </w:rPr>
              <w:t>Tenderer</w:t>
            </w:r>
            <w:r w:rsidR="00561B02" w:rsidRPr="00821EFA">
              <w:rPr>
                <w:rFonts w:eastAsia="Times New Roman" w:cstheme="minorHAnsi"/>
                <w:color w:val="000000"/>
                <w:lang w:eastAsia="en-GB"/>
              </w:rPr>
              <w:t xml:space="preserve"> A</w:t>
            </w:r>
          </w:p>
        </w:tc>
        <w:tc>
          <w:tcPr>
            <w:tcW w:w="1275" w:type="dxa"/>
          </w:tcPr>
          <w:p w14:paraId="25A8BB9C" w14:textId="5C3C8132" w:rsidR="00561B02" w:rsidRPr="00821EFA" w:rsidRDefault="00561B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1EFA">
              <w:rPr>
                <w:rFonts w:eastAsia="Times New Roman" w:cstheme="minorHAnsi"/>
                <w:color w:val="000000"/>
                <w:lang w:eastAsia="en-GB"/>
              </w:rPr>
              <w:t>£2,800,000.00</w:t>
            </w:r>
          </w:p>
        </w:tc>
        <w:tc>
          <w:tcPr>
            <w:tcW w:w="0" w:type="auto"/>
            <w:hideMark/>
          </w:tcPr>
          <w:p w14:paraId="01318CB9" w14:textId="23CA5EEF" w:rsidR="00561B02" w:rsidRPr="00821EFA" w:rsidRDefault="00561B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1EFA">
              <w:rPr>
                <w:rFonts w:eastAsia="Times New Roman" w:cstheme="minorHAnsi"/>
                <w:color w:val="000000"/>
                <w:lang w:eastAsia="en-GB"/>
              </w:rPr>
              <w:t>£2,800,000.00</w:t>
            </w:r>
          </w:p>
        </w:tc>
        <w:tc>
          <w:tcPr>
            <w:tcW w:w="0" w:type="auto"/>
            <w:hideMark/>
          </w:tcPr>
          <w:p w14:paraId="64F041F0" w14:textId="3FFDD30C" w:rsidR="00561B02" w:rsidRPr="00821EFA" w:rsidRDefault="00561B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1EFA">
              <w:rPr>
                <w:rFonts w:eastAsia="Times New Roman" w:cstheme="minorHAnsi"/>
                <w:color w:val="000000"/>
                <w:lang w:eastAsia="en-GB"/>
              </w:rPr>
              <w:t>1</w:t>
            </w:r>
            <w:r w:rsidR="002942AE">
              <w:rPr>
                <w:rFonts w:eastAsia="Times New Roman" w:cstheme="minorHAnsi"/>
                <w:color w:val="000000"/>
                <w:lang w:eastAsia="en-GB"/>
              </w:rPr>
              <w:t>.0</w:t>
            </w:r>
          </w:p>
        </w:tc>
        <w:tc>
          <w:tcPr>
            <w:tcW w:w="0" w:type="auto"/>
            <w:hideMark/>
          </w:tcPr>
          <w:p w14:paraId="701E7EE2" w14:textId="77777777" w:rsidR="00561B02" w:rsidRPr="00821EFA" w:rsidRDefault="00561B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1EFA">
              <w:rPr>
                <w:rFonts w:eastAsia="Times New Roman" w:cstheme="minorHAnsi"/>
                <w:color w:val="000000"/>
                <w:lang w:eastAsia="en-GB"/>
              </w:rPr>
              <w:t>30</w:t>
            </w:r>
          </w:p>
        </w:tc>
        <w:tc>
          <w:tcPr>
            <w:tcW w:w="0" w:type="auto"/>
            <w:hideMark/>
          </w:tcPr>
          <w:p w14:paraId="5CF6A294" w14:textId="71D33DB2" w:rsidR="00561B02" w:rsidRPr="00821EFA" w:rsidRDefault="00561B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1EFA">
              <w:rPr>
                <w:rFonts w:eastAsia="Times New Roman" w:cstheme="minorHAnsi"/>
                <w:color w:val="000000"/>
                <w:lang w:eastAsia="en-GB"/>
              </w:rPr>
              <w:t>30.00</w:t>
            </w:r>
          </w:p>
        </w:tc>
      </w:tr>
      <w:tr w:rsidR="000C34DF" w:rsidRPr="00821EFA" w14:paraId="0AB8DF51" w14:textId="77777777" w:rsidTr="005E7580">
        <w:trPr>
          <w:trHeight w:val="315"/>
        </w:trPr>
        <w:tc>
          <w:tcPr>
            <w:cnfStyle w:val="001000000000" w:firstRow="0" w:lastRow="0" w:firstColumn="1" w:lastColumn="0" w:oddVBand="0" w:evenVBand="0" w:oddHBand="0" w:evenHBand="0" w:firstRowFirstColumn="0" w:firstRowLastColumn="0" w:lastRowFirstColumn="0" w:lastRowLastColumn="0"/>
            <w:tcW w:w="1275" w:type="dxa"/>
            <w:noWrap/>
            <w:hideMark/>
          </w:tcPr>
          <w:p w14:paraId="1EA7A0A2" w14:textId="653131A0" w:rsidR="00561B02" w:rsidRPr="00821EFA" w:rsidRDefault="00584EB1" w:rsidP="000C34DF">
            <w:pPr>
              <w:rPr>
                <w:rFonts w:eastAsia="Times New Roman" w:cstheme="minorHAnsi"/>
                <w:color w:val="000000"/>
                <w:lang w:eastAsia="en-GB"/>
              </w:rPr>
            </w:pPr>
            <w:r>
              <w:rPr>
                <w:rFonts w:eastAsia="Times New Roman" w:cstheme="minorHAnsi"/>
                <w:color w:val="000000"/>
                <w:lang w:eastAsia="en-GB"/>
              </w:rPr>
              <w:t>Tenderer</w:t>
            </w:r>
            <w:r w:rsidR="00561B02" w:rsidRPr="00821EFA">
              <w:rPr>
                <w:rFonts w:eastAsia="Times New Roman" w:cstheme="minorHAnsi"/>
                <w:color w:val="000000"/>
                <w:lang w:eastAsia="en-GB"/>
              </w:rPr>
              <w:t xml:space="preserve"> B</w:t>
            </w:r>
          </w:p>
        </w:tc>
        <w:tc>
          <w:tcPr>
            <w:tcW w:w="1275" w:type="dxa"/>
          </w:tcPr>
          <w:p w14:paraId="5ECEA8DF" w14:textId="1835457D" w:rsidR="00561B02" w:rsidRPr="00821EFA" w:rsidRDefault="00561B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1EFA">
              <w:rPr>
                <w:rFonts w:eastAsia="Times New Roman" w:cstheme="minorHAnsi"/>
                <w:color w:val="000000"/>
                <w:lang w:eastAsia="en-GB"/>
              </w:rPr>
              <w:t>£2,800,000.00</w:t>
            </w:r>
          </w:p>
        </w:tc>
        <w:tc>
          <w:tcPr>
            <w:tcW w:w="0" w:type="auto"/>
            <w:hideMark/>
          </w:tcPr>
          <w:p w14:paraId="1FCA2C9D" w14:textId="4AD815F1" w:rsidR="00561B02" w:rsidRPr="00821EFA" w:rsidRDefault="00561B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1EFA">
              <w:rPr>
                <w:rFonts w:eastAsia="Times New Roman" w:cstheme="minorHAnsi"/>
                <w:color w:val="000000"/>
                <w:lang w:eastAsia="en-GB"/>
              </w:rPr>
              <w:t>£3,500,000.00</w:t>
            </w:r>
          </w:p>
        </w:tc>
        <w:tc>
          <w:tcPr>
            <w:tcW w:w="0" w:type="auto"/>
            <w:hideMark/>
          </w:tcPr>
          <w:p w14:paraId="2A1E3AA2" w14:textId="3EE1A407" w:rsidR="00561B02" w:rsidRPr="00821EFA" w:rsidRDefault="002942A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0.8</w:t>
            </w:r>
          </w:p>
        </w:tc>
        <w:tc>
          <w:tcPr>
            <w:tcW w:w="0" w:type="auto"/>
            <w:hideMark/>
          </w:tcPr>
          <w:p w14:paraId="64BC2A26" w14:textId="77777777" w:rsidR="00561B02" w:rsidRPr="00821EFA" w:rsidRDefault="00561B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1EFA">
              <w:rPr>
                <w:rFonts w:eastAsia="Times New Roman" w:cstheme="minorHAnsi"/>
                <w:color w:val="000000"/>
                <w:lang w:eastAsia="en-GB"/>
              </w:rPr>
              <w:t>30</w:t>
            </w:r>
          </w:p>
        </w:tc>
        <w:tc>
          <w:tcPr>
            <w:tcW w:w="0" w:type="auto"/>
            <w:hideMark/>
          </w:tcPr>
          <w:p w14:paraId="21A9D0B8" w14:textId="4FF2C9F4" w:rsidR="00561B02" w:rsidRPr="00821EFA" w:rsidRDefault="00561B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1EFA">
              <w:rPr>
                <w:rFonts w:eastAsia="Times New Roman" w:cstheme="minorHAnsi"/>
                <w:color w:val="000000"/>
                <w:lang w:eastAsia="en-GB"/>
              </w:rPr>
              <w:t>24.00</w:t>
            </w:r>
          </w:p>
        </w:tc>
      </w:tr>
      <w:tr w:rsidR="000C34DF" w:rsidRPr="00821EFA" w14:paraId="4BA2F911" w14:textId="77777777" w:rsidTr="005E7580">
        <w:trPr>
          <w:trHeight w:val="315"/>
        </w:trPr>
        <w:tc>
          <w:tcPr>
            <w:cnfStyle w:val="001000000000" w:firstRow="0" w:lastRow="0" w:firstColumn="1" w:lastColumn="0" w:oddVBand="0" w:evenVBand="0" w:oddHBand="0" w:evenHBand="0" w:firstRowFirstColumn="0" w:firstRowLastColumn="0" w:lastRowFirstColumn="0" w:lastRowLastColumn="0"/>
            <w:tcW w:w="1275" w:type="dxa"/>
            <w:noWrap/>
            <w:hideMark/>
          </w:tcPr>
          <w:p w14:paraId="715BC9F0" w14:textId="44F89227" w:rsidR="00561B02" w:rsidRPr="00821EFA" w:rsidRDefault="00584EB1">
            <w:pPr>
              <w:jc w:val="center"/>
              <w:rPr>
                <w:rFonts w:eastAsia="Times New Roman" w:cstheme="minorHAnsi"/>
                <w:color w:val="000000"/>
                <w:lang w:eastAsia="en-GB"/>
              </w:rPr>
            </w:pPr>
            <w:r>
              <w:rPr>
                <w:rFonts w:eastAsia="Times New Roman" w:cstheme="minorHAnsi"/>
                <w:color w:val="000000"/>
                <w:lang w:eastAsia="en-GB"/>
              </w:rPr>
              <w:t>Tenderer</w:t>
            </w:r>
            <w:r w:rsidR="000C34DF" w:rsidRPr="00821EFA">
              <w:rPr>
                <w:rFonts w:eastAsia="Times New Roman" w:cstheme="minorHAnsi"/>
                <w:color w:val="000000"/>
                <w:lang w:eastAsia="en-GB"/>
              </w:rPr>
              <w:t xml:space="preserve"> </w:t>
            </w:r>
            <w:r w:rsidR="00561B02" w:rsidRPr="00821EFA">
              <w:rPr>
                <w:rFonts w:eastAsia="Times New Roman" w:cstheme="minorHAnsi"/>
                <w:color w:val="000000"/>
                <w:lang w:eastAsia="en-GB"/>
              </w:rPr>
              <w:t>C</w:t>
            </w:r>
          </w:p>
        </w:tc>
        <w:tc>
          <w:tcPr>
            <w:tcW w:w="1275" w:type="dxa"/>
          </w:tcPr>
          <w:p w14:paraId="758F67A0" w14:textId="4EB79C95" w:rsidR="00561B02" w:rsidRPr="00821EFA" w:rsidRDefault="00561B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1EFA">
              <w:rPr>
                <w:rFonts w:eastAsia="Times New Roman" w:cstheme="minorHAnsi"/>
                <w:color w:val="000000"/>
                <w:lang w:eastAsia="en-GB"/>
              </w:rPr>
              <w:t>£2,800,000.00</w:t>
            </w:r>
          </w:p>
        </w:tc>
        <w:tc>
          <w:tcPr>
            <w:tcW w:w="0" w:type="auto"/>
            <w:hideMark/>
          </w:tcPr>
          <w:p w14:paraId="695F0022" w14:textId="3933068F" w:rsidR="00561B02" w:rsidRPr="00821EFA" w:rsidRDefault="00561B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1EFA">
              <w:rPr>
                <w:rFonts w:eastAsia="Times New Roman" w:cstheme="minorHAnsi"/>
                <w:color w:val="000000"/>
                <w:lang w:eastAsia="en-GB"/>
              </w:rPr>
              <w:t>£3,750,000.00</w:t>
            </w:r>
          </w:p>
        </w:tc>
        <w:tc>
          <w:tcPr>
            <w:tcW w:w="0" w:type="auto"/>
            <w:hideMark/>
          </w:tcPr>
          <w:p w14:paraId="7C95139B" w14:textId="63C741DD" w:rsidR="00561B02" w:rsidRPr="00821EFA" w:rsidRDefault="002942A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0.</w:t>
            </w:r>
            <w:r w:rsidR="00561B02" w:rsidRPr="00821EFA">
              <w:rPr>
                <w:rFonts w:eastAsia="Times New Roman" w:cstheme="minorHAnsi"/>
                <w:color w:val="000000"/>
                <w:lang w:eastAsia="en-GB"/>
              </w:rPr>
              <w:t>75</w:t>
            </w:r>
          </w:p>
        </w:tc>
        <w:tc>
          <w:tcPr>
            <w:tcW w:w="0" w:type="auto"/>
            <w:hideMark/>
          </w:tcPr>
          <w:p w14:paraId="7E1E19CA" w14:textId="77777777" w:rsidR="00561B02" w:rsidRPr="00821EFA" w:rsidRDefault="00561B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1EFA">
              <w:rPr>
                <w:rFonts w:eastAsia="Times New Roman" w:cstheme="minorHAnsi"/>
                <w:color w:val="000000"/>
                <w:lang w:eastAsia="en-GB"/>
              </w:rPr>
              <w:t>30</w:t>
            </w:r>
          </w:p>
        </w:tc>
        <w:tc>
          <w:tcPr>
            <w:tcW w:w="0" w:type="auto"/>
            <w:hideMark/>
          </w:tcPr>
          <w:p w14:paraId="63D05D95" w14:textId="303A6BE2" w:rsidR="00561B02" w:rsidRPr="00821EFA" w:rsidRDefault="00561B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1EFA">
              <w:rPr>
                <w:rFonts w:eastAsia="Times New Roman" w:cstheme="minorHAnsi"/>
                <w:color w:val="000000"/>
                <w:lang w:eastAsia="en-GB"/>
              </w:rPr>
              <w:t>22.50</w:t>
            </w:r>
          </w:p>
        </w:tc>
      </w:tr>
    </w:tbl>
    <w:p w14:paraId="0E4A78BC" w14:textId="77777777" w:rsidR="00821EFA" w:rsidRPr="003D219A" w:rsidRDefault="00821EFA" w:rsidP="002237F2">
      <w:pPr>
        <w:pStyle w:val="ListParagraph"/>
        <w:ind w:left="1080"/>
      </w:pPr>
    </w:p>
    <w:p w14:paraId="587D07B6" w14:textId="7D96B1F5" w:rsidR="00E7745F" w:rsidRPr="002237F2" w:rsidRDefault="7DCCF982" w:rsidP="00EE024B">
      <w:pPr>
        <w:pStyle w:val="ListParagraph"/>
        <w:numPr>
          <w:ilvl w:val="1"/>
          <w:numId w:val="14"/>
        </w:numPr>
      </w:pPr>
      <w:r w:rsidRPr="003D219A">
        <w:t xml:space="preserve">The </w:t>
      </w:r>
      <w:r w:rsidR="00584EB1">
        <w:t>Tenderer</w:t>
      </w:r>
      <w:r w:rsidRPr="003D219A">
        <w:t xml:space="preserve">'s submitted </w:t>
      </w:r>
      <w:r w:rsidR="1040B22F">
        <w:t xml:space="preserve">Pricing Submission </w:t>
      </w:r>
      <w:r w:rsidRPr="003D219A">
        <w:t xml:space="preserve">will be reviewed to consider if it appears to be abnormally low. An initial assessment will be undertaken using a comparative analysis of the price proposal received from all </w:t>
      </w:r>
      <w:r w:rsidR="00584EB1">
        <w:t>Tenderer</w:t>
      </w:r>
      <w:r w:rsidRPr="003D219A">
        <w:t xml:space="preserve">s, pursuant to </w:t>
      </w:r>
      <w:hyperlink w:anchor="_Abnormally_Low_Tender" w:history="1">
        <w:r w:rsidR="00580873" w:rsidRPr="00580873">
          <w:rPr>
            <w:rStyle w:val="Hyperlink"/>
          </w:rPr>
          <w:t>Section 17: Abnormally Low Tender</w:t>
        </w:r>
        <w:r w:rsidRPr="00580873">
          <w:rPr>
            <w:rStyle w:val="Hyperlink"/>
          </w:rPr>
          <w:t>.</w:t>
        </w:r>
      </w:hyperlink>
    </w:p>
    <w:p w14:paraId="6AD9A32B" w14:textId="77777777" w:rsidR="00E7745F" w:rsidRDefault="00E7745F" w:rsidP="002237F2">
      <w:pPr>
        <w:pStyle w:val="ListParagraph"/>
        <w:ind w:left="1080"/>
      </w:pPr>
    </w:p>
    <w:p w14:paraId="27F587EC" w14:textId="445220B9" w:rsidR="00DC36FB" w:rsidRDefault="00DC36FB">
      <w:r>
        <w:br w:type="page"/>
      </w:r>
    </w:p>
    <w:p w14:paraId="70AC42E5" w14:textId="77777777" w:rsidR="00DC36FB" w:rsidRPr="002237F2" w:rsidRDefault="2826748D" w:rsidP="00EE024B">
      <w:pPr>
        <w:pStyle w:val="Heading3"/>
        <w:numPr>
          <w:ilvl w:val="0"/>
          <w:numId w:val="14"/>
        </w:numPr>
        <w:ind w:left="1134" w:hanging="708"/>
        <w:rPr>
          <w:lang w:eastAsia="en-GB"/>
        </w:rPr>
      </w:pPr>
      <w:bookmarkStart w:id="60" w:name="_Abnormally_Low_Tender"/>
      <w:bookmarkStart w:id="61" w:name="_Ref114423088"/>
      <w:bookmarkStart w:id="62" w:name="_Toc127213842"/>
      <w:bookmarkEnd w:id="60"/>
      <w:r w:rsidRPr="002237F2">
        <w:rPr>
          <w:lang w:eastAsia="en-GB"/>
        </w:rPr>
        <w:lastRenderedPageBreak/>
        <w:t>Abnormally Low Tender</w:t>
      </w:r>
      <w:bookmarkEnd w:id="61"/>
      <w:bookmarkEnd w:id="62"/>
      <w:r w:rsidRPr="002237F2">
        <w:rPr>
          <w:lang w:eastAsia="en-GB"/>
        </w:rPr>
        <w:t xml:space="preserve"> </w:t>
      </w:r>
    </w:p>
    <w:p w14:paraId="1B8F409B" w14:textId="407AB79D" w:rsidR="00DC36FB" w:rsidRDefault="2826748D" w:rsidP="00EE024B">
      <w:pPr>
        <w:pStyle w:val="ListParagraph"/>
        <w:numPr>
          <w:ilvl w:val="1"/>
          <w:numId w:val="14"/>
        </w:numPr>
      </w:pPr>
      <w:r w:rsidRPr="00184317">
        <w:t xml:space="preserve">The </w:t>
      </w:r>
      <w:r w:rsidR="00584EB1">
        <w:t>Tenderer</w:t>
      </w:r>
      <w:r w:rsidRPr="00184317">
        <w:t xml:space="preserve">'s submitted </w:t>
      </w:r>
      <w:r w:rsidRPr="00184317">
        <w:rPr>
          <w:b/>
        </w:rPr>
        <w:t>commercial response</w:t>
      </w:r>
      <w:r w:rsidRPr="00184317">
        <w:t xml:space="preserve"> will be reviewed to consider if it appears to be abnormally low. An initial assessment will be undertaken using a comparative analysis of the price proposal received from all </w:t>
      </w:r>
      <w:r w:rsidR="00584EB1">
        <w:t>Tenderer</w:t>
      </w:r>
      <w:r w:rsidRPr="00184317">
        <w:t>s.</w:t>
      </w:r>
    </w:p>
    <w:p w14:paraId="4A446399" w14:textId="7EDADF64" w:rsidR="00B418DE" w:rsidRPr="005E7580" w:rsidRDefault="00B418DE" w:rsidP="00B418DE">
      <w:pPr>
        <w:pStyle w:val="Body"/>
        <w:numPr>
          <w:ilvl w:val="1"/>
          <w:numId w:val="14"/>
        </w:numPr>
        <w:rPr>
          <w:rFonts w:asciiTheme="minorHAnsi" w:eastAsiaTheme="minorEastAsia" w:hAnsiTheme="minorHAnsi" w:cstheme="minorBidi"/>
          <w:lang w:eastAsia="en-US"/>
        </w:rPr>
      </w:pPr>
      <w:r w:rsidRPr="083D5341">
        <w:rPr>
          <w:rFonts w:asciiTheme="minorHAnsi" w:eastAsiaTheme="minorEastAsia" w:hAnsiTheme="minorHAnsi" w:cstheme="minorBidi"/>
          <w:lang w:eastAsia="en-US"/>
        </w:rPr>
        <w:t xml:space="preserve">If the Authority considers a Tender to be abnormally low priced, it will exercise the right to clarify as permitted under </w:t>
      </w:r>
      <w:r w:rsidR="745D40EF" w:rsidRPr="083D5341">
        <w:rPr>
          <w:rFonts w:asciiTheme="minorHAnsi" w:eastAsiaTheme="minorEastAsia" w:hAnsiTheme="minorHAnsi" w:cstheme="minorBidi"/>
          <w:lang w:eastAsia="en-US"/>
        </w:rPr>
        <w:t>regulation 69 of the PCR 2015</w:t>
      </w:r>
      <w:r w:rsidRPr="083D5341">
        <w:rPr>
          <w:rFonts w:asciiTheme="minorHAnsi" w:eastAsiaTheme="minorEastAsia" w:hAnsiTheme="minorHAnsi" w:cstheme="minorBidi"/>
          <w:lang w:eastAsia="en-US"/>
        </w:rPr>
        <w:t xml:space="preserve">. The Authority reserves the right to challenge how the </w:t>
      </w:r>
      <w:r w:rsidR="00FD348D">
        <w:rPr>
          <w:rFonts w:asciiTheme="minorHAnsi" w:eastAsiaTheme="minorEastAsia" w:hAnsiTheme="minorHAnsi" w:cstheme="minorBidi"/>
          <w:lang w:eastAsia="en-US"/>
        </w:rPr>
        <w:t>Tenderer</w:t>
      </w:r>
      <w:r w:rsidRPr="083D5341">
        <w:rPr>
          <w:rFonts w:asciiTheme="minorHAnsi" w:eastAsiaTheme="minorEastAsia" w:hAnsiTheme="minorHAnsi" w:cstheme="minorBidi"/>
          <w:lang w:eastAsia="en-US"/>
        </w:rPr>
        <w:t xml:space="preserve"> can deliver the expected quality at that price. If the Authority is satisfied that the tender price is indeed unsustainable, then it is at liberty to reject the tender. </w:t>
      </w:r>
    </w:p>
    <w:p w14:paraId="7DE3D9EF" w14:textId="77777777" w:rsidR="00B418DE" w:rsidRDefault="00B418DE" w:rsidP="005E7580">
      <w:pPr>
        <w:pStyle w:val="ListParagraph"/>
      </w:pPr>
    </w:p>
    <w:p w14:paraId="07995215" w14:textId="55994C70" w:rsidR="00821EFA" w:rsidRPr="00C54709" w:rsidRDefault="5581C016" w:rsidP="00EE024B">
      <w:pPr>
        <w:pStyle w:val="Heading3"/>
        <w:numPr>
          <w:ilvl w:val="0"/>
          <w:numId w:val="14"/>
        </w:numPr>
        <w:ind w:left="1134" w:hanging="708"/>
        <w:rPr>
          <w:lang w:eastAsia="en-GB"/>
        </w:rPr>
      </w:pPr>
      <w:bookmarkStart w:id="63" w:name="_Toc127213843"/>
      <w:bookmarkEnd w:id="4"/>
      <w:bookmarkEnd w:id="5"/>
      <w:bookmarkEnd w:id="6"/>
      <w:r w:rsidRPr="3F0E91BE">
        <w:rPr>
          <w:lang w:eastAsia="en-GB"/>
        </w:rPr>
        <w:t>Financial Standing Appraisals</w:t>
      </w:r>
      <w:bookmarkEnd w:id="63"/>
    </w:p>
    <w:p w14:paraId="78289EB2" w14:textId="251314B4" w:rsidR="00821EFA" w:rsidRPr="00C54709" w:rsidRDefault="5581C016" w:rsidP="00EE024B">
      <w:pPr>
        <w:pStyle w:val="ListParagraph"/>
        <w:numPr>
          <w:ilvl w:val="1"/>
          <w:numId w:val="14"/>
        </w:numPr>
      </w:pPr>
      <w:r>
        <w:t xml:space="preserve">The financial information provided by </w:t>
      </w:r>
      <w:r w:rsidR="00584EB1">
        <w:t>Tenderer</w:t>
      </w:r>
      <w:r>
        <w:t xml:space="preserve">s will be used by the Combined Authority to assess whether the </w:t>
      </w:r>
      <w:r w:rsidR="00584EB1">
        <w:t>Tenderer</w:t>
      </w:r>
      <w:r>
        <w:t>s possess the necessary economic and financial capacity to perform the contract. </w:t>
      </w:r>
      <w:r w:rsidR="00821EFA">
        <w:br/>
      </w:r>
    </w:p>
    <w:p w14:paraId="0F9323E3" w14:textId="7D761CEF" w:rsidR="00821EFA" w:rsidRPr="00C54709" w:rsidRDefault="5581C016" w:rsidP="00EE024B">
      <w:pPr>
        <w:pStyle w:val="ListParagraph"/>
        <w:numPr>
          <w:ilvl w:val="1"/>
          <w:numId w:val="14"/>
        </w:numPr>
      </w:pPr>
      <w:r>
        <w:t xml:space="preserve">When undertaking the assessment, the Combined Authority looks at the </w:t>
      </w:r>
      <w:r w:rsidR="00584EB1">
        <w:t>Tenderer</w:t>
      </w:r>
      <w:r>
        <w:t>s’ most recent financial statements along with those of any ultimate parent company (if applicable). These are checked for general audit issues and then analysed to give an indication of profitability, net worth, liquidity, capacity</w:t>
      </w:r>
      <w:r w:rsidR="10D0D27C">
        <w:t>,</w:t>
      </w:r>
      <w:r>
        <w:t xml:space="preserve"> and general stability. </w:t>
      </w:r>
      <w:r w:rsidR="00821EFA">
        <w:br/>
      </w:r>
    </w:p>
    <w:p w14:paraId="65BBE22C" w14:textId="5C44575E" w:rsidR="00821EFA" w:rsidRPr="00C54709" w:rsidRDefault="5581C016" w:rsidP="00EE024B">
      <w:pPr>
        <w:pStyle w:val="ListParagraph"/>
        <w:numPr>
          <w:ilvl w:val="1"/>
          <w:numId w:val="14"/>
        </w:numPr>
      </w:pPr>
      <w:r>
        <w:t xml:space="preserve">The Combined Authority reserves the right to use a variety of indicators as it considers appropriate including those from credit agencies. The Combined Authority will also consider any additional information submitted by the </w:t>
      </w:r>
      <w:r w:rsidR="00584EB1">
        <w:t>Tenderer</w:t>
      </w:r>
      <w:r>
        <w:t xml:space="preserve"> should the </w:t>
      </w:r>
      <w:r w:rsidR="00584EB1">
        <w:t>Tenderer</w:t>
      </w:r>
      <w:r>
        <w:t xml:space="preserve"> consider this necessary for the Combined Authority to have a fuller understanding of its financial position. This may be appropriate, for example, to obtain a fuller understanding of a </w:t>
      </w:r>
      <w:r w:rsidR="00584EB1">
        <w:t>Tenderer</w:t>
      </w:r>
      <w:r>
        <w:t xml:space="preserve">’s financial structure or funding arrangements. The Combined Authority would expect any such information to be verified by an independent source, for example, the </w:t>
      </w:r>
      <w:r w:rsidR="00584EB1">
        <w:t>Tenderer</w:t>
      </w:r>
      <w:r>
        <w:t xml:space="preserve">’s auditors. Furthermore, the Combined Authority may (but is under no obligation) request further information or explanation from a </w:t>
      </w:r>
      <w:r w:rsidR="00584EB1">
        <w:t>Tenderer</w:t>
      </w:r>
      <w:r>
        <w:t>. </w:t>
      </w:r>
      <w:r w:rsidR="00821EFA">
        <w:br/>
      </w:r>
    </w:p>
    <w:p w14:paraId="0D6B9543" w14:textId="4FDE8A65" w:rsidR="00821EFA" w:rsidRPr="00C54709" w:rsidRDefault="5581C016" w:rsidP="00EE024B">
      <w:pPr>
        <w:pStyle w:val="ListParagraph"/>
        <w:numPr>
          <w:ilvl w:val="1"/>
          <w:numId w:val="14"/>
        </w:numPr>
      </w:pPr>
      <w:r>
        <w:t xml:space="preserve">Initially basic checks are made on a </w:t>
      </w:r>
      <w:r w:rsidR="00584EB1">
        <w:t>Tenderer</w:t>
      </w:r>
      <w:r>
        <w:t xml:space="preserve">’s name and any relevant registration details (e.g., registered number at Companies House). The Combined Authority will check whether the </w:t>
      </w:r>
      <w:r w:rsidR="00584EB1">
        <w:t>Tenderer</w:t>
      </w:r>
      <w:r>
        <w:t xml:space="preserve"> is trading or dormant and whether it has a parent company. The status of the financial statements is also determined to check whether information submitted is for the last accounting period. </w:t>
      </w:r>
      <w:r w:rsidR="00821EFA">
        <w:br/>
      </w:r>
    </w:p>
    <w:p w14:paraId="729159A2" w14:textId="394D290B" w:rsidR="00821EFA" w:rsidRPr="00C54709" w:rsidRDefault="5581C016" w:rsidP="00EE024B">
      <w:pPr>
        <w:pStyle w:val="ListParagraph"/>
        <w:numPr>
          <w:ilvl w:val="1"/>
          <w:numId w:val="14"/>
        </w:numPr>
      </w:pPr>
      <w:r>
        <w:t>When considering profitability, the Combined Authority looks at whether the organisation has made a profit or a loss in the year, which indicates the efficiency of the organisation. A loss in the year would be looked at in conjunction with the balance sheet resources available to cover this loss.   </w:t>
      </w:r>
      <w:r w:rsidR="00821EFA">
        <w:br/>
      </w:r>
    </w:p>
    <w:p w14:paraId="2603C45B" w14:textId="13221B26" w:rsidR="00821EFA" w:rsidRPr="00C54709" w:rsidRDefault="10D0D27C" w:rsidP="00EE024B">
      <w:pPr>
        <w:pStyle w:val="ListParagraph"/>
        <w:numPr>
          <w:ilvl w:val="1"/>
          <w:numId w:val="14"/>
        </w:numPr>
      </w:pPr>
      <w:r>
        <w:t>T</w:t>
      </w:r>
      <w:r w:rsidR="5581C016">
        <w:t xml:space="preserve">he Combined Authority will look at the </w:t>
      </w:r>
      <w:r w:rsidR="00584EB1">
        <w:t>Tenderer</w:t>
      </w:r>
      <w:r w:rsidR="5581C016">
        <w:t xml:space="preserve">’s balance sheet and determine the net worth of the organisation and that element that can be mobilised in a financial crisis. To do this the Combined Authority looks at net assets </w:t>
      </w:r>
      <w:proofErr w:type="gramStart"/>
      <w:r w:rsidR="5581C016">
        <w:t>and also</w:t>
      </w:r>
      <w:proofErr w:type="gramEnd"/>
      <w:r w:rsidR="5581C016">
        <w:t xml:space="preserve"> at the net tangible worth </w:t>
      </w:r>
      <w:r w:rsidR="5581C016">
        <w:lastRenderedPageBreak/>
        <w:t>(excluding intangible assets) of the organisation. </w:t>
      </w:r>
      <w:r w:rsidR="00C54709">
        <w:br/>
      </w:r>
    </w:p>
    <w:p w14:paraId="3EC55A64" w14:textId="789FEA68" w:rsidR="00821EFA" w:rsidRPr="00C54709" w:rsidRDefault="5581C016" w:rsidP="00EE024B">
      <w:pPr>
        <w:pStyle w:val="ListParagraph"/>
        <w:numPr>
          <w:ilvl w:val="1"/>
          <w:numId w:val="14"/>
        </w:numPr>
      </w:pPr>
      <w:r>
        <w:t xml:space="preserve">When looking at liquidity the Combined Authority uses the current ratio and the acid test ratio. The current ratio is a measure of financial strength and addresses the question of whether the </w:t>
      </w:r>
      <w:r w:rsidR="00584EB1">
        <w:t>Tenderer</w:t>
      </w:r>
      <w:r>
        <w:t xml:space="preserve"> has enough current assets to meet the payment schedule of its current debts with a margin of safety for possible losses in current assets. The Acid Test ratio measures liquidity and excludes stock to just really include liquid assets. Generally, the Combined Authority would expect a </w:t>
      </w:r>
      <w:r w:rsidR="00584EB1">
        <w:t>Tenderer</w:t>
      </w:r>
      <w:r>
        <w:t xml:space="preserve"> to have a current ratio of at least 1:1. </w:t>
      </w:r>
      <w:r w:rsidR="00821EFA">
        <w:br/>
      </w:r>
    </w:p>
    <w:p w14:paraId="69001C0A" w14:textId="5F4CA70B" w:rsidR="00821EFA" w:rsidRPr="00EE024B" w:rsidRDefault="5581C016" w:rsidP="00EE024B">
      <w:pPr>
        <w:pStyle w:val="ListParagraph"/>
        <w:numPr>
          <w:ilvl w:val="1"/>
          <w:numId w:val="14"/>
        </w:numPr>
      </w:pPr>
      <w:r>
        <w:t xml:space="preserve">Contract limit is the size of contract that is considered ‘safe’ to award to a </w:t>
      </w:r>
      <w:r w:rsidR="00584EB1">
        <w:t>Tenderer</w:t>
      </w:r>
      <w:r>
        <w:t xml:space="preserve">, based on a simple comparison of the estimated annual contract value to the annual turnover of the organisation. This gives an idea of financial strength to ensure that the </w:t>
      </w:r>
      <w:r w:rsidR="00584EB1">
        <w:t>Tenderer</w:t>
      </w:r>
      <w:r>
        <w:t xml:space="preserve"> can cope financially with this size of contract. The Combined Authority assesses the capacity issue of whether the </w:t>
      </w:r>
      <w:r w:rsidR="00584EB1">
        <w:t>Tenderer</w:t>
      </w:r>
      <w:r>
        <w:t xml:space="preserve"> has the resources to carry out the work and considers whether the </w:t>
      </w:r>
      <w:r w:rsidR="00584EB1">
        <w:t>Tenderer</w:t>
      </w:r>
      <w:r>
        <w:t xml:space="preserve"> will become over-dependant on the contract in question. </w:t>
      </w:r>
      <w:r w:rsidR="00C54709">
        <w:br/>
      </w:r>
      <w:r w:rsidR="00821EFA" w:rsidRPr="00EE024B">
        <w:rPr>
          <w:b/>
          <w:bCs/>
        </w:rPr>
        <w:t xml:space="preserve">Generally, the Combined Authority would expect a </w:t>
      </w:r>
      <w:r w:rsidR="00584EB1">
        <w:rPr>
          <w:b/>
          <w:bCs/>
        </w:rPr>
        <w:t>Tenderer</w:t>
      </w:r>
      <w:r w:rsidR="00821EFA" w:rsidRPr="00EE024B">
        <w:rPr>
          <w:b/>
          <w:bCs/>
        </w:rPr>
        <w:t xml:space="preserve"> to have a turnover of</w:t>
      </w:r>
      <w:r w:rsidR="00EE024B" w:rsidRPr="00EE024B">
        <w:rPr>
          <w:b/>
          <w:bCs/>
        </w:rPr>
        <w:t xml:space="preserve"> at least</w:t>
      </w:r>
      <w:r w:rsidR="00821EFA" w:rsidRPr="00EE024B">
        <w:rPr>
          <w:b/>
          <w:bCs/>
        </w:rPr>
        <w:t xml:space="preserve"> two times the annual value of the contract. </w:t>
      </w:r>
      <w:r w:rsidR="00EE024B" w:rsidRPr="00EE024B">
        <w:rPr>
          <w:b/>
          <w:bCs/>
        </w:rPr>
        <w:br/>
      </w:r>
    </w:p>
    <w:p w14:paraId="444097FB" w14:textId="2F59E474" w:rsidR="00821EFA" w:rsidRPr="00C54709" w:rsidRDefault="5581C016" w:rsidP="00EE024B">
      <w:pPr>
        <w:pStyle w:val="ListParagraph"/>
        <w:numPr>
          <w:ilvl w:val="1"/>
          <w:numId w:val="14"/>
        </w:numPr>
      </w:pPr>
      <w:r>
        <w:t xml:space="preserve">The Combined Authority will consider all the above in relation to the </w:t>
      </w:r>
      <w:r w:rsidR="00584EB1">
        <w:t>Tenderer</w:t>
      </w:r>
      <w:r>
        <w:t xml:space="preserve"> and that of any ultimate parent company and then a judgement would be made as to the risk that the organisation would represent to the Combined Authority. If the Combined Authority decides that the financial and economic standing of the </w:t>
      </w:r>
      <w:r w:rsidR="00584EB1">
        <w:t>Tenderer</w:t>
      </w:r>
      <w:r>
        <w:t xml:space="preserve"> represents an unacceptable risk to the Combined </w:t>
      </w:r>
      <w:r w:rsidR="391FAB4A">
        <w:t>Authority,</w:t>
      </w:r>
      <w:r>
        <w:t xml:space="preserve"> then the </w:t>
      </w:r>
      <w:r w:rsidR="00584EB1">
        <w:t>Tenderer</w:t>
      </w:r>
      <w:r>
        <w:t xml:space="preserve"> will be excluded from further consideration in this process. </w:t>
      </w:r>
    </w:p>
    <w:p w14:paraId="7D1344AF" w14:textId="77777777" w:rsidR="00821EFA" w:rsidRPr="00821EFA" w:rsidRDefault="00821EFA" w:rsidP="00821EFA">
      <w:pPr>
        <w:pStyle w:val="paragraph"/>
        <w:spacing w:before="0" w:beforeAutospacing="0" w:after="0" w:afterAutospacing="0"/>
        <w:ind w:left="720" w:hanging="720"/>
        <w:textAlignment w:val="baseline"/>
        <w:rPr>
          <w:rStyle w:val="normaltextrun"/>
          <w:rFonts w:asciiTheme="minorHAnsi" w:eastAsia="Arial" w:hAnsiTheme="minorHAnsi" w:cstheme="minorHAnsi"/>
        </w:rPr>
      </w:pPr>
    </w:p>
    <w:p w14:paraId="673ED8DF" w14:textId="557C4CEC" w:rsidR="00821EFA" w:rsidRPr="00C54709" w:rsidRDefault="5581C016" w:rsidP="00EE024B">
      <w:pPr>
        <w:pStyle w:val="Heading3"/>
        <w:numPr>
          <w:ilvl w:val="0"/>
          <w:numId w:val="14"/>
        </w:numPr>
        <w:ind w:left="1134" w:hanging="708"/>
        <w:rPr>
          <w:lang w:eastAsia="en-GB"/>
        </w:rPr>
      </w:pPr>
      <w:bookmarkStart w:id="64" w:name="_Toc283513"/>
      <w:bookmarkStart w:id="65" w:name="_Toc127213844"/>
      <w:r w:rsidRPr="3F0E91BE">
        <w:rPr>
          <w:lang w:eastAsia="en-GB"/>
        </w:rPr>
        <w:t>Collaboration Arrangements</w:t>
      </w:r>
      <w:bookmarkEnd w:id="64"/>
      <w:bookmarkEnd w:id="65"/>
      <w:r w:rsidRPr="3F0E91BE">
        <w:rPr>
          <w:lang w:eastAsia="en-GB"/>
        </w:rPr>
        <w:t xml:space="preserve"> </w:t>
      </w:r>
    </w:p>
    <w:p w14:paraId="7784C19F" w14:textId="162EA082" w:rsidR="00821EFA" w:rsidRPr="00C54709" w:rsidRDefault="5581C016" w:rsidP="00EE024B">
      <w:pPr>
        <w:pStyle w:val="ListParagraph"/>
        <w:numPr>
          <w:ilvl w:val="1"/>
          <w:numId w:val="14"/>
        </w:numPr>
      </w:pPr>
      <w:r>
        <w:t xml:space="preserve">The </w:t>
      </w:r>
      <w:r w:rsidR="00584EB1">
        <w:t>Tenderer</w:t>
      </w:r>
      <w:r>
        <w:t xml:space="preserve"> may wish to submit a collaborative bid. The possible methods for such collaboration are considered below.</w:t>
      </w:r>
      <w:r w:rsidR="00821EFA">
        <w:br/>
      </w:r>
    </w:p>
    <w:p w14:paraId="477A8707" w14:textId="425B23B3" w:rsidR="00821EFA" w:rsidRPr="00C54709" w:rsidRDefault="5581C016" w:rsidP="00EE024B">
      <w:pPr>
        <w:pStyle w:val="ListParagraph"/>
        <w:numPr>
          <w:ilvl w:val="1"/>
          <w:numId w:val="14"/>
        </w:numPr>
      </w:pPr>
      <w:r>
        <w:t xml:space="preserve">Collectively, each entity that wishes to bid (whether it is a single entity, the lead partner or a joint and several liability </w:t>
      </w:r>
      <w:r w:rsidRPr="3D0EEA66">
        <w:rPr>
          <w:b/>
        </w:rPr>
        <w:t>consortium</w:t>
      </w:r>
      <w:r>
        <w:t>) is referred to as a “</w:t>
      </w:r>
      <w:r w:rsidR="00584EB1">
        <w:t>Tenderer</w:t>
      </w:r>
      <w:r>
        <w:t xml:space="preserve">”. The </w:t>
      </w:r>
      <w:r w:rsidR="00584EB1">
        <w:t>Tenderer</w:t>
      </w:r>
      <w:r>
        <w:t xml:space="preserve"> is responsible for ensuring that the bid submission is fully completed, and the required information provided in respect of consortium members (as appropriate).</w:t>
      </w:r>
      <w:r w:rsidR="00821EFA">
        <w:br/>
      </w:r>
    </w:p>
    <w:p w14:paraId="4FCE8FE2" w14:textId="12DF801E" w:rsidR="00821EFA" w:rsidRPr="00C54709" w:rsidRDefault="5581C016" w:rsidP="00EE024B">
      <w:pPr>
        <w:pStyle w:val="ListParagraph"/>
        <w:numPr>
          <w:ilvl w:val="1"/>
          <w:numId w:val="14"/>
        </w:numPr>
      </w:pPr>
      <w:r>
        <w:t xml:space="preserve">A consortia proposal requires either a clear </w:t>
      </w:r>
      <w:r w:rsidR="00F409A2">
        <w:t xml:space="preserve">Lead Party </w:t>
      </w:r>
      <w:r>
        <w:t>with whom the Combined Authority will contract or evidence of a consortia structure where all members are joint and severally responsible for the performance of the contract, in which case all consortia members will sign the contract.</w:t>
      </w:r>
      <w:r w:rsidR="00821EFA">
        <w:br/>
      </w:r>
    </w:p>
    <w:p w14:paraId="429C222A" w14:textId="3C313042" w:rsidR="00821EFA" w:rsidRPr="00C54709" w:rsidRDefault="5581C016" w:rsidP="00EE024B">
      <w:pPr>
        <w:pStyle w:val="ListParagraph"/>
        <w:numPr>
          <w:ilvl w:val="1"/>
          <w:numId w:val="14"/>
        </w:numPr>
      </w:pPr>
      <w:r>
        <w:t>The following models of collaborative arrangements are indicative of possible collaborative working arrangements:</w:t>
      </w:r>
    </w:p>
    <w:p w14:paraId="7AD7816B" w14:textId="54540C6C" w:rsidR="00821EFA" w:rsidRPr="00821EFA" w:rsidRDefault="00821EFA" w:rsidP="00EE024B">
      <w:pPr>
        <w:pStyle w:val="ListParagraph"/>
        <w:numPr>
          <w:ilvl w:val="0"/>
          <w:numId w:val="19"/>
        </w:numPr>
        <w:spacing w:after="0" w:line="240" w:lineRule="auto"/>
        <w:rPr>
          <w:rFonts w:cstheme="minorHAnsi"/>
          <w:lang w:eastAsia="en-GB"/>
        </w:rPr>
      </w:pPr>
      <w:r w:rsidRPr="00821EFA">
        <w:rPr>
          <w:rFonts w:cstheme="minorHAnsi"/>
          <w:lang w:eastAsia="en-GB"/>
        </w:rPr>
        <w:t xml:space="preserve">Lead </w:t>
      </w:r>
      <w:r w:rsidR="00265A05">
        <w:rPr>
          <w:rFonts w:cstheme="minorHAnsi"/>
          <w:lang w:eastAsia="en-GB"/>
        </w:rPr>
        <w:t>Party</w:t>
      </w:r>
      <w:r w:rsidR="00265A05" w:rsidRPr="00821EFA">
        <w:rPr>
          <w:rFonts w:cstheme="minorHAnsi"/>
          <w:lang w:eastAsia="en-GB"/>
        </w:rPr>
        <w:t xml:space="preserve"> </w:t>
      </w:r>
      <w:r w:rsidRPr="00821EFA">
        <w:rPr>
          <w:rFonts w:cstheme="minorHAnsi"/>
          <w:lang w:eastAsia="en-GB"/>
        </w:rPr>
        <w:t>consortium</w:t>
      </w:r>
    </w:p>
    <w:p w14:paraId="388CCFBF" w14:textId="0CA833C7" w:rsidR="00821EFA" w:rsidRPr="00821EFA" w:rsidRDefault="00821EFA" w:rsidP="00EE024B">
      <w:pPr>
        <w:pStyle w:val="ListParagraph"/>
        <w:numPr>
          <w:ilvl w:val="0"/>
          <w:numId w:val="19"/>
        </w:numPr>
        <w:spacing w:after="0" w:line="240" w:lineRule="auto"/>
        <w:rPr>
          <w:rFonts w:cstheme="minorHAnsi"/>
          <w:lang w:eastAsia="en-GB"/>
        </w:rPr>
      </w:pPr>
      <w:r w:rsidRPr="00821EFA">
        <w:rPr>
          <w:rFonts w:cstheme="minorHAnsi"/>
          <w:lang w:eastAsia="en-GB"/>
        </w:rPr>
        <w:lastRenderedPageBreak/>
        <w:t>Joint and several liability consortiums</w:t>
      </w:r>
    </w:p>
    <w:p w14:paraId="6B89D53E" w14:textId="7325FDD7" w:rsidR="00821EFA" w:rsidRDefault="00821EFA" w:rsidP="00EE024B">
      <w:pPr>
        <w:pStyle w:val="ListParagraph"/>
        <w:numPr>
          <w:ilvl w:val="0"/>
          <w:numId w:val="19"/>
        </w:numPr>
        <w:spacing w:after="0" w:line="240" w:lineRule="auto"/>
        <w:rPr>
          <w:rFonts w:cstheme="minorHAnsi"/>
          <w:lang w:eastAsia="en-GB"/>
        </w:rPr>
      </w:pPr>
      <w:r w:rsidRPr="00821EFA">
        <w:rPr>
          <w:rFonts w:cstheme="minorHAnsi"/>
          <w:lang w:eastAsia="en-GB"/>
        </w:rPr>
        <w:t>Sub-contracting</w:t>
      </w:r>
    </w:p>
    <w:p w14:paraId="1BAFBC41" w14:textId="77777777" w:rsidR="00821EFA" w:rsidRPr="00821EFA" w:rsidRDefault="00821EFA" w:rsidP="00821EFA">
      <w:pPr>
        <w:pStyle w:val="ListParagraph"/>
        <w:spacing w:after="0" w:line="240" w:lineRule="auto"/>
        <w:ind w:left="1440"/>
        <w:rPr>
          <w:rFonts w:cstheme="minorHAnsi"/>
          <w:lang w:eastAsia="en-GB"/>
        </w:rPr>
      </w:pPr>
    </w:p>
    <w:p w14:paraId="5BDF6586" w14:textId="308D6117" w:rsidR="00821EFA" w:rsidRPr="00C54709" w:rsidRDefault="5581C016" w:rsidP="00EE024B">
      <w:pPr>
        <w:pStyle w:val="ListParagraph"/>
        <w:numPr>
          <w:ilvl w:val="1"/>
          <w:numId w:val="14"/>
        </w:numPr>
      </w:pPr>
      <w:r w:rsidRPr="3F0E91BE">
        <w:rPr>
          <w:b/>
          <w:bCs/>
        </w:rPr>
        <w:t xml:space="preserve">Lead </w:t>
      </w:r>
      <w:r w:rsidR="00265A05">
        <w:rPr>
          <w:b/>
          <w:bCs/>
        </w:rPr>
        <w:t>Party</w:t>
      </w:r>
      <w:r w:rsidR="00265A05" w:rsidRPr="3F0E91BE">
        <w:rPr>
          <w:b/>
          <w:bCs/>
        </w:rPr>
        <w:t xml:space="preserve"> </w:t>
      </w:r>
      <w:r w:rsidRPr="3F0E91BE">
        <w:rPr>
          <w:b/>
          <w:bCs/>
        </w:rPr>
        <w:t>consortium</w:t>
      </w:r>
      <w:r>
        <w:t xml:space="preserve">: A </w:t>
      </w:r>
      <w:r w:rsidR="00265A05">
        <w:t>Lead</w:t>
      </w:r>
      <w:r>
        <w:t xml:space="preserve"> </w:t>
      </w:r>
      <w:r w:rsidR="00265A05">
        <w:t>Party</w:t>
      </w:r>
      <w:r>
        <w:t xml:space="preserve"> consortium is a consortium of organisations who are working together to bid for, and if successful, </w:t>
      </w:r>
      <w:proofErr w:type="gramStart"/>
      <w:r>
        <w:t>enter into</w:t>
      </w:r>
      <w:proofErr w:type="gramEnd"/>
      <w:r>
        <w:t xml:space="preserve"> the contract. One </w:t>
      </w:r>
      <w:r w:rsidR="00265A05">
        <w:t>party</w:t>
      </w:r>
      <w:r>
        <w:t xml:space="preserve"> will </w:t>
      </w:r>
      <w:proofErr w:type="gramStart"/>
      <w:r>
        <w:t>enter into</w:t>
      </w:r>
      <w:proofErr w:type="gramEnd"/>
      <w:r>
        <w:t xml:space="preserve"> the contract, on behalf of the other consortium members, and will be the conduit by which the contract is delivered by the consortium members. </w:t>
      </w:r>
      <w:r w:rsidR="00821EFA">
        <w:br/>
      </w:r>
    </w:p>
    <w:p w14:paraId="48E8EEDF" w14:textId="3AD28C31" w:rsidR="00821EFA" w:rsidRPr="00C54709" w:rsidRDefault="5581C016" w:rsidP="00EE024B">
      <w:pPr>
        <w:pStyle w:val="ListParagraph"/>
        <w:numPr>
          <w:ilvl w:val="1"/>
          <w:numId w:val="14"/>
        </w:numPr>
      </w:pPr>
      <w:r>
        <w:t xml:space="preserve">It is for the consortium members to assess whether their proposed </w:t>
      </w:r>
      <w:r w:rsidR="00613A37">
        <w:t xml:space="preserve">parties </w:t>
      </w:r>
      <w:r>
        <w:t>have the capacity and capability likely to be able to deliver the requirements of this contract. This is not the responsibility of the Combined Authority.</w:t>
      </w:r>
      <w:r w:rsidR="00821EFA">
        <w:br/>
      </w:r>
    </w:p>
    <w:p w14:paraId="1FEF82EA" w14:textId="4B657B8A" w:rsidR="00821EFA" w:rsidRPr="00C54709" w:rsidRDefault="5581C016" w:rsidP="00EE024B">
      <w:pPr>
        <w:pStyle w:val="ListParagraph"/>
        <w:numPr>
          <w:ilvl w:val="1"/>
          <w:numId w:val="14"/>
        </w:numPr>
      </w:pPr>
      <w:r w:rsidRPr="3F0E91BE">
        <w:rPr>
          <w:b/>
          <w:bCs/>
        </w:rPr>
        <w:t>Joint and several liability consortia</w:t>
      </w:r>
      <w:r>
        <w:t>: The Combined Authority will have a contractual relationship with all members of the consortium. It is usual for one consortium member to be nominated to co-ordinate the consortium bid – which may be referred to as the lead organisation. However, in these circumstances, the lead is for administrative purposes only and all members of the consortium are equally responsible for the delivery of the contract.</w:t>
      </w:r>
      <w:r w:rsidR="00821EFA">
        <w:br/>
      </w:r>
    </w:p>
    <w:p w14:paraId="7A44A26D" w14:textId="3A590FAA" w:rsidR="00821EFA" w:rsidRPr="00C54709" w:rsidRDefault="5581C016" w:rsidP="00EE024B">
      <w:pPr>
        <w:pStyle w:val="ListParagraph"/>
        <w:numPr>
          <w:ilvl w:val="1"/>
          <w:numId w:val="14"/>
        </w:numPr>
      </w:pPr>
      <w:r>
        <w:t xml:space="preserve">Whilst there is a lead/administrative </w:t>
      </w:r>
      <w:r w:rsidR="00613A37">
        <w:t xml:space="preserve">party </w:t>
      </w:r>
      <w:r>
        <w:t xml:space="preserve">for bid co-ordination purposes, this organisation is not solely liable as the Combined Authority signs the contract with all the members of the consortium; thus, all members are jointly and severally liable for performance of the contract. </w:t>
      </w:r>
      <w:r w:rsidR="00821EFA">
        <w:br/>
      </w:r>
    </w:p>
    <w:p w14:paraId="61CB1435" w14:textId="33B221A1" w:rsidR="00821EFA" w:rsidRPr="00C54709" w:rsidRDefault="5581C016" w:rsidP="00EE024B">
      <w:pPr>
        <w:pStyle w:val="ListParagraph"/>
        <w:numPr>
          <w:ilvl w:val="1"/>
          <w:numId w:val="14"/>
        </w:numPr>
      </w:pPr>
      <w:r w:rsidRPr="3F0E91BE">
        <w:rPr>
          <w:b/>
          <w:bCs/>
        </w:rPr>
        <w:t>Sub-contracting</w:t>
      </w:r>
      <w:r>
        <w:t xml:space="preserve">: It should be noted that the ultimate responsibility for any sub-contracted obligations would always rest with the </w:t>
      </w:r>
      <w:r w:rsidR="00584EB1">
        <w:t>Tenderer</w:t>
      </w:r>
      <w:r>
        <w:t xml:space="preserve">. It is recognised that arrangements in relation to sub-contracting may be subject to future change. However, </w:t>
      </w:r>
      <w:r w:rsidR="00584EB1">
        <w:t>Tenderer</w:t>
      </w:r>
      <w:r>
        <w:t xml:space="preserve">s should be aware that where, in the opinion of the Combined Authority, sub-contractors are to play a significant role, any changes to those sub-contracting arrangements may constitute a material change for the purposes of procurement law, and therefore may affect the ability of the </w:t>
      </w:r>
      <w:r w:rsidR="00584EB1">
        <w:t>Tenderer</w:t>
      </w:r>
      <w:r>
        <w:t xml:space="preserve"> to proceed with the procurement process and/or to perform their duties under the contract. For the avoidance of doubt, </w:t>
      </w:r>
      <w:proofErr w:type="gramStart"/>
      <w:r>
        <w:t>in the event that</w:t>
      </w:r>
      <w:proofErr w:type="gramEnd"/>
      <w:r>
        <w:t xml:space="preserve"> the Combined Authority considers that such a change constitutes a material change for the purposes of procurement law, then the Combined Authority reserves the right to disqualify the </w:t>
      </w:r>
      <w:r w:rsidR="00584EB1">
        <w:t>Tenderer</w:t>
      </w:r>
      <w:r>
        <w:t xml:space="preserve"> from the procurement process.</w:t>
      </w:r>
      <w:r w:rsidR="00821EFA">
        <w:br/>
      </w:r>
    </w:p>
    <w:p w14:paraId="2AD4336F" w14:textId="0EECD8C3" w:rsidR="00821EFA" w:rsidRPr="00C54709" w:rsidRDefault="5581C016" w:rsidP="00EE024B">
      <w:pPr>
        <w:pStyle w:val="ListParagraph"/>
        <w:numPr>
          <w:ilvl w:val="1"/>
          <w:numId w:val="14"/>
        </w:numPr>
      </w:pPr>
      <w:r>
        <w:t xml:space="preserve">The Combined Authority will make payments to the </w:t>
      </w:r>
      <w:r w:rsidR="00584EB1">
        <w:t>Tenderer</w:t>
      </w:r>
      <w:r>
        <w:t xml:space="preserve">; the </w:t>
      </w:r>
      <w:r w:rsidR="00584EB1">
        <w:t>Tenderer</w:t>
      </w:r>
      <w:r>
        <w:t xml:space="preserve"> is responsible for payments to its sub-contractors.</w:t>
      </w:r>
      <w:r w:rsidR="00821EFA">
        <w:br/>
      </w:r>
    </w:p>
    <w:p w14:paraId="2AD366AF" w14:textId="24160C21" w:rsidR="00821EFA" w:rsidRPr="00C54709" w:rsidRDefault="5581C016" w:rsidP="00EE024B">
      <w:pPr>
        <w:pStyle w:val="ListParagraph"/>
        <w:numPr>
          <w:ilvl w:val="1"/>
          <w:numId w:val="14"/>
        </w:numPr>
      </w:pPr>
      <w:r>
        <w:t xml:space="preserve">The Combined Authority would not usually expect to see evidence of the administrative arrangements between the </w:t>
      </w:r>
      <w:r w:rsidR="00584EB1">
        <w:t>Tenderer</w:t>
      </w:r>
      <w:r>
        <w:t xml:space="preserve"> and sub-</w:t>
      </w:r>
      <w:r w:rsidR="149548F5">
        <w:t>contractor;</w:t>
      </w:r>
      <w:r>
        <w:t xml:space="preserve"> however, the Combined Authority may wish to see evidence of performance monitoring, due </w:t>
      </w:r>
      <w:r w:rsidR="008B03E0">
        <w:t>diligence,</w:t>
      </w:r>
      <w:r>
        <w:t xml:space="preserve"> and subcontractor agreements and/or policies.</w:t>
      </w:r>
      <w:r w:rsidR="00821EFA">
        <w:br/>
      </w:r>
    </w:p>
    <w:p w14:paraId="0EE8AE06" w14:textId="1BE99A7B" w:rsidR="00821EFA" w:rsidRDefault="5581C016" w:rsidP="00EE024B">
      <w:pPr>
        <w:pStyle w:val="ListParagraph"/>
        <w:numPr>
          <w:ilvl w:val="1"/>
          <w:numId w:val="14"/>
        </w:numPr>
      </w:pPr>
      <w:r>
        <w:lastRenderedPageBreak/>
        <w:t xml:space="preserve">The Combined Authority will expect the winning </w:t>
      </w:r>
      <w:r w:rsidR="00584EB1">
        <w:t>Tenderer</w:t>
      </w:r>
      <w:r>
        <w:t xml:space="preserve"> to sign up to the Prompt Payment Code and/or will be willing to report to the Combined Authority their subcontract payment performance.</w:t>
      </w:r>
    </w:p>
    <w:p w14:paraId="13A1C520" w14:textId="77777777" w:rsidR="008D0768" w:rsidRDefault="008D0768" w:rsidP="008D0768">
      <w:pPr>
        <w:pStyle w:val="ListParagraph"/>
        <w:ind w:left="1080"/>
      </w:pPr>
    </w:p>
    <w:p w14:paraId="41762E35" w14:textId="7869EF20" w:rsidR="00C01D00" w:rsidRPr="00CB2F6B" w:rsidRDefault="21098D39" w:rsidP="00EE024B">
      <w:pPr>
        <w:pStyle w:val="Heading3"/>
        <w:numPr>
          <w:ilvl w:val="0"/>
          <w:numId w:val="14"/>
        </w:numPr>
        <w:ind w:left="1134" w:hanging="708"/>
        <w:rPr>
          <w:lang w:eastAsia="en-GB"/>
        </w:rPr>
      </w:pPr>
      <w:bookmarkStart w:id="66" w:name="_Toc127213845"/>
      <w:r w:rsidRPr="00CB2F6B">
        <w:rPr>
          <w:lang w:eastAsia="en-GB"/>
        </w:rPr>
        <w:t xml:space="preserve">Changes </w:t>
      </w:r>
      <w:r w:rsidR="00E63EAE">
        <w:rPr>
          <w:lang w:eastAsia="en-GB"/>
        </w:rPr>
        <w:t>in</w:t>
      </w:r>
      <w:r w:rsidR="00E63EAE" w:rsidRPr="00CB2F6B">
        <w:rPr>
          <w:lang w:eastAsia="en-GB"/>
        </w:rPr>
        <w:t xml:space="preserve"> </w:t>
      </w:r>
      <w:r w:rsidRPr="00CB2F6B">
        <w:rPr>
          <w:lang w:eastAsia="en-GB"/>
        </w:rPr>
        <w:t>Circumstances</w:t>
      </w:r>
      <w:bookmarkEnd w:id="66"/>
      <w:r w:rsidRPr="00CB2F6B">
        <w:rPr>
          <w:lang w:eastAsia="en-GB"/>
        </w:rPr>
        <w:t xml:space="preserve"> </w:t>
      </w:r>
    </w:p>
    <w:p w14:paraId="0D6E4A8D" w14:textId="7CDC2547" w:rsidR="005C6E8C" w:rsidRPr="00CB2F6B" w:rsidRDefault="00584EB1" w:rsidP="00EE024B">
      <w:pPr>
        <w:pStyle w:val="ListParagraph"/>
        <w:numPr>
          <w:ilvl w:val="1"/>
          <w:numId w:val="14"/>
        </w:numPr>
      </w:pPr>
      <w:r>
        <w:t>Tenderer</w:t>
      </w:r>
      <w:r w:rsidR="5F584944" w:rsidRPr="00CB2F6B">
        <w:t xml:space="preserve">s (including, for this purpose, each participant in any joint venture, consortium arrangement) are required to inform </w:t>
      </w:r>
      <w:r w:rsidR="5F584944">
        <w:t xml:space="preserve">the Combined Authority </w:t>
      </w:r>
      <w:r w:rsidR="5F584944" w:rsidRPr="00CB2F6B">
        <w:t>promptly and in any case</w:t>
      </w:r>
      <w:r w:rsidR="685CA38C">
        <w:t xml:space="preserve"> </w:t>
      </w:r>
      <w:r w:rsidR="5F584944" w:rsidRPr="00CB2F6B">
        <w:t xml:space="preserve">no later than fourteen (14) days, after the occurrence of: </w:t>
      </w:r>
      <w:r w:rsidR="008B03E0">
        <w:br/>
      </w:r>
    </w:p>
    <w:p w14:paraId="2D2EBFA7" w14:textId="32349422" w:rsidR="005C6E8C" w:rsidRPr="00452898" w:rsidRDefault="005C6E8C" w:rsidP="00EE024B">
      <w:pPr>
        <w:pStyle w:val="ListParagraph"/>
        <w:numPr>
          <w:ilvl w:val="0"/>
          <w:numId w:val="20"/>
        </w:numPr>
        <w:spacing w:after="0" w:line="240" w:lineRule="auto"/>
        <w:rPr>
          <w:rFonts w:cstheme="minorHAnsi"/>
          <w:lang w:eastAsia="en-GB"/>
        </w:rPr>
      </w:pPr>
      <w:r w:rsidRPr="00452898">
        <w:rPr>
          <w:rFonts w:cstheme="minorHAnsi"/>
          <w:lang w:eastAsia="en-GB"/>
        </w:rPr>
        <w:t xml:space="preserve">Any change to the </w:t>
      </w:r>
      <w:r w:rsidR="00584EB1">
        <w:rPr>
          <w:rFonts w:cstheme="minorHAnsi"/>
          <w:lang w:eastAsia="en-GB"/>
        </w:rPr>
        <w:t>Tenderer</w:t>
      </w:r>
      <w:r w:rsidRPr="00452898">
        <w:rPr>
          <w:rFonts w:cstheme="minorHAnsi"/>
          <w:lang w:eastAsia="en-GB"/>
        </w:rPr>
        <w:t xml:space="preserve">'s corporate structure from that set out in the </w:t>
      </w:r>
      <w:r w:rsidR="00584EB1">
        <w:rPr>
          <w:rFonts w:cstheme="minorHAnsi"/>
          <w:lang w:eastAsia="en-GB"/>
        </w:rPr>
        <w:t>Tenderer</w:t>
      </w:r>
      <w:r w:rsidRPr="00452898">
        <w:rPr>
          <w:rFonts w:cstheme="minorHAnsi"/>
          <w:lang w:eastAsia="en-GB"/>
        </w:rPr>
        <w:t>'s response to the ITT. This includes the grant of any options to acquire shares, any agreement relating to exercise of rights attaching to such shares, and any material amendments to a shareholder’s agreement, articles of association or similar constitutional documents.</w:t>
      </w:r>
    </w:p>
    <w:p w14:paraId="757B3EC9" w14:textId="77777777" w:rsidR="005C6E8C" w:rsidRPr="00452898" w:rsidRDefault="005C6E8C" w:rsidP="00452898">
      <w:pPr>
        <w:pStyle w:val="ListParagraph"/>
        <w:spacing w:after="0" w:line="240" w:lineRule="auto"/>
        <w:ind w:left="1440"/>
        <w:rPr>
          <w:rFonts w:cstheme="minorHAnsi"/>
          <w:lang w:eastAsia="en-GB"/>
        </w:rPr>
      </w:pPr>
    </w:p>
    <w:p w14:paraId="14248C0D" w14:textId="1EF35BA4" w:rsidR="005C6E8C" w:rsidRPr="00452898" w:rsidRDefault="005C6E8C" w:rsidP="00EE024B">
      <w:pPr>
        <w:pStyle w:val="ListParagraph"/>
        <w:numPr>
          <w:ilvl w:val="0"/>
          <w:numId w:val="20"/>
        </w:numPr>
        <w:spacing w:after="0" w:line="240" w:lineRule="auto"/>
        <w:rPr>
          <w:rFonts w:cstheme="minorHAnsi"/>
          <w:lang w:eastAsia="en-GB"/>
        </w:rPr>
      </w:pPr>
      <w:r w:rsidRPr="00452898">
        <w:rPr>
          <w:rFonts w:cstheme="minorHAnsi"/>
          <w:lang w:eastAsia="en-GB"/>
        </w:rPr>
        <w:t xml:space="preserve">Any changes to any other information provided to </w:t>
      </w:r>
      <w:r w:rsidR="00452898">
        <w:rPr>
          <w:rFonts w:cstheme="minorHAnsi"/>
          <w:lang w:eastAsia="en-GB"/>
        </w:rPr>
        <w:t>the Combined Authority</w:t>
      </w:r>
      <w:r w:rsidRPr="00452898">
        <w:rPr>
          <w:rFonts w:cstheme="minorHAnsi"/>
          <w:lang w:eastAsia="en-GB"/>
        </w:rPr>
        <w:t xml:space="preserve"> as part of the ITT process; or </w:t>
      </w:r>
    </w:p>
    <w:p w14:paraId="591D78E8" w14:textId="77777777" w:rsidR="005C6E8C" w:rsidRPr="00452898" w:rsidRDefault="005C6E8C" w:rsidP="00452898">
      <w:pPr>
        <w:pStyle w:val="ListParagraph"/>
        <w:spacing w:after="0" w:line="240" w:lineRule="auto"/>
        <w:ind w:left="1440"/>
        <w:rPr>
          <w:rFonts w:cstheme="minorHAnsi"/>
          <w:lang w:eastAsia="en-GB"/>
        </w:rPr>
      </w:pPr>
    </w:p>
    <w:p w14:paraId="5AB4403C" w14:textId="3CDE01EB" w:rsidR="005C6E8C" w:rsidRDefault="005C6E8C" w:rsidP="00EE024B">
      <w:pPr>
        <w:pStyle w:val="ListParagraph"/>
        <w:numPr>
          <w:ilvl w:val="0"/>
          <w:numId w:val="20"/>
        </w:numPr>
        <w:spacing w:after="0" w:line="240" w:lineRule="auto"/>
        <w:rPr>
          <w:rFonts w:cstheme="minorHAnsi"/>
          <w:lang w:eastAsia="en-GB"/>
        </w:rPr>
      </w:pPr>
      <w:r w:rsidRPr="00452898">
        <w:rPr>
          <w:rFonts w:cstheme="minorHAnsi"/>
          <w:lang w:eastAsia="en-GB"/>
        </w:rPr>
        <w:t xml:space="preserve">Any other change to the </w:t>
      </w:r>
      <w:r w:rsidR="00584EB1">
        <w:rPr>
          <w:rFonts w:cstheme="minorHAnsi"/>
          <w:lang w:eastAsia="en-GB"/>
        </w:rPr>
        <w:t>Tenderer</w:t>
      </w:r>
      <w:r w:rsidRPr="00452898">
        <w:rPr>
          <w:rFonts w:cstheme="minorHAnsi"/>
          <w:lang w:eastAsia="en-GB"/>
        </w:rPr>
        <w:t xml:space="preserve">'s circumstances, or the basis of the </w:t>
      </w:r>
      <w:r w:rsidR="00584EB1">
        <w:rPr>
          <w:rFonts w:cstheme="minorHAnsi"/>
          <w:lang w:eastAsia="en-GB"/>
        </w:rPr>
        <w:t>Tenderer</w:t>
      </w:r>
      <w:r w:rsidRPr="00452898">
        <w:rPr>
          <w:rFonts w:cstheme="minorHAnsi"/>
          <w:lang w:eastAsia="en-GB"/>
        </w:rPr>
        <w:t xml:space="preserve">'s response to the ITT, which may be expected to influence </w:t>
      </w:r>
      <w:r w:rsidR="00452898">
        <w:rPr>
          <w:rFonts w:cstheme="minorHAnsi"/>
          <w:lang w:eastAsia="en-GB"/>
        </w:rPr>
        <w:t>the Combined Authority</w:t>
      </w:r>
      <w:r w:rsidRPr="00452898">
        <w:rPr>
          <w:rFonts w:cstheme="minorHAnsi"/>
          <w:lang w:eastAsia="en-GB"/>
        </w:rPr>
        <w:t xml:space="preserve"> decision on the </w:t>
      </w:r>
      <w:r w:rsidR="00584EB1">
        <w:rPr>
          <w:rFonts w:cstheme="minorHAnsi"/>
          <w:lang w:eastAsia="en-GB"/>
        </w:rPr>
        <w:t>Tenderer</w:t>
      </w:r>
      <w:r w:rsidRPr="00452898">
        <w:rPr>
          <w:rFonts w:cstheme="minorHAnsi"/>
          <w:lang w:eastAsia="en-GB"/>
        </w:rPr>
        <w:t xml:space="preserve">'s suitability for qualification for receipt of this ITT or to be selected as the Supplier. </w:t>
      </w:r>
    </w:p>
    <w:p w14:paraId="491DB28C" w14:textId="77777777" w:rsidR="00452898" w:rsidRPr="00452898" w:rsidRDefault="00452898" w:rsidP="00CB2F6B">
      <w:pPr>
        <w:pStyle w:val="ListParagraph"/>
        <w:spacing w:after="0" w:line="240" w:lineRule="auto"/>
        <w:ind w:left="1440"/>
        <w:rPr>
          <w:rFonts w:cstheme="minorHAnsi"/>
          <w:lang w:eastAsia="en-GB"/>
        </w:rPr>
      </w:pPr>
    </w:p>
    <w:p w14:paraId="3A1011B8" w14:textId="094E0E9F" w:rsidR="00452898" w:rsidRDefault="685CA38C" w:rsidP="00EE024B">
      <w:pPr>
        <w:pStyle w:val="ListParagraph"/>
        <w:numPr>
          <w:ilvl w:val="1"/>
          <w:numId w:val="14"/>
        </w:numPr>
      </w:pPr>
      <w:r>
        <w:t>The Combined Authority</w:t>
      </w:r>
      <w:r w:rsidR="5F584944" w:rsidRPr="00CB2F6B">
        <w:t xml:space="preserve"> reserves the right to approve (subject to conditions) or reject the changes referred to above (including any changes to the basis on which the </w:t>
      </w:r>
      <w:r w:rsidR="00584EB1">
        <w:t>Tenderer</w:t>
      </w:r>
      <w:r w:rsidR="5F584944" w:rsidRPr="00CB2F6B">
        <w:t xml:space="preserve"> pre-qualified to receive this </w:t>
      </w:r>
      <w:r w:rsidR="5F584944" w:rsidRPr="009728B6">
        <w:t>ITT</w:t>
      </w:r>
      <w:r w:rsidR="5F584944" w:rsidRPr="00CB2F6B">
        <w:t xml:space="preserve">). A rejection of the changes may result in the </w:t>
      </w:r>
      <w:r w:rsidR="00584EB1">
        <w:t>Tenderer</w:t>
      </w:r>
      <w:r w:rsidR="5F584944" w:rsidRPr="00CB2F6B">
        <w:t xml:space="preserve"> being excluded</w:t>
      </w:r>
      <w:r>
        <w:t xml:space="preserve"> </w:t>
      </w:r>
      <w:r w:rsidR="5F584944" w:rsidRPr="00CB2F6B">
        <w:t>from further participation in the procurement process.</w:t>
      </w:r>
    </w:p>
    <w:p w14:paraId="50112379" w14:textId="1CD88918" w:rsidR="005C6E8C" w:rsidRPr="00CB2F6B" w:rsidRDefault="005C6E8C" w:rsidP="00CB2F6B">
      <w:pPr>
        <w:pStyle w:val="ListParagraph"/>
        <w:ind w:left="1080"/>
      </w:pPr>
      <w:r w:rsidRPr="00CB2F6B">
        <w:t xml:space="preserve"> </w:t>
      </w:r>
    </w:p>
    <w:p w14:paraId="3C8AC574" w14:textId="00B09814" w:rsidR="005C6E8C" w:rsidRDefault="685CA38C" w:rsidP="00EE024B">
      <w:pPr>
        <w:pStyle w:val="ListParagraph"/>
        <w:numPr>
          <w:ilvl w:val="1"/>
          <w:numId w:val="14"/>
        </w:numPr>
      </w:pPr>
      <w:r>
        <w:t>The Combined Authority</w:t>
      </w:r>
      <w:r w:rsidR="5F584944" w:rsidRPr="00CB2F6B">
        <w:t xml:space="preserve"> reserves the right and may in certain cases be required under the procurement rules and regulations, to disqualify any </w:t>
      </w:r>
      <w:r w:rsidR="00584EB1">
        <w:t>Tenderer</w:t>
      </w:r>
      <w:r w:rsidR="5F584944" w:rsidRPr="00CB2F6B">
        <w:t xml:space="preserve"> that has been selected to receive this </w:t>
      </w:r>
      <w:r w:rsidR="5F584944" w:rsidRPr="009728B6">
        <w:t>ITT</w:t>
      </w:r>
      <w:r w:rsidR="5F584944" w:rsidRPr="00CB2F6B">
        <w:t xml:space="preserve"> where the composition of the </w:t>
      </w:r>
      <w:r w:rsidR="00584EB1">
        <w:t>Tenderer</w:t>
      </w:r>
      <w:r w:rsidR="5F584944" w:rsidRPr="00CB2F6B">
        <w:t xml:space="preserve">’s bid vehicle, joint venture or consortium has changed after the announcement of the tender response. The </w:t>
      </w:r>
      <w:r w:rsidR="00584EB1">
        <w:t>Tenderer</w:t>
      </w:r>
      <w:r w:rsidR="5F584944" w:rsidRPr="00CB2F6B">
        <w:t xml:space="preserve">s are therefore advised to discuss any proposed changes of this nature with </w:t>
      </w:r>
      <w:r>
        <w:t>the Combined Authority</w:t>
      </w:r>
      <w:r w:rsidR="5F584944" w:rsidRPr="00CB2F6B">
        <w:t xml:space="preserve"> before the changes are put into effect. </w:t>
      </w:r>
    </w:p>
    <w:p w14:paraId="751BA42C" w14:textId="77777777" w:rsidR="00452898" w:rsidRDefault="00452898" w:rsidP="00CB2F6B">
      <w:pPr>
        <w:pStyle w:val="ListParagraph"/>
      </w:pPr>
    </w:p>
    <w:p w14:paraId="32C5CD95" w14:textId="635E2E11" w:rsidR="005C6E8C" w:rsidRPr="00184317" w:rsidRDefault="5F584944" w:rsidP="00EE024B">
      <w:pPr>
        <w:pStyle w:val="ListParagraph"/>
        <w:numPr>
          <w:ilvl w:val="1"/>
          <w:numId w:val="14"/>
        </w:numPr>
      </w:pPr>
      <w:r w:rsidRPr="00CB2F6B">
        <w:t xml:space="preserve">Where, following notification to </w:t>
      </w:r>
      <w:r w:rsidR="685CA38C">
        <w:t>the Combined Authority</w:t>
      </w:r>
      <w:r w:rsidRPr="00CB2F6B">
        <w:t xml:space="preserve"> by the </w:t>
      </w:r>
      <w:r w:rsidR="00584EB1">
        <w:t>Tenderer</w:t>
      </w:r>
      <w:r w:rsidRPr="00CB2F6B">
        <w:t xml:space="preserve">, at any stage, of a material change in any of the information provided in the </w:t>
      </w:r>
      <w:r w:rsidR="00584EB1">
        <w:t>Tenderer</w:t>
      </w:r>
      <w:r w:rsidRPr="00CB2F6B">
        <w:t xml:space="preserve">'s response to the </w:t>
      </w:r>
      <w:r w:rsidR="00E93649">
        <w:t>SSQ</w:t>
      </w:r>
      <w:r w:rsidRPr="00CB2F6B">
        <w:t xml:space="preserve"> (or failure to give such notification), </w:t>
      </w:r>
      <w:r w:rsidR="685CA38C">
        <w:t>the Combined Authority</w:t>
      </w:r>
      <w:r w:rsidRPr="00CB2F6B">
        <w:t xml:space="preserve"> is of the opinion that the </w:t>
      </w:r>
      <w:r w:rsidR="00584EB1">
        <w:t>Tenderer</w:t>
      </w:r>
      <w:r w:rsidRPr="00CB2F6B">
        <w:t xml:space="preserve">s do not have, or are unlikely by the date of commencement of the Contract/agreement to have </w:t>
      </w:r>
      <w:r w:rsidR="007C0FC8">
        <w:t xml:space="preserve">met the requirements of the SSQ, </w:t>
      </w:r>
      <w:r w:rsidR="685CA38C">
        <w:t>the Combined Authority</w:t>
      </w:r>
      <w:r w:rsidRPr="00184317">
        <w:t xml:space="preserve"> reserves the right to disqualify the </w:t>
      </w:r>
      <w:r w:rsidR="00584EB1">
        <w:t>Tenderer</w:t>
      </w:r>
      <w:r w:rsidRPr="00184317">
        <w:t xml:space="preserve"> from the procurement process. </w:t>
      </w:r>
    </w:p>
    <w:p w14:paraId="2E0846D4" w14:textId="77777777" w:rsidR="008D0768" w:rsidRPr="00C54709" w:rsidRDefault="008D0768" w:rsidP="00184317">
      <w:pPr>
        <w:pStyle w:val="ListParagraph"/>
        <w:ind w:left="1080"/>
      </w:pPr>
    </w:p>
    <w:p w14:paraId="061903AE" w14:textId="77777777" w:rsidR="0056253B" w:rsidRPr="00184317" w:rsidRDefault="1DBAC632" w:rsidP="00EE024B">
      <w:pPr>
        <w:pStyle w:val="Heading3"/>
        <w:numPr>
          <w:ilvl w:val="0"/>
          <w:numId w:val="14"/>
        </w:numPr>
        <w:ind w:left="1134" w:hanging="708"/>
        <w:rPr>
          <w:lang w:eastAsia="en-GB"/>
        </w:rPr>
      </w:pPr>
      <w:bookmarkStart w:id="67" w:name="_Toc127213846"/>
      <w:r w:rsidRPr="00184317">
        <w:rPr>
          <w:lang w:eastAsia="en-GB"/>
        </w:rPr>
        <w:t>Conflict of Interest</w:t>
      </w:r>
      <w:bookmarkEnd w:id="67"/>
      <w:r w:rsidRPr="00184317">
        <w:rPr>
          <w:lang w:eastAsia="en-GB"/>
        </w:rPr>
        <w:t xml:space="preserve"> </w:t>
      </w:r>
    </w:p>
    <w:p w14:paraId="08AEE495" w14:textId="1162A103" w:rsidR="0056253B" w:rsidRDefault="1DBAC632" w:rsidP="00EE024B">
      <w:pPr>
        <w:pStyle w:val="ListParagraph"/>
        <w:numPr>
          <w:ilvl w:val="1"/>
          <w:numId w:val="14"/>
        </w:numPr>
      </w:pPr>
      <w:r w:rsidRPr="00184317">
        <w:t xml:space="preserve">If any conflict of interest or potential conflict of interest between the </w:t>
      </w:r>
      <w:r w:rsidR="00584EB1">
        <w:t>Tenderer</w:t>
      </w:r>
      <w:r w:rsidRPr="00184317">
        <w:t xml:space="preserve">, the </w:t>
      </w:r>
      <w:r w:rsidR="00584EB1">
        <w:t>Tenderer</w:t>
      </w:r>
      <w:r w:rsidRPr="00184317">
        <w:t xml:space="preserve">'s advisers, </w:t>
      </w:r>
      <w:r>
        <w:t>the Combined Authority</w:t>
      </w:r>
      <w:r w:rsidRPr="00184317">
        <w:t xml:space="preserve">, </w:t>
      </w:r>
      <w:r>
        <w:t>the Combined Authority</w:t>
      </w:r>
      <w:r w:rsidRPr="00184317">
        <w:t xml:space="preserve">'s </w:t>
      </w:r>
      <w:r w:rsidR="0DF26676">
        <w:t>advisers,</w:t>
      </w:r>
      <w:r w:rsidRPr="00184317">
        <w:t xml:space="preserve"> or any </w:t>
      </w:r>
      <w:r w:rsidRPr="00184317">
        <w:lastRenderedPageBreak/>
        <w:t xml:space="preserve">combination thereof becomes apparent to the </w:t>
      </w:r>
      <w:r w:rsidR="00584EB1">
        <w:t>Tenderer</w:t>
      </w:r>
      <w:r w:rsidRPr="00184317">
        <w:t xml:space="preserve">, the </w:t>
      </w:r>
      <w:r w:rsidR="00584EB1">
        <w:t>Tenderer</w:t>
      </w:r>
      <w:r w:rsidRPr="00184317">
        <w:t xml:space="preserve"> shall inform </w:t>
      </w:r>
      <w:r>
        <w:t xml:space="preserve">the Combined Authority </w:t>
      </w:r>
      <w:r w:rsidRPr="00184317">
        <w:t xml:space="preserve">immediately. In such circumstances, </w:t>
      </w:r>
      <w:r>
        <w:t xml:space="preserve">the Combined Authority </w:t>
      </w:r>
      <w:r w:rsidRPr="00184317">
        <w:t xml:space="preserve">shall, at its absolute discretion, decide on the appropriate course of action. </w:t>
      </w:r>
    </w:p>
    <w:p w14:paraId="7A8CCD18" w14:textId="77777777" w:rsidR="0056253B" w:rsidRPr="00184317" w:rsidRDefault="0056253B" w:rsidP="00184317">
      <w:pPr>
        <w:pStyle w:val="ListParagraph"/>
        <w:ind w:left="1080"/>
      </w:pPr>
    </w:p>
    <w:p w14:paraId="3883EEB6" w14:textId="725A7D66" w:rsidR="0056253B" w:rsidRDefault="1DBAC632" w:rsidP="00EE024B">
      <w:pPr>
        <w:pStyle w:val="ListParagraph"/>
        <w:numPr>
          <w:ilvl w:val="1"/>
          <w:numId w:val="14"/>
        </w:numPr>
      </w:pPr>
      <w:r w:rsidRPr="00184317">
        <w:t xml:space="preserve">If </w:t>
      </w:r>
      <w:r>
        <w:t xml:space="preserve">the Combined Authority </w:t>
      </w:r>
      <w:r w:rsidRPr="00184317">
        <w:t xml:space="preserve">becomes aware of any relevant conflict of interest that the </w:t>
      </w:r>
      <w:r w:rsidR="00584EB1">
        <w:t>Tenderer</w:t>
      </w:r>
      <w:r w:rsidRPr="00184317">
        <w:t xml:space="preserve">s have not declared to </w:t>
      </w:r>
      <w:r>
        <w:t>the Combined Authority</w:t>
      </w:r>
      <w:r w:rsidRPr="00184317">
        <w:t xml:space="preserve">, the relevant </w:t>
      </w:r>
      <w:r w:rsidR="00584EB1">
        <w:t>Tenderer</w:t>
      </w:r>
      <w:r w:rsidRPr="00184317">
        <w:t xml:space="preserve"> may be disqualified from the procurement process </w:t>
      </w:r>
    </w:p>
    <w:p w14:paraId="295A99B6" w14:textId="77777777" w:rsidR="00754500" w:rsidRDefault="00754500" w:rsidP="00754500">
      <w:pPr>
        <w:pStyle w:val="ListParagraph"/>
      </w:pPr>
    </w:p>
    <w:p w14:paraId="1A6ED7D4" w14:textId="3A0D82BB" w:rsidR="00754500" w:rsidRDefault="00584EB1" w:rsidP="00EE024B">
      <w:pPr>
        <w:pStyle w:val="ListParagraph"/>
        <w:numPr>
          <w:ilvl w:val="1"/>
          <w:numId w:val="14"/>
        </w:numPr>
      </w:pPr>
      <w:r>
        <w:t>The West of England Combined Authority’s</w:t>
      </w:r>
      <w:r w:rsidR="00E255D5">
        <w:t xml:space="preserve"> Framework consultants identified in the Tender documentation should not be approached in relation to this Tender process. </w:t>
      </w:r>
      <w:r w:rsidR="00B97882">
        <w:t>Any engagement with these consultants regarding this Tender could result in disqualification</w:t>
      </w:r>
      <w:r w:rsidR="00DE33DE">
        <w:t xml:space="preserve"> of the </w:t>
      </w:r>
      <w:r>
        <w:t>Tenderer</w:t>
      </w:r>
      <w:r w:rsidR="00DE33DE">
        <w:t>.</w:t>
      </w:r>
    </w:p>
    <w:p w14:paraId="68696C7A" w14:textId="77777777" w:rsidR="00374005" w:rsidRDefault="00374005" w:rsidP="00BA0B93">
      <w:pPr>
        <w:pStyle w:val="ListParagraph"/>
      </w:pPr>
    </w:p>
    <w:p w14:paraId="3BCADE86" w14:textId="7FE1D70A" w:rsidR="00374005" w:rsidRPr="000122DB" w:rsidRDefault="00E91ED8" w:rsidP="000122DB">
      <w:pPr>
        <w:pStyle w:val="Heading3"/>
        <w:numPr>
          <w:ilvl w:val="0"/>
          <w:numId w:val="14"/>
        </w:numPr>
        <w:ind w:left="1134" w:hanging="708"/>
        <w:rPr>
          <w:lang w:eastAsia="en-GB"/>
        </w:rPr>
      </w:pPr>
      <w:bookmarkStart w:id="68" w:name="_Toc127213847"/>
      <w:r>
        <w:rPr>
          <w:lang w:eastAsia="en-GB"/>
        </w:rPr>
        <w:t>Social Value</w:t>
      </w:r>
      <w:bookmarkEnd w:id="68"/>
    </w:p>
    <w:p w14:paraId="296D32F0" w14:textId="175122E2" w:rsidR="00B36316" w:rsidRPr="00235B96" w:rsidRDefault="00B36316" w:rsidP="00677ABD">
      <w:pPr>
        <w:pStyle w:val="ListParagraph"/>
        <w:numPr>
          <w:ilvl w:val="1"/>
          <w:numId w:val="14"/>
        </w:numPr>
      </w:pPr>
      <w:r w:rsidRPr="00235B96">
        <w:t xml:space="preserve">The </w:t>
      </w:r>
      <w:r w:rsidR="009315B9">
        <w:t xml:space="preserve">Combined </w:t>
      </w:r>
      <w:r w:rsidRPr="00235B96">
        <w:t xml:space="preserve">Authority takes account of social value in the award of contracts using the Social Value Model. This model defines social value through a series of priority themes and policy outcomes. It is designed to take account of the additional social benefits that can be achieved through the delivery of contracts, using policy outcomes aligned to Government priorities and </w:t>
      </w:r>
      <w:r w:rsidR="006B72A2">
        <w:t>t</w:t>
      </w:r>
      <w:r w:rsidRPr="00235B96">
        <w:t xml:space="preserve">he </w:t>
      </w:r>
      <w:r w:rsidR="009315B9">
        <w:t xml:space="preserve">Combined </w:t>
      </w:r>
      <w:r w:rsidRPr="00235B96">
        <w:t>Authority</w:t>
      </w:r>
      <w:r w:rsidR="006B72A2">
        <w:t>’s</w:t>
      </w:r>
      <w:r w:rsidRPr="00235B96">
        <w:t xml:space="preserve"> themes (life skills &amp; independent living; employability &amp; work readiness; volunteering &amp; social action). </w:t>
      </w:r>
    </w:p>
    <w:p w14:paraId="5D47FC86" w14:textId="77777777" w:rsidR="00B36316" w:rsidRDefault="00B36316" w:rsidP="00B36316">
      <w:pPr>
        <w:pStyle w:val="ListParagraph"/>
        <w:rPr>
          <w:rFonts w:cs="Arial"/>
        </w:rPr>
      </w:pPr>
    </w:p>
    <w:p w14:paraId="2DAF8AA1" w14:textId="77777777" w:rsidR="00B36316" w:rsidRPr="00235B96" w:rsidRDefault="00B36316" w:rsidP="00677ABD">
      <w:pPr>
        <w:pStyle w:val="ListParagraph"/>
        <w:numPr>
          <w:ilvl w:val="1"/>
          <w:numId w:val="14"/>
        </w:numPr>
      </w:pPr>
      <w:r w:rsidRPr="00235B96">
        <w:t>For more information on the Social Value Model, please visit: Social Value Act: information and resources and The Social Value Model</w:t>
      </w:r>
    </w:p>
    <w:p w14:paraId="4266162F" w14:textId="77777777" w:rsidR="00B36316" w:rsidRPr="00235B96" w:rsidRDefault="00B36316" w:rsidP="00B36316">
      <w:pPr>
        <w:pStyle w:val="Body"/>
        <w:ind w:left="709" w:firstLine="0"/>
      </w:pPr>
    </w:p>
    <w:p w14:paraId="616DDECA" w14:textId="41F0D3EA" w:rsidR="00077997" w:rsidRDefault="00B36316" w:rsidP="00677ABD">
      <w:pPr>
        <w:pStyle w:val="ListParagraph"/>
        <w:numPr>
          <w:ilvl w:val="1"/>
          <w:numId w:val="14"/>
        </w:numPr>
      </w:pPr>
      <w:r w:rsidRPr="00235B96">
        <w:t>The</w:t>
      </w:r>
      <w:r w:rsidR="006B72A2">
        <w:t xml:space="preserve"> Combined</w:t>
      </w:r>
      <w:r w:rsidRPr="00235B96">
        <w:t xml:space="preserve"> </w:t>
      </w:r>
      <w:r>
        <w:t>Authority</w:t>
      </w:r>
      <w:r w:rsidRPr="00235B96">
        <w:t xml:space="preserve"> has identified the following social value policy outcomes (as stated in </w:t>
      </w:r>
      <w:r w:rsidR="00541EFD">
        <w:t xml:space="preserve">ITT </w:t>
      </w:r>
      <w:r w:rsidRPr="00235B96">
        <w:t xml:space="preserve">Appendix K – Social Value Delivery Plan): </w:t>
      </w:r>
    </w:p>
    <w:p w14:paraId="55D19D7D" w14:textId="77777777" w:rsidR="00077997" w:rsidRDefault="00077997">
      <w:r>
        <w:br w:type="page"/>
      </w:r>
    </w:p>
    <w:p w14:paraId="59CE7FC8" w14:textId="5D4C1661" w:rsidR="00B36316" w:rsidRPr="00677ABD" w:rsidRDefault="00964F04" w:rsidP="00677ABD">
      <w:pPr>
        <w:pStyle w:val="Caption"/>
        <w:ind w:left="360" w:firstLine="720"/>
        <w:rPr>
          <w:rFonts w:ascii="Arial" w:eastAsia="Montserrat" w:hAnsi="Arial" w:cs="Arial"/>
          <w:b/>
          <w:sz w:val="20"/>
          <w:szCs w:val="20"/>
        </w:rPr>
      </w:pPr>
      <w:r w:rsidRPr="00677ABD">
        <w:rPr>
          <w:sz w:val="20"/>
          <w:szCs w:val="20"/>
        </w:rPr>
        <w:lastRenderedPageBreak/>
        <w:t xml:space="preserve">Table </w:t>
      </w:r>
      <w:r w:rsidRPr="00677ABD">
        <w:rPr>
          <w:sz w:val="20"/>
          <w:szCs w:val="20"/>
        </w:rPr>
        <w:fldChar w:fldCharType="begin"/>
      </w:r>
      <w:r w:rsidRPr="00677ABD">
        <w:rPr>
          <w:sz w:val="20"/>
          <w:szCs w:val="20"/>
        </w:rPr>
        <w:instrText xml:space="preserve"> SEQ Table \* ARABIC </w:instrText>
      </w:r>
      <w:r w:rsidRPr="00677ABD">
        <w:rPr>
          <w:sz w:val="20"/>
          <w:szCs w:val="20"/>
        </w:rPr>
        <w:fldChar w:fldCharType="separate"/>
      </w:r>
      <w:r w:rsidR="0061249C">
        <w:rPr>
          <w:noProof/>
          <w:sz w:val="20"/>
          <w:szCs w:val="20"/>
        </w:rPr>
        <w:t>6</w:t>
      </w:r>
      <w:r w:rsidRPr="00677ABD">
        <w:rPr>
          <w:sz w:val="20"/>
          <w:szCs w:val="20"/>
        </w:rPr>
        <w:fldChar w:fldCharType="end"/>
      </w:r>
      <w:r w:rsidRPr="00677ABD">
        <w:rPr>
          <w:sz w:val="20"/>
          <w:szCs w:val="20"/>
        </w:rPr>
        <w:t xml:space="preserve"> - Social Value Model Policy Outcomes</w:t>
      </w:r>
    </w:p>
    <w:tbl>
      <w:tblPr>
        <w:tblW w:w="8790"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3"/>
        <w:gridCol w:w="5107"/>
      </w:tblGrid>
      <w:tr w:rsidR="00B36316" w:rsidRPr="00390352" w14:paraId="54D622C9" w14:textId="77777777" w:rsidTr="001627E7">
        <w:tc>
          <w:tcPr>
            <w:tcW w:w="3683" w:type="dxa"/>
            <w:tcBorders>
              <w:top w:val="single" w:sz="4" w:space="0" w:color="000000"/>
              <w:left w:val="single" w:sz="4" w:space="0" w:color="000000"/>
              <w:bottom w:val="single" w:sz="4" w:space="0" w:color="000000"/>
              <w:right w:val="single" w:sz="4" w:space="0" w:color="000000"/>
            </w:tcBorders>
            <w:shd w:val="clear" w:color="auto" w:fill="002060"/>
            <w:hideMark/>
          </w:tcPr>
          <w:p w14:paraId="0F9BD9D5" w14:textId="77777777" w:rsidR="00B36316" w:rsidRPr="00677ABD" w:rsidRDefault="00B36316" w:rsidP="001627E7">
            <w:pPr>
              <w:rPr>
                <w:rFonts w:eastAsia="Montserrat" w:cstheme="minorHAnsi"/>
                <w:b/>
                <w:color w:val="FFFFFF"/>
              </w:rPr>
            </w:pPr>
            <w:r w:rsidRPr="00677ABD">
              <w:rPr>
                <w:rFonts w:eastAsia="Montserrat" w:cstheme="minorHAnsi"/>
                <w:b/>
                <w:color w:val="FFFFFF"/>
              </w:rPr>
              <w:t>Social Value Model Policy Theme</w:t>
            </w:r>
          </w:p>
        </w:tc>
        <w:tc>
          <w:tcPr>
            <w:tcW w:w="5107" w:type="dxa"/>
            <w:tcBorders>
              <w:top w:val="single" w:sz="4" w:space="0" w:color="000000"/>
              <w:left w:val="single" w:sz="4" w:space="0" w:color="000000"/>
              <w:bottom w:val="single" w:sz="4" w:space="0" w:color="000000"/>
              <w:right w:val="single" w:sz="4" w:space="0" w:color="000000"/>
            </w:tcBorders>
            <w:shd w:val="clear" w:color="auto" w:fill="002060"/>
            <w:hideMark/>
          </w:tcPr>
          <w:p w14:paraId="69008AB5" w14:textId="77777777" w:rsidR="00B36316" w:rsidRPr="00677ABD" w:rsidRDefault="00B36316" w:rsidP="001627E7">
            <w:pPr>
              <w:rPr>
                <w:rFonts w:eastAsia="Montserrat" w:cstheme="minorHAnsi"/>
                <w:b/>
                <w:color w:val="FFFFFF"/>
              </w:rPr>
            </w:pPr>
            <w:r w:rsidRPr="00677ABD">
              <w:rPr>
                <w:rFonts w:eastAsia="Montserrat" w:cstheme="minorHAnsi"/>
                <w:b/>
                <w:color w:val="FFFFFF"/>
              </w:rPr>
              <w:t>Social Value Policy Outcomes</w:t>
            </w:r>
          </w:p>
        </w:tc>
      </w:tr>
      <w:tr w:rsidR="00B36316" w:rsidRPr="00390352" w14:paraId="5ED09908" w14:textId="77777777" w:rsidTr="001627E7">
        <w:tc>
          <w:tcPr>
            <w:tcW w:w="3683" w:type="dxa"/>
            <w:tcBorders>
              <w:top w:val="single" w:sz="4" w:space="0" w:color="000000"/>
              <w:left w:val="single" w:sz="4" w:space="0" w:color="000000"/>
              <w:bottom w:val="single" w:sz="4" w:space="0" w:color="000000"/>
              <w:right w:val="single" w:sz="4" w:space="0" w:color="000000"/>
            </w:tcBorders>
            <w:hideMark/>
          </w:tcPr>
          <w:p w14:paraId="36015B7A" w14:textId="77777777" w:rsidR="00B36316" w:rsidRPr="00677ABD" w:rsidRDefault="00B36316" w:rsidP="001627E7">
            <w:r w:rsidRPr="00677ABD">
              <w:t>Theme 1: COVID-19 Recovery</w:t>
            </w:r>
          </w:p>
        </w:tc>
        <w:tc>
          <w:tcPr>
            <w:tcW w:w="5107" w:type="dxa"/>
            <w:tcBorders>
              <w:top w:val="single" w:sz="4" w:space="0" w:color="000000"/>
              <w:left w:val="single" w:sz="4" w:space="0" w:color="000000"/>
              <w:bottom w:val="single" w:sz="4" w:space="0" w:color="000000"/>
              <w:right w:val="single" w:sz="4" w:space="0" w:color="000000"/>
            </w:tcBorders>
            <w:hideMark/>
          </w:tcPr>
          <w:p w14:paraId="6D1F24B8" w14:textId="77777777" w:rsidR="00B36316" w:rsidRPr="00677ABD" w:rsidRDefault="00B36316" w:rsidP="001627E7">
            <w:r w:rsidRPr="00677ABD">
              <w:t>Help local communities to manage and recover from the impact of COVID-19</w:t>
            </w:r>
          </w:p>
        </w:tc>
      </w:tr>
      <w:tr w:rsidR="00B36316" w:rsidRPr="00390352" w14:paraId="08E748EC" w14:textId="77777777" w:rsidTr="001627E7">
        <w:tc>
          <w:tcPr>
            <w:tcW w:w="3683" w:type="dxa"/>
            <w:vMerge w:val="restart"/>
            <w:tcBorders>
              <w:top w:val="single" w:sz="4" w:space="0" w:color="000000"/>
              <w:left w:val="single" w:sz="4" w:space="0" w:color="000000"/>
              <w:bottom w:val="single" w:sz="4" w:space="0" w:color="000000"/>
              <w:right w:val="single" w:sz="4" w:space="0" w:color="000000"/>
            </w:tcBorders>
            <w:hideMark/>
          </w:tcPr>
          <w:p w14:paraId="038BC138" w14:textId="77777777" w:rsidR="00B36316" w:rsidRPr="00677ABD" w:rsidRDefault="00B36316" w:rsidP="001627E7">
            <w:r w:rsidRPr="00677ABD">
              <w:t>Theme 2: Tackling Economic Inequality</w:t>
            </w:r>
          </w:p>
        </w:tc>
        <w:tc>
          <w:tcPr>
            <w:tcW w:w="5107" w:type="dxa"/>
            <w:tcBorders>
              <w:top w:val="single" w:sz="4" w:space="0" w:color="000000"/>
              <w:left w:val="single" w:sz="4" w:space="0" w:color="000000"/>
              <w:bottom w:val="single" w:sz="4" w:space="0" w:color="000000"/>
              <w:right w:val="single" w:sz="4" w:space="0" w:color="000000"/>
            </w:tcBorders>
            <w:hideMark/>
          </w:tcPr>
          <w:p w14:paraId="238037BE" w14:textId="77777777" w:rsidR="00B36316" w:rsidRPr="00677ABD" w:rsidRDefault="00B36316" w:rsidP="001627E7">
            <w:r w:rsidRPr="00677ABD">
              <w:t>Create new businesses, new jobs, new skills</w:t>
            </w:r>
          </w:p>
        </w:tc>
      </w:tr>
      <w:tr w:rsidR="00B36316" w:rsidRPr="00390352" w14:paraId="6700BB88" w14:textId="77777777" w:rsidTr="001627E7">
        <w:tc>
          <w:tcPr>
            <w:tcW w:w="3683" w:type="dxa"/>
            <w:vMerge/>
            <w:tcBorders>
              <w:top w:val="single" w:sz="4" w:space="0" w:color="000000"/>
              <w:left w:val="single" w:sz="4" w:space="0" w:color="000000"/>
              <w:bottom w:val="single" w:sz="4" w:space="0" w:color="000000"/>
              <w:right w:val="single" w:sz="4" w:space="0" w:color="000000"/>
            </w:tcBorders>
            <w:vAlign w:val="center"/>
            <w:hideMark/>
          </w:tcPr>
          <w:p w14:paraId="2BE5317E" w14:textId="77777777" w:rsidR="00B36316" w:rsidRPr="00677ABD" w:rsidRDefault="00B36316" w:rsidP="001627E7"/>
        </w:tc>
        <w:tc>
          <w:tcPr>
            <w:tcW w:w="5107" w:type="dxa"/>
            <w:tcBorders>
              <w:top w:val="single" w:sz="4" w:space="0" w:color="000000"/>
              <w:left w:val="single" w:sz="4" w:space="0" w:color="000000"/>
              <w:bottom w:val="single" w:sz="4" w:space="0" w:color="000000"/>
              <w:right w:val="single" w:sz="4" w:space="0" w:color="000000"/>
            </w:tcBorders>
            <w:hideMark/>
          </w:tcPr>
          <w:p w14:paraId="12A88B9D" w14:textId="77777777" w:rsidR="00B36316" w:rsidRPr="00677ABD" w:rsidRDefault="00B36316" w:rsidP="001627E7">
            <w:r w:rsidRPr="00677ABD">
              <w:t>Increase supply chain resilience and capacity</w:t>
            </w:r>
          </w:p>
        </w:tc>
      </w:tr>
      <w:tr w:rsidR="00B36316" w:rsidRPr="00390352" w14:paraId="4E24A8A2" w14:textId="77777777" w:rsidTr="001627E7">
        <w:tc>
          <w:tcPr>
            <w:tcW w:w="3683" w:type="dxa"/>
            <w:tcBorders>
              <w:top w:val="single" w:sz="4" w:space="0" w:color="000000"/>
              <w:left w:val="single" w:sz="4" w:space="0" w:color="000000"/>
              <w:bottom w:val="single" w:sz="4" w:space="0" w:color="000000"/>
              <w:right w:val="single" w:sz="4" w:space="0" w:color="000000"/>
            </w:tcBorders>
            <w:hideMark/>
          </w:tcPr>
          <w:p w14:paraId="222744C6" w14:textId="77777777" w:rsidR="00B36316" w:rsidRPr="00677ABD" w:rsidRDefault="00B36316" w:rsidP="001627E7">
            <w:r w:rsidRPr="00677ABD">
              <w:t>Theme 3: Fighting Climate Change</w:t>
            </w:r>
          </w:p>
        </w:tc>
        <w:tc>
          <w:tcPr>
            <w:tcW w:w="5107" w:type="dxa"/>
            <w:tcBorders>
              <w:top w:val="single" w:sz="4" w:space="0" w:color="000000"/>
              <w:left w:val="single" w:sz="4" w:space="0" w:color="000000"/>
              <w:bottom w:val="single" w:sz="4" w:space="0" w:color="000000"/>
              <w:right w:val="single" w:sz="4" w:space="0" w:color="000000"/>
            </w:tcBorders>
            <w:hideMark/>
          </w:tcPr>
          <w:p w14:paraId="578616C7" w14:textId="77777777" w:rsidR="00B36316" w:rsidRPr="00677ABD" w:rsidRDefault="00B36316" w:rsidP="001627E7">
            <w:r w:rsidRPr="00677ABD">
              <w:t>Effective stewardship of the environment</w:t>
            </w:r>
          </w:p>
        </w:tc>
      </w:tr>
      <w:tr w:rsidR="00B36316" w:rsidRPr="00390352" w14:paraId="11DEDA49" w14:textId="77777777" w:rsidTr="001627E7">
        <w:tc>
          <w:tcPr>
            <w:tcW w:w="3683" w:type="dxa"/>
            <w:vMerge w:val="restart"/>
            <w:tcBorders>
              <w:top w:val="single" w:sz="4" w:space="0" w:color="000000"/>
              <w:left w:val="single" w:sz="4" w:space="0" w:color="000000"/>
              <w:right w:val="single" w:sz="4" w:space="0" w:color="000000"/>
            </w:tcBorders>
            <w:hideMark/>
          </w:tcPr>
          <w:p w14:paraId="6F662E9B" w14:textId="77777777" w:rsidR="00B36316" w:rsidRPr="00677ABD" w:rsidRDefault="00B36316" w:rsidP="001627E7">
            <w:r w:rsidRPr="00677ABD">
              <w:t>Theme 4: Equal Opportunities</w:t>
            </w:r>
          </w:p>
        </w:tc>
        <w:tc>
          <w:tcPr>
            <w:tcW w:w="5107" w:type="dxa"/>
            <w:tcBorders>
              <w:top w:val="single" w:sz="4" w:space="0" w:color="000000"/>
              <w:left w:val="single" w:sz="4" w:space="0" w:color="000000"/>
              <w:bottom w:val="single" w:sz="4" w:space="0" w:color="000000"/>
              <w:right w:val="single" w:sz="4" w:space="0" w:color="000000"/>
            </w:tcBorders>
            <w:hideMark/>
          </w:tcPr>
          <w:p w14:paraId="3E16F5C2" w14:textId="77777777" w:rsidR="00B36316" w:rsidRPr="00677ABD" w:rsidRDefault="00B36316" w:rsidP="001627E7">
            <w:r w:rsidRPr="00677ABD">
              <w:t>Reduce the disability employment gap</w:t>
            </w:r>
          </w:p>
        </w:tc>
      </w:tr>
      <w:tr w:rsidR="00B36316" w:rsidRPr="00390352" w14:paraId="78FA92AD" w14:textId="77777777" w:rsidTr="001627E7">
        <w:tc>
          <w:tcPr>
            <w:tcW w:w="3683" w:type="dxa"/>
            <w:vMerge/>
            <w:tcBorders>
              <w:left w:val="single" w:sz="4" w:space="0" w:color="000000"/>
              <w:bottom w:val="single" w:sz="4" w:space="0" w:color="000000"/>
              <w:right w:val="single" w:sz="4" w:space="0" w:color="000000"/>
            </w:tcBorders>
          </w:tcPr>
          <w:p w14:paraId="2D68EEF3" w14:textId="77777777" w:rsidR="00B36316" w:rsidRPr="00677ABD" w:rsidRDefault="00B36316" w:rsidP="001627E7"/>
        </w:tc>
        <w:tc>
          <w:tcPr>
            <w:tcW w:w="5107" w:type="dxa"/>
            <w:tcBorders>
              <w:top w:val="single" w:sz="4" w:space="0" w:color="000000"/>
              <w:left w:val="single" w:sz="4" w:space="0" w:color="000000"/>
              <w:bottom w:val="single" w:sz="4" w:space="0" w:color="000000"/>
              <w:right w:val="single" w:sz="4" w:space="0" w:color="000000"/>
            </w:tcBorders>
            <w:hideMark/>
          </w:tcPr>
          <w:p w14:paraId="2DA39E3F" w14:textId="77777777" w:rsidR="00B36316" w:rsidRPr="00677ABD" w:rsidRDefault="00B36316" w:rsidP="001627E7">
            <w:r w:rsidRPr="00677ABD">
              <w:t>Tackle workforce inequality</w:t>
            </w:r>
          </w:p>
        </w:tc>
      </w:tr>
      <w:tr w:rsidR="00B36316" w:rsidRPr="00390352" w14:paraId="43EB3DCB" w14:textId="77777777" w:rsidTr="001627E7">
        <w:tc>
          <w:tcPr>
            <w:tcW w:w="3683" w:type="dxa"/>
            <w:vMerge w:val="restart"/>
            <w:tcBorders>
              <w:top w:val="single" w:sz="4" w:space="0" w:color="000000"/>
              <w:left w:val="single" w:sz="4" w:space="0" w:color="000000"/>
              <w:bottom w:val="single" w:sz="4" w:space="0" w:color="000000"/>
              <w:right w:val="single" w:sz="4" w:space="0" w:color="000000"/>
            </w:tcBorders>
            <w:hideMark/>
          </w:tcPr>
          <w:p w14:paraId="3FD9F51A" w14:textId="77777777" w:rsidR="00B36316" w:rsidRPr="00677ABD" w:rsidRDefault="00B36316" w:rsidP="001627E7">
            <w:r w:rsidRPr="00677ABD">
              <w:t>Theme 5: Wellbeing</w:t>
            </w:r>
          </w:p>
        </w:tc>
        <w:tc>
          <w:tcPr>
            <w:tcW w:w="5107" w:type="dxa"/>
            <w:tcBorders>
              <w:top w:val="single" w:sz="4" w:space="0" w:color="000000"/>
              <w:left w:val="single" w:sz="4" w:space="0" w:color="000000"/>
              <w:bottom w:val="single" w:sz="4" w:space="0" w:color="000000"/>
              <w:right w:val="single" w:sz="4" w:space="0" w:color="000000"/>
            </w:tcBorders>
            <w:hideMark/>
          </w:tcPr>
          <w:p w14:paraId="279CC2D5" w14:textId="77777777" w:rsidR="00B36316" w:rsidRPr="00677ABD" w:rsidRDefault="00B36316" w:rsidP="001627E7">
            <w:r w:rsidRPr="00677ABD">
              <w:t>Improve health and wellbeing</w:t>
            </w:r>
          </w:p>
        </w:tc>
      </w:tr>
      <w:tr w:rsidR="00B36316" w:rsidRPr="00390352" w14:paraId="6FA743D7" w14:textId="77777777" w:rsidTr="001627E7">
        <w:tc>
          <w:tcPr>
            <w:tcW w:w="3683" w:type="dxa"/>
            <w:vMerge/>
            <w:tcBorders>
              <w:top w:val="single" w:sz="4" w:space="0" w:color="000000"/>
              <w:left w:val="single" w:sz="4" w:space="0" w:color="000000"/>
              <w:bottom w:val="single" w:sz="4" w:space="0" w:color="000000"/>
              <w:right w:val="single" w:sz="4" w:space="0" w:color="000000"/>
            </w:tcBorders>
            <w:vAlign w:val="center"/>
            <w:hideMark/>
          </w:tcPr>
          <w:p w14:paraId="32AE7B79" w14:textId="77777777" w:rsidR="00B36316" w:rsidRPr="00677ABD" w:rsidRDefault="00B36316" w:rsidP="001627E7"/>
        </w:tc>
        <w:tc>
          <w:tcPr>
            <w:tcW w:w="5107" w:type="dxa"/>
            <w:tcBorders>
              <w:top w:val="single" w:sz="4" w:space="0" w:color="000000"/>
              <w:left w:val="single" w:sz="4" w:space="0" w:color="000000"/>
              <w:bottom w:val="single" w:sz="4" w:space="0" w:color="000000"/>
              <w:right w:val="single" w:sz="4" w:space="0" w:color="000000"/>
            </w:tcBorders>
            <w:hideMark/>
          </w:tcPr>
          <w:p w14:paraId="6AC3ABEB" w14:textId="77777777" w:rsidR="00B36316" w:rsidRPr="00677ABD" w:rsidRDefault="00B36316" w:rsidP="001627E7">
            <w:r w:rsidRPr="00677ABD">
              <w:t>Improve community cohesion</w:t>
            </w:r>
          </w:p>
        </w:tc>
      </w:tr>
    </w:tbl>
    <w:p w14:paraId="7EE27767" w14:textId="77777777" w:rsidR="00B36316" w:rsidRPr="00235B96" w:rsidRDefault="00B36316" w:rsidP="00B36316">
      <w:pPr>
        <w:pStyle w:val="Body"/>
        <w:ind w:left="709" w:firstLine="0"/>
      </w:pPr>
    </w:p>
    <w:p w14:paraId="510BA4A0" w14:textId="77777777" w:rsidR="00B36316" w:rsidRPr="00235B96" w:rsidRDefault="00B36316" w:rsidP="00677ABD">
      <w:pPr>
        <w:pStyle w:val="ListParagraph"/>
        <w:numPr>
          <w:ilvl w:val="1"/>
          <w:numId w:val="14"/>
        </w:numPr>
      </w:pPr>
      <w:r w:rsidRPr="00235B96">
        <w:t>For each policy outcome outlined above tenderers should refer to Appendix K– Social Value Delivery Plan “SV Definitions” tab. The illustrative guidance provides options and illustrative examples for tenderers however, these are NOT mandatory. Tenderers are encouraged to offer social value benefits which are relevant and proportionate to the number and value of services they are tendering for and within their capability and capacity to do so. Tenderers may choose to offer alternatives which align to the chosen policy outcome theme stated in table above.</w:t>
      </w:r>
    </w:p>
    <w:p w14:paraId="46B771DB" w14:textId="77777777" w:rsidR="00B36316" w:rsidRPr="00235B96" w:rsidRDefault="00B36316" w:rsidP="00B36316">
      <w:pPr>
        <w:pStyle w:val="Body"/>
        <w:ind w:left="709" w:firstLine="0"/>
      </w:pPr>
    </w:p>
    <w:p w14:paraId="0697AF56" w14:textId="77777777" w:rsidR="00B36316" w:rsidRPr="00235B96" w:rsidRDefault="00B36316" w:rsidP="00677ABD">
      <w:pPr>
        <w:pStyle w:val="ListParagraph"/>
        <w:numPr>
          <w:ilvl w:val="1"/>
          <w:numId w:val="14"/>
        </w:numPr>
      </w:pPr>
      <w:r w:rsidRPr="00235B96">
        <w:t>Tenderers will be evaluated on the quality of the overall response, not the quantity of items offered, using the evaluation scoring criteria in table below.</w:t>
      </w:r>
    </w:p>
    <w:p w14:paraId="042E2261" w14:textId="6090AADB" w:rsidR="00B36316" w:rsidRPr="005748E1" w:rsidRDefault="00B36316" w:rsidP="00B36316">
      <w:pPr>
        <w:pStyle w:val="ListParagraph"/>
        <w:rPr>
          <w:rFonts w:cs="Arial"/>
        </w:rPr>
      </w:pPr>
    </w:p>
    <w:p w14:paraId="78E99630" w14:textId="5905A50D" w:rsidR="00B36316" w:rsidRPr="00771198" w:rsidRDefault="00E238DC" w:rsidP="00677ABD">
      <w:pPr>
        <w:pStyle w:val="Caption"/>
        <w:ind w:firstLine="720"/>
        <w:rPr>
          <w:rFonts w:ascii="Montserrat" w:eastAsia="Montserrat" w:hAnsi="Montserrat" w:cs="Montserrat"/>
          <w:b/>
          <w:color w:val="000000"/>
        </w:rPr>
      </w:pPr>
      <w:r>
        <w:t xml:space="preserve">Table </w:t>
      </w:r>
      <w:r w:rsidR="00335203">
        <w:fldChar w:fldCharType="begin"/>
      </w:r>
      <w:r w:rsidR="00335203">
        <w:instrText xml:space="preserve"> SEQ Table \* ARABIC </w:instrText>
      </w:r>
      <w:r w:rsidR="00335203">
        <w:fldChar w:fldCharType="separate"/>
      </w:r>
      <w:r w:rsidR="0061249C">
        <w:rPr>
          <w:noProof/>
        </w:rPr>
        <w:t>7</w:t>
      </w:r>
      <w:r w:rsidR="00335203">
        <w:rPr>
          <w:noProof/>
        </w:rPr>
        <w:fldChar w:fldCharType="end"/>
      </w:r>
      <w:r>
        <w:t xml:space="preserve"> - </w:t>
      </w:r>
      <w:r w:rsidRPr="00DA287B">
        <w:t>Social Value - Evaluation Scoring Criteria</w:t>
      </w:r>
    </w:p>
    <w:tbl>
      <w:tblPr>
        <w:tblW w:w="9645" w:type="dxa"/>
        <w:tblInd w:w="699" w:type="dxa"/>
        <w:tblLayout w:type="fixed"/>
        <w:tblLook w:val="0400" w:firstRow="0" w:lastRow="0" w:firstColumn="0" w:lastColumn="0" w:noHBand="0" w:noVBand="1"/>
      </w:tblPr>
      <w:tblGrid>
        <w:gridCol w:w="1844"/>
        <w:gridCol w:w="993"/>
        <w:gridCol w:w="6808"/>
      </w:tblGrid>
      <w:tr w:rsidR="00B36316" w:rsidRPr="00390352" w14:paraId="6CEC8168" w14:textId="77777777" w:rsidTr="001627E7">
        <w:trPr>
          <w:trHeight w:val="415"/>
        </w:trPr>
        <w:tc>
          <w:tcPr>
            <w:tcW w:w="1844" w:type="dxa"/>
            <w:tcBorders>
              <w:top w:val="single" w:sz="8" w:space="0" w:color="000000"/>
              <w:left w:val="single" w:sz="8" w:space="0" w:color="000000"/>
              <w:bottom w:val="single" w:sz="8" w:space="0" w:color="000000"/>
              <w:right w:val="single" w:sz="8" w:space="0" w:color="000000"/>
            </w:tcBorders>
            <w:shd w:val="clear" w:color="auto" w:fill="002060"/>
            <w:tcMar>
              <w:top w:w="100" w:type="dxa"/>
              <w:left w:w="100" w:type="dxa"/>
              <w:bottom w:w="100" w:type="dxa"/>
              <w:right w:w="100" w:type="dxa"/>
            </w:tcMar>
            <w:hideMark/>
          </w:tcPr>
          <w:p w14:paraId="34339D0F" w14:textId="77777777" w:rsidR="00B36316" w:rsidRPr="00677ABD" w:rsidRDefault="00B36316" w:rsidP="001627E7">
            <w:pPr>
              <w:ind w:left="189"/>
              <w:rPr>
                <w:rFonts w:eastAsia="Montserrat" w:cstheme="minorHAnsi"/>
                <w:b/>
                <w:color w:val="FFFFFF"/>
              </w:rPr>
            </w:pPr>
            <w:r w:rsidRPr="00677ABD">
              <w:rPr>
                <w:rFonts w:eastAsia="Montserrat" w:cstheme="minorHAnsi"/>
                <w:b/>
                <w:color w:val="FFFFFF"/>
              </w:rPr>
              <w:t>Classification</w:t>
            </w:r>
          </w:p>
        </w:tc>
        <w:tc>
          <w:tcPr>
            <w:tcW w:w="993" w:type="dxa"/>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15" w:type="dxa"/>
              <w:right w:w="15" w:type="dxa"/>
            </w:tcMar>
            <w:hideMark/>
          </w:tcPr>
          <w:p w14:paraId="3B1D1866" w14:textId="77777777" w:rsidR="00B36316" w:rsidRPr="00677ABD" w:rsidRDefault="00B36316" w:rsidP="001627E7">
            <w:pPr>
              <w:jc w:val="center"/>
              <w:rPr>
                <w:rFonts w:eastAsia="Montserrat" w:cstheme="minorHAnsi"/>
                <w:b/>
                <w:color w:val="FFFFFF"/>
              </w:rPr>
            </w:pPr>
            <w:r w:rsidRPr="00677ABD">
              <w:rPr>
                <w:rFonts w:eastAsia="Montserrat" w:cstheme="minorHAnsi"/>
                <w:b/>
                <w:color w:val="FFFFFF"/>
              </w:rPr>
              <w:t>Score</w:t>
            </w:r>
          </w:p>
        </w:tc>
        <w:tc>
          <w:tcPr>
            <w:tcW w:w="6808" w:type="dxa"/>
            <w:tcBorders>
              <w:top w:val="single" w:sz="8" w:space="0" w:color="000000"/>
              <w:left w:val="single" w:sz="8" w:space="0" w:color="000000"/>
              <w:bottom w:val="single" w:sz="8" w:space="0" w:color="000000"/>
              <w:right w:val="single" w:sz="8" w:space="0" w:color="000000"/>
            </w:tcBorders>
            <w:shd w:val="clear" w:color="auto" w:fill="002060"/>
            <w:tcMar>
              <w:top w:w="100" w:type="dxa"/>
              <w:left w:w="100" w:type="dxa"/>
              <w:bottom w:w="100" w:type="dxa"/>
              <w:right w:w="100" w:type="dxa"/>
            </w:tcMar>
            <w:hideMark/>
          </w:tcPr>
          <w:p w14:paraId="663DD3A0" w14:textId="77777777" w:rsidR="00B36316" w:rsidRPr="00677ABD" w:rsidRDefault="00B36316" w:rsidP="001627E7">
            <w:pPr>
              <w:ind w:left="332"/>
              <w:rPr>
                <w:rFonts w:eastAsia="Montserrat" w:cstheme="minorHAnsi"/>
                <w:b/>
                <w:color w:val="FFFFFF"/>
              </w:rPr>
            </w:pPr>
            <w:r w:rsidRPr="00677ABD">
              <w:rPr>
                <w:rFonts w:eastAsia="Montserrat" w:cstheme="minorHAnsi"/>
                <w:b/>
                <w:color w:val="FFFFFF"/>
              </w:rPr>
              <w:t xml:space="preserve">Social Value Scoring Methodology </w:t>
            </w:r>
          </w:p>
        </w:tc>
      </w:tr>
      <w:tr w:rsidR="00B36316" w:rsidRPr="00390352" w14:paraId="6F466D15" w14:textId="77777777" w:rsidTr="001627E7">
        <w:trPr>
          <w:trHeight w:val="348"/>
        </w:trPr>
        <w:tc>
          <w:tcPr>
            <w:tcW w:w="1844"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482D5C48" w14:textId="77777777" w:rsidR="00B36316" w:rsidRPr="00677ABD" w:rsidRDefault="00B36316" w:rsidP="001627E7">
            <w:pPr>
              <w:ind w:left="189"/>
              <w:rPr>
                <w:rFonts w:eastAsia="Montserrat" w:cstheme="minorHAnsi"/>
                <w:color w:val="000000"/>
              </w:rPr>
            </w:pPr>
            <w:r w:rsidRPr="00677ABD">
              <w:rPr>
                <w:rFonts w:eastAsia="Montserrat" w:cstheme="minorHAnsi"/>
                <w:b/>
                <w:color w:val="000000"/>
              </w:rPr>
              <w:t>Fail</w:t>
            </w:r>
          </w:p>
        </w:tc>
        <w:tc>
          <w:tcPr>
            <w:tcW w:w="9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F3A0668" w14:textId="1B8B41BE" w:rsidR="00B36316" w:rsidRPr="00677ABD" w:rsidRDefault="00B36316" w:rsidP="001627E7">
            <w:pPr>
              <w:ind w:left="-20"/>
              <w:jc w:val="center"/>
              <w:rPr>
                <w:rFonts w:eastAsia="Montserrat" w:cstheme="minorHAnsi"/>
                <w:color w:val="000000"/>
              </w:rPr>
            </w:pPr>
            <w:r w:rsidRPr="00677ABD">
              <w:rPr>
                <w:rFonts w:eastAsia="Montserrat" w:cstheme="minorHAnsi"/>
                <w:b/>
                <w:color w:val="000000"/>
              </w:rPr>
              <w:t>0</w:t>
            </w:r>
            <w:r w:rsidR="00F96D58">
              <w:rPr>
                <w:rFonts w:eastAsia="Montserrat" w:cstheme="minorHAnsi"/>
                <w:b/>
                <w:color w:val="000000"/>
              </w:rPr>
              <w:t>%</w:t>
            </w:r>
          </w:p>
        </w:tc>
        <w:tc>
          <w:tcPr>
            <w:tcW w:w="6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48BDD" w14:textId="77777777" w:rsidR="00B36316" w:rsidRPr="00677ABD" w:rsidRDefault="00B36316" w:rsidP="001627E7">
            <w:pPr>
              <w:ind w:left="42"/>
              <w:rPr>
                <w:rFonts w:eastAsia="Montserrat" w:cstheme="minorHAnsi"/>
                <w:color w:val="000000"/>
              </w:rPr>
            </w:pPr>
            <w:r w:rsidRPr="00677ABD">
              <w:rPr>
                <w:rFonts w:eastAsia="Montserrat" w:cstheme="minorHAnsi"/>
                <w:color w:val="222222"/>
              </w:rPr>
              <w:t>The response completely fails to meet the required standard or does not provide a proposal.</w:t>
            </w:r>
          </w:p>
        </w:tc>
      </w:tr>
      <w:tr w:rsidR="00B36316" w:rsidRPr="00390352" w14:paraId="059AB08C" w14:textId="77777777" w:rsidTr="001627E7">
        <w:trPr>
          <w:trHeight w:val="1727"/>
        </w:trPr>
        <w:tc>
          <w:tcPr>
            <w:tcW w:w="1844"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BD3A9A0" w14:textId="77777777" w:rsidR="00B36316" w:rsidRPr="00992209" w:rsidRDefault="00B36316" w:rsidP="001627E7">
            <w:pPr>
              <w:spacing w:after="280"/>
              <w:ind w:left="189"/>
              <w:rPr>
                <w:rFonts w:eastAsia="Montserrat" w:cstheme="minorHAnsi"/>
                <w:color w:val="000000"/>
              </w:rPr>
            </w:pPr>
            <w:r w:rsidRPr="00992209">
              <w:rPr>
                <w:rFonts w:eastAsia="Montserrat" w:cstheme="minorHAnsi"/>
                <w:b/>
                <w:color w:val="000000"/>
              </w:rPr>
              <w:t>Poor</w:t>
            </w:r>
          </w:p>
          <w:p w14:paraId="021F47A7" w14:textId="77777777" w:rsidR="00B36316" w:rsidRPr="00992209" w:rsidRDefault="00B36316" w:rsidP="001627E7">
            <w:pPr>
              <w:ind w:left="189"/>
              <w:rPr>
                <w:rFonts w:eastAsia="Montserrat" w:cstheme="minorHAnsi"/>
              </w:rPr>
            </w:pPr>
          </w:p>
          <w:p w14:paraId="050C9422" w14:textId="77777777" w:rsidR="00B36316" w:rsidRPr="00992209" w:rsidRDefault="00B36316" w:rsidP="001627E7">
            <w:pPr>
              <w:spacing w:before="280"/>
              <w:ind w:left="189"/>
              <w:rPr>
                <w:rFonts w:eastAsia="Montserrat" w:cstheme="minorHAnsi"/>
                <w:color w:val="000000"/>
              </w:rPr>
            </w:pPr>
            <w:r w:rsidRPr="00992209">
              <w:rPr>
                <w:rFonts w:eastAsia="Montserrat" w:cstheme="minorHAnsi"/>
                <w:i/>
                <w:color w:val="000000"/>
              </w:rPr>
              <w:t>(Meets some of the award criteria)</w:t>
            </w:r>
          </w:p>
        </w:tc>
        <w:tc>
          <w:tcPr>
            <w:tcW w:w="9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E9B9440" w14:textId="055632B7" w:rsidR="00B36316" w:rsidRPr="00992209" w:rsidRDefault="00F96D58" w:rsidP="001627E7">
            <w:pPr>
              <w:spacing w:after="280"/>
              <w:ind w:left="-20"/>
              <w:jc w:val="center"/>
              <w:rPr>
                <w:rFonts w:eastAsia="Montserrat" w:cstheme="minorHAnsi"/>
                <w:color w:val="000000"/>
              </w:rPr>
            </w:pPr>
            <w:r>
              <w:rPr>
                <w:rFonts w:eastAsia="Montserrat" w:cstheme="minorHAnsi"/>
                <w:b/>
                <w:color w:val="000000"/>
              </w:rPr>
              <w:t>25%</w:t>
            </w:r>
          </w:p>
          <w:p w14:paraId="4193390D" w14:textId="77777777" w:rsidR="00B36316" w:rsidRPr="00992209" w:rsidRDefault="00B36316" w:rsidP="001627E7">
            <w:pPr>
              <w:spacing w:before="280"/>
              <w:ind w:left="-20"/>
              <w:jc w:val="center"/>
              <w:rPr>
                <w:rFonts w:eastAsia="Montserrat" w:cstheme="minorHAnsi"/>
                <w:color w:val="222222"/>
              </w:rPr>
            </w:pPr>
          </w:p>
        </w:tc>
        <w:tc>
          <w:tcPr>
            <w:tcW w:w="6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08229" w14:textId="77777777" w:rsidR="00B36316" w:rsidRPr="00992209" w:rsidRDefault="00B36316" w:rsidP="001627E7">
            <w:pPr>
              <w:spacing w:after="280"/>
              <w:ind w:left="42"/>
              <w:rPr>
                <w:rFonts w:eastAsia="Montserrat" w:cstheme="minorHAnsi"/>
                <w:color w:val="000000"/>
              </w:rPr>
            </w:pPr>
            <w:r w:rsidRPr="00992209">
              <w:rPr>
                <w:rFonts w:eastAsia="Montserrat" w:cstheme="minorHAnsi"/>
                <w:color w:val="222222"/>
              </w:rPr>
              <w:t xml:space="preserve">The response meets elements of the requirement but gives concern in </w:t>
            </w:r>
            <w:proofErr w:type="gramStart"/>
            <w:r w:rsidRPr="00992209">
              <w:rPr>
                <w:rFonts w:eastAsia="Montserrat" w:cstheme="minorHAnsi"/>
                <w:color w:val="222222"/>
              </w:rPr>
              <w:t>a number of</w:t>
            </w:r>
            <w:proofErr w:type="gramEnd"/>
            <w:r w:rsidRPr="00992209">
              <w:rPr>
                <w:rFonts w:eastAsia="Montserrat" w:cstheme="minorHAnsi"/>
                <w:color w:val="222222"/>
              </w:rPr>
              <w:t xml:space="preserve"> significant areas. There are reservations because of one or </w:t>
            </w:r>
            <w:proofErr w:type="gramStart"/>
            <w:r w:rsidRPr="00992209">
              <w:rPr>
                <w:rFonts w:eastAsia="Montserrat" w:cstheme="minorHAnsi"/>
                <w:color w:val="222222"/>
              </w:rPr>
              <w:t>all of</w:t>
            </w:r>
            <w:proofErr w:type="gramEnd"/>
            <w:r w:rsidRPr="00992209">
              <w:rPr>
                <w:rFonts w:eastAsia="Montserrat" w:cstheme="minorHAnsi"/>
                <w:color w:val="222222"/>
              </w:rPr>
              <w:t xml:space="preserve"> the following: </w:t>
            </w:r>
          </w:p>
          <w:p w14:paraId="568E41F3" w14:textId="77777777" w:rsidR="00B36316" w:rsidRPr="00992209" w:rsidRDefault="00B36316" w:rsidP="00B36316">
            <w:pPr>
              <w:numPr>
                <w:ilvl w:val="0"/>
                <w:numId w:val="42"/>
              </w:numPr>
              <w:tabs>
                <w:tab w:val="left" w:pos="720"/>
              </w:tabs>
              <w:spacing w:after="0" w:line="240" w:lineRule="auto"/>
              <w:ind w:left="326" w:hanging="284"/>
              <w:rPr>
                <w:rFonts w:eastAsia="Montserrat" w:cstheme="minorHAnsi"/>
                <w:color w:val="000000"/>
              </w:rPr>
            </w:pPr>
            <w:r w:rsidRPr="00992209">
              <w:rPr>
                <w:rFonts w:eastAsia="Montserrat" w:cstheme="minorHAnsi"/>
                <w:color w:val="000000"/>
              </w:rPr>
              <w:t>There is at least one significant issue needing considerable attention. </w:t>
            </w:r>
          </w:p>
          <w:p w14:paraId="2A84E610" w14:textId="77777777" w:rsidR="00B36316" w:rsidRPr="00992209" w:rsidRDefault="00B36316" w:rsidP="00B36316">
            <w:pPr>
              <w:numPr>
                <w:ilvl w:val="0"/>
                <w:numId w:val="42"/>
              </w:numPr>
              <w:tabs>
                <w:tab w:val="left" w:pos="720"/>
              </w:tabs>
              <w:spacing w:after="0" w:line="240" w:lineRule="auto"/>
              <w:ind w:left="326" w:hanging="284"/>
              <w:rPr>
                <w:rFonts w:eastAsia="Montserrat" w:cstheme="minorHAnsi"/>
                <w:color w:val="000000"/>
              </w:rPr>
            </w:pPr>
            <w:r w:rsidRPr="00992209">
              <w:rPr>
                <w:rFonts w:eastAsia="Montserrat" w:cstheme="minorHAnsi"/>
                <w:color w:val="000000"/>
              </w:rPr>
              <w:t>Proposals do not demonstrate competence or understanding. </w:t>
            </w:r>
          </w:p>
          <w:p w14:paraId="477AC509" w14:textId="77777777" w:rsidR="00B36316" w:rsidRPr="00992209" w:rsidRDefault="00B36316" w:rsidP="00B36316">
            <w:pPr>
              <w:numPr>
                <w:ilvl w:val="0"/>
                <w:numId w:val="42"/>
              </w:numPr>
              <w:tabs>
                <w:tab w:val="left" w:pos="720"/>
              </w:tabs>
              <w:spacing w:after="0" w:line="240" w:lineRule="auto"/>
              <w:ind w:left="326" w:hanging="284"/>
              <w:rPr>
                <w:rFonts w:eastAsia="Montserrat" w:cstheme="minorHAnsi"/>
                <w:color w:val="000000"/>
              </w:rPr>
            </w:pPr>
            <w:r w:rsidRPr="00992209">
              <w:rPr>
                <w:rFonts w:eastAsia="Montserrat" w:cstheme="minorHAnsi"/>
                <w:color w:val="000000"/>
              </w:rPr>
              <w:t>The response is light on detail and unconvincing. </w:t>
            </w:r>
          </w:p>
          <w:p w14:paraId="4BE5C036" w14:textId="77777777" w:rsidR="00B36316" w:rsidRPr="00992209" w:rsidRDefault="00B36316" w:rsidP="00B36316">
            <w:pPr>
              <w:numPr>
                <w:ilvl w:val="0"/>
                <w:numId w:val="42"/>
              </w:numPr>
              <w:tabs>
                <w:tab w:val="left" w:pos="720"/>
              </w:tabs>
              <w:spacing w:after="0" w:line="240" w:lineRule="auto"/>
              <w:ind w:left="326" w:hanging="284"/>
              <w:rPr>
                <w:rFonts w:eastAsia="Montserrat" w:cstheme="minorHAnsi"/>
                <w:color w:val="000000"/>
              </w:rPr>
            </w:pPr>
            <w:r w:rsidRPr="00992209">
              <w:rPr>
                <w:rFonts w:eastAsia="Montserrat" w:cstheme="minorHAnsi"/>
                <w:color w:val="000000"/>
              </w:rPr>
              <w:lastRenderedPageBreak/>
              <w:t>The response makes no reference to the applicable sector but shows some general market experience. </w:t>
            </w:r>
          </w:p>
          <w:p w14:paraId="480BBE92" w14:textId="77777777" w:rsidR="00B36316" w:rsidRPr="00992209" w:rsidRDefault="00B36316" w:rsidP="00B36316">
            <w:pPr>
              <w:numPr>
                <w:ilvl w:val="0"/>
                <w:numId w:val="42"/>
              </w:numPr>
              <w:tabs>
                <w:tab w:val="left" w:pos="720"/>
              </w:tabs>
              <w:spacing w:after="0" w:line="240" w:lineRule="auto"/>
              <w:ind w:left="326" w:hanging="284"/>
              <w:rPr>
                <w:rFonts w:eastAsia="Montserrat" w:cstheme="minorHAnsi"/>
                <w:color w:val="000000"/>
              </w:rPr>
            </w:pPr>
            <w:r w:rsidRPr="00992209">
              <w:rPr>
                <w:rFonts w:eastAsia="Montserrat" w:cstheme="minorHAnsi"/>
                <w:color w:val="000000"/>
              </w:rPr>
              <w:t>The response makes limited reference (naming only) to the social value policy themes and outcomes in Appendix K - Social Value Delivery Plan as set out within the ITT</w:t>
            </w:r>
          </w:p>
        </w:tc>
      </w:tr>
      <w:tr w:rsidR="00B36316" w:rsidRPr="00390352" w14:paraId="09102EC9" w14:textId="77777777" w:rsidTr="001627E7">
        <w:trPr>
          <w:trHeight w:val="2085"/>
        </w:trPr>
        <w:tc>
          <w:tcPr>
            <w:tcW w:w="1844"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A73A59B" w14:textId="77777777" w:rsidR="00B36316" w:rsidRPr="00992209" w:rsidRDefault="00B36316" w:rsidP="001627E7">
            <w:pPr>
              <w:spacing w:after="280"/>
              <w:ind w:left="189"/>
              <w:rPr>
                <w:rFonts w:eastAsia="Montserrat" w:cstheme="minorHAnsi"/>
                <w:color w:val="000000"/>
              </w:rPr>
            </w:pPr>
            <w:r w:rsidRPr="00992209">
              <w:rPr>
                <w:rFonts w:eastAsia="Montserrat" w:cstheme="minorHAnsi"/>
                <w:b/>
                <w:color w:val="000000"/>
              </w:rPr>
              <w:lastRenderedPageBreak/>
              <w:t>Good</w:t>
            </w:r>
          </w:p>
          <w:p w14:paraId="61A4EE5E" w14:textId="77777777" w:rsidR="00B36316" w:rsidRPr="00992209" w:rsidRDefault="00B36316" w:rsidP="001627E7">
            <w:pPr>
              <w:ind w:left="189"/>
              <w:rPr>
                <w:rFonts w:eastAsia="Montserrat" w:cstheme="minorHAnsi"/>
              </w:rPr>
            </w:pPr>
          </w:p>
          <w:p w14:paraId="0F597BCB" w14:textId="77777777" w:rsidR="00B36316" w:rsidRPr="00992209" w:rsidRDefault="00B36316" w:rsidP="001627E7">
            <w:pPr>
              <w:spacing w:before="280"/>
              <w:ind w:left="189"/>
              <w:rPr>
                <w:rFonts w:eastAsia="Montserrat" w:cstheme="minorHAnsi"/>
                <w:color w:val="000000"/>
              </w:rPr>
            </w:pPr>
            <w:r w:rsidRPr="00992209">
              <w:rPr>
                <w:rFonts w:eastAsia="Montserrat" w:cstheme="minorHAnsi"/>
                <w:i/>
                <w:color w:val="000000"/>
              </w:rPr>
              <w:t xml:space="preserve">(Meets </w:t>
            </w:r>
            <w:proofErr w:type="gramStart"/>
            <w:r w:rsidRPr="00992209">
              <w:rPr>
                <w:rFonts w:eastAsia="Montserrat" w:cstheme="minorHAnsi"/>
                <w:i/>
                <w:color w:val="000000"/>
              </w:rPr>
              <w:t>all of</w:t>
            </w:r>
            <w:proofErr w:type="gramEnd"/>
            <w:r w:rsidRPr="00992209">
              <w:rPr>
                <w:rFonts w:eastAsia="Montserrat" w:cstheme="minorHAnsi"/>
                <w:i/>
                <w:color w:val="000000"/>
              </w:rPr>
              <w:t xml:space="preserve"> the award criteria)</w:t>
            </w:r>
          </w:p>
        </w:tc>
        <w:tc>
          <w:tcPr>
            <w:tcW w:w="9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6EEE6F2" w14:textId="7758E28A" w:rsidR="00B36316" w:rsidRPr="00992209" w:rsidRDefault="00F96D58" w:rsidP="001627E7">
            <w:pPr>
              <w:ind w:left="-20"/>
              <w:jc w:val="center"/>
              <w:rPr>
                <w:rFonts w:eastAsia="Montserrat" w:cstheme="minorHAnsi"/>
                <w:color w:val="000000"/>
              </w:rPr>
            </w:pPr>
            <w:r>
              <w:rPr>
                <w:rFonts w:eastAsia="Montserrat" w:cstheme="minorHAnsi"/>
                <w:b/>
                <w:color w:val="000000"/>
              </w:rPr>
              <w:t>50%</w:t>
            </w:r>
          </w:p>
        </w:tc>
        <w:tc>
          <w:tcPr>
            <w:tcW w:w="6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EC7B4" w14:textId="77777777" w:rsidR="00B36316" w:rsidRPr="00992209" w:rsidRDefault="00B36316" w:rsidP="001627E7">
            <w:pPr>
              <w:spacing w:after="280"/>
              <w:rPr>
                <w:rFonts w:eastAsia="Montserrat" w:cstheme="minorHAnsi"/>
                <w:color w:val="000000"/>
              </w:rPr>
            </w:pPr>
            <w:r w:rsidRPr="00992209">
              <w:rPr>
                <w:rFonts w:eastAsia="Montserrat" w:cstheme="minorHAnsi"/>
                <w:color w:val="222222"/>
              </w:rPr>
              <w:t>The response broadly meets what is expected for the criteria. There are no significant areas of concern, although there may be limited minor issues that need further exploration or attention later in the procurement process. The response therefore shows:</w:t>
            </w:r>
          </w:p>
          <w:p w14:paraId="25E00C8C" w14:textId="77777777" w:rsidR="00B36316" w:rsidRPr="00992209" w:rsidRDefault="00B36316" w:rsidP="00B36316">
            <w:pPr>
              <w:numPr>
                <w:ilvl w:val="0"/>
                <w:numId w:val="40"/>
              </w:numPr>
              <w:spacing w:after="0" w:line="240" w:lineRule="auto"/>
              <w:ind w:left="326" w:hanging="284"/>
              <w:rPr>
                <w:rFonts w:eastAsia="Montserrat" w:cstheme="minorHAnsi"/>
                <w:color w:val="000000"/>
              </w:rPr>
            </w:pPr>
            <w:r w:rsidRPr="00992209">
              <w:rPr>
                <w:rFonts w:eastAsia="Montserrat" w:cstheme="minorHAnsi"/>
                <w:color w:val="000000"/>
              </w:rPr>
              <w:t>Good understanding of the requirements. </w:t>
            </w:r>
          </w:p>
          <w:p w14:paraId="1F4E2DA1" w14:textId="77777777" w:rsidR="00B36316" w:rsidRPr="00992209" w:rsidRDefault="00B36316" w:rsidP="00B36316">
            <w:pPr>
              <w:numPr>
                <w:ilvl w:val="0"/>
                <w:numId w:val="40"/>
              </w:numPr>
              <w:spacing w:after="0" w:line="240" w:lineRule="auto"/>
              <w:ind w:left="326" w:hanging="284"/>
              <w:rPr>
                <w:rFonts w:eastAsia="Montserrat" w:cstheme="minorHAnsi"/>
                <w:color w:val="000000"/>
              </w:rPr>
            </w:pPr>
            <w:r w:rsidRPr="00992209">
              <w:rPr>
                <w:rFonts w:eastAsia="Montserrat" w:cstheme="minorHAnsi"/>
                <w:color w:val="000000"/>
              </w:rPr>
              <w:t>Sufficient competence demonstrated through relevant evidence.</w:t>
            </w:r>
          </w:p>
          <w:p w14:paraId="15393A01" w14:textId="77777777" w:rsidR="00B36316" w:rsidRPr="00992209" w:rsidRDefault="00B36316" w:rsidP="00B36316">
            <w:pPr>
              <w:numPr>
                <w:ilvl w:val="0"/>
                <w:numId w:val="40"/>
              </w:numPr>
              <w:spacing w:after="0" w:line="240" w:lineRule="auto"/>
              <w:ind w:left="326" w:hanging="284"/>
              <w:rPr>
                <w:rFonts w:eastAsia="Montserrat" w:cstheme="minorHAnsi"/>
                <w:color w:val="000000"/>
              </w:rPr>
            </w:pPr>
            <w:r w:rsidRPr="00992209">
              <w:rPr>
                <w:rFonts w:eastAsia="Montserrat" w:cstheme="minorHAnsi"/>
                <w:color w:val="000000"/>
              </w:rPr>
              <w:t>Some insight demonstrated into the relevant issues. </w:t>
            </w:r>
          </w:p>
          <w:p w14:paraId="4F72FAE6" w14:textId="77777777" w:rsidR="00B36316" w:rsidRPr="00992209" w:rsidRDefault="00B36316" w:rsidP="00B36316">
            <w:pPr>
              <w:numPr>
                <w:ilvl w:val="0"/>
                <w:numId w:val="40"/>
              </w:numPr>
              <w:spacing w:after="0" w:line="240" w:lineRule="auto"/>
              <w:ind w:left="326" w:hanging="284"/>
              <w:rPr>
                <w:rFonts w:eastAsia="Montserrat" w:cstheme="minorHAnsi"/>
                <w:color w:val="000000"/>
              </w:rPr>
            </w:pPr>
            <w:r w:rsidRPr="00992209">
              <w:rPr>
                <w:rFonts w:eastAsia="Montserrat" w:cstheme="minorHAnsi"/>
                <w:color w:val="000000"/>
              </w:rPr>
              <w:t xml:space="preserve">The response addresses most of the social value policy themes and outcomes in Appendix K - Social Value Delivery Plan as set out within the ITT </w:t>
            </w:r>
            <w:proofErr w:type="gramStart"/>
            <w:r w:rsidRPr="00992209">
              <w:rPr>
                <w:rFonts w:eastAsia="Montserrat" w:cstheme="minorHAnsi"/>
                <w:color w:val="000000"/>
              </w:rPr>
              <w:t>and also</w:t>
            </w:r>
            <w:proofErr w:type="gramEnd"/>
            <w:r w:rsidRPr="00992209">
              <w:rPr>
                <w:rFonts w:eastAsia="Montserrat" w:cstheme="minorHAnsi"/>
                <w:color w:val="000000"/>
              </w:rPr>
              <w:t xml:space="preserve"> shows general market experience. </w:t>
            </w:r>
          </w:p>
        </w:tc>
      </w:tr>
      <w:tr w:rsidR="00B36316" w:rsidRPr="00390352" w14:paraId="2BB5CA1B" w14:textId="77777777" w:rsidTr="001627E7">
        <w:trPr>
          <w:trHeight w:val="590"/>
        </w:trPr>
        <w:tc>
          <w:tcPr>
            <w:tcW w:w="1844"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CDF97B5" w14:textId="77777777" w:rsidR="00B36316" w:rsidRPr="00992209" w:rsidRDefault="00B36316" w:rsidP="001627E7">
            <w:pPr>
              <w:spacing w:after="280"/>
              <w:ind w:left="189"/>
              <w:rPr>
                <w:rFonts w:eastAsia="Montserrat" w:cstheme="minorHAnsi"/>
                <w:color w:val="000000"/>
              </w:rPr>
            </w:pPr>
            <w:r w:rsidRPr="00992209">
              <w:rPr>
                <w:rFonts w:eastAsia="Montserrat" w:cstheme="minorHAnsi"/>
                <w:b/>
                <w:color w:val="000000"/>
              </w:rPr>
              <w:t>Very good</w:t>
            </w:r>
          </w:p>
          <w:p w14:paraId="38CBC78E" w14:textId="77777777" w:rsidR="00B36316" w:rsidRPr="00992209" w:rsidRDefault="00B36316" w:rsidP="001627E7">
            <w:pPr>
              <w:ind w:left="189"/>
              <w:rPr>
                <w:rFonts w:eastAsia="Montserrat" w:cstheme="minorHAnsi"/>
              </w:rPr>
            </w:pPr>
          </w:p>
          <w:p w14:paraId="7CB37364" w14:textId="77777777" w:rsidR="00B36316" w:rsidRPr="00992209" w:rsidRDefault="00B36316" w:rsidP="001627E7">
            <w:pPr>
              <w:spacing w:before="280"/>
              <w:ind w:left="189"/>
              <w:rPr>
                <w:rFonts w:eastAsia="Montserrat" w:cstheme="minorHAnsi"/>
                <w:color w:val="000000"/>
              </w:rPr>
            </w:pPr>
            <w:r w:rsidRPr="00992209">
              <w:rPr>
                <w:rFonts w:eastAsia="Montserrat" w:cstheme="minorHAnsi"/>
                <w:i/>
                <w:color w:val="000000"/>
              </w:rPr>
              <w:t>(Exceeds some of the award criteria)</w:t>
            </w:r>
          </w:p>
        </w:tc>
        <w:tc>
          <w:tcPr>
            <w:tcW w:w="9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B5EB73F" w14:textId="53A5B3EB" w:rsidR="00B36316" w:rsidRPr="00992209" w:rsidRDefault="00F96D58" w:rsidP="001627E7">
            <w:pPr>
              <w:ind w:left="-20"/>
              <w:jc w:val="center"/>
              <w:rPr>
                <w:rFonts w:eastAsia="Montserrat" w:cstheme="minorHAnsi"/>
                <w:color w:val="000000"/>
              </w:rPr>
            </w:pPr>
            <w:r>
              <w:rPr>
                <w:rFonts w:eastAsia="Montserrat" w:cstheme="minorHAnsi"/>
                <w:b/>
                <w:color w:val="000000"/>
              </w:rPr>
              <w:t>75%</w:t>
            </w:r>
          </w:p>
        </w:tc>
        <w:tc>
          <w:tcPr>
            <w:tcW w:w="6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89F5D" w14:textId="77777777" w:rsidR="00B36316" w:rsidRPr="00992209" w:rsidRDefault="00B36316" w:rsidP="001627E7">
            <w:pPr>
              <w:spacing w:after="280"/>
              <w:ind w:left="42"/>
              <w:rPr>
                <w:rFonts w:eastAsia="Montserrat" w:cstheme="minorHAnsi"/>
                <w:color w:val="000000"/>
              </w:rPr>
            </w:pPr>
            <w:r w:rsidRPr="00992209">
              <w:rPr>
                <w:rFonts w:eastAsia="Montserrat" w:cstheme="minorHAnsi"/>
                <w:color w:val="222222"/>
              </w:rPr>
              <w:t>The response meets the required standard in all material respects. There are no significant areas of concern, although there may be limited minor issues that need further exploration or attention later in the procurement process. The response therefore shows: </w:t>
            </w:r>
          </w:p>
          <w:p w14:paraId="1EF68476" w14:textId="77777777" w:rsidR="00B36316" w:rsidRPr="00992209" w:rsidRDefault="00B36316" w:rsidP="00B36316">
            <w:pPr>
              <w:numPr>
                <w:ilvl w:val="0"/>
                <w:numId w:val="41"/>
              </w:numPr>
              <w:spacing w:after="0" w:line="240" w:lineRule="auto"/>
              <w:ind w:left="326" w:hanging="284"/>
              <w:rPr>
                <w:rFonts w:eastAsia="Montserrat" w:cstheme="minorHAnsi"/>
                <w:color w:val="000000"/>
              </w:rPr>
            </w:pPr>
            <w:r w:rsidRPr="00992209">
              <w:rPr>
                <w:rFonts w:eastAsia="Montserrat" w:cstheme="minorHAnsi"/>
                <w:color w:val="000000"/>
              </w:rPr>
              <w:t>Good understanding of the requirements. </w:t>
            </w:r>
          </w:p>
          <w:p w14:paraId="724455E4" w14:textId="77777777" w:rsidR="00B36316" w:rsidRPr="00992209" w:rsidRDefault="00B36316" w:rsidP="00B36316">
            <w:pPr>
              <w:numPr>
                <w:ilvl w:val="0"/>
                <w:numId w:val="41"/>
              </w:numPr>
              <w:spacing w:after="0" w:line="240" w:lineRule="auto"/>
              <w:ind w:left="326" w:hanging="284"/>
              <w:rPr>
                <w:rFonts w:eastAsia="Montserrat" w:cstheme="minorHAnsi"/>
                <w:color w:val="000000"/>
              </w:rPr>
            </w:pPr>
            <w:r w:rsidRPr="00992209">
              <w:rPr>
                <w:rFonts w:eastAsia="Montserrat" w:cstheme="minorHAnsi"/>
                <w:color w:val="000000"/>
              </w:rPr>
              <w:t>Sufficient competence demonstrated through relevant evidence. </w:t>
            </w:r>
          </w:p>
          <w:p w14:paraId="42A0006B" w14:textId="77777777" w:rsidR="00B36316" w:rsidRPr="00992209" w:rsidRDefault="00B36316" w:rsidP="00B36316">
            <w:pPr>
              <w:numPr>
                <w:ilvl w:val="0"/>
                <w:numId w:val="41"/>
              </w:numPr>
              <w:spacing w:after="0" w:line="240" w:lineRule="auto"/>
              <w:ind w:left="326" w:hanging="284"/>
              <w:rPr>
                <w:rFonts w:eastAsia="Montserrat" w:cstheme="minorHAnsi"/>
                <w:color w:val="000000"/>
              </w:rPr>
            </w:pPr>
            <w:r w:rsidRPr="00992209">
              <w:rPr>
                <w:rFonts w:eastAsia="Montserrat" w:cstheme="minorHAnsi"/>
                <w:color w:val="000000"/>
              </w:rPr>
              <w:t>Some insight demonstrated into the relevant issues. </w:t>
            </w:r>
          </w:p>
          <w:p w14:paraId="0F3CD4A0" w14:textId="77777777" w:rsidR="00B36316" w:rsidRPr="00992209" w:rsidRDefault="00B36316" w:rsidP="00B36316">
            <w:pPr>
              <w:numPr>
                <w:ilvl w:val="0"/>
                <w:numId w:val="41"/>
              </w:numPr>
              <w:spacing w:after="0" w:line="240" w:lineRule="auto"/>
              <w:ind w:left="326" w:hanging="284"/>
              <w:rPr>
                <w:rFonts w:eastAsia="Montserrat" w:cstheme="minorHAnsi"/>
                <w:color w:val="000000"/>
              </w:rPr>
            </w:pPr>
            <w:r w:rsidRPr="00992209">
              <w:rPr>
                <w:rFonts w:eastAsia="Montserrat" w:cstheme="minorHAnsi"/>
                <w:color w:val="000000"/>
              </w:rPr>
              <w:t>The response addresses the social value policy themes and outcomes in Appendix K - Social Value Delivery Plan as set out within the ITT and shows good market experience.</w:t>
            </w:r>
          </w:p>
        </w:tc>
      </w:tr>
      <w:tr w:rsidR="00B36316" w:rsidRPr="00390352" w14:paraId="51D25D16" w14:textId="77777777" w:rsidTr="001627E7">
        <w:trPr>
          <w:trHeight w:val="415"/>
        </w:trPr>
        <w:tc>
          <w:tcPr>
            <w:tcW w:w="1844" w:type="dxa"/>
            <w:tcBorders>
              <w:top w:val="single" w:sz="8" w:space="0" w:color="000000"/>
              <w:left w:val="single" w:sz="8" w:space="0" w:color="000000"/>
              <w:bottom w:val="single" w:sz="8" w:space="0" w:color="000000"/>
              <w:right w:val="single" w:sz="8" w:space="0" w:color="000000"/>
            </w:tcBorders>
            <w:shd w:val="clear" w:color="auto" w:fill="002060"/>
            <w:tcMar>
              <w:top w:w="100" w:type="dxa"/>
              <w:left w:w="100" w:type="dxa"/>
              <w:bottom w:w="100" w:type="dxa"/>
              <w:right w:w="100" w:type="dxa"/>
            </w:tcMar>
            <w:hideMark/>
          </w:tcPr>
          <w:p w14:paraId="78172853" w14:textId="77777777" w:rsidR="00B36316" w:rsidRPr="00992209" w:rsidRDefault="00B36316" w:rsidP="001627E7">
            <w:pPr>
              <w:ind w:left="189"/>
              <w:rPr>
                <w:rFonts w:eastAsia="Montserrat" w:cstheme="minorHAnsi"/>
                <w:b/>
                <w:color w:val="FFFFFF"/>
              </w:rPr>
            </w:pPr>
            <w:r w:rsidRPr="00992209">
              <w:rPr>
                <w:rFonts w:eastAsia="Montserrat" w:cstheme="minorHAnsi"/>
                <w:b/>
                <w:color w:val="FFFFFF"/>
              </w:rPr>
              <w:t>Classification</w:t>
            </w:r>
          </w:p>
        </w:tc>
        <w:tc>
          <w:tcPr>
            <w:tcW w:w="993" w:type="dxa"/>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15" w:type="dxa"/>
              <w:right w:w="15" w:type="dxa"/>
            </w:tcMar>
            <w:hideMark/>
          </w:tcPr>
          <w:p w14:paraId="2B72F309" w14:textId="77777777" w:rsidR="00B36316" w:rsidRPr="00992209" w:rsidRDefault="00B36316" w:rsidP="001627E7">
            <w:pPr>
              <w:jc w:val="center"/>
              <w:rPr>
                <w:rFonts w:eastAsia="Montserrat" w:cstheme="minorHAnsi"/>
                <w:b/>
                <w:color w:val="FFFFFF"/>
              </w:rPr>
            </w:pPr>
            <w:r w:rsidRPr="00992209">
              <w:rPr>
                <w:rFonts w:eastAsia="Montserrat" w:cstheme="minorHAnsi"/>
                <w:b/>
                <w:color w:val="FFFFFF"/>
              </w:rPr>
              <w:t>Score</w:t>
            </w:r>
          </w:p>
        </w:tc>
        <w:tc>
          <w:tcPr>
            <w:tcW w:w="6808" w:type="dxa"/>
            <w:tcBorders>
              <w:top w:val="single" w:sz="8" w:space="0" w:color="000000"/>
              <w:left w:val="single" w:sz="8" w:space="0" w:color="000000"/>
              <w:bottom w:val="single" w:sz="8" w:space="0" w:color="000000"/>
              <w:right w:val="single" w:sz="8" w:space="0" w:color="000000"/>
            </w:tcBorders>
            <w:shd w:val="clear" w:color="auto" w:fill="002060"/>
            <w:tcMar>
              <w:top w:w="100" w:type="dxa"/>
              <w:left w:w="100" w:type="dxa"/>
              <w:bottom w:w="100" w:type="dxa"/>
              <w:right w:w="100" w:type="dxa"/>
            </w:tcMar>
            <w:hideMark/>
          </w:tcPr>
          <w:p w14:paraId="73E275E9" w14:textId="77777777" w:rsidR="00B36316" w:rsidRPr="00992209" w:rsidRDefault="00B36316" w:rsidP="001627E7">
            <w:pPr>
              <w:ind w:left="332"/>
              <w:rPr>
                <w:rFonts w:eastAsia="Montserrat" w:cstheme="minorHAnsi"/>
                <w:b/>
                <w:color w:val="FFFFFF"/>
              </w:rPr>
            </w:pPr>
            <w:r w:rsidRPr="00992209">
              <w:rPr>
                <w:rFonts w:eastAsia="Montserrat" w:cstheme="minorHAnsi"/>
                <w:b/>
                <w:color w:val="FFFFFF"/>
              </w:rPr>
              <w:t xml:space="preserve">Social Value Scoring Methodology </w:t>
            </w:r>
          </w:p>
        </w:tc>
      </w:tr>
      <w:tr w:rsidR="00B36316" w:rsidRPr="00390352" w14:paraId="183C236E" w14:textId="77777777" w:rsidTr="001627E7">
        <w:trPr>
          <w:trHeight w:val="451"/>
        </w:trPr>
        <w:tc>
          <w:tcPr>
            <w:tcW w:w="1844"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E49EF22" w14:textId="77777777" w:rsidR="00B36316" w:rsidRPr="00992209" w:rsidRDefault="00B36316" w:rsidP="001627E7">
            <w:pPr>
              <w:spacing w:after="280"/>
              <w:ind w:left="189" w:right="-122"/>
              <w:rPr>
                <w:rFonts w:eastAsia="Montserrat" w:cstheme="minorHAnsi"/>
                <w:color w:val="000000"/>
              </w:rPr>
            </w:pPr>
            <w:r w:rsidRPr="00992209">
              <w:rPr>
                <w:rFonts w:eastAsia="Montserrat" w:cstheme="minorHAnsi"/>
                <w:b/>
                <w:color w:val="000000"/>
              </w:rPr>
              <w:t>Excellent </w:t>
            </w:r>
          </w:p>
          <w:p w14:paraId="4567B289" w14:textId="77777777" w:rsidR="00B36316" w:rsidRPr="00992209" w:rsidRDefault="00B36316" w:rsidP="001627E7">
            <w:pPr>
              <w:ind w:left="189"/>
              <w:rPr>
                <w:rFonts w:eastAsia="Montserrat" w:cstheme="minorHAnsi"/>
              </w:rPr>
            </w:pPr>
          </w:p>
          <w:p w14:paraId="3638FAAD" w14:textId="77777777" w:rsidR="00B36316" w:rsidRPr="00992209" w:rsidRDefault="00B36316" w:rsidP="001627E7">
            <w:pPr>
              <w:spacing w:before="280"/>
              <w:ind w:left="189"/>
              <w:rPr>
                <w:rFonts w:eastAsia="Montserrat" w:cstheme="minorHAnsi"/>
                <w:color w:val="000000"/>
              </w:rPr>
            </w:pPr>
            <w:r w:rsidRPr="00992209">
              <w:rPr>
                <w:rFonts w:eastAsia="Montserrat" w:cstheme="minorHAnsi"/>
                <w:i/>
                <w:color w:val="000000"/>
              </w:rPr>
              <w:t xml:space="preserve">(Exceeds </w:t>
            </w:r>
            <w:proofErr w:type="gramStart"/>
            <w:r w:rsidRPr="00992209">
              <w:rPr>
                <w:rFonts w:eastAsia="Montserrat" w:cstheme="minorHAnsi"/>
                <w:i/>
                <w:color w:val="000000"/>
              </w:rPr>
              <w:t>all of</w:t>
            </w:r>
            <w:proofErr w:type="gramEnd"/>
            <w:r w:rsidRPr="00992209">
              <w:rPr>
                <w:rFonts w:eastAsia="Montserrat" w:cstheme="minorHAnsi"/>
                <w:i/>
                <w:color w:val="000000"/>
              </w:rPr>
              <w:t xml:space="preserve"> the award criteria)</w:t>
            </w:r>
          </w:p>
        </w:tc>
        <w:tc>
          <w:tcPr>
            <w:tcW w:w="9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2F58E92" w14:textId="3D84B803" w:rsidR="00B36316" w:rsidRPr="00992209" w:rsidRDefault="00022A3B" w:rsidP="001627E7">
            <w:pPr>
              <w:ind w:left="-20"/>
              <w:jc w:val="center"/>
              <w:rPr>
                <w:rFonts w:eastAsia="Montserrat" w:cstheme="minorHAnsi"/>
                <w:color w:val="000000"/>
              </w:rPr>
            </w:pPr>
            <w:r>
              <w:rPr>
                <w:rFonts w:eastAsia="Montserrat" w:cstheme="minorHAnsi"/>
                <w:b/>
                <w:color w:val="000000"/>
              </w:rPr>
              <w:t>100%</w:t>
            </w:r>
          </w:p>
        </w:tc>
        <w:tc>
          <w:tcPr>
            <w:tcW w:w="6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B5B11" w14:textId="77777777" w:rsidR="00B36316" w:rsidRPr="00992209" w:rsidRDefault="00B36316" w:rsidP="001627E7">
            <w:pPr>
              <w:spacing w:after="280"/>
              <w:ind w:left="42"/>
              <w:rPr>
                <w:rFonts w:eastAsia="Montserrat" w:cstheme="minorHAnsi"/>
                <w:color w:val="000000"/>
              </w:rPr>
            </w:pPr>
            <w:r w:rsidRPr="00992209">
              <w:rPr>
                <w:rFonts w:eastAsia="Montserrat" w:cstheme="minorHAnsi"/>
                <w:color w:val="222222"/>
              </w:rPr>
              <w:t>The response exceeds what is expected for the criteria. Leaves no doubt as to the capability and commitment to deliver what is required. The response therefore shows: </w:t>
            </w:r>
          </w:p>
          <w:p w14:paraId="6E9187D2" w14:textId="77777777" w:rsidR="00B36316" w:rsidRPr="00992209" w:rsidRDefault="00B36316" w:rsidP="00B36316">
            <w:pPr>
              <w:numPr>
                <w:ilvl w:val="0"/>
                <w:numId w:val="38"/>
              </w:numPr>
              <w:spacing w:after="0" w:line="240" w:lineRule="auto"/>
              <w:ind w:left="326" w:hanging="284"/>
              <w:rPr>
                <w:rFonts w:eastAsia="Montserrat" w:cstheme="minorHAnsi"/>
                <w:color w:val="000000"/>
              </w:rPr>
            </w:pPr>
            <w:r w:rsidRPr="00992209">
              <w:rPr>
                <w:rFonts w:eastAsia="Montserrat" w:cstheme="minorHAnsi"/>
                <w:color w:val="000000"/>
              </w:rPr>
              <w:t>Very good understanding of the requirements. </w:t>
            </w:r>
          </w:p>
          <w:p w14:paraId="60146BAA" w14:textId="77777777" w:rsidR="00B36316" w:rsidRPr="00992209" w:rsidRDefault="00B36316" w:rsidP="00B36316">
            <w:pPr>
              <w:numPr>
                <w:ilvl w:val="0"/>
                <w:numId w:val="38"/>
              </w:numPr>
              <w:spacing w:after="0" w:line="240" w:lineRule="auto"/>
              <w:ind w:left="326" w:hanging="284"/>
              <w:rPr>
                <w:rFonts w:eastAsia="Montserrat" w:cstheme="minorHAnsi"/>
                <w:color w:val="000000"/>
              </w:rPr>
            </w:pPr>
            <w:r w:rsidRPr="00992209">
              <w:rPr>
                <w:rFonts w:eastAsia="Montserrat" w:cstheme="minorHAnsi"/>
                <w:color w:val="000000"/>
              </w:rPr>
              <w:t>Excellent proposals demonstrated through relevant evidence. </w:t>
            </w:r>
          </w:p>
          <w:p w14:paraId="0A7333A6" w14:textId="77777777" w:rsidR="00B36316" w:rsidRPr="00992209" w:rsidRDefault="00B36316" w:rsidP="00B36316">
            <w:pPr>
              <w:numPr>
                <w:ilvl w:val="0"/>
                <w:numId w:val="38"/>
              </w:numPr>
              <w:spacing w:after="0" w:line="240" w:lineRule="auto"/>
              <w:ind w:left="326" w:hanging="284"/>
              <w:rPr>
                <w:rFonts w:eastAsia="Montserrat" w:cstheme="minorHAnsi"/>
                <w:color w:val="000000"/>
              </w:rPr>
            </w:pPr>
            <w:r w:rsidRPr="00992209">
              <w:rPr>
                <w:rFonts w:eastAsia="Montserrat" w:cstheme="minorHAnsi"/>
                <w:color w:val="000000"/>
              </w:rPr>
              <w:t>Considerable insight into the relevant issues. </w:t>
            </w:r>
          </w:p>
          <w:p w14:paraId="00912773" w14:textId="77777777" w:rsidR="00B36316" w:rsidRPr="00992209" w:rsidRDefault="00B36316" w:rsidP="00B36316">
            <w:pPr>
              <w:numPr>
                <w:ilvl w:val="0"/>
                <w:numId w:val="38"/>
              </w:numPr>
              <w:spacing w:after="0" w:line="240" w:lineRule="auto"/>
              <w:ind w:left="326" w:hanging="284"/>
              <w:rPr>
                <w:rFonts w:eastAsia="Montserrat" w:cstheme="minorHAnsi"/>
                <w:color w:val="000000"/>
              </w:rPr>
            </w:pPr>
            <w:r w:rsidRPr="00992209">
              <w:rPr>
                <w:rFonts w:eastAsia="Montserrat" w:cstheme="minorHAnsi"/>
                <w:color w:val="000000"/>
              </w:rPr>
              <w:t>The response is also likely to propose additional value in several respects above that expected. </w:t>
            </w:r>
          </w:p>
          <w:p w14:paraId="5BA30678" w14:textId="77777777" w:rsidR="00B36316" w:rsidRPr="00992209" w:rsidRDefault="00B36316" w:rsidP="00B36316">
            <w:pPr>
              <w:numPr>
                <w:ilvl w:val="0"/>
                <w:numId w:val="38"/>
              </w:numPr>
              <w:spacing w:after="0" w:line="240" w:lineRule="auto"/>
              <w:ind w:left="326" w:hanging="284"/>
              <w:rPr>
                <w:rFonts w:eastAsia="Montserrat" w:cstheme="minorHAnsi"/>
                <w:color w:val="000000"/>
              </w:rPr>
            </w:pPr>
            <w:r w:rsidRPr="00992209">
              <w:rPr>
                <w:rFonts w:eastAsia="Montserrat" w:cstheme="minorHAnsi"/>
                <w:color w:val="000000"/>
              </w:rPr>
              <w:t xml:space="preserve">The response addresses the social value policy themes and outcomes in Appendix K - Social Value Delivery Plan as set out within the ITT </w:t>
            </w:r>
            <w:proofErr w:type="gramStart"/>
            <w:r w:rsidRPr="00992209">
              <w:rPr>
                <w:rFonts w:eastAsia="Montserrat" w:cstheme="minorHAnsi"/>
                <w:color w:val="000000"/>
              </w:rPr>
              <w:t>and also</w:t>
            </w:r>
            <w:proofErr w:type="gramEnd"/>
            <w:r w:rsidRPr="00992209">
              <w:rPr>
                <w:rFonts w:eastAsia="Montserrat" w:cstheme="minorHAnsi"/>
                <w:color w:val="000000"/>
              </w:rPr>
              <w:t xml:space="preserve"> shows in-depth market experience. </w:t>
            </w:r>
          </w:p>
        </w:tc>
      </w:tr>
    </w:tbl>
    <w:p w14:paraId="5627FF3D" w14:textId="77777777" w:rsidR="00B36316" w:rsidRPr="0095168D" w:rsidRDefault="00B36316" w:rsidP="00B36316">
      <w:pPr>
        <w:pStyle w:val="ListParagraph"/>
        <w:rPr>
          <w:rFonts w:cs="Arial"/>
        </w:rPr>
      </w:pPr>
    </w:p>
    <w:p w14:paraId="57779D8D" w14:textId="77777777" w:rsidR="00B36316" w:rsidRPr="00CB6AEA" w:rsidRDefault="00B36316" w:rsidP="00B36316">
      <w:pPr>
        <w:pStyle w:val="Body"/>
        <w:ind w:left="709" w:firstLine="0"/>
      </w:pPr>
    </w:p>
    <w:p w14:paraId="22E4149F" w14:textId="77777777" w:rsidR="00B36316" w:rsidRPr="004F290D" w:rsidRDefault="00B36316" w:rsidP="00992209">
      <w:pPr>
        <w:pStyle w:val="ListParagraph"/>
        <w:numPr>
          <w:ilvl w:val="1"/>
          <w:numId w:val="14"/>
        </w:numPr>
      </w:pPr>
      <w:r w:rsidRPr="004F290D">
        <w:t xml:space="preserve">Social value </w:t>
      </w:r>
      <w:r w:rsidRPr="00992209">
        <w:t>benefits</w:t>
      </w:r>
      <w:r w:rsidRPr="004F290D">
        <w:t xml:space="preserve"> will be recorded, monitored, and measured using the following reporting metrics:</w:t>
      </w:r>
    </w:p>
    <w:p w14:paraId="22F7EEE8" w14:textId="77777777" w:rsidR="00B36316" w:rsidRPr="00771198" w:rsidRDefault="00B36316" w:rsidP="00B36316">
      <w:pPr>
        <w:pStyle w:val="Body"/>
        <w:ind w:left="709" w:firstLine="0"/>
        <w:rPr>
          <w:rFonts w:eastAsia="Montserrat"/>
        </w:rPr>
      </w:pPr>
    </w:p>
    <w:p w14:paraId="1C94F746" w14:textId="77777777" w:rsidR="00B36316" w:rsidRPr="00771198" w:rsidRDefault="00B36316" w:rsidP="00B36316">
      <w:pPr>
        <w:spacing w:line="276" w:lineRule="auto"/>
        <w:ind w:left="1211"/>
        <w:rPr>
          <w:rFonts w:ascii="Arial" w:eastAsia="Montserrat" w:hAnsi="Arial" w:cs="Arial"/>
          <w:b/>
          <w:color w:val="000000"/>
        </w:rPr>
      </w:pPr>
      <w:r w:rsidRPr="00771198">
        <w:rPr>
          <w:rFonts w:ascii="Arial" w:eastAsia="Montserrat" w:hAnsi="Arial" w:cs="Arial"/>
          <w:b/>
          <w:color w:val="000000"/>
        </w:rPr>
        <w:t xml:space="preserve">Covid reporting metrics </w:t>
      </w:r>
    </w:p>
    <w:p w14:paraId="19DF0CBA" w14:textId="77777777" w:rsidR="00B36316" w:rsidRPr="00992209" w:rsidRDefault="00B36316" w:rsidP="00992209">
      <w:pPr>
        <w:numPr>
          <w:ilvl w:val="0"/>
          <w:numId w:val="43"/>
        </w:numPr>
        <w:spacing w:after="0" w:line="276" w:lineRule="auto"/>
        <w:rPr>
          <w:rFonts w:eastAsia="Montserrat" w:cstheme="minorHAnsi"/>
          <w:color w:val="000000"/>
        </w:rPr>
      </w:pPr>
      <w:r w:rsidRPr="00992209">
        <w:rPr>
          <w:rFonts w:eastAsia="Montserrat" w:cstheme="minorHAnsi"/>
          <w:color w:val="000000"/>
        </w:rPr>
        <w:t xml:space="preserve">Number of full-time equivalent (FTE) employment opportunities created under the contract, by UK region, for those who were made redundant due to COVID-19. </w:t>
      </w:r>
    </w:p>
    <w:p w14:paraId="1CF7FC50" w14:textId="77777777" w:rsidR="00B36316" w:rsidRPr="00992209" w:rsidRDefault="00B36316" w:rsidP="00992209">
      <w:pPr>
        <w:numPr>
          <w:ilvl w:val="0"/>
          <w:numId w:val="43"/>
        </w:numPr>
        <w:spacing w:after="0" w:line="276" w:lineRule="auto"/>
        <w:rPr>
          <w:rFonts w:eastAsia="Montserrat" w:cstheme="minorHAnsi"/>
          <w:color w:val="000000"/>
        </w:rPr>
      </w:pPr>
      <w:r w:rsidRPr="00992209">
        <w:rPr>
          <w:rFonts w:eastAsia="Montserrat" w:cstheme="minorHAnsi"/>
          <w:color w:val="000000"/>
        </w:rPr>
        <w:t xml:space="preserve">Number of people-hours spent supporting local community integration, such as volunteering and other community-led initiatives related to COVID-19, under the contract. </w:t>
      </w:r>
    </w:p>
    <w:p w14:paraId="70973A23" w14:textId="77777777" w:rsidR="00B36316" w:rsidRPr="00992209" w:rsidRDefault="00B36316" w:rsidP="00992209">
      <w:pPr>
        <w:numPr>
          <w:ilvl w:val="0"/>
          <w:numId w:val="43"/>
        </w:numPr>
        <w:spacing w:after="0" w:line="276" w:lineRule="auto"/>
        <w:rPr>
          <w:rFonts w:eastAsia="Montserrat" w:cstheme="minorHAnsi"/>
          <w:color w:val="000000"/>
        </w:rPr>
      </w:pPr>
      <w:r w:rsidRPr="00992209">
        <w:rPr>
          <w:rFonts w:eastAsia="Montserrat" w:cstheme="minorHAnsi"/>
          <w:color w:val="000000"/>
        </w:rPr>
        <w:t>Percentage of all companies in the supply chain under the contract to have implemented the 6 standards in the Mental Health at Work commitment.</w:t>
      </w:r>
    </w:p>
    <w:p w14:paraId="749E4FF1" w14:textId="77777777" w:rsidR="00B36316" w:rsidRPr="00771198" w:rsidRDefault="00B36316" w:rsidP="00B36316">
      <w:pPr>
        <w:spacing w:line="276" w:lineRule="auto"/>
        <w:ind w:left="1211"/>
        <w:rPr>
          <w:rFonts w:ascii="Arial" w:eastAsia="Montserrat" w:hAnsi="Arial" w:cs="Arial"/>
          <w:color w:val="000000"/>
        </w:rPr>
      </w:pPr>
    </w:p>
    <w:p w14:paraId="786DBADF" w14:textId="77777777" w:rsidR="00B36316" w:rsidRPr="00771198" w:rsidRDefault="00B36316" w:rsidP="00B36316">
      <w:pPr>
        <w:spacing w:line="276" w:lineRule="auto"/>
        <w:ind w:left="1211"/>
        <w:rPr>
          <w:rFonts w:ascii="Arial" w:eastAsia="Montserrat" w:hAnsi="Arial" w:cs="Arial"/>
          <w:b/>
          <w:color w:val="000000"/>
        </w:rPr>
      </w:pPr>
      <w:r w:rsidRPr="00771198">
        <w:rPr>
          <w:rFonts w:ascii="Arial" w:eastAsia="Montserrat" w:hAnsi="Arial" w:cs="Arial"/>
          <w:b/>
          <w:color w:val="000000"/>
        </w:rPr>
        <w:t>Tackling Economic Inequality reporting metrics</w:t>
      </w:r>
    </w:p>
    <w:p w14:paraId="24A6F3A0" w14:textId="77777777" w:rsidR="00B36316" w:rsidRPr="00992209" w:rsidRDefault="00B36316" w:rsidP="00992209">
      <w:pPr>
        <w:numPr>
          <w:ilvl w:val="0"/>
          <w:numId w:val="44"/>
        </w:numPr>
        <w:spacing w:after="0" w:line="276" w:lineRule="auto"/>
        <w:rPr>
          <w:rFonts w:eastAsia="Montserrat" w:cstheme="minorHAnsi"/>
          <w:color w:val="000000"/>
        </w:rPr>
      </w:pPr>
      <w:r w:rsidRPr="00992209">
        <w:rPr>
          <w:rFonts w:eastAsia="Montserrat" w:cstheme="minorHAnsi"/>
          <w:color w:val="000000"/>
        </w:rPr>
        <w:t xml:space="preserve">Number of full-time equivalent (FTE) employment opportunities created under the contract, by UK region. </w:t>
      </w:r>
    </w:p>
    <w:p w14:paraId="33DD0948" w14:textId="77777777" w:rsidR="00B36316" w:rsidRPr="00992209" w:rsidRDefault="00B36316" w:rsidP="00992209">
      <w:pPr>
        <w:numPr>
          <w:ilvl w:val="0"/>
          <w:numId w:val="44"/>
        </w:numPr>
        <w:spacing w:after="0" w:line="276" w:lineRule="auto"/>
        <w:rPr>
          <w:rFonts w:eastAsia="Montserrat" w:cstheme="minorHAnsi"/>
          <w:color w:val="000000"/>
        </w:rPr>
      </w:pPr>
      <w:r w:rsidRPr="00992209">
        <w:rPr>
          <w:rFonts w:eastAsia="Montserrat" w:cstheme="minorHAnsi"/>
          <w:color w:val="000000"/>
        </w:rPr>
        <w:t xml:space="preserve">Number of apprenticeship opportunities (Level 2, 3, and 4+) created or retained under the contract, by UK region. </w:t>
      </w:r>
    </w:p>
    <w:p w14:paraId="41B9E5EC" w14:textId="77777777" w:rsidR="00B36316" w:rsidRPr="00992209" w:rsidRDefault="00B36316" w:rsidP="00992209">
      <w:pPr>
        <w:numPr>
          <w:ilvl w:val="0"/>
          <w:numId w:val="44"/>
        </w:numPr>
        <w:spacing w:after="0" w:line="276" w:lineRule="auto"/>
        <w:rPr>
          <w:rFonts w:eastAsia="Montserrat" w:cstheme="minorHAnsi"/>
          <w:color w:val="000000"/>
        </w:rPr>
      </w:pPr>
      <w:r w:rsidRPr="00992209">
        <w:rPr>
          <w:rFonts w:eastAsia="Montserrat" w:cstheme="minorHAnsi"/>
          <w:color w:val="000000"/>
        </w:rPr>
        <w:t xml:space="preserve">Number of training opportunities (Level 2, 3, and 4+) created or retained under the contract, other than apprentices, by UK region. </w:t>
      </w:r>
    </w:p>
    <w:p w14:paraId="13B6759D" w14:textId="77777777" w:rsidR="00B36316" w:rsidRPr="00992209" w:rsidRDefault="00B36316" w:rsidP="00992209">
      <w:pPr>
        <w:numPr>
          <w:ilvl w:val="0"/>
          <w:numId w:val="44"/>
        </w:numPr>
        <w:spacing w:after="0" w:line="276" w:lineRule="auto"/>
        <w:rPr>
          <w:rFonts w:eastAsia="Montserrat" w:cstheme="minorHAnsi"/>
          <w:color w:val="000000"/>
        </w:rPr>
      </w:pPr>
      <w:r w:rsidRPr="00992209">
        <w:rPr>
          <w:rFonts w:eastAsia="Montserrat" w:cstheme="minorHAnsi"/>
          <w:color w:val="000000"/>
        </w:rPr>
        <w:t>Number of people-hours of learning interventions delivered under the contract, by UK region.</w:t>
      </w:r>
    </w:p>
    <w:p w14:paraId="59CACA92" w14:textId="77777777" w:rsidR="00B36316" w:rsidRPr="00992209" w:rsidRDefault="00B36316" w:rsidP="00992209">
      <w:pPr>
        <w:numPr>
          <w:ilvl w:val="0"/>
          <w:numId w:val="44"/>
        </w:numPr>
        <w:spacing w:after="0" w:line="276" w:lineRule="auto"/>
        <w:rPr>
          <w:rFonts w:eastAsia="Montserrat" w:cstheme="minorHAnsi"/>
          <w:color w:val="000000"/>
        </w:rPr>
      </w:pPr>
      <w:r w:rsidRPr="00992209">
        <w:rPr>
          <w:rFonts w:eastAsia="Montserrat" w:cstheme="minorHAnsi"/>
          <w:color w:val="000000"/>
        </w:rPr>
        <w:t>For each of the following categories:</w:t>
      </w:r>
    </w:p>
    <w:p w14:paraId="53CA2844" w14:textId="77777777" w:rsidR="00B36316" w:rsidRPr="00992209" w:rsidRDefault="00B36316" w:rsidP="00B36316">
      <w:pPr>
        <w:numPr>
          <w:ilvl w:val="1"/>
          <w:numId w:val="39"/>
        </w:numPr>
        <w:spacing w:after="0" w:line="276" w:lineRule="auto"/>
        <w:rPr>
          <w:rFonts w:eastAsia="Montserrat" w:cstheme="minorHAnsi"/>
          <w:color w:val="000000"/>
        </w:rPr>
      </w:pPr>
      <w:r w:rsidRPr="00992209">
        <w:rPr>
          <w:rFonts w:eastAsia="Montserrat" w:cstheme="minorHAnsi"/>
          <w:color w:val="000000"/>
        </w:rPr>
        <w:t>start-ups</w:t>
      </w:r>
    </w:p>
    <w:p w14:paraId="0D77A1C2" w14:textId="77777777" w:rsidR="00B36316" w:rsidRPr="00992209" w:rsidRDefault="00B36316" w:rsidP="00B36316">
      <w:pPr>
        <w:numPr>
          <w:ilvl w:val="1"/>
          <w:numId w:val="39"/>
        </w:numPr>
        <w:spacing w:after="0" w:line="276" w:lineRule="auto"/>
        <w:rPr>
          <w:rFonts w:eastAsia="Montserrat" w:cstheme="minorHAnsi"/>
          <w:color w:val="000000"/>
        </w:rPr>
      </w:pPr>
      <w:r w:rsidRPr="00992209">
        <w:rPr>
          <w:rFonts w:eastAsia="Montserrat" w:cstheme="minorHAnsi"/>
          <w:color w:val="000000"/>
        </w:rPr>
        <w:t>SMEs</w:t>
      </w:r>
    </w:p>
    <w:p w14:paraId="418535EA" w14:textId="77777777" w:rsidR="00B36316" w:rsidRPr="00992209" w:rsidRDefault="00B36316" w:rsidP="00B36316">
      <w:pPr>
        <w:numPr>
          <w:ilvl w:val="1"/>
          <w:numId w:val="39"/>
        </w:numPr>
        <w:spacing w:after="0" w:line="276" w:lineRule="auto"/>
        <w:rPr>
          <w:rFonts w:eastAsia="Montserrat" w:cstheme="minorHAnsi"/>
          <w:color w:val="000000"/>
        </w:rPr>
      </w:pPr>
      <w:r w:rsidRPr="00992209">
        <w:rPr>
          <w:rFonts w:eastAsia="Montserrat" w:cstheme="minorHAnsi"/>
          <w:color w:val="000000"/>
        </w:rPr>
        <w:t>VCSEs; and</w:t>
      </w:r>
    </w:p>
    <w:p w14:paraId="2E7232D1" w14:textId="77777777" w:rsidR="00B36316" w:rsidRPr="00992209" w:rsidRDefault="00B36316" w:rsidP="00B36316">
      <w:pPr>
        <w:numPr>
          <w:ilvl w:val="1"/>
          <w:numId w:val="39"/>
        </w:numPr>
        <w:spacing w:after="0" w:line="276" w:lineRule="auto"/>
        <w:rPr>
          <w:rFonts w:eastAsia="Montserrat" w:cstheme="minorHAnsi"/>
          <w:color w:val="000000"/>
        </w:rPr>
      </w:pPr>
      <w:r w:rsidRPr="00992209">
        <w:rPr>
          <w:rFonts w:eastAsia="Montserrat" w:cstheme="minorHAnsi"/>
          <w:color w:val="000000"/>
        </w:rPr>
        <w:t>mutuals:</w:t>
      </w:r>
    </w:p>
    <w:p w14:paraId="6E144979" w14:textId="77777777" w:rsidR="00B36316" w:rsidRPr="00992209" w:rsidRDefault="00B36316" w:rsidP="00B36316">
      <w:pPr>
        <w:numPr>
          <w:ilvl w:val="2"/>
          <w:numId w:val="39"/>
        </w:numPr>
        <w:spacing w:after="0" w:line="276" w:lineRule="auto"/>
        <w:rPr>
          <w:rFonts w:eastAsia="Montserrat" w:cstheme="minorHAnsi"/>
          <w:color w:val="000000"/>
        </w:rPr>
      </w:pPr>
      <w:r w:rsidRPr="00992209">
        <w:rPr>
          <w:rFonts w:eastAsia="Montserrat" w:cstheme="minorHAnsi"/>
          <w:color w:val="000000"/>
        </w:rPr>
        <w:t>The number of contract opportunities awarded under the contract</w:t>
      </w:r>
    </w:p>
    <w:p w14:paraId="1B53A716" w14:textId="77777777" w:rsidR="00B36316" w:rsidRPr="00992209" w:rsidRDefault="00B36316" w:rsidP="00B36316">
      <w:pPr>
        <w:numPr>
          <w:ilvl w:val="2"/>
          <w:numId w:val="39"/>
        </w:numPr>
        <w:spacing w:after="0" w:line="276" w:lineRule="auto"/>
        <w:rPr>
          <w:rFonts w:eastAsia="Montserrat" w:cstheme="minorHAnsi"/>
          <w:color w:val="000000"/>
        </w:rPr>
      </w:pPr>
      <w:r w:rsidRPr="00992209">
        <w:rPr>
          <w:rFonts w:eastAsia="Montserrat" w:cstheme="minorHAnsi"/>
          <w:color w:val="000000"/>
        </w:rPr>
        <w:t>The value of contract opportunities awarded under the contract in £</w:t>
      </w:r>
    </w:p>
    <w:p w14:paraId="733DC1D8" w14:textId="77777777" w:rsidR="00B36316" w:rsidRPr="00992209" w:rsidRDefault="00B36316" w:rsidP="00B36316">
      <w:pPr>
        <w:numPr>
          <w:ilvl w:val="2"/>
          <w:numId w:val="39"/>
        </w:numPr>
        <w:spacing w:after="0" w:line="276" w:lineRule="auto"/>
        <w:rPr>
          <w:rFonts w:eastAsia="Montserrat" w:cstheme="minorHAnsi"/>
          <w:color w:val="000000"/>
        </w:rPr>
      </w:pPr>
      <w:proofErr w:type="gramStart"/>
      <w:r w:rsidRPr="00992209">
        <w:rPr>
          <w:rFonts w:eastAsia="Montserrat" w:cstheme="minorHAnsi"/>
          <w:color w:val="000000"/>
        </w:rPr>
        <w:t>Total</w:t>
      </w:r>
      <w:proofErr w:type="gramEnd"/>
      <w:r w:rsidRPr="00992209">
        <w:rPr>
          <w:rFonts w:eastAsia="Montserrat" w:cstheme="minorHAnsi"/>
          <w:color w:val="000000"/>
        </w:rPr>
        <w:t xml:space="preserve"> spend under the contract, as a percentage of the overall contract</w:t>
      </w:r>
    </w:p>
    <w:p w14:paraId="234266EB" w14:textId="77777777" w:rsidR="00B36316" w:rsidRPr="00771198" w:rsidRDefault="00B36316" w:rsidP="00B36316">
      <w:pPr>
        <w:spacing w:line="276" w:lineRule="auto"/>
        <w:ind w:left="1211"/>
        <w:rPr>
          <w:rFonts w:ascii="Arial" w:eastAsia="Montserrat" w:hAnsi="Arial" w:cs="Arial"/>
          <w:color w:val="000000"/>
        </w:rPr>
      </w:pPr>
    </w:p>
    <w:p w14:paraId="45730B21" w14:textId="77777777" w:rsidR="00B36316" w:rsidRPr="00771198" w:rsidRDefault="00B36316" w:rsidP="00B36316">
      <w:pPr>
        <w:spacing w:line="276" w:lineRule="auto"/>
        <w:ind w:left="1211"/>
        <w:rPr>
          <w:rFonts w:ascii="Arial" w:eastAsia="Montserrat" w:hAnsi="Arial" w:cs="Arial"/>
          <w:b/>
          <w:color w:val="000000"/>
        </w:rPr>
      </w:pPr>
      <w:r w:rsidRPr="00771198">
        <w:rPr>
          <w:rFonts w:ascii="Arial" w:eastAsia="Montserrat" w:hAnsi="Arial" w:cs="Arial"/>
          <w:b/>
          <w:color w:val="000000"/>
        </w:rPr>
        <w:t>Fighting Climate Change reporting metrics</w:t>
      </w:r>
    </w:p>
    <w:p w14:paraId="697ECEF2" w14:textId="77777777" w:rsidR="00B36316" w:rsidRPr="00992209" w:rsidRDefault="00B36316" w:rsidP="00992209">
      <w:pPr>
        <w:numPr>
          <w:ilvl w:val="0"/>
          <w:numId w:val="45"/>
        </w:numPr>
        <w:spacing w:after="0" w:line="276" w:lineRule="auto"/>
        <w:rPr>
          <w:rFonts w:eastAsia="Montserrat" w:cstheme="minorHAnsi"/>
          <w:color w:val="000000"/>
        </w:rPr>
      </w:pPr>
      <w:r w:rsidRPr="00992209">
        <w:rPr>
          <w:rFonts w:eastAsia="Montserrat" w:cstheme="minorHAnsi"/>
          <w:color w:val="000000"/>
        </w:rPr>
        <w:t xml:space="preserve">Number of people-hours spent protecting and improving the environment under the contract, by UK region. </w:t>
      </w:r>
    </w:p>
    <w:p w14:paraId="40D61193" w14:textId="77777777" w:rsidR="00B36316" w:rsidRPr="00992209" w:rsidRDefault="00B36316" w:rsidP="00992209">
      <w:pPr>
        <w:numPr>
          <w:ilvl w:val="0"/>
          <w:numId w:val="45"/>
        </w:numPr>
        <w:spacing w:after="0" w:line="276" w:lineRule="auto"/>
        <w:rPr>
          <w:rFonts w:eastAsia="Montserrat" w:cstheme="minorHAnsi"/>
          <w:color w:val="000000"/>
        </w:rPr>
      </w:pPr>
      <w:r w:rsidRPr="00992209">
        <w:rPr>
          <w:rFonts w:eastAsia="Montserrat" w:cstheme="minorHAnsi"/>
          <w:color w:val="000000"/>
        </w:rPr>
        <w:t>Number of green spaces created under the contract, by UK region.</w:t>
      </w:r>
    </w:p>
    <w:p w14:paraId="6F6D1150" w14:textId="77777777" w:rsidR="00B36316" w:rsidRPr="00771198" w:rsidRDefault="00B36316" w:rsidP="00B36316">
      <w:pPr>
        <w:spacing w:line="276" w:lineRule="auto"/>
        <w:ind w:left="1211"/>
        <w:rPr>
          <w:rFonts w:ascii="Arial" w:eastAsia="Montserrat" w:hAnsi="Arial" w:cs="Arial"/>
          <w:color w:val="000000"/>
        </w:rPr>
      </w:pPr>
    </w:p>
    <w:p w14:paraId="463E0CE5" w14:textId="77777777" w:rsidR="00B36316" w:rsidRPr="00771198" w:rsidRDefault="00B36316" w:rsidP="00B36316">
      <w:pPr>
        <w:spacing w:line="276" w:lineRule="auto"/>
        <w:ind w:left="1211"/>
        <w:rPr>
          <w:rFonts w:ascii="Arial" w:eastAsia="Montserrat" w:hAnsi="Arial" w:cs="Arial"/>
          <w:b/>
          <w:color w:val="000000"/>
        </w:rPr>
      </w:pPr>
      <w:r w:rsidRPr="00771198">
        <w:rPr>
          <w:rFonts w:ascii="Arial" w:eastAsia="Montserrat" w:hAnsi="Arial" w:cs="Arial"/>
          <w:b/>
          <w:color w:val="000000"/>
        </w:rPr>
        <w:t>Equal Opportunities reporting metrics</w:t>
      </w:r>
    </w:p>
    <w:p w14:paraId="55817725" w14:textId="77777777" w:rsidR="00B36316" w:rsidRPr="00992209" w:rsidRDefault="00B36316" w:rsidP="00992209">
      <w:pPr>
        <w:numPr>
          <w:ilvl w:val="0"/>
          <w:numId w:val="46"/>
        </w:numPr>
        <w:spacing w:after="0" w:line="276" w:lineRule="auto"/>
        <w:rPr>
          <w:rFonts w:eastAsia="Montserrat" w:cstheme="minorHAnsi"/>
          <w:color w:val="000000"/>
        </w:rPr>
      </w:pPr>
      <w:r w:rsidRPr="00992209">
        <w:rPr>
          <w:rFonts w:eastAsia="Montserrat" w:cstheme="minorHAnsi"/>
          <w:color w:val="000000"/>
        </w:rPr>
        <w:t xml:space="preserve">Total percentage of full-time equivalent (FTE) disabled people employed under the contract, as a proportion of the total FTE contract workforce, by UK region. </w:t>
      </w:r>
    </w:p>
    <w:p w14:paraId="62C4AAFE" w14:textId="77777777" w:rsidR="00B36316" w:rsidRPr="00992209" w:rsidRDefault="00B36316" w:rsidP="00992209">
      <w:pPr>
        <w:numPr>
          <w:ilvl w:val="0"/>
          <w:numId w:val="46"/>
        </w:numPr>
        <w:spacing w:after="0" w:line="276" w:lineRule="auto"/>
        <w:rPr>
          <w:rFonts w:eastAsia="Montserrat" w:cstheme="minorHAnsi"/>
          <w:color w:val="000000"/>
        </w:rPr>
      </w:pPr>
      <w:r w:rsidRPr="00992209">
        <w:rPr>
          <w:rFonts w:eastAsia="Montserrat" w:cstheme="minorHAnsi"/>
          <w:color w:val="000000"/>
        </w:rPr>
        <w:lastRenderedPageBreak/>
        <w:t xml:space="preserve">Number of full-time equivalent (FTE) disabled people employed under the contract, by UK region. </w:t>
      </w:r>
    </w:p>
    <w:p w14:paraId="2DE0C956" w14:textId="77777777" w:rsidR="00B36316" w:rsidRPr="00992209" w:rsidRDefault="00B36316" w:rsidP="00992209">
      <w:pPr>
        <w:numPr>
          <w:ilvl w:val="0"/>
          <w:numId w:val="46"/>
        </w:numPr>
        <w:spacing w:after="0" w:line="276" w:lineRule="auto"/>
        <w:rPr>
          <w:rFonts w:eastAsia="Montserrat" w:cstheme="minorHAnsi"/>
          <w:color w:val="000000"/>
        </w:rPr>
      </w:pPr>
      <w:r w:rsidRPr="00992209">
        <w:rPr>
          <w:rFonts w:eastAsia="Montserrat" w:cstheme="minorHAnsi"/>
          <w:color w:val="000000"/>
        </w:rPr>
        <w:t xml:space="preserve">Total percentage of disabled people on apprenticeship schemes (Level 2, 3, and 4+) under the contract, as a proportion of all people on apprenticeship schemes (Level 2, 3, and 4+) within the contract workforce, by UK region. </w:t>
      </w:r>
    </w:p>
    <w:p w14:paraId="2398B3C6" w14:textId="77777777" w:rsidR="00B36316" w:rsidRPr="00992209" w:rsidRDefault="00B36316" w:rsidP="00992209">
      <w:pPr>
        <w:numPr>
          <w:ilvl w:val="0"/>
          <w:numId w:val="46"/>
        </w:numPr>
        <w:spacing w:after="0" w:line="276" w:lineRule="auto"/>
        <w:rPr>
          <w:rFonts w:eastAsia="Montserrat" w:cstheme="minorHAnsi"/>
          <w:color w:val="000000"/>
        </w:rPr>
      </w:pPr>
      <w:r w:rsidRPr="00992209">
        <w:rPr>
          <w:rFonts w:eastAsia="Montserrat" w:cstheme="minorHAnsi"/>
          <w:color w:val="000000"/>
        </w:rPr>
        <w:t xml:space="preserve">Number of disabled people on apprenticeship schemes (Level 2, 3, and 4+) under the contract, by UK region. </w:t>
      </w:r>
    </w:p>
    <w:p w14:paraId="34356A01" w14:textId="77777777" w:rsidR="00B36316" w:rsidRPr="00992209" w:rsidRDefault="00B36316" w:rsidP="00992209">
      <w:pPr>
        <w:numPr>
          <w:ilvl w:val="0"/>
          <w:numId w:val="46"/>
        </w:numPr>
        <w:spacing w:after="0" w:line="276" w:lineRule="auto"/>
        <w:rPr>
          <w:rFonts w:eastAsia="Montserrat" w:cstheme="minorHAnsi"/>
          <w:color w:val="000000"/>
        </w:rPr>
      </w:pPr>
      <w:r w:rsidRPr="00992209">
        <w:rPr>
          <w:rFonts w:eastAsia="Montserrat" w:cstheme="minorHAnsi"/>
          <w:color w:val="000000"/>
        </w:rPr>
        <w:t xml:space="preserve">Total percentage of disabled people on other training schemes (Level 2, 3, and 4+) under the contract, as a proportion of all people on other training schemes (Level 2, 3, and 4+) within the contract workforce, by UK region. </w:t>
      </w:r>
    </w:p>
    <w:p w14:paraId="00306F40" w14:textId="77777777" w:rsidR="00B36316" w:rsidRPr="00992209" w:rsidRDefault="00B36316" w:rsidP="00992209">
      <w:pPr>
        <w:numPr>
          <w:ilvl w:val="0"/>
          <w:numId w:val="46"/>
        </w:numPr>
        <w:spacing w:after="240" w:line="276" w:lineRule="auto"/>
        <w:rPr>
          <w:rFonts w:eastAsia="Montserrat" w:cstheme="minorHAnsi"/>
          <w:color w:val="000000"/>
        </w:rPr>
      </w:pPr>
      <w:r w:rsidRPr="00992209">
        <w:rPr>
          <w:rFonts w:eastAsia="Montserrat" w:cstheme="minorHAnsi"/>
          <w:color w:val="000000"/>
        </w:rPr>
        <w:t>Number of disabled people on other training schemes (Level 2, 3, and 4+) under the contract, by UK region.</w:t>
      </w:r>
    </w:p>
    <w:p w14:paraId="540BC240" w14:textId="425F72F8" w:rsidR="00B36316" w:rsidRPr="00184317" w:rsidRDefault="00B36316" w:rsidP="008B03E0">
      <w:pPr>
        <w:pStyle w:val="ListParagraph"/>
        <w:numPr>
          <w:ilvl w:val="1"/>
          <w:numId w:val="14"/>
        </w:numPr>
      </w:pPr>
      <w:r w:rsidRPr="001753F6">
        <w:rPr>
          <w:rFonts w:eastAsia="Montserrat"/>
        </w:rPr>
        <w:t xml:space="preserve">Please note, each reporting metric outlines above may be adapted, where necessary, </w:t>
      </w:r>
      <w:r w:rsidRPr="00992209">
        <w:t>following</w:t>
      </w:r>
      <w:r w:rsidRPr="001753F6">
        <w:rPr>
          <w:rFonts w:eastAsia="Montserrat"/>
        </w:rPr>
        <w:t xml:space="preserve"> tender award </w:t>
      </w:r>
      <w:proofErr w:type="gramStart"/>
      <w:r w:rsidRPr="001753F6">
        <w:rPr>
          <w:rFonts w:eastAsia="Montserrat"/>
        </w:rPr>
        <w:t>in order to</w:t>
      </w:r>
      <w:proofErr w:type="gramEnd"/>
      <w:r w:rsidRPr="001753F6">
        <w:rPr>
          <w:rFonts w:eastAsia="Montserrat"/>
        </w:rPr>
        <w:t xml:space="preserve"> more closely align with the tenderers social value benefit. This will form a Key Performance Indicator (KPI) under the contract which will be developed and agreed by both parties prior to the contract being signed. </w:t>
      </w:r>
    </w:p>
    <w:p w14:paraId="5C42851C" w14:textId="77777777" w:rsidR="000E71C4" w:rsidRPr="00184317" w:rsidRDefault="6C59C327" w:rsidP="00EE024B">
      <w:pPr>
        <w:pStyle w:val="Heading3"/>
        <w:numPr>
          <w:ilvl w:val="0"/>
          <w:numId w:val="14"/>
        </w:numPr>
        <w:ind w:left="1134" w:hanging="708"/>
        <w:rPr>
          <w:lang w:eastAsia="en-GB"/>
        </w:rPr>
      </w:pPr>
      <w:bookmarkStart w:id="69" w:name="_Toc127213848"/>
      <w:r w:rsidRPr="00184317">
        <w:rPr>
          <w:lang w:eastAsia="en-GB"/>
        </w:rPr>
        <w:t>Tender Costs</w:t>
      </w:r>
      <w:bookmarkEnd w:id="69"/>
    </w:p>
    <w:p w14:paraId="7EF97728" w14:textId="5421344D" w:rsidR="000E71C4" w:rsidRPr="00184317" w:rsidRDefault="6C59C327" w:rsidP="00EE024B">
      <w:pPr>
        <w:pStyle w:val="ListParagraph"/>
        <w:numPr>
          <w:ilvl w:val="1"/>
          <w:numId w:val="14"/>
        </w:numPr>
      </w:pPr>
      <w:r w:rsidRPr="00184317">
        <w:t xml:space="preserve">All </w:t>
      </w:r>
      <w:r w:rsidR="00584EB1">
        <w:t>Tenderer</w:t>
      </w:r>
      <w:r w:rsidRPr="00184317">
        <w:t xml:space="preserve">s are solely responsible for all their costs and expenses incurred in connection with this procurement process at all stages. Under no circumstances will </w:t>
      </w:r>
      <w:r>
        <w:t>the Combined Authority</w:t>
      </w:r>
      <w:r w:rsidRPr="00184317">
        <w:t xml:space="preserve"> be liable for any costs or expenses borne by or on behalf of the </w:t>
      </w:r>
      <w:r w:rsidR="00584EB1">
        <w:t>Tenderer</w:t>
      </w:r>
      <w:r w:rsidRPr="00184317">
        <w:t xml:space="preserve"> or any party associated with this procurement process. </w:t>
      </w:r>
    </w:p>
    <w:p w14:paraId="429FD574" w14:textId="44C89CF5" w:rsidR="00821EFA" w:rsidRPr="00C1531D" w:rsidRDefault="5581C016" w:rsidP="00EE024B">
      <w:pPr>
        <w:pStyle w:val="Heading3"/>
        <w:numPr>
          <w:ilvl w:val="0"/>
          <w:numId w:val="14"/>
        </w:numPr>
        <w:ind w:left="1134" w:hanging="708"/>
        <w:rPr>
          <w:lang w:eastAsia="en-GB"/>
        </w:rPr>
      </w:pPr>
      <w:bookmarkStart w:id="70" w:name="_Toc127213849"/>
      <w:r w:rsidRPr="3F0E91BE">
        <w:rPr>
          <w:lang w:eastAsia="en-GB"/>
        </w:rPr>
        <w:t>General Information</w:t>
      </w:r>
      <w:bookmarkEnd w:id="70"/>
    </w:p>
    <w:p w14:paraId="2D477401" w14:textId="35AB55E4" w:rsidR="00821EFA" w:rsidRPr="00C1531D" w:rsidRDefault="5581C016" w:rsidP="00EE024B">
      <w:pPr>
        <w:pStyle w:val="ListParagraph"/>
        <w:numPr>
          <w:ilvl w:val="1"/>
          <w:numId w:val="14"/>
        </w:numPr>
      </w:pPr>
      <w:r>
        <w:t>Combined Authority Clarifications</w:t>
      </w:r>
      <w:r w:rsidR="0068678D">
        <w:t xml:space="preserve">: </w:t>
      </w:r>
      <w:r>
        <w:t xml:space="preserve">The Combined Authority may wish to make enquiries of a </w:t>
      </w:r>
      <w:r w:rsidR="00584EB1">
        <w:t>Tenderer</w:t>
      </w:r>
      <w:r>
        <w:t xml:space="preserve">’s existing customers and/or require further information from </w:t>
      </w:r>
      <w:r w:rsidR="00584EB1">
        <w:t>Tenderer</w:t>
      </w:r>
      <w:r>
        <w:t xml:space="preserve">s at any stage during the selection and award process.  </w:t>
      </w:r>
      <w:proofErr w:type="gramStart"/>
      <w:r>
        <w:t>In particular the</w:t>
      </w:r>
      <w:proofErr w:type="gramEnd"/>
      <w:r>
        <w:t xml:space="preserve"> Combined Authority reserves the right to clarify any element of submitted Tenders.</w:t>
      </w:r>
      <w:r w:rsidR="00821EFA">
        <w:br/>
      </w:r>
    </w:p>
    <w:p w14:paraId="327DFF40" w14:textId="02C33B2B" w:rsidR="00821EFA" w:rsidRPr="00C1531D" w:rsidRDefault="5581C016" w:rsidP="00EE024B">
      <w:pPr>
        <w:pStyle w:val="ListParagraph"/>
        <w:numPr>
          <w:ilvl w:val="1"/>
          <w:numId w:val="14"/>
        </w:numPr>
      </w:pPr>
      <w:r>
        <w:t>Right to reject tenders or cancel process</w:t>
      </w:r>
      <w:r w:rsidR="00B70704">
        <w:t>:</w:t>
      </w:r>
      <w:r>
        <w:t xml:space="preserve"> The Combined Authority reserves the right to accept or reject any written Tender and to abort the Tender process and reject all Tenders at any time prior to award of contract without incurring any liability to the affected </w:t>
      </w:r>
      <w:r w:rsidR="00584EB1">
        <w:t>Tenderer</w:t>
      </w:r>
      <w:r>
        <w:t xml:space="preserve">s. The Combined Authority is not bound to accept the lowest or any Tender response made </w:t>
      </w:r>
      <w:proofErr w:type="gramStart"/>
      <w:r>
        <w:t>as a result of</w:t>
      </w:r>
      <w:proofErr w:type="gramEnd"/>
      <w:r>
        <w:t xml:space="preserve"> this invitation.</w:t>
      </w:r>
      <w:r w:rsidR="00821EFA">
        <w:br/>
      </w:r>
    </w:p>
    <w:p w14:paraId="30D7776B" w14:textId="755A0C16" w:rsidR="00821EFA" w:rsidRPr="00C1531D" w:rsidRDefault="5581C016" w:rsidP="00EE024B">
      <w:pPr>
        <w:pStyle w:val="ListParagraph"/>
        <w:numPr>
          <w:ilvl w:val="1"/>
          <w:numId w:val="14"/>
        </w:numPr>
      </w:pPr>
      <w:r>
        <w:t xml:space="preserve">The Combined Authority shall not be liable for any loss or expense incurred by any </w:t>
      </w:r>
      <w:r w:rsidR="00584EB1">
        <w:t>Tenderer</w:t>
      </w:r>
      <w:r>
        <w:t xml:space="preserve"> in the production of the Tender or </w:t>
      </w:r>
      <w:proofErr w:type="gramStart"/>
      <w:r>
        <w:t>as a result of</w:t>
      </w:r>
      <w:proofErr w:type="gramEnd"/>
      <w:r>
        <w:t xml:space="preserve"> its decision not to award the contract to any </w:t>
      </w:r>
      <w:r w:rsidR="00584EB1">
        <w:t>Tenderer</w:t>
      </w:r>
      <w:r>
        <w:t>.</w:t>
      </w:r>
      <w:r w:rsidR="00821EFA">
        <w:br/>
      </w:r>
    </w:p>
    <w:p w14:paraId="71E94FEB" w14:textId="46F7C78A" w:rsidR="00821EFA" w:rsidRPr="00C1531D" w:rsidRDefault="5581C016" w:rsidP="00EE024B">
      <w:pPr>
        <w:pStyle w:val="ListParagraph"/>
        <w:numPr>
          <w:ilvl w:val="1"/>
          <w:numId w:val="14"/>
        </w:numPr>
      </w:pPr>
      <w:r>
        <w:t>Confidentiality</w:t>
      </w:r>
      <w:r w:rsidR="00B70704">
        <w:t>:</w:t>
      </w:r>
      <w:r>
        <w:t xml:space="preserve"> All documentation supplied by the Combined Authority shall remain its property and confidential to it. </w:t>
      </w:r>
      <w:r w:rsidR="00584EB1">
        <w:t>Tenderer</w:t>
      </w:r>
      <w:r>
        <w:t xml:space="preserve">s may not without the Combined Authority’s written consent at any time use for their own purposes or disclose to any other person (except as may be required by law) the Tender or contract documents or any information or material which the Combined Authority may make available to </w:t>
      </w:r>
      <w:r w:rsidR="00584EB1">
        <w:t>Tenderer</w:t>
      </w:r>
      <w:r>
        <w:t xml:space="preserve">s </w:t>
      </w:r>
      <w:r>
        <w:lastRenderedPageBreak/>
        <w:t>all of which shall remain confidential to the Combined Authority.</w:t>
      </w:r>
      <w:r w:rsidR="00821EFA">
        <w:br/>
      </w:r>
    </w:p>
    <w:p w14:paraId="41C6586E" w14:textId="79E7840F" w:rsidR="00821EFA" w:rsidRPr="00C1531D" w:rsidRDefault="5581C016" w:rsidP="00EE024B">
      <w:pPr>
        <w:pStyle w:val="ListParagraph"/>
        <w:numPr>
          <w:ilvl w:val="1"/>
          <w:numId w:val="14"/>
        </w:numPr>
      </w:pPr>
      <w:r>
        <w:t>Freedom of Information Act</w:t>
      </w:r>
      <w:r w:rsidR="007B1A32">
        <w:t>:</w:t>
      </w:r>
      <w:r>
        <w:t xml:space="preserve"> </w:t>
      </w:r>
      <w:r w:rsidR="00584EB1">
        <w:t>Tenderer</w:t>
      </w:r>
      <w:r>
        <w:t xml:space="preserve">s should note that the Combined Authority is subject to the Freedom of Information Act 2000 and provisions are in force allowing any person access to information held by the Combined Authority. There are limited exemptions to this. The exemptions include information the disclosure of which would be an actual breach of confidence or likely to prejudice the commercial interests of any person, or information that constitutes a trade secret. </w:t>
      </w:r>
      <w:r w:rsidR="00584EB1">
        <w:t>Tenderer</w:t>
      </w:r>
      <w:r>
        <w:t xml:space="preserve">s are requested to state which part, if any, of the information supplied with their </w:t>
      </w:r>
      <w:r w:rsidR="007646E1">
        <w:t>T</w:t>
      </w:r>
      <w:r>
        <w:t xml:space="preserve">enders is confidential or </w:t>
      </w:r>
      <w:r w:rsidRPr="007015FF">
        <w:rPr>
          <w:b/>
        </w:rPr>
        <w:t>commercially sensitive</w:t>
      </w:r>
      <w:r>
        <w:t xml:space="preserve"> or should not be disclosed in response to a request for information. Where </w:t>
      </w:r>
      <w:r w:rsidR="00584EB1">
        <w:t>Tenderer</w:t>
      </w:r>
      <w:r>
        <w:t xml:space="preserve">s state that any information is confidential or commercially sensitive, they must also state why they consider the information to be confidential or commercially sensitive.  The Combined Authority will consider </w:t>
      </w:r>
      <w:r w:rsidR="00584EB1">
        <w:t>Tenderer</w:t>
      </w:r>
      <w:r>
        <w:t>s’ statements in the context of the exemptions provided for under the Act but does not offer any guarantee that the information in question will not be disclosed.</w:t>
      </w:r>
      <w:r w:rsidR="00821EFA">
        <w:br/>
      </w:r>
    </w:p>
    <w:p w14:paraId="0D498A72" w14:textId="517568BA" w:rsidR="00821EFA" w:rsidRDefault="5581C016" w:rsidP="00EE024B">
      <w:pPr>
        <w:pStyle w:val="ListParagraph"/>
        <w:numPr>
          <w:ilvl w:val="1"/>
          <w:numId w:val="14"/>
        </w:numPr>
      </w:pPr>
      <w:r>
        <w:t>Transparency</w:t>
      </w:r>
      <w:r w:rsidR="00D1179B">
        <w:t>:</w:t>
      </w:r>
      <w:r>
        <w:t xml:space="preserve"> </w:t>
      </w:r>
      <w:r w:rsidR="00584EB1">
        <w:t>Tenderer</w:t>
      </w:r>
      <w:r>
        <w:t xml:space="preserve">s should be aware that the Combined Authority is required to publish information regarding contracts under the government transparency policy. To view details of what must be published, see the Local Government Transparency Code 2015 via this link: </w:t>
      </w:r>
      <w:hyperlink r:id="rId17">
        <w:r w:rsidRPr="3F0E91BE">
          <w:rPr>
            <w:rStyle w:val="Hyperlink"/>
          </w:rPr>
          <w:t>Local Government Transparency Code 2015</w:t>
        </w:r>
      </w:hyperlink>
    </w:p>
    <w:p w14:paraId="19353368" w14:textId="77777777" w:rsidR="000B3FFF" w:rsidRPr="00C1531D" w:rsidRDefault="000B3FFF" w:rsidP="000B3FFF">
      <w:pPr>
        <w:pStyle w:val="ListParagraph"/>
        <w:ind w:left="1080"/>
      </w:pPr>
    </w:p>
    <w:p w14:paraId="13079F35" w14:textId="0DA20A9D" w:rsidR="00821EFA" w:rsidRDefault="5581C016" w:rsidP="00EE024B">
      <w:pPr>
        <w:pStyle w:val="ListParagraph"/>
        <w:numPr>
          <w:ilvl w:val="1"/>
          <w:numId w:val="14"/>
        </w:numPr>
      </w:pPr>
      <w:r>
        <w:t xml:space="preserve">Details of this </w:t>
      </w:r>
      <w:r w:rsidR="6E568DED">
        <w:t>opportunity</w:t>
      </w:r>
      <w:r>
        <w:t xml:space="preserve"> will be published on the Combined Authority’s website and the government’s transparency website Find a Tender Service (. gov.uk) and Contracts Finder.</w:t>
      </w:r>
    </w:p>
    <w:p w14:paraId="50AD62C2" w14:textId="77777777" w:rsidR="000B3FFF" w:rsidRPr="00C1531D" w:rsidRDefault="000B3FFF" w:rsidP="000B3FFF">
      <w:pPr>
        <w:pStyle w:val="ListParagraph"/>
        <w:ind w:left="1080"/>
      </w:pPr>
    </w:p>
    <w:p w14:paraId="4748B282" w14:textId="087470B8" w:rsidR="000B3FFF" w:rsidRPr="00C1531D" w:rsidRDefault="5581C016" w:rsidP="00EE024B">
      <w:pPr>
        <w:pStyle w:val="ListParagraph"/>
        <w:numPr>
          <w:ilvl w:val="1"/>
          <w:numId w:val="14"/>
        </w:numPr>
      </w:pPr>
      <w:r>
        <w:t xml:space="preserve">In submitting a Tender, the </w:t>
      </w:r>
      <w:r w:rsidR="00584EB1">
        <w:t>Tenderer</w:t>
      </w:r>
      <w:r>
        <w:t xml:space="preserve"> accepts the Combined Authority’s right to publish details of expenditure as well as information contained within the </w:t>
      </w:r>
      <w:r w:rsidR="00584EB1">
        <w:t>Tenderer</w:t>
      </w:r>
      <w:r>
        <w:t>’s Tender.</w:t>
      </w:r>
      <w:r w:rsidR="00821EFA">
        <w:br/>
      </w:r>
    </w:p>
    <w:p w14:paraId="75681970" w14:textId="1DFB10CC" w:rsidR="00821EFA" w:rsidRPr="00CD4C8C" w:rsidRDefault="5581C016" w:rsidP="00EE024B">
      <w:pPr>
        <w:pStyle w:val="ListParagraph"/>
        <w:numPr>
          <w:ilvl w:val="1"/>
          <w:numId w:val="14"/>
        </w:numPr>
      </w:pPr>
      <w:r>
        <w:t xml:space="preserve">Bribery and Corruption. The Combined Authority reserves the right to reject any Tender or terminate the contract if the </w:t>
      </w:r>
      <w:r w:rsidR="00584EB1">
        <w:t>Tenderer</w:t>
      </w:r>
      <w:r>
        <w:t xml:space="preserve"> or anyone on its behalf bribes or tries to bribe anyone in connection with any aspect of the Tender process or commits an offence under the </w:t>
      </w:r>
      <w:r w:rsidRPr="00CC7DDE">
        <w:rPr>
          <w:b/>
        </w:rPr>
        <w:t>Prevention of Corruption Acts 1889-1916</w:t>
      </w:r>
      <w:r>
        <w:t xml:space="preserve"> or money laundering regulations.</w:t>
      </w:r>
    </w:p>
    <w:p w14:paraId="4639B368" w14:textId="77777777" w:rsidR="00CD4C8C" w:rsidRDefault="00CD4C8C" w:rsidP="00CD4C8C">
      <w:pPr>
        <w:pStyle w:val="ListParagraph"/>
        <w:ind w:left="1080"/>
      </w:pPr>
    </w:p>
    <w:p w14:paraId="3EA6E4EB" w14:textId="3F97F8A8" w:rsidR="00CD4C8C" w:rsidRDefault="00584EB1" w:rsidP="00CD4C8C">
      <w:pPr>
        <w:pStyle w:val="ListParagraph"/>
        <w:ind w:left="1080"/>
      </w:pPr>
      <w:r>
        <w:t>Tenderer</w:t>
      </w:r>
      <w:r w:rsidR="00821EFA" w:rsidRPr="00CD4C8C">
        <w:t>s should not attempt to canvass any Member or Officer of the Combined Authority about this tendering process or try and obtain confidential information relating to the service or the tendering process from anyone associated with the contract or from any other past or present contractor to the Combined Authority. If you do so your Tender is likely to be rejected.</w:t>
      </w:r>
    </w:p>
    <w:p w14:paraId="206B65EE" w14:textId="77777777" w:rsidR="00CD4C8C" w:rsidRDefault="00CD4C8C" w:rsidP="00CD4C8C">
      <w:pPr>
        <w:pStyle w:val="ListParagraph"/>
        <w:ind w:left="1080"/>
      </w:pPr>
    </w:p>
    <w:p w14:paraId="30F21AF2" w14:textId="0B377B7E" w:rsidR="00821EFA" w:rsidRPr="00CD4C8C" w:rsidRDefault="00821EFA" w:rsidP="00CD4C8C">
      <w:pPr>
        <w:pStyle w:val="ListParagraph"/>
        <w:ind w:left="1080"/>
      </w:pPr>
      <w:r w:rsidRPr="00CD4C8C">
        <w:t xml:space="preserve">The Combined Authority takes these issues very seriously. It encourages all </w:t>
      </w:r>
      <w:r w:rsidR="00584EB1">
        <w:t>Tenderer</w:t>
      </w:r>
      <w:r w:rsidRPr="00CD4C8C">
        <w:t xml:space="preserve">s to contact the Procurement team if any Combined Authority representative, employee or other </w:t>
      </w:r>
      <w:r w:rsidR="00584EB1">
        <w:t>Tenderer</w:t>
      </w:r>
      <w:r w:rsidRPr="00CD4C8C">
        <w:t xml:space="preserve"> or potential </w:t>
      </w:r>
      <w:r w:rsidR="00584EB1">
        <w:t>Tenderer</w:t>
      </w:r>
      <w:r w:rsidRPr="00CD4C8C">
        <w:t xml:space="preserve"> approaches them and either attempts to engage them in any such activity or infers that they could do so. </w:t>
      </w:r>
      <w:r w:rsidR="004574A2">
        <w:br/>
      </w:r>
    </w:p>
    <w:p w14:paraId="1D10366C" w14:textId="3C7E4C5A" w:rsidR="00821EFA" w:rsidRPr="00A82622" w:rsidRDefault="5581C016" w:rsidP="00A82622">
      <w:pPr>
        <w:pStyle w:val="ListParagraph"/>
        <w:numPr>
          <w:ilvl w:val="1"/>
          <w:numId w:val="14"/>
        </w:numPr>
      </w:pPr>
      <w:r>
        <w:lastRenderedPageBreak/>
        <w:t>Transfer of Undertakings and Protection of Employment Regulations</w:t>
      </w:r>
      <w:r w:rsidR="2B2EB67C">
        <w:t xml:space="preserve"> (TUPE)</w:t>
      </w:r>
      <w:r w:rsidR="00A82622">
        <w:t xml:space="preserve">: </w:t>
      </w:r>
      <w:r w:rsidR="00821EFA" w:rsidRPr="083D5341">
        <w:rPr>
          <w:lang w:eastAsia="en-GB"/>
        </w:rPr>
        <w:t>The Combined Authority does not consider any person to be in scope of TUPE in the delivery of the services of this contract.</w:t>
      </w:r>
    </w:p>
    <w:p w14:paraId="615B88F4" w14:textId="77777777" w:rsidR="00742A7B" w:rsidRDefault="00742A7B" w:rsidP="00CD4C8C">
      <w:pPr>
        <w:pStyle w:val="ListParagraph"/>
        <w:ind w:left="1080"/>
        <w:rPr>
          <w:rFonts w:cstheme="minorHAnsi"/>
          <w:lang w:eastAsia="en-GB"/>
        </w:rPr>
      </w:pPr>
    </w:p>
    <w:p w14:paraId="383FEB98" w14:textId="182F2AD8" w:rsidR="00742A7B" w:rsidRPr="00184317" w:rsidRDefault="21B731A5" w:rsidP="00EE024B">
      <w:pPr>
        <w:pStyle w:val="ListParagraph"/>
        <w:numPr>
          <w:ilvl w:val="1"/>
          <w:numId w:val="14"/>
        </w:numPr>
        <w:rPr>
          <w:lang w:eastAsia="en-GB"/>
        </w:rPr>
      </w:pPr>
      <w:r w:rsidRPr="00184317">
        <w:t>Publicity</w:t>
      </w:r>
      <w:r w:rsidR="00A82622">
        <w:t xml:space="preserve">: </w:t>
      </w:r>
      <w:r w:rsidR="00584EB1">
        <w:rPr>
          <w:lang w:eastAsia="en-GB"/>
        </w:rPr>
        <w:t>Tenderer</w:t>
      </w:r>
      <w:r w:rsidRPr="00184317">
        <w:rPr>
          <w:lang w:eastAsia="en-GB"/>
        </w:rPr>
        <w:t xml:space="preserve">s must obtain the express written consent from </w:t>
      </w:r>
      <w:r w:rsidR="3AEC61E3" w:rsidRPr="00184317">
        <w:rPr>
          <w:lang w:eastAsia="en-GB"/>
        </w:rPr>
        <w:t xml:space="preserve">the </w:t>
      </w:r>
      <w:r w:rsidR="3AEC61E3" w:rsidRPr="009728B6">
        <w:rPr>
          <w:lang w:eastAsia="en-GB"/>
        </w:rPr>
        <w:t xml:space="preserve">Combined </w:t>
      </w:r>
      <w:r w:rsidR="3AEC61E3" w:rsidRPr="3F0E91BE">
        <w:rPr>
          <w:lang w:eastAsia="en-GB"/>
        </w:rPr>
        <w:t>Authority before</w:t>
      </w:r>
      <w:r w:rsidRPr="00184317">
        <w:rPr>
          <w:lang w:eastAsia="en-GB"/>
        </w:rPr>
        <w:t xml:space="preserve"> any disclosures are made to the press or in any other public domain relating to this </w:t>
      </w:r>
      <w:r w:rsidRPr="009728B6">
        <w:rPr>
          <w:lang w:eastAsia="en-GB"/>
        </w:rPr>
        <w:t>ITT</w:t>
      </w:r>
      <w:r w:rsidRPr="00184317">
        <w:rPr>
          <w:lang w:eastAsia="en-GB"/>
        </w:rPr>
        <w:t xml:space="preserve"> process or any subsequent Contract. </w:t>
      </w:r>
      <w:r w:rsidR="00584EB1">
        <w:rPr>
          <w:lang w:eastAsia="en-GB"/>
        </w:rPr>
        <w:t>Tenderer</w:t>
      </w:r>
      <w:r w:rsidRPr="00184317">
        <w:rPr>
          <w:lang w:eastAsia="en-GB"/>
        </w:rPr>
        <w:t>s are not permitted to:</w:t>
      </w:r>
    </w:p>
    <w:p w14:paraId="6D423766" w14:textId="162625C9" w:rsidR="00742A7B" w:rsidRPr="00184317" w:rsidRDefault="00742A7B" w:rsidP="00EE024B">
      <w:pPr>
        <w:numPr>
          <w:ilvl w:val="0"/>
          <w:numId w:val="21"/>
        </w:numPr>
        <w:pBdr>
          <w:top w:val="nil"/>
          <w:left w:val="nil"/>
          <w:bottom w:val="nil"/>
          <w:right w:val="nil"/>
          <w:between w:val="nil"/>
        </w:pBdr>
        <w:jc w:val="both"/>
        <w:rPr>
          <w:rFonts w:cstheme="minorHAnsi"/>
          <w:lang w:eastAsia="en-GB"/>
        </w:rPr>
      </w:pPr>
      <w:r w:rsidRPr="00184317">
        <w:rPr>
          <w:rFonts w:cstheme="minorHAnsi"/>
          <w:lang w:eastAsia="en-GB"/>
        </w:rPr>
        <w:t xml:space="preserve">Make a public statement or communicate in any form with the media in connection with this procurement process without first obtaining the prior written consent of </w:t>
      </w:r>
      <w:r w:rsidR="004A3566" w:rsidRPr="00AA4A73">
        <w:rPr>
          <w:rFonts w:cstheme="minorHAnsi"/>
          <w:lang w:eastAsia="en-GB"/>
        </w:rPr>
        <w:t xml:space="preserve">the Combined </w:t>
      </w:r>
      <w:r w:rsidR="004A3566" w:rsidRPr="004A3566">
        <w:rPr>
          <w:rFonts w:cstheme="minorHAnsi"/>
          <w:lang w:eastAsia="en-GB"/>
        </w:rPr>
        <w:t>Authority</w:t>
      </w:r>
      <w:r w:rsidRPr="00184317">
        <w:rPr>
          <w:rFonts w:cstheme="minorHAnsi"/>
          <w:lang w:eastAsia="en-GB"/>
        </w:rPr>
        <w:t>; and/or</w:t>
      </w:r>
    </w:p>
    <w:p w14:paraId="5A8F37F3" w14:textId="7EA23F59" w:rsidR="00742A7B" w:rsidRPr="00184317" w:rsidRDefault="00742A7B" w:rsidP="00EE024B">
      <w:pPr>
        <w:numPr>
          <w:ilvl w:val="0"/>
          <w:numId w:val="21"/>
        </w:numPr>
        <w:pBdr>
          <w:top w:val="nil"/>
          <w:left w:val="nil"/>
          <w:bottom w:val="nil"/>
          <w:right w:val="nil"/>
          <w:between w:val="nil"/>
        </w:pBdr>
        <w:jc w:val="both"/>
        <w:rPr>
          <w:rFonts w:cstheme="minorHAnsi"/>
          <w:lang w:eastAsia="en-GB"/>
        </w:rPr>
      </w:pPr>
      <w:r w:rsidRPr="00184317">
        <w:rPr>
          <w:rFonts w:cstheme="minorHAnsi"/>
          <w:lang w:eastAsia="en-GB"/>
        </w:rPr>
        <w:t xml:space="preserve">Use any trademarks, logos or any other intellectual property rights associated with </w:t>
      </w:r>
      <w:r w:rsidR="004A3566" w:rsidRPr="00AA4A73">
        <w:rPr>
          <w:rFonts w:cstheme="minorHAnsi"/>
          <w:lang w:eastAsia="en-GB"/>
        </w:rPr>
        <w:t xml:space="preserve">the Combined </w:t>
      </w:r>
      <w:r w:rsidR="004A3566" w:rsidRPr="004A3566">
        <w:rPr>
          <w:rFonts w:cstheme="minorHAnsi"/>
          <w:lang w:eastAsia="en-GB"/>
        </w:rPr>
        <w:t>Authority</w:t>
      </w:r>
      <w:r w:rsidRPr="00184317">
        <w:rPr>
          <w:rFonts w:cstheme="minorHAnsi"/>
          <w:lang w:eastAsia="en-GB"/>
        </w:rPr>
        <w:t>; and/or</w:t>
      </w:r>
    </w:p>
    <w:p w14:paraId="2B08147A" w14:textId="524DE37F" w:rsidR="00742A7B" w:rsidRPr="00184317" w:rsidRDefault="00742A7B" w:rsidP="00EE024B">
      <w:pPr>
        <w:numPr>
          <w:ilvl w:val="0"/>
          <w:numId w:val="21"/>
        </w:numPr>
        <w:pBdr>
          <w:top w:val="nil"/>
          <w:left w:val="nil"/>
          <w:bottom w:val="nil"/>
          <w:right w:val="nil"/>
          <w:between w:val="nil"/>
        </w:pBdr>
        <w:jc w:val="both"/>
        <w:rPr>
          <w:rFonts w:cstheme="minorHAnsi"/>
          <w:lang w:eastAsia="en-GB"/>
        </w:rPr>
      </w:pPr>
      <w:r w:rsidRPr="00184317">
        <w:rPr>
          <w:rFonts w:cstheme="minorHAnsi"/>
          <w:lang w:eastAsia="en-GB"/>
        </w:rPr>
        <w:t xml:space="preserve">Represent that the </w:t>
      </w:r>
      <w:r w:rsidR="00584EB1">
        <w:rPr>
          <w:rFonts w:cstheme="minorHAnsi"/>
          <w:lang w:eastAsia="en-GB"/>
        </w:rPr>
        <w:t>Tenderer</w:t>
      </w:r>
      <w:r w:rsidRPr="00184317">
        <w:rPr>
          <w:rFonts w:cstheme="minorHAnsi"/>
          <w:lang w:eastAsia="en-GB"/>
        </w:rPr>
        <w:t xml:space="preserve"> is directly or indirectly associated in any way with </w:t>
      </w:r>
      <w:r w:rsidR="004A3566" w:rsidRPr="00AA4A73">
        <w:rPr>
          <w:rFonts w:cstheme="minorHAnsi"/>
          <w:lang w:eastAsia="en-GB"/>
        </w:rPr>
        <w:t xml:space="preserve">the Combined </w:t>
      </w:r>
      <w:r w:rsidR="004A3566" w:rsidRPr="004A3566">
        <w:rPr>
          <w:rFonts w:cstheme="minorHAnsi"/>
          <w:lang w:eastAsia="en-GB"/>
        </w:rPr>
        <w:t>Authority</w:t>
      </w:r>
      <w:r w:rsidRPr="00184317">
        <w:rPr>
          <w:rFonts w:cstheme="minorHAnsi"/>
          <w:lang w:eastAsia="en-GB"/>
        </w:rPr>
        <w:t>; and/or</w:t>
      </w:r>
    </w:p>
    <w:p w14:paraId="6B7F7192" w14:textId="77777777" w:rsidR="00742A7B" w:rsidRPr="00184317" w:rsidRDefault="00742A7B" w:rsidP="00EE024B">
      <w:pPr>
        <w:numPr>
          <w:ilvl w:val="0"/>
          <w:numId w:val="21"/>
        </w:numPr>
        <w:pBdr>
          <w:top w:val="nil"/>
          <w:left w:val="nil"/>
          <w:bottom w:val="nil"/>
          <w:right w:val="nil"/>
          <w:between w:val="nil"/>
        </w:pBdr>
        <w:jc w:val="both"/>
        <w:rPr>
          <w:rFonts w:cstheme="minorHAnsi"/>
          <w:lang w:eastAsia="en-GB"/>
        </w:rPr>
      </w:pPr>
      <w:r w:rsidRPr="00184317">
        <w:rPr>
          <w:rFonts w:cstheme="minorHAnsi"/>
          <w:lang w:eastAsia="en-GB"/>
        </w:rPr>
        <w:t xml:space="preserve">Engage in any form of ambush marketing or marketing which creates, </w:t>
      </w:r>
      <w:r w:rsidR="006C484D" w:rsidRPr="00184317">
        <w:rPr>
          <w:rFonts w:cstheme="minorHAnsi"/>
          <w:lang w:eastAsia="en-GB"/>
        </w:rPr>
        <w:t>implies,</w:t>
      </w:r>
      <w:r w:rsidRPr="00184317">
        <w:rPr>
          <w:rFonts w:cstheme="minorHAnsi"/>
          <w:lang w:eastAsia="en-GB"/>
        </w:rPr>
        <w:t xml:space="preserve"> or refers to an association between the </w:t>
      </w:r>
      <w:r w:rsidR="00584EB1">
        <w:rPr>
          <w:rFonts w:cstheme="minorHAnsi"/>
          <w:lang w:eastAsia="en-GB"/>
        </w:rPr>
        <w:t>Tenderer</w:t>
      </w:r>
      <w:r w:rsidRPr="00184317">
        <w:rPr>
          <w:rFonts w:cstheme="minorHAnsi"/>
          <w:lang w:eastAsia="en-GB"/>
        </w:rPr>
        <w:t xml:space="preserve"> and </w:t>
      </w:r>
      <w:r w:rsidR="004A3566" w:rsidRPr="00AA4A73">
        <w:rPr>
          <w:rFonts w:cstheme="minorHAnsi"/>
          <w:lang w:eastAsia="en-GB"/>
        </w:rPr>
        <w:t xml:space="preserve">the Combined </w:t>
      </w:r>
      <w:r w:rsidR="004A3566" w:rsidRPr="004A3566">
        <w:rPr>
          <w:rFonts w:cstheme="minorHAnsi"/>
          <w:lang w:eastAsia="en-GB"/>
        </w:rPr>
        <w:t>Authority</w:t>
      </w:r>
      <w:r w:rsidRPr="00184317">
        <w:rPr>
          <w:rFonts w:cstheme="minorHAnsi"/>
          <w:lang w:eastAsia="en-GB"/>
        </w:rPr>
        <w:t>; and/or</w:t>
      </w:r>
    </w:p>
    <w:p w14:paraId="21A4CAAD" w14:textId="6D9AECE8" w:rsidR="004A3566" w:rsidRPr="001A0FEE" w:rsidRDefault="00742A7B" w:rsidP="00EE024B">
      <w:pPr>
        <w:numPr>
          <w:ilvl w:val="0"/>
          <w:numId w:val="21"/>
        </w:numPr>
        <w:pBdr>
          <w:top w:val="nil"/>
          <w:left w:val="nil"/>
          <w:bottom w:val="nil"/>
          <w:right w:val="nil"/>
          <w:between w:val="nil"/>
        </w:pBdr>
        <w:jc w:val="both"/>
        <w:rPr>
          <w:rFonts w:cstheme="minorHAnsi"/>
          <w:lang w:eastAsia="en-GB"/>
        </w:rPr>
      </w:pPr>
      <w:r w:rsidRPr="00184317">
        <w:rPr>
          <w:rFonts w:cstheme="minorHAnsi"/>
          <w:lang w:eastAsia="en-GB"/>
        </w:rPr>
        <w:t xml:space="preserve">Do anything or refrain from doing anything which would have an adverse effect on or embarrass </w:t>
      </w:r>
      <w:r w:rsidR="004A3566" w:rsidRPr="00AA4A73">
        <w:rPr>
          <w:rFonts w:cstheme="minorHAnsi"/>
          <w:lang w:eastAsia="en-GB"/>
        </w:rPr>
        <w:t xml:space="preserve">the Combined </w:t>
      </w:r>
      <w:r w:rsidR="004A3566" w:rsidRPr="004A3566">
        <w:rPr>
          <w:rFonts w:cstheme="minorHAnsi"/>
          <w:lang w:eastAsia="en-GB"/>
        </w:rPr>
        <w:t>Authority</w:t>
      </w:r>
      <w:r w:rsidR="004A3566">
        <w:rPr>
          <w:rFonts w:cstheme="minorHAnsi"/>
          <w:lang w:eastAsia="en-GB"/>
        </w:rPr>
        <w:t xml:space="preserve">. </w:t>
      </w:r>
    </w:p>
    <w:p w14:paraId="055832B0" w14:textId="21F917E5" w:rsidR="00742A7B" w:rsidRPr="00184317" w:rsidRDefault="00742A7B" w:rsidP="004A3566">
      <w:pPr>
        <w:pBdr>
          <w:top w:val="nil"/>
          <w:left w:val="nil"/>
          <w:bottom w:val="nil"/>
          <w:right w:val="nil"/>
          <w:between w:val="nil"/>
        </w:pBdr>
        <w:ind w:left="1134"/>
        <w:jc w:val="both"/>
      </w:pPr>
      <w:r w:rsidRPr="544D664D">
        <w:rPr>
          <w:lang w:eastAsia="en-GB"/>
        </w:rPr>
        <w:t xml:space="preserve">If required, </w:t>
      </w:r>
      <w:r w:rsidR="00584EB1">
        <w:rPr>
          <w:lang w:eastAsia="en-GB"/>
        </w:rPr>
        <w:t>Tenderer</w:t>
      </w:r>
      <w:r w:rsidRPr="544D664D">
        <w:rPr>
          <w:lang w:eastAsia="en-GB"/>
        </w:rPr>
        <w:t xml:space="preserve">s should seek further guidance from </w:t>
      </w:r>
      <w:r w:rsidR="00513234" w:rsidRPr="544D664D">
        <w:rPr>
          <w:lang w:eastAsia="en-GB"/>
        </w:rPr>
        <w:t xml:space="preserve">the Combined Authority </w:t>
      </w:r>
      <w:r w:rsidRPr="00184317">
        <w:t>through the e-</w:t>
      </w:r>
      <w:r w:rsidR="34C0BE03">
        <w:t>Procurement</w:t>
      </w:r>
      <w:r w:rsidRPr="00184317">
        <w:t xml:space="preserve"> portal.  </w:t>
      </w:r>
    </w:p>
    <w:p w14:paraId="3D0CE577" w14:textId="77777777" w:rsidR="00E9520B" w:rsidRPr="00184317" w:rsidRDefault="00E9520B" w:rsidP="00FE3F0A">
      <w:pPr>
        <w:pBdr>
          <w:top w:val="nil"/>
          <w:left w:val="nil"/>
          <w:bottom w:val="nil"/>
          <w:right w:val="nil"/>
          <w:between w:val="nil"/>
        </w:pBdr>
        <w:jc w:val="both"/>
        <w:rPr>
          <w:rFonts w:cstheme="minorHAnsi"/>
          <w:lang w:eastAsia="en-GB"/>
        </w:rPr>
      </w:pPr>
    </w:p>
    <w:p w14:paraId="42B78504" w14:textId="24C07037" w:rsidR="00742A7B" w:rsidRPr="00CD4C8C" w:rsidRDefault="00742A7B" w:rsidP="00CD4C8C">
      <w:pPr>
        <w:pStyle w:val="ListParagraph"/>
        <w:ind w:left="1080"/>
      </w:pPr>
    </w:p>
    <w:p w14:paraId="6997566E" w14:textId="29AEFBBE" w:rsidR="009F0B50" w:rsidRPr="009F0B50" w:rsidRDefault="009F0B50" w:rsidP="002E7736">
      <w:pPr>
        <w:rPr>
          <w:color w:val="000000"/>
        </w:rPr>
      </w:pPr>
    </w:p>
    <w:p w14:paraId="65A4DE94" w14:textId="77777777" w:rsidR="004B25BC" w:rsidRDefault="004B25BC" w:rsidP="004B25BC">
      <w:pPr>
        <w:pStyle w:val="BodyText"/>
        <w:spacing w:after="20"/>
        <w:rPr>
          <w:rFonts w:ascii="Arial" w:eastAsia="Times New Roman" w:hAnsi="Arial" w:cs="Arial"/>
          <w:color w:val="0B0C0C"/>
          <w:sz w:val="20"/>
          <w:szCs w:val="20"/>
          <w:lang w:val="en" w:eastAsia="en-GB"/>
        </w:rPr>
      </w:pPr>
    </w:p>
    <w:p w14:paraId="63C604A7" w14:textId="77777777" w:rsidR="004B25BC" w:rsidRDefault="004B25BC" w:rsidP="004B25BC">
      <w:pPr>
        <w:pStyle w:val="BodyText"/>
        <w:spacing w:after="20"/>
        <w:rPr>
          <w:rFonts w:eastAsia="Times New Roman" w:cs="Arial"/>
          <w:color w:val="0B0C0C"/>
          <w:szCs w:val="20"/>
          <w:lang w:val="en" w:eastAsia="en-GB"/>
        </w:rPr>
      </w:pPr>
    </w:p>
    <w:p w14:paraId="3EAD5841" w14:textId="77777777" w:rsidR="004B25BC" w:rsidRDefault="004B25BC" w:rsidP="004B25BC">
      <w:pPr>
        <w:pStyle w:val="BodyText"/>
        <w:spacing w:after="20"/>
        <w:rPr>
          <w:rFonts w:eastAsia="Times New Roman" w:cs="Arial"/>
          <w:color w:val="0B0C0C"/>
          <w:szCs w:val="20"/>
          <w:lang w:val="en" w:eastAsia="en-GB"/>
        </w:rPr>
      </w:pPr>
    </w:p>
    <w:p w14:paraId="1B1F8A6F" w14:textId="77777777" w:rsidR="004B25BC" w:rsidRDefault="004B25BC" w:rsidP="004B25BC">
      <w:pPr>
        <w:pStyle w:val="BodyText"/>
        <w:spacing w:after="20"/>
        <w:rPr>
          <w:rFonts w:eastAsia="Times New Roman" w:cs="Arial"/>
          <w:color w:val="0B0C0C"/>
          <w:szCs w:val="20"/>
          <w:lang w:val="en" w:eastAsia="en-GB"/>
        </w:rPr>
      </w:pPr>
    </w:p>
    <w:p w14:paraId="240E8F7B" w14:textId="77777777" w:rsidR="004B25BC" w:rsidRDefault="004B25BC" w:rsidP="004B25BC">
      <w:pPr>
        <w:pStyle w:val="BodyText"/>
        <w:spacing w:after="20"/>
        <w:rPr>
          <w:rFonts w:eastAsia="Times New Roman" w:cs="Arial"/>
          <w:color w:val="0B0C0C"/>
          <w:szCs w:val="20"/>
          <w:lang w:val="en" w:eastAsia="en-GB"/>
        </w:rPr>
      </w:pPr>
    </w:p>
    <w:p w14:paraId="5DA31C47" w14:textId="77777777" w:rsidR="004B25BC" w:rsidRDefault="004B25BC" w:rsidP="004B25BC">
      <w:pPr>
        <w:pStyle w:val="BodyText"/>
        <w:spacing w:after="20"/>
        <w:rPr>
          <w:rFonts w:eastAsia="Times New Roman" w:cs="Arial"/>
          <w:color w:val="0B0C0C"/>
          <w:szCs w:val="20"/>
          <w:lang w:val="en" w:eastAsia="en-GB"/>
        </w:rPr>
      </w:pPr>
    </w:p>
    <w:p w14:paraId="5580AB48" w14:textId="77777777" w:rsidR="004B25BC" w:rsidRDefault="004B25BC" w:rsidP="004B25BC">
      <w:pPr>
        <w:pStyle w:val="BodyText"/>
        <w:spacing w:after="20"/>
        <w:rPr>
          <w:rFonts w:eastAsia="Times New Roman" w:cs="Arial"/>
          <w:color w:val="0B0C0C"/>
          <w:szCs w:val="20"/>
          <w:lang w:val="en" w:eastAsia="en-GB"/>
        </w:rPr>
      </w:pPr>
    </w:p>
    <w:p w14:paraId="4437BAAE" w14:textId="77777777" w:rsidR="004B25BC" w:rsidRDefault="004B25BC" w:rsidP="004B25BC">
      <w:pPr>
        <w:pStyle w:val="BodyText"/>
        <w:spacing w:after="20"/>
        <w:rPr>
          <w:rFonts w:eastAsia="Times New Roman" w:cs="Arial"/>
          <w:color w:val="0B0C0C"/>
          <w:szCs w:val="20"/>
          <w:lang w:val="en" w:eastAsia="en-GB"/>
        </w:rPr>
      </w:pPr>
    </w:p>
    <w:p w14:paraId="290170AA" w14:textId="77777777" w:rsidR="004B25BC" w:rsidRDefault="004B25BC" w:rsidP="004B25BC">
      <w:pPr>
        <w:pStyle w:val="BodyText"/>
        <w:spacing w:after="20"/>
        <w:rPr>
          <w:rFonts w:eastAsia="Times New Roman" w:cs="Arial"/>
          <w:color w:val="0B0C0C"/>
          <w:szCs w:val="20"/>
          <w:lang w:val="en" w:eastAsia="en-GB"/>
        </w:rPr>
      </w:pPr>
    </w:p>
    <w:p w14:paraId="46DD9EF2" w14:textId="4113C4D0" w:rsidR="00E65316" w:rsidRPr="00DA3E49" w:rsidRDefault="00E65316" w:rsidP="00DA3E49">
      <w:pPr>
        <w:spacing w:after="0" w:line="240" w:lineRule="auto"/>
        <w:rPr>
          <w:rFonts w:ascii="Times New Roman" w:hAnsi="Times New Roman" w:cs="Times New Roman"/>
          <w:sz w:val="24"/>
          <w:szCs w:val="24"/>
          <w:lang w:eastAsia="en-GB"/>
        </w:rPr>
      </w:pPr>
    </w:p>
    <w:sectPr w:rsidR="00E65316" w:rsidRPr="00DA3E49">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F0DE" w14:textId="77777777" w:rsidR="00137C66" w:rsidRDefault="00137C66" w:rsidP="0000787E">
      <w:pPr>
        <w:spacing w:after="0" w:line="240" w:lineRule="auto"/>
      </w:pPr>
      <w:r>
        <w:separator/>
      </w:r>
    </w:p>
  </w:endnote>
  <w:endnote w:type="continuationSeparator" w:id="0">
    <w:p w14:paraId="2DF1A0C1" w14:textId="77777777" w:rsidR="00137C66" w:rsidRDefault="00137C66" w:rsidP="0000787E">
      <w:pPr>
        <w:spacing w:after="0" w:line="240" w:lineRule="auto"/>
      </w:pPr>
      <w:r>
        <w:continuationSeparator/>
      </w:r>
    </w:p>
  </w:endnote>
  <w:endnote w:type="continuationNotice" w:id="1">
    <w:p w14:paraId="02C30FB2" w14:textId="77777777" w:rsidR="00137C66" w:rsidRDefault="00137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Yu Mincho">
    <w:altName w:val="Yu Mincho"/>
    <w:charset w:val="80"/>
    <w:family w:val="roman"/>
    <w:pitch w:val="variable"/>
    <w:sig w:usb0="800002E7" w:usb1="2AC7FCFF"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Andale Sans UI">
    <w:charset w:val="00"/>
    <w:family w:val="swiss"/>
    <w:pitch w:val="variable"/>
    <w:sig w:usb0="00000001"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278919"/>
      <w:docPartObj>
        <w:docPartGallery w:val="Page Numbers (Bottom of Page)"/>
        <w:docPartUnique/>
      </w:docPartObj>
    </w:sdtPr>
    <w:sdtEndPr>
      <w:rPr>
        <w:noProof/>
      </w:rPr>
    </w:sdtEndPr>
    <w:sdtContent>
      <w:p w14:paraId="4D1DAE42" w14:textId="1D374875" w:rsidR="003B10A2" w:rsidRDefault="003B10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DF6F9" w14:textId="52F763CE" w:rsidR="005014DD" w:rsidRDefault="00501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530E" w14:textId="77777777" w:rsidR="00137C66" w:rsidRDefault="00137C66" w:rsidP="0000787E">
      <w:pPr>
        <w:spacing w:after="0" w:line="240" w:lineRule="auto"/>
      </w:pPr>
      <w:r>
        <w:separator/>
      </w:r>
    </w:p>
  </w:footnote>
  <w:footnote w:type="continuationSeparator" w:id="0">
    <w:p w14:paraId="6858D360" w14:textId="77777777" w:rsidR="00137C66" w:rsidRDefault="00137C66" w:rsidP="0000787E">
      <w:pPr>
        <w:spacing w:after="0" w:line="240" w:lineRule="auto"/>
      </w:pPr>
      <w:r>
        <w:continuationSeparator/>
      </w:r>
    </w:p>
  </w:footnote>
  <w:footnote w:type="continuationNotice" w:id="1">
    <w:p w14:paraId="719B858F" w14:textId="77777777" w:rsidR="00137C66" w:rsidRDefault="00137C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4FF6" w14:textId="62F6C309" w:rsidR="00B069E5" w:rsidRDefault="00B91C1A" w:rsidP="00B91C1A">
    <w:pPr>
      <w:pStyle w:val="Header"/>
      <w:tabs>
        <w:tab w:val="left" w:pos="3810"/>
      </w:tabs>
    </w:pPr>
    <w:r>
      <w:tab/>
    </w:r>
    <w:r>
      <w:tab/>
    </w:r>
    <w:r>
      <w:tab/>
    </w:r>
    <w:r w:rsidR="00B069E5">
      <w:rPr>
        <w:noProof/>
      </w:rPr>
      <w:drawing>
        <wp:inline distT="0" distB="0" distL="0" distR="0" wp14:anchorId="6161CBD3" wp14:editId="7FD54546">
          <wp:extent cx="1945005" cy="817245"/>
          <wp:effectExtent l="0" t="0" r="0" b="1905"/>
          <wp:docPr id="18690114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91838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45005" cy="817245"/>
                  </a:xfrm>
                  <a:prstGeom prst="rect">
                    <a:avLst/>
                  </a:prstGeom>
                </pic:spPr>
              </pic:pic>
            </a:graphicData>
          </a:graphic>
        </wp:inline>
      </w:drawing>
    </w:r>
  </w:p>
  <w:p w14:paraId="5E277E12" w14:textId="77777777" w:rsidR="0000787E" w:rsidRDefault="00007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919"/>
    <w:multiLevelType w:val="hybridMultilevel"/>
    <w:tmpl w:val="15DC0828"/>
    <w:lvl w:ilvl="0" w:tplc="2EEA367A">
      <w:start w:val="1"/>
      <w:numFmt w:val="decimal"/>
      <w:lvlText w:val="%1."/>
      <w:lvlJc w:val="left"/>
      <w:pPr>
        <w:ind w:left="1080" w:hanging="360"/>
      </w:pPr>
      <w:rPr>
        <w:rFonts w:eastAsiaTheme="minorHAnsi" w:cstheme="minorBidi" w:hint="default"/>
        <w:color w:val="auto"/>
        <w:sz w:val="24"/>
        <w:szCs w:val="24"/>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F791D"/>
    <w:multiLevelType w:val="hybridMultilevel"/>
    <w:tmpl w:val="2D80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C1A81"/>
    <w:multiLevelType w:val="multilevel"/>
    <w:tmpl w:val="FB42C69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AE6BC5"/>
    <w:multiLevelType w:val="multilevel"/>
    <w:tmpl w:val="6E5670EA"/>
    <w:lvl w:ilvl="0">
      <w:start w:val="1"/>
      <w:numFmt w:val="lowerLetter"/>
      <w:lvlText w:val="%1."/>
      <w:lvlJc w:val="left"/>
      <w:pPr>
        <w:ind w:left="1571" w:hanging="360"/>
      </w:p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 w15:restartNumberingAfterBreak="0">
    <w:nsid w:val="0EB56FEB"/>
    <w:multiLevelType w:val="multilevel"/>
    <w:tmpl w:val="AB4E7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929E1"/>
    <w:multiLevelType w:val="multilevel"/>
    <w:tmpl w:val="266C866A"/>
    <w:lvl w:ilvl="0">
      <w:start w:val="1"/>
      <w:numFmt w:val="decimal"/>
      <w:lvlText w:val="%1."/>
      <w:lvlJc w:val="left"/>
      <w:pPr>
        <w:ind w:left="720" w:hanging="360"/>
      </w:pPr>
    </w:lvl>
    <w:lvl w:ilvl="1">
      <w:start w:val="1"/>
      <w:numFmt w:val="decimal"/>
      <w:isLgl/>
      <w:lvlText w:val="%1.%2"/>
      <w:lvlJc w:val="left"/>
      <w:pPr>
        <w:ind w:left="1080" w:hanging="720"/>
      </w:pPr>
      <w:rPr>
        <w:rFonts w:asciiTheme="minorHAnsi" w:hAnsiTheme="minorHAnsi" w:cstheme="minorHAnsi" w:hint="default"/>
        <w:b/>
        <w:bCs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2C4BE7"/>
    <w:multiLevelType w:val="multilevel"/>
    <w:tmpl w:val="E258DF92"/>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7" w15:restartNumberingAfterBreak="0">
    <w:nsid w:val="16CE0F1D"/>
    <w:multiLevelType w:val="multilevel"/>
    <w:tmpl w:val="05B2B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B5CFB"/>
    <w:multiLevelType w:val="multilevel"/>
    <w:tmpl w:val="7632EB72"/>
    <w:lvl w:ilvl="0">
      <w:start w:val="1"/>
      <w:numFmt w:val="decimal"/>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9" w15:restartNumberingAfterBreak="0">
    <w:nsid w:val="18906ED0"/>
    <w:multiLevelType w:val="multilevel"/>
    <w:tmpl w:val="7B84F98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19866B2B"/>
    <w:multiLevelType w:val="hybridMultilevel"/>
    <w:tmpl w:val="35B0F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55258"/>
    <w:multiLevelType w:val="multilevel"/>
    <w:tmpl w:val="60528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3D1594"/>
    <w:multiLevelType w:val="multilevel"/>
    <w:tmpl w:val="01ECFE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1D661A8A"/>
    <w:multiLevelType w:val="hybridMultilevel"/>
    <w:tmpl w:val="2376EAC8"/>
    <w:lvl w:ilvl="0" w:tplc="08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1FDF5C5C"/>
    <w:multiLevelType w:val="hybridMultilevel"/>
    <w:tmpl w:val="6180E96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E161E"/>
    <w:multiLevelType w:val="multilevel"/>
    <w:tmpl w:val="72465054"/>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2A55E19"/>
    <w:multiLevelType w:val="hybridMultilevel"/>
    <w:tmpl w:val="6A42DB7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3B16CD1"/>
    <w:multiLevelType w:val="multilevel"/>
    <w:tmpl w:val="D96A49C0"/>
    <w:lvl w:ilvl="0">
      <w:numFmt w:val="bullet"/>
      <w:lvlText w:val="●"/>
      <w:lvlJc w:val="left"/>
      <w:pPr>
        <w:ind w:left="2160" w:hanging="360"/>
      </w:pPr>
      <w:rPr>
        <w:rFonts w:ascii="Noto Sans Symbols" w:eastAsia="Noto Sans Symbols" w:hAnsi="Noto Sans Symbols" w:cs="Noto Sans Symbols"/>
        <w:sz w:val="20"/>
        <w:szCs w:val="20"/>
      </w:rPr>
    </w:lvl>
    <w:lvl w:ilvl="1">
      <w:numFmt w:val="bullet"/>
      <w:lvlText w:val="o"/>
      <w:lvlJc w:val="left"/>
      <w:pPr>
        <w:ind w:left="2880" w:hanging="360"/>
      </w:pPr>
      <w:rPr>
        <w:rFonts w:ascii="Courier New" w:eastAsia="Courier New" w:hAnsi="Courier New" w:cs="Courier New"/>
        <w:sz w:val="20"/>
        <w:szCs w:val="20"/>
      </w:rPr>
    </w:lvl>
    <w:lvl w:ilvl="2">
      <w:numFmt w:val="bullet"/>
      <w:lvlText w:val="▪"/>
      <w:lvlJc w:val="left"/>
      <w:pPr>
        <w:ind w:left="3600" w:hanging="360"/>
      </w:pPr>
      <w:rPr>
        <w:rFonts w:ascii="Noto Sans Symbols" w:eastAsia="Noto Sans Symbols" w:hAnsi="Noto Sans Symbols" w:cs="Noto Sans Symbols"/>
        <w:sz w:val="20"/>
        <w:szCs w:val="20"/>
      </w:rPr>
    </w:lvl>
    <w:lvl w:ilvl="3">
      <w:numFmt w:val="bullet"/>
      <w:lvlText w:val="▪"/>
      <w:lvlJc w:val="left"/>
      <w:pPr>
        <w:ind w:left="4320" w:hanging="360"/>
      </w:pPr>
      <w:rPr>
        <w:rFonts w:ascii="Noto Sans Symbols" w:eastAsia="Noto Sans Symbols" w:hAnsi="Noto Sans Symbols" w:cs="Noto Sans Symbols"/>
        <w:sz w:val="20"/>
        <w:szCs w:val="20"/>
      </w:rPr>
    </w:lvl>
    <w:lvl w:ilvl="4">
      <w:numFmt w:val="bullet"/>
      <w:lvlText w:val="▪"/>
      <w:lvlJc w:val="left"/>
      <w:pPr>
        <w:ind w:left="5040" w:hanging="360"/>
      </w:pPr>
      <w:rPr>
        <w:rFonts w:ascii="Noto Sans Symbols" w:eastAsia="Noto Sans Symbols" w:hAnsi="Noto Sans Symbols" w:cs="Noto Sans Symbols"/>
        <w:sz w:val="20"/>
        <w:szCs w:val="20"/>
      </w:rPr>
    </w:lvl>
    <w:lvl w:ilvl="5">
      <w:numFmt w:val="bullet"/>
      <w:lvlText w:val="▪"/>
      <w:lvlJc w:val="left"/>
      <w:pPr>
        <w:ind w:left="5760" w:hanging="360"/>
      </w:pPr>
      <w:rPr>
        <w:rFonts w:ascii="Noto Sans Symbols" w:eastAsia="Noto Sans Symbols" w:hAnsi="Noto Sans Symbols" w:cs="Noto Sans Symbols"/>
        <w:sz w:val="20"/>
        <w:szCs w:val="20"/>
      </w:rPr>
    </w:lvl>
    <w:lvl w:ilvl="6">
      <w:numFmt w:val="bullet"/>
      <w:lvlText w:val="▪"/>
      <w:lvlJc w:val="left"/>
      <w:pPr>
        <w:ind w:left="6480" w:hanging="360"/>
      </w:pPr>
      <w:rPr>
        <w:rFonts w:ascii="Noto Sans Symbols" w:eastAsia="Noto Sans Symbols" w:hAnsi="Noto Sans Symbols" w:cs="Noto Sans Symbols"/>
        <w:sz w:val="20"/>
        <w:szCs w:val="20"/>
      </w:rPr>
    </w:lvl>
    <w:lvl w:ilvl="7">
      <w:numFmt w:val="bullet"/>
      <w:lvlText w:val="▪"/>
      <w:lvlJc w:val="left"/>
      <w:pPr>
        <w:ind w:left="7200" w:hanging="360"/>
      </w:pPr>
      <w:rPr>
        <w:rFonts w:ascii="Noto Sans Symbols" w:eastAsia="Noto Sans Symbols" w:hAnsi="Noto Sans Symbols" w:cs="Noto Sans Symbols"/>
        <w:sz w:val="20"/>
        <w:szCs w:val="20"/>
      </w:rPr>
    </w:lvl>
    <w:lvl w:ilvl="8">
      <w:numFmt w:val="bullet"/>
      <w:lvlText w:val="▪"/>
      <w:lvlJc w:val="left"/>
      <w:pPr>
        <w:ind w:left="7920" w:hanging="360"/>
      </w:pPr>
      <w:rPr>
        <w:rFonts w:ascii="Noto Sans Symbols" w:eastAsia="Noto Sans Symbols" w:hAnsi="Noto Sans Symbols" w:cs="Noto Sans Symbols"/>
        <w:sz w:val="20"/>
        <w:szCs w:val="20"/>
      </w:rPr>
    </w:lvl>
  </w:abstractNum>
  <w:abstractNum w:abstractNumId="18" w15:restartNumberingAfterBreak="0">
    <w:nsid w:val="268E51C2"/>
    <w:multiLevelType w:val="multilevel"/>
    <w:tmpl w:val="8C14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8763AB"/>
    <w:multiLevelType w:val="hybridMultilevel"/>
    <w:tmpl w:val="A96C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9835CB"/>
    <w:multiLevelType w:val="singleLevel"/>
    <w:tmpl w:val="0409000F"/>
    <w:lvl w:ilvl="0">
      <w:start w:val="1"/>
      <w:numFmt w:val="decimal"/>
      <w:pStyle w:val="Heading7"/>
      <w:lvlText w:val="%1."/>
      <w:lvlJc w:val="left"/>
      <w:pPr>
        <w:tabs>
          <w:tab w:val="num" w:pos="360"/>
        </w:tabs>
        <w:ind w:left="360" w:hanging="360"/>
      </w:pPr>
      <w:rPr>
        <w:rFonts w:hint="default"/>
      </w:rPr>
    </w:lvl>
  </w:abstractNum>
  <w:abstractNum w:abstractNumId="21" w15:restartNumberingAfterBreak="0">
    <w:nsid w:val="381A7CC4"/>
    <w:multiLevelType w:val="hybridMultilevel"/>
    <w:tmpl w:val="84F2C72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9F6BDE"/>
    <w:multiLevelType w:val="multilevel"/>
    <w:tmpl w:val="D32A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E734A7"/>
    <w:multiLevelType w:val="hybridMultilevel"/>
    <w:tmpl w:val="763E9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9672BA"/>
    <w:multiLevelType w:val="multilevel"/>
    <w:tmpl w:val="51C44326"/>
    <w:lvl w:ilvl="0">
      <w:start w:val="1"/>
      <w:numFmt w:val="lowerLetter"/>
      <w:lvlText w:val="%1."/>
      <w:lvlJc w:val="left"/>
      <w:pPr>
        <w:ind w:left="1571" w:hanging="360"/>
      </w:p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5" w15:restartNumberingAfterBreak="0">
    <w:nsid w:val="3E672489"/>
    <w:multiLevelType w:val="hybridMultilevel"/>
    <w:tmpl w:val="6A42DB70"/>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3F5F64DC"/>
    <w:multiLevelType w:val="hybridMultilevel"/>
    <w:tmpl w:val="6A42DB70"/>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411A5474"/>
    <w:multiLevelType w:val="multilevel"/>
    <w:tmpl w:val="54DE5374"/>
    <w:lvl w:ilvl="0">
      <w:numFmt w:val="bullet"/>
      <w:pStyle w:val="Appendix"/>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60206FC"/>
    <w:multiLevelType w:val="multilevel"/>
    <w:tmpl w:val="3BB605F2"/>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C495FBD"/>
    <w:multiLevelType w:val="hybridMultilevel"/>
    <w:tmpl w:val="5CCC942A"/>
    <w:lvl w:ilvl="0" w:tplc="1A1611F4">
      <w:start w:val="1"/>
      <w:numFmt w:val="bullet"/>
      <w:lvlText w:val=""/>
      <w:lvlJc w:val="left"/>
      <w:pPr>
        <w:tabs>
          <w:tab w:val="num" w:pos="1440"/>
        </w:tabs>
        <w:ind w:left="1440" w:hanging="360"/>
      </w:pPr>
      <w:rPr>
        <w:rFonts w:ascii="Wingdings" w:hAnsi="Wingdings" w:hint="default"/>
      </w:rPr>
    </w:lvl>
    <w:lvl w:ilvl="1" w:tplc="30DE2308" w:tentative="1">
      <w:start w:val="1"/>
      <w:numFmt w:val="bullet"/>
      <w:pStyle w:val="Sectiontext"/>
      <w:lvlText w:val="o"/>
      <w:lvlJc w:val="left"/>
      <w:pPr>
        <w:tabs>
          <w:tab w:val="num" w:pos="2160"/>
        </w:tabs>
        <w:ind w:left="2160" w:hanging="360"/>
      </w:pPr>
      <w:rPr>
        <w:rFonts w:ascii="Courier New" w:hAnsi="Courier New" w:hint="default"/>
      </w:rPr>
    </w:lvl>
    <w:lvl w:ilvl="2" w:tplc="6F5C8CA2" w:tentative="1">
      <w:start w:val="1"/>
      <w:numFmt w:val="bullet"/>
      <w:lvlText w:val=""/>
      <w:lvlJc w:val="left"/>
      <w:pPr>
        <w:tabs>
          <w:tab w:val="num" w:pos="2880"/>
        </w:tabs>
        <w:ind w:left="2880" w:hanging="360"/>
      </w:pPr>
      <w:rPr>
        <w:rFonts w:ascii="Wingdings" w:hAnsi="Wingdings" w:hint="default"/>
      </w:rPr>
    </w:lvl>
    <w:lvl w:ilvl="3" w:tplc="A560BEF2" w:tentative="1">
      <w:start w:val="1"/>
      <w:numFmt w:val="bullet"/>
      <w:lvlText w:val=""/>
      <w:lvlJc w:val="left"/>
      <w:pPr>
        <w:tabs>
          <w:tab w:val="num" w:pos="3600"/>
        </w:tabs>
        <w:ind w:left="3600" w:hanging="360"/>
      </w:pPr>
      <w:rPr>
        <w:rFonts w:ascii="Symbol" w:hAnsi="Symbol" w:hint="default"/>
      </w:rPr>
    </w:lvl>
    <w:lvl w:ilvl="4" w:tplc="D52C77E2" w:tentative="1">
      <w:start w:val="1"/>
      <w:numFmt w:val="bullet"/>
      <w:lvlText w:val="o"/>
      <w:lvlJc w:val="left"/>
      <w:pPr>
        <w:tabs>
          <w:tab w:val="num" w:pos="4320"/>
        </w:tabs>
        <w:ind w:left="4320" w:hanging="360"/>
      </w:pPr>
      <w:rPr>
        <w:rFonts w:ascii="Courier New" w:hAnsi="Courier New" w:hint="default"/>
      </w:rPr>
    </w:lvl>
    <w:lvl w:ilvl="5" w:tplc="88D6E8C2" w:tentative="1">
      <w:start w:val="1"/>
      <w:numFmt w:val="bullet"/>
      <w:lvlText w:val=""/>
      <w:lvlJc w:val="left"/>
      <w:pPr>
        <w:tabs>
          <w:tab w:val="num" w:pos="5040"/>
        </w:tabs>
        <w:ind w:left="5040" w:hanging="360"/>
      </w:pPr>
      <w:rPr>
        <w:rFonts w:ascii="Wingdings" w:hAnsi="Wingdings" w:hint="default"/>
      </w:rPr>
    </w:lvl>
    <w:lvl w:ilvl="6" w:tplc="06BA49BE" w:tentative="1">
      <w:start w:val="1"/>
      <w:numFmt w:val="bullet"/>
      <w:lvlText w:val=""/>
      <w:lvlJc w:val="left"/>
      <w:pPr>
        <w:tabs>
          <w:tab w:val="num" w:pos="5760"/>
        </w:tabs>
        <w:ind w:left="5760" w:hanging="360"/>
      </w:pPr>
      <w:rPr>
        <w:rFonts w:ascii="Symbol" w:hAnsi="Symbol" w:hint="default"/>
      </w:rPr>
    </w:lvl>
    <w:lvl w:ilvl="7" w:tplc="773A48EA" w:tentative="1">
      <w:start w:val="1"/>
      <w:numFmt w:val="bullet"/>
      <w:lvlText w:val="o"/>
      <w:lvlJc w:val="left"/>
      <w:pPr>
        <w:tabs>
          <w:tab w:val="num" w:pos="6480"/>
        </w:tabs>
        <w:ind w:left="6480" w:hanging="360"/>
      </w:pPr>
      <w:rPr>
        <w:rFonts w:ascii="Courier New" w:hAnsi="Courier New" w:hint="default"/>
      </w:rPr>
    </w:lvl>
    <w:lvl w:ilvl="8" w:tplc="858CD9F8"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491149B"/>
    <w:multiLevelType w:val="multilevel"/>
    <w:tmpl w:val="628AAD00"/>
    <w:lvl w:ilvl="0">
      <w:start w:val="1"/>
      <w:numFmt w:val="lowerLetter"/>
      <w:lvlText w:val="%1."/>
      <w:lvlJc w:val="left"/>
      <w:pPr>
        <w:ind w:left="1571" w:hanging="360"/>
      </w:p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2" w15:restartNumberingAfterBreak="0">
    <w:nsid w:val="5B313CF2"/>
    <w:multiLevelType w:val="hybridMultilevel"/>
    <w:tmpl w:val="C342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73A70"/>
    <w:multiLevelType w:val="multilevel"/>
    <w:tmpl w:val="2A6C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82B65"/>
    <w:multiLevelType w:val="hybridMultilevel"/>
    <w:tmpl w:val="F62817FC"/>
    <w:lvl w:ilvl="0" w:tplc="8A8826D2">
      <w:start w:val="1"/>
      <w:numFmt w:val="decimal"/>
      <w:pStyle w:val="Schmainheadsingle"/>
      <w:lvlText w:val="Schedule"/>
      <w:lvlJc w:val="left"/>
      <w:pPr>
        <w:tabs>
          <w:tab w:val="num" w:pos="720"/>
        </w:tabs>
        <w:ind w:left="720" w:hanging="720"/>
      </w:pPr>
    </w:lvl>
    <w:lvl w:ilvl="1" w:tplc="BED0B894" w:tentative="1">
      <w:start w:val="1"/>
      <w:numFmt w:val="lowerLetter"/>
      <w:lvlText w:val="%2."/>
      <w:lvlJc w:val="left"/>
      <w:pPr>
        <w:tabs>
          <w:tab w:val="num" w:pos="1440"/>
        </w:tabs>
        <w:ind w:left="1440" w:hanging="360"/>
      </w:pPr>
    </w:lvl>
    <w:lvl w:ilvl="2" w:tplc="9C2CDECC" w:tentative="1">
      <w:start w:val="1"/>
      <w:numFmt w:val="lowerRoman"/>
      <w:lvlText w:val="%3."/>
      <w:lvlJc w:val="right"/>
      <w:pPr>
        <w:tabs>
          <w:tab w:val="num" w:pos="2160"/>
        </w:tabs>
        <w:ind w:left="2160" w:hanging="180"/>
      </w:pPr>
    </w:lvl>
    <w:lvl w:ilvl="3" w:tplc="EB18B3E8" w:tentative="1">
      <w:start w:val="1"/>
      <w:numFmt w:val="decimal"/>
      <w:lvlText w:val="%4."/>
      <w:lvlJc w:val="left"/>
      <w:pPr>
        <w:tabs>
          <w:tab w:val="num" w:pos="2880"/>
        </w:tabs>
        <w:ind w:left="2880" w:hanging="360"/>
      </w:pPr>
    </w:lvl>
    <w:lvl w:ilvl="4" w:tplc="493631D2" w:tentative="1">
      <w:start w:val="1"/>
      <w:numFmt w:val="lowerLetter"/>
      <w:lvlText w:val="%5."/>
      <w:lvlJc w:val="left"/>
      <w:pPr>
        <w:tabs>
          <w:tab w:val="num" w:pos="3600"/>
        </w:tabs>
        <w:ind w:left="3600" w:hanging="360"/>
      </w:pPr>
    </w:lvl>
    <w:lvl w:ilvl="5" w:tplc="AEFA58C8" w:tentative="1">
      <w:start w:val="1"/>
      <w:numFmt w:val="lowerRoman"/>
      <w:lvlText w:val="%6."/>
      <w:lvlJc w:val="right"/>
      <w:pPr>
        <w:tabs>
          <w:tab w:val="num" w:pos="4320"/>
        </w:tabs>
        <w:ind w:left="4320" w:hanging="180"/>
      </w:pPr>
    </w:lvl>
    <w:lvl w:ilvl="6" w:tplc="70BEA8A0" w:tentative="1">
      <w:start w:val="1"/>
      <w:numFmt w:val="decimal"/>
      <w:lvlText w:val="%7."/>
      <w:lvlJc w:val="left"/>
      <w:pPr>
        <w:tabs>
          <w:tab w:val="num" w:pos="5040"/>
        </w:tabs>
        <w:ind w:left="5040" w:hanging="360"/>
      </w:pPr>
    </w:lvl>
    <w:lvl w:ilvl="7" w:tplc="9AB489B6" w:tentative="1">
      <w:start w:val="1"/>
      <w:numFmt w:val="lowerLetter"/>
      <w:lvlText w:val="%8."/>
      <w:lvlJc w:val="left"/>
      <w:pPr>
        <w:tabs>
          <w:tab w:val="num" w:pos="5760"/>
        </w:tabs>
        <w:ind w:left="5760" w:hanging="360"/>
      </w:pPr>
    </w:lvl>
    <w:lvl w:ilvl="8" w:tplc="A894D620" w:tentative="1">
      <w:start w:val="1"/>
      <w:numFmt w:val="lowerRoman"/>
      <w:lvlText w:val="%9."/>
      <w:lvlJc w:val="right"/>
      <w:pPr>
        <w:tabs>
          <w:tab w:val="num" w:pos="6480"/>
        </w:tabs>
        <w:ind w:left="6480" w:hanging="180"/>
      </w:pPr>
    </w:lvl>
  </w:abstractNum>
  <w:abstractNum w:abstractNumId="35" w15:restartNumberingAfterBreak="0">
    <w:nsid w:val="5F4E6FE2"/>
    <w:multiLevelType w:val="hybridMultilevel"/>
    <w:tmpl w:val="1EB8ECA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00B4B15"/>
    <w:multiLevelType w:val="hybridMultilevel"/>
    <w:tmpl w:val="2376EAC8"/>
    <w:lvl w:ilvl="0" w:tplc="FFFFFFFF">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601C5AB0"/>
    <w:multiLevelType w:val="hybridMultilevel"/>
    <w:tmpl w:val="6A42DB70"/>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8" w15:restartNumberingAfterBreak="0">
    <w:nsid w:val="616B7EEB"/>
    <w:multiLevelType w:val="hybridMultilevel"/>
    <w:tmpl w:val="6A42DB70"/>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6A14466B"/>
    <w:multiLevelType w:val="hybridMultilevel"/>
    <w:tmpl w:val="5054130E"/>
    <w:lvl w:ilvl="0" w:tplc="9DD6B91C">
      <w:start w:val="1"/>
      <w:numFmt w:val="bullet"/>
      <w:pStyle w:val="Bullet"/>
      <w:lvlText w:val="·"/>
      <w:lvlJc w:val="left"/>
      <w:pPr>
        <w:tabs>
          <w:tab w:val="num" w:pos="1080"/>
        </w:tabs>
        <w:ind w:left="1080" w:hanging="360"/>
      </w:pPr>
      <w:rPr>
        <w:rFonts w:ascii="Symbol" w:hAnsi="Symbol" w:hint="default"/>
      </w:rPr>
    </w:lvl>
    <w:lvl w:ilvl="1" w:tplc="DB1204BC" w:tentative="1">
      <w:start w:val="1"/>
      <w:numFmt w:val="bullet"/>
      <w:lvlText w:val="o"/>
      <w:lvlJc w:val="left"/>
      <w:pPr>
        <w:tabs>
          <w:tab w:val="num" w:pos="1800"/>
        </w:tabs>
        <w:ind w:left="1800" w:hanging="360"/>
      </w:pPr>
      <w:rPr>
        <w:rFonts w:ascii="Courier New" w:hAnsi="Courier New" w:hint="default"/>
      </w:rPr>
    </w:lvl>
    <w:lvl w:ilvl="2" w:tplc="E50A4B1A" w:tentative="1">
      <w:start w:val="1"/>
      <w:numFmt w:val="bullet"/>
      <w:lvlText w:val="§"/>
      <w:lvlJc w:val="left"/>
      <w:pPr>
        <w:tabs>
          <w:tab w:val="num" w:pos="2520"/>
        </w:tabs>
        <w:ind w:left="2520" w:hanging="360"/>
      </w:pPr>
      <w:rPr>
        <w:rFonts w:ascii="Wingdings" w:hAnsi="Wingdings" w:hint="default"/>
      </w:rPr>
    </w:lvl>
    <w:lvl w:ilvl="3" w:tplc="9AF8A034" w:tentative="1">
      <w:start w:val="1"/>
      <w:numFmt w:val="bullet"/>
      <w:lvlText w:val="·"/>
      <w:lvlJc w:val="left"/>
      <w:pPr>
        <w:tabs>
          <w:tab w:val="num" w:pos="3240"/>
        </w:tabs>
        <w:ind w:left="3240" w:hanging="360"/>
      </w:pPr>
      <w:rPr>
        <w:rFonts w:ascii="Symbol" w:hAnsi="Symbol" w:hint="default"/>
      </w:rPr>
    </w:lvl>
    <w:lvl w:ilvl="4" w:tplc="97F28E72" w:tentative="1">
      <w:start w:val="1"/>
      <w:numFmt w:val="bullet"/>
      <w:lvlText w:val="o"/>
      <w:lvlJc w:val="left"/>
      <w:pPr>
        <w:tabs>
          <w:tab w:val="num" w:pos="3960"/>
        </w:tabs>
        <w:ind w:left="3960" w:hanging="360"/>
      </w:pPr>
      <w:rPr>
        <w:rFonts w:ascii="Courier New" w:hAnsi="Courier New" w:hint="default"/>
      </w:rPr>
    </w:lvl>
    <w:lvl w:ilvl="5" w:tplc="467C9346" w:tentative="1">
      <w:start w:val="1"/>
      <w:numFmt w:val="bullet"/>
      <w:lvlText w:val="§"/>
      <w:lvlJc w:val="left"/>
      <w:pPr>
        <w:tabs>
          <w:tab w:val="num" w:pos="4680"/>
        </w:tabs>
        <w:ind w:left="4680" w:hanging="360"/>
      </w:pPr>
      <w:rPr>
        <w:rFonts w:ascii="Wingdings" w:hAnsi="Wingdings" w:hint="default"/>
      </w:rPr>
    </w:lvl>
    <w:lvl w:ilvl="6" w:tplc="931E7788" w:tentative="1">
      <w:start w:val="1"/>
      <w:numFmt w:val="bullet"/>
      <w:lvlText w:val="·"/>
      <w:lvlJc w:val="left"/>
      <w:pPr>
        <w:tabs>
          <w:tab w:val="num" w:pos="5400"/>
        </w:tabs>
        <w:ind w:left="5400" w:hanging="360"/>
      </w:pPr>
      <w:rPr>
        <w:rFonts w:ascii="Symbol" w:hAnsi="Symbol" w:hint="default"/>
      </w:rPr>
    </w:lvl>
    <w:lvl w:ilvl="7" w:tplc="377862D2" w:tentative="1">
      <w:start w:val="1"/>
      <w:numFmt w:val="bullet"/>
      <w:lvlText w:val="o"/>
      <w:lvlJc w:val="left"/>
      <w:pPr>
        <w:tabs>
          <w:tab w:val="num" w:pos="6120"/>
        </w:tabs>
        <w:ind w:left="6120" w:hanging="360"/>
      </w:pPr>
      <w:rPr>
        <w:rFonts w:ascii="Courier New" w:hAnsi="Courier New" w:hint="default"/>
      </w:rPr>
    </w:lvl>
    <w:lvl w:ilvl="8" w:tplc="77044396"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544C00"/>
    <w:multiLevelType w:val="multilevel"/>
    <w:tmpl w:val="D4520D96"/>
    <w:lvl w:ilvl="0">
      <w:start w:val="1"/>
      <w:numFmt w:val="lowerLetter"/>
      <w:lvlText w:val="%1."/>
      <w:lvlJc w:val="left"/>
      <w:pPr>
        <w:ind w:left="1571" w:hanging="360"/>
      </w:p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1" w15:restartNumberingAfterBreak="0">
    <w:nsid w:val="72D63B95"/>
    <w:multiLevelType w:val="hybridMultilevel"/>
    <w:tmpl w:val="26F87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9">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7779C0"/>
    <w:multiLevelType w:val="hybridMultilevel"/>
    <w:tmpl w:val="1FBA7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9">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73B5663"/>
    <w:multiLevelType w:val="multilevel"/>
    <w:tmpl w:val="431E5796"/>
    <w:lvl w:ilvl="0">
      <w:start w:val="1"/>
      <w:numFmt w:val="decimal"/>
      <w:lvlText w:val="%1."/>
      <w:lvlJc w:val="left"/>
      <w:pPr>
        <w:ind w:left="360" w:hanging="360"/>
      </w:pPr>
      <w:rPr>
        <w:rFonts w:hint="default"/>
        <w:b/>
        <w:bCs w:val="0"/>
        <w:i w:val="0"/>
        <w:iCs w:val="0"/>
        <w:sz w:val="24"/>
        <w:szCs w:val="24"/>
      </w:rPr>
    </w:lvl>
    <w:lvl w:ilvl="1">
      <w:start w:val="1"/>
      <w:numFmt w:val="decimal"/>
      <w:lvlText w:val="%1.%2."/>
      <w:lvlJc w:val="center"/>
      <w:pPr>
        <w:ind w:left="716" w:hanging="428"/>
      </w:pPr>
      <w:rPr>
        <w:rFonts w:ascii="Arial" w:hAnsi="Arial" w:hint="default"/>
        <w:b w:val="0"/>
        <w:sz w:val="24"/>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D708ED"/>
    <w:multiLevelType w:val="multilevel"/>
    <w:tmpl w:val="30A2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7153AB"/>
    <w:multiLevelType w:val="multilevel"/>
    <w:tmpl w:val="2FAEB2BC"/>
    <w:lvl w:ilvl="0">
      <w:start w:val="1"/>
      <w:numFmt w:val="decimal"/>
      <w:pStyle w:val="HS2ReportLevel1"/>
      <w:lvlText w:val="%1"/>
      <w:lvlJc w:val="left"/>
      <w:pPr>
        <w:tabs>
          <w:tab w:val="num" w:pos="1134"/>
        </w:tabs>
        <w:ind w:left="1134" w:hanging="1134"/>
      </w:pPr>
      <w:rPr>
        <w:rFonts w:ascii="Open Sans" w:hAnsi="Open Sans" w:hint="default"/>
        <w:color w:val="4472C4" w:themeColor="accent1"/>
      </w:rPr>
    </w:lvl>
    <w:lvl w:ilvl="1">
      <w:start w:val="1"/>
      <w:numFmt w:val="decimal"/>
      <w:pStyle w:val="HS2ReportLevel2"/>
      <w:lvlText w:val="%1.%2"/>
      <w:lvlJc w:val="left"/>
      <w:pPr>
        <w:tabs>
          <w:tab w:val="num" w:pos="1134"/>
        </w:tabs>
        <w:ind w:left="1134" w:hanging="1134"/>
      </w:pPr>
      <w:rPr>
        <w:rFonts w:hint="default"/>
        <w:sz w:val="32"/>
        <w:szCs w:val="32"/>
      </w:rPr>
    </w:lvl>
    <w:lvl w:ilvl="2">
      <w:start w:val="1"/>
      <w:numFmt w:val="decimal"/>
      <w:pStyle w:val="HS2BodyText"/>
      <w:lvlText w:val="%1.%2.%3"/>
      <w:lvlJc w:val="left"/>
      <w:pPr>
        <w:tabs>
          <w:tab w:val="num" w:pos="1134"/>
        </w:tabs>
        <w:ind w:left="1134" w:hanging="1134"/>
      </w:pPr>
      <w:rPr>
        <w:rFonts w:hint="default"/>
        <w:i w:val="0"/>
        <w:sz w:val="22"/>
      </w:rPr>
    </w:lvl>
    <w:lvl w:ilvl="3">
      <w:start w:val="1"/>
      <w:numFmt w:val="lowerLetter"/>
      <w:pStyle w:val="HS2AlphabetList"/>
      <w:lvlText w:val="%4."/>
      <w:lvlJc w:val="left"/>
      <w:pPr>
        <w:tabs>
          <w:tab w:val="num" w:pos="5954"/>
        </w:tabs>
        <w:ind w:left="5954" w:hanging="567"/>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
  </w:num>
  <w:num w:numId="3">
    <w:abstractNumId w:val="32"/>
  </w:num>
  <w:num w:numId="4">
    <w:abstractNumId w:val="19"/>
  </w:num>
  <w:num w:numId="5">
    <w:abstractNumId w:val="20"/>
  </w:num>
  <w:num w:numId="6">
    <w:abstractNumId w:val="2"/>
  </w:num>
  <w:num w:numId="7">
    <w:abstractNumId w:val="30"/>
  </w:num>
  <w:num w:numId="8">
    <w:abstractNumId w:val="6"/>
  </w:num>
  <w:num w:numId="9">
    <w:abstractNumId w:val="8"/>
  </w:num>
  <w:num w:numId="10">
    <w:abstractNumId w:val="43"/>
  </w:num>
  <w:num w:numId="11">
    <w:abstractNumId w:val="39"/>
  </w:num>
  <w:num w:numId="12">
    <w:abstractNumId w:val="34"/>
  </w:num>
  <w:num w:numId="13">
    <w:abstractNumId w:val="29"/>
  </w:num>
  <w:num w:numId="14">
    <w:abstractNumId w:val="5"/>
  </w:num>
  <w:num w:numId="15">
    <w:abstractNumId w:val="16"/>
  </w:num>
  <w:num w:numId="16">
    <w:abstractNumId w:val="37"/>
  </w:num>
  <w:num w:numId="17">
    <w:abstractNumId w:val="25"/>
  </w:num>
  <w:num w:numId="18">
    <w:abstractNumId w:val="38"/>
  </w:num>
  <w:num w:numId="19">
    <w:abstractNumId w:val="13"/>
  </w:num>
  <w:num w:numId="20">
    <w:abstractNumId w:val="36"/>
  </w:num>
  <w:num w:numId="21">
    <w:abstractNumId w:val="9"/>
  </w:num>
  <w:num w:numId="22">
    <w:abstractNumId w:val="46"/>
  </w:num>
  <w:num w:numId="23">
    <w:abstractNumId w:val="21"/>
  </w:num>
  <w:num w:numId="24">
    <w:abstractNumId w:val="23"/>
  </w:num>
  <w:num w:numId="25">
    <w:abstractNumId w:val="10"/>
  </w:num>
  <w:num w:numId="26">
    <w:abstractNumId w:val="33"/>
  </w:num>
  <w:num w:numId="27">
    <w:abstractNumId w:val="7"/>
  </w:num>
  <w:num w:numId="28">
    <w:abstractNumId w:val="4"/>
  </w:num>
  <w:num w:numId="29">
    <w:abstractNumId w:val="11"/>
  </w:num>
  <w:num w:numId="30">
    <w:abstractNumId w:val="22"/>
  </w:num>
  <w:num w:numId="31">
    <w:abstractNumId w:val="45"/>
  </w:num>
  <w:num w:numId="32">
    <w:abstractNumId w:val="18"/>
  </w:num>
  <w:num w:numId="33">
    <w:abstractNumId w:val="26"/>
  </w:num>
  <w:num w:numId="34">
    <w:abstractNumId w:val="0"/>
  </w:num>
  <w:num w:numId="35">
    <w:abstractNumId w:val="41"/>
  </w:num>
  <w:num w:numId="36">
    <w:abstractNumId w:val="42"/>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2"/>
  </w:num>
  <w:num w:numId="40">
    <w:abstractNumId w:val="28"/>
  </w:num>
  <w:num w:numId="41">
    <w:abstractNumId w:val="15"/>
  </w:num>
  <w:num w:numId="42">
    <w:abstractNumId w:val="17"/>
  </w:num>
  <w:num w:numId="43">
    <w:abstractNumId w:val="3"/>
  </w:num>
  <w:num w:numId="44">
    <w:abstractNumId w:val="31"/>
  </w:num>
  <w:num w:numId="45">
    <w:abstractNumId w:val="40"/>
  </w:num>
  <w:num w:numId="46">
    <w:abstractNumId w:val="24"/>
  </w:num>
  <w:num w:numId="47">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00787E"/>
    <w:rsid w:val="00001487"/>
    <w:rsid w:val="00004E68"/>
    <w:rsid w:val="0000787E"/>
    <w:rsid w:val="00007E64"/>
    <w:rsid w:val="0001034E"/>
    <w:rsid w:val="00010800"/>
    <w:rsid w:val="000122DB"/>
    <w:rsid w:val="0001290D"/>
    <w:rsid w:val="000142FF"/>
    <w:rsid w:val="00015612"/>
    <w:rsid w:val="000209BA"/>
    <w:rsid w:val="00022A3B"/>
    <w:rsid w:val="00025BD6"/>
    <w:rsid w:val="0003332C"/>
    <w:rsid w:val="000347BE"/>
    <w:rsid w:val="00034AE7"/>
    <w:rsid w:val="00035DF3"/>
    <w:rsid w:val="0003653B"/>
    <w:rsid w:val="00036AA0"/>
    <w:rsid w:val="00051539"/>
    <w:rsid w:val="00053B7F"/>
    <w:rsid w:val="0005437F"/>
    <w:rsid w:val="00055277"/>
    <w:rsid w:val="000578DF"/>
    <w:rsid w:val="00063235"/>
    <w:rsid w:val="000649E0"/>
    <w:rsid w:val="00071DC7"/>
    <w:rsid w:val="000720B3"/>
    <w:rsid w:val="00073273"/>
    <w:rsid w:val="00077997"/>
    <w:rsid w:val="00080205"/>
    <w:rsid w:val="00080387"/>
    <w:rsid w:val="000816E4"/>
    <w:rsid w:val="000845D0"/>
    <w:rsid w:val="000862B8"/>
    <w:rsid w:val="00087DBA"/>
    <w:rsid w:val="00091B8D"/>
    <w:rsid w:val="0009402F"/>
    <w:rsid w:val="0009424D"/>
    <w:rsid w:val="0009711D"/>
    <w:rsid w:val="000A136D"/>
    <w:rsid w:val="000A324F"/>
    <w:rsid w:val="000B065A"/>
    <w:rsid w:val="000B3E28"/>
    <w:rsid w:val="000B3FFF"/>
    <w:rsid w:val="000B7BAF"/>
    <w:rsid w:val="000C21FB"/>
    <w:rsid w:val="000C34DF"/>
    <w:rsid w:val="000C38F0"/>
    <w:rsid w:val="000D0004"/>
    <w:rsid w:val="000D0EC9"/>
    <w:rsid w:val="000D27B5"/>
    <w:rsid w:val="000D2A11"/>
    <w:rsid w:val="000D2B18"/>
    <w:rsid w:val="000D3D39"/>
    <w:rsid w:val="000D42DC"/>
    <w:rsid w:val="000D4FDB"/>
    <w:rsid w:val="000D589A"/>
    <w:rsid w:val="000D7279"/>
    <w:rsid w:val="000D7FD9"/>
    <w:rsid w:val="000E50FE"/>
    <w:rsid w:val="000E6D05"/>
    <w:rsid w:val="000E71C4"/>
    <w:rsid w:val="000E7A79"/>
    <w:rsid w:val="000F3E3B"/>
    <w:rsid w:val="000F5D78"/>
    <w:rsid w:val="000F6200"/>
    <w:rsid w:val="000F6A98"/>
    <w:rsid w:val="000F727B"/>
    <w:rsid w:val="001004D5"/>
    <w:rsid w:val="00102A40"/>
    <w:rsid w:val="00102C9B"/>
    <w:rsid w:val="00103B3B"/>
    <w:rsid w:val="0010784B"/>
    <w:rsid w:val="00107A19"/>
    <w:rsid w:val="001104E9"/>
    <w:rsid w:val="00112F48"/>
    <w:rsid w:val="0011358A"/>
    <w:rsid w:val="00113ECF"/>
    <w:rsid w:val="001238BA"/>
    <w:rsid w:val="00125F21"/>
    <w:rsid w:val="00127690"/>
    <w:rsid w:val="00136FE8"/>
    <w:rsid w:val="00137C66"/>
    <w:rsid w:val="00143D96"/>
    <w:rsid w:val="00144925"/>
    <w:rsid w:val="00144E03"/>
    <w:rsid w:val="001465F2"/>
    <w:rsid w:val="00150706"/>
    <w:rsid w:val="00151FAD"/>
    <w:rsid w:val="00153573"/>
    <w:rsid w:val="00153A46"/>
    <w:rsid w:val="00154978"/>
    <w:rsid w:val="001627E7"/>
    <w:rsid w:val="0016430C"/>
    <w:rsid w:val="00165BCD"/>
    <w:rsid w:val="00166B12"/>
    <w:rsid w:val="00167ACC"/>
    <w:rsid w:val="00172025"/>
    <w:rsid w:val="001726F5"/>
    <w:rsid w:val="00177D16"/>
    <w:rsid w:val="001817C4"/>
    <w:rsid w:val="001822BD"/>
    <w:rsid w:val="00183064"/>
    <w:rsid w:val="00183F0C"/>
    <w:rsid w:val="001840C4"/>
    <w:rsid w:val="00184317"/>
    <w:rsid w:val="00192350"/>
    <w:rsid w:val="001941C4"/>
    <w:rsid w:val="001A0FEE"/>
    <w:rsid w:val="001A209F"/>
    <w:rsid w:val="001B1CF4"/>
    <w:rsid w:val="001B3E78"/>
    <w:rsid w:val="001B58E0"/>
    <w:rsid w:val="001C19B7"/>
    <w:rsid w:val="001C5B8C"/>
    <w:rsid w:val="001D0DE6"/>
    <w:rsid w:val="001D1B55"/>
    <w:rsid w:val="001D3E5A"/>
    <w:rsid w:val="001E2023"/>
    <w:rsid w:val="001E288A"/>
    <w:rsid w:val="001E3347"/>
    <w:rsid w:val="001E5994"/>
    <w:rsid w:val="001F0986"/>
    <w:rsid w:val="001F188E"/>
    <w:rsid w:val="001F19E1"/>
    <w:rsid w:val="001F2239"/>
    <w:rsid w:val="001F52EA"/>
    <w:rsid w:val="001F5F06"/>
    <w:rsid w:val="002003AE"/>
    <w:rsid w:val="002031CA"/>
    <w:rsid w:val="0022225D"/>
    <w:rsid w:val="0022293A"/>
    <w:rsid w:val="002237F2"/>
    <w:rsid w:val="00225E36"/>
    <w:rsid w:val="002325A1"/>
    <w:rsid w:val="00235C7B"/>
    <w:rsid w:val="00236A51"/>
    <w:rsid w:val="00245D5E"/>
    <w:rsid w:val="00254AAB"/>
    <w:rsid w:val="00260006"/>
    <w:rsid w:val="00263382"/>
    <w:rsid w:val="00265A05"/>
    <w:rsid w:val="00267807"/>
    <w:rsid w:val="00271AE6"/>
    <w:rsid w:val="00276C10"/>
    <w:rsid w:val="002921F2"/>
    <w:rsid w:val="002942AE"/>
    <w:rsid w:val="002A38FA"/>
    <w:rsid w:val="002B2492"/>
    <w:rsid w:val="002B382C"/>
    <w:rsid w:val="002C6F89"/>
    <w:rsid w:val="002D0CD0"/>
    <w:rsid w:val="002D64DD"/>
    <w:rsid w:val="002E1981"/>
    <w:rsid w:val="002E43E5"/>
    <w:rsid w:val="002E6B9C"/>
    <w:rsid w:val="002E7736"/>
    <w:rsid w:val="002F3EFA"/>
    <w:rsid w:val="0030128A"/>
    <w:rsid w:val="00301A79"/>
    <w:rsid w:val="00303CB6"/>
    <w:rsid w:val="00303EEE"/>
    <w:rsid w:val="003075DD"/>
    <w:rsid w:val="00310D7D"/>
    <w:rsid w:val="00310FD4"/>
    <w:rsid w:val="00313E83"/>
    <w:rsid w:val="00315C94"/>
    <w:rsid w:val="00315E2C"/>
    <w:rsid w:val="0032119B"/>
    <w:rsid w:val="0032149D"/>
    <w:rsid w:val="00321F6A"/>
    <w:rsid w:val="00324EF6"/>
    <w:rsid w:val="00331978"/>
    <w:rsid w:val="0033205B"/>
    <w:rsid w:val="00334D36"/>
    <w:rsid w:val="00335203"/>
    <w:rsid w:val="00336353"/>
    <w:rsid w:val="003369AC"/>
    <w:rsid w:val="00337D9A"/>
    <w:rsid w:val="00340A8B"/>
    <w:rsid w:val="00341001"/>
    <w:rsid w:val="003414C9"/>
    <w:rsid w:val="0034348A"/>
    <w:rsid w:val="00343A46"/>
    <w:rsid w:val="00361087"/>
    <w:rsid w:val="00364A51"/>
    <w:rsid w:val="00364D31"/>
    <w:rsid w:val="00365148"/>
    <w:rsid w:val="00370B2D"/>
    <w:rsid w:val="00374005"/>
    <w:rsid w:val="003741F9"/>
    <w:rsid w:val="0037442E"/>
    <w:rsid w:val="0037704F"/>
    <w:rsid w:val="003803C2"/>
    <w:rsid w:val="00381056"/>
    <w:rsid w:val="00381324"/>
    <w:rsid w:val="00383EF0"/>
    <w:rsid w:val="00390193"/>
    <w:rsid w:val="00390EC5"/>
    <w:rsid w:val="003A0583"/>
    <w:rsid w:val="003A2F7C"/>
    <w:rsid w:val="003A3EEF"/>
    <w:rsid w:val="003B10A2"/>
    <w:rsid w:val="003B2E90"/>
    <w:rsid w:val="003B3990"/>
    <w:rsid w:val="003B7C7C"/>
    <w:rsid w:val="003C244A"/>
    <w:rsid w:val="003C3309"/>
    <w:rsid w:val="003C38C0"/>
    <w:rsid w:val="003C43DC"/>
    <w:rsid w:val="003C59A0"/>
    <w:rsid w:val="003C61CE"/>
    <w:rsid w:val="003D068A"/>
    <w:rsid w:val="003D1472"/>
    <w:rsid w:val="003D219A"/>
    <w:rsid w:val="003D3221"/>
    <w:rsid w:val="003D43FE"/>
    <w:rsid w:val="003D78AD"/>
    <w:rsid w:val="003E1A6E"/>
    <w:rsid w:val="003E1DA9"/>
    <w:rsid w:val="003E3777"/>
    <w:rsid w:val="003F3D4D"/>
    <w:rsid w:val="003F4A79"/>
    <w:rsid w:val="003F5B5A"/>
    <w:rsid w:val="003F6BC2"/>
    <w:rsid w:val="0040098B"/>
    <w:rsid w:val="00402590"/>
    <w:rsid w:val="00402630"/>
    <w:rsid w:val="00402B18"/>
    <w:rsid w:val="004034AA"/>
    <w:rsid w:val="0040369C"/>
    <w:rsid w:val="00405951"/>
    <w:rsid w:val="004060B0"/>
    <w:rsid w:val="004064B3"/>
    <w:rsid w:val="004077AD"/>
    <w:rsid w:val="00413AF7"/>
    <w:rsid w:val="00414406"/>
    <w:rsid w:val="00415C19"/>
    <w:rsid w:val="00417C80"/>
    <w:rsid w:val="00423DDE"/>
    <w:rsid w:val="00426918"/>
    <w:rsid w:val="00427479"/>
    <w:rsid w:val="00427D66"/>
    <w:rsid w:val="00430A3D"/>
    <w:rsid w:val="004319E8"/>
    <w:rsid w:val="00433A4E"/>
    <w:rsid w:val="00433B49"/>
    <w:rsid w:val="0043683B"/>
    <w:rsid w:val="004434A4"/>
    <w:rsid w:val="00445474"/>
    <w:rsid w:val="00452898"/>
    <w:rsid w:val="004542BB"/>
    <w:rsid w:val="00454A75"/>
    <w:rsid w:val="004574A2"/>
    <w:rsid w:val="00463752"/>
    <w:rsid w:val="004713DE"/>
    <w:rsid w:val="00475302"/>
    <w:rsid w:val="004800C6"/>
    <w:rsid w:val="00481424"/>
    <w:rsid w:val="00487056"/>
    <w:rsid w:val="00487CC1"/>
    <w:rsid w:val="00491430"/>
    <w:rsid w:val="004A0596"/>
    <w:rsid w:val="004A3566"/>
    <w:rsid w:val="004A5A8B"/>
    <w:rsid w:val="004A6AC1"/>
    <w:rsid w:val="004A790A"/>
    <w:rsid w:val="004B1DBC"/>
    <w:rsid w:val="004B25BC"/>
    <w:rsid w:val="004B5466"/>
    <w:rsid w:val="004C1244"/>
    <w:rsid w:val="004C13B1"/>
    <w:rsid w:val="004C173F"/>
    <w:rsid w:val="004C1A43"/>
    <w:rsid w:val="004C1C46"/>
    <w:rsid w:val="004C206B"/>
    <w:rsid w:val="004C2556"/>
    <w:rsid w:val="004C4EC8"/>
    <w:rsid w:val="004C6327"/>
    <w:rsid w:val="004D3147"/>
    <w:rsid w:val="004D6C29"/>
    <w:rsid w:val="004E1E21"/>
    <w:rsid w:val="004E74BE"/>
    <w:rsid w:val="004F00B9"/>
    <w:rsid w:val="004F290D"/>
    <w:rsid w:val="004F6FB2"/>
    <w:rsid w:val="004F77C7"/>
    <w:rsid w:val="00500363"/>
    <w:rsid w:val="005014DD"/>
    <w:rsid w:val="00507784"/>
    <w:rsid w:val="00510717"/>
    <w:rsid w:val="0051221C"/>
    <w:rsid w:val="00512F94"/>
    <w:rsid w:val="00512FDE"/>
    <w:rsid w:val="00513234"/>
    <w:rsid w:val="00514B22"/>
    <w:rsid w:val="00515E35"/>
    <w:rsid w:val="00521E2B"/>
    <w:rsid w:val="00524948"/>
    <w:rsid w:val="00524D87"/>
    <w:rsid w:val="005258C5"/>
    <w:rsid w:val="005268A6"/>
    <w:rsid w:val="0052692A"/>
    <w:rsid w:val="00526FD2"/>
    <w:rsid w:val="005277C5"/>
    <w:rsid w:val="00530969"/>
    <w:rsid w:val="00534249"/>
    <w:rsid w:val="00534DDC"/>
    <w:rsid w:val="0053776B"/>
    <w:rsid w:val="00537D87"/>
    <w:rsid w:val="00540746"/>
    <w:rsid w:val="00541EFD"/>
    <w:rsid w:val="0054636F"/>
    <w:rsid w:val="00547845"/>
    <w:rsid w:val="00550A41"/>
    <w:rsid w:val="00553DD6"/>
    <w:rsid w:val="005615D6"/>
    <w:rsid w:val="00561B02"/>
    <w:rsid w:val="0056253B"/>
    <w:rsid w:val="00563323"/>
    <w:rsid w:val="00565796"/>
    <w:rsid w:val="005714B0"/>
    <w:rsid w:val="00576B23"/>
    <w:rsid w:val="0057726F"/>
    <w:rsid w:val="00580873"/>
    <w:rsid w:val="005820C9"/>
    <w:rsid w:val="00584EB1"/>
    <w:rsid w:val="00586508"/>
    <w:rsid w:val="00590FEC"/>
    <w:rsid w:val="00593BD7"/>
    <w:rsid w:val="00596FDE"/>
    <w:rsid w:val="005A09C6"/>
    <w:rsid w:val="005A3BCF"/>
    <w:rsid w:val="005A7148"/>
    <w:rsid w:val="005B060D"/>
    <w:rsid w:val="005B306E"/>
    <w:rsid w:val="005B50DA"/>
    <w:rsid w:val="005B688C"/>
    <w:rsid w:val="005C09DE"/>
    <w:rsid w:val="005C1F02"/>
    <w:rsid w:val="005C64F8"/>
    <w:rsid w:val="005C6BCF"/>
    <w:rsid w:val="005C6E8C"/>
    <w:rsid w:val="005C7681"/>
    <w:rsid w:val="005D1971"/>
    <w:rsid w:val="005D2278"/>
    <w:rsid w:val="005D2304"/>
    <w:rsid w:val="005D4D55"/>
    <w:rsid w:val="005D7840"/>
    <w:rsid w:val="005D79C0"/>
    <w:rsid w:val="005E3A1E"/>
    <w:rsid w:val="005E3DBF"/>
    <w:rsid w:val="005E7580"/>
    <w:rsid w:val="005F24A0"/>
    <w:rsid w:val="005F2DEC"/>
    <w:rsid w:val="005F646D"/>
    <w:rsid w:val="0060392F"/>
    <w:rsid w:val="006053A9"/>
    <w:rsid w:val="00605906"/>
    <w:rsid w:val="0060715F"/>
    <w:rsid w:val="006101C6"/>
    <w:rsid w:val="0061249C"/>
    <w:rsid w:val="00613A37"/>
    <w:rsid w:val="006204ED"/>
    <w:rsid w:val="006235F9"/>
    <w:rsid w:val="00627A6A"/>
    <w:rsid w:val="00640FB4"/>
    <w:rsid w:val="0064109C"/>
    <w:rsid w:val="0064237B"/>
    <w:rsid w:val="006423B4"/>
    <w:rsid w:val="0064796E"/>
    <w:rsid w:val="00651004"/>
    <w:rsid w:val="006511D5"/>
    <w:rsid w:val="00652F0D"/>
    <w:rsid w:val="006531BA"/>
    <w:rsid w:val="006622E1"/>
    <w:rsid w:val="006638C8"/>
    <w:rsid w:val="0066428D"/>
    <w:rsid w:val="006674FC"/>
    <w:rsid w:val="0067582A"/>
    <w:rsid w:val="0067652F"/>
    <w:rsid w:val="00677ABD"/>
    <w:rsid w:val="00677B9F"/>
    <w:rsid w:val="00680720"/>
    <w:rsid w:val="00681FC9"/>
    <w:rsid w:val="00683042"/>
    <w:rsid w:val="0068678D"/>
    <w:rsid w:val="0069045A"/>
    <w:rsid w:val="00690636"/>
    <w:rsid w:val="00694FB9"/>
    <w:rsid w:val="0069696A"/>
    <w:rsid w:val="006970F0"/>
    <w:rsid w:val="006A11B4"/>
    <w:rsid w:val="006A4EB7"/>
    <w:rsid w:val="006A69B2"/>
    <w:rsid w:val="006A6FAE"/>
    <w:rsid w:val="006A753C"/>
    <w:rsid w:val="006B0CA4"/>
    <w:rsid w:val="006B1710"/>
    <w:rsid w:val="006B5045"/>
    <w:rsid w:val="006B55F8"/>
    <w:rsid w:val="006B5783"/>
    <w:rsid w:val="006B5BD6"/>
    <w:rsid w:val="006B60A1"/>
    <w:rsid w:val="006B72A2"/>
    <w:rsid w:val="006B75D0"/>
    <w:rsid w:val="006C0F58"/>
    <w:rsid w:val="006C484D"/>
    <w:rsid w:val="006C5BD4"/>
    <w:rsid w:val="006D1491"/>
    <w:rsid w:val="006D740C"/>
    <w:rsid w:val="006E7A80"/>
    <w:rsid w:val="006F49C4"/>
    <w:rsid w:val="006F7F33"/>
    <w:rsid w:val="006F7FFD"/>
    <w:rsid w:val="00700190"/>
    <w:rsid w:val="007015FF"/>
    <w:rsid w:val="0071207F"/>
    <w:rsid w:val="00712D4D"/>
    <w:rsid w:val="0071677C"/>
    <w:rsid w:val="007219CD"/>
    <w:rsid w:val="007257FE"/>
    <w:rsid w:val="00734240"/>
    <w:rsid w:val="00742A7B"/>
    <w:rsid w:val="00743563"/>
    <w:rsid w:val="00743A00"/>
    <w:rsid w:val="00743CCA"/>
    <w:rsid w:val="00745C3A"/>
    <w:rsid w:val="00747DD3"/>
    <w:rsid w:val="007513BA"/>
    <w:rsid w:val="00752AD9"/>
    <w:rsid w:val="00752FA9"/>
    <w:rsid w:val="00754500"/>
    <w:rsid w:val="00754E9B"/>
    <w:rsid w:val="00755812"/>
    <w:rsid w:val="00755D62"/>
    <w:rsid w:val="00755F7A"/>
    <w:rsid w:val="007579D8"/>
    <w:rsid w:val="0076049E"/>
    <w:rsid w:val="0076119C"/>
    <w:rsid w:val="00763025"/>
    <w:rsid w:val="00763595"/>
    <w:rsid w:val="007646E1"/>
    <w:rsid w:val="007652AE"/>
    <w:rsid w:val="00766354"/>
    <w:rsid w:val="00766DD7"/>
    <w:rsid w:val="00771D68"/>
    <w:rsid w:val="00777D2A"/>
    <w:rsid w:val="0078055F"/>
    <w:rsid w:val="00781FC8"/>
    <w:rsid w:val="00782121"/>
    <w:rsid w:val="00782EC9"/>
    <w:rsid w:val="007830EE"/>
    <w:rsid w:val="00783475"/>
    <w:rsid w:val="00783A79"/>
    <w:rsid w:val="00790A37"/>
    <w:rsid w:val="00792178"/>
    <w:rsid w:val="0079234B"/>
    <w:rsid w:val="00792F15"/>
    <w:rsid w:val="007941BD"/>
    <w:rsid w:val="00796362"/>
    <w:rsid w:val="007A5A75"/>
    <w:rsid w:val="007A5DAE"/>
    <w:rsid w:val="007A5ED0"/>
    <w:rsid w:val="007A6BB7"/>
    <w:rsid w:val="007B05B1"/>
    <w:rsid w:val="007B1A32"/>
    <w:rsid w:val="007B528D"/>
    <w:rsid w:val="007B5858"/>
    <w:rsid w:val="007B594B"/>
    <w:rsid w:val="007B682D"/>
    <w:rsid w:val="007C0FC8"/>
    <w:rsid w:val="007C157A"/>
    <w:rsid w:val="007C1F37"/>
    <w:rsid w:val="007C3AC6"/>
    <w:rsid w:val="007C4100"/>
    <w:rsid w:val="007C666A"/>
    <w:rsid w:val="007C751F"/>
    <w:rsid w:val="007D20F9"/>
    <w:rsid w:val="007D2B41"/>
    <w:rsid w:val="007D3493"/>
    <w:rsid w:val="007E0DD9"/>
    <w:rsid w:val="007E0EE3"/>
    <w:rsid w:val="007E3BC2"/>
    <w:rsid w:val="007F1FD6"/>
    <w:rsid w:val="00800D56"/>
    <w:rsid w:val="008028AF"/>
    <w:rsid w:val="0080388F"/>
    <w:rsid w:val="0080574F"/>
    <w:rsid w:val="008128D1"/>
    <w:rsid w:val="00813A46"/>
    <w:rsid w:val="00821EFA"/>
    <w:rsid w:val="00822C7C"/>
    <w:rsid w:val="00823D3B"/>
    <w:rsid w:val="00831141"/>
    <w:rsid w:val="008320C6"/>
    <w:rsid w:val="00833149"/>
    <w:rsid w:val="00834211"/>
    <w:rsid w:val="00841B54"/>
    <w:rsid w:val="00842512"/>
    <w:rsid w:val="0084454A"/>
    <w:rsid w:val="008501BF"/>
    <w:rsid w:val="00850B2C"/>
    <w:rsid w:val="00852F19"/>
    <w:rsid w:val="00866910"/>
    <w:rsid w:val="00872159"/>
    <w:rsid w:val="008750E7"/>
    <w:rsid w:val="008802E3"/>
    <w:rsid w:val="00881394"/>
    <w:rsid w:val="0088315E"/>
    <w:rsid w:val="0088606A"/>
    <w:rsid w:val="008905BA"/>
    <w:rsid w:val="008910A0"/>
    <w:rsid w:val="00892C4B"/>
    <w:rsid w:val="008A1C82"/>
    <w:rsid w:val="008A4591"/>
    <w:rsid w:val="008A45A0"/>
    <w:rsid w:val="008A4C99"/>
    <w:rsid w:val="008A63BF"/>
    <w:rsid w:val="008A7C97"/>
    <w:rsid w:val="008B03E0"/>
    <w:rsid w:val="008B093E"/>
    <w:rsid w:val="008B395C"/>
    <w:rsid w:val="008C28A1"/>
    <w:rsid w:val="008C3DC3"/>
    <w:rsid w:val="008C516F"/>
    <w:rsid w:val="008C7B4C"/>
    <w:rsid w:val="008D0768"/>
    <w:rsid w:val="008D1135"/>
    <w:rsid w:val="008D1EB6"/>
    <w:rsid w:val="008D300E"/>
    <w:rsid w:val="008D53CD"/>
    <w:rsid w:val="008D5EA9"/>
    <w:rsid w:val="008E074A"/>
    <w:rsid w:val="008E1298"/>
    <w:rsid w:val="008E4E4E"/>
    <w:rsid w:val="008F0678"/>
    <w:rsid w:val="008F18AF"/>
    <w:rsid w:val="008F25CD"/>
    <w:rsid w:val="00903C04"/>
    <w:rsid w:val="00904A7D"/>
    <w:rsid w:val="00904DBF"/>
    <w:rsid w:val="00905E12"/>
    <w:rsid w:val="00906295"/>
    <w:rsid w:val="00906DA9"/>
    <w:rsid w:val="00911B18"/>
    <w:rsid w:val="009169FA"/>
    <w:rsid w:val="00920CF7"/>
    <w:rsid w:val="00921E24"/>
    <w:rsid w:val="00922801"/>
    <w:rsid w:val="0092474F"/>
    <w:rsid w:val="00924939"/>
    <w:rsid w:val="009315B9"/>
    <w:rsid w:val="00931668"/>
    <w:rsid w:val="0093486D"/>
    <w:rsid w:val="00935AA6"/>
    <w:rsid w:val="00937381"/>
    <w:rsid w:val="00942185"/>
    <w:rsid w:val="00943442"/>
    <w:rsid w:val="00944350"/>
    <w:rsid w:val="009444FF"/>
    <w:rsid w:val="0094531D"/>
    <w:rsid w:val="00952FBF"/>
    <w:rsid w:val="00957A8B"/>
    <w:rsid w:val="009603B2"/>
    <w:rsid w:val="00960ADF"/>
    <w:rsid w:val="00963489"/>
    <w:rsid w:val="00964F04"/>
    <w:rsid w:val="00964F7B"/>
    <w:rsid w:val="00971831"/>
    <w:rsid w:val="009728B6"/>
    <w:rsid w:val="00977EAB"/>
    <w:rsid w:val="009802BE"/>
    <w:rsid w:val="00980D24"/>
    <w:rsid w:val="00980FC7"/>
    <w:rsid w:val="0098175C"/>
    <w:rsid w:val="00981FD1"/>
    <w:rsid w:val="0098616C"/>
    <w:rsid w:val="00987EA1"/>
    <w:rsid w:val="00991A28"/>
    <w:rsid w:val="00992209"/>
    <w:rsid w:val="00993D45"/>
    <w:rsid w:val="00993DC3"/>
    <w:rsid w:val="00994CCA"/>
    <w:rsid w:val="009966F1"/>
    <w:rsid w:val="009A1B7B"/>
    <w:rsid w:val="009A2C4A"/>
    <w:rsid w:val="009A4F0A"/>
    <w:rsid w:val="009A5EDB"/>
    <w:rsid w:val="009B04B2"/>
    <w:rsid w:val="009B1703"/>
    <w:rsid w:val="009B1911"/>
    <w:rsid w:val="009B2388"/>
    <w:rsid w:val="009B391D"/>
    <w:rsid w:val="009B3E89"/>
    <w:rsid w:val="009B401C"/>
    <w:rsid w:val="009C2E1A"/>
    <w:rsid w:val="009C4F8B"/>
    <w:rsid w:val="009C6A83"/>
    <w:rsid w:val="009D1C57"/>
    <w:rsid w:val="009D1D4F"/>
    <w:rsid w:val="009D1FB6"/>
    <w:rsid w:val="009D6670"/>
    <w:rsid w:val="009D6671"/>
    <w:rsid w:val="009D70A6"/>
    <w:rsid w:val="009D7C41"/>
    <w:rsid w:val="009E281F"/>
    <w:rsid w:val="009E3687"/>
    <w:rsid w:val="009E6728"/>
    <w:rsid w:val="009F0B50"/>
    <w:rsid w:val="009F0EB1"/>
    <w:rsid w:val="009F17D1"/>
    <w:rsid w:val="009F1B99"/>
    <w:rsid w:val="009F3AEB"/>
    <w:rsid w:val="00A013E8"/>
    <w:rsid w:val="00A05465"/>
    <w:rsid w:val="00A06733"/>
    <w:rsid w:val="00A06B1F"/>
    <w:rsid w:val="00A10181"/>
    <w:rsid w:val="00A10CA7"/>
    <w:rsid w:val="00A1335D"/>
    <w:rsid w:val="00A23409"/>
    <w:rsid w:val="00A267C2"/>
    <w:rsid w:val="00A2741F"/>
    <w:rsid w:val="00A300CD"/>
    <w:rsid w:val="00A3021A"/>
    <w:rsid w:val="00A34833"/>
    <w:rsid w:val="00A37CBB"/>
    <w:rsid w:val="00A44C87"/>
    <w:rsid w:val="00A46663"/>
    <w:rsid w:val="00A46BD2"/>
    <w:rsid w:val="00A5246A"/>
    <w:rsid w:val="00A54205"/>
    <w:rsid w:val="00A6584F"/>
    <w:rsid w:val="00A701C0"/>
    <w:rsid w:val="00A71402"/>
    <w:rsid w:val="00A72E2C"/>
    <w:rsid w:val="00A755B7"/>
    <w:rsid w:val="00A75ABB"/>
    <w:rsid w:val="00A75B0E"/>
    <w:rsid w:val="00A82622"/>
    <w:rsid w:val="00A83456"/>
    <w:rsid w:val="00A945E5"/>
    <w:rsid w:val="00AA4414"/>
    <w:rsid w:val="00AB2A7F"/>
    <w:rsid w:val="00AB484D"/>
    <w:rsid w:val="00ABDEFD"/>
    <w:rsid w:val="00AC27B2"/>
    <w:rsid w:val="00AC5475"/>
    <w:rsid w:val="00AD2461"/>
    <w:rsid w:val="00AD2C15"/>
    <w:rsid w:val="00AD5E56"/>
    <w:rsid w:val="00AD7971"/>
    <w:rsid w:val="00AD7CD8"/>
    <w:rsid w:val="00AE682E"/>
    <w:rsid w:val="00AE6944"/>
    <w:rsid w:val="00AE6C44"/>
    <w:rsid w:val="00AF0D8F"/>
    <w:rsid w:val="00AF1DF9"/>
    <w:rsid w:val="00AF1E26"/>
    <w:rsid w:val="00AF543B"/>
    <w:rsid w:val="00AF61D7"/>
    <w:rsid w:val="00AF6977"/>
    <w:rsid w:val="00B014F5"/>
    <w:rsid w:val="00B014FD"/>
    <w:rsid w:val="00B069E5"/>
    <w:rsid w:val="00B07545"/>
    <w:rsid w:val="00B11471"/>
    <w:rsid w:val="00B141C5"/>
    <w:rsid w:val="00B222F3"/>
    <w:rsid w:val="00B22D91"/>
    <w:rsid w:val="00B30733"/>
    <w:rsid w:val="00B34A09"/>
    <w:rsid w:val="00B36316"/>
    <w:rsid w:val="00B415C8"/>
    <w:rsid w:val="00B418DE"/>
    <w:rsid w:val="00B51993"/>
    <w:rsid w:val="00B52027"/>
    <w:rsid w:val="00B551FA"/>
    <w:rsid w:val="00B57B2E"/>
    <w:rsid w:val="00B638BA"/>
    <w:rsid w:val="00B679B3"/>
    <w:rsid w:val="00B70704"/>
    <w:rsid w:val="00B7389A"/>
    <w:rsid w:val="00B73985"/>
    <w:rsid w:val="00B741AD"/>
    <w:rsid w:val="00B8080F"/>
    <w:rsid w:val="00B90042"/>
    <w:rsid w:val="00B91C1A"/>
    <w:rsid w:val="00B92B2F"/>
    <w:rsid w:val="00B95AC9"/>
    <w:rsid w:val="00B97882"/>
    <w:rsid w:val="00B97C5C"/>
    <w:rsid w:val="00B97C70"/>
    <w:rsid w:val="00BA05FD"/>
    <w:rsid w:val="00BA0B93"/>
    <w:rsid w:val="00BA1C97"/>
    <w:rsid w:val="00BA1D76"/>
    <w:rsid w:val="00BA1DB8"/>
    <w:rsid w:val="00BA412F"/>
    <w:rsid w:val="00BA4D94"/>
    <w:rsid w:val="00BA54C0"/>
    <w:rsid w:val="00BB383B"/>
    <w:rsid w:val="00BB3CD0"/>
    <w:rsid w:val="00BB48D7"/>
    <w:rsid w:val="00BB7CA1"/>
    <w:rsid w:val="00BC34AC"/>
    <w:rsid w:val="00BC5970"/>
    <w:rsid w:val="00BC63C4"/>
    <w:rsid w:val="00BC7541"/>
    <w:rsid w:val="00BD3F2D"/>
    <w:rsid w:val="00BE1F8B"/>
    <w:rsid w:val="00BE4346"/>
    <w:rsid w:val="00BE5D31"/>
    <w:rsid w:val="00BE6B70"/>
    <w:rsid w:val="00BE6D40"/>
    <w:rsid w:val="00BE6F50"/>
    <w:rsid w:val="00BF0741"/>
    <w:rsid w:val="00BF0E7A"/>
    <w:rsid w:val="00BF1842"/>
    <w:rsid w:val="00BF1B3B"/>
    <w:rsid w:val="00C018B5"/>
    <w:rsid w:val="00C01D00"/>
    <w:rsid w:val="00C03053"/>
    <w:rsid w:val="00C06425"/>
    <w:rsid w:val="00C1531D"/>
    <w:rsid w:val="00C175B7"/>
    <w:rsid w:val="00C20BA5"/>
    <w:rsid w:val="00C30FDD"/>
    <w:rsid w:val="00C31846"/>
    <w:rsid w:val="00C33F5F"/>
    <w:rsid w:val="00C379B0"/>
    <w:rsid w:val="00C4062A"/>
    <w:rsid w:val="00C40DE8"/>
    <w:rsid w:val="00C47EE1"/>
    <w:rsid w:val="00C53814"/>
    <w:rsid w:val="00C54709"/>
    <w:rsid w:val="00C55B31"/>
    <w:rsid w:val="00C57121"/>
    <w:rsid w:val="00C57806"/>
    <w:rsid w:val="00C57F44"/>
    <w:rsid w:val="00C62B2D"/>
    <w:rsid w:val="00C64695"/>
    <w:rsid w:val="00C673A9"/>
    <w:rsid w:val="00C7380A"/>
    <w:rsid w:val="00C77405"/>
    <w:rsid w:val="00C823AE"/>
    <w:rsid w:val="00C82966"/>
    <w:rsid w:val="00C8334B"/>
    <w:rsid w:val="00C8377F"/>
    <w:rsid w:val="00C92C1F"/>
    <w:rsid w:val="00C95993"/>
    <w:rsid w:val="00CA05A4"/>
    <w:rsid w:val="00CA517F"/>
    <w:rsid w:val="00CA6E33"/>
    <w:rsid w:val="00CA7AFF"/>
    <w:rsid w:val="00CA7C89"/>
    <w:rsid w:val="00CB2F6B"/>
    <w:rsid w:val="00CB478F"/>
    <w:rsid w:val="00CB52F4"/>
    <w:rsid w:val="00CC1899"/>
    <w:rsid w:val="00CC2A00"/>
    <w:rsid w:val="00CC2F09"/>
    <w:rsid w:val="00CC706E"/>
    <w:rsid w:val="00CC7DDE"/>
    <w:rsid w:val="00CD4C8C"/>
    <w:rsid w:val="00CD63AE"/>
    <w:rsid w:val="00CE0E8C"/>
    <w:rsid w:val="00CE1666"/>
    <w:rsid w:val="00CE26F3"/>
    <w:rsid w:val="00CE4890"/>
    <w:rsid w:val="00CE5DC1"/>
    <w:rsid w:val="00CF1F1E"/>
    <w:rsid w:val="00CF520E"/>
    <w:rsid w:val="00CF69FF"/>
    <w:rsid w:val="00CF6D32"/>
    <w:rsid w:val="00D02D0B"/>
    <w:rsid w:val="00D03668"/>
    <w:rsid w:val="00D03F30"/>
    <w:rsid w:val="00D05EA6"/>
    <w:rsid w:val="00D1053B"/>
    <w:rsid w:val="00D1119D"/>
    <w:rsid w:val="00D1179B"/>
    <w:rsid w:val="00D12DBE"/>
    <w:rsid w:val="00D12DFE"/>
    <w:rsid w:val="00D13516"/>
    <w:rsid w:val="00D13C56"/>
    <w:rsid w:val="00D26DF4"/>
    <w:rsid w:val="00D40058"/>
    <w:rsid w:val="00D43118"/>
    <w:rsid w:val="00D439EF"/>
    <w:rsid w:val="00D44511"/>
    <w:rsid w:val="00D55B99"/>
    <w:rsid w:val="00D570AA"/>
    <w:rsid w:val="00D60DDF"/>
    <w:rsid w:val="00D65477"/>
    <w:rsid w:val="00D716D0"/>
    <w:rsid w:val="00D719D6"/>
    <w:rsid w:val="00D73FCB"/>
    <w:rsid w:val="00D81ECA"/>
    <w:rsid w:val="00D852AF"/>
    <w:rsid w:val="00D85FA0"/>
    <w:rsid w:val="00D87AC4"/>
    <w:rsid w:val="00D9066A"/>
    <w:rsid w:val="00D9144C"/>
    <w:rsid w:val="00D91FD6"/>
    <w:rsid w:val="00D93006"/>
    <w:rsid w:val="00D93DD7"/>
    <w:rsid w:val="00DA3E49"/>
    <w:rsid w:val="00DA5BE0"/>
    <w:rsid w:val="00DA60BC"/>
    <w:rsid w:val="00DA7BB0"/>
    <w:rsid w:val="00DB11DF"/>
    <w:rsid w:val="00DB234A"/>
    <w:rsid w:val="00DB7BDC"/>
    <w:rsid w:val="00DC0A23"/>
    <w:rsid w:val="00DC261D"/>
    <w:rsid w:val="00DC36FB"/>
    <w:rsid w:val="00DC450E"/>
    <w:rsid w:val="00DC4C4E"/>
    <w:rsid w:val="00DC5595"/>
    <w:rsid w:val="00DC7119"/>
    <w:rsid w:val="00DC7308"/>
    <w:rsid w:val="00DD4A4E"/>
    <w:rsid w:val="00DD6BAA"/>
    <w:rsid w:val="00DD7EA4"/>
    <w:rsid w:val="00DE0304"/>
    <w:rsid w:val="00DE33DE"/>
    <w:rsid w:val="00DF071E"/>
    <w:rsid w:val="00DF1428"/>
    <w:rsid w:val="00DF3D31"/>
    <w:rsid w:val="00DF465F"/>
    <w:rsid w:val="00E015E0"/>
    <w:rsid w:val="00E03349"/>
    <w:rsid w:val="00E05380"/>
    <w:rsid w:val="00E12A05"/>
    <w:rsid w:val="00E13A5A"/>
    <w:rsid w:val="00E13E28"/>
    <w:rsid w:val="00E150F6"/>
    <w:rsid w:val="00E15EEE"/>
    <w:rsid w:val="00E238DC"/>
    <w:rsid w:val="00E255D5"/>
    <w:rsid w:val="00E2580D"/>
    <w:rsid w:val="00E2648E"/>
    <w:rsid w:val="00E26C09"/>
    <w:rsid w:val="00E27CF4"/>
    <w:rsid w:val="00E330B2"/>
    <w:rsid w:val="00E3427E"/>
    <w:rsid w:val="00E36F1A"/>
    <w:rsid w:val="00E41705"/>
    <w:rsid w:val="00E46DC2"/>
    <w:rsid w:val="00E479EC"/>
    <w:rsid w:val="00E548EF"/>
    <w:rsid w:val="00E551C9"/>
    <w:rsid w:val="00E57E4A"/>
    <w:rsid w:val="00E63EAE"/>
    <w:rsid w:val="00E65316"/>
    <w:rsid w:val="00E703BD"/>
    <w:rsid w:val="00E74098"/>
    <w:rsid w:val="00E7482D"/>
    <w:rsid w:val="00E74F3A"/>
    <w:rsid w:val="00E75A7C"/>
    <w:rsid w:val="00E7745F"/>
    <w:rsid w:val="00E816D7"/>
    <w:rsid w:val="00E82FCB"/>
    <w:rsid w:val="00E83CA0"/>
    <w:rsid w:val="00E83E25"/>
    <w:rsid w:val="00E86E69"/>
    <w:rsid w:val="00E87C41"/>
    <w:rsid w:val="00E90E97"/>
    <w:rsid w:val="00E91A1E"/>
    <w:rsid w:val="00E91ED8"/>
    <w:rsid w:val="00E93649"/>
    <w:rsid w:val="00E945D7"/>
    <w:rsid w:val="00E9520B"/>
    <w:rsid w:val="00E95A12"/>
    <w:rsid w:val="00E97747"/>
    <w:rsid w:val="00EA0B41"/>
    <w:rsid w:val="00EA18BE"/>
    <w:rsid w:val="00EB0615"/>
    <w:rsid w:val="00EB5F2B"/>
    <w:rsid w:val="00EC57F4"/>
    <w:rsid w:val="00EC68F0"/>
    <w:rsid w:val="00EC695A"/>
    <w:rsid w:val="00EC6C47"/>
    <w:rsid w:val="00EC713F"/>
    <w:rsid w:val="00EC7830"/>
    <w:rsid w:val="00ED013D"/>
    <w:rsid w:val="00ED110F"/>
    <w:rsid w:val="00ED630A"/>
    <w:rsid w:val="00ED640D"/>
    <w:rsid w:val="00EE024B"/>
    <w:rsid w:val="00EE551E"/>
    <w:rsid w:val="00EE5736"/>
    <w:rsid w:val="00EE7E16"/>
    <w:rsid w:val="00EF5270"/>
    <w:rsid w:val="00EF5988"/>
    <w:rsid w:val="00F00F4B"/>
    <w:rsid w:val="00F01D9C"/>
    <w:rsid w:val="00F02256"/>
    <w:rsid w:val="00F02735"/>
    <w:rsid w:val="00F02E32"/>
    <w:rsid w:val="00F05F69"/>
    <w:rsid w:val="00F166EE"/>
    <w:rsid w:val="00F20BFA"/>
    <w:rsid w:val="00F21119"/>
    <w:rsid w:val="00F24313"/>
    <w:rsid w:val="00F2501E"/>
    <w:rsid w:val="00F3586C"/>
    <w:rsid w:val="00F409A2"/>
    <w:rsid w:val="00F4287C"/>
    <w:rsid w:val="00F4770A"/>
    <w:rsid w:val="00F53082"/>
    <w:rsid w:val="00F5344B"/>
    <w:rsid w:val="00F54291"/>
    <w:rsid w:val="00F57228"/>
    <w:rsid w:val="00F65F86"/>
    <w:rsid w:val="00F72284"/>
    <w:rsid w:val="00F72B2F"/>
    <w:rsid w:val="00F81534"/>
    <w:rsid w:val="00F81859"/>
    <w:rsid w:val="00F8292C"/>
    <w:rsid w:val="00F86344"/>
    <w:rsid w:val="00F8639C"/>
    <w:rsid w:val="00F90B38"/>
    <w:rsid w:val="00F94160"/>
    <w:rsid w:val="00F94233"/>
    <w:rsid w:val="00F94CB9"/>
    <w:rsid w:val="00F95723"/>
    <w:rsid w:val="00F96D58"/>
    <w:rsid w:val="00FA03B5"/>
    <w:rsid w:val="00FA1952"/>
    <w:rsid w:val="00FA2A3D"/>
    <w:rsid w:val="00FA3B24"/>
    <w:rsid w:val="00FA4C4B"/>
    <w:rsid w:val="00FA5290"/>
    <w:rsid w:val="00FA566A"/>
    <w:rsid w:val="00FC342A"/>
    <w:rsid w:val="00FC4876"/>
    <w:rsid w:val="00FC7A8D"/>
    <w:rsid w:val="00FD14C8"/>
    <w:rsid w:val="00FD348D"/>
    <w:rsid w:val="00FD3CF5"/>
    <w:rsid w:val="00FD7B6E"/>
    <w:rsid w:val="00FE0F79"/>
    <w:rsid w:val="00FE3F0A"/>
    <w:rsid w:val="00FE505F"/>
    <w:rsid w:val="00FE6F91"/>
    <w:rsid w:val="00FF3837"/>
    <w:rsid w:val="00FF63A3"/>
    <w:rsid w:val="02F18838"/>
    <w:rsid w:val="02FC8C7A"/>
    <w:rsid w:val="03543168"/>
    <w:rsid w:val="03B85ED1"/>
    <w:rsid w:val="04260705"/>
    <w:rsid w:val="0514D1F4"/>
    <w:rsid w:val="05B794F5"/>
    <w:rsid w:val="0689FDC7"/>
    <w:rsid w:val="082CAC0D"/>
    <w:rsid w:val="083D5341"/>
    <w:rsid w:val="08EF35B7"/>
    <w:rsid w:val="09BA39C9"/>
    <w:rsid w:val="0A9D5B80"/>
    <w:rsid w:val="0AD50090"/>
    <w:rsid w:val="0B676CB0"/>
    <w:rsid w:val="0BAF3BE0"/>
    <w:rsid w:val="0C963536"/>
    <w:rsid w:val="0CF14313"/>
    <w:rsid w:val="0DF26676"/>
    <w:rsid w:val="0E4D1DA2"/>
    <w:rsid w:val="0F7F0FFF"/>
    <w:rsid w:val="1040B22F"/>
    <w:rsid w:val="10D0D27C"/>
    <w:rsid w:val="10E04389"/>
    <w:rsid w:val="114A52B0"/>
    <w:rsid w:val="123BF4F6"/>
    <w:rsid w:val="12E316CB"/>
    <w:rsid w:val="13156F5E"/>
    <w:rsid w:val="149548F5"/>
    <w:rsid w:val="16D3153C"/>
    <w:rsid w:val="174788D5"/>
    <w:rsid w:val="1771F801"/>
    <w:rsid w:val="196BFB21"/>
    <w:rsid w:val="1B6A43F5"/>
    <w:rsid w:val="1BCD2CEB"/>
    <w:rsid w:val="1C44E7C9"/>
    <w:rsid w:val="1CA8461D"/>
    <w:rsid w:val="1D395C8D"/>
    <w:rsid w:val="1DBAC632"/>
    <w:rsid w:val="1DE688C9"/>
    <w:rsid w:val="1E8D13CA"/>
    <w:rsid w:val="1F29F825"/>
    <w:rsid w:val="20A7D58B"/>
    <w:rsid w:val="21098D39"/>
    <w:rsid w:val="2199CE6D"/>
    <w:rsid w:val="219D5EE6"/>
    <w:rsid w:val="21B731A5"/>
    <w:rsid w:val="24586634"/>
    <w:rsid w:val="24E286E3"/>
    <w:rsid w:val="24E35FDE"/>
    <w:rsid w:val="25FAC25A"/>
    <w:rsid w:val="26509621"/>
    <w:rsid w:val="27A828B0"/>
    <w:rsid w:val="2826748D"/>
    <w:rsid w:val="28521797"/>
    <w:rsid w:val="28ABDEEA"/>
    <w:rsid w:val="28E24DDC"/>
    <w:rsid w:val="2930092C"/>
    <w:rsid w:val="297AE4DA"/>
    <w:rsid w:val="2A7BAD14"/>
    <w:rsid w:val="2B2EB67C"/>
    <w:rsid w:val="2B8551AE"/>
    <w:rsid w:val="2CC003CE"/>
    <w:rsid w:val="2CF3A79D"/>
    <w:rsid w:val="2D46C983"/>
    <w:rsid w:val="2EA42EBA"/>
    <w:rsid w:val="2F69B682"/>
    <w:rsid w:val="2F72F039"/>
    <w:rsid w:val="315EBCBA"/>
    <w:rsid w:val="31816FD1"/>
    <w:rsid w:val="3257DC82"/>
    <w:rsid w:val="33434D48"/>
    <w:rsid w:val="33A56CA1"/>
    <w:rsid w:val="33BDAD8F"/>
    <w:rsid w:val="340EF9DD"/>
    <w:rsid w:val="34302E57"/>
    <w:rsid w:val="34C0BE03"/>
    <w:rsid w:val="35F9F883"/>
    <w:rsid w:val="36D746EE"/>
    <w:rsid w:val="387AD109"/>
    <w:rsid w:val="38D6DDFC"/>
    <w:rsid w:val="391FAB4A"/>
    <w:rsid w:val="3A08F2D4"/>
    <w:rsid w:val="3AEC61E3"/>
    <w:rsid w:val="3C1CAC82"/>
    <w:rsid w:val="3CE7D760"/>
    <w:rsid w:val="3D0EEA66"/>
    <w:rsid w:val="3D338B91"/>
    <w:rsid w:val="3D490DEC"/>
    <w:rsid w:val="3E041254"/>
    <w:rsid w:val="3E35B9E5"/>
    <w:rsid w:val="3E70A5E5"/>
    <w:rsid w:val="3F0E91BE"/>
    <w:rsid w:val="3F2F1929"/>
    <w:rsid w:val="3F50CF55"/>
    <w:rsid w:val="3F869A3A"/>
    <w:rsid w:val="401C9B42"/>
    <w:rsid w:val="418DC06D"/>
    <w:rsid w:val="41A3E0DC"/>
    <w:rsid w:val="42201FB8"/>
    <w:rsid w:val="4386A165"/>
    <w:rsid w:val="443C2B04"/>
    <w:rsid w:val="45C32926"/>
    <w:rsid w:val="45D91D86"/>
    <w:rsid w:val="47050E30"/>
    <w:rsid w:val="47200702"/>
    <w:rsid w:val="491E4CFA"/>
    <w:rsid w:val="49DF271E"/>
    <w:rsid w:val="4A5AAC28"/>
    <w:rsid w:val="4B482097"/>
    <w:rsid w:val="4B8D39C8"/>
    <w:rsid w:val="4C3EEABC"/>
    <w:rsid w:val="4D163068"/>
    <w:rsid w:val="4D4E0817"/>
    <w:rsid w:val="4DD4A3AC"/>
    <w:rsid w:val="4E67ABF1"/>
    <w:rsid w:val="50BF7518"/>
    <w:rsid w:val="514BD67E"/>
    <w:rsid w:val="515B53F2"/>
    <w:rsid w:val="52CE0277"/>
    <w:rsid w:val="544D664D"/>
    <w:rsid w:val="54EAED7F"/>
    <w:rsid w:val="5581C016"/>
    <w:rsid w:val="55AE47CD"/>
    <w:rsid w:val="566740C7"/>
    <w:rsid w:val="5671013B"/>
    <w:rsid w:val="568A0B40"/>
    <w:rsid w:val="5695307E"/>
    <w:rsid w:val="56AE02E6"/>
    <w:rsid w:val="57231E87"/>
    <w:rsid w:val="57529690"/>
    <w:rsid w:val="57F21C4C"/>
    <w:rsid w:val="58193A43"/>
    <w:rsid w:val="58840B77"/>
    <w:rsid w:val="592D47D5"/>
    <w:rsid w:val="598742D9"/>
    <w:rsid w:val="5A838046"/>
    <w:rsid w:val="5D947379"/>
    <w:rsid w:val="5DF64D83"/>
    <w:rsid w:val="5F584944"/>
    <w:rsid w:val="612ECF14"/>
    <w:rsid w:val="61B0482A"/>
    <w:rsid w:val="61D04B9F"/>
    <w:rsid w:val="61E547F5"/>
    <w:rsid w:val="6248A8A6"/>
    <w:rsid w:val="63DD889B"/>
    <w:rsid w:val="6422B25B"/>
    <w:rsid w:val="64F5F6E3"/>
    <w:rsid w:val="65B32A24"/>
    <w:rsid w:val="66885A15"/>
    <w:rsid w:val="66BC75FF"/>
    <w:rsid w:val="66D39C1A"/>
    <w:rsid w:val="67D337FA"/>
    <w:rsid w:val="685CA38C"/>
    <w:rsid w:val="69209245"/>
    <w:rsid w:val="69D00F9C"/>
    <w:rsid w:val="6A3B17A3"/>
    <w:rsid w:val="6ACC99E5"/>
    <w:rsid w:val="6C2DD2F2"/>
    <w:rsid w:val="6C59C327"/>
    <w:rsid w:val="6E13C796"/>
    <w:rsid w:val="6E261F5B"/>
    <w:rsid w:val="6E568DED"/>
    <w:rsid w:val="6EEAA901"/>
    <w:rsid w:val="70657166"/>
    <w:rsid w:val="70786B6B"/>
    <w:rsid w:val="71F134A1"/>
    <w:rsid w:val="7275EDFD"/>
    <w:rsid w:val="72BA2EE7"/>
    <w:rsid w:val="742999C4"/>
    <w:rsid w:val="745D40EF"/>
    <w:rsid w:val="74E957D5"/>
    <w:rsid w:val="76A9D426"/>
    <w:rsid w:val="77897D00"/>
    <w:rsid w:val="783D9AFE"/>
    <w:rsid w:val="78B1E4E4"/>
    <w:rsid w:val="79FC6AE5"/>
    <w:rsid w:val="7AB0EDA4"/>
    <w:rsid w:val="7AEAB0B8"/>
    <w:rsid w:val="7BC8CD14"/>
    <w:rsid w:val="7C4D0951"/>
    <w:rsid w:val="7C5C3F31"/>
    <w:rsid w:val="7D3DD120"/>
    <w:rsid w:val="7DCCF982"/>
    <w:rsid w:val="7E426E08"/>
    <w:rsid w:val="7F643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E290E9"/>
  <w15:chartTrackingRefBased/>
  <w15:docId w15:val="{DAE3D0A8-7395-4EDC-A8BC-66FBA17E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078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FA56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A56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FA566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821EFA"/>
    <w:pPr>
      <w:keepNext/>
      <w:spacing w:after="0" w:line="240" w:lineRule="auto"/>
      <w:jc w:val="both"/>
      <w:outlineLvl w:val="4"/>
    </w:pPr>
    <w:rPr>
      <w:rFonts w:ascii="Times New Roman" w:eastAsia="Times New Roman" w:hAnsi="Times New Roman" w:cs="Times New Roman"/>
      <w:color w:val="000000"/>
      <w:sz w:val="24"/>
      <w:szCs w:val="20"/>
      <w:lang w:eastAsia="en-GB"/>
    </w:rPr>
  </w:style>
  <w:style w:type="paragraph" w:styleId="Heading6">
    <w:name w:val="heading 6"/>
    <w:basedOn w:val="Normal"/>
    <w:next w:val="Normal"/>
    <w:link w:val="Heading6Char"/>
    <w:qFormat/>
    <w:rsid w:val="00821EFA"/>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821EFA"/>
    <w:pPr>
      <w:keepNext/>
      <w:numPr>
        <w:numId w:val="5"/>
      </w:numPr>
      <w:spacing w:after="0" w:line="240" w:lineRule="auto"/>
      <w:jc w:val="both"/>
      <w:outlineLvl w:val="6"/>
    </w:pPr>
    <w:rPr>
      <w:rFonts w:ascii="Garamond" w:eastAsia="Times New Roman" w:hAnsi="Garamond" w:cs="Times New Roman"/>
      <w:b/>
      <w:sz w:val="24"/>
      <w:szCs w:val="20"/>
      <w:u w:val="single"/>
      <w:lang w:eastAsia="en-GB"/>
    </w:rPr>
  </w:style>
  <w:style w:type="paragraph" w:styleId="Heading8">
    <w:name w:val="heading 8"/>
    <w:basedOn w:val="Normal"/>
    <w:next w:val="Normal"/>
    <w:link w:val="Heading8Char"/>
    <w:qFormat/>
    <w:rsid w:val="00821EFA"/>
    <w:pPr>
      <w:keepNext/>
      <w:numPr>
        <w:numId w:val="6"/>
      </w:numPr>
      <w:spacing w:after="0" w:line="240" w:lineRule="auto"/>
      <w:jc w:val="both"/>
      <w:outlineLvl w:val="7"/>
    </w:pPr>
    <w:rPr>
      <w:rFonts w:ascii="Garamond" w:eastAsia="Times New Roman" w:hAnsi="Garamond" w:cs="Times New Roman"/>
      <w:b/>
      <w:sz w:val="24"/>
      <w:szCs w:val="20"/>
      <w:lang w:eastAsia="en-GB"/>
    </w:rPr>
  </w:style>
  <w:style w:type="paragraph" w:styleId="Heading9">
    <w:name w:val="heading 9"/>
    <w:basedOn w:val="Normal"/>
    <w:next w:val="Normal"/>
    <w:link w:val="Heading9Char"/>
    <w:qFormat/>
    <w:rsid w:val="00821EFA"/>
    <w:p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87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07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87E"/>
  </w:style>
  <w:style w:type="paragraph" w:styleId="Footer">
    <w:name w:val="footer"/>
    <w:basedOn w:val="Normal"/>
    <w:link w:val="FooterChar"/>
    <w:unhideWhenUsed/>
    <w:rsid w:val="0000787E"/>
    <w:pPr>
      <w:tabs>
        <w:tab w:val="center" w:pos="4513"/>
        <w:tab w:val="right" w:pos="9026"/>
      </w:tabs>
      <w:spacing w:after="0" w:line="240" w:lineRule="auto"/>
    </w:pPr>
  </w:style>
  <w:style w:type="character" w:customStyle="1" w:styleId="FooterChar">
    <w:name w:val="Footer Char"/>
    <w:basedOn w:val="DefaultParagraphFont"/>
    <w:link w:val="Footer"/>
    <w:rsid w:val="0000787E"/>
  </w:style>
  <w:style w:type="character" w:styleId="Hyperlink">
    <w:name w:val="Hyperlink"/>
    <w:basedOn w:val="DefaultParagraphFont"/>
    <w:uiPriority w:val="99"/>
    <w:unhideWhenUsed/>
    <w:rsid w:val="00E65316"/>
    <w:rPr>
      <w:color w:val="0563C1" w:themeColor="hyperlink"/>
      <w:u w:val="single"/>
    </w:rPr>
  </w:style>
  <w:style w:type="paragraph" w:styleId="CommentText">
    <w:name w:val="annotation text"/>
    <w:basedOn w:val="Normal"/>
    <w:link w:val="CommentTextChar"/>
    <w:uiPriority w:val="99"/>
    <w:unhideWhenUsed/>
    <w:rsid w:val="00E65316"/>
    <w:pPr>
      <w:spacing w:line="240" w:lineRule="auto"/>
    </w:pPr>
    <w:rPr>
      <w:sz w:val="20"/>
      <w:szCs w:val="20"/>
    </w:rPr>
  </w:style>
  <w:style w:type="character" w:customStyle="1" w:styleId="CommentTextChar">
    <w:name w:val="Comment Text Char"/>
    <w:basedOn w:val="DefaultParagraphFont"/>
    <w:link w:val="CommentText"/>
    <w:uiPriority w:val="99"/>
    <w:rsid w:val="00E65316"/>
    <w:rPr>
      <w:sz w:val="20"/>
      <w:szCs w:val="20"/>
    </w:rPr>
  </w:style>
  <w:style w:type="paragraph" w:styleId="BodyText3">
    <w:name w:val="Body Text 3"/>
    <w:basedOn w:val="Normal"/>
    <w:link w:val="BodyText3Char"/>
    <w:unhideWhenUsed/>
    <w:rsid w:val="00E6531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E65316"/>
    <w:rPr>
      <w:rFonts w:ascii="Arial" w:eastAsia="Times New Roman" w:hAnsi="Arial" w:cs="Times New Roman"/>
      <w:sz w:val="16"/>
      <w:szCs w:val="16"/>
    </w:rPr>
  </w:style>
  <w:style w:type="character" w:styleId="CommentReference">
    <w:name w:val="annotation reference"/>
    <w:basedOn w:val="DefaultParagraphFont"/>
    <w:uiPriority w:val="99"/>
    <w:unhideWhenUsed/>
    <w:rsid w:val="00E65316"/>
    <w:rPr>
      <w:sz w:val="16"/>
      <w:szCs w:val="16"/>
    </w:rPr>
  </w:style>
  <w:style w:type="paragraph" w:styleId="BodyText">
    <w:name w:val="Body Text"/>
    <w:basedOn w:val="Normal"/>
    <w:link w:val="BodyTextChar"/>
    <w:unhideWhenUsed/>
    <w:rsid w:val="001F0986"/>
    <w:pPr>
      <w:spacing w:after="120"/>
    </w:pPr>
  </w:style>
  <w:style w:type="character" w:customStyle="1" w:styleId="BodyTextChar">
    <w:name w:val="Body Text Char"/>
    <w:basedOn w:val="DefaultParagraphFont"/>
    <w:link w:val="BodyText"/>
    <w:rsid w:val="001F0986"/>
  </w:style>
  <w:style w:type="table" w:styleId="TableGrid">
    <w:name w:val="Table Grid"/>
    <w:basedOn w:val="TableNormal"/>
    <w:uiPriority w:val="39"/>
    <w:rsid w:val="001F09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A566A"/>
    <w:pPr>
      <w:ind w:left="720"/>
      <w:contextualSpacing/>
    </w:pPr>
  </w:style>
  <w:style w:type="character" w:customStyle="1" w:styleId="Heading2Char">
    <w:name w:val="Heading 2 Char"/>
    <w:basedOn w:val="DefaultParagraphFont"/>
    <w:link w:val="Heading2"/>
    <w:rsid w:val="00FA56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A566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A566A"/>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BC63C4"/>
    <w:rPr>
      <w:b/>
      <w:bCs/>
    </w:rPr>
  </w:style>
  <w:style w:type="character" w:customStyle="1" w:styleId="CommentSubjectChar">
    <w:name w:val="Comment Subject Char"/>
    <w:basedOn w:val="CommentTextChar"/>
    <w:link w:val="CommentSubject"/>
    <w:uiPriority w:val="99"/>
    <w:semiHidden/>
    <w:rsid w:val="00BC63C4"/>
    <w:rPr>
      <w:b/>
      <w:bCs/>
      <w:sz w:val="20"/>
      <w:szCs w:val="20"/>
    </w:rPr>
  </w:style>
  <w:style w:type="table" w:styleId="TableGridLight">
    <w:name w:val="Grid Table Light"/>
    <w:basedOn w:val="TableNormal"/>
    <w:uiPriority w:val="40"/>
    <w:rsid w:val="004B25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6B1710"/>
  </w:style>
  <w:style w:type="character" w:styleId="UnresolvedMention">
    <w:name w:val="Unresolved Mention"/>
    <w:basedOn w:val="DefaultParagraphFont"/>
    <w:uiPriority w:val="99"/>
    <w:unhideWhenUsed/>
    <w:rsid w:val="00C8334B"/>
    <w:rPr>
      <w:color w:val="605E5C"/>
      <w:shd w:val="clear" w:color="auto" w:fill="E1DFDD"/>
    </w:rPr>
  </w:style>
  <w:style w:type="paragraph" w:customStyle="1" w:styleId="xmsonormal">
    <w:name w:val="x_msonormal"/>
    <w:basedOn w:val="Normal"/>
    <w:rsid w:val="005014DD"/>
    <w:pPr>
      <w:spacing w:after="0" w:line="240" w:lineRule="auto"/>
    </w:pPr>
    <w:rPr>
      <w:rFonts w:ascii="Calibri" w:hAnsi="Calibri" w:cs="Calibri"/>
      <w:lang w:eastAsia="en-GB"/>
    </w:rPr>
  </w:style>
  <w:style w:type="paragraph" w:styleId="TOCHeading">
    <w:name w:val="TOC Heading"/>
    <w:basedOn w:val="Heading1"/>
    <w:next w:val="Normal"/>
    <w:uiPriority w:val="39"/>
    <w:unhideWhenUsed/>
    <w:qFormat/>
    <w:rsid w:val="003B10A2"/>
    <w:pPr>
      <w:outlineLvl w:val="9"/>
    </w:pPr>
    <w:rPr>
      <w:lang w:val="en-US"/>
    </w:rPr>
  </w:style>
  <w:style w:type="paragraph" w:styleId="TOC1">
    <w:name w:val="toc 1"/>
    <w:basedOn w:val="Normal"/>
    <w:next w:val="Normal"/>
    <w:autoRedefine/>
    <w:uiPriority w:val="39"/>
    <w:unhideWhenUsed/>
    <w:rsid w:val="003B10A2"/>
    <w:pPr>
      <w:spacing w:after="100"/>
    </w:pPr>
  </w:style>
  <w:style w:type="paragraph" w:styleId="TOC2">
    <w:name w:val="toc 2"/>
    <w:basedOn w:val="Normal"/>
    <w:next w:val="Normal"/>
    <w:autoRedefine/>
    <w:uiPriority w:val="39"/>
    <w:unhideWhenUsed/>
    <w:rsid w:val="00336353"/>
    <w:pPr>
      <w:tabs>
        <w:tab w:val="right" w:leader="dot" w:pos="9016"/>
      </w:tabs>
      <w:spacing w:after="100"/>
      <w:ind w:left="220"/>
    </w:pPr>
  </w:style>
  <w:style w:type="paragraph" w:styleId="TOC3">
    <w:name w:val="toc 3"/>
    <w:basedOn w:val="Normal"/>
    <w:next w:val="Normal"/>
    <w:autoRedefine/>
    <w:uiPriority w:val="39"/>
    <w:unhideWhenUsed/>
    <w:rsid w:val="00AE682E"/>
    <w:pPr>
      <w:tabs>
        <w:tab w:val="left" w:pos="880"/>
        <w:tab w:val="right" w:leader="dot" w:pos="9016"/>
      </w:tabs>
      <w:spacing w:after="100"/>
      <w:ind w:left="440"/>
    </w:pPr>
  </w:style>
  <w:style w:type="character" w:customStyle="1" w:styleId="Heading5Char">
    <w:name w:val="Heading 5 Char"/>
    <w:basedOn w:val="DefaultParagraphFont"/>
    <w:link w:val="Heading5"/>
    <w:rsid w:val="00821EFA"/>
    <w:rPr>
      <w:rFonts w:ascii="Times New Roman" w:eastAsia="Times New Roman" w:hAnsi="Times New Roman" w:cs="Times New Roman"/>
      <w:color w:val="000000"/>
      <w:sz w:val="24"/>
      <w:szCs w:val="20"/>
      <w:lang w:eastAsia="en-GB"/>
    </w:rPr>
  </w:style>
  <w:style w:type="character" w:customStyle="1" w:styleId="Heading6Char">
    <w:name w:val="Heading 6 Char"/>
    <w:basedOn w:val="DefaultParagraphFont"/>
    <w:link w:val="Heading6"/>
    <w:rsid w:val="00821EFA"/>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821EFA"/>
    <w:rPr>
      <w:rFonts w:ascii="Garamond" w:eastAsia="Times New Roman" w:hAnsi="Garamond" w:cs="Times New Roman"/>
      <w:b/>
      <w:sz w:val="24"/>
      <w:szCs w:val="20"/>
      <w:u w:val="single"/>
      <w:lang w:eastAsia="en-GB"/>
    </w:rPr>
  </w:style>
  <w:style w:type="character" w:customStyle="1" w:styleId="Heading8Char">
    <w:name w:val="Heading 8 Char"/>
    <w:basedOn w:val="DefaultParagraphFont"/>
    <w:link w:val="Heading8"/>
    <w:rsid w:val="00821EFA"/>
    <w:rPr>
      <w:rFonts w:ascii="Garamond" w:eastAsia="Times New Roman" w:hAnsi="Garamond" w:cs="Times New Roman"/>
      <w:b/>
      <w:sz w:val="24"/>
      <w:szCs w:val="20"/>
      <w:lang w:eastAsia="en-GB"/>
    </w:rPr>
  </w:style>
  <w:style w:type="character" w:customStyle="1" w:styleId="Heading9Char">
    <w:name w:val="Heading 9 Char"/>
    <w:basedOn w:val="DefaultParagraphFont"/>
    <w:link w:val="Heading9"/>
    <w:rsid w:val="00821EFA"/>
    <w:rPr>
      <w:rFonts w:ascii="Arial" w:eastAsia="Times New Roman" w:hAnsi="Arial" w:cs="Arial"/>
      <w:lang w:eastAsia="en-GB"/>
    </w:rPr>
  </w:style>
  <w:style w:type="paragraph" w:styleId="BalloonText">
    <w:name w:val="Balloon Text"/>
    <w:basedOn w:val="Normal"/>
    <w:link w:val="BalloonTextChar"/>
    <w:semiHidden/>
    <w:unhideWhenUsed/>
    <w:rsid w:val="00821EFA"/>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semiHidden/>
    <w:rsid w:val="00821EFA"/>
    <w:rPr>
      <w:rFonts w:ascii="Lucida Grande" w:eastAsiaTheme="minorEastAsia" w:hAnsi="Lucida Grande" w:cs="Lucida Grande"/>
      <w:sz w:val="18"/>
      <w:szCs w:val="18"/>
    </w:rPr>
  </w:style>
  <w:style w:type="character" w:styleId="PageNumber">
    <w:name w:val="page number"/>
    <w:basedOn w:val="DefaultParagraphFont"/>
    <w:unhideWhenUsed/>
    <w:rsid w:val="00821EFA"/>
  </w:style>
  <w:style w:type="paragraph" w:customStyle="1" w:styleId="Default">
    <w:name w:val="Default"/>
    <w:rsid w:val="00821E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rsid w:val="00821EFA"/>
    <w:pPr>
      <w:spacing w:after="120" w:line="480" w:lineRule="auto"/>
    </w:pPr>
    <w:rPr>
      <w:rFonts w:ascii="Arial" w:eastAsia="Times New Roman" w:hAnsi="Arial" w:cs="Times New Roman"/>
      <w:sz w:val="24"/>
      <w:szCs w:val="24"/>
      <w:lang w:eastAsia="en-GB"/>
    </w:rPr>
  </w:style>
  <w:style w:type="character" w:customStyle="1" w:styleId="BodyText2Char">
    <w:name w:val="Body Text 2 Char"/>
    <w:basedOn w:val="DefaultParagraphFont"/>
    <w:link w:val="BodyText2"/>
    <w:rsid w:val="00821EFA"/>
    <w:rPr>
      <w:rFonts w:ascii="Arial" w:eastAsia="Times New Roman" w:hAnsi="Arial" w:cs="Times New Roman"/>
      <w:sz w:val="24"/>
      <w:szCs w:val="24"/>
      <w:lang w:eastAsia="en-GB"/>
    </w:rPr>
  </w:style>
  <w:style w:type="paragraph" w:styleId="BodyTextIndent">
    <w:name w:val="Body Text Indent"/>
    <w:basedOn w:val="Normal"/>
    <w:link w:val="BodyTextIndentChar"/>
    <w:rsid w:val="00821EFA"/>
    <w:pPr>
      <w:spacing w:after="120" w:line="240" w:lineRule="auto"/>
      <w:ind w:left="283"/>
    </w:pPr>
    <w:rPr>
      <w:rFonts w:ascii="Arial" w:eastAsia="Times New Roman" w:hAnsi="Arial" w:cs="Times New Roman"/>
      <w:sz w:val="24"/>
      <w:szCs w:val="24"/>
      <w:lang w:eastAsia="en-GB"/>
    </w:rPr>
  </w:style>
  <w:style w:type="character" w:customStyle="1" w:styleId="BodyTextIndentChar">
    <w:name w:val="Body Text Indent Char"/>
    <w:basedOn w:val="DefaultParagraphFont"/>
    <w:link w:val="BodyTextIndent"/>
    <w:rsid w:val="00821EFA"/>
    <w:rPr>
      <w:rFonts w:ascii="Arial" w:eastAsia="Times New Roman" w:hAnsi="Arial" w:cs="Times New Roman"/>
      <w:sz w:val="24"/>
      <w:szCs w:val="24"/>
      <w:lang w:eastAsia="en-GB"/>
    </w:rPr>
  </w:style>
  <w:style w:type="paragraph" w:customStyle="1" w:styleId="Blockquote">
    <w:name w:val="Blockquote"/>
    <w:basedOn w:val="Normal"/>
    <w:rsid w:val="00821EFA"/>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BlockText">
    <w:name w:val="Block Text"/>
    <w:basedOn w:val="Normal"/>
    <w:rsid w:val="00821EFA"/>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spacing w:after="0" w:line="240" w:lineRule="auto"/>
      <w:ind w:left="864" w:right="26" w:hanging="864"/>
      <w:jc w:val="both"/>
    </w:pPr>
    <w:rPr>
      <w:rFonts w:ascii="Times New Roman" w:eastAsia="Times New Roman" w:hAnsi="Times New Roman" w:cs="Times New Roman"/>
      <w:sz w:val="24"/>
      <w:szCs w:val="20"/>
      <w:lang w:eastAsia="en-GB"/>
    </w:rPr>
  </w:style>
  <w:style w:type="paragraph" w:styleId="Title">
    <w:name w:val="Title"/>
    <w:basedOn w:val="Normal"/>
    <w:link w:val="TitleChar"/>
    <w:qFormat/>
    <w:rsid w:val="00821EFA"/>
    <w:pPr>
      <w:spacing w:after="0"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821EFA"/>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821EFA"/>
    <w:pPr>
      <w:spacing w:after="0" w:line="480" w:lineRule="auto"/>
    </w:pPr>
    <w:rPr>
      <w:rFonts w:ascii="Garamond" w:eastAsia="Times New Roman" w:hAnsi="Garamond" w:cs="Times New Roman"/>
      <w:b/>
      <w:i/>
      <w:sz w:val="24"/>
      <w:szCs w:val="20"/>
      <w:lang w:eastAsia="en-GB"/>
    </w:rPr>
  </w:style>
  <w:style w:type="character" w:customStyle="1" w:styleId="SubtitleChar">
    <w:name w:val="Subtitle Char"/>
    <w:basedOn w:val="DefaultParagraphFont"/>
    <w:link w:val="Subtitle"/>
    <w:rsid w:val="00821EFA"/>
    <w:rPr>
      <w:rFonts w:ascii="Garamond" w:eastAsia="Times New Roman" w:hAnsi="Garamond" w:cs="Times New Roman"/>
      <w:b/>
      <w:i/>
      <w:sz w:val="24"/>
      <w:szCs w:val="20"/>
      <w:lang w:eastAsia="en-GB"/>
    </w:rPr>
  </w:style>
  <w:style w:type="paragraph" w:customStyle="1" w:styleId="Outline1">
    <w:name w:val="Outline 1"/>
    <w:basedOn w:val="Normal"/>
    <w:rsid w:val="00821EFA"/>
    <w:pPr>
      <w:keepNext/>
      <w:tabs>
        <w:tab w:val="num" w:pos="851"/>
      </w:tabs>
      <w:spacing w:after="240" w:line="240" w:lineRule="auto"/>
      <w:ind w:left="851" w:hanging="851"/>
      <w:jc w:val="both"/>
      <w:outlineLvl w:val="0"/>
    </w:pPr>
    <w:rPr>
      <w:rFonts w:ascii="Arial" w:eastAsia="Times New Roman" w:hAnsi="Arial" w:cs="Times New Roman"/>
      <w:b/>
      <w:caps/>
      <w:szCs w:val="20"/>
    </w:rPr>
  </w:style>
  <w:style w:type="paragraph" w:customStyle="1" w:styleId="Outline2">
    <w:name w:val="Outline 2"/>
    <w:basedOn w:val="Normal"/>
    <w:rsid w:val="00821EFA"/>
    <w:pPr>
      <w:tabs>
        <w:tab w:val="num" w:pos="851"/>
      </w:tabs>
      <w:spacing w:after="240" w:line="240" w:lineRule="auto"/>
      <w:ind w:left="851" w:hanging="851"/>
      <w:jc w:val="both"/>
      <w:outlineLvl w:val="1"/>
    </w:pPr>
    <w:rPr>
      <w:rFonts w:ascii="Arial" w:eastAsia="Times New Roman" w:hAnsi="Arial" w:cs="Times New Roman"/>
      <w:szCs w:val="20"/>
    </w:rPr>
  </w:style>
  <w:style w:type="paragraph" w:customStyle="1" w:styleId="Outline3">
    <w:name w:val="Outline 3"/>
    <w:basedOn w:val="Normal"/>
    <w:rsid w:val="00821EFA"/>
    <w:pPr>
      <w:tabs>
        <w:tab w:val="num" w:pos="851"/>
      </w:tabs>
      <w:spacing w:after="240" w:line="240" w:lineRule="auto"/>
      <w:ind w:left="851" w:hanging="851"/>
      <w:jc w:val="both"/>
      <w:outlineLvl w:val="2"/>
    </w:pPr>
    <w:rPr>
      <w:rFonts w:ascii="Arial" w:eastAsia="Times New Roman" w:hAnsi="Arial" w:cs="Times New Roman"/>
      <w:szCs w:val="20"/>
    </w:rPr>
  </w:style>
  <w:style w:type="paragraph" w:customStyle="1" w:styleId="Outline4">
    <w:name w:val="Outline 4"/>
    <w:basedOn w:val="Normal"/>
    <w:rsid w:val="00821EFA"/>
    <w:pPr>
      <w:tabs>
        <w:tab w:val="num" w:pos="1418"/>
      </w:tabs>
      <w:spacing w:after="240" w:line="240" w:lineRule="auto"/>
      <w:ind w:left="1418" w:hanging="567"/>
      <w:jc w:val="both"/>
      <w:outlineLvl w:val="3"/>
    </w:pPr>
    <w:rPr>
      <w:rFonts w:ascii="Arial" w:eastAsia="Times New Roman" w:hAnsi="Arial" w:cs="Times New Roman"/>
      <w:szCs w:val="20"/>
    </w:rPr>
  </w:style>
  <w:style w:type="paragraph" w:customStyle="1" w:styleId="Outline5">
    <w:name w:val="Outline 5"/>
    <w:basedOn w:val="Normal"/>
    <w:rsid w:val="00821EFA"/>
    <w:pPr>
      <w:tabs>
        <w:tab w:val="left" w:pos="2835"/>
        <w:tab w:val="num" w:pos="2988"/>
      </w:tabs>
      <w:spacing w:after="240" w:line="240" w:lineRule="auto"/>
      <w:ind w:left="2835" w:hanging="567"/>
      <w:jc w:val="both"/>
      <w:outlineLvl w:val="4"/>
    </w:pPr>
    <w:rPr>
      <w:rFonts w:ascii="Arial" w:eastAsia="Times New Roman" w:hAnsi="Arial" w:cs="Times New Roman"/>
      <w:szCs w:val="20"/>
    </w:rPr>
  </w:style>
  <w:style w:type="paragraph" w:customStyle="1" w:styleId="OutlineInd2">
    <w:name w:val="Outline Ind 2"/>
    <w:basedOn w:val="Normal"/>
    <w:rsid w:val="00821EFA"/>
    <w:pPr>
      <w:numPr>
        <w:numId w:val="8"/>
      </w:numPr>
      <w:tabs>
        <w:tab w:val="clear" w:pos="851"/>
        <w:tab w:val="num" w:pos="1701"/>
      </w:tabs>
      <w:spacing w:after="240" w:line="240" w:lineRule="auto"/>
      <w:jc w:val="both"/>
      <w:outlineLvl w:val="5"/>
    </w:pPr>
    <w:rPr>
      <w:rFonts w:ascii="Arial" w:eastAsia="Times New Roman" w:hAnsi="Arial" w:cs="Times New Roman"/>
      <w:szCs w:val="20"/>
    </w:rPr>
  </w:style>
  <w:style w:type="paragraph" w:customStyle="1" w:styleId="OutlineInd3">
    <w:name w:val="Outline Ind 3"/>
    <w:basedOn w:val="Normal"/>
    <w:rsid w:val="00821EFA"/>
    <w:pPr>
      <w:numPr>
        <w:ilvl w:val="1"/>
        <w:numId w:val="8"/>
      </w:numPr>
      <w:tabs>
        <w:tab w:val="clear" w:pos="851"/>
        <w:tab w:val="num" w:pos="2552"/>
      </w:tabs>
      <w:spacing w:after="240" w:line="240" w:lineRule="auto"/>
      <w:jc w:val="both"/>
      <w:outlineLvl w:val="6"/>
    </w:pPr>
    <w:rPr>
      <w:rFonts w:ascii="Arial" w:eastAsia="Times New Roman" w:hAnsi="Arial" w:cs="Times New Roman"/>
      <w:szCs w:val="20"/>
    </w:rPr>
  </w:style>
  <w:style w:type="paragraph" w:customStyle="1" w:styleId="OutlineInd4">
    <w:name w:val="Outline Ind 4"/>
    <w:basedOn w:val="Normal"/>
    <w:rsid w:val="00821EFA"/>
    <w:pPr>
      <w:numPr>
        <w:ilvl w:val="2"/>
        <w:numId w:val="8"/>
      </w:numPr>
      <w:tabs>
        <w:tab w:val="clear" w:pos="851"/>
        <w:tab w:val="num" w:pos="3119"/>
      </w:tabs>
      <w:spacing w:after="240" w:line="240" w:lineRule="auto"/>
      <w:jc w:val="both"/>
      <w:outlineLvl w:val="7"/>
    </w:pPr>
    <w:rPr>
      <w:rFonts w:ascii="Arial" w:eastAsia="Times New Roman" w:hAnsi="Arial" w:cs="Times New Roman"/>
      <w:szCs w:val="20"/>
    </w:rPr>
  </w:style>
  <w:style w:type="paragraph" w:customStyle="1" w:styleId="OutlineInd5">
    <w:name w:val="Outline Ind 5"/>
    <w:basedOn w:val="Normal"/>
    <w:rsid w:val="00821EFA"/>
    <w:pPr>
      <w:numPr>
        <w:ilvl w:val="3"/>
        <w:numId w:val="8"/>
      </w:numPr>
      <w:tabs>
        <w:tab w:val="clear" w:pos="1418"/>
        <w:tab w:val="left" w:pos="3686"/>
        <w:tab w:val="num" w:pos="3839"/>
      </w:tabs>
      <w:spacing w:after="240" w:line="240" w:lineRule="auto"/>
      <w:jc w:val="both"/>
      <w:outlineLvl w:val="8"/>
    </w:pPr>
    <w:rPr>
      <w:rFonts w:ascii="Arial" w:eastAsia="Times New Roman" w:hAnsi="Arial" w:cs="Times New Roman"/>
      <w:szCs w:val="20"/>
    </w:rPr>
  </w:style>
  <w:style w:type="paragraph" w:customStyle="1" w:styleId="1AutoList1">
    <w:name w:val="1AutoList1"/>
    <w:rsid w:val="00821EFA"/>
    <w:pPr>
      <w:widowControl w:val="0"/>
      <w:numPr>
        <w:ilvl w:val="4"/>
        <w:numId w:val="8"/>
      </w:numPr>
      <w:tabs>
        <w:tab w:val="clear" w:pos="2988"/>
        <w:tab w:val="left" w:pos="720"/>
      </w:tabs>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Level1">
    <w:name w:val="Level 1"/>
    <w:basedOn w:val="Normal"/>
    <w:rsid w:val="00821EFA"/>
    <w:pPr>
      <w:widowControl w:val="0"/>
      <w:numPr>
        <w:ilvl w:val="5"/>
        <w:numId w:val="8"/>
      </w:numPr>
      <w:tabs>
        <w:tab w:val="clear" w:pos="1701"/>
        <w:tab w:val="num" w:pos="360"/>
      </w:tabs>
      <w:autoSpaceDE w:val="0"/>
      <w:autoSpaceDN w:val="0"/>
      <w:adjustRightInd w:val="0"/>
      <w:spacing w:after="0" w:line="240" w:lineRule="auto"/>
      <w:outlineLvl w:val="0"/>
    </w:pPr>
    <w:rPr>
      <w:rFonts w:ascii="Times New Roman" w:eastAsia="Times New Roman" w:hAnsi="Times New Roman" w:cs="Times New Roman"/>
      <w:sz w:val="24"/>
      <w:szCs w:val="24"/>
      <w:lang w:val="en-US" w:eastAsia="en-GB"/>
    </w:rPr>
  </w:style>
  <w:style w:type="paragraph" w:customStyle="1" w:styleId="Text">
    <w:name w:val="Text"/>
    <w:basedOn w:val="Normal"/>
    <w:rsid w:val="00821EFA"/>
    <w:pPr>
      <w:numPr>
        <w:ilvl w:val="6"/>
        <w:numId w:val="8"/>
      </w:numPr>
      <w:tabs>
        <w:tab w:val="clear" w:pos="2552"/>
      </w:tabs>
      <w:overflowPunct w:val="0"/>
      <w:autoSpaceDE w:val="0"/>
      <w:autoSpaceDN w:val="0"/>
      <w:adjustRightInd w:val="0"/>
      <w:spacing w:before="60" w:after="120" w:line="228" w:lineRule="auto"/>
      <w:jc w:val="both"/>
      <w:textAlignment w:val="baseline"/>
    </w:pPr>
    <w:rPr>
      <w:rFonts w:ascii="Palatino" w:eastAsia="Times New Roman" w:hAnsi="Palatino" w:cs="Times New Roman"/>
      <w:szCs w:val="20"/>
    </w:rPr>
  </w:style>
  <w:style w:type="character" w:customStyle="1" w:styleId="TextChar">
    <w:name w:val="Text Char"/>
    <w:rsid w:val="00821EFA"/>
    <w:rPr>
      <w:rFonts w:ascii="Palatino" w:hAnsi="Palatino"/>
      <w:sz w:val="22"/>
      <w:lang w:val="en-GB" w:eastAsia="en-US" w:bidi="ar-SA"/>
    </w:rPr>
  </w:style>
  <w:style w:type="paragraph" w:customStyle="1" w:styleId="NSCNumbL1">
    <w:name w:val="NSC Numb L1"/>
    <w:basedOn w:val="Normal"/>
    <w:rsid w:val="00821EFA"/>
    <w:pPr>
      <w:tabs>
        <w:tab w:val="num" w:pos="720"/>
      </w:tabs>
      <w:spacing w:before="120" w:after="0" w:line="240" w:lineRule="auto"/>
      <w:ind w:left="720" w:hanging="720"/>
    </w:pPr>
    <w:rPr>
      <w:rFonts w:ascii="Arial" w:eastAsia="Times New Roman" w:hAnsi="Arial" w:cs="Times New Roman"/>
      <w:sz w:val="24"/>
      <w:szCs w:val="24"/>
    </w:rPr>
  </w:style>
  <w:style w:type="paragraph" w:customStyle="1" w:styleId="NSCNumbL2">
    <w:name w:val="NSC Numb L2"/>
    <w:basedOn w:val="Normal"/>
    <w:rsid w:val="00821EFA"/>
    <w:pPr>
      <w:tabs>
        <w:tab w:val="num" w:pos="720"/>
      </w:tabs>
      <w:spacing w:after="0" w:line="240" w:lineRule="auto"/>
      <w:ind w:left="720" w:hanging="720"/>
    </w:pPr>
    <w:rPr>
      <w:rFonts w:ascii="Arial" w:eastAsia="Times New Roman" w:hAnsi="Arial" w:cs="Times New Roman"/>
      <w:sz w:val="24"/>
      <w:szCs w:val="24"/>
    </w:rPr>
  </w:style>
  <w:style w:type="paragraph" w:customStyle="1" w:styleId="NSCNumbL3">
    <w:name w:val="NSC Numb L3"/>
    <w:basedOn w:val="Normal"/>
    <w:rsid w:val="00821EFA"/>
    <w:pPr>
      <w:tabs>
        <w:tab w:val="num" w:pos="1621"/>
      </w:tabs>
      <w:spacing w:after="0" w:line="240" w:lineRule="auto"/>
      <w:ind w:left="1621" w:hanging="901"/>
    </w:pPr>
    <w:rPr>
      <w:rFonts w:ascii="Arial" w:eastAsia="Times New Roman" w:hAnsi="Arial" w:cs="Times New Roman"/>
      <w:sz w:val="24"/>
      <w:szCs w:val="24"/>
    </w:rPr>
  </w:style>
  <w:style w:type="paragraph" w:customStyle="1" w:styleId="NSCNumbL4">
    <w:name w:val="NSC Numb L4"/>
    <w:basedOn w:val="Normal"/>
    <w:rsid w:val="00821EFA"/>
    <w:pPr>
      <w:tabs>
        <w:tab w:val="num" w:pos="2699"/>
      </w:tabs>
      <w:spacing w:after="0" w:line="240" w:lineRule="auto"/>
      <w:ind w:left="2699" w:hanging="1078"/>
    </w:pPr>
    <w:rPr>
      <w:rFonts w:ascii="Arial" w:eastAsia="Times New Roman" w:hAnsi="Arial" w:cs="Times New Roman"/>
      <w:sz w:val="24"/>
      <w:szCs w:val="24"/>
    </w:rPr>
  </w:style>
  <w:style w:type="paragraph" w:customStyle="1" w:styleId="NSCNumbL5">
    <w:name w:val="NSC Numb L5"/>
    <w:basedOn w:val="Normal"/>
    <w:rsid w:val="00821EFA"/>
    <w:pPr>
      <w:numPr>
        <w:numId w:val="9"/>
      </w:numPr>
      <w:tabs>
        <w:tab w:val="clear" w:pos="720"/>
        <w:tab w:val="left" w:pos="3345"/>
      </w:tabs>
      <w:spacing w:after="0" w:line="240" w:lineRule="auto"/>
    </w:pPr>
    <w:rPr>
      <w:rFonts w:ascii="Arial" w:eastAsia="Times New Roman" w:hAnsi="Arial" w:cs="Times New Roman"/>
      <w:sz w:val="24"/>
      <w:szCs w:val="24"/>
    </w:rPr>
  </w:style>
  <w:style w:type="paragraph" w:customStyle="1" w:styleId="NSCNumbL6">
    <w:name w:val="NSC Numb L6"/>
    <w:basedOn w:val="Normal"/>
    <w:rsid w:val="00821EFA"/>
    <w:pPr>
      <w:keepNext/>
      <w:numPr>
        <w:ilvl w:val="1"/>
        <w:numId w:val="9"/>
      </w:numPr>
      <w:tabs>
        <w:tab w:val="clear" w:pos="720"/>
        <w:tab w:val="left" w:pos="3345"/>
      </w:tabs>
      <w:spacing w:after="0" w:line="240" w:lineRule="auto"/>
    </w:pPr>
    <w:rPr>
      <w:rFonts w:ascii="Arial" w:eastAsia="Times New Roman" w:hAnsi="Arial" w:cs="Times New Roman"/>
      <w:sz w:val="24"/>
      <w:szCs w:val="24"/>
    </w:rPr>
  </w:style>
  <w:style w:type="paragraph" w:customStyle="1" w:styleId="NSCNumbL7">
    <w:name w:val="NSC Numb L7"/>
    <w:basedOn w:val="Normal"/>
    <w:rsid w:val="00821EFA"/>
    <w:pPr>
      <w:numPr>
        <w:ilvl w:val="2"/>
        <w:numId w:val="9"/>
      </w:numPr>
      <w:tabs>
        <w:tab w:val="clear" w:pos="1621"/>
        <w:tab w:val="left" w:pos="3969"/>
      </w:tabs>
      <w:spacing w:after="0" w:line="240" w:lineRule="auto"/>
    </w:pPr>
    <w:rPr>
      <w:rFonts w:ascii="Arial" w:eastAsia="Times New Roman" w:hAnsi="Arial" w:cs="Times New Roman"/>
      <w:sz w:val="24"/>
      <w:szCs w:val="24"/>
    </w:rPr>
  </w:style>
  <w:style w:type="paragraph" w:customStyle="1" w:styleId="NSCNumbL8">
    <w:name w:val="NSC Numb L8"/>
    <w:basedOn w:val="Normal"/>
    <w:rsid w:val="00821EFA"/>
    <w:pPr>
      <w:numPr>
        <w:ilvl w:val="3"/>
        <w:numId w:val="9"/>
      </w:numPr>
      <w:tabs>
        <w:tab w:val="clear" w:pos="2699"/>
        <w:tab w:val="left" w:pos="4536"/>
      </w:tabs>
      <w:spacing w:after="0" w:line="240" w:lineRule="auto"/>
    </w:pPr>
    <w:rPr>
      <w:rFonts w:ascii="Arial" w:eastAsia="Times New Roman" w:hAnsi="Arial" w:cs="Times New Roman"/>
      <w:sz w:val="24"/>
      <w:szCs w:val="24"/>
    </w:rPr>
  </w:style>
  <w:style w:type="paragraph" w:customStyle="1" w:styleId="NSCNumbL9">
    <w:name w:val="NSC Numb L9"/>
    <w:basedOn w:val="Normal"/>
    <w:rsid w:val="00821EFA"/>
    <w:pPr>
      <w:keepNext/>
      <w:numPr>
        <w:ilvl w:val="4"/>
        <w:numId w:val="9"/>
      </w:numPr>
      <w:tabs>
        <w:tab w:val="clear" w:pos="2699"/>
        <w:tab w:val="left" w:pos="5103"/>
      </w:tabs>
      <w:spacing w:after="0" w:line="240" w:lineRule="auto"/>
    </w:pPr>
    <w:rPr>
      <w:rFonts w:ascii="Arial" w:eastAsia="Times New Roman" w:hAnsi="Arial" w:cs="Times New Roman"/>
      <w:sz w:val="24"/>
      <w:szCs w:val="24"/>
    </w:rPr>
  </w:style>
  <w:style w:type="paragraph" w:customStyle="1" w:styleId="Bodysubclause">
    <w:name w:val="Body  sub clause"/>
    <w:basedOn w:val="Normal"/>
    <w:rsid w:val="00821EFA"/>
    <w:pPr>
      <w:spacing w:before="240" w:after="120" w:line="300" w:lineRule="atLeast"/>
      <w:ind w:left="720"/>
      <w:jc w:val="both"/>
    </w:pPr>
    <w:rPr>
      <w:rFonts w:ascii="Times New Roman" w:eastAsia="Times New Roman" w:hAnsi="Times New Roman" w:cs="Times New Roman"/>
      <w:szCs w:val="20"/>
    </w:rPr>
  </w:style>
  <w:style w:type="paragraph" w:customStyle="1" w:styleId="Definitions">
    <w:name w:val="Definitions"/>
    <w:basedOn w:val="Normal"/>
    <w:rsid w:val="00821EFA"/>
    <w:pPr>
      <w:tabs>
        <w:tab w:val="left" w:pos="709"/>
      </w:tabs>
      <w:spacing w:after="120" w:line="300" w:lineRule="atLeast"/>
      <w:ind w:left="720"/>
      <w:jc w:val="both"/>
    </w:pPr>
    <w:rPr>
      <w:rFonts w:ascii="Times New Roman" w:eastAsia="Times New Roman" w:hAnsi="Times New Roman" w:cs="Times New Roman"/>
      <w:szCs w:val="20"/>
    </w:rPr>
  </w:style>
  <w:style w:type="paragraph" w:customStyle="1" w:styleId="1Parties">
    <w:name w:val="(1) Parties"/>
    <w:basedOn w:val="Normal"/>
    <w:rsid w:val="00821EFA"/>
    <w:pPr>
      <w:numPr>
        <w:numId w:val="10"/>
      </w:numPr>
      <w:spacing w:before="120" w:after="120" w:line="300" w:lineRule="atLeast"/>
      <w:jc w:val="both"/>
    </w:pPr>
    <w:rPr>
      <w:rFonts w:ascii="Times New Roman" w:eastAsia="Times New Roman" w:hAnsi="Times New Roman" w:cs="Times New Roman"/>
      <w:szCs w:val="20"/>
    </w:rPr>
  </w:style>
  <w:style w:type="paragraph" w:customStyle="1" w:styleId="1stIntroHeadings">
    <w:name w:val="1stIntroHeadings"/>
    <w:basedOn w:val="Normal"/>
    <w:next w:val="Normal"/>
    <w:rsid w:val="00821EFA"/>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Scha">
    <w:name w:val="Sch a)"/>
    <w:basedOn w:val="Normal"/>
    <w:rsid w:val="00821EFA"/>
    <w:pPr>
      <w:numPr>
        <w:ilvl w:val="1"/>
        <w:numId w:val="10"/>
      </w:numPr>
      <w:spacing w:after="0" w:line="300" w:lineRule="atLeast"/>
      <w:jc w:val="both"/>
    </w:pPr>
    <w:rPr>
      <w:rFonts w:ascii="Times New Roman" w:eastAsia="Times New Roman" w:hAnsi="Times New Roman" w:cs="Times New Roman"/>
      <w:szCs w:val="20"/>
    </w:rPr>
  </w:style>
  <w:style w:type="paragraph" w:customStyle="1" w:styleId="CoversheetTitle">
    <w:name w:val="Coversheet Title"/>
    <w:basedOn w:val="Normal"/>
    <w:autoRedefine/>
    <w:rsid w:val="00821EFA"/>
    <w:pPr>
      <w:spacing w:before="480" w:after="480" w:line="300" w:lineRule="atLeast"/>
      <w:jc w:val="center"/>
    </w:pPr>
    <w:rPr>
      <w:rFonts w:ascii="Times New Roman" w:eastAsia="Times New Roman" w:hAnsi="Times New Roman" w:cs="Times New Roman"/>
      <w:b/>
      <w:smallCaps/>
      <w:szCs w:val="20"/>
    </w:rPr>
  </w:style>
  <w:style w:type="paragraph" w:customStyle="1" w:styleId="CoversheetParagraph">
    <w:name w:val="Coversheet Paragraph"/>
    <w:basedOn w:val="Normal"/>
    <w:autoRedefine/>
    <w:rsid w:val="00821EFA"/>
    <w:pPr>
      <w:spacing w:after="0" w:line="300" w:lineRule="atLeast"/>
      <w:jc w:val="center"/>
    </w:pPr>
    <w:rPr>
      <w:rFonts w:ascii="Times New Roman" w:eastAsia="Times New Roman" w:hAnsi="Times New Roman" w:cs="Times New Roman"/>
      <w:szCs w:val="20"/>
    </w:rPr>
  </w:style>
  <w:style w:type="character" w:customStyle="1" w:styleId="Defterm">
    <w:name w:val="Defterm"/>
    <w:rsid w:val="00821EFA"/>
    <w:rPr>
      <w:b/>
      <w:color w:val="000000"/>
      <w:sz w:val="22"/>
    </w:rPr>
  </w:style>
  <w:style w:type="paragraph" w:customStyle="1" w:styleId="NewPage">
    <w:name w:val="New Page"/>
    <w:basedOn w:val="Normal"/>
    <w:autoRedefine/>
    <w:rsid w:val="00821EFA"/>
    <w:pPr>
      <w:pageBreakBefore/>
      <w:spacing w:after="0" w:line="300" w:lineRule="atLeast"/>
      <w:jc w:val="both"/>
    </w:pPr>
    <w:rPr>
      <w:rFonts w:ascii="Times New Roman" w:eastAsia="Times New Roman" w:hAnsi="Times New Roman" w:cs="Times New Roman"/>
      <w:szCs w:val="20"/>
    </w:rPr>
  </w:style>
  <w:style w:type="paragraph" w:customStyle="1" w:styleId="OperativeStart">
    <w:name w:val="OperativeStart"/>
    <w:basedOn w:val="Normal"/>
    <w:autoRedefine/>
    <w:rsid w:val="00821EFA"/>
    <w:pPr>
      <w:pageBreakBefore/>
      <w:spacing w:after="0" w:line="300" w:lineRule="atLeast"/>
      <w:jc w:val="both"/>
    </w:pPr>
    <w:rPr>
      <w:rFonts w:ascii="Times New Roman" w:eastAsia="Times New Roman" w:hAnsi="Times New Roman" w:cs="Times New Roman"/>
      <w:szCs w:val="20"/>
    </w:rPr>
  </w:style>
  <w:style w:type="paragraph" w:customStyle="1" w:styleId="Schmainheadsingle">
    <w:name w:val="Sch main head single"/>
    <w:basedOn w:val="Normal"/>
    <w:next w:val="Normal"/>
    <w:rsid w:val="00821EFA"/>
    <w:pPr>
      <w:pageBreakBefore/>
      <w:numPr>
        <w:numId w:val="12"/>
      </w:numPr>
      <w:spacing w:before="240" w:after="360" w:line="300" w:lineRule="atLeast"/>
      <w:jc w:val="center"/>
    </w:pPr>
    <w:rPr>
      <w:rFonts w:ascii="Times New Roman" w:eastAsia="Times New Roman" w:hAnsi="Times New Roman" w:cs="Times New Roman"/>
      <w:b/>
      <w:kern w:val="28"/>
      <w:szCs w:val="20"/>
    </w:rPr>
  </w:style>
  <w:style w:type="paragraph" w:customStyle="1" w:styleId="CoversheetTitle2">
    <w:name w:val="Coversheet Title2"/>
    <w:basedOn w:val="CoversheetTitle"/>
    <w:rsid w:val="00821EFA"/>
    <w:rPr>
      <w:sz w:val="28"/>
    </w:rPr>
  </w:style>
  <w:style w:type="paragraph" w:customStyle="1" w:styleId="Bullet">
    <w:name w:val="Bullet"/>
    <w:basedOn w:val="Normal"/>
    <w:rsid w:val="00821EFA"/>
    <w:pPr>
      <w:numPr>
        <w:numId w:val="11"/>
      </w:numPr>
      <w:spacing w:after="240" w:line="300" w:lineRule="atLeast"/>
      <w:jc w:val="both"/>
    </w:pPr>
    <w:rPr>
      <w:rFonts w:ascii="Times New Roman" w:eastAsia="Times New Roman" w:hAnsi="Times New Roman" w:cs="Times New Roman"/>
      <w:szCs w:val="20"/>
    </w:rPr>
  </w:style>
  <w:style w:type="paragraph" w:customStyle="1" w:styleId="XExecution">
    <w:name w:val="X Execution"/>
    <w:basedOn w:val="Normal"/>
    <w:rsid w:val="00821EFA"/>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character" w:customStyle="1" w:styleId="Level1asHeadingtext">
    <w:name w:val="Level 1 as Heading (text)"/>
    <w:rsid w:val="00821EFA"/>
    <w:rPr>
      <w:rFonts w:ascii="Arial" w:hAnsi="Arial"/>
      <w:b/>
      <w:sz w:val="24"/>
    </w:rPr>
  </w:style>
  <w:style w:type="paragraph" w:customStyle="1" w:styleId="Level2">
    <w:name w:val="Level 2"/>
    <w:basedOn w:val="Normal"/>
    <w:rsid w:val="00821EFA"/>
    <w:pPr>
      <w:tabs>
        <w:tab w:val="num" w:pos="851"/>
      </w:tabs>
      <w:spacing w:after="0" w:line="240" w:lineRule="auto"/>
      <w:ind w:left="851" w:hanging="851"/>
      <w:outlineLvl w:val="1"/>
    </w:pPr>
    <w:rPr>
      <w:rFonts w:ascii="Arial" w:eastAsia="Times New Roman" w:hAnsi="Arial" w:cs="Times New Roman"/>
      <w:sz w:val="24"/>
      <w:szCs w:val="20"/>
      <w:lang w:eastAsia="en-GB"/>
    </w:rPr>
  </w:style>
  <w:style w:type="paragraph" w:customStyle="1" w:styleId="Level3">
    <w:name w:val="Level 3"/>
    <w:basedOn w:val="Normal"/>
    <w:rsid w:val="00821EFA"/>
    <w:pPr>
      <w:tabs>
        <w:tab w:val="num" w:pos="1843"/>
      </w:tabs>
      <w:spacing w:after="0" w:line="240" w:lineRule="auto"/>
      <w:ind w:left="1843" w:hanging="992"/>
      <w:outlineLvl w:val="2"/>
    </w:pPr>
    <w:rPr>
      <w:rFonts w:ascii="Arial" w:eastAsia="Times New Roman" w:hAnsi="Arial" w:cs="Times New Roman"/>
      <w:sz w:val="24"/>
      <w:szCs w:val="20"/>
      <w:lang w:eastAsia="en-GB"/>
    </w:rPr>
  </w:style>
  <w:style w:type="paragraph" w:customStyle="1" w:styleId="Level4">
    <w:name w:val="Level 4"/>
    <w:basedOn w:val="Normal"/>
    <w:rsid w:val="00821EFA"/>
    <w:pPr>
      <w:tabs>
        <w:tab w:val="num" w:pos="3119"/>
      </w:tabs>
      <w:spacing w:after="0" w:line="240" w:lineRule="auto"/>
      <w:ind w:left="3119" w:hanging="1276"/>
      <w:outlineLvl w:val="3"/>
    </w:pPr>
    <w:rPr>
      <w:rFonts w:ascii="Arial" w:eastAsia="Times New Roman" w:hAnsi="Arial" w:cs="Times New Roman"/>
      <w:sz w:val="24"/>
      <w:szCs w:val="20"/>
      <w:lang w:eastAsia="en-GB"/>
    </w:rPr>
  </w:style>
  <w:style w:type="paragraph" w:customStyle="1" w:styleId="Level5">
    <w:name w:val="Level 5"/>
    <w:basedOn w:val="Normal"/>
    <w:rsid w:val="00821EFA"/>
    <w:pPr>
      <w:tabs>
        <w:tab w:val="num" w:pos="3119"/>
      </w:tabs>
      <w:spacing w:after="0" w:line="240" w:lineRule="auto"/>
      <w:ind w:left="3119" w:hanging="1276"/>
      <w:outlineLvl w:val="4"/>
    </w:pPr>
    <w:rPr>
      <w:rFonts w:ascii="Arial" w:eastAsia="Times New Roman" w:hAnsi="Arial" w:cs="Times New Roman"/>
      <w:sz w:val="24"/>
      <w:szCs w:val="20"/>
      <w:lang w:eastAsia="en-GB"/>
    </w:rPr>
  </w:style>
  <w:style w:type="paragraph" w:customStyle="1" w:styleId="Body2">
    <w:name w:val="Body 2"/>
    <w:basedOn w:val="Normal"/>
    <w:rsid w:val="00821EFA"/>
    <w:pPr>
      <w:spacing w:after="0" w:line="240" w:lineRule="auto"/>
      <w:ind w:left="851"/>
    </w:pPr>
    <w:rPr>
      <w:rFonts w:ascii="Arial" w:eastAsia="Times New Roman" w:hAnsi="Arial" w:cs="Times New Roman"/>
      <w:sz w:val="24"/>
      <w:szCs w:val="20"/>
      <w:lang w:eastAsia="en-GB"/>
    </w:rPr>
  </w:style>
  <w:style w:type="character" w:styleId="Strong">
    <w:name w:val="Strong"/>
    <w:qFormat/>
    <w:rsid w:val="00821EFA"/>
    <w:rPr>
      <w:b/>
      <w:bCs/>
    </w:rPr>
  </w:style>
  <w:style w:type="paragraph" w:styleId="FootnoteText">
    <w:name w:val="footnote text"/>
    <w:basedOn w:val="Normal"/>
    <w:link w:val="FootnoteTextChar"/>
    <w:semiHidden/>
    <w:rsid w:val="00821EFA"/>
    <w:pPr>
      <w:spacing w:after="0" w:line="240" w:lineRule="auto"/>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821EFA"/>
    <w:rPr>
      <w:rFonts w:ascii="Times New Roman" w:eastAsia="Times New Roman" w:hAnsi="Times New Roman" w:cs="Times New Roman"/>
      <w:sz w:val="20"/>
      <w:szCs w:val="20"/>
      <w:lang w:val="en-US" w:eastAsia="en-GB"/>
    </w:rPr>
  </w:style>
  <w:style w:type="paragraph" w:customStyle="1" w:styleId="Nor">
    <w:name w:val="Nor"/>
    <w:basedOn w:val="Normal"/>
    <w:rsid w:val="00821EFA"/>
    <w:pPr>
      <w:spacing w:after="0" w:line="240" w:lineRule="auto"/>
      <w:ind w:left="360"/>
    </w:pPr>
    <w:rPr>
      <w:rFonts w:ascii="Arial" w:eastAsia="Times New Roman" w:hAnsi="Arial" w:cs="Arial"/>
      <w:b/>
      <w:sz w:val="24"/>
      <w:szCs w:val="24"/>
      <w:lang w:eastAsia="en-GB"/>
    </w:rPr>
  </w:style>
  <w:style w:type="paragraph" w:customStyle="1" w:styleId="Sectiontext">
    <w:name w:val="Section text"/>
    <w:basedOn w:val="Normal"/>
    <w:rsid w:val="00821EFA"/>
    <w:pPr>
      <w:numPr>
        <w:ilvl w:val="1"/>
        <w:numId w:val="7"/>
      </w:numPr>
      <w:tabs>
        <w:tab w:val="num" w:pos="567"/>
      </w:tabs>
      <w:spacing w:after="240" w:line="240" w:lineRule="auto"/>
    </w:pPr>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rsid w:val="00821EFA"/>
    <w:pPr>
      <w:spacing w:after="120" w:line="240" w:lineRule="auto"/>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821EFA"/>
    <w:rPr>
      <w:rFonts w:ascii="Arial" w:eastAsia="Times New Roman" w:hAnsi="Arial" w:cs="Times New Roman"/>
      <w:sz w:val="16"/>
      <w:szCs w:val="16"/>
      <w:lang w:eastAsia="en-GB"/>
    </w:rPr>
  </w:style>
  <w:style w:type="paragraph" w:customStyle="1" w:styleId="SectionHead">
    <w:name w:val="Section Head"/>
    <w:basedOn w:val="Normal"/>
    <w:uiPriority w:val="99"/>
    <w:rsid w:val="00821EFA"/>
    <w:pPr>
      <w:numPr>
        <w:numId w:val="13"/>
      </w:numPr>
      <w:spacing w:after="0" w:line="240" w:lineRule="auto"/>
    </w:pPr>
    <w:rPr>
      <w:rFonts w:ascii="Times New Roman" w:eastAsia="Times New Roman" w:hAnsi="Times New Roman" w:cs="Times New Roman"/>
      <w:b/>
      <w:sz w:val="24"/>
      <w:szCs w:val="20"/>
      <w:lang w:eastAsia="en-GB"/>
    </w:rPr>
  </w:style>
  <w:style w:type="paragraph" w:styleId="PlainText">
    <w:name w:val="Plain Text"/>
    <w:basedOn w:val="Normal"/>
    <w:link w:val="PlainTextChar"/>
    <w:rsid w:val="00821EFA"/>
    <w:pPr>
      <w:spacing w:after="0" w:line="240" w:lineRule="auto"/>
    </w:pPr>
    <w:rPr>
      <w:rFonts w:ascii="Times New Roman" w:eastAsia="Times New Roman" w:hAnsi="Times New Roman" w:cs="Times New Roman"/>
      <w:sz w:val="24"/>
      <w:szCs w:val="20"/>
    </w:rPr>
  </w:style>
  <w:style w:type="character" w:customStyle="1" w:styleId="PlainTextChar">
    <w:name w:val="Plain Text Char"/>
    <w:basedOn w:val="DefaultParagraphFont"/>
    <w:link w:val="PlainText"/>
    <w:rsid w:val="00821EFA"/>
    <w:rPr>
      <w:rFonts w:ascii="Times New Roman" w:eastAsia="Times New Roman" w:hAnsi="Times New Roman" w:cs="Times New Roman"/>
      <w:sz w:val="24"/>
      <w:szCs w:val="20"/>
    </w:rPr>
  </w:style>
  <w:style w:type="paragraph" w:customStyle="1" w:styleId="Body">
    <w:name w:val="Body"/>
    <w:basedOn w:val="Normal"/>
    <w:qFormat/>
    <w:rsid w:val="00821EFA"/>
    <w:pPr>
      <w:spacing w:after="0" w:line="240" w:lineRule="auto"/>
      <w:ind w:left="737" w:hanging="737"/>
    </w:pPr>
    <w:rPr>
      <w:rFonts w:ascii="Arial" w:eastAsia="Times New Roman" w:hAnsi="Arial" w:cs="Times New Roman"/>
      <w:lang w:eastAsia="en-GB"/>
    </w:rPr>
  </w:style>
  <w:style w:type="paragraph" w:styleId="Quote">
    <w:name w:val="Quote"/>
    <w:basedOn w:val="Normal"/>
    <w:next w:val="Normal"/>
    <w:link w:val="QuoteChar"/>
    <w:uiPriority w:val="29"/>
    <w:qFormat/>
    <w:rsid w:val="00821EFA"/>
    <w:pPr>
      <w:spacing w:after="0" w:line="240" w:lineRule="auto"/>
    </w:pPr>
    <w:rPr>
      <w:rFonts w:ascii="Arial" w:eastAsia="Times New Roman" w:hAnsi="Arial" w:cs="Times New Roman"/>
      <w:i/>
      <w:iCs/>
      <w:color w:val="000000"/>
      <w:sz w:val="24"/>
      <w:szCs w:val="24"/>
    </w:rPr>
  </w:style>
  <w:style w:type="character" w:customStyle="1" w:styleId="QuoteChar">
    <w:name w:val="Quote Char"/>
    <w:basedOn w:val="DefaultParagraphFont"/>
    <w:link w:val="Quote"/>
    <w:uiPriority w:val="29"/>
    <w:rsid w:val="00821EFA"/>
    <w:rPr>
      <w:rFonts w:ascii="Arial" w:eastAsia="Times New Roman" w:hAnsi="Arial" w:cs="Times New Roman"/>
      <w:i/>
      <w:iCs/>
      <w:color w:val="000000"/>
      <w:sz w:val="24"/>
      <w:szCs w:val="24"/>
    </w:rPr>
  </w:style>
  <w:style w:type="paragraph" w:customStyle="1" w:styleId="TableContents">
    <w:name w:val="Table Contents"/>
    <w:basedOn w:val="Normal"/>
    <w:rsid w:val="00821EFA"/>
    <w:pPr>
      <w:widowControl w:val="0"/>
      <w:suppressLineNumbers/>
      <w:suppressAutoHyphens/>
      <w:spacing w:after="0" w:line="240" w:lineRule="auto"/>
    </w:pPr>
    <w:rPr>
      <w:rFonts w:ascii="Arial" w:eastAsia="Andale Sans UI" w:hAnsi="Arial" w:cs="Times New Roman"/>
      <w:sz w:val="24"/>
      <w:szCs w:val="24"/>
      <w:lang w:eastAsia="en-GB"/>
    </w:rPr>
  </w:style>
  <w:style w:type="character" w:customStyle="1" w:styleId="UnresolvedMention1">
    <w:name w:val="Unresolved Mention1"/>
    <w:basedOn w:val="DefaultParagraphFont"/>
    <w:uiPriority w:val="99"/>
    <w:semiHidden/>
    <w:unhideWhenUsed/>
    <w:rsid w:val="00821EFA"/>
    <w:rPr>
      <w:color w:val="808080"/>
      <w:shd w:val="clear" w:color="auto" w:fill="E6E6E6"/>
    </w:rPr>
  </w:style>
  <w:style w:type="table" w:customStyle="1" w:styleId="TableGrid1">
    <w:name w:val="Table Grid1"/>
    <w:basedOn w:val="TableNormal"/>
    <w:next w:val="TableGrid"/>
    <w:uiPriority w:val="59"/>
    <w:rsid w:val="00821EF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21EF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1EFA"/>
    <w:rPr>
      <w:color w:val="954F72" w:themeColor="followedHyperlink"/>
      <w:u w:val="single"/>
    </w:rPr>
  </w:style>
  <w:style w:type="character" w:customStyle="1" w:styleId="scxw7281771">
    <w:name w:val="scxw7281771"/>
    <w:basedOn w:val="DefaultParagraphFont"/>
    <w:rsid w:val="00821EFA"/>
  </w:style>
  <w:style w:type="paragraph" w:customStyle="1" w:styleId="paragraph">
    <w:name w:val="paragraph"/>
    <w:basedOn w:val="Normal"/>
    <w:rsid w:val="00821E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21EFA"/>
  </w:style>
  <w:style w:type="paragraph" w:styleId="Revision">
    <w:name w:val="Revision"/>
    <w:hidden/>
    <w:uiPriority w:val="99"/>
    <w:semiHidden/>
    <w:rsid w:val="00821EFA"/>
    <w:pPr>
      <w:spacing w:after="0" w:line="240" w:lineRule="auto"/>
    </w:pPr>
    <w:rPr>
      <w:rFonts w:eastAsiaTheme="minorEastAsia"/>
      <w:sz w:val="24"/>
      <w:szCs w:val="24"/>
    </w:rPr>
  </w:style>
  <w:style w:type="character" w:customStyle="1" w:styleId="UnresolvedMention2">
    <w:name w:val="Unresolved Mention2"/>
    <w:basedOn w:val="DefaultParagraphFont"/>
    <w:uiPriority w:val="99"/>
    <w:rsid w:val="00821EFA"/>
    <w:rPr>
      <w:color w:val="605E5C"/>
      <w:shd w:val="clear" w:color="auto" w:fill="E1DFDD"/>
    </w:rPr>
  </w:style>
  <w:style w:type="table" w:styleId="GridTable1Light-Accent1">
    <w:name w:val="Grid Table 1 Light Accent 1"/>
    <w:basedOn w:val="TableNormal"/>
    <w:uiPriority w:val="46"/>
    <w:rsid w:val="00821EF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821E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4C6327"/>
    <w:pPr>
      <w:spacing w:after="200" w:line="240" w:lineRule="auto"/>
    </w:pPr>
    <w:rPr>
      <w:i/>
      <w:iCs/>
      <w:color w:val="44546A" w:themeColor="text2"/>
      <w:sz w:val="18"/>
      <w:szCs w:val="18"/>
    </w:rPr>
  </w:style>
  <w:style w:type="character" w:styleId="FootnoteReference">
    <w:name w:val="footnote reference"/>
    <w:basedOn w:val="DefaultParagraphFont"/>
    <w:uiPriority w:val="99"/>
    <w:semiHidden/>
    <w:unhideWhenUsed/>
    <w:rsid w:val="00576B23"/>
    <w:rPr>
      <w:vertAlign w:val="superscript"/>
    </w:rPr>
  </w:style>
  <w:style w:type="paragraph" w:customStyle="1" w:styleId="HS2ReportLevel1">
    <w:name w:val="HS2 Report Level 1"/>
    <w:basedOn w:val="Heading1"/>
    <w:next w:val="HS2ReportLevel2"/>
    <w:uiPriority w:val="1"/>
    <w:qFormat/>
    <w:rsid w:val="00487CC1"/>
    <w:pPr>
      <w:pageBreakBefore/>
      <w:widowControl w:val="0"/>
      <w:numPr>
        <w:numId w:val="22"/>
      </w:numPr>
      <w:autoSpaceDE w:val="0"/>
      <w:autoSpaceDN w:val="0"/>
      <w:adjustRightInd w:val="0"/>
      <w:spacing w:before="170" w:after="170" w:line="520" w:lineRule="exact"/>
    </w:pPr>
    <w:rPr>
      <w:rFonts w:ascii="Open Sans" w:hAnsi="Open Sans"/>
      <w:b/>
      <w:color w:val="4472C4" w:themeColor="accent1"/>
      <w:sz w:val="48"/>
      <w:szCs w:val="48"/>
    </w:rPr>
  </w:style>
  <w:style w:type="paragraph" w:customStyle="1" w:styleId="HS2ReportLevel2">
    <w:name w:val="HS2 Report Level 2"/>
    <w:basedOn w:val="Heading2"/>
    <w:next w:val="HS2BodyText"/>
    <w:uiPriority w:val="1"/>
    <w:qFormat/>
    <w:rsid w:val="00487CC1"/>
    <w:pPr>
      <w:widowControl w:val="0"/>
      <w:numPr>
        <w:ilvl w:val="1"/>
        <w:numId w:val="22"/>
      </w:numPr>
      <w:autoSpaceDE w:val="0"/>
      <w:autoSpaceDN w:val="0"/>
      <w:adjustRightInd w:val="0"/>
      <w:spacing w:before="170" w:after="170" w:line="360" w:lineRule="exact"/>
    </w:pPr>
    <w:rPr>
      <w:rFonts w:ascii="Open Sans" w:hAnsi="Open Sans"/>
      <w:b/>
      <w:color w:val="4472C4" w:themeColor="accent1"/>
      <w:sz w:val="32"/>
      <w:szCs w:val="32"/>
    </w:rPr>
  </w:style>
  <w:style w:type="paragraph" w:customStyle="1" w:styleId="HS2BodyText">
    <w:name w:val="HS2 Body Text"/>
    <w:basedOn w:val="Heading3"/>
    <w:uiPriority w:val="2"/>
    <w:qFormat/>
    <w:rsid w:val="00487CC1"/>
    <w:pPr>
      <w:keepNext w:val="0"/>
      <w:keepLines w:val="0"/>
      <w:numPr>
        <w:ilvl w:val="2"/>
        <w:numId w:val="22"/>
      </w:numPr>
      <w:autoSpaceDE w:val="0"/>
      <w:autoSpaceDN w:val="0"/>
      <w:adjustRightInd w:val="0"/>
      <w:spacing w:before="0" w:after="170" w:line="300" w:lineRule="atLeast"/>
      <w:outlineLvl w:val="9"/>
    </w:pPr>
    <w:rPr>
      <w:rFonts w:ascii="Open Sans" w:hAnsi="Open Sans"/>
      <w:bCs/>
      <w:color w:val="000000"/>
      <w:sz w:val="22"/>
      <w:szCs w:val="22"/>
    </w:rPr>
  </w:style>
  <w:style w:type="paragraph" w:customStyle="1" w:styleId="HS2AlphabetList">
    <w:name w:val="HS2 Alphabet List"/>
    <w:basedOn w:val="Normal"/>
    <w:uiPriority w:val="4"/>
    <w:qFormat/>
    <w:rsid w:val="00487CC1"/>
    <w:pPr>
      <w:numPr>
        <w:ilvl w:val="3"/>
        <w:numId w:val="22"/>
      </w:numPr>
      <w:autoSpaceDE w:val="0"/>
      <w:autoSpaceDN w:val="0"/>
      <w:adjustRightInd w:val="0"/>
      <w:spacing w:after="130" w:line="300" w:lineRule="atLeast"/>
      <w:ind w:right="442"/>
    </w:pPr>
    <w:rPr>
      <w:rFonts w:ascii="Open Sans" w:eastAsia="Times New Roman" w:hAnsi="Open Sans" w:cs="Times New Roman"/>
      <w:bCs/>
      <w:color w:val="000000"/>
    </w:rPr>
  </w:style>
  <w:style w:type="character" w:styleId="Mention">
    <w:name w:val="Mention"/>
    <w:basedOn w:val="DefaultParagraphFont"/>
    <w:uiPriority w:val="99"/>
    <w:unhideWhenUsed/>
    <w:rsid w:val="007C3AC6"/>
    <w:rPr>
      <w:color w:val="2B579A"/>
      <w:shd w:val="clear" w:color="auto" w:fill="E1DFDD"/>
    </w:rPr>
  </w:style>
  <w:style w:type="paragraph" w:styleId="NormalWeb">
    <w:name w:val="Normal (Web)"/>
    <w:basedOn w:val="Normal"/>
    <w:uiPriority w:val="99"/>
    <w:semiHidden/>
    <w:unhideWhenUsed/>
    <w:rsid w:val="003740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ppendix">
    <w:name w:val="Appendix"/>
    <w:basedOn w:val="Normal"/>
    <w:next w:val="BodyText"/>
    <w:rsid w:val="00B36316"/>
    <w:pPr>
      <w:numPr>
        <w:numId w:val="38"/>
      </w:numPr>
      <w:spacing w:after="240" w:line="240" w:lineRule="auto"/>
    </w:pPr>
    <w:rPr>
      <w:rFonts w:ascii="Times New Roman" w:eastAsiaTheme="minorEastAsia" w:hAnsi="Times New Roman" w:cs="Times New Roman"/>
      <w:b/>
      <w:sz w:val="28"/>
      <w:szCs w:val="24"/>
      <w:lang w:eastAsia="en-GB"/>
    </w:rPr>
  </w:style>
  <w:style w:type="paragraph" w:styleId="NoSpacing">
    <w:name w:val="No Spacing"/>
    <w:uiPriority w:val="1"/>
    <w:qFormat/>
    <w:rsid w:val="00A05465"/>
    <w:pPr>
      <w:spacing w:after="0" w:line="240" w:lineRule="auto"/>
    </w:pPr>
  </w:style>
  <w:style w:type="character" w:customStyle="1" w:styleId="findhit">
    <w:name w:val="findhit"/>
    <w:basedOn w:val="DefaultParagraphFont"/>
    <w:rsid w:val="004C2556"/>
  </w:style>
  <w:style w:type="table" w:styleId="GridTable1Light-Accent5">
    <w:name w:val="Grid Table 1 Light Accent 5"/>
    <w:basedOn w:val="TableNormal"/>
    <w:uiPriority w:val="46"/>
    <w:rsid w:val="003F3D4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123">
      <w:bodyDiv w:val="1"/>
      <w:marLeft w:val="0"/>
      <w:marRight w:val="0"/>
      <w:marTop w:val="0"/>
      <w:marBottom w:val="0"/>
      <w:divBdr>
        <w:top w:val="none" w:sz="0" w:space="0" w:color="auto"/>
        <w:left w:val="none" w:sz="0" w:space="0" w:color="auto"/>
        <w:bottom w:val="none" w:sz="0" w:space="0" w:color="auto"/>
        <w:right w:val="none" w:sz="0" w:space="0" w:color="auto"/>
      </w:divBdr>
    </w:div>
    <w:div w:id="94911783">
      <w:bodyDiv w:val="1"/>
      <w:marLeft w:val="0"/>
      <w:marRight w:val="0"/>
      <w:marTop w:val="0"/>
      <w:marBottom w:val="0"/>
      <w:divBdr>
        <w:top w:val="none" w:sz="0" w:space="0" w:color="auto"/>
        <w:left w:val="none" w:sz="0" w:space="0" w:color="auto"/>
        <w:bottom w:val="none" w:sz="0" w:space="0" w:color="auto"/>
        <w:right w:val="none" w:sz="0" w:space="0" w:color="auto"/>
      </w:divBdr>
    </w:div>
    <w:div w:id="29348805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603348427">
      <w:bodyDiv w:val="1"/>
      <w:marLeft w:val="0"/>
      <w:marRight w:val="0"/>
      <w:marTop w:val="0"/>
      <w:marBottom w:val="0"/>
      <w:divBdr>
        <w:top w:val="none" w:sz="0" w:space="0" w:color="auto"/>
        <w:left w:val="none" w:sz="0" w:space="0" w:color="auto"/>
        <w:bottom w:val="none" w:sz="0" w:space="0" w:color="auto"/>
        <w:right w:val="none" w:sz="0" w:space="0" w:color="auto"/>
      </w:divBdr>
      <w:divsChild>
        <w:div w:id="103379278">
          <w:marLeft w:val="0"/>
          <w:marRight w:val="0"/>
          <w:marTop w:val="0"/>
          <w:marBottom w:val="0"/>
          <w:divBdr>
            <w:top w:val="none" w:sz="0" w:space="0" w:color="auto"/>
            <w:left w:val="none" w:sz="0" w:space="0" w:color="auto"/>
            <w:bottom w:val="none" w:sz="0" w:space="0" w:color="auto"/>
            <w:right w:val="none" w:sz="0" w:space="0" w:color="auto"/>
          </w:divBdr>
          <w:divsChild>
            <w:div w:id="2044549503">
              <w:marLeft w:val="0"/>
              <w:marRight w:val="0"/>
              <w:marTop w:val="0"/>
              <w:marBottom w:val="0"/>
              <w:divBdr>
                <w:top w:val="none" w:sz="0" w:space="0" w:color="auto"/>
                <w:left w:val="none" w:sz="0" w:space="0" w:color="auto"/>
                <w:bottom w:val="none" w:sz="0" w:space="0" w:color="auto"/>
                <w:right w:val="none" w:sz="0" w:space="0" w:color="auto"/>
              </w:divBdr>
            </w:div>
          </w:divsChild>
        </w:div>
        <w:div w:id="183053727">
          <w:marLeft w:val="0"/>
          <w:marRight w:val="0"/>
          <w:marTop w:val="0"/>
          <w:marBottom w:val="0"/>
          <w:divBdr>
            <w:top w:val="none" w:sz="0" w:space="0" w:color="auto"/>
            <w:left w:val="none" w:sz="0" w:space="0" w:color="auto"/>
            <w:bottom w:val="none" w:sz="0" w:space="0" w:color="auto"/>
            <w:right w:val="none" w:sz="0" w:space="0" w:color="auto"/>
          </w:divBdr>
          <w:divsChild>
            <w:div w:id="214776319">
              <w:marLeft w:val="0"/>
              <w:marRight w:val="0"/>
              <w:marTop w:val="0"/>
              <w:marBottom w:val="0"/>
              <w:divBdr>
                <w:top w:val="none" w:sz="0" w:space="0" w:color="auto"/>
                <w:left w:val="none" w:sz="0" w:space="0" w:color="auto"/>
                <w:bottom w:val="none" w:sz="0" w:space="0" w:color="auto"/>
                <w:right w:val="none" w:sz="0" w:space="0" w:color="auto"/>
              </w:divBdr>
            </w:div>
          </w:divsChild>
        </w:div>
        <w:div w:id="229311727">
          <w:marLeft w:val="0"/>
          <w:marRight w:val="0"/>
          <w:marTop w:val="0"/>
          <w:marBottom w:val="0"/>
          <w:divBdr>
            <w:top w:val="none" w:sz="0" w:space="0" w:color="auto"/>
            <w:left w:val="none" w:sz="0" w:space="0" w:color="auto"/>
            <w:bottom w:val="none" w:sz="0" w:space="0" w:color="auto"/>
            <w:right w:val="none" w:sz="0" w:space="0" w:color="auto"/>
          </w:divBdr>
          <w:divsChild>
            <w:div w:id="1874150458">
              <w:marLeft w:val="0"/>
              <w:marRight w:val="0"/>
              <w:marTop w:val="0"/>
              <w:marBottom w:val="0"/>
              <w:divBdr>
                <w:top w:val="none" w:sz="0" w:space="0" w:color="auto"/>
                <w:left w:val="none" w:sz="0" w:space="0" w:color="auto"/>
                <w:bottom w:val="none" w:sz="0" w:space="0" w:color="auto"/>
                <w:right w:val="none" w:sz="0" w:space="0" w:color="auto"/>
              </w:divBdr>
            </w:div>
          </w:divsChild>
        </w:div>
        <w:div w:id="241374476">
          <w:marLeft w:val="0"/>
          <w:marRight w:val="0"/>
          <w:marTop w:val="0"/>
          <w:marBottom w:val="0"/>
          <w:divBdr>
            <w:top w:val="none" w:sz="0" w:space="0" w:color="auto"/>
            <w:left w:val="none" w:sz="0" w:space="0" w:color="auto"/>
            <w:bottom w:val="none" w:sz="0" w:space="0" w:color="auto"/>
            <w:right w:val="none" w:sz="0" w:space="0" w:color="auto"/>
          </w:divBdr>
          <w:divsChild>
            <w:div w:id="577204539">
              <w:marLeft w:val="0"/>
              <w:marRight w:val="0"/>
              <w:marTop w:val="0"/>
              <w:marBottom w:val="0"/>
              <w:divBdr>
                <w:top w:val="none" w:sz="0" w:space="0" w:color="auto"/>
                <w:left w:val="none" w:sz="0" w:space="0" w:color="auto"/>
                <w:bottom w:val="none" w:sz="0" w:space="0" w:color="auto"/>
                <w:right w:val="none" w:sz="0" w:space="0" w:color="auto"/>
              </w:divBdr>
            </w:div>
            <w:div w:id="1073114838">
              <w:marLeft w:val="0"/>
              <w:marRight w:val="0"/>
              <w:marTop w:val="0"/>
              <w:marBottom w:val="0"/>
              <w:divBdr>
                <w:top w:val="none" w:sz="0" w:space="0" w:color="auto"/>
                <w:left w:val="none" w:sz="0" w:space="0" w:color="auto"/>
                <w:bottom w:val="none" w:sz="0" w:space="0" w:color="auto"/>
                <w:right w:val="none" w:sz="0" w:space="0" w:color="auto"/>
              </w:divBdr>
            </w:div>
          </w:divsChild>
        </w:div>
        <w:div w:id="367802362">
          <w:marLeft w:val="0"/>
          <w:marRight w:val="0"/>
          <w:marTop w:val="0"/>
          <w:marBottom w:val="0"/>
          <w:divBdr>
            <w:top w:val="none" w:sz="0" w:space="0" w:color="auto"/>
            <w:left w:val="none" w:sz="0" w:space="0" w:color="auto"/>
            <w:bottom w:val="none" w:sz="0" w:space="0" w:color="auto"/>
            <w:right w:val="none" w:sz="0" w:space="0" w:color="auto"/>
          </w:divBdr>
          <w:divsChild>
            <w:div w:id="1071585899">
              <w:marLeft w:val="0"/>
              <w:marRight w:val="0"/>
              <w:marTop w:val="0"/>
              <w:marBottom w:val="0"/>
              <w:divBdr>
                <w:top w:val="none" w:sz="0" w:space="0" w:color="auto"/>
                <w:left w:val="none" w:sz="0" w:space="0" w:color="auto"/>
                <w:bottom w:val="none" w:sz="0" w:space="0" w:color="auto"/>
                <w:right w:val="none" w:sz="0" w:space="0" w:color="auto"/>
              </w:divBdr>
            </w:div>
          </w:divsChild>
        </w:div>
        <w:div w:id="383724438">
          <w:marLeft w:val="0"/>
          <w:marRight w:val="0"/>
          <w:marTop w:val="0"/>
          <w:marBottom w:val="0"/>
          <w:divBdr>
            <w:top w:val="none" w:sz="0" w:space="0" w:color="auto"/>
            <w:left w:val="none" w:sz="0" w:space="0" w:color="auto"/>
            <w:bottom w:val="none" w:sz="0" w:space="0" w:color="auto"/>
            <w:right w:val="none" w:sz="0" w:space="0" w:color="auto"/>
          </w:divBdr>
          <w:divsChild>
            <w:div w:id="1355573773">
              <w:marLeft w:val="0"/>
              <w:marRight w:val="0"/>
              <w:marTop w:val="0"/>
              <w:marBottom w:val="0"/>
              <w:divBdr>
                <w:top w:val="none" w:sz="0" w:space="0" w:color="auto"/>
                <w:left w:val="none" w:sz="0" w:space="0" w:color="auto"/>
                <w:bottom w:val="none" w:sz="0" w:space="0" w:color="auto"/>
                <w:right w:val="none" w:sz="0" w:space="0" w:color="auto"/>
              </w:divBdr>
            </w:div>
          </w:divsChild>
        </w:div>
        <w:div w:id="577062631">
          <w:marLeft w:val="0"/>
          <w:marRight w:val="0"/>
          <w:marTop w:val="0"/>
          <w:marBottom w:val="0"/>
          <w:divBdr>
            <w:top w:val="none" w:sz="0" w:space="0" w:color="auto"/>
            <w:left w:val="none" w:sz="0" w:space="0" w:color="auto"/>
            <w:bottom w:val="none" w:sz="0" w:space="0" w:color="auto"/>
            <w:right w:val="none" w:sz="0" w:space="0" w:color="auto"/>
          </w:divBdr>
          <w:divsChild>
            <w:div w:id="923955963">
              <w:marLeft w:val="0"/>
              <w:marRight w:val="0"/>
              <w:marTop w:val="0"/>
              <w:marBottom w:val="0"/>
              <w:divBdr>
                <w:top w:val="none" w:sz="0" w:space="0" w:color="auto"/>
                <w:left w:val="none" w:sz="0" w:space="0" w:color="auto"/>
                <w:bottom w:val="none" w:sz="0" w:space="0" w:color="auto"/>
                <w:right w:val="none" w:sz="0" w:space="0" w:color="auto"/>
              </w:divBdr>
            </w:div>
          </w:divsChild>
        </w:div>
        <w:div w:id="612250173">
          <w:marLeft w:val="0"/>
          <w:marRight w:val="0"/>
          <w:marTop w:val="0"/>
          <w:marBottom w:val="0"/>
          <w:divBdr>
            <w:top w:val="none" w:sz="0" w:space="0" w:color="auto"/>
            <w:left w:val="none" w:sz="0" w:space="0" w:color="auto"/>
            <w:bottom w:val="none" w:sz="0" w:space="0" w:color="auto"/>
            <w:right w:val="none" w:sz="0" w:space="0" w:color="auto"/>
          </w:divBdr>
          <w:divsChild>
            <w:div w:id="613100915">
              <w:marLeft w:val="0"/>
              <w:marRight w:val="0"/>
              <w:marTop w:val="0"/>
              <w:marBottom w:val="0"/>
              <w:divBdr>
                <w:top w:val="none" w:sz="0" w:space="0" w:color="auto"/>
                <w:left w:val="none" w:sz="0" w:space="0" w:color="auto"/>
                <w:bottom w:val="none" w:sz="0" w:space="0" w:color="auto"/>
                <w:right w:val="none" w:sz="0" w:space="0" w:color="auto"/>
              </w:divBdr>
            </w:div>
          </w:divsChild>
        </w:div>
        <w:div w:id="674965658">
          <w:marLeft w:val="0"/>
          <w:marRight w:val="0"/>
          <w:marTop w:val="0"/>
          <w:marBottom w:val="0"/>
          <w:divBdr>
            <w:top w:val="none" w:sz="0" w:space="0" w:color="auto"/>
            <w:left w:val="none" w:sz="0" w:space="0" w:color="auto"/>
            <w:bottom w:val="none" w:sz="0" w:space="0" w:color="auto"/>
            <w:right w:val="none" w:sz="0" w:space="0" w:color="auto"/>
          </w:divBdr>
          <w:divsChild>
            <w:div w:id="1084759303">
              <w:marLeft w:val="0"/>
              <w:marRight w:val="0"/>
              <w:marTop w:val="0"/>
              <w:marBottom w:val="0"/>
              <w:divBdr>
                <w:top w:val="none" w:sz="0" w:space="0" w:color="auto"/>
                <w:left w:val="none" w:sz="0" w:space="0" w:color="auto"/>
                <w:bottom w:val="none" w:sz="0" w:space="0" w:color="auto"/>
                <w:right w:val="none" w:sz="0" w:space="0" w:color="auto"/>
              </w:divBdr>
            </w:div>
          </w:divsChild>
        </w:div>
        <w:div w:id="869563602">
          <w:marLeft w:val="0"/>
          <w:marRight w:val="0"/>
          <w:marTop w:val="0"/>
          <w:marBottom w:val="0"/>
          <w:divBdr>
            <w:top w:val="none" w:sz="0" w:space="0" w:color="auto"/>
            <w:left w:val="none" w:sz="0" w:space="0" w:color="auto"/>
            <w:bottom w:val="none" w:sz="0" w:space="0" w:color="auto"/>
            <w:right w:val="none" w:sz="0" w:space="0" w:color="auto"/>
          </w:divBdr>
          <w:divsChild>
            <w:div w:id="1005478073">
              <w:marLeft w:val="0"/>
              <w:marRight w:val="0"/>
              <w:marTop w:val="0"/>
              <w:marBottom w:val="0"/>
              <w:divBdr>
                <w:top w:val="none" w:sz="0" w:space="0" w:color="auto"/>
                <w:left w:val="none" w:sz="0" w:space="0" w:color="auto"/>
                <w:bottom w:val="none" w:sz="0" w:space="0" w:color="auto"/>
                <w:right w:val="none" w:sz="0" w:space="0" w:color="auto"/>
              </w:divBdr>
            </w:div>
          </w:divsChild>
        </w:div>
        <w:div w:id="925385495">
          <w:marLeft w:val="0"/>
          <w:marRight w:val="0"/>
          <w:marTop w:val="0"/>
          <w:marBottom w:val="0"/>
          <w:divBdr>
            <w:top w:val="none" w:sz="0" w:space="0" w:color="auto"/>
            <w:left w:val="none" w:sz="0" w:space="0" w:color="auto"/>
            <w:bottom w:val="none" w:sz="0" w:space="0" w:color="auto"/>
            <w:right w:val="none" w:sz="0" w:space="0" w:color="auto"/>
          </w:divBdr>
          <w:divsChild>
            <w:div w:id="689187527">
              <w:marLeft w:val="0"/>
              <w:marRight w:val="0"/>
              <w:marTop w:val="0"/>
              <w:marBottom w:val="0"/>
              <w:divBdr>
                <w:top w:val="none" w:sz="0" w:space="0" w:color="auto"/>
                <w:left w:val="none" w:sz="0" w:space="0" w:color="auto"/>
                <w:bottom w:val="none" w:sz="0" w:space="0" w:color="auto"/>
                <w:right w:val="none" w:sz="0" w:space="0" w:color="auto"/>
              </w:divBdr>
            </w:div>
          </w:divsChild>
        </w:div>
        <w:div w:id="983700728">
          <w:marLeft w:val="0"/>
          <w:marRight w:val="0"/>
          <w:marTop w:val="0"/>
          <w:marBottom w:val="0"/>
          <w:divBdr>
            <w:top w:val="none" w:sz="0" w:space="0" w:color="auto"/>
            <w:left w:val="none" w:sz="0" w:space="0" w:color="auto"/>
            <w:bottom w:val="none" w:sz="0" w:space="0" w:color="auto"/>
            <w:right w:val="none" w:sz="0" w:space="0" w:color="auto"/>
          </w:divBdr>
          <w:divsChild>
            <w:div w:id="1752777120">
              <w:marLeft w:val="0"/>
              <w:marRight w:val="0"/>
              <w:marTop w:val="0"/>
              <w:marBottom w:val="0"/>
              <w:divBdr>
                <w:top w:val="none" w:sz="0" w:space="0" w:color="auto"/>
                <w:left w:val="none" w:sz="0" w:space="0" w:color="auto"/>
                <w:bottom w:val="none" w:sz="0" w:space="0" w:color="auto"/>
                <w:right w:val="none" w:sz="0" w:space="0" w:color="auto"/>
              </w:divBdr>
            </w:div>
          </w:divsChild>
        </w:div>
        <w:div w:id="1109543221">
          <w:marLeft w:val="0"/>
          <w:marRight w:val="0"/>
          <w:marTop w:val="0"/>
          <w:marBottom w:val="0"/>
          <w:divBdr>
            <w:top w:val="none" w:sz="0" w:space="0" w:color="auto"/>
            <w:left w:val="none" w:sz="0" w:space="0" w:color="auto"/>
            <w:bottom w:val="none" w:sz="0" w:space="0" w:color="auto"/>
            <w:right w:val="none" w:sz="0" w:space="0" w:color="auto"/>
          </w:divBdr>
          <w:divsChild>
            <w:div w:id="344475471">
              <w:marLeft w:val="0"/>
              <w:marRight w:val="0"/>
              <w:marTop w:val="0"/>
              <w:marBottom w:val="0"/>
              <w:divBdr>
                <w:top w:val="none" w:sz="0" w:space="0" w:color="auto"/>
                <w:left w:val="none" w:sz="0" w:space="0" w:color="auto"/>
                <w:bottom w:val="none" w:sz="0" w:space="0" w:color="auto"/>
                <w:right w:val="none" w:sz="0" w:space="0" w:color="auto"/>
              </w:divBdr>
            </w:div>
          </w:divsChild>
        </w:div>
        <w:div w:id="1290477318">
          <w:marLeft w:val="0"/>
          <w:marRight w:val="0"/>
          <w:marTop w:val="0"/>
          <w:marBottom w:val="0"/>
          <w:divBdr>
            <w:top w:val="none" w:sz="0" w:space="0" w:color="auto"/>
            <w:left w:val="none" w:sz="0" w:space="0" w:color="auto"/>
            <w:bottom w:val="none" w:sz="0" w:space="0" w:color="auto"/>
            <w:right w:val="none" w:sz="0" w:space="0" w:color="auto"/>
          </w:divBdr>
          <w:divsChild>
            <w:div w:id="493228272">
              <w:marLeft w:val="0"/>
              <w:marRight w:val="0"/>
              <w:marTop w:val="0"/>
              <w:marBottom w:val="0"/>
              <w:divBdr>
                <w:top w:val="none" w:sz="0" w:space="0" w:color="auto"/>
                <w:left w:val="none" w:sz="0" w:space="0" w:color="auto"/>
                <w:bottom w:val="none" w:sz="0" w:space="0" w:color="auto"/>
                <w:right w:val="none" w:sz="0" w:space="0" w:color="auto"/>
              </w:divBdr>
            </w:div>
          </w:divsChild>
        </w:div>
        <w:div w:id="1390690460">
          <w:marLeft w:val="0"/>
          <w:marRight w:val="0"/>
          <w:marTop w:val="0"/>
          <w:marBottom w:val="0"/>
          <w:divBdr>
            <w:top w:val="none" w:sz="0" w:space="0" w:color="auto"/>
            <w:left w:val="none" w:sz="0" w:space="0" w:color="auto"/>
            <w:bottom w:val="none" w:sz="0" w:space="0" w:color="auto"/>
            <w:right w:val="none" w:sz="0" w:space="0" w:color="auto"/>
          </w:divBdr>
          <w:divsChild>
            <w:div w:id="1476528764">
              <w:marLeft w:val="0"/>
              <w:marRight w:val="0"/>
              <w:marTop w:val="0"/>
              <w:marBottom w:val="0"/>
              <w:divBdr>
                <w:top w:val="none" w:sz="0" w:space="0" w:color="auto"/>
                <w:left w:val="none" w:sz="0" w:space="0" w:color="auto"/>
                <w:bottom w:val="none" w:sz="0" w:space="0" w:color="auto"/>
                <w:right w:val="none" w:sz="0" w:space="0" w:color="auto"/>
              </w:divBdr>
            </w:div>
          </w:divsChild>
        </w:div>
        <w:div w:id="1452894795">
          <w:marLeft w:val="0"/>
          <w:marRight w:val="0"/>
          <w:marTop w:val="0"/>
          <w:marBottom w:val="0"/>
          <w:divBdr>
            <w:top w:val="none" w:sz="0" w:space="0" w:color="auto"/>
            <w:left w:val="none" w:sz="0" w:space="0" w:color="auto"/>
            <w:bottom w:val="none" w:sz="0" w:space="0" w:color="auto"/>
            <w:right w:val="none" w:sz="0" w:space="0" w:color="auto"/>
          </w:divBdr>
          <w:divsChild>
            <w:div w:id="1703701694">
              <w:marLeft w:val="0"/>
              <w:marRight w:val="0"/>
              <w:marTop w:val="0"/>
              <w:marBottom w:val="0"/>
              <w:divBdr>
                <w:top w:val="none" w:sz="0" w:space="0" w:color="auto"/>
                <w:left w:val="none" w:sz="0" w:space="0" w:color="auto"/>
                <w:bottom w:val="none" w:sz="0" w:space="0" w:color="auto"/>
                <w:right w:val="none" w:sz="0" w:space="0" w:color="auto"/>
              </w:divBdr>
            </w:div>
          </w:divsChild>
        </w:div>
        <w:div w:id="1460882967">
          <w:marLeft w:val="0"/>
          <w:marRight w:val="0"/>
          <w:marTop w:val="0"/>
          <w:marBottom w:val="0"/>
          <w:divBdr>
            <w:top w:val="none" w:sz="0" w:space="0" w:color="auto"/>
            <w:left w:val="none" w:sz="0" w:space="0" w:color="auto"/>
            <w:bottom w:val="none" w:sz="0" w:space="0" w:color="auto"/>
            <w:right w:val="none" w:sz="0" w:space="0" w:color="auto"/>
          </w:divBdr>
          <w:divsChild>
            <w:div w:id="638070206">
              <w:marLeft w:val="0"/>
              <w:marRight w:val="0"/>
              <w:marTop w:val="0"/>
              <w:marBottom w:val="0"/>
              <w:divBdr>
                <w:top w:val="none" w:sz="0" w:space="0" w:color="auto"/>
                <w:left w:val="none" w:sz="0" w:space="0" w:color="auto"/>
                <w:bottom w:val="none" w:sz="0" w:space="0" w:color="auto"/>
                <w:right w:val="none" w:sz="0" w:space="0" w:color="auto"/>
              </w:divBdr>
            </w:div>
          </w:divsChild>
        </w:div>
        <w:div w:id="1638759155">
          <w:marLeft w:val="0"/>
          <w:marRight w:val="0"/>
          <w:marTop w:val="0"/>
          <w:marBottom w:val="0"/>
          <w:divBdr>
            <w:top w:val="none" w:sz="0" w:space="0" w:color="auto"/>
            <w:left w:val="none" w:sz="0" w:space="0" w:color="auto"/>
            <w:bottom w:val="none" w:sz="0" w:space="0" w:color="auto"/>
            <w:right w:val="none" w:sz="0" w:space="0" w:color="auto"/>
          </w:divBdr>
          <w:divsChild>
            <w:div w:id="1532067181">
              <w:marLeft w:val="0"/>
              <w:marRight w:val="0"/>
              <w:marTop w:val="0"/>
              <w:marBottom w:val="0"/>
              <w:divBdr>
                <w:top w:val="none" w:sz="0" w:space="0" w:color="auto"/>
                <w:left w:val="none" w:sz="0" w:space="0" w:color="auto"/>
                <w:bottom w:val="none" w:sz="0" w:space="0" w:color="auto"/>
                <w:right w:val="none" w:sz="0" w:space="0" w:color="auto"/>
              </w:divBdr>
            </w:div>
          </w:divsChild>
        </w:div>
        <w:div w:id="1716463530">
          <w:marLeft w:val="0"/>
          <w:marRight w:val="0"/>
          <w:marTop w:val="0"/>
          <w:marBottom w:val="0"/>
          <w:divBdr>
            <w:top w:val="none" w:sz="0" w:space="0" w:color="auto"/>
            <w:left w:val="none" w:sz="0" w:space="0" w:color="auto"/>
            <w:bottom w:val="none" w:sz="0" w:space="0" w:color="auto"/>
            <w:right w:val="none" w:sz="0" w:space="0" w:color="auto"/>
          </w:divBdr>
          <w:divsChild>
            <w:div w:id="1774474762">
              <w:marLeft w:val="0"/>
              <w:marRight w:val="0"/>
              <w:marTop w:val="0"/>
              <w:marBottom w:val="0"/>
              <w:divBdr>
                <w:top w:val="none" w:sz="0" w:space="0" w:color="auto"/>
                <w:left w:val="none" w:sz="0" w:space="0" w:color="auto"/>
                <w:bottom w:val="none" w:sz="0" w:space="0" w:color="auto"/>
                <w:right w:val="none" w:sz="0" w:space="0" w:color="auto"/>
              </w:divBdr>
            </w:div>
          </w:divsChild>
        </w:div>
        <w:div w:id="1764840839">
          <w:marLeft w:val="0"/>
          <w:marRight w:val="0"/>
          <w:marTop w:val="0"/>
          <w:marBottom w:val="0"/>
          <w:divBdr>
            <w:top w:val="none" w:sz="0" w:space="0" w:color="auto"/>
            <w:left w:val="none" w:sz="0" w:space="0" w:color="auto"/>
            <w:bottom w:val="none" w:sz="0" w:space="0" w:color="auto"/>
            <w:right w:val="none" w:sz="0" w:space="0" w:color="auto"/>
          </w:divBdr>
          <w:divsChild>
            <w:div w:id="1763720049">
              <w:marLeft w:val="0"/>
              <w:marRight w:val="0"/>
              <w:marTop w:val="0"/>
              <w:marBottom w:val="0"/>
              <w:divBdr>
                <w:top w:val="none" w:sz="0" w:space="0" w:color="auto"/>
                <w:left w:val="none" w:sz="0" w:space="0" w:color="auto"/>
                <w:bottom w:val="none" w:sz="0" w:space="0" w:color="auto"/>
                <w:right w:val="none" w:sz="0" w:space="0" w:color="auto"/>
              </w:divBdr>
            </w:div>
          </w:divsChild>
        </w:div>
        <w:div w:id="1840341915">
          <w:marLeft w:val="0"/>
          <w:marRight w:val="0"/>
          <w:marTop w:val="0"/>
          <w:marBottom w:val="0"/>
          <w:divBdr>
            <w:top w:val="none" w:sz="0" w:space="0" w:color="auto"/>
            <w:left w:val="none" w:sz="0" w:space="0" w:color="auto"/>
            <w:bottom w:val="none" w:sz="0" w:space="0" w:color="auto"/>
            <w:right w:val="none" w:sz="0" w:space="0" w:color="auto"/>
          </w:divBdr>
          <w:divsChild>
            <w:div w:id="1898782431">
              <w:marLeft w:val="0"/>
              <w:marRight w:val="0"/>
              <w:marTop w:val="0"/>
              <w:marBottom w:val="0"/>
              <w:divBdr>
                <w:top w:val="none" w:sz="0" w:space="0" w:color="auto"/>
                <w:left w:val="none" w:sz="0" w:space="0" w:color="auto"/>
                <w:bottom w:val="none" w:sz="0" w:space="0" w:color="auto"/>
                <w:right w:val="none" w:sz="0" w:space="0" w:color="auto"/>
              </w:divBdr>
            </w:div>
          </w:divsChild>
        </w:div>
        <w:div w:id="1915625062">
          <w:marLeft w:val="0"/>
          <w:marRight w:val="0"/>
          <w:marTop w:val="0"/>
          <w:marBottom w:val="0"/>
          <w:divBdr>
            <w:top w:val="none" w:sz="0" w:space="0" w:color="auto"/>
            <w:left w:val="none" w:sz="0" w:space="0" w:color="auto"/>
            <w:bottom w:val="none" w:sz="0" w:space="0" w:color="auto"/>
            <w:right w:val="none" w:sz="0" w:space="0" w:color="auto"/>
          </w:divBdr>
          <w:divsChild>
            <w:div w:id="1047800614">
              <w:marLeft w:val="0"/>
              <w:marRight w:val="0"/>
              <w:marTop w:val="0"/>
              <w:marBottom w:val="0"/>
              <w:divBdr>
                <w:top w:val="none" w:sz="0" w:space="0" w:color="auto"/>
                <w:left w:val="none" w:sz="0" w:space="0" w:color="auto"/>
                <w:bottom w:val="none" w:sz="0" w:space="0" w:color="auto"/>
                <w:right w:val="none" w:sz="0" w:space="0" w:color="auto"/>
              </w:divBdr>
            </w:div>
          </w:divsChild>
        </w:div>
        <w:div w:id="1946423392">
          <w:marLeft w:val="0"/>
          <w:marRight w:val="0"/>
          <w:marTop w:val="0"/>
          <w:marBottom w:val="0"/>
          <w:divBdr>
            <w:top w:val="none" w:sz="0" w:space="0" w:color="auto"/>
            <w:left w:val="none" w:sz="0" w:space="0" w:color="auto"/>
            <w:bottom w:val="none" w:sz="0" w:space="0" w:color="auto"/>
            <w:right w:val="none" w:sz="0" w:space="0" w:color="auto"/>
          </w:divBdr>
          <w:divsChild>
            <w:div w:id="938871611">
              <w:marLeft w:val="0"/>
              <w:marRight w:val="0"/>
              <w:marTop w:val="0"/>
              <w:marBottom w:val="0"/>
              <w:divBdr>
                <w:top w:val="none" w:sz="0" w:space="0" w:color="auto"/>
                <w:left w:val="none" w:sz="0" w:space="0" w:color="auto"/>
                <w:bottom w:val="none" w:sz="0" w:space="0" w:color="auto"/>
                <w:right w:val="none" w:sz="0" w:space="0" w:color="auto"/>
              </w:divBdr>
            </w:div>
          </w:divsChild>
        </w:div>
        <w:div w:id="2094619637">
          <w:marLeft w:val="0"/>
          <w:marRight w:val="0"/>
          <w:marTop w:val="0"/>
          <w:marBottom w:val="0"/>
          <w:divBdr>
            <w:top w:val="none" w:sz="0" w:space="0" w:color="auto"/>
            <w:left w:val="none" w:sz="0" w:space="0" w:color="auto"/>
            <w:bottom w:val="none" w:sz="0" w:space="0" w:color="auto"/>
            <w:right w:val="none" w:sz="0" w:space="0" w:color="auto"/>
          </w:divBdr>
          <w:divsChild>
            <w:div w:id="18120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100">
      <w:bodyDiv w:val="1"/>
      <w:marLeft w:val="0"/>
      <w:marRight w:val="0"/>
      <w:marTop w:val="0"/>
      <w:marBottom w:val="0"/>
      <w:divBdr>
        <w:top w:val="none" w:sz="0" w:space="0" w:color="auto"/>
        <w:left w:val="none" w:sz="0" w:space="0" w:color="auto"/>
        <w:bottom w:val="none" w:sz="0" w:space="0" w:color="auto"/>
        <w:right w:val="none" w:sz="0" w:space="0" w:color="auto"/>
      </w:divBdr>
    </w:div>
    <w:div w:id="1059862565">
      <w:bodyDiv w:val="1"/>
      <w:marLeft w:val="0"/>
      <w:marRight w:val="0"/>
      <w:marTop w:val="0"/>
      <w:marBottom w:val="0"/>
      <w:divBdr>
        <w:top w:val="none" w:sz="0" w:space="0" w:color="auto"/>
        <w:left w:val="none" w:sz="0" w:space="0" w:color="auto"/>
        <w:bottom w:val="none" w:sz="0" w:space="0" w:color="auto"/>
        <w:right w:val="none" w:sz="0" w:space="0" w:color="auto"/>
      </w:divBdr>
    </w:div>
    <w:div w:id="11842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pplyingthesouthwest.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estofengland-ca.gov.uk" TargetMode="External"/><Relationship Id="rId17" Type="http://schemas.openxmlformats.org/officeDocument/2006/relationships/hyperlink" Target="https://www.local.gov.uk/our-support/research-and-data/data-and-transparency/local-transparency-guidance" TargetMode="External"/><Relationship Id="rId2" Type="http://schemas.openxmlformats.org/officeDocument/2006/relationships/customXml" Target="../customXml/item2.xml"/><Relationship Id="rId16" Type="http://schemas.openxmlformats.org/officeDocument/2006/relationships/hyperlink" Target="mailto:procontractsuppliers@proact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ontractsuppliers@proactis.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pplyingthesouthwe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e04497-fd60-46b9-b527-ba64b11c275a" xsi:nil="true"/>
    <lcf76f155ced4ddcb4097134ff3c332f xmlns="f1295eb4-317a-4355-ad03-a752a4cc43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A940C52377A4EA6E3D31A1A196396" ma:contentTypeVersion="16" ma:contentTypeDescription="Create a new document." ma:contentTypeScope="" ma:versionID="58f43dedcdbae028eb73d5135d8ecbf3">
  <xsd:schema xmlns:xsd="http://www.w3.org/2001/XMLSchema" xmlns:xs="http://www.w3.org/2001/XMLSchema" xmlns:p="http://schemas.microsoft.com/office/2006/metadata/properties" xmlns:ns2="f1295eb4-317a-4355-ad03-a752a4cc436b" xmlns:ns3="f1e04497-fd60-46b9-b527-ba64b11c275a" targetNamespace="http://schemas.microsoft.com/office/2006/metadata/properties" ma:root="true" ma:fieldsID="63da5b0c2087c3693de6c390e063cbcb" ns2:_="" ns3:_="">
    <xsd:import namespace="f1295eb4-317a-4355-ad03-a752a4cc436b"/>
    <xsd:import namespace="f1e04497-fd60-46b9-b527-ba64b11c27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95eb4-317a-4355-ad03-a752a4cc4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e04497-fd60-46b9-b527-ba64b11c27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df9e50-f17b-491a-90a5-c3a67664f862}" ma:internalName="TaxCatchAll" ma:showField="CatchAllData" ma:web="f1e04497-fd60-46b9-b527-ba64b11c27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FEDD538-4F2B-4A3A-BACC-9A9F1F1E4718}">
  <ds:schemaRefs>
    <ds:schemaRef ds:uri="http://schemas.microsoft.com/office/2006/metadata/properties"/>
    <ds:schemaRef ds:uri="http://schemas.microsoft.com/office/infopath/2007/PartnerControls"/>
    <ds:schemaRef ds:uri="f1e04497-fd60-46b9-b527-ba64b11c275a"/>
    <ds:schemaRef ds:uri="f1295eb4-317a-4355-ad03-a752a4cc436b"/>
  </ds:schemaRefs>
</ds:datastoreItem>
</file>

<file path=customXml/itemProps2.xml><?xml version="1.0" encoding="utf-8"?>
<ds:datastoreItem xmlns:ds="http://schemas.openxmlformats.org/officeDocument/2006/customXml" ds:itemID="{8A6E2153-0D70-445C-90AB-6E7AB3A50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95eb4-317a-4355-ad03-a752a4cc436b"/>
    <ds:schemaRef ds:uri="f1e04497-fd60-46b9-b527-ba64b11c2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A2ADC-9C49-463C-838E-E20005DA8BE6}">
  <ds:schemaRefs>
    <ds:schemaRef ds:uri="http://schemas.microsoft.com/sharepoint/v3/contenttype/forms"/>
  </ds:schemaRefs>
</ds:datastoreItem>
</file>

<file path=customXml/itemProps4.xml><?xml version="1.0" encoding="utf-8"?>
<ds:datastoreItem xmlns:ds="http://schemas.openxmlformats.org/officeDocument/2006/customXml" ds:itemID="{14BE61EC-4F27-43AC-AF21-975B0326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26</Pages>
  <Words>7850</Words>
  <Characters>44751</Characters>
  <Application>Microsoft Office Word</Application>
  <DocSecurity>0</DocSecurity>
  <Lines>372</Lines>
  <Paragraphs>104</Paragraphs>
  <ScaleCrop>false</ScaleCrop>
  <Company/>
  <LinksUpToDate>false</LinksUpToDate>
  <CharactersWithSpaces>52497</CharactersWithSpaces>
  <SharedDoc>false</SharedDoc>
  <HLinks>
    <vt:vector size="240" baseType="variant">
      <vt:variant>
        <vt:i4>524357</vt:i4>
      </vt:variant>
      <vt:variant>
        <vt:i4>219</vt:i4>
      </vt:variant>
      <vt:variant>
        <vt:i4>0</vt:i4>
      </vt:variant>
      <vt:variant>
        <vt:i4>5</vt:i4>
      </vt:variant>
      <vt:variant>
        <vt:lpwstr>https://www.local.gov.uk/our-support/research-and-data/data-and-transparency/local-transparency-guidance</vt:lpwstr>
      </vt:variant>
      <vt:variant>
        <vt:lpwstr/>
      </vt:variant>
      <vt:variant>
        <vt:i4>7077966</vt:i4>
      </vt:variant>
      <vt:variant>
        <vt:i4>210</vt:i4>
      </vt:variant>
      <vt:variant>
        <vt:i4>0</vt:i4>
      </vt:variant>
      <vt:variant>
        <vt:i4>5</vt:i4>
      </vt:variant>
      <vt:variant>
        <vt:lpwstr/>
      </vt:variant>
      <vt:variant>
        <vt:lpwstr>_Abnormally_Low_Tender</vt:lpwstr>
      </vt:variant>
      <vt:variant>
        <vt:i4>3080194</vt:i4>
      </vt:variant>
      <vt:variant>
        <vt:i4>198</vt:i4>
      </vt:variant>
      <vt:variant>
        <vt:i4>0</vt:i4>
      </vt:variant>
      <vt:variant>
        <vt:i4>5</vt:i4>
      </vt:variant>
      <vt:variant>
        <vt:lpwstr/>
      </vt:variant>
      <vt:variant>
        <vt:lpwstr>_Evaluation_of_Price</vt:lpwstr>
      </vt:variant>
      <vt:variant>
        <vt:i4>2031669</vt:i4>
      </vt:variant>
      <vt:variant>
        <vt:i4>195</vt:i4>
      </vt:variant>
      <vt:variant>
        <vt:i4>0</vt:i4>
      </vt:variant>
      <vt:variant>
        <vt:i4>5</vt:i4>
      </vt:variant>
      <vt:variant>
        <vt:lpwstr/>
      </vt:variant>
      <vt:variant>
        <vt:lpwstr>_Toc114425281</vt:lpwstr>
      </vt:variant>
      <vt:variant>
        <vt:i4>7340131</vt:i4>
      </vt:variant>
      <vt:variant>
        <vt:i4>192</vt:i4>
      </vt:variant>
      <vt:variant>
        <vt:i4>0</vt:i4>
      </vt:variant>
      <vt:variant>
        <vt:i4>5</vt:i4>
      </vt:variant>
      <vt:variant>
        <vt:lpwstr/>
      </vt:variant>
      <vt:variant>
        <vt:lpwstr>_Procurement_timescales</vt:lpwstr>
      </vt:variant>
      <vt:variant>
        <vt:i4>3604489</vt:i4>
      </vt:variant>
      <vt:variant>
        <vt:i4>189</vt:i4>
      </vt:variant>
      <vt:variant>
        <vt:i4>0</vt:i4>
      </vt:variant>
      <vt:variant>
        <vt:i4>5</vt:i4>
      </vt:variant>
      <vt:variant>
        <vt:lpwstr>mailto:procontractsuppliers@proactis.com</vt:lpwstr>
      </vt:variant>
      <vt:variant>
        <vt:lpwstr/>
      </vt:variant>
      <vt:variant>
        <vt:i4>3604489</vt:i4>
      </vt:variant>
      <vt:variant>
        <vt:i4>186</vt:i4>
      </vt:variant>
      <vt:variant>
        <vt:i4>0</vt:i4>
      </vt:variant>
      <vt:variant>
        <vt:i4>5</vt:i4>
      </vt:variant>
      <vt:variant>
        <vt:lpwstr>mailto:procontractsuppliers@proactis.com</vt:lpwstr>
      </vt:variant>
      <vt:variant>
        <vt:lpwstr/>
      </vt:variant>
      <vt:variant>
        <vt:i4>983125</vt:i4>
      </vt:variant>
      <vt:variant>
        <vt:i4>183</vt:i4>
      </vt:variant>
      <vt:variant>
        <vt:i4>0</vt:i4>
      </vt:variant>
      <vt:variant>
        <vt:i4>5</vt:i4>
      </vt:variant>
      <vt:variant>
        <vt:lpwstr>http://www.supplyingthesouthwest.org.uk/</vt:lpwstr>
      </vt:variant>
      <vt:variant>
        <vt:lpwstr/>
      </vt:variant>
      <vt:variant>
        <vt:i4>1376293</vt:i4>
      </vt:variant>
      <vt:variant>
        <vt:i4>180</vt:i4>
      </vt:variant>
      <vt:variant>
        <vt:i4>0</vt:i4>
      </vt:variant>
      <vt:variant>
        <vt:i4>5</vt:i4>
      </vt:variant>
      <vt:variant>
        <vt:lpwstr/>
      </vt:variant>
      <vt:variant>
        <vt:lpwstr>_Communication_and_Clarifications</vt:lpwstr>
      </vt:variant>
      <vt:variant>
        <vt:i4>7340131</vt:i4>
      </vt:variant>
      <vt:variant>
        <vt:i4>174</vt:i4>
      </vt:variant>
      <vt:variant>
        <vt:i4>0</vt:i4>
      </vt:variant>
      <vt:variant>
        <vt:i4>5</vt:i4>
      </vt:variant>
      <vt:variant>
        <vt:lpwstr/>
      </vt:variant>
      <vt:variant>
        <vt:lpwstr>_Procurement_timescales</vt:lpwstr>
      </vt:variant>
      <vt:variant>
        <vt:i4>983125</vt:i4>
      </vt:variant>
      <vt:variant>
        <vt:i4>165</vt:i4>
      </vt:variant>
      <vt:variant>
        <vt:i4>0</vt:i4>
      </vt:variant>
      <vt:variant>
        <vt:i4>5</vt:i4>
      </vt:variant>
      <vt:variant>
        <vt:lpwstr>http://www.supplyingthesouthwest.org.uk/</vt:lpwstr>
      </vt:variant>
      <vt:variant>
        <vt:lpwstr/>
      </vt:variant>
      <vt:variant>
        <vt:i4>1376293</vt:i4>
      </vt:variant>
      <vt:variant>
        <vt:i4>162</vt:i4>
      </vt:variant>
      <vt:variant>
        <vt:i4>0</vt:i4>
      </vt:variant>
      <vt:variant>
        <vt:i4>5</vt:i4>
      </vt:variant>
      <vt:variant>
        <vt:lpwstr/>
      </vt:variant>
      <vt:variant>
        <vt:lpwstr>_Communication_and_Clarifications</vt:lpwstr>
      </vt:variant>
      <vt:variant>
        <vt:i4>2097251</vt:i4>
      </vt:variant>
      <vt:variant>
        <vt:i4>159</vt:i4>
      </vt:variant>
      <vt:variant>
        <vt:i4>0</vt:i4>
      </vt:variant>
      <vt:variant>
        <vt:i4>5</vt:i4>
      </vt:variant>
      <vt:variant>
        <vt:lpwstr>http://www.westofengland-ca.gov.uk/</vt:lpwstr>
      </vt:variant>
      <vt:variant>
        <vt:lpwstr/>
      </vt:variant>
      <vt:variant>
        <vt:i4>1572917</vt:i4>
      </vt:variant>
      <vt:variant>
        <vt:i4>152</vt:i4>
      </vt:variant>
      <vt:variant>
        <vt:i4>0</vt:i4>
      </vt:variant>
      <vt:variant>
        <vt:i4>5</vt:i4>
      </vt:variant>
      <vt:variant>
        <vt:lpwstr/>
      </vt:variant>
      <vt:variant>
        <vt:lpwstr>_Toc125723397</vt:lpwstr>
      </vt:variant>
      <vt:variant>
        <vt:i4>1572917</vt:i4>
      </vt:variant>
      <vt:variant>
        <vt:i4>146</vt:i4>
      </vt:variant>
      <vt:variant>
        <vt:i4>0</vt:i4>
      </vt:variant>
      <vt:variant>
        <vt:i4>5</vt:i4>
      </vt:variant>
      <vt:variant>
        <vt:lpwstr/>
      </vt:variant>
      <vt:variant>
        <vt:lpwstr>_Toc125723396</vt:lpwstr>
      </vt:variant>
      <vt:variant>
        <vt:i4>1572917</vt:i4>
      </vt:variant>
      <vt:variant>
        <vt:i4>140</vt:i4>
      </vt:variant>
      <vt:variant>
        <vt:i4>0</vt:i4>
      </vt:variant>
      <vt:variant>
        <vt:i4>5</vt:i4>
      </vt:variant>
      <vt:variant>
        <vt:lpwstr/>
      </vt:variant>
      <vt:variant>
        <vt:lpwstr>_Toc125723395</vt:lpwstr>
      </vt:variant>
      <vt:variant>
        <vt:i4>1572917</vt:i4>
      </vt:variant>
      <vt:variant>
        <vt:i4>134</vt:i4>
      </vt:variant>
      <vt:variant>
        <vt:i4>0</vt:i4>
      </vt:variant>
      <vt:variant>
        <vt:i4>5</vt:i4>
      </vt:variant>
      <vt:variant>
        <vt:lpwstr/>
      </vt:variant>
      <vt:variant>
        <vt:lpwstr>_Toc125723394</vt:lpwstr>
      </vt:variant>
      <vt:variant>
        <vt:i4>1572917</vt:i4>
      </vt:variant>
      <vt:variant>
        <vt:i4>128</vt:i4>
      </vt:variant>
      <vt:variant>
        <vt:i4>0</vt:i4>
      </vt:variant>
      <vt:variant>
        <vt:i4>5</vt:i4>
      </vt:variant>
      <vt:variant>
        <vt:lpwstr/>
      </vt:variant>
      <vt:variant>
        <vt:lpwstr>_Toc125723393</vt:lpwstr>
      </vt:variant>
      <vt:variant>
        <vt:i4>1572917</vt:i4>
      </vt:variant>
      <vt:variant>
        <vt:i4>122</vt:i4>
      </vt:variant>
      <vt:variant>
        <vt:i4>0</vt:i4>
      </vt:variant>
      <vt:variant>
        <vt:i4>5</vt:i4>
      </vt:variant>
      <vt:variant>
        <vt:lpwstr/>
      </vt:variant>
      <vt:variant>
        <vt:lpwstr>_Toc125723392</vt:lpwstr>
      </vt:variant>
      <vt:variant>
        <vt:i4>1572917</vt:i4>
      </vt:variant>
      <vt:variant>
        <vt:i4>116</vt:i4>
      </vt:variant>
      <vt:variant>
        <vt:i4>0</vt:i4>
      </vt:variant>
      <vt:variant>
        <vt:i4>5</vt:i4>
      </vt:variant>
      <vt:variant>
        <vt:lpwstr/>
      </vt:variant>
      <vt:variant>
        <vt:lpwstr>_Toc125723391</vt:lpwstr>
      </vt:variant>
      <vt:variant>
        <vt:i4>1572917</vt:i4>
      </vt:variant>
      <vt:variant>
        <vt:i4>110</vt:i4>
      </vt:variant>
      <vt:variant>
        <vt:i4>0</vt:i4>
      </vt:variant>
      <vt:variant>
        <vt:i4>5</vt:i4>
      </vt:variant>
      <vt:variant>
        <vt:lpwstr/>
      </vt:variant>
      <vt:variant>
        <vt:lpwstr>_Toc125723390</vt:lpwstr>
      </vt:variant>
      <vt:variant>
        <vt:i4>1638453</vt:i4>
      </vt:variant>
      <vt:variant>
        <vt:i4>104</vt:i4>
      </vt:variant>
      <vt:variant>
        <vt:i4>0</vt:i4>
      </vt:variant>
      <vt:variant>
        <vt:i4>5</vt:i4>
      </vt:variant>
      <vt:variant>
        <vt:lpwstr/>
      </vt:variant>
      <vt:variant>
        <vt:lpwstr>_Toc125723389</vt:lpwstr>
      </vt:variant>
      <vt:variant>
        <vt:i4>1638453</vt:i4>
      </vt:variant>
      <vt:variant>
        <vt:i4>98</vt:i4>
      </vt:variant>
      <vt:variant>
        <vt:i4>0</vt:i4>
      </vt:variant>
      <vt:variant>
        <vt:i4>5</vt:i4>
      </vt:variant>
      <vt:variant>
        <vt:lpwstr/>
      </vt:variant>
      <vt:variant>
        <vt:lpwstr>_Toc125723388</vt:lpwstr>
      </vt:variant>
      <vt:variant>
        <vt:i4>1638453</vt:i4>
      </vt:variant>
      <vt:variant>
        <vt:i4>92</vt:i4>
      </vt:variant>
      <vt:variant>
        <vt:i4>0</vt:i4>
      </vt:variant>
      <vt:variant>
        <vt:i4>5</vt:i4>
      </vt:variant>
      <vt:variant>
        <vt:lpwstr/>
      </vt:variant>
      <vt:variant>
        <vt:lpwstr>_Toc125723387</vt:lpwstr>
      </vt:variant>
      <vt:variant>
        <vt:i4>1638453</vt:i4>
      </vt:variant>
      <vt:variant>
        <vt:i4>86</vt:i4>
      </vt:variant>
      <vt:variant>
        <vt:i4>0</vt:i4>
      </vt:variant>
      <vt:variant>
        <vt:i4>5</vt:i4>
      </vt:variant>
      <vt:variant>
        <vt:lpwstr/>
      </vt:variant>
      <vt:variant>
        <vt:lpwstr>_Toc125723386</vt:lpwstr>
      </vt:variant>
      <vt:variant>
        <vt:i4>1638453</vt:i4>
      </vt:variant>
      <vt:variant>
        <vt:i4>80</vt:i4>
      </vt:variant>
      <vt:variant>
        <vt:i4>0</vt:i4>
      </vt:variant>
      <vt:variant>
        <vt:i4>5</vt:i4>
      </vt:variant>
      <vt:variant>
        <vt:lpwstr/>
      </vt:variant>
      <vt:variant>
        <vt:lpwstr>_Toc125723385</vt:lpwstr>
      </vt:variant>
      <vt:variant>
        <vt:i4>1638453</vt:i4>
      </vt:variant>
      <vt:variant>
        <vt:i4>74</vt:i4>
      </vt:variant>
      <vt:variant>
        <vt:i4>0</vt:i4>
      </vt:variant>
      <vt:variant>
        <vt:i4>5</vt:i4>
      </vt:variant>
      <vt:variant>
        <vt:lpwstr/>
      </vt:variant>
      <vt:variant>
        <vt:lpwstr>_Toc125723384</vt:lpwstr>
      </vt:variant>
      <vt:variant>
        <vt:i4>1638453</vt:i4>
      </vt:variant>
      <vt:variant>
        <vt:i4>68</vt:i4>
      </vt:variant>
      <vt:variant>
        <vt:i4>0</vt:i4>
      </vt:variant>
      <vt:variant>
        <vt:i4>5</vt:i4>
      </vt:variant>
      <vt:variant>
        <vt:lpwstr/>
      </vt:variant>
      <vt:variant>
        <vt:lpwstr>_Toc125723383</vt:lpwstr>
      </vt:variant>
      <vt:variant>
        <vt:i4>1638453</vt:i4>
      </vt:variant>
      <vt:variant>
        <vt:i4>62</vt:i4>
      </vt:variant>
      <vt:variant>
        <vt:i4>0</vt:i4>
      </vt:variant>
      <vt:variant>
        <vt:i4>5</vt:i4>
      </vt:variant>
      <vt:variant>
        <vt:lpwstr/>
      </vt:variant>
      <vt:variant>
        <vt:lpwstr>_Toc125723382</vt:lpwstr>
      </vt:variant>
      <vt:variant>
        <vt:i4>1638453</vt:i4>
      </vt:variant>
      <vt:variant>
        <vt:i4>56</vt:i4>
      </vt:variant>
      <vt:variant>
        <vt:i4>0</vt:i4>
      </vt:variant>
      <vt:variant>
        <vt:i4>5</vt:i4>
      </vt:variant>
      <vt:variant>
        <vt:lpwstr/>
      </vt:variant>
      <vt:variant>
        <vt:lpwstr>_Toc125723381</vt:lpwstr>
      </vt:variant>
      <vt:variant>
        <vt:i4>1638453</vt:i4>
      </vt:variant>
      <vt:variant>
        <vt:i4>50</vt:i4>
      </vt:variant>
      <vt:variant>
        <vt:i4>0</vt:i4>
      </vt:variant>
      <vt:variant>
        <vt:i4>5</vt:i4>
      </vt:variant>
      <vt:variant>
        <vt:lpwstr/>
      </vt:variant>
      <vt:variant>
        <vt:lpwstr>_Toc125723380</vt:lpwstr>
      </vt:variant>
      <vt:variant>
        <vt:i4>1441845</vt:i4>
      </vt:variant>
      <vt:variant>
        <vt:i4>44</vt:i4>
      </vt:variant>
      <vt:variant>
        <vt:i4>0</vt:i4>
      </vt:variant>
      <vt:variant>
        <vt:i4>5</vt:i4>
      </vt:variant>
      <vt:variant>
        <vt:lpwstr/>
      </vt:variant>
      <vt:variant>
        <vt:lpwstr>_Toc125723379</vt:lpwstr>
      </vt:variant>
      <vt:variant>
        <vt:i4>1441845</vt:i4>
      </vt:variant>
      <vt:variant>
        <vt:i4>38</vt:i4>
      </vt:variant>
      <vt:variant>
        <vt:i4>0</vt:i4>
      </vt:variant>
      <vt:variant>
        <vt:i4>5</vt:i4>
      </vt:variant>
      <vt:variant>
        <vt:lpwstr/>
      </vt:variant>
      <vt:variant>
        <vt:lpwstr>_Toc125723378</vt:lpwstr>
      </vt:variant>
      <vt:variant>
        <vt:i4>1441845</vt:i4>
      </vt:variant>
      <vt:variant>
        <vt:i4>32</vt:i4>
      </vt:variant>
      <vt:variant>
        <vt:i4>0</vt:i4>
      </vt:variant>
      <vt:variant>
        <vt:i4>5</vt:i4>
      </vt:variant>
      <vt:variant>
        <vt:lpwstr/>
      </vt:variant>
      <vt:variant>
        <vt:lpwstr>_Toc125723377</vt:lpwstr>
      </vt:variant>
      <vt:variant>
        <vt:i4>1441845</vt:i4>
      </vt:variant>
      <vt:variant>
        <vt:i4>26</vt:i4>
      </vt:variant>
      <vt:variant>
        <vt:i4>0</vt:i4>
      </vt:variant>
      <vt:variant>
        <vt:i4>5</vt:i4>
      </vt:variant>
      <vt:variant>
        <vt:lpwstr/>
      </vt:variant>
      <vt:variant>
        <vt:lpwstr>_Toc125723376</vt:lpwstr>
      </vt:variant>
      <vt:variant>
        <vt:i4>1441845</vt:i4>
      </vt:variant>
      <vt:variant>
        <vt:i4>20</vt:i4>
      </vt:variant>
      <vt:variant>
        <vt:i4>0</vt:i4>
      </vt:variant>
      <vt:variant>
        <vt:i4>5</vt:i4>
      </vt:variant>
      <vt:variant>
        <vt:lpwstr/>
      </vt:variant>
      <vt:variant>
        <vt:lpwstr>_Toc125723375</vt:lpwstr>
      </vt:variant>
      <vt:variant>
        <vt:i4>1441845</vt:i4>
      </vt:variant>
      <vt:variant>
        <vt:i4>14</vt:i4>
      </vt:variant>
      <vt:variant>
        <vt:i4>0</vt:i4>
      </vt:variant>
      <vt:variant>
        <vt:i4>5</vt:i4>
      </vt:variant>
      <vt:variant>
        <vt:lpwstr/>
      </vt:variant>
      <vt:variant>
        <vt:lpwstr>_Toc125723374</vt:lpwstr>
      </vt:variant>
      <vt:variant>
        <vt:i4>1441845</vt:i4>
      </vt:variant>
      <vt:variant>
        <vt:i4>8</vt:i4>
      </vt:variant>
      <vt:variant>
        <vt:i4>0</vt:i4>
      </vt:variant>
      <vt:variant>
        <vt:i4>5</vt:i4>
      </vt:variant>
      <vt:variant>
        <vt:lpwstr/>
      </vt:variant>
      <vt:variant>
        <vt:lpwstr>_Toc125723373</vt:lpwstr>
      </vt:variant>
      <vt:variant>
        <vt:i4>1441845</vt:i4>
      </vt:variant>
      <vt:variant>
        <vt:i4>2</vt:i4>
      </vt:variant>
      <vt:variant>
        <vt:i4>0</vt:i4>
      </vt:variant>
      <vt:variant>
        <vt:i4>5</vt:i4>
      </vt:variant>
      <vt:variant>
        <vt:lpwstr/>
      </vt:variant>
      <vt:variant>
        <vt:lpwstr>_Toc125723372</vt:lpwstr>
      </vt:variant>
      <vt:variant>
        <vt:i4>1441890</vt:i4>
      </vt:variant>
      <vt:variant>
        <vt:i4>0</vt:i4>
      </vt:variant>
      <vt:variant>
        <vt:i4>0</vt:i4>
      </vt:variant>
      <vt:variant>
        <vt:i4>5</vt:i4>
      </vt:variant>
      <vt:variant>
        <vt:lpwstr>mailto:Olumide.Ariba@westofengland-ca.gov.uk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Savickas, Jodi</dc:creator>
  <cp:keywords/>
  <dc:description/>
  <cp:lastModifiedBy>Amanda Edmondson</cp:lastModifiedBy>
  <cp:revision>424</cp:revision>
  <dcterms:created xsi:type="dcterms:W3CDTF">2022-09-20T08:53:00Z</dcterms:created>
  <dcterms:modified xsi:type="dcterms:W3CDTF">2023-02-14T15:27:00Z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0x010100341A940C52377A4EA6E3D31A1A196396</vt:lpwstr>
  </property>
  <property fmtid="{D5CDD505-2E9C-101B-9397-08002B2CF9AE}" pid="3" name="MediaServiceImageTags">
    <vt:lpwstr/>
  </property>
</Properties>
</file>