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138D" w14:textId="38D29980" w:rsidR="007A69D4" w:rsidRDefault="00E3301B">
      <w:pPr>
        <w:ind w:right="69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AGREEMENT FOR THE PROVISION OF </w:t>
      </w:r>
      <w:r w:rsidRPr="007457FE">
        <w:rPr>
          <w:rFonts w:ascii="Arial" w:hAnsi="Arial"/>
          <w:b/>
          <w:sz w:val="24"/>
        </w:rPr>
        <w:t xml:space="preserve">ORGANISATIONAL DEVELOPMENT </w:t>
      </w:r>
      <w:r w:rsidR="00B17FBC">
        <w:rPr>
          <w:rFonts w:ascii="Arial" w:hAnsi="Arial"/>
          <w:b/>
          <w:sz w:val="24"/>
        </w:rPr>
        <w:t>SUPPORT</w:t>
      </w:r>
      <w:r w:rsidRPr="007457FE">
        <w:rPr>
          <w:rFonts w:ascii="Arial" w:hAnsi="Arial"/>
          <w:b/>
          <w:sz w:val="24"/>
        </w:rPr>
        <w:t xml:space="preserve"> FOR PLACE-BASED HEALTH AND CARE PARTNERSHIP</w:t>
      </w:r>
      <w:r>
        <w:rPr>
          <w:rFonts w:ascii="Arial" w:hAnsi="Arial"/>
          <w:b/>
          <w:sz w:val="24"/>
        </w:rPr>
        <w:t xml:space="preserve"> SERV</w:t>
      </w:r>
      <w:r w:rsidR="007A69D4">
        <w:rPr>
          <w:rFonts w:ascii="Arial" w:hAnsi="Arial"/>
          <w:b/>
          <w:sz w:val="24"/>
        </w:rPr>
        <w:t>ICES</w:t>
      </w:r>
    </w:p>
    <w:p w14:paraId="5A9ED506" w14:textId="77777777" w:rsidR="007A69D4" w:rsidRDefault="007A69D4">
      <w:pPr>
        <w:ind w:left="720" w:right="693"/>
        <w:jc w:val="both"/>
        <w:rPr>
          <w:rFonts w:ascii="Arial" w:hAnsi="Arial"/>
          <w:b/>
          <w:sz w:val="24"/>
        </w:rPr>
      </w:pPr>
    </w:p>
    <w:p w14:paraId="1A5F27FD" w14:textId="77777777" w:rsidR="007A69D4" w:rsidRDefault="007A69D4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DATE:</w:t>
      </w:r>
    </w:p>
    <w:p w14:paraId="4F8DE276" w14:textId="77777777" w:rsidR="007A69D4" w:rsidRDefault="007A69D4">
      <w:pPr>
        <w:ind w:right="-1"/>
        <w:jc w:val="both"/>
        <w:rPr>
          <w:rFonts w:ascii="Arial" w:hAnsi="Arial"/>
          <w:b/>
          <w:sz w:val="24"/>
        </w:rPr>
      </w:pPr>
    </w:p>
    <w:p w14:paraId="1135A2A2" w14:textId="77777777" w:rsidR="007A69D4" w:rsidRDefault="007A69D4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MADE BETWEEN:</w:t>
      </w:r>
    </w:p>
    <w:p w14:paraId="51ACEB8E" w14:textId="77777777" w:rsidR="007A69D4" w:rsidRDefault="007A69D4">
      <w:pPr>
        <w:ind w:right="-1"/>
        <w:jc w:val="both"/>
        <w:rPr>
          <w:rFonts w:ascii="Arial" w:hAnsi="Arial"/>
          <w:b/>
          <w:sz w:val="22"/>
        </w:rPr>
      </w:pPr>
    </w:p>
    <w:p w14:paraId="71D58418" w14:textId="77777777" w:rsidR="007A69D4" w:rsidRDefault="007A69D4">
      <w:pPr>
        <w:ind w:left="709" w:right="-1" w:hanging="709"/>
        <w:jc w:val="both"/>
        <w:rPr>
          <w:rFonts w:ascii="Arial" w:hAnsi="Arial"/>
          <w:b/>
          <w:sz w:val="22"/>
        </w:rPr>
      </w:pPr>
      <w:r>
        <w:rPr>
          <w:rFonts w:ascii="Arial" w:hAnsi="Arial"/>
          <w:bCs/>
          <w:sz w:val="22"/>
        </w:rPr>
        <w:t>(1)</w:t>
      </w:r>
      <w:r>
        <w:rPr>
          <w:rFonts w:ascii="Arial" w:hAnsi="Arial"/>
          <w:b/>
          <w:sz w:val="22"/>
        </w:rPr>
        <w:tab/>
      </w:r>
      <w:r w:rsidRPr="00EC78F8">
        <w:rPr>
          <w:rFonts w:ascii="Arial" w:hAnsi="Arial"/>
          <w:b/>
          <w:iCs/>
          <w:sz w:val="22"/>
          <w:highlight w:val="yellow"/>
        </w:rPr>
        <w:t>[REGISTERED NAME]</w:t>
      </w:r>
      <w:r w:rsidRPr="00EC78F8">
        <w:rPr>
          <w:rFonts w:ascii="Arial" w:hAnsi="Arial"/>
          <w:b/>
          <w:i/>
          <w:iCs/>
          <w:sz w:val="22"/>
        </w:rPr>
        <w:t xml:space="preserve"> </w:t>
      </w:r>
      <w:r w:rsidRPr="00EC78F8">
        <w:rPr>
          <w:rFonts w:ascii="Arial" w:hAnsi="Arial"/>
          <w:bCs/>
          <w:sz w:val="22"/>
        </w:rPr>
        <w:t xml:space="preserve">of </w:t>
      </w:r>
      <w:r w:rsidRPr="00EC78F8">
        <w:rPr>
          <w:rFonts w:ascii="Arial" w:hAnsi="Arial"/>
          <w:iCs/>
          <w:sz w:val="22"/>
          <w:highlight w:val="yellow"/>
        </w:rPr>
        <w:t>[registered office or principal place of business if unregistered]</w:t>
      </w:r>
      <w:r w:rsidRPr="00EC78F8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(the “Provider” also referred to as “You” or “you” in this Agreement); and</w:t>
      </w:r>
    </w:p>
    <w:p w14:paraId="273980EF" w14:textId="77777777" w:rsidR="007A69D4" w:rsidRDefault="007A69D4">
      <w:pPr>
        <w:ind w:right="-1"/>
        <w:jc w:val="both"/>
        <w:rPr>
          <w:rFonts w:ascii="Arial" w:hAnsi="Arial"/>
          <w:b/>
          <w:sz w:val="22"/>
        </w:rPr>
      </w:pPr>
    </w:p>
    <w:p w14:paraId="6414202C" w14:textId="6255742F" w:rsidR="007A69D4" w:rsidRDefault="007A69D4">
      <w:pPr>
        <w:ind w:left="709" w:right="-1" w:hanging="709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(2)</w:t>
      </w:r>
      <w:r>
        <w:rPr>
          <w:rFonts w:ascii="Arial" w:hAnsi="Arial"/>
          <w:b/>
          <w:sz w:val="22"/>
        </w:rPr>
        <w:tab/>
        <w:t xml:space="preserve">THE MAYOR AND BURGESSES OF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</w:rPr>
            <w:t>LONDON</w:t>
          </w:r>
        </w:smartTag>
      </w:smartTag>
      <w:r>
        <w:rPr>
          <w:rFonts w:ascii="Arial" w:hAnsi="Arial"/>
          <w:b/>
          <w:sz w:val="22"/>
        </w:rPr>
        <w:t xml:space="preserve"> BOROUGH OF SOUTHWARK</w:t>
      </w:r>
      <w:r>
        <w:rPr>
          <w:rFonts w:ascii="Arial" w:hAnsi="Arial"/>
          <w:bCs/>
          <w:sz w:val="22"/>
        </w:rPr>
        <w:t xml:space="preserve"> of </w:t>
      </w:r>
      <w:smartTag w:uri="urn:schemas-microsoft-com:office:smarttags" w:element="Street">
        <w:r w:rsidR="00E46F86" w:rsidRPr="006542B7">
          <w:rPr>
            <w:rFonts w:ascii="Arial" w:hAnsi="Arial"/>
            <w:bCs/>
            <w:sz w:val="22"/>
          </w:rPr>
          <w:t>160 Tooley Street</w:t>
        </w:r>
      </w:smartTag>
      <w:r w:rsidR="00E46F86">
        <w:rPr>
          <w:rFonts w:ascii="Arial" w:hAnsi="Arial"/>
          <w:bCs/>
          <w:sz w:val="22"/>
        </w:rPr>
        <w:t xml:space="preserve"> </w:t>
      </w:r>
      <w:smartTag w:uri="urn:schemas-microsoft-com:office:smarttags" w:element="City">
        <w:r w:rsidR="006542B7">
          <w:rPr>
            <w:rStyle w:val="lFontBody"/>
            <w:rFonts w:ascii="Arial" w:hAnsi="Arial"/>
            <w:spacing w:val="-3"/>
          </w:rPr>
          <w:t>London</w:t>
        </w:r>
      </w:smartTag>
      <w:r w:rsidR="006542B7">
        <w:rPr>
          <w:rStyle w:val="lFontBody"/>
          <w:rFonts w:ascii="Arial" w:hAnsi="Arial"/>
          <w:spacing w:val="-3"/>
        </w:rPr>
        <w:t xml:space="preserve"> SE1 2</w:t>
      </w:r>
      <w:r w:rsidR="00092B17">
        <w:rPr>
          <w:rStyle w:val="lFontBody"/>
          <w:rFonts w:ascii="Arial" w:hAnsi="Arial"/>
          <w:spacing w:val="-3"/>
        </w:rPr>
        <w:t>QH</w:t>
      </w:r>
      <w:r>
        <w:rPr>
          <w:rFonts w:ascii="Arial" w:hAnsi="Arial"/>
          <w:bCs/>
          <w:sz w:val="22"/>
        </w:rPr>
        <w:t xml:space="preserve"> (the “Council” also referred to as “We” or “we” in this Agreement).</w:t>
      </w:r>
    </w:p>
    <w:p w14:paraId="73231F88" w14:textId="77777777" w:rsidR="007A69D4" w:rsidRDefault="007A69D4">
      <w:pPr>
        <w:ind w:right="-1"/>
        <w:jc w:val="both"/>
        <w:rPr>
          <w:rFonts w:ascii="Arial" w:hAnsi="Arial"/>
          <w:bCs/>
          <w:sz w:val="22"/>
        </w:rPr>
      </w:pPr>
    </w:p>
    <w:p w14:paraId="257DA5A9" w14:textId="77777777" w:rsidR="007A69D4" w:rsidRDefault="007A69D4">
      <w:pPr>
        <w:ind w:right="-1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The parties agree that this Agreement is made up of:-</w:t>
      </w:r>
    </w:p>
    <w:p w14:paraId="6049049B" w14:textId="77777777" w:rsidR="00B04172" w:rsidRDefault="00B04172">
      <w:pPr>
        <w:ind w:right="-1"/>
        <w:jc w:val="both"/>
        <w:rPr>
          <w:rFonts w:ascii="Arial" w:hAnsi="Arial"/>
          <w:bCs/>
          <w:sz w:val="22"/>
        </w:rPr>
      </w:pPr>
    </w:p>
    <w:p w14:paraId="6C42A1B2" w14:textId="77777777" w:rsidR="007A69D4" w:rsidRPr="00B04172" w:rsidRDefault="007A69D4">
      <w:pPr>
        <w:ind w:right="-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>SPECIFIC TERMS</w:t>
      </w:r>
    </w:p>
    <w:p w14:paraId="53421F60" w14:textId="77777777" w:rsidR="007A69D4" w:rsidRPr="00B04172" w:rsidRDefault="007A69D4">
      <w:pPr>
        <w:ind w:right="-1"/>
        <w:jc w:val="both"/>
        <w:rPr>
          <w:rFonts w:ascii="Arial" w:hAnsi="Arial"/>
          <w:b/>
          <w:bCs/>
          <w:sz w:val="22"/>
        </w:rPr>
      </w:pP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  <w:t>GENERAL TERMS AND CONDITIONS</w:t>
      </w:r>
      <w:r w:rsidR="00F034B1">
        <w:rPr>
          <w:rFonts w:ascii="Arial" w:hAnsi="Arial"/>
          <w:b/>
          <w:bCs/>
          <w:sz w:val="22"/>
        </w:rPr>
        <w:t xml:space="preserve"> AND SCHEDULES</w:t>
      </w:r>
    </w:p>
    <w:p w14:paraId="2ABA8D81" w14:textId="2AB8E3C0" w:rsidR="00B17FBC" w:rsidRDefault="007A69D4" w:rsidP="00B17FBC">
      <w:pPr>
        <w:ind w:right="-1"/>
        <w:jc w:val="both"/>
        <w:rPr>
          <w:rFonts w:ascii="Arial" w:hAnsi="Arial"/>
          <w:bCs/>
          <w:sz w:val="22"/>
        </w:rPr>
      </w:pP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  <w:t>APPENDIX 1 – SPECIFICATION</w:t>
      </w:r>
      <w:r w:rsidR="004E4FA7">
        <w:rPr>
          <w:rFonts w:ascii="Arial" w:hAnsi="Arial"/>
          <w:bCs/>
          <w:sz w:val="22"/>
        </w:rPr>
        <w:t xml:space="preserve"> </w:t>
      </w:r>
    </w:p>
    <w:p w14:paraId="51D3495B" w14:textId="4B335945" w:rsidR="007A69D4" w:rsidRDefault="007A69D4">
      <w:pPr>
        <w:ind w:left="2880" w:right="-1" w:firstLine="720"/>
        <w:jc w:val="both"/>
        <w:rPr>
          <w:rFonts w:ascii="Arial" w:hAnsi="Arial"/>
          <w:bCs/>
          <w:sz w:val="22"/>
        </w:rPr>
      </w:pPr>
    </w:p>
    <w:p w14:paraId="1647577C" w14:textId="77777777" w:rsidR="00B04172" w:rsidRDefault="00B04172">
      <w:pPr>
        <w:ind w:right="-1"/>
        <w:jc w:val="both"/>
        <w:rPr>
          <w:rFonts w:ascii="Arial" w:hAnsi="Arial"/>
          <w:b/>
          <w:sz w:val="32"/>
          <w:szCs w:val="32"/>
        </w:rPr>
      </w:pPr>
    </w:p>
    <w:p w14:paraId="49F3FFFF" w14:textId="77777777" w:rsidR="007A69D4" w:rsidRDefault="007A69D4">
      <w:pPr>
        <w:ind w:right="-1"/>
        <w:jc w:val="both"/>
        <w:rPr>
          <w:rFonts w:ascii="Arial" w:hAnsi="Arial"/>
          <w:b/>
          <w:sz w:val="32"/>
          <w:szCs w:val="32"/>
        </w:rPr>
      </w:pPr>
      <w:r w:rsidRPr="0023672C">
        <w:rPr>
          <w:rFonts w:ascii="Arial" w:hAnsi="Arial"/>
          <w:b/>
          <w:sz w:val="32"/>
          <w:szCs w:val="32"/>
        </w:rPr>
        <w:t>SPECIFIC TERMS</w:t>
      </w:r>
    </w:p>
    <w:p w14:paraId="30B0AC35" w14:textId="77777777" w:rsidR="00B04172" w:rsidRPr="0023672C" w:rsidRDefault="00B04172">
      <w:pPr>
        <w:ind w:right="-1"/>
        <w:jc w:val="both"/>
        <w:rPr>
          <w:rFonts w:ascii="Arial" w:hAnsi="Arial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7050"/>
      </w:tblGrid>
      <w:tr w:rsidR="007A69D4" w14:paraId="3B7BA951" w14:textId="77777777">
        <w:tc>
          <w:tcPr>
            <w:tcW w:w="3060" w:type="dxa"/>
          </w:tcPr>
          <w:p w14:paraId="04CB4D8A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Authorised Officer</w:t>
            </w:r>
          </w:p>
        </w:tc>
        <w:tc>
          <w:tcPr>
            <w:tcW w:w="7146" w:type="dxa"/>
          </w:tcPr>
          <w:p w14:paraId="066A6A46" w14:textId="108BE824" w:rsidR="007A69D4" w:rsidRDefault="007457FE" w:rsidP="00E3301B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Genette Laws, Director of Commissioning</w:t>
            </w:r>
            <w:r w:rsidR="00E3301B">
              <w:rPr>
                <w:rFonts w:ascii="Arial" w:hAnsi="Arial"/>
                <w:sz w:val="22"/>
              </w:rPr>
              <w:t xml:space="preserve"> </w:t>
            </w:r>
            <w:r w:rsidR="007A69D4">
              <w:rPr>
                <w:rFonts w:ascii="Arial" w:hAnsi="Arial"/>
                <w:sz w:val="22"/>
              </w:rPr>
              <w:t>who is your primary contact in the Council</w:t>
            </w:r>
          </w:p>
        </w:tc>
      </w:tr>
      <w:tr w:rsidR="007A69D4" w14:paraId="526CE02D" w14:textId="77777777">
        <w:tc>
          <w:tcPr>
            <w:tcW w:w="3060" w:type="dxa"/>
          </w:tcPr>
          <w:p w14:paraId="121B5083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Council Rules</w:t>
            </w:r>
          </w:p>
        </w:tc>
        <w:tc>
          <w:tcPr>
            <w:tcW w:w="7146" w:type="dxa"/>
          </w:tcPr>
          <w:p w14:paraId="3CEC5B07" w14:textId="77777777"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Means all relevant Council policies, rules, codes, procedures, orders and codes of practice</w:t>
            </w:r>
          </w:p>
        </w:tc>
      </w:tr>
      <w:tr w:rsidR="00F0677F" w14:paraId="60422829" w14:textId="77777777">
        <w:tc>
          <w:tcPr>
            <w:tcW w:w="3060" w:type="dxa"/>
          </w:tcPr>
          <w:p w14:paraId="35E106E0" w14:textId="77777777" w:rsidR="00F0677F" w:rsidRDefault="00F0677F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Data Protection</w:t>
            </w:r>
          </w:p>
        </w:tc>
        <w:tc>
          <w:tcPr>
            <w:tcW w:w="7146" w:type="dxa"/>
          </w:tcPr>
          <w:p w14:paraId="14D181C4" w14:textId="77777777" w:rsidR="00F0677F" w:rsidRDefault="00F0677F" w:rsidP="00F0677F">
            <w:pPr>
              <w:jc w:val="both"/>
              <w:rPr>
                <w:rFonts w:ascii="Arial" w:hAnsi="Arial"/>
                <w:sz w:val="22"/>
                <w:highlight w:val="yellow"/>
              </w:rPr>
            </w:pPr>
          </w:p>
          <w:p w14:paraId="446BED22" w14:textId="26A6A6CD" w:rsidR="00F0677F" w:rsidRPr="007457FE" w:rsidRDefault="00F0677F" w:rsidP="00F0677F">
            <w:pPr>
              <w:jc w:val="both"/>
              <w:rPr>
                <w:rFonts w:ascii="Arial" w:hAnsi="Arial"/>
                <w:sz w:val="22"/>
              </w:rPr>
            </w:pPr>
            <w:r w:rsidRPr="007457FE">
              <w:rPr>
                <w:rFonts w:ascii="Arial" w:hAnsi="Arial"/>
                <w:sz w:val="22"/>
              </w:rPr>
              <w:t xml:space="preserve">Schedule 2 </w:t>
            </w:r>
            <w:r w:rsidR="0083314B" w:rsidRPr="007457FE">
              <w:rPr>
                <w:rFonts w:ascii="Arial" w:hAnsi="Arial"/>
                <w:sz w:val="22"/>
              </w:rPr>
              <w:t>applies</w:t>
            </w:r>
          </w:p>
          <w:p w14:paraId="7B74FC47" w14:textId="2DF2A06D" w:rsidR="00F0677F" w:rsidRPr="007457FE" w:rsidRDefault="00F0677F" w:rsidP="00F0677F">
            <w:pPr>
              <w:jc w:val="both"/>
              <w:rPr>
                <w:rFonts w:ascii="Arial" w:hAnsi="Arial"/>
                <w:sz w:val="22"/>
              </w:rPr>
            </w:pPr>
            <w:r w:rsidRPr="007457FE">
              <w:rPr>
                <w:rFonts w:ascii="Arial" w:hAnsi="Arial"/>
                <w:sz w:val="22"/>
              </w:rPr>
              <w:t xml:space="preserve">Schedule 2 Option A – Data Controller </w:t>
            </w:r>
            <w:r w:rsidR="0083314B" w:rsidRPr="007457FE">
              <w:rPr>
                <w:rFonts w:ascii="Arial" w:hAnsi="Arial"/>
                <w:sz w:val="22"/>
              </w:rPr>
              <w:t>does not apply</w:t>
            </w:r>
          </w:p>
          <w:p w14:paraId="51FF2235" w14:textId="77777777" w:rsidR="00F0677F" w:rsidRPr="007457FE" w:rsidRDefault="00F0677F" w:rsidP="00F0677F">
            <w:pPr>
              <w:jc w:val="both"/>
              <w:rPr>
                <w:rFonts w:ascii="Arial" w:hAnsi="Arial"/>
                <w:sz w:val="22"/>
              </w:rPr>
            </w:pPr>
            <w:r w:rsidRPr="007457FE">
              <w:rPr>
                <w:rFonts w:ascii="Arial" w:hAnsi="Arial"/>
                <w:sz w:val="22"/>
              </w:rPr>
              <w:t>Schedule 2 Option B – Data Processor applies</w:t>
            </w:r>
          </w:p>
          <w:p w14:paraId="25484314" w14:textId="3A40C969" w:rsidR="00F0677F" w:rsidRDefault="00F0677F" w:rsidP="0083314B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 w:rsidRPr="007457FE">
              <w:rPr>
                <w:rFonts w:ascii="Arial" w:hAnsi="Arial"/>
                <w:sz w:val="22"/>
              </w:rPr>
              <w:t>Sche</w:t>
            </w:r>
            <w:r w:rsidR="0083314B" w:rsidRPr="007457FE">
              <w:rPr>
                <w:rFonts w:ascii="Arial" w:hAnsi="Arial"/>
                <w:sz w:val="22"/>
              </w:rPr>
              <w:t>dule 2 Option A and Option B does not apply</w:t>
            </w:r>
          </w:p>
        </w:tc>
      </w:tr>
      <w:tr w:rsidR="007A69D4" w14:paraId="79B50EA2" w14:textId="77777777">
        <w:tc>
          <w:tcPr>
            <w:tcW w:w="3060" w:type="dxa"/>
          </w:tcPr>
          <w:p w14:paraId="650B9B30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Description of Services to be provided</w:t>
            </w:r>
          </w:p>
        </w:tc>
        <w:tc>
          <w:tcPr>
            <w:tcW w:w="7146" w:type="dxa"/>
          </w:tcPr>
          <w:p w14:paraId="094D68AB" w14:textId="47B17F85" w:rsidR="007A69D4" w:rsidRDefault="00B02EB6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Provision of support for leadership and organisational development to Partnership Southwark</w:t>
            </w:r>
            <w:r w:rsidR="007A69D4">
              <w:rPr>
                <w:rFonts w:ascii="Arial" w:hAnsi="Arial"/>
                <w:sz w:val="22"/>
              </w:rPr>
              <w:t xml:space="preserve"> as set out in more detail in Appendix 1 – Specification </w:t>
            </w:r>
          </w:p>
        </w:tc>
      </w:tr>
      <w:tr w:rsidR="00F034B1" w14:paraId="667F44A9" w14:textId="77777777">
        <w:tc>
          <w:tcPr>
            <w:tcW w:w="3060" w:type="dxa"/>
          </w:tcPr>
          <w:p w14:paraId="31FF44A1" w14:textId="77777777" w:rsidR="00F034B1" w:rsidRDefault="00F034B1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Fairer Future Procurement Framework</w:t>
            </w:r>
          </w:p>
        </w:tc>
        <w:tc>
          <w:tcPr>
            <w:tcW w:w="7146" w:type="dxa"/>
          </w:tcPr>
          <w:p w14:paraId="28F89DFF" w14:textId="364C677C" w:rsidR="00F034B1" w:rsidRDefault="00F034B1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Schedu</w:t>
            </w:r>
            <w:r w:rsidRPr="007457FE">
              <w:rPr>
                <w:rFonts w:ascii="Arial" w:hAnsi="Arial"/>
                <w:sz w:val="22"/>
              </w:rPr>
              <w:t>le 3 does not apply</w:t>
            </w:r>
          </w:p>
          <w:p w14:paraId="64D1FA61" w14:textId="18C53A9B" w:rsidR="00F034B1" w:rsidRDefault="00F034B1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</w:p>
        </w:tc>
      </w:tr>
      <w:tr w:rsidR="007A69D4" w14:paraId="159E0F2B" w14:textId="77777777">
        <w:tc>
          <w:tcPr>
            <w:tcW w:w="3060" w:type="dxa"/>
          </w:tcPr>
          <w:p w14:paraId="3B79F70A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Fee (excluding VAT)</w:t>
            </w:r>
          </w:p>
        </w:tc>
        <w:tc>
          <w:tcPr>
            <w:tcW w:w="7146" w:type="dxa"/>
          </w:tcPr>
          <w:p w14:paraId="510706D6" w14:textId="77777777"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  <w:r>
              <w:rPr>
                <w:rFonts w:ascii="Arial" w:hAnsi="Arial"/>
                <w:sz w:val="22"/>
                <w:highlight w:val="yellow"/>
              </w:rPr>
              <w:t>[</w:t>
            </w:r>
            <w:r>
              <w:rPr>
                <w:rFonts w:ascii="Arial" w:hAnsi="Arial" w:cs="Arial"/>
                <w:sz w:val="22"/>
                <w:highlight w:val="yellow"/>
              </w:rPr>
              <w:t>●</w:t>
            </w:r>
            <w:r>
              <w:rPr>
                <w:rFonts w:ascii="Arial" w:hAnsi="Arial"/>
                <w:sz w:val="22"/>
                <w:highlight w:val="yellow"/>
              </w:rPr>
              <w:t>]</w:t>
            </w:r>
            <w:r>
              <w:rPr>
                <w:rFonts w:ascii="Arial" w:hAnsi="Arial"/>
                <w:sz w:val="22"/>
              </w:rPr>
              <w:t xml:space="preserve"> which we will pay to you in the instalments and intervals set out in the Payment Periods</w:t>
            </w:r>
          </w:p>
        </w:tc>
      </w:tr>
      <w:tr w:rsidR="007A69D4" w14:paraId="3237531F" w14:textId="77777777">
        <w:tc>
          <w:tcPr>
            <w:tcW w:w="3060" w:type="dxa"/>
          </w:tcPr>
          <w:p w14:paraId="6BB8ACC6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Indexation</w:t>
            </w:r>
          </w:p>
        </w:tc>
        <w:tc>
          <w:tcPr>
            <w:tcW w:w="7146" w:type="dxa"/>
          </w:tcPr>
          <w:p w14:paraId="26C92510" w14:textId="77777777" w:rsidR="007A69D4" w:rsidRDefault="007A69D4" w:rsidP="0048690E">
            <w:pPr>
              <w:jc w:val="both"/>
              <w:rPr>
                <w:rFonts w:ascii="Arial" w:hAnsi="Arial"/>
                <w:sz w:val="22"/>
              </w:rPr>
            </w:pPr>
            <w:r w:rsidRPr="000545C9">
              <w:rPr>
                <w:rFonts w:ascii="Arial" w:hAnsi="Arial"/>
                <w:sz w:val="22"/>
              </w:rPr>
              <w:t>Clause 3.7 will not apply to this Agreement</w:t>
            </w:r>
          </w:p>
          <w:p w14:paraId="5D0C0C0E" w14:textId="77777777" w:rsidR="0048690E" w:rsidRPr="0048690E" w:rsidRDefault="0048690E" w:rsidP="00E3301B">
            <w:pPr>
              <w:jc w:val="both"/>
              <w:rPr>
                <w:rFonts w:ascii="Arial" w:hAnsi="Arial"/>
                <w:sz w:val="22"/>
                <w:highlight w:val="yellow"/>
              </w:rPr>
            </w:pPr>
          </w:p>
        </w:tc>
      </w:tr>
      <w:tr w:rsidR="007A69D4" w14:paraId="60C29D8A" w14:textId="77777777">
        <w:tc>
          <w:tcPr>
            <w:tcW w:w="3060" w:type="dxa"/>
          </w:tcPr>
          <w:p w14:paraId="0F7CA488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Insurance</w:t>
            </w:r>
          </w:p>
        </w:tc>
        <w:tc>
          <w:tcPr>
            <w:tcW w:w="7146" w:type="dxa"/>
          </w:tcPr>
          <w:p w14:paraId="3BC0A7D5" w14:textId="77777777"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minimum amount of cover required for this Agreement is:-</w:t>
            </w:r>
          </w:p>
          <w:p w14:paraId="68F37995" w14:textId="239E4E6F" w:rsidR="007A69D4" w:rsidRDefault="007A69D4" w:rsidP="0048690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Employers Liability Insurance:  £</w:t>
            </w:r>
            <w:r w:rsidR="000545C9">
              <w:rPr>
                <w:rFonts w:ascii="Arial" w:hAnsi="Arial"/>
                <w:sz w:val="22"/>
              </w:rPr>
              <w:t xml:space="preserve">10m </w:t>
            </w:r>
          </w:p>
          <w:p w14:paraId="5F8C35D9" w14:textId="39A8A2FB" w:rsidR="007A69D4" w:rsidRDefault="007A69D4" w:rsidP="0048690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Public Liability Insurance:  £</w:t>
            </w:r>
            <w:r w:rsidR="000545C9">
              <w:rPr>
                <w:rFonts w:ascii="Arial" w:hAnsi="Arial"/>
                <w:sz w:val="22"/>
              </w:rPr>
              <w:t xml:space="preserve">5m </w:t>
            </w:r>
          </w:p>
          <w:p w14:paraId="20FAB52D" w14:textId="0C978714" w:rsidR="007A69D4" w:rsidRDefault="007A69D4" w:rsidP="0048690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Professional Indemnity Insurance:  £</w:t>
            </w:r>
            <w:r w:rsidR="000545C9">
              <w:rPr>
                <w:rFonts w:ascii="Arial" w:hAnsi="Arial"/>
                <w:sz w:val="22"/>
              </w:rPr>
              <w:t xml:space="preserve">5m </w:t>
            </w:r>
          </w:p>
          <w:p w14:paraId="4D05560A" w14:textId="77777777" w:rsidR="0048690E" w:rsidRDefault="0048690E" w:rsidP="0048690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A69D4" w14:paraId="50311963" w14:textId="77777777">
        <w:tc>
          <w:tcPr>
            <w:tcW w:w="3060" w:type="dxa"/>
          </w:tcPr>
          <w:p w14:paraId="2522A428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lastRenderedPageBreak/>
              <w:t>Legislation</w:t>
            </w:r>
          </w:p>
        </w:tc>
        <w:tc>
          <w:tcPr>
            <w:tcW w:w="7146" w:type="dxa"/>
          </w:tcPr>
          <w:p w14:paraId="3D005106" w14:textId="14F731BE"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Means all relevant Acts of Parliament, statutory regulations, order, </w:t>
            </w:r>
            <w:r w:rsidR="00B17FBC">
              <w:rPr>
                <w:rFonts w:ascii="Arial" w:hAnsi="Arial"/>
                <w:sz w:val="22"/>
              </w:rPr>
              <w:t>guidance</w:t>
            </w:r>
            <w:r>
              <w:rPr>
                <w:rFonts w:ascii="Arial" w:hAnsi="Arial"/>
                <w:sz w:val="22"/>
              </w:rPr>
              <w:t xml:space="preserve"> and codes of practice including any subsequent amendments or comparable legislation</w:t>
            </w:r>
          </w:p>
        </w:tc>
      </w:tr>
      <w:tr w:rsidR="00DD671D" w14:paraId="3A1DA90C" w14:textId="77777777" w:rsidTr="007457FE">
        <w:tc>
          <w:tcPr>
            <w:tcW w:w="3060" w:type="dxa"/>
          </w:tcPr>
          <w:p w14:paraId="06A7CC60" w14:textId="77777777" w:rsidR="00DD671D" w:rsidRDefault="00DD671D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Liability</w:t>
            </w:r>
          </w:p>
        </w:tc>
        <w:tc>
          <w:tcPr>
            <w:tcW w:w="7146" w:type="dxa"/>
            <w:shd w:val="clear" w:color="auto" w:fill="auto"/>
          </w:tcPr>
          <w:p w14:paraId="6E583772" w14:textId="77777777" w:rsidR="00B04172" w:rsidRPr="007457FE" w:rsidRDefault="00B04172" w:rsidP="00D31EC3">
            <w:pPr>
              <w:jc w:val="both"/>
              <w:rPr>
                <w:rFonts w:ascii="Arial" w:hAnsi="Arial"/>
                <w:sz w:val="22"/>
              </w:rPr>
            </w:pPr>
          </w:p>
          <w:p w14:paraId="4953EF93" w14:textId="63DDAEA7" w:rsidR="00DD671D" w:rsidRPr="007457FE" w:rsidRDefault="00DD671D" w:rsidP="00D31EC3">
            <w:pPr>
              <w:jc w:val="both"/>
              <w:rPr>
                <w:rFonts w:ascii="Arial" w:hAnsi="Arial"/>
                <w:sz w:val="22"/>
              </w:rPr>
            </w:pPr>
            <w:r w:rsidRPr="007457FE">
              <w:rPr>
                <w:rFonts w:ascii="Arial" w:hAnsi="Arial"/>
                <w:sz w:val="22"/>
              </w:rPr>
              <w:t>Clause 6.</w:t>
            </w:r>
            <w:r w:rsidR="0083314B" w:rsidRPr="007457FE">
              <w:rPr>
                <w:rFonts w:ascii="Arial" w:hAnsi="Arial"/>
                <w:sz w:val="22"/>
              </w:rPr>
              <w:t xml:space="preserve">3 will </w:t>
            </w:r>
            <w:r w:rsidR="00D31EC3" w:rsidRPr="007457FE">
              <w:rPr>
                <w:rFonts w:ascii="Arial" w:hAnsi="Arial"/>
                <w:sz w:val="22"/>
              </w:rPr>
              <w:t>apply to this Agreement</w:t>
            </w:r>
          </w:p>
          <w:p w14:paraId="7DB594E2" w14:textId="77777777" w:rsidR="00D31EC3" w:rsidRPr="00EC78F8" w:rsidRDefault="00D31EC3" w:rsidP="007457FE">
            <w:pPr>
              <w:jc w:val="both"/>
              <w:rPr>
                <w:rFonts w:ascii="Arial" w:hAnsi="Arial"/>
                <w:sz w:val="22"/>
                <w:highlight w:val="yellow"/>
              </w:rPr>
            </w:pPr>
          </w:p>
        </w:tc>
      </w:tr>
      <w:tr w:rsidR="00B54734" w14:paraId="24F2F344" w14:textId="77777777">
        <w:tc>
          <w:tcPr>
            <w:tcW w:w="3060" w:type="dxa"/>
          </w:tcPr>
          <w:p w14:paraId="1EEB1072" w14:textId="77777777" w:rsidR="00B54734" w:rsidRDefault="00B5473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2"/>
                  </w:rPr>
                  <w:t>London</w:t>
                </w:r>
              </w:smartTag>
            </w:smartTag>
            <w:r>
              <w:rPr>
                <w:rFonts w:ascii="Arial" w:hAnsi="Arial"/>
                <w:b/>
                <w:bCs/>
                <w:sz w:val="22"/>
              </w:rPr>
              <w:t xml:space="preserve"> Living Wage</w:t>
            </w:r>
          </w:p>
        </w:tc>
        <w:tc>
          <w:tcPr>
            <w:tcW w:w="7146" w:type="dxa"/>
          </w:tcPr>
          <w:p w14:paraId="3AE2AC26" w14:textId="683DBE18" w:rsidR="00B54734" w:rsidRPr="00EC78F8" w:rsidRDefault="000545C9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Clause 4.9:</w:t>
            </w:r>
            <w:r w:rsidR="00B54734" w:rsidRPr="000545C9">
              <w:rPr>
                <w:rFonts w:ascii="Arial" w:hAnsi="Arial"/>
                <w:sz w:val="22"/>
              </w:rPr>
              <w:t xml:space="preserve"> London Living Wage is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B54734" w:rsidRPr="000545C9">
              <w:rPr>
                <w:rFonts w:ascii="Arial" w:hAnsi="Arial"/>
                <w:sz w:val="22"/>
              </w:rPr>
              <w:t>applicable</w:t>
            </w:r>
          </w:p>
        </w:tc>
      </w:tr>
      <w:tr w:rsidR="007A69D4" w14:paraId="74CF12AB" w14:textId="77777777">
        <w:tc>
          <w:tcPr>
            <w:tcW w:w="3060" w:type="dxa"/>
          </w:tcPr>
          <w:p w14:paraId="176B39CB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Monitoring</w:t>
            </w:r>
          </w:p>
        </w:tc>
        <w:tc>
          <w:tcPr>
            <w:tcW w:w="7146" w:type="dxa"/>
          </w:tcPr>
          <w:p w14:paraId="0794DC2B" w14:textId="4ADD7654" w:rsidR="007A69D4" w:rsidRDefault="007A69D4" w:rsidP="00E3301B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 w:rsidRPr="007457FE">
              <w:rPr>
                <w:rFonts w:ascii="Arial" w:hAnsi="Arial"/>
                <w:sz w:val="22"/>
              </w:rPr>
              <w:t xml:space="preserve">Clause 5.4 (a) applies </w:t>
            </w:r>
          </w:p>
        </w:tc>
      </w:tr>
      <w:tr w:rsidR="007A69D4" w14:paraId="11628743" w14:textId="77777777">
        <w:tc>
          <w:tcPr>
            <w:tcW w:w="3060" w:type="dxa"/>
          </w:tcPr>
          <w:p w14:paraId="470C1B0A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Payment Periods</w:t>
            </w:r>
          </w:p>
        </w:tc>
        <w:tc>
          <w:tcPr>
            <w:tcW w:w="7146" w:type="dxa"/>
          </w:tcPr>
          <w:p w14:paraId="36761E48" w14:textId="4A82377A"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Quarterly in </w:t>
            </w:r>
            <w:r w:rsidRPr="007457FE">
              <w:rPr>
                <w:rFonts w:ascii="Arial" w:hAnsi="Arial"/>
                <w:iCs/>
                <w:sz w:val="22"/>
              </w:rPr>
              <w:t>arrears</w:t>
            </w:r>
            <w:r w:rsidRPr="007457FE">
              <w:rPr>
                <w:rFonts w:ascii="Arial" w:hAnsi="Arial"/>
                <w:sz w:val="22"/>
              </w:rPr>
              <w:t>, as</w:t>
            </w:r>
            <w:r>
              <w:rPr>
                <w:rFonts w:ascii="Arial" w:hAnsi="Arial"/>
                <w:sz w:val="22"/>
              </w:rPr>
              <w:t xml:space="preserve"> follows:</w:t>
            </w:r>
          </w:p>
          <w:p w14:paraId="6C748D37" w14:textId="77777777" w:rsidR="007A69D4" w:rsidRDefault="007A69D4" w:rsidP="0048690E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  <w:highlight w:val="yellow"/>
              </w:rPr>
              <w:t>25% of the Fee           £[●] on [●];</w:t>
            </w:r>
          </w:p>
          <w:p w14:paraId="4E5A67BF" w14:textId="77777777" w:rsidR="007A69D4" w:rsidRDefault="007A69D4" w:rsidP="0048690E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  <w:highlight w:val="yellow"/>
              </w:rPr>
              <w:t>25% of the Fee</w:t>
            </w:r>
            <w:r>
              <w:rPr>
                <w:rFonts w:ascii="Arial" w:hAnsi="Arial"/>
                <w:sz w:val="22"/>
                <w:highlight w:val="yellow"/>
              </w:rPr>
              <w:tab/>
              <w:t>£[●] on [●];</w:t>
            </w:r>
          </w:p>
          <w:p w14:paraId="7D4AF275" w14:textId="77777777" w:rsidR="007A69D4" w:rsidRDefault="007A69D4" w:rsidP="0048690E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  <w:highlight w:val="yellow"/>
              </w:rPr>
              <w:t>25% of the Fee</w:t>
            </w:r>
            <w:r>
              <w:rPr>
                <w:rFonts w:ascii="Arial" w:hAnsi="Arial"/>
                <w:sz w:val="22"/>
                <w:highlight w:val="yellow"/>
              </w:rPr>
              <w:tab/>
              <w:t>£[●] on [●];</w:t>
            </w:r>
          </w:p>
          <w:p w14:paraId="3F447E2C" w14:textId="77777777" w:rsidR="007A69D4" w:rsidRDefault="007A69D4" w:rsidP="0048690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yellow"/>
              </w:rPr>
              <w:t>25% of the Fee</w:t>
            </w:r>
            <w:r>
              <w:rPr>
                <w:rFonts w:ascii="Arial" w:hAnsi="Arial"/>
                <w:sz w:val="22"/>
                <w:highlight w:val="yellow"/>
              </w:rPr>
              <w:tab/>
              <w:t>£[●] on [●];</w:t>
            </w:r>
          </w:p>
          <w:p w14:paraId="41A927A4" w14:textId="77777777" w:rsidR="0048690E" w:rsidRDefault="0048690E" w:rsidP="0048690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A69D4" w14:paraId="651B0F41" w14:textId="77777777">
        <w:tc>
          <w:tcPr>
            <w:tcW w:w="3060" w:type="dxa"/>
          </w:tcPr>
          <w:p w14:paraId="0BEBD029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Period of Appointment</w:t>
            </w:r>
          </w:p>
        </w:tc>
        <w:tc>
          <w:tcPr>
            <w:tcW w:w="7146" w:type="dxa"/>
          </w:tcPr>
          <w:p w14:paraId="709D7EEC" w14:textId="28D495DD" w:rsidR="007A69D4" w:rsidRDefault="007A69D4" w:rsidP="00E3301B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 w:rsidRPr="007457FE">
              <w:rPr>
                <w:rFonts w:ascii="Arial" w:hAnsi="Arial"/>
                <w:sz w:val="22"/>
              </w:rPr>
              <w:t>from the</w:t>
            </w:r>
            <w:r w:rsidR="00E3301B" w:rsidRPr="007457FE">
              <w:rPr>
                <w:rFonts w:ascii="Arial" w:hAnsi="Arial"/>
                <w:sz w:val="22"/>
              </w:rPr>
              <w:t xml:space="preserve"> 30 July 2021</w:t>
            </w:r>
            <w:r w:rsidRPr="007457FE">
              <w:rPr>
                <w:rFonts w:ascii="Arial" w:hAnsi="Arial"/>
                <w:sz w:val="22"/>
              </w:rPr>
              <w:t xml:space="preserve"> until </w:t>
            </w:r>
            <w:r w:rsidR="00B02EB6" w:rsidRPr="007457FE">
              <w:rPr>
                <w:rFonts w:ascii="Arial" w:hAnsi="Arial"/>
                <w:iCs/>
                <w:sz w:val="22"/>
              </w:rPr>
              <w:t>31 March 2022</w:t>
            </w:r>
            <w:r w:rsidR="00E3301B" w:rsidRPr="007457FE">
              <w:rPr>
                <w:rFonts w:ascii="Arial" w:hAnsi="Arial"/>
                <w:sz w:val="22"/>
              </w:rPr>
              <w:t xml:space="preserve"> </w:t>
            </w:r>
            <w:r w:rsidRPr="007457FE">
              <w:rPr>
                <w:rFonts w:ascii="Arial" w:hAnsi="Arial"/>
                <w:sz w:val="22"/>
              </w:rPr>
              <w:t>unless terminated early or extended by mutual agreement</w:t>
            </w:r>
          </w:p>
        </w:tc>
      </w:tr>
      <w:tr w:rsidR="007A69D4" w14:paraId="42986137" w14:textId="77777777">
        <w:tc>
          <w:tcPr>
            <w:tcW w:w="3060" w:type="dxa"/>
          </w:tcPr>
          <w:p w14:paraId="5A2523A0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Providers’ Representative</w:t>
            </w:r>
          </w:p>
        </w:tc>
        <w:tc>
          <w:tcPr>
            <w:tcW w:w="7146" w:type="dxa"/>
          </w:tcPr>
          <w:p w14:paraId="5DD4AA5C" w14:textId="77777777"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yellow"/>
              </w:rPr>
              <w:t>[</w:t>
            </w:r>
            <w:r w:rsidRPr="00EC78F8">
              <w:rPr>
                <w:rFonts w:ascii="Arial" w:hAnsi="Arial"/>
                <w:iCs/>
                <w:sz w:val="22"/>
                <w:highlight w:val="yellow"/>
              </w:rPr>
              <w:t>name and contact details</w:t>
            </w:r>
            <w:r>
              <w:rPr>
                <w:rFonts w:ascii="Arial" w:hAnsi="Arial"/>
                <w:sz w:val="22"/>
                <w:highlight w:val="yellow"/>
              </w:rPr>
              <w:t>]</w:t>
            </w:r>
            <w:r>
              <w:rPr>
                <w:rFonts w:ascii="Arial" w:hAnsi="Arial"/>
                <w:sz w:val="22"/>
              </w:rPr>
              <w:t>, who has overall responsibility for the management of this Agreement</w:t>
            </w:r>
          </w:p>
        </w:tc>
      </w:tr>
      <w:tr w:rsidR="007A69D4" w14:paraId="1A63A309" w14:textId="77777777">
        <w:tc>
          <w:tcPr>
            <w:tcW w:w="3060" w:type="dxa"/>
          </w:tcPr>
          <w:p w14:paraId="6AD653FE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Safeguarding</w:t>
            </w:r>
          </w:p>
        </w:tc>
        <w:tc>
          <w:tcPr>
            <w:tcW w:w="7146" w:type="dxa"/>
          </w:tcPr>
          <w:p w14:paraId="3B612F62" w14:textId="27FF8A52"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Clause 4.7 (</w:t>
            </w:r>
            <w:r w:rsidRPr="007457FE">
              <w:rPr>
                <w:rFonts w:ascii="Arial" w:hAnsi="Arial"/>
                <w:sz w:val="22"/>
              </w:rPr>
              <w:t>Safeguarding) is not applicable</w:t>
            </w:r>
          </w:p>
        </w:tc>
      </w:tr>
      <w:tr w:rsidR="00E46F86" w14:paraId="0BB623BB" w14:textId="77777777">
        <w:tc>
          <w:tcPr>
            <w:tcW w:w="3060" w:type="dxa"/>
          </w:tcPr>
          <w:p w14:paraId="7B726157" w14:textId="77777777" w:rsidR="00E46F86" w:rsidRDefault="00E46F86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Staff</w:t>
            </w:r>
          </w:p>
        </w:tc>
        <w:tc>
          <w:tcPr>
            <w:tcW w:w="7146" w:type="dxa"/>
          </w:tcPr>
          <w:p w14:paraId="6E0D34F9" w14:textId="15E716D1" w:rsidR="00E46F86" w:rsidRDefault="00E46F86" w:rsidP="00E3301B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Clause 4.6 (Staff) – the period for removing and replacing a notified member of staff under this clause is</w:t>
            </w:r>
            <w:r w:rsidR="00B04172">
              <w:rPr>
                <w:rFonts w:ascii="Arial" w:hAnsi="Arial"/>
                <w:sz w:val="22"/>
              </w:rPr>
              <w:t xml:space="preserve"> 7 days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A69D4" w14:paraId="4212E6F7" w14:textId="77777777">
        <w:tc>
          <w:tcPr>
            <w:tcW w:w="3060" w:type="dxa"/>
          </w:tcPr>
          <w:p w14:paraId="6585665E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Start Date</w:t>
            </w:r>
          </w:p>
        </w:tc>
        <w:tc>
          <w:tcPr>
            <w:tcW w:w="7146" w:type="dxa"/>
          </w:tcPr>
          <w:p w14:paraId="49B50F25" w14:textId="5A29B67C" w:rsidR="007A69D4" w:rsidRDefault="00E3301B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 w:rsidRPr="007457FE">
              <w:rPr>
                <w:rFonts w:ascii="Arial" w:hAnsi="Arial"/>
                <w:sz w:val="22"/>
              </w:rPr>
              <w:t>30 July 2021</w:t>
            </w:r>
          </w:p>
        </w:tc>
      </w:tr>
      <w:tr w:rsidR="007A69D4" w14:paraId="03491CC1" w14:textId="77777777">
        <w:tc>
          <w:tcPr>
            <w:tcW w:w="3060" w:type="dxa"/>
          </w:tcPr>
          <w:p w14:paraId="6A337A7A" w14:textId="77777777"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Timetable</w:t>
            </w:r>
          </w:p>
        </w:tc>
        <w:tc>
          <w:tcPr>
            <w:tcW w:w="7146" w:type="dxa"/>
          </w:tcPr>
          <w:p w14:paraId="53EE97F9" w14:textId="023F41E5" w:rsidR="007A69D4" w:rsidRDefault="00B02EB6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 w:rsidRPr="007457FE">
              <w:rPr>
                <w:rFonts w:ascii="Arial" w:hAnsi="Arial"/>
                <w:sz w:val="22"/>
              </w:rPr>
              <w:t>A timetable for delivery will be agreed between the Provider and the Council as part of initial project-kick off.</w:t>
            </w:r>
            <w:r w:rsidR="007A69D4">
              <w:rPr>
                <w:rFonts w:ascii="Arial" w:hAnsi="Arial"/>
                <w:sz w:val="22"/>
              </w:rPr>
              <w:t xml:space="preserve"> </w:t>
            </w:r>
            <w:r w:rsidR="00E3301B">
              <w:rPr>
                <w:rFonts w:ascii="Arial" w:hAnsi="Arial"/>
                <w:sz w:val="22"/>
              </w:rPr>
              <w:t xml:space="preserve"> Upon agreement, yo</w:t>
            </w:r>
            <w:r w:rsidR="007A69D4">
              <w:rPr>
                <w:rFonts w:ascii="Arial" w:hAnsi="Arial"/>
                <w:sz w:val="22"/>
              </w:rPr>
              <w:t>u will provide the services in accordance with the timetable unless agreed in writing in advance by the Council.  Persistent failure to meet agreed timescales may amount to a material breach of this Agreement.</w:t>
            </w:r>
          </w:p>
        </w:tc>
      </w:tr>
    </w:tbl>
    <w:p w14:paraId="26E0BDCE" w14:textId="77777777" w:rsidR="007A69D4" w:rsidRDefault="007A69D4">
      <w:pPr>
        <w:ind w:right="-1"/>
        <w:jc w:val="both"/>
        <w:rPr>
          <w:rFonts w:ascii="Arial" w:hAnsi="Arial"/>
          <w:sz w:val="22"/>
        </w:rPr>
      </w:pPr>
    </w:p>
    <w:p w14:paraId="16DE4954" w14:textId="77777777" w:rsidR="007A69D4" w:rsidRDefault="007A69D4" w:rsidP="0048690E">
      <w:pPr>
        <w:pStyle w:val="BlockText"/>
        <w:spacing w:line="240" w:lineRule="auto"/>
        <w:ind w:left="0" w:right="-1"/>
      </w:pPr>
      <w:r>
        <w:t xml:space="preserve">References to “the Provider” in this Agreement includes anyone engaged by you to provide these Services including any sub-contractor, volunteer, licensee or employee.  </w:t>
      </w:r>
    </w:p>
    <w:p w14:paraId="68AFDC8D" w14:textId="77777777" w:rsidR="007A69D4" w:rsidRDefault="007A69D4" w:rsidP="0048690E">
      <w:pPr>
        <w:pStyle w:val="BlockText"/>
        <w:spacing w:line="240" w:lineRule="auto"/>
        <w:ind w:left="0" w:right="0"/>
      </w:pPr>
    </w:p>
    <w:p w14:paraId="3DAD008A" w14:textId="77777777" w:rsidR="007A69D4" w:rsidRDefault="007A69D4" w:rsidP="0048690E">
      <w:pPr>
        <w:pStyle w:val="BlockText"/>
        <w:spacing w:line="240" w:lineRule="auto"/>
        <w:ind w:left="0" w:right="-1"/>
      </w:pPr>
      <w:r>
        <w:t xml:space="preserve">References to “staff” or “employees” in this Agreement includes where appropriate volunteers providing these Services. </w:t>
      </w:r>
    </w:p>
    <w:p w14:paraId="30FA7684" w14:textId="77777777" w:rsidR="00B04172" w:rsidRDefault="00B04172" w:rsidP="0048690E">
      <w:pPr>
        <w:pStyle w:val="BlockText"/>
        <w:spacing w:line="240" w:lineRule="auto"/>
        <w:ind w:left="0" w:right="-1"/>
      </w:pPr>
    </w:p>
    <w:p w14:paraId="13A16B44" w14:textId="54AF7241" w:rsidR="00B04172" w:rsidRDefault="00B04172" w:rsidP="0048690E">
      <w:pPr>
        <w:pStyle w:val="BlockText"/>
        <w:spacing w:line="240" w:lineRule="auto"/>
        <w:ind w:left="0" w:right="-1"/>
      </w:pPr>
      <w:r>
        <w:t>Any square brackets in this Agreement shall be deemed to be deleted.</w:t>
      </w:r>
    </w:p>
    <w:p w14:paraId="69BF1096" w14:textId="5CEC9A1B" w:rsidR="00B17FBC" w:rsidRDefault="00B17FBC" w:rsidP="0048690E">
      <w:pPr>
        <w:pStyle w:val="BlockText"/>
        <w:spacing w:line="240" w:lineRule="auto"/>
        <w:ind w:left="0" w:right="-1"/>
      </w:pPr>
    </w:p>
    <w:p w14:paraId="7BE0F7F0" w14:textId="6A9FD2CB" w:rsidR="00B17FBC" w:rsidRDefault="00B17FBC" w:rsidP="0048690E">
      <w:pPr>
        <w:pStyle w:val="BlockText"/>
        <w:spacing w:line="240" w:lineRule="auto"/>
        <w:ind w:left="0" w:right="-1"/>
      </w:pPr>
    </w:p>
    <w:p w14:paraId="1066AD8F" w14:textId="46342574" w:rsidR="00B17FBC" w:rsidRDefault="00B17FBC" w:rsidP="0048690E">
      <w:pPr>
        <w:pStyle w:val="BlockText"/>
        <w:spacing w:line="240" w:lineRule="auto"/>
        <w:ind w:left="0" w:right="-1"/>
      </w:pPr>
    </w:p>
    <w:p w14:paraId="598DBF43" w14:textId="2661A43C" w:rsidR="00B17FBC" w:rsidRDefault="00B17FBC" w:rsidP="0048690E">
      <w:pPr>
        <w:pStyle w:val="BlockText"/>
        <w:spacing w:line="240" w:lineRule="auto"/>
        <w:ind w:left="0" w:right="-1"/>
      </w:pPr>
    </w:p>
    <w:p w14:paraId="0AE65CF4" w14:textId="17BCA540" w:rsidR="00B17FBC" w:rsidRDefault="00B17FBC" w:rsidP="0048690E">
      <w:pPr>
        <w:pStyle w:val="BlockText"/>
        <w:spacing w:line="240" w:lineRule="auto"/>
        <w:ind w:left="0" w:right="-1"/>
      </w:pPr>
    </w:p>
    <w:p w14:paraId="3B1C39EE" w14:textId="3E369DD5" w:rsidR="00B17FBC" w:rsidRDefault="00B17FBC" w:rsidP="0048690E">
      <w:pPr>
        <w:pStyle w:val="BlockText"/>
        <w:spacing w:line="240" w:lineRule="auto"/>
        <w:ind w:left="0" w:right="-1"/>
      </w:pPr>
    </w:p>
    <w:p w14:paraId="5051C96C" w14:textId="5243BE58" w:rsidR="00B17FBC" w:rsidRDefault="00B17FBC" w:rsidP="0048690E">
      <w:pPr>
        <w:pStyle w:val="BlockText"/>
        <w:spacing w:line="240" w:lineRule="auto"/>
        <w:ind w:left="0" w:right="-1"/>
      </w:pPr>
    </w:p>
    <w:p w14:paraId="0BEA29F6" w14:textId="1B9E0155" w:rsidR="00B17FBC" w:rsidRDefault="00B17FBC" w:rsidP="0048690E">
      <w:pPr>
        <w:pStyle w:val="BlockText"/>
        <w:spacing w:line="240" w:lineRule="auto"/>
        <w:ind w:left="0" w:right="-1"/>
      </w:pPr>
    </w:p>
    <w:p w14:paraId="17A5EC14" w14:textId="77777777" w:rsidR="00B17FBC" w:rsidRDefault="00B17FBC" w:rsidP="0048690E">
      <w:pPr>
        <w:pStyle w:val="BlockText"/>
        <w:spacing w:line="240" w:lineRule="auto"/>
        <w:ind w:left="0" w:right="-1"/>
      </w:pPr>
    </w:p>
    <w:p w14:paraId="329CC3DB" w14:textId="77777777" w:rsidR="0048690E" w:rsidRDefault="0048690E" w:rsidP="0048690E">
      <w:pPr>
        <w:pStyle w:val="BlockText"/>
        <w:spacing w:line="240" w:lineRule="auto"/>
        <w:ind w:left="0" w:right="0"/>
      </w:pPr>
    </w:p>
    <w:p w14:paraId="43126C38" w14:textId="77777777" w:rsidR="007A69D4" w:rsidRDefault="007A69D4" w:rsidP="0048690E">
      <w:pPr>
        <w:tabs>
          <w:tab w:val="left" w:pos="-720"/>
        </w:tabs>
        <w:suppressAutoHyphens/>
        <w:ind w:right="-1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IN WITNESS</w:t>
      </w:r>
      <w:r>
        <w:rPr>
          <w:rFonts w:ascii="Arial" w:hAnsi="Arial"/>
          <w:spacing w:val="-3"/>
          <w:sz w:val="22"/>
        </w:rPr>
        <w:t xml:space="preserve"> the parties have entered into this Agreement by signature of their respective duly authorised representatives.</w:t>
      </w:r>
    </w:p>
    <w:p w14:paraId="34CE7B02" w14:textId="77777777" w:rsidR="0048690E" w:rsidRDefault="0048690E" w:rsidP="0048690E">
      <w:pPr>
        <w:tabs>
          <w:tab w:val="left" w:pos="-720"/>
        </w:tabs>
        <w:suppressAutoHyphens/>
        <w:ind w:right="-1"/>
        <w:jc w:val="both"/>
        <w:rPr>
          <w:rFonts w:ascii="Arial" w:hAnsi="Arial"/>
          <w:spacing w:val="-3"/>
          <w:sz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6095"/>
      </w:tblGrid>
      <w:tr w:rsidR="007A69D4" w14:paraId="5E583920" w14:textId="77777777">
        <w:tc>
          <w:tcPr>
            <w:tcW w:w="4678" w:type="dxa"/>
          </w:tcPr>
          <w:p w14:paraId="7051CD52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Signed by:  </w:t>
            </w:r>
          </w:p>
        </w:tc>
        <w:tc>
          <w:tcPr>
            <w:tcW w:w="6095" w:type="dxa"/>
          </w:tcPr>
          <w:p w14:paraId="0D3EBB94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Signed by:  </w:t>
            </w:r>
          </w:p>
          <w:p w14:paraId="3AAEC8C0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7A69D4" w14:paraId="7432AEDA" w14:textId="77777777">
        <w:tc>
          <w:tcPr>
            <w:tcW w:w="4678" w:type="dxa"/>
          </w:tcPr>
          <w:p w14:paraId="7994767C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t>Position:</w:t>
            </w:r>
          </w:p>
          <w:p w14:paraId="4F926889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6095" w:type="dxa"/>
          </w:tcPr>
          <w:p w14:paraId="3EC1226A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t>Position:</w:t>
            </w:r>
          </w:p>
          <w:p w14:paraId="125223C3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</w:tr>
      <w:tr w:rsidR="007A69D4" w14:paraId="190762F2" w14:textId="77777777">
        <w:tc>
          <w:tcPr>
            <w:tcW w:w="4678" w:type="dxa"/>
          </w:tcPr>
          <w:p w14:paraId="576AD82E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lastRenderedPageBreak/>
              <w:t>Signature:</w:t>
            </w:r>
          </w:p>
          <w:p w14:paraId="38F447A2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  <w:p w14:paraId="0E6CF369" w14:textId="77777777" w:rsidR="00B04172" w:rsidRDefault="00B04172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6095" w:type="dxa"/>
          </w:tcPr>
          <w:p w14:paraId="04C2C9A8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Signature:</w:t>
            </w:r>
          </w:p>
          <w:p w14:paraId="3FBEE296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7A69D4" w14:paraId="18442C71" w14:textId="77777777">
        <w:tc>
          <w:tcPr>
            <w:tcW w:w="4678" w:type="dxa"/>
          </w:tcPr>
          <w:p w14:paraId="4B6B9835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  <w:u w:val="single"/>
              </w:rPr>
              <w:t>FOR AND ON BEHALF OF THE COUNCIL</w:t>
            </w:r>
          </w:p>
        </w:tc>
        <w:tc>
          <w:tcPr>
            <w:tcW w:w="6095" w:type="dxa"/>
          </w:tcPr>
          <w:p w14:paraId="79BB0F3A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  <w:u w:val="single"/>
              </w:rPr>
              <w:t>FOR AND ON BEHALF OF THE PROVIDER</w:t>
            </w:r>
          </w:p>
        </w:tc>
      </w:tr>
      <w:tr w:rsidR="007A69D4" w14:paraId="20336E9D" w14:textId="77777777">
        <w:tc>
          <w:tcPr>
            <w:tcW w:w="4678" w:type="dxa"/>
          </w:tcPr>
          <w:p w14:paraId="0A69B502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Signed by:  </w:t>
            </w:r>
          </w:p>
          <w:p w14:paraId="1451CBEC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6095" w:type="dxa"/>
          </w:tcPr>
          <w:p w14:paraId="2108C712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Signed by:  </w:t>
            </w:r>
          </w:p>
          <w:p w14:paraId="68C9C911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7A69D4" w14:paraId="31B7ED1C" w14:textId="77777777">
        <w:tc>
          <w:tcPr>
            <w:tcW w:w="4678" w:type="dxa"/>
          </w:tcPr>
          <w:p w14:paraId="702743EA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t>Position:</w:t>
            </w:r>
          </w:p>
          <w:p w14:paraId="2D6561C5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6095" w:type="dxa"/>
          </w:tcPr>
          <w:p w14:paraId="25647C7D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t>Position:</w:t>
            </w:r>
          </w:p>
          <w:p w14:paraId="1B088A8C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</w:tr>
      <w:tr w:rsidR="007A69D4" w14:paraId="59A5C296" w14:textId="77777777">
        <w:tc>
          <w:tcPr>
            <w:tcW w:w="4678" w:type="dxa"/>
          </w:tcPr>
          <w:p w14:paraId="78101340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t>Signature:</w:t>
            </w:r>
          </w:p>
          <w:p w14:paraId="1BBF746A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6095" w:type="dxa"/>
          </w:tcPr>
          <w:p w14:paraId="1AE1CB38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Signature:</w:t>
            </w:r>
          </w:p>
          <w:p w14:paraId="633DEC79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7A69D4" w14:paraId="76124FC8" w14:textId="77777777">
        <w:tc>
          <w:tcPr>
            <w:tcW w:w="4678" w:type="dxa"/>
          </w:tcPr>
          <w:p w14:paraId="4726CC28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  <w:u w:val="single"/>
              </w:rPr>
              <w:t>FOR AND ON BEHALF OF THE COUNCIL</w:t>
            </w:r>
          </w:p>
        </w:tc>
        <w:tc>
          <w:tcPr>
            <w:tcW w:w="6095" w:type="dxa"/>
          </w:tcPr>
          <w:p w14:paraId="3673084D" w14:textId="77777777"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  <w:u w:val="single"/>
              </w:rPr>
              <w:t>FOR AND ON BEHALF OF THE PROVIDER</w:t>
            </w:r>
          </w:p>
        </w:tc>
      </w:tr>
    </w:tbl>
    <w:p w14:paraId="378B9562" w14:textId="77777777" w:rsidR="007A69D4" w:rsidRDefault="007A69D4" w:rsidP="00996A69">
      <w:pPr>
        <w:pStyle w:val="BlockText"/>
        <w:ind w:left="0" w:right="-1"/>
      </w:pPr>
      <w:bookmarkStart w:id="0" w:name="_GoBack"/>
      <w:bookmarkEnd w:id="0"/>
    </w:p>
    <w:sectPr w:rsidR="007A69D4" w:rsidSect="00EC74E5">
      <w:footerReference w:type="default" r:id="rId7"/>
      <w:endnotePr>
        <w:numFmt w:val="decimal"/>
      </w:endnotePr>
      <w:pgSz w:w="11907" w:h="16840" w:code="9"/>
      <w:pgMar w:top="851" w:right="851" w:bottom="851" w:left="851" w:header="567" w:footer="289" w:gutter="0"/>
      <w:pgNumType w:start="1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F2278" w16cex:dateUtc="2021-07-06T17:42:00Z"/>
  <w16cex:commentExtensible w16cex:durableId="248F22EE" w16cex:dateUtc="2021-07-06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3CB209" w16cid:durableId="248F2278"/>
  <w16cid:commentId w16cid:paraId="755E5F0D" w16cid:durableId="248F22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9DB54" w14:textId="77777777" w:rsidR="004F0457" w:rsidRDefault="004F0457">
      <w:pPr>
        <w:spacing w:line="20" w:lineRule="exact"/>
        <w:rPr>
          <w:sz w:val="24"/>
        </w:rPr>
      </w:pPr>
    </w:p>
  </w:endnote>
  <w:endnote w:type="continuationSeparator" w:id="0">
    <w:p w14:paraId="29C034B3" w14:textId="77777777" w:rsidR="004F0457" w:rsidRDefault="004F0457">
      <w:r>
        <w:rPr>
          <w:sz w:val="24"/>
        </w:rPr>
        <w:t xml:space="preserve"> </w:t>
      </w:r>
    </w:p>
  </w:endnote>
  <w:endnote w:type="continuationNotice" w:id="1">
    <w:p w14:paraId="56B722F5" w14:textId="77777777" w:rsidR="004F0457" w:rsidRDefault="004F045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A536" w14:textId="77777777" w:rsidR="00EC78F8" w:rsidRDefault="00EC78F8">
    <w:pPr>
      <w:pBdr>
        <w:top w:val="single" w:sz="4" w:space="1" w:color="auto"/>
      </w:pBdr>
      <w:spacing w:before="140" w:line="100" w:lineRule="exact"/>
      <w:rPr>
        <w:rFonts w:ascii="Arial" w:hAnsi="Arial"/>
        <w:sz w:val="16"/>
      </w:rPr>
    </w:pPr>
  </w:p>
  <w:p w14:paraId="6E7BC588" w14:textId="77777777" w:rsidR="00EC78F8" w:rsidRPr="00F670D6" w:rsidRDefault="00DD671D" w:rsidP="00F670D6">
    <w:pPr>
      <w:pStyle w:val="Heading1"/>
      <w:rPr>
        <w:b w:val="0"/>
        <w:bCs/>
        <w:sz w:val="16"/>
        <w:szCs w:val="16"/>
      </w:rPr>
    </w:pPr>
    <w:r>
      <w:rPr>
        <w:b w:val="0"/>
        <w:sz w:val="16"/>
        <w:szCs w:val="16"/>
      </w:rPr>
      <w:t>Precedent Services Contract (under EU threshold</w:t>
    </w:r>
    <w:r w:rsidR="00EC78F8" w:rsidRPr="00F670D6">
      <w:rPr>
        <w:b w:val="0"/>
        <w:bCs/>
        <w:sz w:val="16"/>
        <w:szCs w:val="16"/>
      </w:rPr>
      <w:t>)</w:t>
    </w:r>
  </w:p>
  <w:p w14:paraId="1D55E619" w14:textId="77777777" w:rsidR="00EC78F8" w:rsidRDefault="00EC78F8" w:rsidP="00F670D6">
    <w:pPr>
      <w:pStyle w:val="Heading1"/>
      <w:rPr>
        <w:b w:val="0"/>
        <w:sz w:val="16"/>
        <w:szCs w:val="16"/>
      </w:rPr>
    </w:pPr>
    <w:r w:rsidRPr="00F670D6">
      <w:rPr>
        <w:b w:val="0"/>
        <w:sz w:val="16"/>
        <w:szCs w:val="16"/>
      </w:rPr>
      <w:t>Specific Terms</w:t>
    </w:r>
  </w:p>
  <w:p w14:paraId="03691D7C" w14:textId="77777777" w:rsidR="00100B91" w:rsidRPr="00100B91" w:rsidRDefault="00100B91" w:rsidP="00100B91">
    <w:pPr>
      <w:pStyle w:val="Heading1"/>
      <w:rPr>
        <w:b w:val="0"/>
        <w:sz w:val="16"/>
        <w:szCs w:val="16"/>
      </w:rPr>
    </w:pPr>
    <w:r w:rsidRPr="00100B91">
      <w:rPr>
        <w:b w:val="0"/>
        <w:sz w:val="16"/>
        <w:szCs w:val="16"/>
      </w:rPr>
      <w:t>Contracts Team – Legal Services</w:t>
    </w:r>
  </w:p>
  <w:p w14:paraId="729CCDB3" w14:textId="77777777" w:rsidR="00EC78F8" w:rsidRPr="00F670D6" w:rsidRDefault="00F034B1" w:rsidP="00F670D6">
    <w:pPr>
      <w:pStyle w:val="Heading1"/>
      <w:rPr>
        <w:b w:val="0"/>
        <w:sz w:val="16"/>
        <w:szCs w:val="16"/>
      </w:rPr>
    </w:pPr>
    <w:r>
      <w:rPr>
        <w:b w:val="0"/>
        <w:sz w:val="16"/>
        <w:szCs w:val="16"/>
      </w:rPr>
      <w:t>January 2020</w:t>
    </w:r>
  </w:p>
  <w:p w14:paraId="048C39F3" w14:textId="2E3C0827" w:rsidR="00EC78F8" w:rsidRDefault="00EC78F8">
    <w:pPr>
      <w:spacing w:before="140" w:line="100" w:lineRule="exact"/>
      <w:jc w:val="center"/>
      <w:rPr>
        <w:rStyle w:val="PageNumber"/>
        <w:rFonts w:ascii="Arial" w:hAnsi="Arial"/>
        <w:sz w:val="22"/>
      </w:rPr>
    </w:pPr>
    <w:r>
      <w:rPr>
        <w:rFonts w:ascii="Arial" w:hAnsi="Arial"/>
        <w:sz w:val="22"/>
      </w:rPr>
      <w:t xml:space="preserve">Page </w:t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797664">
      <w:rPr>
        <w:rStyle w:val="PageNumber"/>
        <w:rFonts w:ascii="Arial" w:hAnsi="Arial"/>
        <w:noProof/>
        <w:sz w:val="22"/>
      </w:rPr>
      <w:t>2</w:t>
    </w:r>
    <w:r>
      <w:rPr>
        <w:rStyle w:val="PageNumber"/>
        <w:rFonts w:ascii="Arial" w:hAnsi="Arial"/>
        <w:sz w:val="22"/>
      </w:rPr>
      <w:fldChar w:fldCharType="end"/>
    </w:r>
  </w:p>
  <w:p w14:paraId="1297E4BD" w14:textId="77777777" w:rsidR="00EC78F8" w:rsidRDefault="00EC78F8">
    <w:pPr>
      <w:spacing w:before="140" w:line="100" w:lineRule="exact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8F78" w14:textId="77777777" w:rsidR="004F0457" w:rsidRDefault="004F0457">
      <w:r>
        <w:rPr>
          <w:sz w:val="24"/>
        </w:rPr>
        <w:separator/>
      </w:r>
    </w:p>
  </w:footnote>
  <w:footnote w:type="continuationSeparator" w:id="0">
    <w:p w14:paraId="1157E3F6" w14:textId="77777777" w:rsidR="004F0457" w:rsidRDefault="004F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8FE"/>
    <w:multiLevelType w:val="hybridMultilevel"/>
    <w:tmpl w:val="E6E23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E1D4E"/>
    <w:multiLevelType w:val="multilevel"/>
    <w:tmpl w:val="60FAB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7"/>
    <w:rsid w:val="00024CBD"/>
    <w:rsid w:val="000545C9"/>
    <w:rsid w:val="00055051"/>
    <w:rsid w:val="00092B17"/>
    <w:rsid w:val="000C57FF"/>
    <w:rsid w:val="00100B91"/>
    <w:rsid w:val="00117F3B"/>
    <w:rsid w:val="00133D1B"/>
    <w:rsid w:val="00136FBA"/>
    <w:rsid w:val="0023672C"/>
    <w:rsid w:val="00297ECE"/>
    <w:rsid w:val="002A21E1"/>
    <w:rsid w:val="003C002D"/>
    <w:rsid w:val="003F101B"/>
    <w:rsid w:val="0048690E"/>
    <w:rsid w:val="004E4FA7"/>
    <w:rsid w:val="004F0457"/>
    <w:rsid w:val="004F730C"/>
    <w:rsid w:val="006542B7"/>
    <w:rsid w:val="00662E38"/>
    <w:rsid w:val="006B3D66"/>
    <w:rsid w:val="006C3F2A"/>
    <w:rsid w:val="007457FE"/>
    <w:rsid w:val="00745EBB"/>
    <w:rsid w:val="00797664"/>
    <w:rsid w:val="007A69D4"/>
    <w:rsid w:val="00823BFC"/>
    <w:rsid w:val="0083314B"/>
    <w:rsid w:val="00922F0A"/>
    <w:rsid w:val="00937C74"/>
    <w:rsid w:val="00996A69"/>
    <w:rsid w:val="00B02EB6"/>
    <w:rsid w:val="00B04172"/>
    <w:rsid w:val="00B17FBC"/>
    <w:rsid w:val="00B54734"/>
    <w:rsid w:val="00B94229"/>
    <w:rsid w:val="00CD52AB"/>
    <w:rsid w:val="00CE6231"/>
    <w:rsid w:val="00D31EC3"/>
    <w:rsid w:val="00D64824"/>
    <w:rsid w:val="00DD671D"/>
    <w:rsid w:val="00E3301B"/>
    <w:rsid w:val="00E46F86"/>
    <w:rsid w:val="00EC74E5"/>
    <w:rsid w:val="00EC78F8"/>
    <w:rsid w:val="00F034B1"/>
    <w:rsid w:val="00F0677F"/>
    <w:rsid w:val="00F6317F"/>
    <w:rsid w:val="00F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7CEDD2"/>
  <w15:docId w15:val="{53FDAD89-59B0-4C88-87C8-4C0F3CB6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-142"/>
      </w:tabs>
      <w:suppressAutoHyphens/>
      <w:jc w:val="both"/>
      <w:outlineLvl w:val="2"/>
    </w:pPr>
    <w:rPr>
      <w:rFonts w:ascii="Arial" w:hAnsi="Arial"/>
      <w:i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720"/>
        <w:tab w:val="left" w:pos="0"/>
        <w:tab w:val="left" w:pos="317"/>
      </w:tabs>
      <w:suppressAutoHyphens/>
      <w:jc w:val="both"/>
      <w:outlineLvl w:val="3"/>
    </w:pPr>
    <w:rPr>
      <w:rFonts w:ascii="Arial" w:hAnsi="Arial"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-720"/>
        <w:tab w:val="left" w:pos="0"/>
      </w:tabs>
      <w:suppressAutoHyphens/>
      <w:jc w:val="both"/>
      <w:outlineLvl w:val="5"/>
    </w:pPr>
    <w:rPr>
      <w:rFonts w:ascii="Arial" w:hAnsi="Arial"/>
      <w:spacing w:val="-3"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rFonts w:ascii="Arial" w:hAnsi="Arial"/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-720"/>
      </w:tabs>
      <w:suppressAutoHyphens/>
      <w:jc w:val="both"/>
      <w:outlineLvl w:val="7"/>
    </w:pPr>
    <w:rPr>
      <w:rFonts w:ascii="Arial" w:hAnsi="Arial"/>
      <w:b/>
      <w:spacing w:val="-3"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ind w:left="1134" w:hanging="876"/>
      <w:jc w:val="both"/>
    </w:pPr>
    <w:rPr>
      <w:rFonts w:ascii="Arial" w:hAnsi="Arial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-108"/>
        <w:tab w:val="left" w:pos="0"/>
      </w:tabs>
      <w:suppressAutoHyphens/>
      <w:ind w:left="317"/>
      <w:jc w:val="both"/>
    </w:pPr>
    <w:rPr>
      <w:rFonts w:ascii="Arial" w:hAnsi="Arial"/>
      <w:spacing w:val="-3"/>
      <w:sz w:val="24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/>
      <w:ind w:left="317" w:hanging="108"/>
      <w:jc w:val="both"/>
    </w:pPr>
    <w:rPr>
      <w:rFonts w:ascii="Arial" w:hAnsi="Arial"/>
      <w:spacing w:val="-3"/>
      <w:sz w:val="24"/>
    </w:rPr>
  </w:style>
  <w:style w:type="paragraph" w:styleId="BodyText">
    <w:name w:val="Body Text"/>
    <w:basedOn w:val="Normal"/>
    <w:pPr>
      <w:tabs>
        <w:tab w:val="left" w:pos="-720"/>
        <w:tab w:val="left" w:pos="851"/>
      </w:tabs>
      <w:suppressAutoHyphens/>
      <w:jc w:val="both"/>
    </w:pPr>
    <w:rPr>
      <w:rFonts w:ascii="Arial" w:hAnsi="Arial"/>
      <w:spacing w:val="-3"/>
      <w:sz w:val="24"/>
    </w:rPr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pPr>
      <w:tabs>
        <w:tab w:val="left" w:pos="-720"/>
        <w:tab w:val="left" w:pos="-142"/>
      </w:tabs>
      <w:suppressAutoHyphens/>
      <w:jc w:val="both"/>
    </w:pPr>
    <w:rPr>
      <w:rFonts w:ascii="Arial" w:hAnsi="Arial"/>
      <w:i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134" w:hanging="1134"/>
      <w:jc w:val="both"/>
    </w:pPr>
    <w:rPr>
      <w:rFonts w:ascii="Arial" w:hAnsi="Arial"/>
      <w:spacing w:val="-3"/>
      <w:sz w:val="24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360" w:lineRule="auto"/>
      <w:ind w:left="720" w:right="691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lFontBody">
    <w:name w:val="lFont: Body"/>
    <w:rsid w:val="006542B7"/>
    <w:rPr>
      <w:rFonts w:ascii="Courier New" w:hAnsi="Courier New"/>
      <w:noProof w:val="0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B02E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2EB6"/>
  </w:style>
  <w:style w:type="character" w:customStyle="1" w:styleId="CommentTextChar">
    <w:name w:val="Comment Text Char"/>
    <w:basedOn w:val="DefaultParagraphFont"/>
    <w:link w:val="CommentText"/>
    <w:semiHidden/>
    <w:rsid w:val="00B02E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2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2EB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563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Consultancy Agreement - Precedent</vt:lpstr>
    </vt:vector>
  </TitlesOfParts>
  <Company>Southwark Legal Services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Consultancy Agreement - Precedent</dc:title>
  <dc:creator>Mary Micklewright</dc:creator>
  <cp:lastModifiedBy>Ngonyama, Rose</cp:lastModifiedBy>
  <cp:revision>3</cp:revision>
  <cp:lastPrinted>2008-04-16T12:35:00Z</cp:lastPrinted>
  <dcterms:created xsi:type="dcterms:W3CDTF">2021-07-07T13:00:00Z</dcterms:created>
  <dcterms:modified xsi:type="dcterms:W3CDTF">2021-07-07T13:21:00Z</dcterms:modified>
</cp:coreProperties>
</file>