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71" w:rsidRDefault="00FD3AD2" w:rsidP="00FD3AD2">
      <w:pPr>
        <w:pStyle w:val="Heading1"/>
        <w:spacing w:before="0" w:line="240" w:lineRule="auto"/>
        <w:jc w:val="center"/>
        <w:rPr>
          <w:rStyle w:val="HEADINGINCAPS-12PTBOLD"/>
          <w:rFonts w:cs="Calibri"/>
          <w:b/>
          <w:bCs w:val="0"/>
          <w:color w:val="auto"/>
          <w:szCs w:val="24"/>
          <w:u w:val="single"/>
        </w:rPr>
      </w:pPr>
      <w:r w:rsidRPr="00FD3AD2">
        <w:rPr>
          <w:rStyle w:val="HEADINGINCAPS-12PTBOLD"/>
          <w:rFonts w:cs="Calibri"/>
          <w:b/>
          <w:bCs w:val="0"/>
          <w:color w:val="auto"/>
          <w:szCs w:val="24"/>
          <w:u w:val="single"/>
        </w:rPr>
        <w:t xml:space="preserve">Appendix I: </w:t>
      </w:r>
      <w:r w:rsidR="00F30FCF">
        <w:rPr>
          <w:rStyle w:val="HEADINGINCAPS-12PTBOLD"/>
          <w:rFonts w:cs="Calibri"/>
          <w:b/>
          <w:bCs w:val="0"/>
          <w:color w:val="auto"/>
          <w:szCs w:val="24"/>
          <w:u w:val="single"/>
        </w:rPr>
        <w:t xml:space="preserve">Blackpool Context: </w:t>
      </w:r>
      <w:r w:rsidR="00980817">
        <w:rPr>
          <w:rStyle w:val="HEADINGINCAPS-12PTBOLD"/>
          <w:rFonts w:cs="Calibri"/>
          <w:b/>
          <w:bCs w:val="0"/>
          <w:color w:val="auto"/>
          <w:szCs w:val="24"/>
          <w:u w:val="single"/>
        </w:rPr>
        <w:t>Universal Primary Resilience Programme</w:t>
      </w:r>
    </w:p>
    <w:p w:rsidR="00FD3AD2" w:rsidRPr="00FD3AD2" w:rsidRDefault="00391148" w:rsidP="00FD3AD2">
      <w:pPr>
        <w:pStyle w:val="Heading1"/>
        <w:spacing w:before="0" w:line="240" w:lineRule="auto"/>
        <w:jc w:val="center"/>
        <w:rPr>
          <w:rStyle w:val="HEADINGINCAPS-12PTBOLD"/>
          <w:rFonts w:cs="Calibri"/>
          <w:b/>
          <w:bCs w:val="0"/>
          <w:color w:val="auto"/>
          <w:szCs w:val="24"/>
          <w:u w:val="single"/>
        </w:rPr>
      </w:pPr>
      <w:r>
        <w:rPr>
          <w:rStyle w:val="HEADINGINCAPS-12PTBOLD"/>
          <w:rFonts w:cs="Calibri"/>
          <w:b/>
          <w:bCs w:val="0"/>
          <w:color w:val="auto"/>
          <w:szCs w:val="24"/>
          <w:u w:val="single"/>
        </w:rPr>
        <w:t xml:space="preserve"> Summary Information and </w:t>
      </w:r>
      <w:r w:rsidR="00FD3AD2" w:rsidRPr="00FD3AD2">
        <w:rPr>
          <w:rStyle w:val="HEADINGINCAPS-12PTBOLD"/>
          <w:rFonts w:cs="Calibri"/>
          <w:b/>
          <w:bCs w:val="0"/>
          <w:color w:val="auto"/>
          <w:szCs w:val="24"/>
          <w:u w:val="single"/>
        </w:rPr>
        <w:t>Blackpool Key Statistics</w:t>
      </w:r>
    </w:p>
    <w:p w:rsidR="000B5ED4" w:rsidRDefault="000B5ED4" w:rsidP="000B5ED4">
      <w:pPr>
        <w:jc w:val="both"/>
        <w:rPr>
          <w:rFonts w:cs="Arial"/>
          <w:b/>
          <w:bCs/>
        </w:rPr>
      </w:pPr>
    </w:p>
    <w:p w:rsidR="004822BA" w:rsidRDefault="004822BA" w:rsidP="004822BA">
      <w:pPr>
        <w:suppressAutoHyphens/>
        <w:autoSpaceDN w:val="0"/>
        <w:textAlignment w:val="baseline"/>
        <w:rPr>
          <w:rFonts w:cs="Arial"/>
          <w:b/>
          <w:i/>
          <w:color w:val="000000"/>
          <w:u w:val="single"/>
        </w:rPr>
      </w:pPr>
      <w:r>
        <w:rPr>
          <w:rFonts w:cs="Arial"/>
          <w:b/>
          <w:bCs/>
          <w:i/>
          <w:color w:val="000000"/>
        </w:rPr>
        <w:t xml:space="preserve">RFQ Process for: - </w:t>
      </w:r>
      <w:r>
        <w:rPr>
          <w:rFonts w:cs="Arial"/>
          <w:b/>
          <w:bCs/>
          <w:i/>
          <w:color w:val="000000"/>
          <w:u w:val="single"/>
        </w:rPr>
        <w:t xml:space="preserve">‘The Provision of a </w:t>
      </w:r>
      <w:r w:rsidR="00980817">
        <w:rPr>
          <w:rFonts w:cs="Arial"/>
          <w:b/>
          <w:bCs/>
          <w:i/>
          <w:color w:val="000000"/>
          <w:u w:val="single"/>
        </w:rPr>
        <w:t>Universal Primary Resilience Programme</w:t>
      </w:r>
    </w:p>
    <w:p w:rsidR="00FD3AD2" w:rsidRDefault="00FD3AD2" w:rsidP="009D5910">
      <w:pPr>
        <w:pStyle w:val="Heading1"/>
        <w:spacing w:before="0" w:line="240" w:lineRule="auto"/>
        <w:rPr>
          <w:rStyle w:val="HEADINGINCAPS-12PTBOLD"/>
          <w:rFonts w:cs="Calibri"/>
          <w:b/>
          <w:bCs w:val="0"/>
          <w:sz w:val="28"/>
          <w:szCs w:val="24"/>
        </w:rPr>
      </w:pPr>
    </w:p>
    <w:p w:rsidR="00B86A6C" w:rsidRDefault="00980817" w:rsidP="009D5910">
      <w:pPr>
        <w:pStyle w:val="Heading1"/>
        <w:spacing w:before="0" w:line="240" w:lineRule="auto"/>
        <w:rPr>
          <w:rStyle w:val="HEADINGINCAPS-12PTBOLD"/>
          <w:rFonts w:cs="Calibri"/>
          <w:b/>
          <w:bCs w:val="0"/>
          <w:sz w:val="28"/>
          <w:szCs w:val="24"/>
        </w:rPr>
      </w:pPr>
      <w:r>
        <w:rPr>
          <w:rStyle w:val="HEADINGINCAPS-12PTBOLD"/>
          <w:rFonts w:cs="Calibri"/>
          <w:b/>
          <w:bCs w:val="0"/>
          <w:sz w:val="28"/>
          <w:szCs w:val="24"/>
        </w:rPr>
        <w:t>Universal Primary Resilience</w:t>
      </w:r>
    </w:p>
    <w:p w:rsidR="00B86A6C" w:rsidRDefault="00B86A6C" w:rsidP="009D5910">
      <w:pPr>
        <w:pStyle w:val="Heading1"/>
        <w:spacing w:before="0" w:line="240" w:lineRule="auto"/>
        <w:rPr>
          <w:rStyle w:val="HEADINGINCAPS-12PTBOLD"/>
          <w:rFonts w:cs="Calibri"/>
          <w:b/>
          <w:bCs w:val="0"/>
          <w:sz w:val="28"/>
          <w:szCs w:val="24"/>
        </w:rPr>
      </w:pPr>
    </w:p>
    <w:p w:rsidR="00980817" w:rsidRPr="00D041C8" w:rsidRDefault="00980817" w:rsidP="00980817">
      <w:pPr>
        <w:rPr>
          <w:b/>
        </w:rPr>
      </w:pPr>
      <w:r w:rsidRPr="00D041C8">
        <w:rPr>
          <w:b/>
        </w:rPr>
        <w:t>Background</w:t>
      </w:r>
    </w:p>
    <w:p w:rsidR="00980817" w:rsidRPr="00D041C8" w:rsidRDefault="00980817" w:rsidP="00980817">
      <w:pPr>
        <w:spacing w:after="160"/>
      </w:pPr>
      <w:proofErr w:type="spellStart"/>
      <w:r w:rsidRPr="00D041C8">
        <w:t>HeadStart</w:t>
      </w:r>
      <w:proofErr w:type="spellEnd"/>
      <w:r w:rsidRPr="00D041C8">
        <w:t xml:space="preserve"> Blackpool is an innovative new 5 year strategic programme, with </w:t>
      </w:r>
      <w:r w:rsidR="00EE57E9">
        <w:t>£10,000,000 in total</w:t>
      </w:r>
      <w:bookmarkStart w:id="0" w:name="_GoBack"/>
      <w:bookmarkEnd w:id="0"/>
      <w:r w:rsidRPr="00D041C8">
        <w:t xml:space="preserve"> invested by the Big Lottery to build the resilience of young people aged 10-16 and therefore reduce the number that go on to develop mental health conditions in the future.</w:t>
      </w:r>
    </w:p>
    <w:p w:rsidR="00980817" w:rsidRPr="00D041C8" w:rsidRDefault="00980817" w:rsidP="00980817">
      <w:pPr>
        <w:spacing w:after="160"/>
      </w:pPr>
      <w:r w:rsidRPr="00D041C8">
        <w:t xml:space="preserve">Blackpool Council, the lead organisation for the investment, has an existing 5 year Council Plan with just 2 objectives, achieving economic re generation and building resilient communities. Therefore, the </w:t>
      </w:r>
      <w:proofErr w:type="spellStart"/>
      <w:r w:rsidRPr="00D041C8">
        <w:t>HeadStart</w:t>
      </w:r>
      <w:proofErr w:type="spellEnd"/>
      <w:r w:rsidRPr="00D041C8">
        <w:t xml:space="preserve"> investment will form part of the whole town strategy and take a collaborative approach to transforming systems for young people, in both our schools and the community, to ensure they grow up in environments that actively promote their resilience and allow them to flourish and succeed in life (whatever that may mean for them)</w:t>
      </w:r>
    </w:p>
    <w:p w:rsidR="00980817" w:rsidRPr="00D041C8" w:rsidRDefault="00980817" w:rsidP="00980817">
      <w:pPr>
        <w:spacing w:after="160"/>
      </w:pPr>
      <w:proofErr w:type="spellStart"/>
      <w:r w:rsidRPr="00D041C8">
        <w:t>HeadStart</w:t>
      </w:r>
      <w:proofErr w:type="spellEnd"/>
      <w:r w:rsidRPr="00D041C8">
        <w:t xml:space="preserve"> Blackpool in now in phase 3 of the investment, this phased approach, which began in 2014,  has enabled all 12 of the </w:t>
      </w:r>
      <w:proofErr w:type="spellStart"/>
      <w:r w:rsidRPr="00D041C8">
        <w:t>HeadStart</w:t>
      </w:r>
      <w:proofErr w:type="spellEnd"/>
      <w:r w:rsidRPr="00D041C8">
        <w:t xml:space="preserve"> partnerships to pilot new and innovative activities to evaluate their impact and to develop the bid for phase 3 ( see attached) . The bid document will have all the information you require in order to develop your application, however we would ask you to give particular attention to the phase 3 strategy chapter that outlines the delivery framework for the programme.</w:t>
      </w:r>
    </w:p>
    <w:p w:rsidR="00980817" w:rsidRPr="00D041C8" w:rsidRDefault="00980817" w:rsidP="00980817">
      <w:pPr>
        <w:spacing w:after="160"/>
      </w:pPr>
      <w:r w:rsidRPr="00D041C8">
        <w:t xml:space="preserve">Young people in the town have clearly articulated to the </w:t>
      </w:r>
      <w:proofErr w:type="spellStart"/>
      <w:r w:rsidRPr="00D041C8">
        <w:t>HeadStart</w:t>
      </w:r>
      <w:proofErr w:type="spellEnd"/>
      <w:r w:rsidRPr="00D041C8">
        <w:t xml:space="preserve"> partnership the adversity that they face on a daily basis and in response to this we have adopted a social justice approach to the investment by actively working towards reducing the adversity that exists in the town and to level out the playing field for our more disadvantaged young people. Young people are at the heart of this investment and will continue to drive forward the development of the programme to ensure that meeting the needs of young people is always our ultimate priority.</w:t>
      </w:r>
    </w:p>
    <w:p w:rsidR="00980817" w:rsidRDefault="00980817" w:rsidP="00980817">
      <w:pPr>
        <w:spacing w:after="160"/>
      </w:pPr>
      <w:r w:rsidRPr="00D041C8">
        <w:t>The investment will fund a number of traineeships and apprentice roles across the programme that will be prioritised to Blackpool young people who have experienced disadvantage and there is a clear expectation that any successful providers will provide a minimum of one apprenticeship within their commission. Applicants will also need to clearly demonstrate how young people have influenced their applications.</w:t>
      </w:r>
    </w:p>
    <w:p w:rsidR="00914901" w:rsidRPr="009D5910" w:rsidRDefault="00980817" w:rsidP="009D5910">
      <w:pPr>
        <w:pStyle w:val="Heading1"/>
        <w:spacing w:before="0" w:line="240" w:lineRule="auto"/>
        <w:rPr>
          <w:rStyle w:val="HEADINGINCAPS-12PTBOLD"/>
          <w:rFonts w:cs="Calibri"/>
          <w:b/>
          <w:bCs w:val="0"/>
          <w:sz w:val="28"/>
          <w:szCs w:val="24"/>
        </w:rPr>
      </w:pPr>
      <w:r>
        <w:rPr>
          <w:rStyle w:val="HEADINGINCAPS-12PTBOLD"/>
          <w:rFonts w:cs="Calibri"/>
          <w:b/>
          <w:bCs w:val="0"/>
          <w:sz w:val="28"/>
          <w:szCs w:val="24"/>
        </w:rPr>
        <w:lastRenderedPageBreak/>
        <w:t>B</w:t>
      </w:r>
      <w:r w:rsidR="00914901" w:rsidRPr="009D5910">
        <w:rPr>
          <w:rStyle w:val="HEADINGINCAPS-12PTBOLD"/>
          <w:rFonts w:cs="Calibri"/>
          <w:b/>
          <w:bCs w:val="0"/>
          <w:sz w:val="28"/>
          <w:szCs w:val="24"/>
        </w:rPr>
        <w:t>lackpool - Key Statistics</w:t>
      </w:r>
    </w:p>
    <w:p w:rsidR="00914901" w:rsidRPr="009D5910" w:rsidRDefault="00914901" w:rsidP="00447DE9">
      <w:pPr>
        <w:pStyle w:val="Heading3"/>
        <w:rPr>
          <w:rStyle w:val="HEADINGINCAPS-12PTBOLD"/>
          <w:rFonts w:cs="Calibri"/>
          <w:b/>
          <w:bCs w:val="0"/>
          <w:szCs w:val="24"/>
        </w:rPr>
      </w:pPr>
      <w:r w:rsidRPr="009D5910">
        <w:rPr>
          <w:rStyle w:val="HEADINGINCAPS-12PTBOLD"/>
          <w:rFonts w:cs="Calibri"/>
          <w:b/>
          <w:bCs w:val="0"/>
          <w:szCs w:val="24"/>
        </w:rPr>
        <w:t>Location</w:t>
      </w:r>
    </w:p>
    <w:p w:rsidR="00914901" w:rsidRDefault="00914901" w:rsidP="000409CD">
      <w:pPr>
        <w:rPr>
          <w:sz w:val="20"/>
          <w:szCs w:val="20"/>
        </w:rPr>
      </w:pPr>
      <w:r w:rsidRPr="00DE5D84">
        <w:rPr>
          <w:sz w:val="20"/>
          <w:szCs w:val="20"/>
        </w:rPr>
        <w:t xml:space="preserve">Blackpool is a large seaside town located in Lancashire County in North West England. </w:t>
      </w:r>
      <w:r w:rsidRPr="000409CD">
        <w:rPr>
          <w:sz w:val="20"/>
          <w:szCs w:val="20"/>
        </w:rPr>
        <w:t>Blackpool</w:t>
      </w:r>
      <w:r>
        <w:rPr>
          <w:sz w:val="20"/>
          <w:szCs w:val="20"/>
        </w:rPr>
        <w:t xml:space="preserve"> is a Unitary Authority and</w:t>
      </w:r>
      <w:r w:rsidRPr="000409CD">
        <w:rPr>
          <w:sz w:val="20"/>
          <w:szCs w:val="20"/>
        </w:rPr>
        <w:t xml:space="preserve"> covers an area of 13.46 square miles</w:t>
      </w:r>
      <w:r w:rsidR="0006574F">
        <w:rPr>
          <w:sz w:val="20"/>
          <w:szCs w:val="20"/>
        </w:rPr>
        <w:t>. Blackpool boundary sits</w:t>
      </w:r>
      <w:r w:rsidRPr="000409CD">
        <w:rPr>
          <w:sz w:val="20"/>
          <w:szCs w:val="20"/>
        </w:rPr>
        <w:t xml:space="preserve"> within the urban area stretching along the Fylde Coast, and is one of the most densely populated authorities in the UK</w:t>
      </w:r>
      <w:r w:rsidR="0006574F">
        <w:rPr>
          <w:sz w:val="20"/>
          <w:szCs w:val="20"/>
        </w:rPr>
        <w:t xml:space="preserve"> outside London</w:t>
      </w:r>
      <w:r w:rsidRPr="000409CD">
        <w:rPr>
          <w:sz w:val="20"/>
          <w:szCs w:val="20"/>
        </w:rPr>
        <w:t xml:space="preserve">. </w:t>
      </w:r>
    </w:p>
    <w:p w:rsidR="00914901" w:rsidRPr="009D5910" w:rsidRDefault="00914901" w:rsidP="00F340B7">
      <w:pPr>
        <w:pStyle w:val="Heading3"/>
        <w:rPr>
          <w:rStyle w:val="HEADINGINCAPS-12PTBOLD"/>
          <w:rFonts w:cs="Calibri"/>
          <w:b/>
          <w:bCs w:val="0"/>
          <w:szCs w:val="24"/>
        </w:rPr>
      </w:pPr>
      <w:r w:rsidRPr="009D5910">
        <w:rPr>
          <w:rStyle w:val="HEADINGINCAPS-12PTBOLD"/>
          <w:rFonts w:cs="Calibri"/>
          <w:b/>
          <w:bCs w:val="0"/>
          <w:szCs w:val="24"/>
        </w:rPr>
        <w:t>Demographics</w:t>
      </w:r>
    </w:p>
    <w:p w:rsidR="00914901" w:rsidRDefault="00914901">
      <w:pPr>
        <w:rPr>
          <w:sz w:val="20"/>
          <w:szCs w:val="20"/>
        </w:rPr>
      </w:pPr>
      <w:r w:rsidRPr="00DE5D84">
        <w:rPr>
          <w:sz w:val="20"/>
          <w:szCs w:val="20"/>
        </w:rPr>
        <w:t>The population of Blackpool</w:t>
      </w:r>
      <w:r w:rsidRPr="00DE5D84">
        <w:rPr>
          <w:sz w:val="20"/>
          <w:szCs w:val="20"/>
          <w:vertAlign w:val="superscript"/>
        </w:rPr>
        <w:endnoteReference w:id="1"/>
      </w:r>
      <w:r w:rsidRPr="00DE5D84">
        <w:rPr>
          <w:sz w:val="20"/>
          <w:szCs w:val="20"/>
          <w:vertAlign w:val="superscript"/>
        </w:rPr>
        <w:t xml:space="preserve"> </w:t>
      </w:r>
      <w:r w:rsidRPr="00DE5D84">
        <w:rPr>
          <w:sz w:val="20"/>
          <w:szCs w:val="20"/>
        </w:rPr>
        <w:t>is estimated at 14</w:t>
      </w:r>
      <w:r>
        <w:rPr>
          <w:sz w:val="20"/>
          <w:szCs w:val="20"/>
        </w:rPr>
        <w:t>1</w:t>
      </w:r>
      <w:r w:rsidRPr="00DE5D84">
        <w:rPr>
          <w:sz w:val="20"/>
          <w:szCs w:val="20"/>
        </w:rPr>
        <w:t>,</w:t>
      </w:r>
      <w:r w:rsidR="00C3573B">
        <w:rPr>
          <w:sz w:val="20"/>
          <w:szCs w:val="20"/>
        </w:rPr>
        <w:t>400</w:t>
      </w:r>
      <w:r w:rsidRPr="00DE5D84">
        <w:rPr>
          <w:sz w:val="20"/>
          <w:szCs w:val="20"/>
        </w:rPr>
        <w:t xml:space="preserve">, </w:t>
      </w:r>
      <w:r>
        <w:rPr>
          <w:sz w:val="20"/>
          <w:szCs w:val="20"/>
        </w:rPr>
        <w:t>with</w:t>
      </w:r>
      <w:r w:rsidRPr="00DE5D84">
        <w:rPr>
          <w:sz w:val="20"/>
          <w:szCs w:val="20"/>
        </w:rPr>
        <w:t xml:space="preserve"> a larger proportion of residents aged 60+ compared to national age structure. Residents are mostly of White </w:t>
      </w:r>
      <w:r w:rsidR="006126DF">
        <w:rPr>
          <w:sz w:val="20"/>
          <w:szCs w:val="20"/>
        </w:rPr>
        <w:t xml:space="preserve">British </w:t>
      </w:r>
      <w:r w:rsidRPr="00DE5D84">
        <w:rPr>
          <w:sz w:val="20"/>
          <w:szCs w:val="20"/>
        </w:rPr>
        <w:t>ethnicity</w:t>
      </w:r>
      <w:r w:rsidR="006126DF">
        <w:rPr>
          <w:sz w:val="20"/>
          <w:szCs w:val="20"/>
        </w:rPr>
        <w:t>.</w:t>
      </w:r>
      <w:r>
        <w:rPr>
          <w:sz w:val="20"/>
          <w:szCs w:val="20"/>
        </w:rPr>
        <w:t xml:space="preserve"> Black and Minority Ethnic groups</w:t>
      </w:r>
      <w:r w:rsidR="006126DF">
        <w:rPr>
          <w:sz w:val="20"/>
          <w:szCs w:val="20"/>
        </w:rPr>
        <w:t xml:space="preserve">, including Irish and European residents, are </w:t>
      </w:r>
      <w:r w:rsidRPr="00DE5D84">
        <w:rPr>
          <w:sz w:val="20"/>
          <w:szCs w:val="20"/>
        </w:rPr>
        <w:t xml:space="preserve">estimated to make up </w:t>
      </w:r>
      <w:r w:rsidR="006126DF">
        <w:rPr>
          <w:sz w:val="20"/>
          <w:szCs w:val="20"/>
        </w:rPr>
        <w:t>6</w:t>
      </w:r>
      <w:r w:rsidRPr="00DE5D84">
        <w:rPr>
          <w:sz w:val="20"/>
          <w:szCs w:val="20"/>
        </w:rPr>
        <w:t xml:space="preserve">% of the population approximately </w:t>
      </w:r>
      <w:r w:rsidR="006126DF" w:rsidRPr="006126DF">
        <w:rPr>
          <w:sz w:val="20"/>
          <w:szCs w:val="20"/>
        </w:rPr>
        <w:t>8</w:t>
      </w:r>
      <w:r w:rsidR="006126DF">
        <w:rPr>
          <w:sz w:val="20"/>
          <w:szCs w:val="20"/>
        </w:rPr>
        <w:t>500</w:t>
      </w:r>
      <w:r w:rsidR="006126DF" w:rsidRPr="006126DF">
        <w:rPr>
          <w:sz w:val="20"/>
          <w:szCs w:val="20"/>
        </w:rPr>
        <w:t xml:space="preserve"> </w:t>
      </w:r>
      <w:r w:rsidRPr="00DE5D84">
        <w:rPr>
          <w:sz w:val="20"/>
          <w:szCs w:val="20"/>
        </w:rPr>
        <w:t xml:space="preserve">people, compared with the estimated proportion for England of </w:t>
      </w:r>
      <w:r w:rsidR="006126DF">
        <w:rPr>
          <w:sz w:val="20"/>
          <w:szCs w:val="20"/>
        </w:rPr>
        <w:t>20</w:t>
      </w:r>
      <w:r w:rsidRPr="00DE5D84">
        <w:rPr>
          <w:sz w:val="20"/>
          <w:szCs w:val="20"/>
        </w:rPr>
        <w:t>%.</w:t>
      </w:r>
    </w:p>
    <w:p w:rsidR="00ED5FB9" w:rsidRDefault="00ED5FB9">
      <w:pPr>
        <w:rPr>
          <w:sz w:val="20"/>
          <w:szCs w:val="20"/>
        </w:rPr>
      </w:pPr>
    </w:p>
    <w:p w:rsidR="00ED5FB9" w:rsidRDefault="00ED5FB9">
      <w:pPr>
        <w:rPr>
          <w:sz w:val="20"/>
          <w:szCs w:val="20"/>
        </w:rPr>
      </w:pPr>
    </w:p>
    <w:p w:rsidR="00ED5FB9" w:rsidRPr="00DE5D84" w:rsidRDefault="00ED5FB9">
      <w:pPr>
        <w:rPr>
          <w:sz w:val="20"/>
          <w:szCs w:val="20"/>
        </w:rPr>
      </w:pPr>
    </w:p>
    <w:p w:rsidR="00914901" w:rsidRPr="00F437D9" w:rsidRDefault="00914901" w:rsidP="0039376F">
      <w:pPr>
        <w:pStyle w:val="Figuretext"/>
      </w:pPr>
      <w:r w:rsidRPr="00F437D9">
        <w:t>Table 1: Population Demographics</w:t>
      </w:r>
    </w:p>
    <w:tbl>
      <w:tblPr>
        <w:tblW w:w="0" w:type="auto"/>
        <w:jc w:val="center"/>
        <w:tblInd w:w="1523" w:type="dxa"/>
        <w:tblBorders>
          <w:top w:val="single" w:sz="8" w:space="0" w:color="4F81BD"/>
          <w:bottom w:val="single" w:sz="8" w:space="0" w:color="4F81BD"/>
        </w:tblBorders>
        <w:tblLook w:val="0080" w:firstRow="0" w:lastRow="0" w:firstColumn="1" w:lastColumn="0" w:noHBand="0" w:noVBand="0"/>
      </w:tblPr>
      <w:tblGrid>
        <w:gridCol w:w="3504"/>
        <w:gridCol w:w="1779"/>
        <w:gridCol w:w="1129"/>
      </w:tblGrid>
      <w:tr w:rsidR="00914901" w:rsidRPr="008D710D" w:rsidTr="004578AA">
        <w:trPr>
          <w:jc w:val="center"/>
        </w:trPr>
        <w:tc>
          <w:tcPr>
            <w:tcW w:w="3504" w:type="dxa"/>
            <w:tcBorders>
              <w:top w:val="single" w:sz="8" w:space="0" w:color="5F497A"/>
              <w:bottom w:val="nil"/>
            </w:tcBorders>
            <w:shd w:val="clear" w:color="auto" w:fill="E5DFEC"/>
          </w:tcPr>
          <w:p w:rsidR="00914901" w:rsidRPr="008D710D" w:rsidRDefault="00914901" w:rsidP="008D710D">
            <w:pPr>
              <w:autoSpaceDE w:val="0"/>
              <w:autoSpaceDN w:val="0"/>
              <w:adjustRightInd w:val="0"/>
              <w:spacing w:after="0" w:line="240" w:lineRule="auto"/>
              <w:rPr>
                <w:b/>
                <w:bCs/>
                <w:color w:val="000000"/>
                <w:sz w:val="16"/>
                <w:szCs w:val="16"/>
              </w:rPr>
            </w:pPr>
            <w:r w:rsidRPr="008D710D">
              <w:rPr>
                <w:b/>
                <w:bCs/>
                <w:color w:val="000000"/>
                <w:sz w:val="18"/>
                <w:szCs w:val="16"/>
              </w:rPr>
              <w:t>Age</w:t>
            </w:r>
            <w:r w:rsidRPr="008D710D">
              <w:rPr>
                <w:rStyle w:val="EndnoteReference"/>
                <w:b/>
                <w:bCs/>
                <w:color w:val="000000"/>
                <w:sz w:val="16"/>
                <w:szCs w:val="16"/>
              </w:rPr>
              <w:endnoteReference w:id="2"/>
            </w:r>
          </w:p>
        </w:tc>
        <w:tc>
          <w:tcPr>
            <w:tcW w:w="1779" w:type="dxa"/>
            <w:tcBorders>
              <w:top w:val="single" w:sz="8" w:space="0" w:color="5F497A"/>
              <w:bottom w:val="nil"/>
            </w:tcBorders>
            <w:shd w:val="clear" w:color="auto" w:fill="E5DFEC"/>
          </w:tcPr>
          <w:p w:rsidR="00914901" w:rsidRPr="008D710D" w:rsidRDefault="00914901" w:rsidP="008D710D">
            <w:pPr>
              <w:spacing w:after="0" w:line="240" w:lineRule="auto"/>
              <w:jc w:val="center"/>
              <w:rPr>
                <w:b/>
                <w:color w:val="000000"/>
                <w:sz w:val="18"/>
                <w:szCs w:val="16"/>
              </w:rPr>
            </w:pPr>
            <w:r w:rsidRPr="008D710D">
              <w:rPr>
                <w:b/>
                <w:color w:val="000000"/>
                <w:sz w:val="18"/>
                <w:szCs w:val="16"/>
              </w:rPr>
              <w:t>Blackpool</w:t>
            </w:r>
          </w:p>
        </w:tc>
        <w:tc>
          <w:tcPr>
            <w:tcW w:w="1129" w:type="dxa"/>
            <w:tcBorders>
              <w:top w:val="single" w:sz="8" w:space="0" w:color="5F497A"/>
              <w:bottom w:val="nil"/>
            </w:tcBorders>
            <w:shd w:val="clear" w:color="auto" w:fill="E5DFEC"/>
          </w:tcPr>
          <w:p w:rsidR="00914901" w:rsidRPr="008D710D" w:rsidRDefault="00914901" w:rsidP="008D710D">
            <w:pPr>
              <w:spacing w:after="0" w:line="240" w:lineRule="auto"/>
              <w:jc w:val="center"/>
              <w:rPr>
                <w:b/>
                <w:color w:val="000000"/>
                <w:sz w:val="18"/>
                <w:szCs w:val="16"/>
              </w:rPr>
            </w:pPr>
            <w:r w:rsidRPr="008D710D">
              <w:rPr>
                <w:b/>
                <w:color w:val="000000"/>
                <w:sz w:val="18"/>
                <w:szCs w:val="16"/>
              </w:rPr>
              <w:t>England</w:t>
            </w:r>
          </w:p>
        </w:tc>
      </w:tr>
      <w:tr w:rsidR="00C3573B" w:rsidRPr="008D710D" w:rsidTr="004578AA">
        <w:trPr>
          <w:jc w:val="center"/>
        </w:trPr>
        <w:tc>
          <w:tcPr>
            <w:tcW w:w="3504" w:type="dxa"/>
            <w:tcBorders>
              <w:top w:val="nil"/>
            </w:tcBorders>
          </w:tcPr>
          <w:p w:rsidR="00C3573B" w:rsidRPr="008D710D" w:rsidRDefault="00C3573B" w:rsidP="00E92257">
            <w:pPr>
              <w:autoSpaceDE w:val="0"/>
              <w:autoSpaceDN w:val="0"/>
              <w:adjustRightInd w:val="0"/>
              <w:spacing w:after="0" w:line="360" w:lineRule="auto"/>
              <w:ind w:left="360"/>
              <w:jc w:val="right"/>
              <w:rPr>
                <w:rFonts w:ascii="Arial" w:hAnsi="Arial" w:cs="Arial"/>
                <w:b/>
                <w:bCs/>
                <w:color w:val="000000"/>
                <w:sz w:val="16"/>
                <w:szCs w:val="16"/>
              </w:rPr>
            </w:pPr>
            <w:r w:rsidRPr="008D710D">
              <w:rPr>
                <w:rFonts w:ascii="Arial" w:hAnsi="Arial" w:cs="Arial"/>
                <w:b/>
                <w:bCs/>
                <w:color w:val="000000"/>
                <w:sz w:val="16"/>
                <w:szCs w:val="16"/>
              </w:rPr>
              <w:t>Aged 0-1</w:t>
            </w:r>
            <w:r>
              <w:rPr>
                <w:rFonts w:ascii="Arial" w:hAnsi="Arial" w:cs="Arial"/>
                <w:b/>
                <w:bCs/>
                <w:color w:val="000000"/>
                <w:sz w:val="16"/>
                <w:szCs w:val="16"/>
              </w:rPr>
              <w:t>7</w:t>
            </w:r>
            <w:r w:rsidRPr="008D710D">
              <w:rPr>
                <w:rFonts w:ascii="Arial" w:hAnsi="Arial" w:cs="Arial"/>
                <w:b/>
                <w:bCs/>
                <w:color w:val="000000"/>
                <w:sz w:val="16"/>
                <w:szCs w:val="16"/>
              </w:rPr>
              <w:t xml:space="preserve"> years</w:t>
            </w:r>
          </w:p>
        </w:tc>
        <w:tc>
          <w:tcPr>
            <w:tcW w:w="1779" w:type="dxa"/>
            <w:tcBorders>
              <w:top w:val="nil"/>
            </w:tcBorders>
          </w:tcPr>
          <w:p w:rsidR="00C3573B" w:rsidRPr="00C3573B" w:rsidRDefault="00C3573B" w:rsidP="00C3573B">
            <w:pPr>
              <w:spacing w:after="0"/>
              <w:jc w:val="center"/>
              <w:rPr>
                <w:rFonts w:ascii="Arial" w:hAnsi="Arial" w:cs="Arial"/>
                <w:color w:val="000000"/>
                <w:sz w:val="16"/>
                <w:szCs w:val="16"/>
              </w:rPr>
            </w:pPr>
            <w:r w:rsidRPr="00C3573B">
              <w:rPr>
                <w:rFonts w:ascii="Arial" w:hAnsi="Arial" w:cs="Arial"/>
                <w:color w:val="000000"/>
                <w:sz w:val="16"/>
                <w:szCs w:val="16"/>
              </w:rPr>
              <w:t>21%</w:t>
            </w:r>
          </w:p>
        </w:tc>
        <w:tc>
          <w:tcPr>
            <w:tcW w:w="1129" w:type="dxa"/>
            <w:tcBorders>
              <w:top w:val="nil"/>
            </w:tcBorders>
          </w:tcPr>
          <w:p w:rsidR="00C3573B" w:rsidRDefault="00C3573B" w:rsidP="00AD700C">
            <w:pPr>
              <w:spacing w:after="0"/>
              <w:jc w:val="center"/>
              <w:rPr>
                <w:rFonts w:ascii="Arial" w:hAnsi="Arial" w:cs="Arial"/>
                <w:color w:val="000000"/>
                <w:sz w:val="16"/>
                <w:szCs w:val="16"/>
              </w:rPr>
            </w:pPr>
            <w:r>
              <w:rPr>
                <w:rFonts w:ascii="Arial" w:hAnsi="Arial" w:cs="Arial"/>
                <w:color w:val="000000"/>
                <w:sz w:val="16"/>
                <w:szCs w:val="16"/>
              </w:rPr>
              <w:t>21%</w:t>
            </w:r>
          </w:p>
        </w:tc>
      </w:tr>
      <w:tr w:rsidR="00C3573B" w:rsidRPr="008D710D" w:rsidTr="00B57AD1">
        <w:trPr>
          <w:jc w:val="center"/>
        </w:trPr>
        <w:tc>
          <w:tcPr>
            <w:tcW w:w="3504" w:type="dxa"/>
          </w:tcPr>
          <w:p w:rsidR="00C3573B" w:rsidRPr="008D710D" w:rsidRDefault="00C3573B" w:rsidP="008D710D">
            <w:pPr>
              <w:autoSpaceDE w:val="0"/>
              <w:autoSpaceDN w:val="0"/>
              <w:adjustRightInd w:val="0"/>
              <w:spacing w:after="0" w:line="360" w:lineRule="auto"/>
              <w:ind w:left="360"/>
              <w:jc w:val="right"/>
              <w:rPr>
                <w:rFonts w:ascii="Arial" w:hAnsi="Arial" w:cs="Arial"/>
                <w:b/>
                <w:bCs/>
                <w:color w:val="000000"/>
                <w:sz w:val="16"/>
                <w:szCs w:val="16"/>
              </w:rPr>
            </w:pPr>
            <w:r w:rsidRPr="008D710D">
              <w:rPr>
                <w:rFonts w:ascii="Arial" w:hAnsi="Arial" w:cs="Arial"/>
                <w:b/>
                <w:bCs/>
                <w:color w:val="000000"/>
                <w:sz w:val="16"/>
                <w:szCs w:val="16"/>
              </w:rPr>
              <w:t>Aged 1</w:t>
            </w:r>
            <w:r>
              <w:rPr>
                <w:rFonts w:ascii="Arial" w:hAnsi="Arial" w:cs="Arial"/>
                <w:b/>
                <w:bCs/>
                <w:color w:val="000000"/>
                <w:sz w:val="16"/>
                <w:szCs w:val="16"/>
              </w:rPr>
              <w:t>8</w:t>
            </w:r>
            <w:r w:rsidRPr="008D710D">
              <w:rPr>
                <w:rFonts w:ascii="Arial" w:hAnsi="Arial" w:cs="Arial"/>
                <w:b/>
                <w:bCs/>
                <w:color w:val="000000"/>
                <w:sz w:val="16"/>
                <w:szCs w:val="16"/>
              </w:rPr>
              <w:t>-24 years</w:t>
            </w:r>
          </w:p>
        </w:tc>
        <w:tc>
          <w:tcPr>
            <w:tcW w:w="1779" w:type="dxa"/>
          </w:tcPr>
          <w:p w:rsidR="00C3573B" w:rsidRPr="00C3573B" w:rsidRDefault="00C3573B" w:rsidP="00C3573B">
            <w:pPr>
              <w:spacing w:after="0"/>
              <w:jc w:val="center"/>
              <w:rPr>
                <w:rFonts w:ascii="Arial" w:hAnsi="Arial" w:cs="Arial"/>
                <w:color w:val="000000"/>
                <w:sz w:val="16"/>
                <w:szCs w:val="16"/>
              </w:rPr>
            </w:pPr>
            <w:r w:rsidRPr="00C3573B">
              <w:rPr>
                <w:rFonts w:ascii="Arial" w:hAnsi="Arial" w:cs="Arial"/>
                <w:color w:val="000000"/>
                <w:sz w:val="16"/>
                <w:szCs w:val="16"/>
              </w:rPr>
              <w:t>9%</w:t>
            </w:r>
          </w:p>
        </w:tc>
        <w:tc>
          <w:tcPr>
            <w:tcW w:w="1129" w:type="dxa"/>
          </w:tcPr>
          <w:p w:rsidR="00C3573B" w:rsidRDefault="00C3573B" w:rsidP="00AD700C">
            <w:pPr>
              <w:spacing w:after="0"/>
              <w:jc w:val="center"/>
              <w:rPr>
                <w:rFonts w:ascii="Arial" w:hAnsi="Arial" w:cs="Arial"/>
                <w:color w:val="000000"/>
                <w:sz w:val="16"/>
                <w:szCs w:val="16"/>
              </w:rPr>
            </w:pPr>
            <w:r>
              <w:rPr>
                <w:rFonts w:ascii="Arial" w:hAnsi="Arial" w:cs="Arial"/>
                <w:color w:val="000000"/>
                <w:sz w:val="16"/>
                <w:szCs w:val="16"/>
              </w:rPr>
              <w:t>9%</w:t>
            </w:r>
          </w:p>
        </w:tc>
      </w:tr>
      <w:tr w:rsidR="00C3573B" w:rsidRPr="008D710D" w:rsidTr="00B57AD1">
        <w:trPr>
          <w:jc w:val="center"/>
        </w:trPr>
        <w:tc>
          <w:tcPr>
            <w:tcW w:w="3504" w:type="dxa"/>
          </w:tcPr>
          <w:p w:rsidR="00C3573B" w:rsidRPr="008D710D" w:rsidRDefault="00C3573B" w:rsidP="008D710D">
            <w:pPr>
              <w:autoSpaceDE w:val="0"/>
              <w:autoSpaceDN w:val="0"/>
              <w:adjustRightInd w:val="0"/>
              <w:spacing w:after="0" w:line="360" w:lineRule="auto"/>
              <w:ind w:left="360"/>
              <w:jc w:val="right"/>
              <w:rPr>
                <w:rFonts w:ascii="Arial" w:hAnsi="Arial" w:cs="Arial"/>
                <w:b/>
                <w:bCs/>
                <w:color w:val="000000"/>
                <w:sz w:val="16"/>
                <w:szCs w:val="16"/>
              </w:rPr>
            </w:pPr>
            <w:r w:rsidRPr="008D710D">
              <w:rPr>
                <w:rFonts w:ascii="Arial" w:hAnsi="Arial" w:cs="Arial"/>
                <w:b/>
                <w:bCs/>
                <w:color w:val="000000"/>
                <w:sz w:val="16"/>
                <w:szCs w:val="16"/>
              </w:rPr>
              <w:t>Aged 25-59 years</w:t>
            </w:r>
          </w:p>
        </w:tc>
        <w:tc>
          <w:tcPr>
            <w:tcW w:w="1779" w:type="dxa"/>
          </w:tcPr>
          <w:p w:rsidR="00C3573B" w:rsidRPr="00C3573B" w:rsidRDefault="00C3573B" w:rsidP="00C3573B">
            <w:pPr>
              <w:spacing w:after="0"/>
              <w:jc w:val="center"/>
              <w:rPr>
                <w:rFonts w:ascii="Arial" w:hAnsi="Arial" w:cs="Arial"/>
                <w:color w:val="000000"/>
                <w:sz w:val="16"/>
                <w:szCs w:val="16"/>
              </w:rPr>
            </w:pPr>
            <w:r w:rsidRPr="00C3573B">
              <w:rPr>
                <w:rFonts w:ascii="Arial" w:hAnsi="Arial" w:cs="Arial"/>
                <w:color w:val="000000"/>
                <w:sz w:val="16"/>
                <w:szCs w:val="16"/>
              </w:rPr>
              <w:t>45%</w:t>
            </w:r>
          </w:p>
        </w:tc>
        <w:tc>
          <w:tcPr>
            <w:tcW w:w="1129" w:type="dxa"/>
          </w:tcPr>
          <w:p w:rsidR="00C3573B" w:rsidRDefault="00C3573B" w:rsidP="00AD700C">
            <w:pPr>
              <w:spacing w:after="0"/>
              <w:jc w:val="center"/>
              <w:rPr>
                <w:rFonts w:ascii="Arial" w:hAnsi="Arial" w:cs="Arial"/>
                <w:color w:val="000000"/>
                <w:sz w:val="16"/>
                <w:szCs w:val="16"/>
              </w:rPr>
            </w:pPr>
            <w:r>
              <w:rPr>
                <w:rFonts w:ascii="Arial" w:hAnsi="Arial" w:cs="Arial"/>
                <w:color w:val="000000"/>
                <w:sz w:val="16"/>
                <w:szCs w:val="16"/>
              </w:rPr>
              <w:t>47%</w:t>
            </w:r>
          </w:p>
        </w:tc>
      </w:tr>
      <w:tr w:rsidR="00C3573B" w:rsidRPr="008D710D" w:rsidTr="004578AA">
        <w:trPr>
          <w:jc w:val="center"/>
        </w:trPr>
        <w:tc>
          <w:tcPr>
            <w:tcW w:w="3504" w:type="dxa"/>
            <w:tcBorders>
              <w:bottom w:val="nil"/>
            </w:tcBorders>
          </w:tcPr>
          <w:p w:rsidR="00C3573B" w:rsidRPr="008D710D" w:rsidRDefault="00C3573B" w:rsidP="008D710D">
            <w:pPr>
              <w:autoSpaceDE w:val="0"/>
              <w:autoSpaceDN w:val="0"/>
              <w:adjustRightInd w:val="0"/>
              <w:spacing w:after="0" w:line="360" w:lineRule="auto"/>
              <w:ind w:left="360"/>
              <w:jc w:val="right"/>
              <w:rPr>
                <w:rFonts w:ascii="Arial" w:hAnsi="Arial" w:cs="Arial"/>
                <w:b/>
                <w:bCs/>
                <w:color w:val="000000"/>
                <w:sz w:val="16"/>
                <w:szCs w:val="16"/>
              </w:rPr>
            </w:pPr>
            <w:r w:rsidRPr="008D710D">
              <w:rPr>
                <w:rFonts w:ascii="Arial" w:hAnsi="Arial" w:cs="Arial"/>
                <w:b/>
                <w:bCs/>
                <w:color w:val="000000"/>
                <w:sz w:val="16"/>
                <w:szCs w:val="16"/>
              </w:rPr>
              <w:t>Aged 60+</w:t>
            </w:r>
          </w:p>
        </w:tc>
        <w:tc>
          <w:tcPr>
            <w:tcW w:w="1779" w:type="dxa"/>
            <w:tcBorders>
              <w:bottom w:val="nil"/>
            </w:tcBorders>
          </w:tcPr>
          <w:p w:rsidR="00C3573B" w:rsidRPr="00C3573B" w:rsidRDefault="00C3573B" w:rsidP="00C3573B">
            <w:pPr>
              <w:spacing w:after="0"/>
              <w:jc w:val="center"/>
              <w:rPr>
                <w:rFonts w:ascii="Arial" w:hAnsi="Arial" w:cs="Arial"/>
                <w:color w:val="000000"/>
                <w:sz w:val="16"/>
                <w:szCs w:val="16"/>
              </w:rPr>
            </w:pPr>
            <w:r w:rsidRPr="00C3573B">
              <w:rPr>
                <w:rFonts w:ascii="Arial" w:hAnsi="Arial" w:cs="Arial"/>
                <w:color w:val="000000"/>
                <w:sz w:val="16"/>
                <w:szCs w:val="16"/>
              </w:rPr>
              <w:t>26%</w:t>
            </w:r>
          </w:p>
        </w:tc>
        <w:tc>
          <w:tcPr>
            <w:tcW w:w="1129" w:type="dxa"/>
            <w:tcBorders>
              <w:bottom w:val="nil"/>
            </w:tcBorders>
          </w:tcPr>
          <w:p w:rsidR="00C3573B" w:rsidRDefault="00C3573B" w:rsidP="00AD700C">
            <w:pPr>
              <w:spacing w:after="0"/>
              <w:jc w:val="center"/>
              <w:rPr>
                <w:rFonts w:ascii="Arial" w:hAnsi="Arial" w:cs="Arial"/>
                <w:color w:val="000000"/>
                <w:sz w:val="16"/>
                <w:szCs w:val="16"/>
              </w:rPr>
            </w:pPr>
            <w:r>
              <w:rPr>
                <w:rFonts w:ascii="Arial" w:hAnsi="Arial" w:cs="Arial"/>
                <w:color w:val="000000"/>
                <w:sz w:val="16"/>
                <w:szCs w:val="16"/>
              </w:rPr>
              <w:t>23%</w:t>
            </w:r>
          </w:p>
        </w:tc>
      </w:tr>
      <w:tr w:rsidR="00914901" w:rsidRPr="008D710D" w:rsidTr="004578AA">
        <w:trPr>
          <w:jc w:val="center"/>
        </w:trPr>
        <w:tc>
          <w:tcPr>
            <w:tcW w:w="3504" w:type="dxa"/>
            <w:tcBorders>
              <w:top w:val="nil"/>
              <w:bottom w:val="nil"/>
            </w:tcBorders>
            <w:shd w:val="clear" w:color="auto" w:fill="E5DFEC"/>
          </w:tcPr>
          <w:p w:rsidR="00914901" w:rsidRPr="008D710D" w:rsidRDefault="00914901" w:rsidP="008D710D">
            <w:pPr>
              <w:spacing w:after="0" w:line="240" w:lineRule="auto"/>
              <w:rPr>
                <w:b/>
                <w:bCs/>
                <w:color w:val="000000"/>
                <w:sz w:val="16"/>
                <w:szCs w:val="16"/>
              </w:rPr>
            </w:pPr>
            <w:r w:rsidRPr="008D710D">
              <w:rPr>
                <w:b/>
                <w:bCs/>
                <w:color w:val="000000"/>
                <w:sz w:val="18"/>
                <w:szCs w:val="16"/>
              </w:rPr>
              <w:t>Ethnicity</w:t>
            </w:r>
            <w:r w:rsidRPr="008D710D">
              <w:rPr>
                <w:rStyle w:val="EndnoteReference"/>
                <w:b/>
                <w:bCs/>
                <w:color w:val="000000"/>
                <w:sz w:val="16"/>
                <w:szCs w:val="16"/>
              </w:rPr>
              <w:endnoteReference w:id="3"/>
            </w:r>
          </w:p>
        </w:tc>
        <w:tc>
          <w:tcPr>
            <w:tcW w:w="1779" w:type="dxa"/>
            <w:tcBorders>
              <w:top w:val="nil"/>
              <w:bottom w:val="nil"/>
            </w:tcBorders>
            <w:shd w:val="clear" w:color="auto" w:fill="E5DFEC"/>
          </w:tcPr>
          <w:p w:rsidR="00914901" w:rsidRPr="008D710D" w:rsidRDefault="00914901" w:rsidP="008D710D">
            <w:pPr>
              <w:spacing w:after="0" w:line="240" w:lineRule="auto"/>
              <w:jc w:val="center"/>
              <w:rPr>
                <w:color w:val="000000"/>
                <w:sz w:val="16"/>
                <w:szCs w:val="16"/>
              </w:rPr>
            </w:pPr>
          </w:p>
        </w:tc>
        <w:tc>
          <w:tcPr>
            <w:tcW w:w="1129" w:type="dxa"/>
            <w:tcBorders>
              <w:top w:val="nil"/>
              <w:bottom w:val="nil"/>
            </w:tcBorders>
            <w:shd w:val="clear" w:color="auto" w:fill="E5DFEC"/>
          </w:tcPr>
          <w:p w:rsidR="00914901" w:rsidRPr="008D710D" w:rsidRDefault="00914901" w:rsidP="008D710D">
            <w:pPr>
              <w:spacing w:after="0" w:line="240" w:lineRule="auto"/>
              <w:jc w:val="center"/>
              <w:rPr>
                <w:color w:val="000000"/>
                <w:sz w:val="16"/>
                <w:szCs w:val="16"/>
              </w:rPr>
            </w:pPr>
          </w:p>
        </w:tc>
      </w:tr>
      <w:tr w:rsidR="006126DF" w:rsidRPr="008D710D" w:rsidTr="000855BF">
        <w:trPr>
          <w:jc w:val="center"/>
        </w:trPr>
        <w:tc>
          <w:tcPr>
            <w:tcW w:w="3504" w:type="dxa"/>
            <w:tcBorders>
              <w:top w:val="nil"/>
            </w:tcBorders>
            <w:vAlign w:val="center"/>
          </w:tcPr>
          <w:p w:rsidR="006126DF" w:rsidRPr="00011C76" w:rsidRDefault="006126DF" w:rsidP="00B57AD1">
            <w:pPr>
              <w:autoSpaceDE w:val="0"/>
              <w:autoSpaceDN w:val="0"/>
              <w:adjustRightInd w:val="0"/>
              <w:spacing w:after="0"/>
              <w:ind w:left="360"/>
              <w:jc w:val="right"/>
              <w:rPr>
                <w:rFonts w:ascii="Arial" w:hAnsi="Arial" w:cs="Arial"/>
                <w:b/>
                <w:bCs/>
                <w:color w:val="000000"/>
                <w:sz w:val="16"/>
                <w:szCs w:val="16"/>
              </w:rPr>
            </w:pPr>
            <w:r w:rsidRPr="00011C76">
              <w:rPr>
                <w:rFonts w:ascii="Arial" w:hAnsi="Arial" w:cs="Arial"/>
                <w:b/>
                <w:bCs/>
                <w:color w:val="000000"/>
                <w:sz w:val="16"/>
                <w:szCs w:val="16"/>
              </w:rPr>
              <w:t>White</w:t>
            </w:r>
            <w:r>
              <w:rPr>
                <w:rFonts w:ascii="Arial" w:hAnsi="Arial" w:cs="Arial"/>
                <w:b/>
                <w:bCs/>
                <w:color w:val="000000"/>
                <w:sz w:val="16"/>
                <w:szCs w:val="16"/>
              </w:rPr>
              <w:t xml:space="preserve"> British</w:t>
            </w:r>
          </w:p>
        </w:tc>
        <w:tc>
          <w:tcPr>
            <w:tcW w:w="1779" w:type="dxa"/>
            <w:tcBorders>
              <w:top w:val="nil"/>
            </w:tcBorders>
            <w:vAlign w:val="bottom"/>
          </w:tcPr>
          <w:p w:rsidR="006126DF" w:rsidRPr="006126DF" w:rsidRDefault="006126DF" w:rsidP="006126DF">
            <w:pPr>
              <w:spacing w:after="0"/>
              <w:jc w:val="center"/>
              <w:rPr>
                <w:rFonts w:ascii="Arial" w:hAnsi="Arial" w:cs="Arial"/>
                <w:color w:val="000000"/>
                <w:sz w:val="16"/>
                <w:szCs w:val="16"/>
              </w:rPr>
            </w:pPr>
            <w:r w:rsidRPr="006126DF">
              <w:rPr>
                <w:rFonts w:ascii="Arial" w:hAnsi="Arial" w:cs="Arial"/>
                <w:color w:val="000000"/>
                <w:sz w:val="16"/>
                <w:szCs w:val="16"/>
              </w:rPr>
              <w:t>94%</w:t>
            </w:r>
          </w:p>
        </w:tc>
        <w:tc>
          <w:tcPr>
            <w:tcW w:w="1129" w:type="dxa"/>
            <w:tcBorders>
              <w:top w:val="nil"/>
            </w:tcBorders>
            <w:vAlign w:val="bottom"/>
          </w:tcPr>
          <w:p w:rsidR="006126DF" w:rsidRPr="006126DF" w:rsidRDefault="006126DF" w:rsidP="006126DF">
            <w:pPr>
              <w:spacing w:after="0"/>
              <w:jc w:val="center"/>
              <w:rPr>
                <w:rFonts w:ascii="Arial" w:hAnsi="Arial" w:cs="Arial"/>
                <w:color w:val="000000"/>
                <w:sz w:val="16"/>
                <w:szCs w:val="16"/>
              </w:rPr>
            </w:pPr>
            <w:r w:rsidRPr="006126DF">
              <w:rPr>
                <w:rFonts w:ascii="Arial" w:hAnsi="Arial" w:cs="Arial"/>
                <w:color w:val="000000"/>
                <w:sz w:val="16"/>
                <w:szCs w:val="16"/>
              </w:rPr>
              <w:t>80%</w:t>
            </w:r>
          </w:p>
        </w:tc>
      </w:tr>
      <w:tr w:rsidR="006126DF" w:rsidRPr="008D710D" w:rsidTr="000855BF">
        <w:trPr>
          <w:jc w:val="center"/>
        </w:trPr>
        <w:tc>
          <w:tcPr>
            <w:tcW w:w="3504" w:type="dxa"/>
            <w:tcBorders>
              <w:top w:val="nil"/>
            </w:tcBorders>
            <w:vAlign w:val="center"/>
          </w:tcPr>
          <w:p w:rsidR="006126DF" w:rsidRPr="00011C76" w:rsidRDefault="006126DF" w:rsidP="00B57AD1">
            <w:pPr>
              <w:autoSpaceDE w:val="0"/>
              <w:autoSpaceDN w:val="0"/>
              <w:adjustRightInd w:val="0"/>
              <w:spacing w:after="0"/>
              <w:ind w:left="360"/>
              <w:jc w:val="right"/>
              <w:rPr>
                <w:rFonts w:ascii="Arial" w:hAnsi="Arial" w:cs="Arial"/>
                <w:b/>
                <w:bCs/>
                <w:color w:val="000000"/>
                <w:sz w:val="16"/>
                <w:szCs w:val="16"/>
              </w:rPr>
            </w:pPr>
            <w:r>
              <w:rPr>
                <w:rFonts w:ascii="Arial" w:hAnsi="Arial" w:cs="Arial"/>
                <w:b/>
                <w:bCs/>
                <w:color w:val="000000"/>
                <w:sz w:val="16"/>
                <w:szCs w:val="16"/>
              </w:rPr>
              <w:t>White Other e.g. European, Irish</w:t>
            </w:r>
          </w:p>
        </w:tc>
        <w:tc>
          <w:tcPr>
            <w:tcW w:w="1779" w:type="dxa"/>
            <w:tcBorders>
              <w:top w:val="nil"/>
            </w:tcBorders>
            <w:vAlign w:val="bottom"/>
          </w:tcPr>
          <w:p w:rsidR="006126DF" w:rsidRPr="006126DF" w:rsidRDefault="006126DF" w:rsidP="006126DF">
            <w:pPr>
              <w:spacing w:after="0"/>
              <w:jc w:val="center"/>
              <w:rPr>
                <w:rFonts w:ascii="Arial" w:hAnsi="Arial" w:cs="Arial"/>
                <w:color w:val="000000"/>
                <w:sz w:val="16"/>
                <w:szCs w:val="16"/>
              </w:rPr>
            </w:pPr>
            <w:r w:rsidRPr="006126DF">
              <w:rPr>
                <w:rFonts w:ascii="Arial" w:hAnsi="Arial" w:cs="Arial"/>
                <w:color w:val="000000"/>
                <w:sz w:val="16"/>
                <w:szCs w:val="16"/>
              </w:rPr>
              <w:t>3%</w:t>
            </w:r>
          </w:p>
        </w:tc>
        <w:tc>
          <w:tcPr>
            <w:tcW w:w="1129" w:type="dxa"/>
            <w:tcBorders>
              <w:top w:val="nil"/>
            </w:tcBorders>
            <w:vAlign w:val="bottom"/>
          </w:tcPr>
          <w:p w:rsidR="006126DF" w:rsidRPr="006126DF" w:rsidRDefault="006126DF" w:rsidP="006126DF">
            <w:pPr>
              <w:spacing w:after="0"/>
              <w:jc w:val="center"/>
              <w:rPr>
                <w:rFonts w:ascii="Arial" w:hAnsi="Arial" w:cs="Arial"/>
                <w:color w:val="000000"/>
                <w:sz w:val="16"/>
                <w:szCs w:val="16"/>
              </w:rPr>
            </w:pPr>
            <w:r w:rsidRPr="006126DF">
              <w:rPr>
                <w:rFonts w:ascii="Arial" w:hAnsi="Arial" w:cs="Arial"/>
                <w:color w:val="000000"/>
                <w:sz w:val="16"/>
                <w:szCs w:val="16"/>
              </w:rPr>
              <w:t>6%</w:t>
            </w:r>
          </w:p>
        </w:tc>
      </w:tr>
      <w:tr w:rsidR="006126DF" w:rsidRPr="008D710D" w:rsidTr="000855BF">
        <w:trPr>
          <w:jc w:val="center"/>
        </w:trPr>
        <w:tc>
          <w:tcPr>
            <w:tcW w:w="3504" w:type="dxa"/>
            <w:vAlign w:val="center"/>
          </w:tcPr>
          <w:p w:rsidR="006126DF" w:rsidRPr="00011C76" w:rsidRDefault="006126DF" w:rsidP="00B57AD1">
            <w:pPr>
              <w:autoSpaceDE w:val="0"/>
              <w:autoSpaceDN w:val="0"/>
              <w:adjustRightInd w:val="0"/>
              <w:spacing w:after="0"/>
              <w:ind w:left="360"/>
              <w:jc w:val="right"/>
              <w:rPr>
                <w:rFonts w:ascii="Arial" w:hAnsi="Arial" w:cs="Arial"/>
                <w:b/>
                <w:bCs/>
                <w:color w:val="000000"/>
                <w:sz w:val="16"/>
                <w:szCs w:val="16"/>
              </w:rPr>
            </w:pPr>
            <w:r w:rsidRPr="00011C76">
              <w:rPr>
                <w:rFonts w:ascii="Arial" w:hAnsi="Arial" w:cs="Arial"/>
                <w:b/>
                <w:bCs/>
                <w:color w:val="000000"/>
                <w:sz w:val="16"/>
                <w:szCs w:val="16"/>
              </w:rPr>
              <w:t>Mixed/multiple ethnic groups</w:t>
            </w:r>
          </w:p>
        </w:tc>
        <w:tc>
          <w:tcPr>
            <w:tcW w:w="1779" w:type="dxa"/>
            <w:vAlign w:val="bottom"/>
          </w:tcPr>
          <w:p w:rsidR="006126DF" w:rsidRPr="006126DF" w:rsidRDefault="006126DF" w:rsidP="006126DF">
            <w:pPr>
              <w:spacing w:after="0"/>
              <w:jc w:val="center"/>
              <w:rPr>
                <w:rFonts w:ascii="Arial" w:hAnsi="Arial" w:cs="Arial"/>
                <w:color w:val="000000"/>
                <w:sz w:val="16"/>
                <w:szCs w:val="16"/>
              </w:rPr>
            </w:pPr>
            <w:r w:rsidRPr="006126DF">
              <w:rPr>
                <w:rFonts w:ascii="Arial" w:hAnsi="Arial" w:cs="Arial"/>
                <w:color w:val="000000"/>
                <w:sz w:val="16"/>
                <w:szCs w:val="16"/>
              </w:rPr>
              <w:t>1%</w:t>
            </w:r>
          </w:p>
        </w:tc>
        <w:tc>
          <w:tcPr>
            <w:tcW w:w="1129" w:type="dxa"/>
            <w:vAlign w:val="bottom"/>
          </w:tcPr>
          <w:p w:rsidR="006126DF" w:rsidRPr="006126DF" w:rsidRDefault="006126DF" w:rsidP="006126DF">
            <w:pPr>
              <w:spacing w:after="0"/>
              <w:jc w:val="center"/>
              <w:rPr>
                <w:rFonts w:ascii="Arial" w:hAnsi="Arial" w:cs="Arial"/>
                <w:color w:val="000000"/>
                <w:sz w:val="16"/>
                <w:szCs w:val="16"/>
              </w:rPr>
            </w:pPr>
            <w:r w:rsidRPr="006126DF">
              <w:rPr>
                <w:rFonts w:ascii="Arial" w:hAnsi="Arial" w:cs="Arial"/>
                <w:color w:val="000000"/>
                <w:sz w:val="16"/>
                <w:szCs w:val="16"/>
              </w:rPr>
              <w:t>2%</w:t>
            </w:r>
          </w:p>
        </w:tc>
      </w:tr>
      <w:tr w:rsidR="006126DF" w:rsidRPr="008D710D" w:rsidTr="000855BF">
        <w:trPr>
          <w:jc w:val="center"/>
        </w:trPr>
        <w:tc>
          <w:tcPr>
            <w:tcW w:w="3504" w:type="dxa"/>
            <w:vAlign w:val="center"/>
          </w:tcPr>
          <w:p w:rsidR="006126DF" w:rsidRPr="00011C76" w:rsidRDefault="006126DF" w:rsidP="00B57AD1">
            <w:pPr>
              <w:autoSpaceDE w:val="0"/>
              <w:autoSpaceDN w:val="0"/>
              <w:adjustRightInd w:val="0"/>
              <w:spacing w:after="0"/>
              <w:ind w:left="360"/>
              <w:jc w:val="right"/>
              <w:rPr>
                <w:rFonts w:ascii="Arial" w:hAnsi="Arial" w:cs="Arial"/>
                <w:b/>
                <w:bCs/>
                <w:color w:val="000000"/>
                <w:sz w:val="16"/>
                <w:szCs w:val="16"/>
              </w:rPr>
            </w:pPr>
            <w:r w:rsidRPr="00011C76">
              <w:rPr>
                <w:rFonts w:ascii="Arial" w:hAnsi="Arial" w:cs="Arial"/>
                <w:b/>
                <w:bCs/>
                <w:color w:val="000000"/>
                <w:sz w:val="16"/>
                <w:szCs w:val="16"/>
              </w:rPr>
              <w:t>Asian/Asian British</w:t>
            </w:r>
          </w:p>
        </w:tc>
        <w:tc>
          <w:tcPr>
            <w:tcW w:w="1779" w:type="dxa"/>
            <w:vAlign w:val="bottom"/>
          </w:tcPr>
          <w:p w:rsidR="006126DF" w:rsidRPr="006126DF" w:rsidRDefault="006126DF" w:rsidP="006126DF">
            <w:pPr>
              <w:spacing w:after="0"/>
              <w:jc w:val="center"/>
              <w:rPr>
                <w:rFonts w:ascii="Arial" w:hAnsi="Arial" w:cs="Arial"/>
                <w:color w:val="000000"/>
                <w:sz w:val="16"/>
                <w:szCs w:val="16"/>
              </w:rPr>
            </w:pPr>
            <w:r w:rsidRPr="006126DF">
              <w:rPr>
                <w:rFonts w:ascii="Arial" w:hAnsi="Arial" w:cs="Arial"/>
                <w:color w:val="000000"/>
                <w:sz w:val="16"/>
                <w:szCs w:val="16"/>
              </w:rPr>
              <w:t>2%</w:t>
            </w:r>
          </w:p>
        </w:tc>
        <w:tc>
          <w:tcPr>
            <w:tcW w:w="1129" w:type="dxa"/>
            <w:vAlign w:val="bottom"/>
          </w:tcPr>
          <w:p w:rsidR="006126DF" w:rsidRPr="006126DF" w:rsidRDefault="006126DF" w:rsidP="006126DF">
            <w:pPr>
              <w:spacing w:after="0"/>
              <w:jc w:val="center"/>
              <w:rPr>
                <w:rFonts w:ascii="Arial" w:hAnsi="Arial" w:cs="Arial"/>
                <w:color w:val="000000"/>
                <w:sz w:val="16"/>
                <w:szCs w:val="16"/>
              </w:rPr>
            </w:pPr>
            <w:r w:rsidRPr="006126DF">
              <w:rPr>
                <w:rFonts w:ascii="Arial" w:hAnsi="Arial" w:cs="Arial"/>
                <w:color w:val="000000"/>
                <w:sz w:val="16"/>
                <w:szCs w:val="16"/>
              </w:rPr>
              <w:t>8%</w:t>
            </w:r>
          </w:p>
        </w:tc>
      </w:tr>
      <w:tr w:rsidR="006126DF" w:rsidRPr="008D710D" w:rsidTr="000855BF">
        <w:trPr>
          <w:jc w:val="center"/>
        </w:trPr>
        <w:tc>
          <w:tcPr>
            <w:tcW w:w="3504" w:type="dxa"/>
            <w:vAlign w:val="center"/>
          </w:tcPr>
          <w:p w:rsidR="006126DF" w:rsidRPr="00011C76" w:rsidRDefault="006126DF" w:rsidP="00B57AD1">
            <w:pPr>
              <w:autoSpaceDE w:val="0"/>
              <w:autoSpaceDN w:val="0"/>
              <w:adjustRightInd w:val="0"/>
              <w:spacing w:after="0"/>
              <w:ind w:left="360"/>
              <w:jc w:val="right"/>
              <w:rPr>
                <w:rFonts w:ascii="Arial" w:hAnsi="Arial" w:cs="Arial"/>
                <w:b/>
                <w:bCs/>
                <w:color w:val="000000"/>
                <w:sz w:val="16"/>
                <w:szCs w:val="16"/>
              </w:rPr>
            </w:pPr>
            <w:r w:rsidRPr="00011C76">
              <w:rPr>
                <w:rFonts w:ascii="Arial" w:hAnsi="Arial" w:cs="Arial"/>
                <w:b/>
                <w:bCs/>
                <w:color w:val="000000"/>
                <w:sz w:val="16"/>
                <w:szCs w:val="16"/>
              </w:rPr>
              <w:t>Black/African/Caribbean/Black British</w:t>
            </w:r>
          </w:p>
        </w:tc>
        <w:tc>
          <w:tcPr>
            <w:tcW w:w="1779" w:type="dxa"/>
            <w:vAlign w:val="bottom"/>
          </w:tcPr>
          <w:p w:rsidR="006126DF" w:rsidRPr="006126DF" w:rsidRDefault="006126DF" w:rsidP="006126DF">
            <w:pPr>
              <w:spacing w:after="0"/>
              <w:jc w:val="center"/>
              <w:rPr>
                <w:rFonts w:ascii="Arial" w:hAnsi="Arial" w:cs="Arial"/>
                <w:color w:val="000000"/>
                <w:sz w:val="16"/>
                <w:szCs w:val="16"/>
              </w:rPr>
            </w:pPr>
            <w:r w:rsidRPr="006126DF">
              <w:rPr>
                <w:rFonts w:ascii="Arial" w:hAnsi="Arial" w:cs="Arial"/>
                <w:color w:val="000000"/>
                <w:sz w:val="16"/>
                <w:szCs w:val="16"/>
              </w:rPr>
              <w:t>0.2%</w:t>
            </w:r>
          </w:p>
        </w:tc>
        <w:tc>
          <w:tcPr>
            <w:tcW w:w="1129" w:type="dxa"/>
            <w:vAlign w:val="bottom"/>
          </w:tcPr>
          <w:p w:rsidR="006126DF" w:rsidRPr="006126DF" w:rsidRDefault="006126DF" w:rsidP="006126DF">
            <w:pPr>
              <w:spacing w:after="0"/>
              <w:jc w:val="center"/>
              <w:rPr>
                <w:rFonts w:ascii="Arial" w:hAnsi="Arial" w:cs="Arial"/>
                <w:color w:val="000000"/>
                <w:sz w:val="16"/>
                <w:szCs w:val="16"/>
              </w:rPr>
            </w:pPr>
            <w:r w:rsidRPr="006126DF">
              <w:rPr>
                <w:rFonts w:ascii="Arial" w:hAnsi="Arial" w:cs="Arial"/>
                <w:color w:val="000000"/>
                <w:sz w:val="16"/>
                <w:szCs w:val="16"/>
              </w:rPr>
              <w:t>3%</w:t>
            </w:r>
          </w:p>
        </w:tc>
      </w:tr>
      <w:tr w:rsidR="006126DF" w:rsidRPr="008D710D" w:rsidTr="000855BF">
        <w:trPr>
          <w:jc w:val="center"/>
        </w:trPr>
        <w:tc>
          <w:tcPr>
            <w:tcW w:w="3504" w:type="dxa"/>
            <w:tcBorders>
              <w:bottom w:val="nil"/>
            </w:tcBorders>
            <w:vAlign w:val="center"/>
          </w:tcPr>
          <w:p w:rsidR="006126DF" w:rsidRPr="00011C76" w:rsidRDefault="006126DF" w:rsidP="00B57AD1">
            <w:pPr>
              <w:autoSpaceDE w:val="0"/>
              <w:autoSpaceDN w:val="0"/>
              <w:adjustRightInd w:val="0"/>
              <w:spacing w:after="0"/>
              <w:ind w:left="360"/>
              <w:jc w:val="right"/>
              <w:rPr>
                <w:rFonts w:ascii="Arial" w:hAnsi="Arial" w:cs="Arial"/>
                <w:b/>
                <w:bCs/>
                <w:color w:val="000000"/>
                <w:sz w:val="16"/>
                <w:szCs w:val="16"/>
              </w:rPr>
            </w:pPr>
            <w:r w:rsidRPr="00011C76">
              <w:rPr>
                <w:rFonts w:ascii="Arial" w:hAnsi="Arial" w:cs="Arial"/>
                <w:b/>
                <w:bCs/>
                <w:color w:val="000000"/>
                <w:sz w:val="16"/>
                <w:szCs w:val="16"/>
              </w:rPr>
              <w:t>Other ethnic group</w:t>
            </w:r>
          </w:p>
        </w:tc>
        <w:tc>
          <w:tcPr>
            <w:tcW w:w="1779" w:type="dxa"/>
            <w:tcBorders>
              <w:bottom w:val="nil"/>
            </w:tcBorders>
            <w:vAlign w:val="bottom"/>
          </w:tcPr>
          <w:p w:rsidR="006126DF" w:rsidRPr="006126DF" w:rsidRDefault="006126DF" w:rsidP="006126DF">
            <w:pPr>
              <w:spacing w:after="0"/>
              <w:jc w:val="center"/>
              <w:rPr>
                <w:rFonts w:ascii="Arial" w:hAnsi="Arial" w:cs="Arial"/>
                <w:color w:val="000000"/>
                <w:sz w:val="16"/>
                <w:szCs w:val="16"/>
              </w:rPr>
            </w:pPr>
            <w:r w:rsidRPr="006126DF">
              <w:rPr>
                <w:rFonts w:ascii="Arial" w:hAnsi="Arial" w:cs="Arial"/>
                <w:color w:val="000000"/>
                <w:sz w:val="16"/>
                <w:szCs w:val="16"/>
              </w:rPr>
              <w:t>0.2%</w:t>
            </w:r>
          </w:p>
        </w:tc>
        <w:tc>
          <w:tcPr>
            <w:tcW w:w="1129" w:type="dxa"/>
            <w:tcBorders>
              <w:bottom w:val="nil"/>
            </w:tcBorders>
            <w:vAlign w:val="bottom"/>
          </w:tcPr>
          <w:p w:rsidR="006126DF" w:rsidRPr="006126DF" w:rsidRDefault="006126DF" w:rsidP="006126DF">
            <w:pPr>
              <w:spacing w:after="0"/>
              <w:jc w:val="center"/>
              <w:rPr>
                <w:rFonts w:ascii="Arial" w:hAnsi="Arial" w:cs="Arial"/>
                <w:color w:val="000000"/>
                <w:sz w:val="16"/>
                <w:szCs w:val="16"/>
              </w:rPr>
            </w:pPr>
            <w:r w:rsidRPr="006126DF">
              <w:rPr>
                <w:rFonts w:ascii="Arial" w:hAnsi="Arial" w:cs="Arial"/>
                <w:color w:val="000000"/>
                <w:sz w:val="16"/>
                <w:szCs w:val="16"/>
              </w:rPr>
              <w:t>1%</w:t>
            </w:r>
          </w:p>
        </w:tc>
      </w:tr>
      <w:tr w:rsidR="00914901" w:rsidRPr="008D710D" w:rsidTr="004578AA">
        <w:trPr>
          <w:jc w:val="center"/>
        </w:trPr>
        <w:tc>
          <w:tcPr>
            <w:tcW w:w="3504" w:type="dxa"/>
            <w:tcBorders>
              <w:top w:val="nil"/>
              <w:bottom w:val="nil"/>
            </w:tcBorders>
            <w:shd w:val="clear" w:color="auto" w:fill="E5DFEC"/>
          </w:tcPr>
          <w:p w:rsidR="00914901" w:rsidRPr="008D710D" w:rsidRDefault="00914901" w:rsidP="008D710D">
            <w:pPr>
              <w:autoSpaceDE w:val="0"/>
              <w:autoSpaceDN w:val="0"/>
              <w:adjustRightInd w:val="0"/>
              <w:spacing w:after="0" w:line="240" w:lineRule="auto"/>
              <w:rPr>
                <w:rFonts w:ascii="Arial" w:hAnsi="Arial" w:cs="Arial"/>
                <w:b/>
                <w:bCs/>
                <w:color w:val="000000"/>
                <w:sz w:val="16"/>
                <w:szCs w:val="16"/>
              </w:rPr>
            </w:pPr>
            <w:r w:rsidRPr="008D710D">
              <w:rPr>
                <w:rFonts w:ascii="Arial" w:hAnsi="Arial" w:cs="Arial"/>
                <w:b/>
                <w:bCs/>
                <w:color w:val="000000"/>
                <w:sz w:val="18"/>
                <w:szCs w:val="16"/>
              </w:rPr>
              <w:t>Tenure</w:t>
            </w:r>
            <w:r w:rsidRPr="008D710D">
              <w:rPr>
                <w:rStyle w:val="EndnoteReference"/>
                <w:rFonts w:ascii="Arial" w:hAnsi="Arial" w:cs="Arial"/>
                <w:b/>
                <w:bCs/>
                <w:color w:val="000000"/>
                <w:sz w:val="16"/>
                <w:szCs w:val="16"/>
              </w:rPr>
              <w:endnoteReference w:id="4"/>
            </w:r>
          </w:p>
        </w:tc>
        <w:tc>
          <w:tcPr>
            <w:tcW w:w="1779" w:type="dxa"/>
            <w:tcBorders>
              <w:top w:val="nil"/>
              <w:bottom w:val="nil"/>
            </w:tcBorders>
            <w:shd w:val="clear" w:color="auto" w:fill="E5DFEC"/>
          </w:tcPr>
          <w:p w:rsidR="00914901" w:rsidRPr="008D710D" w:rsidRDefault="00914901" w:rsidP="008D710D">
            <w:pPr>
              <w:spacing w:after="0" w:line="240" w:lineRule="auto"/>
              <w:jc w:val="center"/>
              <w:rPr>
                <w:rFonts w:ascii="Arial" w:hAnsi="Arial" w:cs="Arial"/>
                <w:color w:val="000000"/>
                <w:sz w:val="16"/>
                <w:szCs w:val="16"/>
              </w:rPr>
            </w:pPr>
          </w:p>
        </w:tc>
        <w:tc>
          <w:tcPr>
            <w:tcW w:w="1129" w:type="dxa"/>
            <w:tcBorders>
              <w:top w:val="nil"/>
              <w:bottom w:val="nil"/>
            </w:tcBorders>
            <w:shd w:val="clear" w:color="auto" w:fill="E5DFEC"/>
          </w:tcPr>
          <w:p w:rsidR="00914901" w:rsidRPr="008D710D" w:rsidRDefault="00914901" w:rsidP="008D710D">
            <w:pPr>
              <w:spacing w:after="0" w:line="240" w:lineRule="auto"/>
              <w:jc w:val="center"/>
              <w:rPr>
                <w:color w:val="000000"/>
                <w:sz w:val="16"/>
                <w:szCs w:val="16"/>
              </w:rPr>
            </w:pPr>
          </w:p>
        </w:tc>
      </w:tr>
      <w:tr w:rsidR="00914901" w:rsidRPr="008D710D" w:rsidTr="004578AA">
        <w:trPr>
          <w:jc w:val="center"/>
        </w:trPr>
        <w:tc>
          <w:tcPr>
            <w:tcW w:w="3504" w:type="dxa"/>
            <w:tcBorders>
              <w:top w:val="nil"/>
            </w:tcBorders>
          </w:tcPr>
          <w:p w:rsidR="00914901" w:rsidRPr="008D710D" w:rsidRDefault="00914901" w:rsidP="008D710D">
            <w:pPr>
              <w:autoSpaceDE w:val="0"/>
              <w:autoSpaceDN w:val="0"/>
              <w:adjustRightInd w:val="0"/>
              <w:spacing w:after="0" w:line="240" w:lineRule="auto"/>
              <w:ind w:left="360"/>
              <w:jc w:val="right"/>
              <w:rPr>
                <w:rFonts w:ascii="Arial" w:hAnsi="Arial" w:cs="Arial"/>
                <w:b/>
                <w:bCs/>
                <w:color w:val="000000"/>
                <w:sz w:val="16"/>
                <w:szCs w:val="16"/>
              </w:rPr>
            </w:pPr>
            <w:r w:rsidRPr="008D710D">
              <w:rPr>
                <w:rFonts w:ascii="Arial" w:hAnsi="Arial" w:cs="Arial"/>
                <w:b/>
                <w:bCs/>
                <w:color w:val="000000"/>
                <w:sz w:val="16"/>
                <w:szCs w:val="16"/>
              </w:rPr>
              <w:t>Owne</w:t>
            </w:r>
            <w:r>
              <w:rPr>
                <w:rFonts w:ascii="Arial" w:hAnsi="Arial" w:cs="Arial"/>
                <w:b/>
                <w:bCs/>
                <w:color w:val="000000"/>
                <w:sz w:val="16"/>
                <w:szCs w:val="16"/>
              </w:rPr>
              <w:t>d or Shared Ownership</w:t>
            </w:r>
          </w:p>
        </w:tc>
        <w:tc>
          <w:tcPr>
            <w:tcW w:w="1779" w:type="dxa"/>
            <w:tcBorders>
              <w:top w:val="nil"/>
            </w:tcBorders>
          </w:tcPr>
          <w:p w:rsidR="00914901" w:rsidRPr="008D710D" w:rsidRDefault="00914901" w:rsidP="008D710D">
            <w:pPr>
              <w:spacing w:after="0" w:line="240" w:lineRule="auto"/>
              <w:jc w:val="center"/>
              <w:rPr>
                <w:rFonts w:ascii="Arial" w:hAnsi="Arial" w:cs="Arial"/>
                <w:color w:val="000000"/>
                <w:sz w:val="16"/>
                <w:szCs w:val="16"/>
              </w:rPr>
            </w:pPr>
            <w:r w:rsidRPr="008D710D">
              <w:rPr>
                <w:rFonts w:ascii="Arial" w:hAnsi="Arial" w:cs="Arial"/>
                <w:color w:val="000000"/>
                <w:sz w:val="16"/>
                <w:szCs w:val="16"/>
              </w:rPr>
              <w:t>6</w:t>
            </w:r>
            <w:r>
              <w:rPr>
                <w:rFonts w:ascii="Arial" w:hAnsi="Arial" w:cs="Arial"/>
                <w:color w:val="000000"/>
                <w:sz w:val="16"/>
                <w:szCs w:val="16"/>
              </w:rPr>
              <w:t>2</w:t>
            </w:r>
            <w:r w:rsidRPr="008D710D">
              <w:rPr>
                <w:rFonts w:ascii="Arial" w:hAnsi="Arial" w:cs="Arial"/>
                <w:color w:val="000000"/>
                <w:sz w:val="16"/>
                <w:szCs w:val="16"/>
              </w:rPr>
              <w:t>%</w:t>
            </w:r>
          </w:p>
        </w:tc>
        <w:tc>
          <w:tcPr>
            <w:tcW w:w="1129" w:type="dxa"/>
            <w:tcBorders>
              <w:top w:val="nil"/>
            </w:tcBorders>
          </w:tcPr>
          <w:p w:rsidR="00914901" w:rsidRPr="008D710D" w:rsidRDefault="00914901" w:rsidP="008D710D">
            <w:pPr>
              <w:spacing w:after="0" w:line="240" w:lineRule="auto"/>
              <w:jc w:val="center"/>
              <w:rPr>
                <w:color w:val="000000"/>
                <w:sz w:val="16"/>
                <w:szCs w:val="16"/>
              </w:rPr>
            </w:pPr>
            <w:r>
              <w:rPr>
                <w:color w:val="000000"/>
                <w:sz w:val="16"/>
                <w:szCs w:val="16"/>
              </w:rPr>
              <w:t>64</w:t>
            </w:r>
            <w:r w:rsidRPr="008D710D">
              <w:rPr>
                <w:rFonts w:ascii="Arial" w:hAnsi="Arial" w:cs="Arial"/>
                <w:color w:val="000000"/>
                <w:sz w:val="16"/>
                <w:szCs w:val="16"/>
              </w:rPr>
              <w:t>%</w:t>
            </w:r>
          </w:p>
        </w:tc>
      </w:tr>
      <w:tr w:rsidR="00914901" w:rsidRPr="008D710D" w:rsidTr="004578AA">
        <w:trPr>
          <w:jc w:val="center"/>
        </w:trPr>
        <w:tc>
          <w:tcPr>
            <w:tcW w:w="3504" w:type="dxa"/>
            <w:tcBorders>
              <w:bottom w:val="nil"/>
            </w:tcBorders>
          </w:tcPr>
          <w:p w:rsidR="00914901" w:rsidRPr="008D710D" w:rsidRDefault="00914901" w:rsidP="008D710D">
            <w:pPr>
              <w:autoSpaceDE w:val="0"/>
              <w:autoSpaceDN w:val="0"/>
              <w:adjustRightInd w:val="0"/>
              <w:spacing w:after="0" w:line="240" w:lineRule="auto"/>
              <w:ind w:left="360"/>
              <w:jc w:val="right"/>
              <w:rPr>
                <w:rFonts w:ascii="Arial" w:hAnsi="Arial" w:cs="Arial"/>
                <w:b/>
                <w:bCs/>
                <w:color w:val="000000"/>
                <w:sz w:val="16"/>
                <w:szCs w:val="16"/>
              </w:rPr>
            </w:pPr>
            <w:r w:rsidRPr="008D710D">
              <w:rPr>
                <w:rFonts w:ascii="Arial" w:hAnsi="Arial" w:cs="Arial"/>
                <w:b/>
                <w:bCs/>
                <w:color w:val="000000"/>
                <w:sz w:val="16"/>
                <w:szCs w:val="16"/>
              </w:rPr>
              <w:t>Social Rented</w:t>
            </w:r>
          </w:p>
        </w:tc>
        <w:tc>
          <w:tcPr>
            <w:tcW w:w="1779" w:type="dxa"/>
            <w:tcBorders>
              <w:bottom w:val="nil"/>
            </w:tcBorders>
          </w:tcPr>
          <w:p w:rsidR="00914901" w:rsidRPr="008D710D" w:rsidRDefault="00914901" w:rsidP="008D710D">
            <w:pPr>
              <w:spacing w:after="0" w:line="240" w:lineRule="auto"/>
              <w:jc w:val="center"/>
              <w:rPr>
                <w:rFonts w:ascii="Arial" w:hAnsi="Arial" w:cs="Arial"/>
                <w:color w:val="000000"/>
                <w:sz w:val="16"/>
                <w:szCs w:val="16"/>
              </w:rPr>
            </w:pPr>
            <w:r w:rsidRPr="008D710D">
              <w:rPr>
                <w:rFonts w:ascii="Arial" w:hAnsi="Arial" w:cs="Arial"/>
                <w:color w:val="000000"/>
                <w:sz w:val="16"/>
                <w:szCs w:val="16"/>
              </w:rPr>
              <w:t>11%</w:t>
            </w:r>
          </w:p>
        </w:tc>
        <w:tc>
          <w:tcPr>
            <w:tcW w:w="1129" w:type="dxa"/>
            <w:tcBorders>
              <w:bottom w:val="nil"/>
            </w:tcBorders>
          </w:tcPr>
          <w:p w:rsidR="00914901" w:rsidRPr="008D710D" w:rsidRDefault="00914901" w:rsidP="008D710D">
            <w:pPr>
              <w:spacing w:after="0" w:line="240" w:lineRule="auto"/>
              <w:jc w:val="center"/>
              <w:rPr>
                <w:color w:val="000000"/>
                <w:sz w:val="16"/>
                <w:szCs w:val="16"/>
              </w:rPr>
            </w:pPr>
            <w:r w:rsidRPr="008D710D">
              <w:rPr>
                <w:color w:val="000000"/>
                <w:sz w:val="16"/>
                <w:szCs w:val="16"/>
              </w:rPr>
              <w:t>18</w:t>
            </w:r>
            <w:r w:rsidRPr="008D710D">
              <w:rPr>
                <w:rFonts w:ascii="Arial" w:hAnsi="Arial" w:cs="Arial"/>
                <w:color w:val="000000"/>
                <w:sz w:val="16"/>
                <w:szCs w:val="16"/>
              </w:rPr>
              <w:t>%</w:t>
            </w:r>
          </w:p>
        </w:tc>
      </w:tr>
      <w:tr w:rsidR="00914901" w:rsidRPr="008D710D" w:rsidTr="004578AA">
        <w:trPr>
          <w:jc w:val="center"/>
        </w:trPr>
        <w:tc>
          <w:tcPr>
            <w:tcW w:w="3504" w:type="dxa"/>
            <w:tcBorders>
              <w:top w:val="nil"/>
              <w:bottom w:val="single" w:sz="8" w:space="0" w:color="5F497A"/>
            </w:tcBorders>
          </w:tcPr>
          <w:p w:rsidR="00914901" w:rsidRPr="008D710D" w:rsidRDefault="00914901" w:rsidP="008D710D">
            <w:pPr>
              <w:autoSpaceDE w:val="0"/>
              <w:autoSpaceDN w:val="0"/>
              <w:adjustRightInd w:val="0"/>
              <w:spacing w:after="0" w:line="240" w:lineRule="auto"/>
              <w:ind w:left="360"/>
              <w:jc w:val="right"/>
              <w:rPr>
                <w:rFonts w:ascii="Arial" w:hAnsi="Arial" w:cs="Arial"/>
                <w:b/>
                <w:bCs/>
                <w:color w:val="000000"/>
                <w:sz w:val="16"/>
                <w:szCs w:val="16"/>
              </w:rPr>
            </w:pPr>
            <w:r w:rsidRPr="008D710D">
              <w:rPr>
                <w:rFonts w:ascii="Arial" w:hAnsi="Arial" w:cs="Arial"/>
                <w:b/>
                <w:bCs/>
                <w:color w:val="000000"/>
                <w:sz w:val="16"/>
                <w:szCs w:val="16"/>
              </w:rPr>
              <w:t>Private Rented</w:t>
            </w:r>
          </w:p>
        </w:tc>
        <w:tc>
          <w:tcPr>
            <w:tcW w:w="1779" w:type="dxa"/>
            <w:tcBorders>
              <w:top w:val="nil"/>
              <w:bottom w:val="single" w:sz="8" w:space="0" w:color="5F497A"/>
            </w:tcBorders>
          </w:tcPr>
          <w:p w:rsidR="00914901" w:rsidRPr="008D710D" w:rsidRDefault="00914901" w:rsidP="008D710D">
            <w:pPr>
              <w:spacing w:after="0" w:line="240" w:lineRule="auto"/>
              <w:jc w:val="center"/>
              <w:rPr>
                <w:rFonts w:ascii="Arial" w:hAnsi="Arial" w:cs="Arial"/>
                <w:color w:val="000000"/>
                <w:sz w:val="16"/>
                <w:szCs w:val="16"/>
              </w:rPr>
            </w:pPr>
            <w:r w:rsidRPr="008D710D">
              <w:rPr>
                <w:rFonts w:ascii="Arial" w:hAnsi="Arial" w:cs="Arial"/>
                <w:color w:val="000000"/>
                <w:sz w:val="16"/>
                <w:szCs w:val="16"/>
              </w:rPr>
              <w:t>2</w:t>
            </w:r>
            <w:r>
              <w:rPr>
                <w:rFonts w:ascii="Arial" w:hAnsi="Arial" w:cs="Arial"/>
                <w:color w:val="000000"/>
                <w:sz w:val="16"/>
                <w:szCs w:val="16"/>
              </w:rPr>
              <w:t>6</w:t>
            </w:r>
            <w:r w:rsidRPr="008D710D">
              <w:rPr>
                <w:rFonts w:ascii="Arial" w:hAnsi="Arial" w:cs="Arial"/>
                <w:color w:val="000000"/>
                <w:sz w:val="16"/>
                <w:szCs w:val="16"/>
              </w:rPr>
              <w:t>%</w:t>
            </w:r>
          </w:p>
        </w:tc>
        <w:tc>
          <w:tcPr>
            <w:tcW w:w="1129" w:type="dxa"/>
            <w:tcBorders>
              <w:top w:val="nil"/>
              <w:bottom w:val="single" w:sz="8" w:space="0" w:color="5F497A"/>
            </w:tcBorders>
          </w:tcPr>
          <w:p w:rsidR="00914901" w:rsidRPr="008D710D" w:rsidRDefault="00914901" w:rsidP="008D710D">
            <w:pPr>
              <w:spacing w:after="0" w:line="240" w:lineRule="auto"/>
              <w:jc w:val="center"/>
              <w:rPr>
                <w:color w:val="000000"/>
                <w:sz w:val="16"/>
                <w:szCs w:val="16"/>
              </w:rPr>
            </w:pPr>
            <w:r w:rsidRPr="008D710D">
              <w:rPr>
                <w:color w:val="000000"/>
                <w:sz w:val="16"/>
                <w:szCs w:val="16"/>
              </w:rPr>
              <w:t>1</w:t>
            </w:r>
            <w:r>
              <w:rPr>
                <w:color w:val="000000"/>
                <w:sz w:val="16"/>
                <w:szCs w:val="16"/>
              </w:rPr>
              <w:t>7</w:t>
            </w:r>
            <w:r w:rsidRPr="008D710D">
              <w:rPr>
                <w:rFonts w:ascii="Arial" w:hAnsi="Arial" w:cs="Arial"/>
                <w:color w:val="000000"/>
                <w:sz w:val="16"/>
                <w:szCs w:val="16"/>
              </w:rPr>
              <w:t>%</w:t>
            </w:r>
          </w:p>
        </w:tc>
      </w:tr>
    </w:tbl>
    <w:p w:rsidR="00914901" w:rsidRDefault="00914901" w:rsidP="006C60E8">
      <w:pPr>
        <w:pStyle w:val="Figuretext"/>
      </w:pPr>
      <w:r>
        <w:t>Sources: See endnotes</w:t>
      </w:r>
    </w:p>
    <w:p w:rsidR="00914901" w:rsidRPr="009D5910" w:rsidRDefault="00914901" w:rsidP="002B6610">
      <w:pPr>
        <w:pStyle w:val="Heading3"/>
        <w:rPr>
          <w:rStyle w:val="HEADINGINCAPS-12PTBOLD"/>
          <w:rFonts w:cs="Calibri"/>
          <w:b/>
          <w:bCs w:val="0"/>
          <w:szCs w:val="24"/>
        </w:rPr>
      </w:pPr>
      <w:r w:rsidRPr="009D5910">
        <w:rPr>
          <w:rStyle w:val="HEADINGINCAPS-12PTBOLD"/>
          <w:rFonts w:cs="Calibri"/>
          <w:b/>
          <w:bCs w:val="0"/>
          <w:szCs w:val="24"/>
        </w:rPr>
        <w:t xml:space="preserve">Housing </w:t>
      </w:r>
    </w:p>
    <w:p w:rsidR="00914901" w:rsidRDefault="00914901">
      <w:r>
        <w:rPr>
          <w:sz w:val="20"/>
          <w:szCs w:val="20"/>
        </w:rPr>
        <w:t>Blackpool has a similar</w:t>
      </w:r>
      <w:r w:rsidRPr="00DE5D84">
        <w:rPr>
          <w:sz w:val="20"/>
          <w:szCs w:val="20"/>
        </w:rPr>
        <w:t xml:space="preserve"> proportion of Owner</w:t>
      </w:r>
      <w:r>
        <w:rPr>
          <w:sz w:val="20"/>
          <w:szCs w:val="20"/>
        </w:rPr>
        <w:t>-</w:t>
      </w:r>
      <w:proofErr w:type="gramStart"/>
      <w:r w:rsidRPr="00DE5D84">
        <w:rPr>
          <w:sz w:val="20"/>
          <w:szCs w:val="20"/>
        </w:rPr>
        <w:t>Occu</w:t>
      </w:r>
      <w:r>
        <w:rPr>
          <w:sz w:val="20"/>
          <w:szCs w:val="20"/>
        </w:rPr>
        <w:t>p</w:t>
      </w:r>
      <w:r w:rsidRPr="00DE5D84">
        <w:rPr>
          <w:sz w:val="20"/>
          <w:szCs w:val="20"/>
        </w:rPr>
        <w:t>iers  compared</w:t>
      </w:r>
      <w:proofErr w:type="gramEnd"/>
      <w:r w:rsidRPr="00DE5D84">
        <w:rPr>
          <w:sz w:val="20"/>
          <w:szCs w:val="20"/>
        </w:rPr>
        <w:t xml:space="preserve"> to national </w:t>
      </w:r>
      <w:r>
        <w:rPr>
          <w:sz w:val="20"/>
          <w:szCs w:val="20"/>
        </w:rPr>
        <w:t xml:space="preserve">(England) </w:t>
      </w:r>
      <w:r w:rsidRPr="00DE5D84">
        <w:rPr>
          <w:sz w:val="20"/>
          <w:szCs w:val="20"/>
        </w:rPr>
        <w:t>levels, but almost double the proportion of Private Rented accommodation</w:t>
      </w:r>
      <w:r>
        <w:rPr>
          <w:sz w:val="20"/>
          <w:szCs w:val="20"/>
        </w:rPr>
        <w:t xml:space="preserve"> (26.1% vs 16.8%)</w:t>
      </w:r>
      <w:r w:rsidRPr="00DE5D84">
        <w:rPr>
          <w:sz w:val="20"/>
          <w:szCs w:val="20"/>
        </w:rPr>
        <w:t xml:space="preserve">. This is driven largely by changes in the seaside economies with many former guest houses converting to flats, and fluctuations in seasonal work creating demand for temporary accommodation in resort areas. Blackpool </w:t>
      </w:r>
      <w:r>
        <w:rPr>
          <w:sz w:val="20"/>
          <w:szCs w:val="20"/>
        </w:rPr>
        <w:t>has</w:t>
      </w:r>
      <w:r w:rsidRPr="00DE5D84">
        <w:rPr>
          <w:sz w:val="20"/>
          <w:szCs w:val="20"/>
        </w:rPr>
        <w:t xml:space="preserve"> a significant proportion of Houses in Multiple Occupancy</w:t>
      </w:r>
      <w:r>
        <w:rPr>
          <w:sz w:val="20"/>
          <w:szCs w:val="20"/>
        </w:rPr>
        <w:t xml:space="preserve"> (HMOs)</w:t>
      </w:r>
      <w:r w:rsidRPr="00DE5D84">
        <w:rPr>
          <w:sz w:val="20"/>
          <w:szCs w:val="20"/>
        </w:rPr>
        <w:t xml:space="preserve"> in central wards close to the promenade</w:t>
      </w:r>
      <w:r>
        <w:rPr>
          <w:sz w:val="20"/>
          <w:szCs w:val="20"/>
        </w:rPr>
        <w:t xml:space="preserve"> and</w:t>
      </w:r>
      <w:r w:rsidRPr="00DE5D84">
        <w:rPr>
          <w:sz w:val="20"/>
          <w:szCs w:val="20"/>
        </w:rPr>
        <w:t xml:space="preserve"> a</w:t>
      </w:r>
      <w:r>
        <w:rPr>
          <w:sz w:val="20"/>
          <w:szCs w:val="20"/>
        </w:rPr>
        <w:t xml:space="preserve"> monitoring</w:t>
      </w:r>
      <w:r w:rsidRPr="00DE5D84">
        <w:rPr>
          <w:sz w:val="20"/>
          <w:szCs w:val="20"/>
        </w:rPr>
        <w:t xml:space="preserve"> project by Blackpool Council identified up to 37% of private sector </w:t>
      </w:r>
      <w:r>
        <w:rPr>
          <w:sz w:val="20"/>
          <w:szCs w:val="20"/>
        </w:rPr>
        <w:t xml:space="preserve">rented </w:t>
      </w:r>
      <w:r w:rsidRPr="00DE5D84">
        <w:rPr>
          <w:sz w:val="20"/>
          <w:szCs w:val="20"/>
        </w:rPr>
        <w:t>properties in resort areas could be classified as a HMO</w:t>
      </w:r>
      <w:r>
        <w:rPr>
          <w:rStyle w:val="EndnoteReference"/>
        </w:rPr>
        <w:endnoteReference w:id="5"/>
      </w:r>
      <w:r>
        <w:t>.</w:t>
      </w:r>
    </w:p>
    <w:p w:rsidR="00914901" w:rsidRPr="009D5910" w:rsidRDefault="00914901" w:rsidP="00447DE9">
      <w:pPr>
        <w:pStyle w:val="Heading3"/>
        <w:rPr>
          <w:rStyle w:val="HEADINGINCAPS-12PTBOLD"/>
          <w:rFonts w:cs="Calibri"/>
          <w:b/>
          <w:bCs w:val="0"/>
          <w:szCs w:val="24"/>
        </w:rPr>
      </w:pPr>
      <w:r w:rsidRPr="009D5910">
        <w:rPr>
          <w:rStyle w:val="HEADINGINCAPS-12PTBOLD"/>
          <w:rFonts w:cs="Calibri"/>
          <w:b/>
          <w:bCs w:val="0"/>
          <w:szCs w:val="24"/>
        </w:rPr>
        <w:t>Poverty and Deprivation</w:t>
      </w:r>
    </w:p>
    <w:p w:rsidR="00914901" w:rsidRPr="00DE5D84" w:rsidRDefault="00914901" w:rsidP="00447DE9">
      <w:pPr>
        <w:rPr>
          <w:sz w:val="20"/>
          <w:szCs w:val="20"/>
        </w:rPr>
      </w:pPr>
      <w:r>
        <w:rPr>
          <w:sz w:val="20"/>
          <w:szCs w:val="20"/>
        </w:rPr>
        <w:t xml:space="preserve">Blackpool has a large proportion of residents living in deprived areas </w:t>
      </w:r>
      <w:r w:rsidRPr="00DE5D84">
        <w:rPr>
          <w:sz w:val="20"/>
          <w:szCs w:val="20"/>
        </w:rPr>
        <w:t>and is currently ranked the 6th most deprived authority in England under the Indices of Deprivation 2010</w:t>
      </w:r>
      <w:r>
        <w:rPr>
          <w:sz w:val="20"/>
          <w:szCs w:val="20"/>
        </w:rPr>
        <w:t xml:space="preserve"> – a higher rank than in 2007 (12</w:t>
      </w:r>
      <w:r w:rsidRPr="009D233D">
        <w:rPr>
          <w:sz w:val="20"/>
          <w:szCs w:val="20"/>
          <w:vertAlign w:val="superscript"/>
        </w:rPr>
        <w:t>th</w:t>
      </w:r>
      <w:r>
        <w:rPr>
          <w:sz w:val="20"/>
          <w:szCs w:val="20"/>
        </w:rPr>
        <w:t>) and 2004 (24</w:t>
      </w:r>
      <w:r w:rsidRPr="009D233D">
        <w:rPr>
          <w:sz w:val="20"/>
          <w:szCs w:val="20"/>
          <w:vertAlign w:val="superscript"/>
        </w:rPr>
        <w:t>th</w:t>
      </w:r>
      <w:r>
        <w:rPr>
          <w:sz w:val="20"/>
          <w:szCs w:val="20"/>
        </w:rPr>
        <w:t>)</w:t>
      </w:r>
      <w:r w:rsidRPr="00DE5D84">
        <w:rPr>
          <w:sz w:val="20"/>
          <w:szCs w:val="20"/>
        </w:rPr>
        <w:t xml:space="preserve"> </w:t>
      </w:r>
      <w:r>
        <w:rPr>
          <w:sz w:val="20"/>
          <w:szCs w:val="20"/>
        </w:rPr>
        <w:t>Additionally, i</w:t>
      </w:r>
      <w:r w:rsidRPr="00DE5D84">
        <w:rPr>
          <w:sz w:val="20"/>
          <w:szCs w:val="20"/>
        </w:rPr>
        <w:t>n the 2010 Indices, Blackpool ranked 1st for the concentration of deprivation</w:t>
      </w:r>
      <w:r>
        <w:rPr>
          <w:sz w:val="20"/>
          <w:szCs w:val="20"/>
        </w:rPr>
        <w:t>.</w:t>
      </w:r>
      <w:r w:rsidRPr="00DE5D84">
        <w:rPr>
          <w:sz w:val="20"/>
          <w:szCs w:val="20"/>
        </w:rPr>
        <w:t xml:space="preserve"> </w:t>
      </w:r>
    </w:p>
    <w:p w:rsidR="00914901" w:rsidRPr="001A1FE5" w:rsidRDefault="00914901" w:rsidP="00447DE9">
      <w:pPr>
        <w:rPr>
          <w:sz w:val="20"/>
        </w:rPr>
      </w:pPr>
      <w:r w:rsidRPr="001A1FE5">
        <w:rPr>
          <w:sz w:val="20"/>
        </w:rPr>
        <w:lastRenderedPageBreak/>
        <w:t xml:space="preserve">Map 1 below shows the </w:t>
      </w:r>
      <w:r>
        <w:rPr>
          <w:sz w:val="20"/>
        </w:rPr>
        <w:t>relative</w:t>
      </w:r>
      <w:r w:rsidRPr="001A1FE5">
        <w:rPr>
          <w:sz w:val="20"/>
        </w:rPr>
        <w:t xml:space="preserve"> positions of local areas in Blackpool. Around half of Blackpool’s 94 </w:t>
      </w:r>
      <w:r>
        <w:rPr>
          <w:sz w:val="20"/>
        </w:rPr>
        <w:t>Lower Super Output Areas (</w:t>
      </w:r>
      <w:r w:rsidRPr="001A1FE5">
        <w:rPr>
          <w:sz w:val="20"/>
        </w:rPr>
        <w:t>LSOA</w:t>
      </w:r>
      <w:r>
        <w:rPr>
          <w:sz w:val="20"/>
        </w:rPr>
        <w:t>’s)</w:t>
      </w:r>
      <w:r w:rsidRPr="001A1FE5">
        <w:rPr>
          <w:rStyle w:val="FootnoteReference"/>
          <w:sz w:val="20"/>
        </w:rPr>
        <w:footnoteReference w:id="1"/>
      </w:r>
      <w:r w:rsidRPr="001A1FE5">
        <w:rPr>
          <w:sz w:val="20"/>
        </w:rPr>
        <w:t xml:space="preserve">, are in the most deprived 20% of all LSOAs in England. </w:t>
      </w:r>
      <w:r>
        <w:rPr>
          <w:sz w:val="20"/>
        </w:rPr>
        <w:t>Specific areas in the central wards of Talbot, Bloomfield, Brunswick, Claremont and the outer wards of Clifton and Park have the highest ranked levels of deprivation in Blackpool.</w:t>
      </w:r>
      <w:r w:rsidRPr="001A1FE5">
        <w:rPr>
          <w:sz w:val="20"/>
        </w:rPr>
        <w:t xml:space="preserve"> </w:t>
      </w:r>
    </w:p>
    <w:p w:rsidR="00914901" w:rsidRPr="00DE5D84" w:rsidRDefault="003D6BE6">
      <w:pPr>
        <w:rPr>
          <w:sz w:val="20"/>
          <w:szCs w:val="20"/>
        </w:rPr>
      </w:pPr>
      <w:r>
        <w:rPr>
          <w:noProof/>
          <w:lang w:eastAsia="en-GB"/>
        </w:rPr>
        <w:drawing>
          <wp:anchor distT="0" distB="0" distL="114300" distR="114300" simplePos="0" relativeHeight="251658240" behindDoc="0" locked="0" layoutInCell="1" allowOverlap="1">
            <wp:simplePos x="0" y="0"/>
            <wp:positionH relativeFrom="column">
              <wp:posOffset>2905125</wp:posOffset>
            </wp:positionH>
            <wp:positionV relativeFrom="paragraph">
              <wp:posOffset>-173355</wp:posOffset>
            </wp:positionV>
            <wp:extent cx="3110230" cy="4052570"/>
            <wp:effectExtent l="19050" t="0" r="0" b="0"/>
            <wp:wrapSquare wrapText="bothSides"/>
            <wp:docPr id="2" name="Picture 9"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mp"/>
                    <pic:cNvPicPr>
                      <a:picLocks noChangeAspect="1" noChangeArrowheads="1"/>
                    </pic:cNvPicPr>
                  </pic:nvPicPr>
                  <pic:blipFill>
                    <a:blip r:embed="rId9"/>
                    <a:srcRect b="3972"/>
                    <a:stretch>
                      <a:fillRect/>
                    </a:stretch>
                  </pic:blipFill>
                  <pic:spPr bwMode="auto">
                    <a:xfrm>
                      <a:off x="0" y="0"/>
                      <a:ext cx="3110230" cy="4052570"/>
                    </a:xfrm>
                    <a:prstGeom prst="rect">
                      <a:avLst/>
                    </a:prstGeom>
                    <a:noFill/>
                  </pic:spPr>
                </pic:pic>
              </a:graphicData>
            </a:graphic>
          </wp:anchor>
        </w:drawing>
      </w:r>
      <w:r w:rsidR="00914901" w:rsidRPr="00DE5D84">
        <w:rPr>
          <w:sz w:val="20"/>
          <w:szCs w:val="20"/>
        </w:rPr>
        <w:t>Poverty is also a significant factor in Blackpool</w:t>
      </w:r>
      <w:r w:rsidR="00914901">
        <w:rPr>
          <w:sz w:val="20"/>
          <w:szCs w:val="20"/>
        </w:rPr>
        <w:t>.</w:t>
      </w:r>
      <w:r w:rsidR="00914901" w:rsidRPr="00DE5D84">
        <w:rPr>
          <w:sz w:val="20"/>
          <w:szCs w:val="20"/>
        </w:rPr>
        <w:t xml:space="preserve"> In 20</w:t>
      </w:r>
      <w:r w:rsidR="00914901">
        <w:rPr>
          <w:sz w:val="20"/>
          <w:szCs w:val="20"/>
        </w:rPr>
        <w:t>1</w:t>
      </w:r>
      <w:r w:rsidR="0042459B">
        <w:rPr>
          <w:sz w:val="20"/>
          <w:szCs w:val="20"/>
        </w:rPr>
        <w:t>2</w:t>
      </w:r>
      <w:r w:rsidR="00914901" w:rsidRPr="00DE5D84">
        <w:rPr>
          <w:sz w:val="20"/>
          <w:szCs w:val="20"/>
        </w:rPr>
        <w:t xml:space="preserve">, </w:t>
      </w:r>
      <w:r w:rsidR="0042459B">
        <w:rPr>
          <w:sz w:val="20"/>
          <w:szCs w:val="20"/>
        </w:rPr>
        <w:t>29</w:t>
      </w:r>
      <w:r w:rsidR="00914901">
        <w:rPr>
          <w:sz w:val="20"/>
          <w:szCs w:val="20"/>
        </w:rPr>
        <w:t>.</w:t>
      </w:r>
      <w:r w:rsidR="0042459B">
        <w:rPr>
          <w:sz w:val="20"/>
          <w:szCs w:val="20"/>
        </w:rPr>
        <w:t>3</w:t>
      </w:r>
      <w:r w:rsidR="00914901" w:rsidRPr="00DE5D84">
        <w:rPr>
          <w:sz w:val="20"/>
          <w:szCs w:val="20"/>
        </w:rPr>
        <w:t xml:space="preserve">% of children in Blackpool were estimated to be in poverty, compared to </w:t>
      </w:r>
      <w:r w:rsidR="0042459B">
        <w:rPr>
          <w:sz w:val="20"/>
          <w:szCs w:val="20"/>
        </w:rPr>
        <w:t>18</w:t>
      </w:r>
      <w:r w:rsidR="00914901" w:rsidRPr="00DE5D84">
        <w:rPr>
          <w:sz w:val="20"/>
          <w:szCs w:val="20"/>
        </w:rPr>
        <w:t>.</w:t>
      </w:r>
      <w:r w:rsidR="0042459B">
        <w:rPr>
          <w:sz w:val="20"/>
          <w:szCs w:val="20"/>
        </w:rPr>
        <w:t>6</w:t>
      </w:r>
      <w:r w:rsidR="00914901" w:rsidRPr="00DE5D84">
        <w:rPr>
          <w:sz w:val="20"/>
          <w:szCs w:val="20"/>
        </w:rPr>
        <w:t>% of all children in England. Further analysis highlight</w:t>
      </w:r>
      <w:r w:rsidR="0042459B">
        <w:rPr>
          <w:sz w:val="20"/>
          <w:szCs w:val="20"/>
        </w:rPr>
        <w:t>s</w:t>
      </w:r>
      <w:r w:rsidR="00914901" w:rsidRPr="00DE5D84">
        <w:rPr>
          <w:sz w:val="20"/>
          <w:szCs w:val="20"/>
        </w:rPr>
        <w:t xml:space="preserve"> that </w:t>
      </w:r>
      <w:r w:rsidR="0042459B">
        <w:rPr>
          <w:sz w:val="20"/>
          <w:szCs w:val="20"/>
        </w:rPr>
        <w:t>67%</w:t>
      </w:r>
      <w:r w:rsidR="00914901" w:rsidRPr="00DE5D84">
        <w:rPr>
          <w:sz w:val="20"/>
          <w:szCs w:val="20"/>
        </w:rPr>
        <w:t xml:space="preserve"> of children in poverty live in lone parent families</w:t>
      </w:r>
      <w:r w:rsidR="00914901">
        <w:rPr>
          <w:rStyle w:val="EndnoteReference"/>
          <w:sz w:val="20"/>
          <w:szCs w:val="20"/>
        </w:rPr>
        <w:endnoteReference w:id="6"/>
      </w:r>
      <w:r w:rsidR="00914901" w:rsidRPr="00DE5D84">
        <w:rPr>
          <w:sz w:val="20"/>
          <w:szCs w:val="20"/>
        </w:rPr>
        <w:t>.</w:t>
      </w:r>
    </w:p>
    <w:p w:rsidR="00914901" w:rsidRPr="00DE5D84" w:rsidRDefault="00F01BC3">
      <w:pPr>
        <w:rPr>
          <w:sz w:val="20"/>
          <w:szCs w:val="20"/>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2800350</wp:posOffset>
                </wp:positionH>
                <wp:positionV relativeFrom="paragraph">
                  <wp:posOffset>2435225</wp:posOffset>
                </wp:positionV>
                <wp:extent cx="2657475" cy="247650"/>
                <wp:effectExtent l="9525" t="6350" r="9525" b="1270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47650"/>
                        </a:xfrm>
                        <a:prstGeom prst="rect">
                          <a:avLst/>
                        </a:prstGeom>
                        <a:solidFill>
                          <a:srgbClr val="FFFFFF"/>
                        </a:solidFill>
                        <a:ln w="9525">
                          <a:solidFill>
                            <a:srgbClr val="FFFFFF"/>
                          </a:solidFill>
                          <a:miter lim="800000"/>
                          <a:headEnd/>
                          <a:tailEnd/>
                        </a:ln>
                      </wps:spPr>
                      <wps:txbx>
                        <w:txbxContent>
                          <w:p w:rsidR="00914901" w:rsidRPr="000A3369" w:rsidRDefault="00914901" w:rsidP="001A1FE5">
                            <w:pPr>
                              <w:pStyle w:val="Figuretext"/>
                            </w:pPr>
                            <w:r>
                              <w:t>Source Data: CLG, Indices of Deprivation, 2010</w:t>
                            </w:r>
                          </w:p>
                          <w:p w:rsidR="00914901" w:rsidRDefault="009149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0.5pt;margin-top:191.75pt;width:209.2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" strokecolor="white">
                <v:textbox>
                  <w:txbxContent>
                    <w:p w:rsidR="00914901" w:rsidRPr="000A3369" w:rsidRDefault="00914901" w:rsidP="001A1FE5">
                      <w:pPr>
                        <w:pStyle w:val="Figuretext"/>
                      </w:pPr>
                      <w:r>
                        <w:t>Source Data: CLG, Indices of Deprivation, 2010</w:t>
                      </w:r>
                    </w:p>
                    <w:p w:rsidR="00914901" w:rsidRDefault="00914901"/>
                  </w:txbxContent>
                </v:textbox>
                <w10:wrap type="square"/>
              </v:shape>
            </w:pict>
          </mc:Fallback>
        </mc:AlternateContent>
      </w:r>
      <w:r w:rsidR="00914901" w:rsidRPr="00DE5D84">
        <w:rPr>
          <w:sz w:val="20"/>
          <w:szCs w:val="20"/>
        </w:rPr>
        <w:t xml:space="preserve">There are strong relationships between deprivation and a range of social issues and as a continued effort to address inequalities, Blackpool </w:t>
      </w:r>
      <w:r w:rsidR="00914901">
        <w:rPr>
          <w:sz w:val="20"/>
          <w:szCs w:val="20"/>
        </w:rPr>
        <w:t>has launched</w:t>
      </w:r>
      <w:r w:rsidR="00914901" w:rsidRPr="00DE5D84">
        <w:rPr>
          <w:sz w:val="20"/>
          <w:szCs w:val="20"/>
        </w:rPr>
        <w:t xml:space="preserve"> a Fairness Commission</w:t>
      </w:r>
      <w:r w:rsidR="00914901">
        <w:rPr>
          <w:sz w:val="20"/>
          <w:szCs w:val="20"/>
        </w:rPr>
        <w:t>. The Commission is</w:t>
      </w:r>
      <w:r w:rsidR="00914901" w:rsidRPr="00DE5D84">
        <w:rPr>
          <w:sz w:val="20"/>
          <w:szCs w:val="20"/>
        </w:rPr>
        <w:t xml:space="preserve"> made up of a range of local people representing different organisations which will explore social and other inequalities in depth and make recommendations for further improvements. 2012 also s</w:t>
      </w:r>
      <w:r w:rsidR="00914901">
        <w:rPr>
          <w:sz w:val="20"/>
          <w:szCs w:val="20"/>
        </w:rPr>
        <w:t>aw</w:t>
      </w:r>
      <w:r w:rsidR="00914901" w:rsidRPr="00DE5D84">
        <w:rPr>
          <w:sz w:val="20"/>
          <w:szCs w:val="20"/>
        </w:rPr>
        <w:t xml:space="preserve"> the </w:t>
      </w:r>
      <w:r w:rsidR="00914901">
        <w:rPr>
          <w:sz w:val="20"/>
          <w:szCs w:val="20"/>
        </w:rPr>
        <w:t>introduction</w:t>
      </w:r>
      <w:r w:rsidR="00914901" w:rsidRPr="00DE5D84">
        <w:rPr>
          <w:sz w:val="20"/>
          <w:szCs w:val="20"/>
        </w:rPr>
        <w:t xml:space="preserve"> of a Child Poverty Framework aimed at reducing the levels of children in low income families and providing support for families currently in financial difficulty.</w:t>
      </w:r>
    </w:p>
    <w:p w:rsidR="00914901" w:rsidRPr="009D5910" w:rsidRDefault="00914901" w:rsidP="00A9472F">
      <w:pPr>
        <w:pStyle w:val="Heading3"/>
        <w:rPr>
          <w:rStyle w:val="HEADINGINCAPS-12PTBOLD"/>
          <w:rFonts w:cs="Calibri"/>
          <w:b/>
          <w:bCs w:val="0"/>
          <w:szCs w:val="24"/>
        </w:rPr>
      </w:pPr>
      <w:r w:rsidRPr="009D5910">
        <w:rPr>
          <w:rStyle w:val="HEADINGINCAPS-12PTBOLD"/>
          <w:rFonts w:cs="Calibri"/>
          <w:b/>
          <w:bCs w:val="0"/>
          <w:szCs w:val="24"/>
        </w:rPr>
        <w:t>Employment and Benefits</w:t>
      </w:r>
    </w:p>
    <w:p w:rsidR="00914901" w:rsidRPr="00DE5D84" w:rsidRDefault="00914901" w:rsidP="00A9472F">
      <w:pPr>
        <w:rPr>
          <w:sz w:val="20"/>
          <w:szCs w:val="20"/>
        </w:rPr>
      </w:pPr>
      <w:r w:rsidRPr="00DE5D84">
        <w:rPr>
          <w:sz w:val="20"/>
          <w:szCs w:val="20"/>
        </w:rPr>
        <w:t>In terms of workforce, Blackpool has a low employment rate at 6</w:t>
      </w:r>
      <w:r w:rsidR="0042459B">
        <w:rPr>
          <w:sz w:val="20"/>
          <w:szCs w:val="20"/>
        </w:rPr>
        <w:t>4</w:t>
      </w:r>
      <w:r w:rsidRPr="00DE5D84">
        <w:rPr>
          <w:sz w:val="20"/>
          <w:szCs w:val="20"/>
        </w:rPr>
        <w:t>.</w:t>
      </w:r>
      <w:r w:rsidR="0042459B">
        <w:rPr>
          <w:sz w:val="20"/>
          <w:szCs w:val="20"/>
        </w:rPr>
        <w:t>9</w:t>
      </w:r>
      <w:r w:rsidRPr="00DE5D84">
        <w:rPr>
          <w:sz w:val="20"/>
          <w:szCs w:val="20"/>
        </w:rPr>
        <w:t>% compared to a national (GB) rate of 7</w:t>
      </w:r>
      <w:r w:rsidR="0042459B">
        <w:rPr>
          <w:sz w:val="20"/>
          <w:szCs w:val="20"/>
        </w:rPr>
        <w:t>2</w:t>
      </w:r>
      <w:r w:rsidRPr="00DE5D84">
        <w:rPr>
          <w:sz w:val="20"/>
          <w:szCs w:val="20"/>
        </w:rPr>
        <w:t>.</w:t>
      </w:r>
      <w:r w:rsidR="0042459B">
        <w:rPr>
          <w:sz w:val="20"/>
          <w:szCs w:val="20"/>
        </w:rPr>
        <w:t>4</w:t>
      </w:r>
      <w:r w:rsidRPr="00DE5D84">
        <w:rPr>
          <w:sz w:val="20"/>
          <w:szCs w:val="20"/>
        </w:rPr>
        <w:t>%. There are a high proportion of benefit claimants with out-of-work benefits</w:t>
      </w:r>
      <w:r>
        <w:rPr>
          <w:sz w:val="20"/>
          <w:szCs w:val="20"/>
        </w:rPr>
        <w:t>,</w:t>
      </w:r>
      <w:r w:rsidRPr="00DE5D84">
        <w:rPr>
          <w:sz w:val="20"/>
          <w:szCs w:val="20"/>
        </w:rPr>
        <w:t xml:space="preserve"> including Employment Support </w:t>
      </w:r>
      <w:r>
        <w:rPr>
          <w:sz w:val="20"/>
          <w:szCs w:val="20"/>
        </w:rPr>
        <w:t xml:space="preserve">Allowance (ESA) </w:t>
      </w:r>
      <w:r w:rsidRPr="00DE5D84">
        <w:rPr>
          <w:sz w:val="20"/>
          <w:szCs w:val="20"/>
        </w:rPr>
        <w:t>and Job Seekers Allowance</w:t>
      </w:r>
      <w:r>
        <w:rPr>
          <w:sz w:val="20"/>
          <w:szCs w:val="20"/>
        </w:rPr>
        <w:t xml:space="preserve"> (JSA) </w:t>
      </w:r>
      <w:r w:rsidRPr="00DE5D84">
        <w:rPr>
          <w:sz w:val="20"/>
          <w:szCs w:val="20"/>
        </w:rPr>
        <w:t xml:space="preserve">at almost twice the national (GB) level - currently </w:t>
      </w:r>
      <w:r w:rsidR="0042459B">
        <w:rPr>
          <w:sz w:val="20"/>
          <w:szCs w:val="20"/>
        </w:rPr>
        <w:t>18</w:t>
      </w:r>
      <w:r>
        <w:rPr>
          <w:sz w:val="20"/>
          <w:szCs w:val="20"/>
        </w:rPr>
        <w:t>.</w:t>
      </w:r>
      <w:r w:rsidR="0042459B">
        <w:rPr>
          <w:sz w:val="20"/>
          <w:szCs w:val="20"/>
        </w:rPr>
        <w:t>7</w:t>
      </w:r>
      <w:r w:rsidRPr="00DE5D84">
        <w:rPr>
          <w:sz w:val="20"/>
          <w:szCs w:val="20"/>
        </w:rPr>
        <w:t>%, compared to 1</w:t>
      </w:r>
      <w:r w:rsidR="0042459B">
        <w:rPr>
          <w:sz w:val="20"/>
          <w:szCs w:val="20"/>
        </w:rPr>
        <w:t>0</w:t>
      </w:r>
      <w:r w:rsidRPr="00DE5D84">
        <w:rPr>
          <w:sz w:val="20"/>
          <w:szCs w:val="20"/>
        </w:rPr>
        <w:t>.</w:t>
      </w:r>
      <w:r w:rsidR="0042459B">
        <w:rPr>
          <w:sz w:val="20"/>
          <w:szCs w:val="20"/>
        </w:rPr>
        <w:t>0</w:t>
      </w:r>
      <w:r w:rsidRPr="00DE5D84">
        <w:rPr>
          <w:sz w:val="20"/>
          <w:szCs w:val="20"/>
        </w:rPr>
        <w:t>% (GB)</w:t>
      </w:r>
      <w:r>
        <w:rPr>
          <w:rStyle w:val="EndnoteReference"/>
          <w:sz w:val="20"/>
          <w:szCs w:val="20"/>
        </w:rPr>
        <w:endnoteReference w:id="7"/>
      </w:r>
      <w:r w:rsidRPr="00DE5D84">
        <w:rPr>
          <w:sz w:val="20"/>
          <w:szCs w:val="20"/>
        </w:rPr>
        <w:t xml:space="preserve">. This approximates to about </w:t>
      </w:r>
      <w:r w:rsidR="0042459B">
        <w:rPr>
          <w:sz w:val="20"/>
          <w:szCs w:val="20"/>
        </w:rPr>
        <w:t>16</w:t>
      </w:r>
      <w:r w:rsidRPr="00DE5D84">
        <w:rPr>
          <w:sz w:val="20"/>
          <w:szCs w:val="20"/>
        </w:rPr>
        <w:t>,</w:t>
      </w:r>
      <w:r w:rsidR="0042459B">
        <w:rPr>
          <w:sz w:val="20"/>
          <w:szCs w:val="20"/>
        </w:rPr>
        <w:t>39</w:t>
      </w:r>
      <w:r w:rsidRPr="00DE5D84">
        <w:rPr>
          <w:sz w:val="20"/>
          <w:szCs w:val="20"/>
        </w:rPr>
        <w:t>0 individuals claiming a</w:t>
      </w:r>
      <w:r>
        <w:rPr>
          <w:sz w:val="20"/>
          <w:szCs w:val="20"/>
        </w:rPr>
        <w:t>n out-of-work</w:t>
      </w:r>
      <w:r w:rsidRPr="00DE5D84">
        <w:rPr>
          <w:sz w:val="20"/>
          <w:szCs w:val="20"/>
        </w:rPr>
        <w:t xml:space="preserve"> benefit, the majority (1</w:t>
      </w:r>
      <w:r>
        <w:rPr>
          <w:sz w:val="20"/>
          <w:szCs w:val="20"/>
        </w:rPr>
        <w:t>0</w:t>
      </w:r>
      <w:r w:rsidRPr="00DE5D84">
        <w:rPr>
          <w:sz w:val="20"/>
          <w:szCs w:val="20"/>
        </w:rPr>
        <w:t>,</w:t>
      </w:r>
      <w:r w:rsidR="0042459B">
        <w:rPr>
          <w:sz w:val="20"/>
          <w:szCs w:val="20"/>
        </w:rPr>
        <w:t>8</w:t>
      </w:r>
      <w:r w:rsidR="00B80EAB">
        <w:rPr>
          <w:sz w:val="20"/>
          <w:szCs w:val="20"/>
        </w:rPr>
        <w:t>8</w:t>
      </w:r>
      <w:r w:rsidRPr="00DE5D84">
        <w:rPr>
          <w:sz w:val="20"/>
          <w:szCs w:val="20"/>
        </w:rPr>
        <w:t>0) of which claim ESA. Table 2 below show</w:t>
      </w:r>
      <w:r>
        <w:rPr>
          <w:sz w:val="20"/>
          <w:szCs w:val="20"/>
        </w:rPr>
        <w:t>s the distribution of claims by group</w:t>
      </w:r>
      <w:r w:rsidRPr="00DE5D84">
        <w:rPr>
          <w:sz w:val="20"/>
          <w:szCs w:val="20"/>
        </w:rPr>
        <w:t>.</w:t>
      </w:r>
    </w:p>
    <w:p w:rsidR="00EA0F63" w:rsidRPr="00EA0F63" w:rsidRDefault="00EA0F63" w:rsidP="00EA0F63">
      <w:pPr>
        <w:spacing w:after="0"/>
        <w:jc w:val="center"/>
        <w:rPr>
          <w:b/>
          <w:sz w:val="20"/>
        </w:rPr>
      </w:pPr>
      <w:r w:rsidRPr="00EA0F63">
        <w:rPr>
          <w:b/>
          <w:sz w:val="20"/>
        </w:rPr>
        <w:t>Table 2: Distribution of benefits claims in Blackpool by Statistical Group</w:t>
      </w:r>
    </w:p>
    <w:tbl>
      <w:tblPr>
        <w:tblW w:w="7386" w:type="dxa"/>
        <w:jc w:val="center"/>
        <w:tblBorders>
          <w:top w:val="single" w:sz="8" w:space="0" w:color="8064A2"/>
          <w:bottom w:val="single" w:sz="8" w:space="0" w:color="8064A2"/>
        </w:tblBorders>
        <w:tblLook w:val="00A0" w:firstRow="1" w:lastRow="0" w:firstColumn="1" w:lastColumn="0" w:noHBand="0" w:noVBand="0"/>
      </w:tblPr>
      <w:tblGrid>
        <w:gridCol w:w="3900"/>
        <w:gridCol w:w="960"/>
        <w:gridCol w:w="1083"/>
        <w:gridCol w:w="1443"/>
      </w:tblGrid>
      <w:tr w:rsidR="00EA0F63" w:rsidRPr="00EA0F63" w:rsidTr="00152BD0">
        <w:trPr>
          <w:trHeight w:val="300"/>
          <w:jc w:val="center"/>
        </w:trPr>
        <w:tc>
          <w:tcPr>
            <w:tcW w:w="3900" w:type="dxa"/>
            <w:tcBorders>
              <w:top w:val="single" w:sz="8" w:space="0" w:color="8064A2"/>
              <w:left w:val="nil"/>
              <w:bottom w:val="single" w:sz="8" w:space="0" w:color="8064A2"/>
              <w:right w:val="nil"/>
            </w:tcBorders>
            <w:noWrap/>
          </w:tcPr>
          <w:p w:rsidR="00EA0F63" w:rsidRPr="00EA0F63" w:rsidRDefault="00EA0F63" w:rsidP="00EA0F63">
            <w:pPr>
              <w:spacing w:after="0" w:line="240" w:lineRule="auto"/>
              <w:rPr>
                <w:rFonts w:cs="Calibri"/>
                <w:b/>
                <w:bCs/>
                <w:color w:val="000000"/>
                <w:sz w:val="20"/>
                <w:lang w:eastAsia="en-GB"/>
              </w:rPr>
            </w:pPr>
          </w:p>
        </w:tc>
        <w:tc>
          <w:tcPr>
            <w:tcW w:w="960" w:type="dxa"/>
            <w:tcBorders>
              <w:top w:val="single" w:sz="8" w:space="0" w:color="8064A2"/>
              <w:left w:val="nil"/>
              <w:bottom w:val="single" w:sz="8" w:space="0" w:color="8064A2"/>
              <w:right w:val="nil"/>
            </w:tcBorders>
            <w:noWrap/>
          </w:tcPr>
          <w:p w:rsidR="00EA0F63" w:rsidRPr="00EA0F63" w:rsidRDefault="00EA0F63" w:rsidP="00EA0F63">
            <w:pPr>
              <w:spacing w:after="0" w:line="240" w:lineRule="auto"/>
              <w:rPr>
                <w:rFonts w:cs="Calibri"/>
                <w:b/>
                <w:bCs/>
                <w:color w:val="000000"/>
                <w:sz w:val="20"/>
                <w:lang w:eastAsia="en-GB"/>
              </w:rPr>
            </w:pPr>
            <w:r w:rsidRPr="00EA0F63">
              <w:rPr>
                <w:rFonts w:cs="Calibri"/>
                <w:b/>
                <w:bCs/>
                <w:color w:val="000000"/>
                <w:sz w:val="20"/>
                <w:lang w:eastAsia="en-GB"/>
              </w:rPr>
              <w:t>Number</w:t>
            </w:r>
          </w:p>
        </w:tc>
        <w:tc>
          <w:tcPr>
            <w:tcW w:w="1083" w:type="dxa"/>
            <w:tcBorders>
              <w:top w:val="single" w:sz="8" w:space="0" w:color="8064A2"/>
              <w:left w:val="nil"/>
              <w:bottom w:val="single" w:sz="8" w:space="0" w:color="8064A2"/>
              <w:right w:val="nil"/>
            </w:tcBorders>
            <w:noWrap/>
          </w:tcPr>
          <w:p w:rsidR="00EA0F63" w:rsidRPr="00EA0F63" w:rsidRDefault="00EA0F63" w:rsidP="00EA0F63">
            <w:pPr>
              <w:spacing w:after="0" w:line="240" w:lineRule="auto"/>
              <w:rPr>
                <w:rFonts w:cs="Calibri"/>
                <w:b/>
                <w:bCs/>
                <w:color w:val="000000"/>
                <w:sz w:val="20"/>
                <w:lang w:eastAsia="en-GB"/>
              </w:rPr>
            </w:pPr>
            <w:r w:rsidRPr="00EA0F63">
              <w:rPr>
                <w:rFonts w:cs="Calibri"/>
                <w:b/>
                <w:bCs/>
                <w:color w:val="000000"/>
                <w:sz w:val="20"/>
                <w:lang w:eastAsia="en-GB"/>
              </w:rPr>
              <w:t>Blackpool</w:t>
            </w:r>
          </w:p>
        </w:tc>
        <w:tc>
          <w:tcPr>
            <w:tcW w:w="1443" w:type="dxa"/>
            <w:tcBorders>
              <w:top w:val="single" w:sz="8" w:space="0" w:color="8064A2"/>
              <w:left w:val="nil"/>
              <w:bottom w:val="single" w:sz="8" w:space="0" w:color="8064A2"/>
              <w:right w:val="nil"/>
            </w:tcBorders>
            <w:noWrap/>
          </w:tcPr>
          <w:p w:rsidR="00EA0F63" w:rsidRPr="00EA0F63" w:rsidRDefault="00EA0F63" w:rsidP="00EA0F63">
            <w:pPr>
              <w:spacing w:after="0" w:line="240" w:lineRule="auto"/>
              <w:rPr>
                <w:rFonts w:cs="Calibri"/>
                <w:b/>
                <w:bCs/>
                <w:color w:val="000000"/>
                <w:sz w:val="20"/>
                <w:lang w:eastAsia="en-GB"/>
              </w:rPr>
            </w:pPr>
            <w:r w:rsidRPr="00EA0F63">
              <w:rPr>
                <w:rFonts w:cs="Calibri"/>
                <w:b/>
                <w:bCs/>
                <w:color w:val="000000"/>
                <w:sz w:val="20"/>
                <w:lang w:eastAsia="en-GB"/>
              </w:rPr>
              <w:t>Great Britain</w:t>
            </w:r>
          </w:p>
        </w:tc>
      </w:tr>
      <w:tr w:rsidR="00EA0F63" w:rsidRPr="00EA0F63" w:rsidTr="00152BD0">
        <w:trPr>
          <w:trHeight w:val="300"/>
          <w:jc w:val="center"/>
        </w:trPr>
        <w:tc>
          <w:tcPr>
            <w:tcW w:w="3900" w:type="dxa"/>
            <w:tcBorders>
              <w:left w:val="nil"/>
              <w:right w:val="nil"/>
            </w:tcBorders>
            <w:shd w:val="clear" w:color="auto" w:fill="DFD8E8"/>
            <w:noWrap/>
          </w:tcPr>
          <w:p w:rsidR="00EA0F63" w:rsidRPr="00EA0F63" w:rsidRDefault="00EA0F63" w:rsidP="00EA0F63">
            <w:pPr>
              <w:spacing w:after="0" w:line="240" w:lineRule="auto"/>
              <w:jc w:val="right"/>
              <w:rPr>
                <w:rFonts w:cs="Calibri"/>
                <w:b/>
                <w:bCs/>
                <w:color w:val="000000"/>
                <w:sz w:val="20"/>
                <w:lang w:eastAsia="en-GB"/>
              </w:rPr>
            </w:pPr>
            <w:r w:rsidRPr="00EA0F63">
              <w:rPr>
                <w:rFonts w:cs="Calibri"/>
                <w:b/>
                <w:bCs/>
                <w:color w:val="000000"/>
                <w:sz w:val="20"/>
                <w:lang w:eastAsia="en-GB"/>
              </w:rPr>
              <w:t xml:space="preserve">Total claimants </w:t>
            </w:r>
          </w:p>
        </w:tc>
        <w:tc>
          <w:tcPr>
            <w:tcW w:w="960" w:type="dxa"/>
            <w:tcBorders>
              <w:left w:val="nil"/>
              <w:right w:val="nil"/>
            </w:tcBorders>
            <w:shd w:val="clear" w:color="auto" w:fill="DFD8E8"/>
            <w:noWrap/>
          </w:tcPr>
          <w:p w:rsidR="00EA0F63" w:rsidRPr="00EA0F63" w:rsidRDefault="00EA0F63" w:rsidP="00EA0F63">
            <w:pPr>
              <w:spacing w:after="0" w:line="240" w:lineRule="auto"/>
              <w:jc w:val="right"/>
              <w:rPr>
                <w:rFonts w:cs="Calibri"/>
                <w:color w:val="000000"/>
                <w:sz w:val="20"/>
                <w:lang w:eastAsia="en-GB"/>
              </w:rPr>
            </w:pPr>
            <w:r w:rsidRPr="00EA0F63">
              <w:rPr>
                <w:rFonts w:cs="Calibri"/>
                <w:color w:val="000000"/>
                <w:sz w:val="20"/>
                <w:lang w:eastAsia="en-GB"/>
              </w:rPr>
              <w:t>20,310</w:t>
            </w:r>
          </w:p>
        </w:tc>
        <w:tc>
          <w:tcPr>
            <w:tcW w:w="1083" w:type="dxa"/>
            <w:tcBorders>
              <w:left w:val="nil"/>
              <w:right w:val="nil"/>
            </w:tcBorders>
            <w:shd w:val="clear" w:color="auto" w:fill="DFD8E8"/>
            <w:noWrap/>
          </w:tcPr>
          <w:p w:rsidR="00EA0F63" w:rsidRPr="00EA0F63" w:rsidRDefault="00EA0F63" w:rsidP="00EA0F63">
            <w:pPr>
              <w:spacing w:after="0" w:line="240" w:lineRule="auto"/>
              <w:jc w:val="right"/>
              <w:rPr>
                <w:rFonts w:cs="Calibri"/>
                <w:color w:val="000000"/>
                <w:sz w:val="20"/>
                <w:lang w:eastAsia="en-GB"/>
              </w:rPr>
            </w:pPr>
            <w:r w:rsidRPr="00EA0F63">
              <w:rPr>
                <w:rFonts w:cs="Calibri"/>
                <w:color w:val="000000"/>
                <w:sz w:val="20"/>
                <w:lang w:eastAsia="en-GB"/>
              </w:rPr>
              <w:t>23.2</w:t>
            </w:r>
          </w:p>
        </w:tc>
        <w:tc>
          <w:tcPr>
            <w:tcW w:w="1443" w:type="dxa"/>
            <w:tcBorders>
              <w:left w:val="nil"/>
              <w:right w:val="nil"/>
            </w:tcBorders>
            <w:shd w:val="clear" w:color="auto" w:fill="DFD8E8"/>
            <w:noWrap/>
          </w:tcPr>
          <w:p w:rsidR="00EA0F63" w:rsidRPr="00EA0F63" w:rsidRDefault="00EA0F63" w:rsidP="00EA0F63">
            <w:pPr>
              <w:spacing w:after="0" w:line="240" w:lineRule="auto"/>
              <w:jc w:val="right"/>
              <w:rPr>
                <w:rFonts w:cs="Calibri"/>
                <w:color w:val="000000"/>
                <w:sz w:val="20"/>
                <w:lang w:eastAsia="en-GB"/>
              </w:rPr>
            </w:pPr>
            <w:r w:rsidRPr="00EA0F63">
              <w:rPr>
                <w:rFonts w:cs="Calibri"/>
                <w:color w:val="000000"/>
                <w:sz w:val="20"/>
                <w:lang w:eastAsia="en-GB"/>
              </w:rPr>
              <w:t>12.7</w:t>
            </w:r>
          </w:p>
        </w:tc>
      </w:tr>
      <w:tr w:rsidR="00EA0F63" w:rsidRPr="00EA0F63" w:rsidTr="00152BD0">
        <w:trPr>
          <w:trHeight w:val="300"/>
          <w:jc w:val="center"/>
        </w:trPr>
        <w:tc>
          <w:tcPr>
            <w:tcW w:w="3900" w:type="dxa"/>
            <w:noWrap/>
          </w:tcPr>
          <w:p w:rsidR="00EA0F63" w:rsidRPr="00EA0F63" w:rsidRDefault="00EA0F63" w:rsidP="00EA0F63">
            <w:pPr>
              <w:spacing w:after="0" w:line="240" w:lineRule="auto"/>
              <w:jc w:val="right"/>
              <w:rPr>
                <w:rFonts w:cs="Calibri"/>
                <w:b/>
                <w:bCs/>
                <w:i/>
                <w:iCs/>
                <w:color w:val="000000"/>
                <w:sz w:val="20"/>
                <w:lang w:eastAsia="en-GB"/>
              </w:rPr>
            </w:pPr>
            <w:r w:rsidRPr="00EA0F63">
              <w:rPr>
                <w:rFonts w:cs="Calibri"/>
                <w:b/>
                <w:bCs/>
                <w:i/>
                <w:iCs/>
                <w:color w:val="000000"/>
                <w:sz w:val="20"/>
                <w:lang w:eastAsia="en-GB"/>
              </w:rPr>
              <w:t xml:space="preserve">Key out-of-work benefits† </w:t>
            </w:r>
          </w:p>
        </w:tc>
        <w:tc>
          <w:tcPr>
            <w:tcW w:w="960" w:type="dxa"/>
            <w:noWrap/>
          </w:tcPr>
          <w:p w:rsidR="00EA0F63" w:rsidRPr="00EA0F63" w:rsidRDefault="00EA0F63" w:rsidP="00EA0F63">
            <w:pPr>
              <w:spacing w:after="0" w:line="240" w:lineRule="auto"/>
              <w:jc w:val="right"/>
              <w:rPr>
                <w:rFonts w:cs="Calibri"/>
                <w:color w:val="000000"/>
                <w:sz w:val="20"/>
                <w:lang w:eastAsia="en-GB"/>
              </w:rPr>
            </w:pPr>
            <w:r w:rsidRPr="00EA0F63">
              <w:rPr>
                <w:rFonts w:cs="Calibri"/>
                <w:color w:val="000000"/>
                <w:sz w:val="20"/>
                <w:lang w:eastAsia="en-GB"/>
              </w:rPr>
              <w:t>16,390</w:t>
            </w:r>
          </w:p>
        </w:tc>
        <w:tc>
          <w:tcPr>
            <w:tcW w:w="1083" w:type="dxa"/>
            <w:noWrap/>
          </w:tcPr>
          <w:p w:rsidR="00EA0F63" w:rsidRPr="00EA0F63" w:rsidRDefault="00EA0F63" w:rsidP="00EA0F63">
            <w:pPr>
              <w:spacing w:after="0" w:line="240" w:lineRule="auto"/>
              <w:jc w:val="right"/>
              <w:rPr>
                <w:rFonts w:cs="Calibri"/>
                <w:color w:val="000000"/>
                <w:sz w:val="20"/>
                <w:lang w:eastAsia="en-GB"/>
              </w:rPr>
            </w:pPr>
            <w:r w:rsidRPr="00EA0F63">
              <w:rPr>
                <w:rFonts w:cs="Calibri"/>
                <w:color w:val="000000"/>
                <w:sz w:val="20"/>
                <w:lang w:eastAsia="en-GB"/>
              </w:rPr>
              <w:t>18.7</w:t>
            </w:r>
          </w:p>
        </w:tc>
        <w:tc>
          <w:tcPr>
            <w:tcW w:w="1443" w:type="dxa"/>
            <w:noWrap/>
          </w:tcPr>
          <w:p w:rsidR="00EA0F63" w:rsidRPr="00EA0F63" w:rsidRDefault="00EA0F63" w:rsidP="00EA0F63">
            <w:pPr>
              <w:spacing w:after="0" w:line="240" w:lineRule="auto"/>
              <w:jc w:val="right"/>
              <w:rPr>
                <w:rFonts w:cs="Calibri"/>
                <w:color w:val="000000"/>
                <w:sz w:val="20"/>
                <w:lang w:eastAsia="en-GB"/>
              </w:rPr>
            </w:pPr>
            <w:r w:rsidRPr="00EA0F63">
              <w:rPr>
                <w:rFonts w:cs="Calibri"/>
                <w:color w:val="000000"/>
                <w:sz w:val="20"/>
                <w:lang w:eastAsia="en-GB"/>
              </w:rPr>
              <w:t>10.0</w:t>
            </w:r>
          </w:p>
        </w:tc>
      </w:tr>
      <w:tr w:rsidR="00EA0F63" w:rsidRPr="00EA0F63" w:rsidTr="00152BD0">
        <w:trPr>
          <w:trHeight w:val="300"/>
          <w:jc w:val="center"/>
        </w:trPr>
        <w:tc>
          <w:tcPr>
            <w:tcW w:w="3900" w:type="dxa"/>
            <w:tcBorders>
              <w:left w:val="nil"/>
              <w:right w:val="nil"/>
            </w:tcBorders>
            <w:shd w:val="clear" w:color="auto" w:fill="DFD8E8"/>
            <w:noWrap/>
          </w:tcPr>
          <w:p w:rsidR="00EA0F63" w:rsidRPr="00EA0F63" w:rsidRDefault="00EA0F63" w:rsidP="00EA0F63">
            <w:pPr>
              <w:spacing w:after="0" w:line="240" w:lineRule="auto"/>
              <w:rPr>
                <w:rFonts w:cs="Calibri"/>
                <w:b/>
                <w:bCs/>
                <w:i/>
                <w:iCs/>
                <w:color w:val="000000"/>
                <w:sz w:val="20"/>
                <w:lang w:eastAsia="en-GB"/>
              </w:rPr>
            </w:pPr>
          </w:p>
        </w:tc>
        <w:tc>
          <w:tcPr>
            <w:tcW w:w="960" w:type="dxa"/>
            <w:tcBorders>
              <w:left w:val="nil"/>
              <w:right w:val="nil"/>
            </w:tcBorders>
            <w:shd w:val="clear" w:color="auto" w:fill="DFD8E8"/>
            <w:noWrap/>
          </w:tcPr>
          <w:p w:rsidR="00EA0F63" w:rsidRPr="00EA0F63" w:rsidRDefault="00EA0F63" w:rsidP="00EA0F63">
            <w:pPr>
              <w:spacing w:after="0" w:line="240" w:lineRule="auto"/>
              <w:rPr>
                <w:rFonts w:cs="Calibri"/>
                <w:color w:val="000000"/>
                <w:sz w:val="20"/>
                <w:lang w:eastAsia="en-GB"/>
              </w:rPr>
            </w:pPr>
          </w:p>
        </w:tc>
        <w:tc>
          <w:tcPr>
            <w:tcW w:w="1083" w:type="dxa"/>
            <w:tcBorders>
              <w:left w:val="nil"/>
              <w:right w:val="nil"/>
            </w:tcBorders>
            <w:shd w:val="clear" w:color="auto" w:fill="DFD8E8"/>
            <w:noWrap/>
          </w:tcPr>
          <w:p w:rsidR="00EA0F63" w:rsidRPr="00EA0F63" w:rsidRDefault="00EA0F63" w:rsidP="00EA0F63">
            <w:pPr>
              <w:spacing w:after="0" w:line="240" w:lineRule="auto"/>
              <w:rPr>
                <w:rFonts w:cs="Calibri"/>
                <w:color w:val="000000"/>
                <w:sz w:val="20"/>
                <w:lang w:eastAsia="en-GB"/>
              </w:rPr>
            </w:pPr>
          </w:p>
        </w:tc>
        <w:tc>
          <w:tcPr>
            <w:tcW w:w="1443" w:type="dxa"/>
            <w:tcBorders>
              <w:left w:val="nil"/>
              <w:right w:val="nil"/>
            </w:tcBorders>
            <w:shd w:val="clear" w:color="auto" w:fill="DFD8E8"/>
            <w:noWrap/>
          </w:tcPr>
          <w:p w:rsidR="00EA0F63" w:rsidRPr="00EA0F63" w:rsidRDefault="00EA0F63" w:rsidP="00EA0F63">
            <w:pPr>
              <w:spacing w:after="0" w:line="240" w:lineRule="auto"/>
              <w:rPr>
                <w:rFonts w:cs="Calibri"/>
                <w:color w:val="000000"/>
                <w:sz w:val="20"/>
                <w:lang w:eastAsia="en-GB"/>
              </w:rPr>
            </w:pPr>
          </w:p>
        </w:tc>
      </w:tr>
      <w:tr w:rsidR="00EA0F63" w:rsidRPr="00EA0F63" w:rsidTr="00152BD0">
        <w:trPr>
          <w:trHeight w:val="300"/>
          <w:jc w:val="center"/>
        </w:trPr>
        <w:tc>
          <w:tcPr>
            <w:tcW w:w="3900" w:type="dxa"/>
            <w:noWrap/>
          </w:tcPr>
          <w:p w:rsidR="00EA0F63" w:rsidRPr="00EA0F63" w:rsidRDefault="00EA0F63" w:rsidP="00EA0F63">
            <w:pPr>
              <w:spacing w:after="0" w:line="240" w:lineRule="auto"/>
              <w:jc w:val="right"/>
              <w:rPr>
                <w:rFonts w:cs="Calibri"/>
                <w:b/>
                <w:bCs/>
                <w:color w:val="000000"/>
                <w:sz w:val="20"/>
                <w:u w:val="single"/>
                <w:lang w:eastAsia="en-GB"/>
              </w:rPr>
            </w:pPr>
            <w:r w:rsidRPr="00EA0F63">
              <w:rPr>
                <w:rFonts w:cs="Calibri"/>
                <w:b/>
                <w:bCs/>
                <w:color w:val="000000"/>
                <w:sz w:val="20"/>
                <w:u w:val="single"/>
                <w:lang w:eastAsia="en-GB"/>
              </w:rPr>
              <w:t>By statistical group</w:t>
            </w:r>
          </w:p>
        </w:tc>
        <w:tc>
          <w:tcPr>
            <w:tcW w:w="960" w:type="dxa"/>
            <w:noWrap/>
          </w:tcPr>
          <w:p w:rsidR="00EA0F63" w:rsidRPr="00EA0F63" w:rsidRDefault="00EA0F63" w:rsidP="00EA0F63">
            <w:pPr>
              <w:spacing w:after="0" w:line="240" w:lineRule="auto"/>
              <w:rPr>
                <w:rFonts w:cs="Calibri"/>
                <w:color w:val="000000"/>
                <w:sz w:val="20"/>
                <w:lang w:eastAsia="en-GB"/>
              </w:rPr>
            </w:pPr>
          </w:p>
        </w:tc>
        <w:tc>
          <w:tcPr>
            <w:tcW w:w="1083" w:type="dxa"/>
            <w:noWrap/>
          </w:tcPr>
          <w:p w:rsidR="00EA0F63" w:rsidRPr="00EA0F63" w:rsidRDefault="00EA0F63" w:rsidP="00EA0F63">
            <w:pPr>
              <w:spacing w:after="0" w:line="240" w:lineRule="auto"/>
              <w:rPr>
                <w:rFonts w:cs="Calibri"/>
                <w:color w:val="000000"/>
                <w:sz w:val="20"/>
                <w:lang w:eastAsia="en-GB"/>
              </w:rPr>
            </w:pPr>
          </w:p>
        </w:tc>
        <w:tc>
          <w:tcPr>
            <w:tcW w:w="1443" w:type="dxa"/>
            <w:noWrap/>
          </w:tcPr>
          <w:p w:rsidR="00EA0F63" w:rsidRPr="00EA0F63" w:rsidRDefault="00EA0F63" w:rsidP="00EA0F63">
            <w:pPr>
              <w:spacing w:after="0" w:line="240" w:lineRule="auto"/>
              <w:rPr>
                <w:rFonts w:cs="Calibri"/>
                <w:color w:val="000000"/>
                <w:sz w:val="20"/>
                <w:lang w:eastAsia="en-GB"/>
              </w:rPr>
            </w:pPr>
          </w:p>
        </w:tc>
      </w:tr>
      <w:tr w:rsidR="00EA0F63" w:rsidRPr="00EA0F63" w:rsidTr="00152BD0">
        <w:trPr>
          <w:trHeight w:val="300"/>
          <w:jc w:val="center"/>
        </w:trPr>
        <w:tc>
          <w:tcPr>
            <w:tcW w:w="3900" w:type="dxa"/>
            <w:tcBorders>
              <w:left w:val="nil"/>
              <w:right w:val="nil"/>
            </w:tcBorders>
            <w:shd w:val="clear" w:color="auto" w:fill="DFD8E8"/>
            <w:noWrap/>
          </w:tcPr>
          <w:p w:rsidR="00EA0F63" w:rsidRPr="00EA0F63" w:rsidRDefault="00EA0F63" w:rsidP="00EA0F63">
            <w:pPr>
              <w:spacing w:after="0" w:line="240" w:lineRule="auto"/>
              <w:jc w:val="right"/>
              <w:rPr>
                <w:rFonts w:cs="Calibri"/>
                <w:b/>
                <w:bCs/>
                <w:color w:val="000000"/>
                <w:sz w:val="20"/>
                <w:lang w:eastAsia="en-GB"/>
              </w:rPr>
            </w:pPr>
            <w:r w:rsidRPr="00EA0F63">
              <w:rPr>
                <w:rFonts w:cs="Calibri"/>
                <w:b/>
                <w:bCs/>
                <w:color w:val="000000"/>
                <w:sz w:val="20"/>
                <w:lang w:eastAsia="en-GB"/>
              </w:rPr>
              <w:t xml:space="preserve">Job seekers </w:t>
            </w:r>
          </w:p>
        </w:tc>
        <w:tc>
          <w:tcPr>
            <w:tcW w:w="960" w:type="dxa"/>
            <w:tcBorders>
              <w:left w:val="nil"/>
              <w:right w:val="nil"/>
            </w:tcBorders>
            <w:shd w:val="clear" w:color="auto" w:fill="DFD8E8"/>
            <w:noWrap/>
          </w:tcPr>
          <w:p w:rsidR="00EA0F63" w:rsidRPr="00EA0F63" w:rsidRDefault="00EA0F63" w:rsidP="00EA0F63">
            <w:pPr>
              <w:spacing w:after="0" w:line="240" w:lineRule="auto"/>
              <w:jc w:val="right"/>
              <w:rPr>
                <w:rFonts w:cs="Calibri"/>
                <w:color w:val="000000"/>
                <w:sz w:val="20"/>
                <w:lang w:eastAsia="en-GB"/>
              </w:rPr>
            </w:pPr>
            <w:r w:rsidRPr="00EA0F63">
              <w:rPr>
                <w:rFonts w:cs="Calibri"/>
                <w:color w:val="000000"/>
                <w:sz w:val="20"/>
                <w:lang w:eastAsia="en-GB"/>
              </w:rPr>
              <w:t>4,800</w:t>
            </w:r>
          </w:p>
        </w:tc>
        <w:tc>
          <w:tcPr>
            <w:tcW w:w="1083" w:type="dxa"/>
            <w:tcBorders>
              <w:left w:val="nil"/>
              <w:right w:val="nil"/>
            </w:tcBorders>
            <w:shd w:val="clear" w:color="auto" w:fill="DFD8E8"/>
            <w:noWrap/>
          </w:tcPr>
          <w:p w:rsidR="00EA0F63" w:rsidRPr="00EA0F63" w:rsidRDefault="00EA0F63" w:rsidP="00EA0F63">
            <w:pPr>
              <w:spacing w:after="0" w:line="240" w:lineRule="auto"/>
              <w:jc w:val="right"/>
              <w:rPr>
                <w:rFonts w:cs="Calibri"/>
                <w:color w:val="000000"/>
                <w:sz w:val="20"/>
                <w:lang w:eastAsia="en-GB"/>
              </w:rPr>
            </w:pPr>
            <w:r w:rsidRPr="00EA0F63">
              <w:rPr>
                <w:rFonts w:cs="Calibri"/>
                <w:color w:val="000000"/>
                <w:sz w:val="20"/>
                <w:lang w:eastAsia="en-GB"/>
              </w:rPr>
              <w:t>5.5</w:t>
            </w:r>
          </w:p>
        </w:tc>
        <w:tc>
          <w:tcPr>
            <w:tcW w:w="1443" w:type="dxa"/>
            <w:tcBorders>
              <w:left w:val="nil"/>
              <w:right w:val="nil"/>
            </w:tcBorders>
            <w:shd w:val="clear" w:color="auto" w:fill="DFD8E8"/>
            <w:noWrap/>
          </w:tcPr>
          <w:p w:rsidR="00EA0F63" w:rsidRPr="00EA0F63" w:rsidRDefault="00EA0F63" w:rsidP="00EA0F63">
            <w:pPr>
              <w:spacing w:after="0" w:line="240" w:lineRule="auto"/>
              <w:jc w:val="right"/>
              <w:rPr>
                <w:rFonts w:cs="Calibri"/>
                <w:color w:val="000000"/>
                <w:sz w:val="20"/>
                <w:lang w:eastAsia="en-GB"/>
              </w:rPr>
            </w:pPr>
            <w:r w:rsidRPr="00EA0F63">
              <w:rPr>
                <w:rFonts w:cs="Calibri"/>
                <w:color w:val="000000"/>
                <w:sz w:val="20"/>
                <w:lang w:eastAsia="en-GB"/>
              </w:rPr>
              <w:t>2.9</w:t>
            </w:r>
          </w:p>
        </w:tc>
      </w:tr>
      <w:tr w:rsidR="00EA0F63" w:rsidRPr="00EA0F63" w:rsidTr="00152BD0">
        <w:trPr>
          <w:trHeight w:val="300"/>
          <w:jc w:val="center"/>
        </w:trPr>
        <w:tc>
          <w:tcPr>
            <w:tcW w:w="3900" w:type="dxa"/>
            <w:noWrap/>
          </w:tcPr>
          <w:p w:rsidR="00EA0F63" w:rsidRPr="00EA0F63" w:rsidRDefault="00EA0F63" w:rsidP="00EA0F63">
            <w:pPr>
              <w:spacing w:after="0" w:line="240" w:lineRule="auto"/>
              <w:jc w:val="right"/>
              <w:rPr>
                <w:rFonts w:cs="Calibri"/>
                <w:b/>
                <w:bCs/>
                <w:color w:val="000000"/>
                <w:sz w:val="20"/>
                <w:lang w:eastAsia="en-GB"/>
              </w:rPr>
            </w:pPr>
            <w:r w:rsidRPr="00EA0F63">
              <w:rPr>
                <w:rFonts w:cs="Calibri"/>
                <w:b/>
                <w:bCs/>
                <w:color w:val="000000"/>
                <w:sz w:val="20"/>
                <w:lang w:eastAsia="en-GB"/>
              </w:rPr>
              <w:t xml:space="preserve">ESA and incapacity benefits </w:t>
            </w:r>
          </w:p>
        </w:tc>
        <w:tc>
          <w:tcPr>
            <w:tcW w:w="960" w:type="dxa"/>
            <w:noWrap/>
          </w:tcPr>
          <w:p w:rsidR="00EA0F63" w:rsidRPr="00EA0F63" w:rsidRDefault="00EA0F63" w:rsidP="00EA0F63">
            <w:pPr>
              <w:spacing w:after="0" w:line="240" w:lineRule="auto"/>
              <w:jc w:val="right"/>
              <w:rPr>
                <w:rFonts w:cs="Calibri"/>
                <w:color w:val="000000"/>
                <w:sz w:val="20"/>
                <w:lang w:eastAsia="en-GB"/>
              </w:rPr>
            </w:pPr>
            <w:r w:rsidRPr="00EA0F63">
              <w:rPr>
                <w:rFonts w:cs="Calibri"/>
                <w:color w:val="000000"/>
                <w:sz w:val="20"/>
                <w:lang w:eastAsia="en-GB"/>
              </w:rPr>
              <w:t>10,670</w:t>
            </w:r>
          </w:p>
        </w:tc>
        <w:tc>
          <w:tcPr>
            <w:tcW w:w="1083" w:type="dxa"/>
            <w:noWrap/>
          </w:tcPr>
          <w:p w:rsidR="00EA0F63" w:rsidRPr="00EA0F63" w:rsidRDefault="00EA0F63" w:rsidP="00EA0F63">
            <w:pPr>
              <w:spacing w:after="0" w:line="240" w:lineRule="auto"/>
              <w:jc w:val="right"/>
              <w:rPr>
                <w:rFonts w:cs="Calibri"/>
                <w:color w:val="000000"/>
                <w:sz w:val="20"/>
                <w:lang w:eastAsia="en-GB"/>
              </w:rPr>
            </w:pPr>
            <w:r w:rsidRPr="00EA0F63">
              <w:rPr>
                <w:rFonts w:cs="Calibri"/>
                <w:color w:val="000000"/>
                <w:sz w:val="20"/>
                <w:lang w:eastAsia="en-GB"/>
              </w:rPr>
              <w:t>12.2</w:t>
            </w:r>
          </w:p>
        </w:tc>
        <w:tc>
          <w:tcPr>
            <w:tcW w:w="1443" w:type="dxa"/>
            <w:noWrap/>
          </w:tcPr>
          <w:p w:rsidR="00EA0F63" w:rsidRPr="00EA0F63" w:rsidRDefault="00EA0F63" w:rsidP="00EA0F63">
            <w:pPr>
              <w:spacing w:after="0" w:line="240" w:lineRule="auto"/>
              <w:jc w:val="right"/>
              <w:rPr>
                <w:rFonts w:cs="Calibri"/>
                <w:color w:val="000000"/>
                <w:sz w:val="20"/>
                <w:lang w:eastAsia="en-GB"/>
              </w:rPr>
            </w:pPr>
            <w:r w:rsidRPr="00EA0F63">
              <w:rPr>
                <w:rFonts w:cs="Calibri"/>
                <w:color w:val="000000"/>
                <w:sz w:val="20"/>
                <w:lang w:eastAsia="en-GB"/>
              </w:rPr>
              <w:t>6.2</w:t>
            </w:r>
          </w:p>
        </w:tc>
      </w:tr>
      <w:tr w:rsidR="00EA0F63" w:rsidRPr="00EA0F63" w:rsidTr="00152BD0">
        <w:trPr>
          <w:trHeight w:val="300"/>
          <w:jc w:val="center"/>
        </w:trPr>
        <w:tc>
          <w:tcPr>
            <w:tcW w:w="3900" w:type="dxa"/>
            <w:tcBorders>
              <w:left w:val="nil"/>
              <w:right w:val="nil"/>
            </w:tcBorders>
            <w:shd w:val="clear" w:color="auto" w:fill="DFD8E8"/>
            <w:noWrap/>
          </w:tcPr>
          <w:p w:rsidR="00EA0F63" w:rsidRPr="00EA0F63" w:rsidRDefault="00EA0F63" w:rsidP="00EA0F63">
            <w:pPr>
              <w:spacing w:after="0" w:line="240" w:lineRule="auto"/>
              <w:jc w:val="right"/>
              <w:rPr>
                <w:rFonts w:cs="Calibri"/>
                <w:b/>
                <w:bCs/>
                <w:color w:val="000000"/>
                <w:sz w:val="20"/>
                <w:lang w:eastAsia="en-GB"/>
              </w:rPr>
            </w:pPr>
            <w:r w:rsidRPr="00EA0F63">
              <w:rPr>
                <w:rFonts w:cs="Calibri"/>
                <w:b/>
                <w:bCs/>
                <w:color w:val="000000"/>
                <w:sz w:val="20"/>
                <w:lang w:eastAsia="en-GB"/>
              </w:rPr>
              <w:t xml:space="preserve">Lone parents </w:t>
            </w:r>
          </w:p>
        </w:tc>
        <w:tc>
          <w:tcPr>
            <w:tcW w:w="960" w:type="dxa"/>
            <w:tcBorders>
              <w:left w:val="nil"/>
              <w:right w:val="nil"/>
            </w:tcBorders>
            <w:shd w:val="clear" w:color="auto" w:fill="DFD8E8"/>
            <w:noWrap/>
          </w:tcPr>
          <w:p w:rsidR="00EA0F63" w:rsidRPr="00EA0F63" w:rsidRDefault="00EA0F63" w:rsidP="00EA0F63">
            <w:pPr>
              <w:spacing w:after="0" w:line="240" w:lineRule="auto"/>
              <w:jc w:val="right"/>
              <w:rPr>
                <w:rFonts w:cs="Calibri"/>
                <w:color w:val="000000"/>
                <w:sz w:val="20"/>
                <w:lang w:eastAsia="en-GB"/>
              </w:rPr>
            </w:pPr>
            <w:r w:rsidRPr="00EA0F63">
              <w:rPr>
                <w:rFonts w:cs="Calibri"/>
                <w:color w:val="000000"/>
                <w:sz w:val="20"/>
                <w:lang w:eastAsia="en-GB"/>
              </w:rPr>
              <w:t>1,720</w:t>
            </w:r>
          </w:p>
        </w:tc>
        <w:tc>
          <w:tcPr>
            <w:tcW w:w="1083" w:type="dxa"/>
            <w:tcBorders>
              <w:left w:val="nil"/>
              <w:right w:val="nil"/>
            </w:tcBorders>
            <w:shd w:val="clear" w:color="auto" w:fill="DFD8E8"/>
            <w:noWrap/>
          </w:tcPr>
          <w:p w:rsidR="00EA0F63" w:rsidRPr="00EA0F63" w:rsidRDefault="00EA0F63" w:rsidP="00EA0F63">
            <w:pPr>
              <w:spacing w:after="0" w:line="240" w:lineRule="auto"/>
              <w:jc w:val="right"/>
              <w:rPr>
                <w:rFonts w:cs="Calibri"/>
                <w:color w:val="000000"/>
                <w:sz w:val="20"/>
                <w:lang w:eastAsia="en-GB"/>
              </w:rPr>
            </w:pPr>
            <w:r w:rsidRPr="00EA0F63">
              <w:rPr>
                <w:rFonts w:cs="Calibri"/>
                <w:color w:val="000000"/>
                <w:sz w:val="20"/>
                <w:lang w:eastAsia="en-GB"/>
              </w:rPr>
              <w:t>1.9</w:t>
            </w:r>
          </w:p>
        </w:tc>
        <w:tc>
          <w:tcPr>
            <w:tcW w:w="1443" w:type="dxa"/>
            <w:tcBorders>
              <w:left w:val="nil"/>
              <w:right w:val="nil"/>
            </w:tcBorders>
            <w:shd w:val="clear" w:color="auto" w:fill="DFD8E8"/>
            <w:noWrap/>
          </w:tcPr>
          <w:p w:rsidR="00EA0F63" w:rsidRPr="00EA0F63" w:rsidRDefault="00EA0F63" w:rsidP="00EA0F63">
            <w:pPr>
              <w:spacing w:after="0" w:line="240" w:lineRule="auto"/>
              <w:jc w:val="right"/>
              <w:rPr>
                <w:rFonts w:cs="Calibri"/>
                <w:color w:val="000000"/>
                <w:sz w:val="20"/>
                <w:lang w:eastAsia="en-GB"/>
              </w:rPr>
            </w:pPr>
            <w:r w:rsidRPr="00EA0F63">
              <w:rPr>
                <w:rFonts w:cs="Calibri"/>
                <w:color w:val="000000"/>
                <w:sz w:val="20"/>
                <w:lang w:eastAsia="en-GB"/>
              </w:rPr>
              <w:t>1.2</w:t>
            </w:r>
          </w:p>
        </w:tc>
      </w:tr>
      <w:tr w:rsidR="00EA0F63" w:rsidRPr="00EA0F63" w:rsidTr="00152BD0">
        <w:trPr>
          <w:trHeight w:val="300"/>
          <w:jc w:val="center"/>
        </w:trPr>
        <w:tc>
          <w:tcPr>
            <w:tcW w:w="3900" w:type="dxa"/>
            <w:noWrap/>
          </w:tcPr>
          <w:p w:rsidR="00EA0F63" w:rsidRPr="00EA0F63" w:rsidRDefault="00EA0F63" w:rsidP="00EA0F63">
            <w:pPr>
              <w:spacing w:after="0" w:line="240" w:lineRule="auto"/>
              <w:jc w:val="right"/>
              <w:rPr>
                <w:rFonts w:cs="Calibri"/>
                <w:b/>
                <w:bCs/>
                <w:color w:val="000000"/>
                <w:sz w:val="20"/>
                <w:lang w:eastAsia="en-GB"/>
              </w:rPr>
            </w:pPr>
            <w:r w:rsidRPr="00EA0F63">
              <w:rPr>
                <w:rFonts w:cs="Calibri"/>
                <w:b/>
                <w:bCs/>
                <w:color w:val="000000"/>
                <w:sz w:val="20"/>
                <w:lang w:eastAsia="en-GB"/>
              </w:rPr>
              <w:t xml:space="preserve">Carers </w:t>
            </w:r>
          </w:p>
        </w:tc>
        <w:tc>
          <w:tcPr>
            <w:tcW w:w="960" w:type="dxa"/>
            <w:noWrap/>
          </w:tcPr>
          <w:p w:rsidR="00EA0F63" w:rsidRPr="00EA0F63" w:rsidRDefault="00EA0F63" w:rsidP="00EA0F63">
            <w:pPr>
              <w:spacing w:after="0" w:line="240" w:lineRule="auto"/>
              <w:jc w:val="right"/>
              <w:rPr>
                <w:rFonts w:cs="Calibri"/>
                <w:color w:val="000000"/>
                <w:sz w:val="20"/>
                <w:lang w:eastAsia="en-GB"/>
              </w:rPr>
            </w:pPr>
            <w:r w:rsidRPr="00EA0F63">
              <w:rPr>
                <w:rFonts w:cs="Calibri"/>
                <w:color w:val="000000"/>
                <w:sz w:val="20"/>
                <w:lang w:eastAsia="en-GB"/>
              </w:rPr>
              <w:t>2,070</w:t>
            </w:r>
          </w:p>
        </w:tc>
        <w:tc>
          <w:tcPr>
            <w:tcW w:w="1083" w:type="dxa"/>
            <w:noWrap/>
          </w:tcPr>
          <w:p w:rsidR="00EA0F63" w:rsidRPr="00EA0F63" w:rsidRDefault="00EA0F63" w:rsidP="00EA0F63">
            <w:pPr>
              <w:spacing w:after="0" w:line="240" w:lineRule="auto"/>
              <w:jc w:val="right"/>
              <w:rPr>
                <w:rFonts w:cs="Calibri"/>
                <w:color w:val="000000"/>
                <w:sz w:val="20"/>
                <w:lang w:eastAsia="en-GB"/>
              </w:rPr>
            </w:pPr>
            <w:r w:rsidRPr="00EA0F63">
              <w:rPr>
                <w:rFonts w:cs="Calibri"/>
                <w:color w:val="000000"/>
                <w:sz w:val="20"/>
                <w:lang w:eastAsia="en-GB"/>
              </w:rPr>
              <w:t>2.4</w:t>
            </w:r>
          </w:p>
        </w:tc>
        <w:tc>
          <w:tcPr>
            <w:tcW w:w="1443" w:type="dxa"/>
            <w:noWrap/>
          </w:tcPr>
          <w:p w:rsidR="00EA0F63" w:rsidRPr="00EA0F63" w:rsidRDefault="00EA0F63" w:rsidP="00EA0F63">
            <w:pPr>
              <w:spacing w:after="0" w:line="240" w:lineRule="auto"/>
              <w:jc w:val="right"/>
              <w:rPr>
                <w:rFonts w:cs="Calibri"/>
                <w:color w:val="000000"/>
                <w:sz w:val="20"/>
                <w:lang w:eastAsia="en-GB"/>
              </w:rPr>
            </w:pPr>
            <w:r w:rsidRPr="00EA0F63">
              <w:rPr>
                <w:rFonts w:cs="Calibri"/>
                <w:color w:val="000000"/>
                <w:sz w:val="20"/>
                <w:lang w:eastAsia="en-GB"/>
              </w:rPr>
              <w:t>1.4</w:t>
            </w:r>
          </w:p>
        </w:tc>
      </w:tr>
      <w:tr w:rsidR="00EA0F63" w:rsidRPr="00EA0F63" w:rsidTr="00152BD0">
        <w:trPr>
          <w:trHeight w:val="300"/>
          <w:jc w:val="center"/>
        </w:trPr>
        <w:tc>
          <w:tcPr>
            <w:tcW w:w="3900" w:type="dxa"/>
            <w:tcBorders>
              <w:left w:val="nil"/>
              <w:right w:val="nil"/>
            </w:tcBorders>
            <w:shd w:val="clear" w:color="auto" w:fill="DFD8E8"/>
            <w:noWrap/>
          </w:tcPr>
          <w:p w:rsidR="00EA0F63" w:rsidRPr="00EA0F63" w:rsidRDefault="00EA0F63" w:rsidP="00EA0F63">
            <w:pPr>
              <w:spacing w:after="0" w:line="240" w:lineRule="auto"/>
              <w:jc w:val="right"/>
              <w:rPr>
                <w:rFonts w:cs="Calibri"/>
                <w:b/>
                <w:bCs/>
                <w:color w:val="000000"/>
                <w:sz w:val="20"/>
                <w:lang w:eastAsia="en-GB"/>
              </w:rPr>
            </w:pPr>
            <w:r w:rsidRPr="00EA0F63">
              <w:rPr>
                <w:rFonts w:cs="Calibri"/>
                <w:b/>
                <w:bCs/>
                <w:color w:val="000000"/>
                <w:sz w:val="20"/>
                <w:lang w:eastAsia="en-GB"/>
              </w:rPr>
              <w:t xml:space="preserve">Others on income related benefits </w:t>
            </w:r>
          </w:p>
        </w:tc>
        <w:tc>
          <w:tcPr>
            <w:tcW w:w="960" w:type="dxa"/>
            <w:tcBorders>
              <w:left w:val="nil"/>
              <w:right w:val="nil"/>
            </w:tcBorders>
            <w:shd w:val="clear" w:color="auto" w:fill="DFD8E8"/>
            <w:noWrap/>
          </w:tcPr>
          <w:p w:rsidR="00EA0F63" w:rsidRPr="00EA0F63" w:rsidRDefault="00EA0F63" w:rsidP="00EA0F63">
            <w:pPr>
              <w:spacing w:after="0" w:line="240" w:lineRule="auto"/>
              <w:jc w:val="right"/>
              <w:rPr>
                <w:rFonts w:cs="Calibri"/>
                <w:color w:val="000000"/>
                <w:sz w:val="20"/>
                <w:lang w:eastAsia="en-GB"/>
              </w:rPr>
            </w:pPr>
            <w:r w:rsidRPr="00EA0F63">
              <w:rPr>
                <w:rFonts w:cs="Calibri"/>
                <w:color w:val="000000"/>
                <w:sz w:val="20"/>
                <w:lang w:eastAsia="en-GB"/>
              </w:rPr>
              <w:t>630</w:t>
            </w:r>
          </w:p>
        </w:tc>
        <w:tc>
          <w:tcPr>
            <w:tcW w:w="1083" w:type="dxa"/>
            <w:tcBorders>
              <w:left w:val="nil"/>
              <w:right w:val="nil"/>
            </w:tcBorders>
            <w:shd w:val="clear" w:color="auto" w:fill="DFD8E8"/>
            <w:noWrap/>
          </w:tcPr>
          <w:p w:rsidR="00EA0F63" w:rsidRPr="00EA0F63" w:rsidRDefault="00EA0F63" w:rsidP="00EA0F63">
            <w:pPr>
              <w:spacing w:after="0" w:line="240" w:lineRule="auto"/>
              <w:jc w:val="right"/>
              <w:rPr>
                <w:rFonts w:cs="Calibri"/>
                <w:color w:val="000000"/>
                <w:sz w:val="20"/>
                <w:lang w:eastAsia="en-GB"/>
              </w:rPr>
            </w:pPr>
            <w:r w:rsidRPr="00EA0F63">
              <w:rPr>
                <w:rFonts w:cs="Calibri"/>
                <w:color w:val="000000"/>
                <w:sz w:val="20"/>
                <w:lang w:eastAsia="en-GB"/>
              </w:rPr>
              <w:t>0.7</w:t>
            </w:r>
          </w:p>
        </w:tc>
        <w:tc>
          <w:tcPr>
            <w:tcW w:w="1443" w:type="dxa"/>
            <w:tcBorders>
              <w:left w:val="nil"/>
              <w:right w:val="nil"/>
            </w:tcBorders>
            <w:shd w:val="clear" w:color="auto" w:fill="DFD8E8"/>
            <w:noWrap/>
          </w:tcPr>
          <w:p w:rsidR="00EA0F63" w:rsidRPr="00EA0F63" w:rsidRDefault="00EA0F63" w:rsidP="00EA0F63">
            <w:pPr>
              <w:spacing w:after="0" w:line="240" w:lineRule="auto"/>
              <w:jc w:val="right"/>
              <w:rPr>
                <w:rFonts w:cs="Calibri"/>
                <w:color w:val="000000"/>
                <w:sz w:val="20"/>
                <w:lang w:eastAsia="en-GB"/>
              </w:rPr>
            </w:pPr>
            <w:r w:rsidRPr="00EA0F63">
              <w:rPr>
                <w:rFonts w:cs="Calibri"/>
                <w:color w:val="000000"/>
                <w:sz w:val="20"/>
                <w:lang w:eastAsia="en-GB"/>
              </w:rPr>
              <w:t>0.3</w:t>
            </w:r>
          </w:p>
        </w:tc>
      </w:tr>
      <w:tr w:rsidR="00EA0F63" w:rsidRPr="00EA0F63" w:rsidTr="00152BD0">
        <w:trPr>
          <w:trHeight w:val="300"/>
          <w:jc w:val="center"/>
        </w:trPr>
        <w:tc>
          <w:tcPr>
            <w:tcW w:w="3900" w:type="dxa"/>
            <w:noWrap/>
          </w:tcPr>
          <w:p w:rsidR="00EA0F63" w:rsidRPr="00EA0F63" w:rsidRDefault="00EA0F63" w:rsidP="00EA0F63">
            <w:pPr>
              <w:spacing w:after="0" w:line="240" w:lineRule="auto"/>
              <w:jc w:val="right"/>
              <w:rPr>
                <w:rFonts w:cs="Calibri"/>
                <w:b/>
                <w:bCs/>
                <w:color w:val="000000"/>
                <w:sz w:val="20"/>
                <w:lang w:eastAsia="en-GB"/>
              </w:rPr>
            </w:pPr>
            <w:r w:rsidRPr="00EA0F63">
              <w:rPr>
                <w:rFonts w:cs="Calibri"/>
                <w:b/>
                <w:bCs/>
                <w:color w:val="000000"/>
                <w:sz w:val="20"/>
                <w:lang w:eastAsia="en-GB"/>
              </w:rPr>
              <w:t xml:space="preserve">Disabled </w:t>
            </w:r>
          </w:p>
        </w:tc>
        <w:tc>
          <w:tcPr>
            <w:tcW w:w="960" w:type="dxa"/>
            <w:noWrap/>
          </w:tcPr>
          <w:p w:rsidR="00EA0F63" w:rsidRPr="00EA0F63" w:rsidRDefault="00EA0F63" w:rsidP="00EA0F63">
            <w:pPr>
              <w:spacing w:after="0" w:line="240" w:lineRule="auto"/>
              <w:jc w:val="right"/>
              <w:rPr>
                <w:rFonts w:cs="Calibri"/>
                <w:color w:val="000000"/>
                <w:sz w:val="20"/>
                <w:lang w:eastAsia="en-GB"/>
              </w:rPr>
            </w:pPr>
            <w:r w:rsidRPr="00EA0F63">
              <w:rPr>
                <w:rFonts w:cs="Calibri"/>
                <w:color w:val="000000"/>
                <w:sz w:val="20"/>
                <w:lang w:eastAsia="en-GB"/>
              </w:rPr>
              <w:t>1,600</w:t>
            </w:r>
          </w:p>
        </w:tc>
        <w:tc>
          <w:tcPr>
            <w:tcW w:w="1083" w:type="dxa"/>
            <w:noWrap/>
          </w:tcPr>
          <w:p w:rsidR="00EA0F63" w:rsidRPr="00EA0F63" w:rsidRDefault="00EA0F63" w:rsidP="00EA0F63">
            <w:pPr>
              <w:spacing w:after="0" w:line="240" w:lineRule="auto"/>
              <w:jc w:val="right"/>
              <w:rPr>
                <w:rFonts w:cs="Calibri"/>
                <w:color w:val="000000"/>
                <w:sz w:val="20"/>
                <w:lang w:eastAsia="en-GB"/>
              </w:rPr>
            </w:pPr>
            <w:r w:rsidRPr="00EA0F63">
              <w:rPr>
                <w:rFonts w:cs="Calibri"/>
                <w:color w:val="000000"/>
                <w:sz w:val="20"/>
                <w:lang w:eastAsia="en-GB"/>
              </w:rPr>
              <w:t>1.8</w:t>
            </w:r>
          </w:p>
        </w:tc>
        <w:tc>
          <w:tcPr>
            <w:tcW w:w="1443" w:type="dxa"/>
            <w:noWrap/>
          </w:tcPr>
          <w:p w:rsidR="00EA0F63" w:rsidRPr="00EA0F63" w:rsidRDefault="00EA0F63" w:rsidP="00EA0F63">
            <w:pPr>
              <w:spacing w:after="0" w:line="240" w:lineRule="auto"/>
              <w:jc w:val="right"/>
              <w:rPr>
                <w:rFonts w:cs="Calibri"/>
                <w:color w:val="000000"/>
                <w:sz w:val="20"/>
                <w:lang w:eastAsia="en-GB"/>
              </w:rPr>
            </w:pPr>
            <w:r w:rsidRPr="00EA0F63">
              <w:rPr>
                <w:rFonts w:cs="Calibri"/>
                <w:color w:val="000000"/>
                <w:sz w:val="20"/>
                <w:lang w:eastAsia="en-GB"/>
              </w:rPr>
              <w:t>1.2</w:t>
            </w:r>
          </w:p>
        </w:tc>
      </w:tr>
      <w:tr w:rsidR="00EA0F63" w:rsidRPr="00EA0F63" w:rsidTr="00152BD0">
        <w:trPr>
          <w:trHeight w:val="300"/>
          <w:jc w:val="center"/>
        </w:trPr>
        <w:tc>
          <w:tcPr>
            <w:tcW w:w="3900" w:type="dxa"/>
            <w:tcBorders>
              <w:left w:val="nil"/>
              <w:bottom w:val="single" w:sz="8" w:space="0" w:color="8064A2"/>
              <w:right w:val="nil"/>
            </w:tcBorders>
            <w:shd w:val="clear" w:color="auto" w:fill="DFD8E8"/>
            <w:noWrap/>
          </w:tcPr>
          <w:p w:rsidR="00EA0F63" w:rsidRPr="00EA0F63" w:rsidRDefault="00EA0F63" w:rsidP="00EA0F63">
            <w:pPr>
              <w:spacing w:after="0" w:line="240" w:lineRule="auto"/>
              <w:jc w:val="right"/>
              <w:rPr>
                <w:rFonts w:cs="Calibri"/>
                <w:b/>
                <w:bCs/>
                <w:color w:val="000000"/>
                <w:sz w:val="20"/>
                <w:lang w:eastAsia="en-GB"/>
              </w:rPr>
            </w:pPr>
            <w:r w:rsidRPr="00EA0F63">
              <w:rPr>
                <w:rFonts w:cs="Calibri"/>
                <w:b/>
                <w:bCs/>
                <w:color w:val="000000"/>
                <w:sz w:val="20"/>
                <w:lang w:eastAsia="en-GB"/>
              </w:rPr>
              <w:t xml:space="preserve">Bereaved </w:t>
            </w:r>
          </w:p>
        </w:tc>
        <w:tc>
          <w:tcPr>
            <w:tcW w:w="960" w:type="dxa"/>
            <w:tcBorders>
              <w:left w:val="nil"/>
              <w:bottom w:val="single" w:sz="8" w:space="0" w:color="8064A2"/>
              <w:right w:val="nil"/>
            </w:tcBorders>
            <w:shd w:val="clear" w:color="auto" w:fill="DFD8E8"/>
            <w:noWrap/>
          </w:tcPr>
          <w:p w:rsidR="00EA0F63" w:rsidRPr="00EA0F63" w:rsidRDefault="00EA0F63" w:rsidP="00EA0F63">
            <w:pPr>
              <w:spacing w:after="0" w:line="240" w:lineRule="auto"/>
              <w:jc w:val="right"/>
              <w:rPr>
                <w:rFonts w:cs="Calibri"/>
                <w:color w:val="000000"/>
                <w:sz w:val="20"/>
                <w:lang w:eastAsia="en-GB"/>
              </w:rPr>
            </w:pPr>
            <w:r w:rsidRPr="00EA0F63">
              <w:rPr>
                <w:rFonts w:cs="Calibri"/>
                <w:color w:val="000000"/>
                <w:sz w:val="20"/>
                <w:lang w:eastAsia="en-GB"/>
              </w:rPr>
              <w:t>190</w:t>
            </w:r>
          </w:p>
        </w:tc>
        <w:tc>
          <w:tcPr>
            <w:tcW w:w="1083" w:type="dxa"/>
            <w:tcBorders>
              <w:left w:val="nil"/>
              <w:bottom w:val="single" w:sz="8" w:space="0" w:color="8064A2"/>
              <w:right w:val="nil"/>
            </w:tcBorders>
            <w:shd w:val="clear" w:color="auto" w:fill="DFD8E8"/>
            <w:noWrap/>
          </w:tcPr>
          <w:p w:rsidR="00EA0F63" w:rsidRPr="00EA0F63" w:rsidRDefault="00EA0F63" w:rsidP="00EA0F63">
            <w:pPr>
              <w:spacing w:after="0" w:line="240" w:lineRule="auto"/>
              <w:jc w:val="right"/>
              <w:rPr>
                <w:rFonts w:cs="Calibri"/>
                <w:color w:val="000000"/>
                <w:sz w:val="20"/>
                <w:lang w:eastAsia="en-GB"/>
              </w:rPr>
            </w:pPr>
            <w:r w:rsidRPr="00EA0F63">
              <w:rPr>
                <w:rFonts w:cs="Calibri"/>
                <w:color w:val="000000"/>
                <w:sz w:val="20"/>
                <w:lang w:eastAsia="en-GB"/>
              </w:rPr>
              <w:t>0.2</w:t>
            </w:r>
          </w:p>
        </w:tc>
        <w:tc>
          <w:tcPr>
            <w:tcW w:w="1443" w:type="dxa"/>
            <w:tcBorders>
              <w:left w:val="nil"/>
              <w:bottom w:val="single" w:sz="8" w:space="0" w:color="8064A2"/>
              <w:right w:val="nil"/>
            </w:tcBorders>
            <w:shd w:val="clear" w:color="auto" w:fill="DFD8E8"/>
            <w:noWrap/>
          </w:tcPr>
          <w:p w:rsidR="00EA0F63" w:rsidRPr="00EA0F63" w:rsidRDefault="00EA0F63" w:rsidP="00EA0F63">
            <w:pPr>
              <w:spacing w:after="0" w:line="240" w:lineRule="auto"/>
              <w:jc w:val="right"/>
              <w:rPr>
                <w:rFonts w:cs="Calibri"/>
                <w:color w:val="000000"/>
                <w:sz w:val="20"/>
                <w:lang w:eastAsia="en-GB"/>
              </w:rPr>
            </w:pPr>
            <w:r w:rsidRPr="00EA0F63">
              <w:rPr>
                <w:rFonts w:cs="Calibri"/>
                <w:color w:val="000000"/>
                <w:sz w:val="20"/>
                <w:lang w:eastAsia="en-GB"/>
              </w:rPr>
              <w:t>0.2</w:t>
            </w:r>
          </w:p>
        </w:tc>
      </w:tr>
    </w:tbl>
    <w:p w:rsidR="00EA0F63" w:rsidRPr="00EA0F63" w:rsidRDefault="00EA0F63" w:rsidP="00EA0F63">
      <w:pPr>
        <w:spacing w:after="0"/>
        <w:jc w:val="center"/>
        <w:rPr>
          <w:b/>
          <w:sz w:val="20"/>
        </w:rPr>
      </w:pPr>
      <w:r w:rsidRPr="00EA0F63">
        <w:rPr>
          <w:b/>
          <w:sz w:val="20"/>
        </w:rPr>
        <w:lastRenderedPageBreak/>
        <w:t>Source: DWP Aug 2014</w:t>
      </w:r>
    </w:p>
    <w:p w:rsidR="00914901" w:rsidRDefault="00914901" w:rsidP="00C1352E">
      <w:pPr>
        <w:pStyle w:val="Figuretext"/>
      </w:pPr>
    </w:p>
    <w:p w:rsidR="00914901" w:rsidRDefault="00914901" w:rsidP="001A1FE5">
      <w:r w:rsidRPr="001A1FE5">
        <w:rPr>
          <w:sz w:val="20"/>
          <w:szCs w:val="20"/>
        </w:rPr>
        <w:t>For residents in employment,</w:t>
      </w:r>
      <w:r w:rsidRPr="001A1FE5">
        <w:rPr>
          <w:b/>
          <w:sz w:val="20"/>
          <w:szCs w:val="20"/>
        </w:rPr>
        <w:t xml:space="preserve"> </w:t>
      </w:r>
      <w:r w:rsidRPr="001A1FE5">
        <w:rPr>
          <w:sz w:val="20"/>
          <w:szCs w:val="20"/>
        </w:rPr>
        <w:t>the median wage for full time employees in Blackpool is around £</w:t>
      </w:r>
      <w:r w:rsidR="00A34721">
        <w:rPr>
          <w:sz w:val="20"/>
          <w:szCs w:val="20"/>
        </w:rPr>
        <w:t>386</w:t>
      </w:r>
      <w:r w:rsidRPr="001A1FE5">
        <w:rPr>
          <w:sz w:val="20"/>
          <w:szCs w:val="20"/>
        </w:rPr>
        <w:t>.</w:t>
      </w:r>
      <w:r>
        <w:rPr>
          <w:sz w:val="20"/>
          <w:szCs w:val="20"/>
        </w:rPr>
        <w:t>6</w:t>
      </w:r>
      <w:r w:rsidRPr="001A1FE5">
        <w:rPr>
          <w:sz w:val="20"/>
          <w:szCs w:val="20"/>
        </w:rPr>
        <w:t>0, which is £1</w:t>
      </w:r>
      <w:r w:rsidR="00A34721">
        <w:rPr>
          <w:sz w:val="20"/>
          <w:szCs w:val="20"/>
        </w:rPr>
        <w:t>3</w:t>
      </w:r>
      <w:r w:rsidRPr="001A1FE5">
        <w:rPr>
          <w:sz w:val="20"/>
          <w:szCs w:val="20"/>
        </w:rPr>
        <w:t>7 per week less than the national median</w:t>
      </w:r>
      <w:r>
        <w:rPr>
          <w:rStyle w:val="EndnoteReference"/>
        </w:rPr>
        <w:endnoteReference w:id="8"/>
      </w:r>
      <w:r w:rsidRPr="00A9472F">
        <w:t>.</w:t>
      </w:r>
      <w:r>
        <w:t xml:space="preserve"> </w:t>
      </w:r>
      <w:r>
        <w:rPr>
          <w:sz w:val="20"/>
          <w:szCs w:val="20"/>
        </w:rPr>
        <w:t>An</w:t>
      </w:r>
      <w:r w:rsidRPr="00274522">
        <w:rPr>
          <w:sz w:val="20"/>
          <w:szCs w:val="20"/>
        </w:rPr>
        <w:t xml:space="preserve"> estimated 1</w:t>
      </w:r>
      <w:r w:rsidR="00A34721">
        <w:rPr>
          <w:sz w:val="20"/>
          <w:szCs w:val="20"/>
        </w:rPr>
        <w:t>3</w:t>
      </w:r>
      <w:r w:rsidRPr="00274522">
        <w:rPr>
          <w:sz w:val="20"/>
          <w:szCs w:val="20"/>
        </w:rPr>
        <w:t>.</w:t>
      </w:r>
      <w:r w:rsidR="00B80EAB">
        <w:rPr>
          <w:sz w:val="20"/>
          <w:szCs w:val="20"/>
        </w:rPr>
        <w:t>0</w:t>
      </w:r>
      <w:r w:rsidRPr="00274522">
        <w:rPr>
          <w:sz w:val="20"/>
          <w:szCs w:val="20"/>
        </w:rPr>
        <w:t>% of the working age population in Blackpool hav</w:t>
      </w:r>
      <w:r>
        <w:rPr>
          <w:sz w:val="20"/>
          <w:szCs w:val="20"/>
        </w:rPr>
        <w:t>e</w:t>
      </w:r>
      <w:r w:rsidRPr="00274522">
        <w:rPr>
          <w:sz w:val="20"/>
          <w:szCs w:val="20"/>
        </w:rPr>
        <w:t xml:space="preserve"> no formal qualifications</w:t>
      </w:r>
      <w:r>
        <w:t>.</w:t>
      </w:r>
      <w:r>
        <w:rPr>
          <w:rStyle w:val="EndnoteReference"/>
        </w:rPr>
        <w:endnoteReference w:id="9"/>
      </w:r>
    </w:p>
    <w:p w:rsidR="00914901" w:rsidRPr="009D5910" w:rsidRDefault="00914901" w:rsidP="00E15BC2">
      <w:pPr>
        <w:pStyle w:val="Heading3"/>
        <w:rPr>
          <w:rStyle w:val="HEADINGINCAPS-12PTBOLD"/>
          <w:rFonts w:cs="Calibri"/>
          <w:b/>
          <w:bCs w:val="0"/>
          <w:szCs w:val="24"/>
        </w:rPr>
      </w:pPr>
      <w:r w:rsidRPr="009D5910">
        <w:rPr>
          <w:rStyle w:val="HEADINGINCAPS-12PTBOLD"/>
          <w:rFonts w:cs="Calibri"/>
          <w:b/>
          <w:bCs w:val="0"/>
          <w:szCs w:val="24"/>
        </w:rPr>
        <w:t>Education and Children's Outcomes</w:t>
      </w:r>
    </w:p>
    <w:p w:rsidR="00914901" w:rsidRDefault="00914901" w:rsidP="00E15BC2">
      <w:r w:rsidRPr="0084043F">
        <w:rPr>
          <w:sz w:val="20"/>
        </w:rPr>
        <w:t>For young people in Blackpool, there are a range of challenges across both educational attainment and life chance indicators. The range of issues is partly driven by the existing high levels of poverty and social disadvantage in Blackpool, both of which have generational impacts whereby parents’ difficulties create problems in the family and influence children's outcomes. The rate of Looked after Children in Blackpool is the highest in England at a rate of 1</w:t>
      </w:r>
      <w:r w:rsidR="00A34721">
        <w:rPr>
          <w:sz w:val="20"/>
        </w:rPr>
        <w:t>52.4</w:t>
      </w:r>
      <w:r w:rsidRPr="0084043F">
        <w:rPr>
          <w:sz w:val="20"/>
        </w:rPr>
        <w:t xml:space="preserve"> per 10,000 children; this is over twice the rate for England as a whole at </w:t>
      </w:r>
      <w:r>
        <w:rPr>
          <w:sz w:val="20"/>
        </w:rPr>
        <w:t>60</w:t>
      </w:r>
      <w:r w:rsidRPr="0084043F">
        <w:rPr>
          <w:sz w:val="20"/>
        </w:rPr>
        <w:t xml:space="preserve"> per 10,000</w:t>
      </w:r>
      <w:r>
        <w:t>.</w:t>
      </w:r>
      <w:r>
        <w:rPr>
          <w:rStyle w:val="EndnoteReference"/>
        </w:rPr>
        <w:endnoteReference w:id="10"/>
      </w:r>
    </w:p>
    <w:p w:rsidR="00914901" w:rsidRDefault="00914901" w:rsidP="00E15BC2">
      <w:pPr>
        <w:rPr>
          <w:sz w:val="20"/>
        </w:rPr>
      </w:pPr>
      <w:r>
        <w:rPr>
          <w:sz w:val="20"/>
        </w:rPr>
        <w:t>In terms of academic achievement</w:t>
      </w:r>
      <w:r w:rsidRPr="0084043F">
        <w:rPr>
          <w:sz w:val="20"/>
        </w:rPr>
        <w:t>,</w:t>
      </w:r>
      <w:r>
        <w:rPr>
          <w:sz w:val="20"/>
        </w:rPr>
        <w:t xml:space="preserve"> t</w:t>
      </w:r>
      <w:r w:rsidRPr="00C36B33">
        <w:rPr>
          <w:sz w:val="20"/>
        </w:rPr>
        <w:t>he proportion of children attaining the expected level at Key Stage 2 is similar to national levels</w:t>
      </w:r>
      <w:r>
        <w:rPr>
          <w:sz w:val="20"/>
        </w:rPr>
        <w:t xml:space="preserve"> at 80-85% attainment dependent on subject</w:t>
      </w:r>
      <w:r w:rsidRPr="00C36B33">
        <w:rPr>
          <w:sz w:val="20"/>
        </w:rPr>
        <w:t>.</w:t>
      </w:r>
      <w:r>
        <w:rPr>
          <w:sz w:val="20"/>
        </w:rPr>
        <w:t xml:space="preserve"> There are strong differences between the highest and lowest performing areas however with evidence for the North West region suggesting the proportion attaining level 4 in the 10% most deprived areas is 18 percentage points lower than those in the least deprived 10%</w:t>
      </w:r>
      <w:proofErr w:type="gramStart"/>
      <w:r>
        <w:rPr>
          <w:sz w:val="20"/>
        </w:rPr>
        <w:t>..</w:t>
      </w:r>
      <w:proofErr w:type="gramEnd"/>
      <w:r>
        <w:rPr>
          <w:sz w:val="20"/>
        </w:rPr>
        <w:t xml:space="preserve"> </w:t>
      </w:r>
    </w:p>
    <w:p w:rsidR="00914901" w:rsidRPr="0084043F" w:rsidRDefault="00914901" w:rsidP="00E15BC2">
      <w:pPr>
        <w:rPr>
          <w:sz w:val="20"/>
        </w:rPr>
      </w:pPr>
      <w:r w:rsidRPr="0084043F">
        <w:rPr>
          <w:sz w:val="20"/>
        </w:rPr>
        <w:t xml:space="preserve"> Blackpool</w:t>
      </w:r>
      <w:r>
        <w:rPr>
          <w:sz w:val="20"/>
        </w:rPr>
        <w:t xml:space="preserve"> pupils</w:t>
      </w:r>
      <w:r w:rsidRPr="0084043F">
        <w:rPr>
          <w:sz w:val="20"/>
        </w:rPr>
        <w:t xml:space="preserve"> perform </w:t>
      </w:r>
      <w:r w:rsidR="00A9588D">
        <w:rPr>
          <w:sz w:val="20"/>
        </w:rPr>
        <w:t>below</w:t>
      </w:r>
      <w:r w:rsidRPr="0084043F">
        <w:rPr>
          <w:sz w:val="20"/>
        </w:rPr>
        <w:t xml:space="preserve"> national levels</w:t>
      </w:r>
      <w:r>
        <w:rPr>
          <w:sz w:val="20"/>
        </w:rPr>
        <w:t xml:space="preserve"> at GCSE level with a lower proportion</w:t>
      </w:r>
      <w:r w:rsidR="00A9588D">
        <w:rPr>
          <w:sz w:val="20"/>
        </w:rPr>
        <w:t>s</w:t>
      </w:r>
      <w:r>
        <w:rPr>
          <w:sz w:val="20"/>
        </w:rPr>
        <w:t xml:space="preserve"> achieving</w:t>
      </w:r>
      <w:r w:rsidRPr="0084043F">
        <w:rPr>
          <w:sz w:val="20"/>
        </w:rPr>
        <w:t xml:space="preserve"> </w:t>
      </w:r>
      <w:r>
        <w:rPr>
          <w:sz w:val="20"/>
        </w:rPr>
        <w:t>5 or more A* to C grade GCSEs (</w:t>
      </w:r>
      <w:r w:rsidR="00A9588D">
        <w:rPr>
          <w:sz w:val="20"/>
        </w:rPr>
        <w:t>53</w:t>
      </w:r>
      <w:r>
        <w:rPr>
          <w:sz w:val="20"/>
        </w:rPr>
        <w:t>.2%</w:t>
      </w:r>
      <w:r w:rsidR="00A9588D">
        <w:rPr>
          <w:sz w:val="20"/>
        </w:rPr>
        <w:t xml:space="preserve"> compared to 63.8%</w:t>
      </w:r>
      <w:r>
        <w:rPr>
          <w:sz w:val="20"/>
        </w:rPr>
        <w:t xml:space="preserve">). When Maths and English are included </w:t>
      </w:r>
      <w:r w:rsidR="00A9588D">
        <w:rPr>
          <w:sz w:val="20"/>
        </w:rPr>
        <w:t>this</w:t>
      </w:r>
      <w:r>
        <w:rPr>
          <w:sz w:val="20"/>
        </w:rPr>
        <w:t xml:space="preserve"> gap </w:t>
      </w:r>
      <w:r w:rsidR="00A9588D">
        <w:rPr>
          <w:sz w:val="20"/>
        </w:rPr>
        <w:t>remains</w:t>
      </w:r>
      <w:r>
        <w:rPr>
          <w:sz w:val="20"/>
        </w:rPr>
        <w:t xml:space="preserve"> – 4</w:t>
      </w:r>
      <w:r w:rsidR="00A9588D">
        <w:rPr>
          <w:sz w:val="20"/>
        </w:rPr>
        <w:t>4</w:t>
      </w:r>
      <w:r>
        <w:rPr>
          <w:sz w:val="20"/>
        </w:rPr>
        <w:t>.</w:t>
      </w:r>
      <w:r w:rsidR="00A9588D">
        <w:rPr>
          <w:sz w:val="20"/>
        </w:rPr>
        <w:t>0</w:t>
      </w:r>
      <w:r>
        <w:rPr>
          <w:sz w:val="20"/>
        </w:rPr>
        <w:t>% of Blackpool pupils achieve 5+ A*-C (incl. Maths &amp; English) compared to 5</w:t>
      </w:r>
      <w:r w:rsidR="00A9588D">
        <w:rPr>
          <w:sz w:val="20"/>
        </w:rPr>
        <w:t>3</w:t>
      </w:r>
      <w:r>
        <w:rPr>
          <w:sz w:val="20"/>
        </w:rPr>
        <w:t>.</w:t>
      </w:r>
      <w:r w:rsidR="00A9588D">
        <w:rPr>
          <w:sz w:val="20"/>
        </w:rPr>
        <w:t>4</w:t>
      </w:r>
      <w:r>
        <w:rPr>
          <w:sz w:val="20"/>
        </w:rPr>
        <w:t>% nationally</w:t>
      </w:r>
      <w:r>
        <w:rPr>
          <w:rStyle w:val="EndnoteReference"/>
          <w:sz w:val="20"/>
        </w:rPr>
        <w:endnoteReference w:id="11"/>
      </w:r>
      <w:r>
        <w:rPr>
          <w:sz w:val="20"/>
        </w:rPr>
        <w:t>.</w:t>
      </w:r>
    </w:p>
    <w:p w:rsidR="00914901" w:rsidRDefault="00914901" w:rsidP="00E15BC2">
      <w:r w:rsidRPr="0084043F">
        <w:rPr>
          <w:sz w:val="20"/>
        </w:rPr>
        <w:t xml:space="preserve">In addition, approximately </w:t>
      </w:r>
      <w:r w:rsidR="00890DFC">
        <w:rPr>
          <w:sz w:val="20"/>
        </w:rPr>
        <w:t>7</w:t>
      </w:r>
      <w:r w:rsidRPr="0084043F">
        <w:rPr>
          <w:sz w:val="20"/>
        </w:rPr>
        <w:t xml:space="preserve">% of Blackpool’s young people are not in education, employment or training compared to </w:t>
      </w:r>
      <w:r w:rsidR="00890DFC">
        <w:rPr>
          <w:sz w:val="20"/>
        </w:rPr>
        <w:t>5</w:t>
      </w:r>
      <w:r w:rsidRPr="0084043F">
        <w:rPr>
          <w:sz w:val="20"/>
        </w:rPr>
        <w:t>% for the sub-region</w:t>
      </w:r>
      <w:r>
        <w:rPr>
          <w:rStyle w:val="EndnoteReference"/>
        </w:rPr>
        <w:endnoteReference w:id="12"/>
      </w:r>
      <w:r>
        <w:t>.</w:t>
      </w:r>
    </w:p>
    <w:p w:rsidR="00914901" w:rsidRPr="009D5910" w:rsidRDefault="00914901" w:rsidP="0084043F">
      <w:pPr>
        <w:pStyle w:val="Heading3"/>
        <w:rPr>
          <w:rStyle w:val="HEADINGINCAPS-12PTBOLD"/>
          <w:rFonts w:cs="Calibri"/>
          <w:b/>
          <w:bCs w:val="0"/>
          <w:szCs w:val="24"/>
        </w:rPr>
      </w:pPr>
      <w:r w:rsidRPr="009D5910">
        <w:rPr>
          <w:rStyle w:val="HEADINGINCAPS-12PTBOLD"/>
          <w:rFonts w:cs="Calibri"/>
          <w:b/>
          <w:bCs w:val="0"/>
          <w:szCs w:val="24"/>
        </w:rPr>
        <w:t>Health and Lifestyles</w:t>
      </w:r>
    </w:p>
    <w:p w:rsidR="00914901" w:rsidRPr="0084043F" w:rsidRDefault="00914901" w:rsidP="0084043F">
      <w:pPr>
        <w:rPr>
          <w:sz w:val="20"/>
        </w:rPr>
      </w:pPr>
      <w:r w:rsidRPr="0084043F">
        <w:rPr>
          <w:sz w:val="20"/>
        </w:rPr>
        <w:t>Blackpool has poor life expectancy, with life expectancy for males the poorest in England</w:t>
      </w:r>
      <w:r>
        <w:rPr>
          <w:sz w:val="20"/>
        </w:rPr>
        <w:t xml:space="preserve"> at 74.</w:t>
      </w:r>
      <w:r w:rsidR="00890DFC">
        <w:rPr>
          <w:sz w:val="20"/>
        </w:rPr>
        <w:t>3</w:t>
      </w:r>
      <w:r>
        <w:rPr>
          <w:sz w:val="20"/>
        </w:rPr>
        <w:t xml:space="preserve"> years compared to 79.</w:t>
      </w:r>
      <w:r w:rsidR="00890DFC">
        <w:rPr>
          <w:sz w:val="20"/>
        </w:rPr>
        <w:t>4</w:t>
      </w:r>
      <w:r>
        <w:rPr>
          <w:sz w:val="20"/>
        </w:rPr>
        <w:t xml:space="preserve"> years.</w:t>
      </w:r>
      <w:r w:rsidRPr="0084043F">
        <w:rPr>
          <w:sz w:val="20"/>
        </w:rPr>
        <w:t xml:space="preserve"> </w:t>
      </w:r>
      <w:r>
        <w:rPr>
          <w:sz w:val="20"/>
        </w:rPr>
        <w:t>L</w:t>
      </w:r>
      <w:r w:rsidRPr="0084043F">
        <w:rPr>
          <w:sz w:val="20"/>
        </w:rPr>
        <w:t xml:space="preserve">ife expectancy for females is </w:t>
      </w:r>
      <w:r>
        <w:rPr>
          <w:sz w:val="20"/>
        </w:rPr>
        <w:t>similarly poor, at 80</w:t>
      </w:r>
      <w:r w:rsidR="006A48B6">
        <w:rPr>
          <w:sz w:val="20"/>
        </w:rPr>
        <w:t>.1</w:t>
      </w:r>
      <w:r>
        <w:rPr>
          <w:sz w:val="20"/>
        </w:rPr>
        <w:t xml:space="preserve"> years, compared to 83</w:t>
      </w:r>
      <w:r w:rsidR="006A48B6">
        <w:rPr>
          <w:sz w:val="20"/>
        </w:rPr>
        <w:t>.1</w:t>
      </w:r>
      <w:r>
        <w:rPr>
          <w:sz w:val="20"/>
        </w:rPr>
        <w:t xml:space="preserve"> years for England -</w:t>
      </w:r>
      <w:r w:rsidRPr="0084043F">
        <w:rPr>
          <w:sz w:val="20"/>
        </w:rPr>
        <w:t xml:space="preserve">the </w:t>
      </w:r>
      <w:r>
        <w:rPr>
          <w:sz w:val="20"/>
        </w:rPr>
        <w:t>3</w:t>
      </w:r>
      <w:r w:rsidRPr="00460108">
        <w:rPr>
          <w:sz w:val="20"/>
          <w:vertAlign w:val="superscript"/>
        </w:rPr>
        <w:t>rd</w:t>
      </w:r>
      <w:r>
        <w:rPr>
          <w:sz w:val="20"/>
        </w:rPr>
        <w:t xml:space="preserve"> </w:t>
      </w:r>
      <w:r w:rsidRPr="0084043F">
        <w:rPr>
          <w:sz w:val="20"/>
        </w:rPr>
        <w:t>poorest</w:t>
      </w:r>
      <w:r>
        <w:rPr>
          <w:sz w:val="20"/>
        </w:rPr>
        <w:t xml:space="preserve"> after Manchester and Liverpool</w:t>
      </w:r>
      <w:r>
        <w:rPr>
          <w:rStyle w:val="EndnoteReference"/>
        </w:rPr>
        <w:endnoteReference w:id="13"/>
      </w:r>
      <w:r>
        <w:t xml:space="preserve">. </w:t>
      </w:r>
      <w:r w:rsidRPr="0084043F">
        <w:rPr>
          <w:sz w:val="20"/>
        </w:rPr>
        <w:t>The biggest contributors for both men and women are circulatory diseases, digestive disease</w:t>
      </w:r>
      <w:r w:rsidR="00783B62">
        <w:rPr>
          <w:sz w:val="20"/>
        </w:rPr>
        <w:t>s</w:t>
      </w:r>
      <w:r w:rsidRPr="0084043F">
        <w:rPr>
          <w:sz w:val="20"/>
        </w:rPr>
        <w:t xml:space="preserve"> including cirrhosis, and respiratory disease. These three areas contribute over half of the overall life expectancy gap in Blackpool. </w:t>
      </w:r>
      <w:r>
        <w:rPr>
          <w:sz w:val="20"/>
        </w:rPr>
        <w:t>Lung Cancer is also a significant contributor to Female Life Expectancy</w:t>
      </w:r>
      <w:r>
        <w:rPr>
          <w:rStyle w:val="EndnoteReference"/>
          <w:sz w:val="20"/>
        </w:rPr>
        <w:endnoteReference w:id="14"/>
      </w:r>
      <w:r>
        <w:rPr>
          <w:sz w:val="20"/>
        </w:rPr>
        <w:t>.</w:t>
      </w:r>
    </w:p>
    <w:p w:rsidR="00914901" w:rsidRDefault="00914901" w:rsidP="004B414E">
      <w:pPr>
        <w:rPr>
          <w:sz w:val="20"/>
        </w:rPr>
      </w:pPr>
      <w:r w:rsidRPr="0084043F">
        <w:rPr>
          <w:sz w:val="20"/>
        </w:rPr>
        <w:t>Substance and Alcohol misuse is considered h</w:t>
      </w:r>
      <w:r w:rsidR="00783B62">
        <w:rPr>
          <w:sz w:val="20"/>
        </w:rPr>
        <w:t xml:space="preserve">igh, with alcohol-related death </w:t>
      </w:r>
      <w:r w:rsidRPr="0084043F">
        <w:rPr>
          <w:sz w:val="20"/>
        </w:rPr>
        <w:t>the</w:t>
      </w:r>
      <w:r w:rsidR="00783B62">
        <w:rPr>
          <w:sz w:val="20"/>
        </w:rPr>
        <w:t xml:space="preserve"> 2nd</w:t>
      </w:r>
      <w:r w:rsidRPr="0084043F">
        <w:rPr>
          <w:sz w:val="20"/>
        </w:rPr>
        <w:t xml:space="preserve"> highest in England</w:t>
      </w:r>
      <w:r w:rsidR="00783B62">
        <w:rPr>
          <w:sz w:val="20"/>
        </w:rPr>
        <w:t xml:space="preserve"> for males</w:t>
      </w:r>
      <w:r>
        <w:rPr>
          <w:rStyle w:val="EndnoteReference"/>
        </w:rPr>
        <w:endnoteReference w:id="15"/>
      </w:r>
      <w:r>
        <w:rPr>
          <w:sz w:val="20"/>
        </w:rPr>
        <w:t xml:space="preserve"> (cirrhosis being one of the major drivers of the life expectancy gap).</w:t>
      </w:r>
      <w:r w:rsidRPr="0084043F">
        <w:rPr>
          <w:sz w:val="20"/>
        </w:rPr>
        <w:t xml:space="preserve"> </w:t>
      </w:r>
      <w:r>
        <w:rPr>
          <w:sz w:val="20"/>
        </w:rPr>
        <w:t>F</w:t>
      </w:r>
      <w:r w:rsidRPr="0084043F">
        <w:rPr>
          <w:sz w:val="20"/>
        </w:rPr>
        <w:t>urther estimates suggest that the prevalence of problematic heroin and/or crack cocaine use in Blackpool was 2</w:t>
      </w:r>
      <w:r w:rsidR="00783B62">
        <w:rPr>
          <w:sz w:val="20"/>
        </w:rPr>
        <w:t>1</w:t>
      </w:r>
      <w:r w:rsidRPr="0084043F">
        <w:rPr>
          <w:sz w:val="20"/>
        </w:rPr>
        <w:t>.</w:t>
      </w:r>
      <w:r w:rsidR="00783B62">
        <w:rPr>
          <w:sz w:val="20"/>
        </w:rPr>
        <w:t>8</w:t>
      </w:r>
      <w:r w:rsidRPr="0084043F">
        <w:rPr>
          <w:sz w:val="20"/>
        </w:rPr>
        <w:t>9 per 1,000 populations</w:t>
      </w:r>
      <w:r>
        <w:rPr>
          <w:rStyle w:val="EndnoteReference"/>
          <w:sz w:val="20"/>
        </w:rPr>
        <w:endnoteReference w:id="16"/>
      </w:r>
      <w:r w:rsidRPr="0084043F">
        <w:rPr>
          <w:sz w:val="20"/>
        </w:rPr>
        <w:t xml:space="preserve">. Blackpool has the highest drug prevalence rate across the region, and is within the top ten nationally. </w:t>
      </w:r>
    </w:p>
    <w:p w:rsidR="00914901" w:rsidRDefault="00914901" w:rsidP="00460108">
      <w:r>
        <w:rPr>
          <w:sz w:val="20"/>
        </w:rPr>
        <w:t>While not directly a health damaging issue</w:t>
      </w:r>
      <w:r w:rsidRPr="004B414E">
        <w:rPr>
          <w:sz w:val="20"/>
          <w:szCs w:val="20"/>
        </w:rPr>
        <w:t>, teenage Pregnancy rates in</w:t>
      </w:r>
      <w:r>
        <w:rPr>
          <w:sz w:val="20"/>
          <w:szCs w:val="20"/>
        </w:rPr>
        <w:t xml:space="preserve"> under-18s are the </w:t>
      </w:r>
      <w:r w:rsidR="00F01BC3">
        <w:rPr>
          <w:sz w:val="20"/>
          <w:szCs w:val="20"/>
        </w:rPr>
        <w:t>4</w:t>
      </w:r>
      <w:r w:rsidRPr="00BB5AFF">
        <w:rPr>
          <w:sz w:val="20"/>
          <w:szCs w:val="20"/>
          <w:vertAlign w:val="superscript"/>
        </w:rPr>
        <w:t>th</w:t>
      </w:r>
      <w:r>
        <w:rPr>
          <w:sz w:val="20"/>
          <w:szCs w:val="20"/>
        </w:rPr>
        <w:t xml:space="preserve"> highest in England &amp; Wales</w:t>
      </w:r>
      <w:r w:rsidRPr="004B414E">
        <w:rPr>
          <w:sz w:val="20"/>
          <w:szCs w:val="20"/>
        </w:rPr>
        <w:t>. In addition</w:t>
      </w:r>
      <w:r>
        <w:rPr>
          <w:sz w:val="20"/>
          <w:szCs w:val="20"/>
        </w:rPr>
        <w:t xml:space="preserve">, </w:t>
      </w:r>
      <w:r w:rsidRPr="004B414E">
        <w:rPr>
          <w:sz w:val="20"/>
          <w:szCs w:val="20"/>
        </w:rPr>
        <w:t xml:space="preserve">Blackpool has </w:t>
      </w:r>
      <w:r>
        <w:rPr>
          <w:sz w:val="20"/>
          <w:szCs w:val="20"/>
        </w:rPr>
        <w:t>a low</w:t>
      </w:r>
      <w:r w:rsidR="006425F6">
        <w:rPr>
          <w:sz w:val="20"/>
          <w:szCs w:val="20"/>
        </w:rPr>
        <w:t>er</w:t>
      </w:r>
      <w:r w:rsidRPr="004B414E">
        <w:rPr>
          <w:sz w:val="20"/>
          <w:szCs w:val="20"/>
        </w:rPr>
        <w:t xml:space="preserve"> proportion of teenage pregnancies leading to abortion</w:t>
      </w:r>
      <w:r>
        <w:rPr>
          <w:sz w:val="20"/>
          <w:szCs w:val="20"/>
        </w:rPr>
        <w:t xml:space="preserve"> (</w:t>
      </w:r>
      <w:r w:rsidR="006425F6">
        <w:rPr>
          <w:sz w:val="20"/>
          <w:szCs w:val="20"/>
        </w:rPr>
        <w:t>42</w:t>
      </w:r>
      <w:r>
        <w:rPr>
          <w:sz w:val="20"/>
          <w:szCs w:val="20"/>
        </w:rPr>
        <w:t>%)</w:t>
      </w:r>
      <w:r w:rsidRPr="004B414E">
        <w:rPr>
          <w:sz w:val="20"/>
          <w:szCs w:val="20"/>
        </w:rPr>
        <w:t xml:space="preserve"> </w:t>
      </w:r>
      <w:r>
        <w:rPr>
          <w:sz w:val="20"/>
          <w:szCs w:val="20"/>
        </w:rPr>
        <w:t>compared to England &amp; Wales (</w:t>
      </w:r>
      <w:r w:rsidR="006425F6">
        <w:rPr>
          <w:sz w:val="20"/>
          <w:szCs w:val="20"/>
        </w:rPr>
        <w:t>51</w:t>
      </w:r>
      <w:r>
        <w:rPr>
          <w:sz w:val="20"/>
          <w:szCs w:val="20"/>
        </w:rPr>
        <w:t>%). This implies a greater relative proportion of</w:t>
      </w:r>
      <w:r w:rsidRPr="004B414E">
        <w:rPr>
          <w:sz w:val="20"/>
          <w:szCs w:val="20"/>
        </w:rPr>
        <w:t xml:space="preserve"> teenagers </w:t>
      </w:r>
      <w:r>
        <w:rPr>
          <w:sz w:val="20"/>
          <w:szCs w:val="20"/>
        </w:rPr>
        <w:t>go on to</w:t>
      </w:r>
      <w:r w:rsidRPr="004B414E">
        <w:rPr>
          <w:sz w:val="20"/>
          <w:szCs w:val="20"/>
        </w:rPr>
        <w:t xml:space="preserve"> become parents</w:t>
      </w:r>
      <w:r>
        <w:rPr>
          <w:rStyle w:val="EndnoteReference"/>
        </w:rPr>
        <w:endnoteReference w:id="17"/>
      </w:r>
      <w:r>
        <w:rPr>
          <w:sz w:val="20"/>
          <w:szCs w:val="20"/>
        </w:rPr>
        <w:t xml:space="preserve"> and may require further local authority support</w:t>
      </w:r>
      <w:r w:rsidRPr="004B414E">
        <w:rPr>
          <w:sz w:val="20"/>
          <w:szCs w:val="20"/>
        </w:rPr>
        <w:t xml:space="preserve">. Teenage conceptions </w:t>
      </w:r>
      <w:r>
        <w:rPr>
          <w:sz w:val="20"/>
          <w:szCs w:val="20"/>
        </w:rPr>
        <w:t>have</w:t>
      </w:r>
      <w:r w:rsidRPr="004B414E">
        <w:rPr>
          <w:sz w:val="20"/>
          <w:szCs w:val="20"/>
        </w:rPr>
        <w:t xml:space="preserve"> associated risks for both parent and child’s health and social wellbeing</w:t>
      </w:r>
      <w:r>
        <w:t xml:space="preserve">. </w:t>
      </w:r>
    </w:p>
    <w:p w:rsidR="00914901" w:rsidRDefault="00914901"/>
    <w:sectPr w:rsidR="00914901" w:rsidSect="004578AA">
      <w:foot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123" w:rsidRDefault="00384123" w:rsidP="00254F14">
      <w:pPr>
        <w:spacing w:after="0" w:line="240" w:lineRule="auto"/>
      </w:pPr>
      <w:r>
        <w:separator/>
      </w:r>
    </w:p>
  </w:endnote>
  <w:endnote w:type="continuationSeparator" w:id="0">
    <w:p w:rsidR="00384123" w:rsidRDefault="00384123" w:rsidP="00254F14">
      <w:pPr>
        <w:spacing w:after="0" w:line="240" w:lineRule="auto"/>
      </w:pPr>
      <w:r>
        <w:continuationSeparator/>
      </w:r>
    </w:p>
  </w:endnote>
  <w:endnote w:id="1">
    <w:p w:rsidR="00914901" w:rsidRDefault="00914901">
      <w:pPr>
        <w:pStyle w:val="EndnoteText"/>
      </w:pPr>
      <w:r>
        <w:rPr>
          <w:rStyle w:val="EndnoteReference"/>
        </w:rPr>
        <w:endnoteRef/>
      </w:r>
      <w:r>
        <w:t xml:space="preserve"> ONS </w:t>
      </w:r>
      <w:proofErr w:type="spellStart"/>
      <w:r>
        <w:t>Mid Year</w:t>
      </w:r>
      <w:proofErr w:type="spellEnd"/>
      <w:r>
        <w:t xml:space="preserve"> Population estimates 201</w:t>
      </w:r>
      <w:r w:rsidR="00672642">
        <w:t>3</w:t>
      </w:r>
    </w:p>
  </w:endnote>
  <w:endnote w:id="2">
    <w:p w:rsidR="00914901" w:rsidRDefault="00914901" w:rsidP="0039376F">
      <w:pPr>
        <w:pStyle w:val="EndnoteText"/>
      </w:pPr>
      <w:r>
        <w:rPr>
          <w:rStyle w:val="EndnoteReference"/>
        </w:rPr>
        <w:endnoteRef/>
      </w:r>
      <w:r>
        <w:t xml:space="preserve"> ONS Mid-Year Population Estimates 201</w:t>
      </w:r>
      <w:r w:rsidR="00672642">
        <w:t>3</w:t>
      </w:r>
    </w:p>
  </w:endnote>
  <w:endnote w:id="3">
    <w:p w:rsidR="00914901" w:rsidRDefault="00914901" w:rsidP="0039376F">
      <w:pPr>
        <w:pStyle w:val="EndnoteText"/>
      </w:pPr>
      <w:r>
        <w:rPr>
          <w:rStyle w:val="EndnoteReference"/>
        </w:rPr>
        <w:endnoteRef/>
      </w:r>
      <w:r>
        <w:t xml:space="preserve"> ONS Census 2011 Ethnicity, 2011</w:t>
      </w:r>
    </w:p>
  </w:endnote>
  <w:endnote w:id="4">
    <w:p w:rsidR="00914901" w:rsidRDefault="00914901" w:rsidP="0039376F">
      <w:pPr>
        <w:pStyle w:val="EndnoteText"/>
      </w:pPr>
      <w:r>
        <w:rPr>
          <w:rStyle w:val="EndnoteReference"/>
        </w:rPr>
        <w:endnoteRef/>
      </w:r>
      <w:r>
        <w:t xml:space="preserve"> ONS Census 2011 Tenure, 2011</w:t>
      </w:r>
    </w:p>
  </w:endnote>
  <w:endnote w:id="5">
    <w:p w:rsidR="00914901" w:rsidRDefault="00914901">
      <w:pPr>
        <w:pStyle w:val="EndnoteText"/>
      </w:pPr>
      <w:r>
        <w:rPr>
          <w:rStyle w:val="EndnoteReference"/>
        </w:rPr>
        <w:endnoteRef/>
      </w:r>
      <w:r>
        <w:t xml:space="preserve"> Blackpool Council - MIPS Summary Report - 2011</w:t>
      </w:r>
    </w:p>
  </w:endnote>
  <w:endnote w:id="6">
    <w:p w:rsidR="00914901" w:rsidRDefault="00914901">
      <w:pPr>
        <w:pStyle w:val="EndnoteText"/>
      </w:pPr>
      <w:r>
        <w:rPr>
          <w:rStyle w:val="EndnoteReference"/>
        </w:rPr>
        <w:endnoteRef/>
      </w:r>
      <w:r w:rsidR="00B80EAB">
        <w:t xml:space="preserve"> HMRC Children in Low Income Families</w:t>
      </w:r>
      <w:r>
        <w:t>, 201</w:t>
      </w:r>
      <w:r w:rsidR="0042459B">
        <w:t>2</w:t>
      </w:r>
    </w:p>
  </w:endnote>
  <w:endnote w:id="7">
    <w:p w:rsidR="00914901" w:rsidRDefault="00914901" w:rsidP="008669DB">
      <w:pPr>
        <w:pStyle w:val="EndnoteText"/>
        <w:tabs>
          <w:tab w:val="left" w:pos="2552"/>
        </w:tabs>
      </w:pPr>
      <w:r>
        <w:rPr>
          <w:rStyle w:val="EndnoteReference"/>
        </w:rPr>
        <w:endnoteRef/>
      </w:r>
      <w:r>
        <w:t xml:space="preserve"> DWP WPLS, </w:t>
      </w:r>
      <w:r w:rsidR="0042459B">
        <w:t>August</w:t>
      </w:r>
      <w:r>
        <w:t xml:space="preserve"> 201</w:t>
      </w:r>
      <w:r w:rsidR="00B870DC">
        <w:t>4</w:t>
      </w:r>
    </w:p>
  </w:endnote>
  <w:endnote w:id="8">
    <w:p w:rsidR="00914901" w:rsidRDefault="00914901">
      <w:pPr>
        <w:pStyle w:val="EndnoteText"/>
      </w:pPr>
      <w:r>
        <w:rPr>
          <w:rStyle w:val="EndnoteReference"/>
        </w:rPr>
        <w:endnoteRef/>
      </w:r>
      <w:r>
        <w:t xml:space="preserve"> ONS Annual Survey of Hours and Earnings 201</w:t>
      </w:r>
      <w:r w:rsidR="001D6D04">
        <w:t>4</w:t>
      </w:r>
    </w:p>
  </w:endnote>
  <w:endnote w:id="9">
    <w:p w:rsidR="00914901" w:rsidRDefault="00914901" w:rsidP="00E15BC2">
      <w:pPr>
        <w:pStyle w:val="EndnoteText"/>
      </w:pPr>
      <w:r>
        <w:rPr>
          <w:rStyle w:val="EndnoteReference"/>
        </w:rPr>
        <w:endnoteRef/>
      </w:r>
      <w:r>
        <w:t xml:space="preserve"> ONS Labour Force Survey, 201</w:t>
      </w:r>
      <w:r w:rsidR="00B80EAB">
        <w:t>3</w:t>
      </w:r>
      <w:r>
        <w:t xml:space="preserve"> – Estimates for Jan-Dec 201</w:t>
      </w:r>
      <w:r w:rsidR="0042459B">
        <w:t>4</w:t>
      </w:r>
      <w:r>
        <w:t>.</w:t>
      </w:r>
    </w:p>
  </w:endnote>
  <w:endnote w:id="10">
    <w:p w:rsidR="00914901" w:rsidRDefault="00914901" w:rsidP="00C1352E">
      <w:pPr>
        <w:pStyle w:val="EndnoteText"/>
      </w:pPr>
      <w:r>
        <w:rPr>
          <w:rStyle w:val="EndnoteReference"/>
        </w:rPr>
        <w:endnoteRef/>
      </w:r>
      <w:r>
        <w:t xml:space="preserve"> </w:t>
      </w:r>
      <w:proofErr w:type="spellStart"/>
      <w:r w:rsidRPr="00D27E37">
        <w:t>DfE</w:t>
      </w:r>
      <w:proofErr w:type="spellEnd"/>
      <w:r w:rsidRPr="00D27E37">
        <w:t>: Children Looked After by Local Authorities in England</w:t>
      </w:r>
      <w:r>
        <w:t>,</w:t>
      </w:r>
      <w:r w:rsidRPr="00D27E37">
        <w:t>201</w:t>
      </w:r>
      <w:r w:rsidR="001D6D04">
        <w:t>4</w:t>
      </w:r>
    </w:p>
  </w:endnote>
  <w:endnote w:id="11">
    <w:p w:rsidR="00914901" w:rsidRDefault="00914901">
      <w:pPr>
        <w:pStyle w:val="EndnoteText"/>
      </w:pPr>
      <w:r>
        <w:rPr>
          <w:rStyle w:val="EndnoteReference"/>
        </w:rPr>
        <w:endnoteRef/>
      </w:r>
      <w:r>
        <w:t xml:space="preserve"> </w:t>
      </w:r>
      <w:proofErr w:type="spellStart"/>
      <w:r>
        <w:t>DfE</w:t>
      </w:r>
      <w:proofErr w:type="spellEnd"/>
      <w:r>
        <w:t>: Local Area Data Tables, 201</w:t>
      </w:r>
      <w:r w:rsidR="00A9588D">
        <w:t>4</w:t>
      </w:r>
    </w:p>
  </w:endnote>
  <w:endnote w:id="12">
    <w:p w:rsidR="00914901" w:rsidRDefault="00914901" w:rsidP="00DE5D84">
      <w:pPr>
        <w:pStyle w:val="EndnoteText"/>
      </w:pPr>
      <w:r>
        <w:rPr>
          <w:rStyle w:val="EndnoteReference"/>
        </w:rPr>
        <w:endnoteRef/>
      </w:r>
      <w:r>
        <w:t xml:space="preserve"> CCIS Database, </w:t>
      </w:r>
      <w:r w:rsidR="00783B62">
        <w:t>March</w:t>
      </w:r>
      <w:r>
        <w:t xml:space="preserve"> 201</w:t>
      </w:r>
      <w:r w:rsidR="00783B62">
        <w:t>5</w:t>
      </w:r>
      <w:r>
        <w:t>, (12 month averages of 201</w:t>
      </w:r>
      <w:r w:rsidR="00890DFC">
        <w:t>4</w:t>
      </w:r>
      <w:r>
        <w:t xml:space="preserve"> data)</w:t>
      </w:r>
    </w:p>
  </w:endnote>
  <w:endnote w:id="13">
    <w:p w:rsidR="00914901" w:rsidRDefault="00914901" w:rsidP="0084043F">
      <w:pPr>
        <w:pStyle w:val="EndnoteText"/>
      </w:pPr>
      <w:r>
        <w:rPr>
          <w:rStyle w:val="EndnoteReference"/>
        </w:rPr>
        <w:endnoteRef/>
      </w:r>
      <w:r>
        <w:t xml:space="preserve"> ONS Life Expectancy, 201</w:t>
      </w:r>
      <w:r w:rsidR="006A48B6">
        <w:t>1</w:t>
      </w:r>
      <w:r>
        <w:t>-1</w:t>
      </w:r>
      <w:r w:rsidR="006A48B6">
        <w:t>3</w:t>
      </w:r>
    </w:p>
  </w:endnote>
  <w:endnote w:id="14">
    <w:p w:rsidR="00914901" w:rsidRDefault="00914901">
      <w:pPr>
        <w:pStyle w:val="EndnoteText"/>
      </w:pPr>
      <w:r>
        <w:rPr>
          <w:rStyle w:val="EndnoteReference"/>
        </w:rPr>
        <w:endnoteRef/>
      </w:r>
      <w:r>
        <w:t xml:space="preserve"> </w:t>
      </w:r>
      <w:r w:rsidR="00783B62" w:rsidRPr="00783B62">
        <w:t xml:space="preserve">Public Health England </w:t>
      </w:r>
      <w:r>
        <w:t>–2009</w:t>
      </w:r>
      <w:r w:rsidR="00783B62">
        <w:t>-11</w:t>
      </w:r>
    </w:p>
  </w:endnote>
  <w:endnote w:id="15">
    <w:p w:rsidR="00914901" w:rsidRDefault="00914901" w:rsidP="004B414E">
      <w:pPr>
        <w:pStyle w:val="EndnoteText"/>
      </w:pPr>
      <w:r>
        <w:rPr>
          <w:rStyle w:val="EndnoteReference"/>
        </w:rPr>
        <w:endnoteRef/>
      </w:r>
      <w:r>
        <w:t xml:space="preserve"> NWPHO Local Alcohol Profiles 2011</w:t>
      </w:r>
    </w:p>
  </w:endnote>
  <w:endnote w:id="16">
    <w:p w:rsidR="00914901" w:rsidRDefault="00914901">
      <w:pPr>
        <w:pStyle w:val="EndnoteText"/>
      </w:pPr>
      <w:r>
        <w:rPr>
          <w:rStyle w:val="EndnoteReference"/>
        </w:rPr>
        <w:endnoteRef/>
      </w:r>
      <w:r>
        <w:t xml:space="preserve"> </w:t>
      </w:r>
      <w:r w:rsidR="00783B62" w:rsidRPr="00783B62">
        <w:t>Blackpool Drug Health Needs Assessment 2014</w:t>
      </w:r>
    </w:p>
  </w:endnote>
  <w:endnote w:id="17">
    <w:p w:rsidR="00914901" w:rsidRDefault="00914901" w:rsidP="004D5F61">
      <w:pPr>
        <w:pStyle w:val="EndnoteText"/>
      </w:pPr>
      <w:r>
        <w:rPr>
          <w:rStyle w:val="EndnoteReference"/>
        </w:rPr>
        <w:endnoteRef/>
      </w:r>
      <w:r>
        <w:t xml:space="preserve"> </w:t>
      </w:r>
      <w:r w:rsidR="00F01BC3">
        <w:t xml:space="preserve">ONS, </w:t>
      </w:r>
      <w:r w:rsidR="00F01BC3" w:rsidRPr="00F01BC3">
        <w:t>Conception Statistics, England and Wales, 2013</w:t>
      </w:r>
    </w:p>
    <w:p w:rsidR="00820107" w:rsidRDefault="00820107" w:rsidP="004D5F61">
      <w:pPr>
        <w:pStyle w:val="EndnoteText"/>
      </w:pPr>
    </w:p>
    <w:p w:rsidR="00820107" w:rsidRDefault="00820107" w:rsidP="004D5F61">
      <w:pPr>
        <w:pStyle w:val="EndnoteText"/>
      </w:pPr>
    </w:p>
    <w:p w:rsidR="00820107" w:rsidRDefault="00820107" w:rsidP="00391148">
      <w:pPr>
        <w:pStyle w:val="EndnoteText"/>
        <w:ind w:left="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095206"/>
      <w:docPartObj>
        <w:docPartGallery w:val="Page Numbers (Bottom of Page)"/>
        <w:docPartUnique/>
      </w:docPartObj>
    </w:sdtPr>
    <w:sdtEndPr>
      <w:rPr>
        <w:noProof/>
      </w:rPr>
    </w:sdtEndPr>
    <w:sdtContent>
      <w:p w:rsidR="005A3211" w:rsidRDefault="005A3211" w:rsidP="00980817">
        <w:pPr>
          <w:pStyle w:val="Footer"/>
          <w:jc w:val="right"/>
        </w:pPr>
        <w:r>
          <w:fldChar w:fldCharType="begin"/>
        </w:r>
        <w:r>
          <w:instrText xml:space="preserve"> PAGE   \* MERGEFORMAT </w:instrText>
        </w:r>
        <w:r>
          <w:fldChar w:fldCharType="separate"/>
        </w:r>
        <w:r w:rsidR="00EE57E9">
          <w:rPr>
            <w:noProof/>
          </w:rPr>
          <w:t>1</w:t>
        </w:r>
        <w:r>
          <w:rPr>
            <w:noProof/>
          </w:rPr>
          <w:fldChar w:fldCharType="end"/>
        </w:r>
        <w:r w:rsidR="00980817">
          <w:rPr>
            <w:noProof/>
          </w:rPr>
          <w:t xml:space="preserve">                                                                              Appendix I</w:t>
        </w:r>
      </w:p>
    </w:sdtContent>
  </w:sdt>
  <w:p w:rsidR="00914901" w:rsidRPr="00ED4AA9" w:rsidRDefault="00914901" w:rsidP="00ED4AA9">
    <w:pPr>
      <w:pStyle w:val="Footer"/>
      <w:tabs>
        <w:tab w:val="clear" w:pos="9026"/>
      </w:tabs>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123" w:rsidRDefault="00384123" w:rsidP="00254F14">
      <w:pPr>
        <w:spacing w:after="0" w:line="240" w:lineRule="auto"/>
      </w:pPr>
      <w:r>
        <w:separator/>
      </w:r>
    </w:p>
  </w:footnote>
  <w:footnote w:type="continuationSeparator" w:id="0">
    <w:p w:rsidR="00384123" w:rsidRDefault="00384123" w:rsidP="00254F14">
      <w:pPr>
        <w:spacing w:after="0" w:line="240" w:lineRule="auto"/>
      </w:pPr>
      <w:r>
        <w:continuationSeparator/>
      </w:r>
    </w:p>
  </w:footnote>
  <w:footnote w:id="1">
    <w:p w:rsidR="00914901" w:rsidRDefault="00914901">
      <w:pPr>
        <w:pStyle w:val="FootnoteText"/>
      </w:pPr>
      <w:r>
        <w:rPr>
          <w:rStyle w:val="FootnoteReference"/>
        </w:rPr>
        <w:footnoteRef/>
      </w:r>
      <w:r>
        <w:t xml:space="preserve"> An LSOA is a small area of approximately 1500 residents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4E57"/>
    <w:multiLevelType w:val="hybridMultilevel"/>
    <w:tmpl w:val="CF5A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E130FE"/>
    <w:multiLevelType w:val="hybridMultilevel"/>
    <w:tmpl w:val="E60C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9C09AB"/>
    <w:multiLevelType w:val="hybridMultilevel"/>
    <w:tmpl w:val="C1BCCC40"/>
    <w:lvl w:ilvl="0" w:tplc="D43EDEEC">
      <w:start w:val="1"/>
      <w:numFmt w:val="bullet"/>
      <w:pStyle w:val="BULLETS"/>
      <w:lvlText w:val=""/>
      <w:lvlJc w:val="left"/>
      <w:pPr>
        <w:ind w:left="360" w:hanging="360"/>
      </w:pPr>
      <w:rPr>
        <w:rFonts w:ascii="Wingdings" w:hAnsi="Wingdings" w:hint="default"/>
        <w:color w:val="8A006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9B4CA7"/>
    <w:multiLevelType w:val="hybridMultilevel"/>
    <w:tmpl w:val="B350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F1642B"/>
    <w:multiLevelType w:val="hybridMultilevel"/>
    <w:tmpl w:val="395E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4D34E3"/>
    <w:multiLevelType w:val="hybridMultilevel"/>
    <w:tmpl w:val="562C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14"/>
    <w:rsid w:val="00011C76"/>
    <w:rsid w:val="00015515"/>
    <w:rsid w:val="000409CD"/>
    <w:rsid w:val="0006132C"/>
    <w:rsid w:val="0006574F"/>
    <w:rsid w:val="00067D62"/>
    <w:rsid w:val="00082070"/>
    <w:rsid w:val="000854D8"/>
    <w:rsid w:val="000A3369"/>
    <w:rsid w:val="000B5ED4"/>
    <w:rsid w:val="000E1328"/>
    <w:rsid w:val="000F7D26"/>
    <w:rsid w:val="00105D23"/>
    <w:rsid w:val="00106471"/>
    <w:rsid w:val="00163D07"/>
    <w:rsid w:val="001A1FE5"/>
    <w:rsid w:val="001C770B"/>
    <w:rsid w:val="001D6D04"/>
    <w:rsid w:val="00254F14"/>
    <w:rsid w:val="00274522"/>
    <w:rsid w:val="00275292"/>
    <w:rsid w:val="002B6610"/>
    <w:rsid w:val="002E0ACB"/>
    <w:rsid w:val="00384123"/>
    <w:rsid w:val="003857B9"/>
    <w:rsid w:val="00391148"/>
    <w:rsid w:val="0039376F"/>
    <w:rsid w:val="003C4D79"/>
    <w:rsid w:val="003D36E2"/>
    <w:rsid w:val="003D6BE6"/>
    <w:rsid w:val="00400DF0"/>
    <w:rsid w:val="0042459B"/>
    <w:rsid w:val="00447DE9"/>
    <w:rsid w:val="004578AA"/>
    <w:rsid w:val="00460108"/>
    <w:rsid w:val="004607C6"/>
    <w:rsid w:val="00477B1C"/>
    <w:rsid w:val="004822BA"/>
    <w:rsid w:val="004B414E"/>
    <w:rsid w:val="004B7320"/>
    <w:rsid w:val="004D5F61"/>
    <w:rsid w:val="004D7675"/>
    <w:rsid w:val="00525419"/>
    <w:rsid w:val="005A03B6"/>
    <w:rsid w:val="005A3211"/>
    <w:rsid w:val="005D05CE"/>
    <w:rsid w:val="006126DF"/>
    <w:rsid w:val="00622945"/>
    <w:rsid w:val="006425F6"/>
    <w:rsid w:val="00672642"/>
    <w:rsid w:val="006862E2"/>
    <w:rsid w:val="006A15A0"/>
    <w:rsid w:val="006A48B6"/>
    <w:rsid w:val="006B699D"/>
    <w:rsid w:val="006B737C"/>
    <w:rsid w:val="006C60E8"/>
    <w:rsid w:val="006F6A0B"/>
    <w:rsid w:val="00706398"/>
    <w:rsid w:val="0070752D"/>
    <w:rsid w:val="007622AE"/>
    <w:rsid w:val="00783B62"/>
    <w:rsid w:val="007D7DC6"/>
    <w:rsid w:val="007F7F81"/>
    <w:rsid w:val="00820107"/>
    <w:rsid w:val="00820716"/>
    <w:rsid w:val="0084043F"/>
    <w:rsid w:val="0085717C"/>
    <w:rsid w:val="008669DB"/>
    <w:rsid w:val="008749CC"/>
    <w:rsid w:val="00890DFC"/>
    <w:rsid w:val="008D710D"/>
    <w:rsid w:val="008F6E24"/>
    <w:rsid w:val="00914901"/>
    <w:rsid w:val="00917209"/>
    <w:rsid w:val="00980817"/>
    <w:rsid w:val="009D233D"/>
    <w:rsid w:val="009D5910"/>
    <w:rsid w:val="00A34721"/>
    <w:rsid w:val="00A57235"/>
    <w:rsid w:val="00A606AA"/>
    <w:rsid w:val="00A9472F"/>
    <w:rsid w:val="00A9588D"/>
    <w:rsid w:val="00A96C31"/>
    <w:rsid w:val="00AD700C"/>
    <w:rsid w:val="00B57AD1"/>
    <w:rsid w:val="00B80EAB"/>
    <w:rsid w:val="00B86A6C"/>
    <w:rsid w:val="00B870DC"/>
    <w:rsid w:val="00B87C2F"/>
    <w:rsid w:val="00B9273F"/>
    <w:rsid w:val="00B966EB"/>
    <w:rsid w:val="00BB020C"/>
    <w:rsid w:val="00BB5AFF"/>
    <w:rsid w:val="00BC70B2"/>
    <w:rsid w:val="00C008E7"/>
    <w:rsid w:val="00C01082"/>
    <w:rsid w:val="00C12BCE"/>
    <w:rsid w:val="00C1352E"/>
    <w:rsid w:val="00C3573B"/>
    <w:rsid w:val="00C36B33"/>
    <w:rsid w:val="00D27E37"/>
    <w:rsid w:val="00DA03CF"/>
    <w:rsid w:val="00DA4117"/>
    <w:rsid w:val="00DC4763"/>
    <w:rsid w:val="00DD0940"/>
    <w:rsid w:val="00DE3C09"/>
    <w:rsid w:val="00DE5D84"/>
    <w:rsid w:val="00E0558B"/>
    <w:rsid w:val="00E15BC2"/>
    <w:rsid w:val="00E7651A"/>
    <w:rsid w:val="00E92257"/>
    <w:rsid w:val="00EA0F63"/>
    <w:rsid w:val="00ED4AA9"/>
    <w:rsid w:val="00ED5FB9"/>
    <w:rsid w:val="00EE57E9"/>
    <w:rsid w:val="00EE5F60"/>
    <w:rsid w:val="00EE719F"/>
    <w:rsid w:val="00F01BC3"/>
    <w:rsid w:val="00F26C5C"/>
    <w:rsid w:val="00F30FCF"/>
    <w:rsid w:val="00F340B7"/>
    <w:rsid w:val="00F437D9"/>
    <w:rsid w:val="00F90CBF"/>
    <w:rsid w:val="00FD3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35"/>
    <w:pPr>
      <w:spacing w:after="200" w:line="276" w:lineRule="auto"/>
    </w:pPr>
    <w:rPr>
      <w:lang w:eastAsia="en-US"/>
    </w:rPr>
  </w:style>
  <w:style w:type="paragraph" w:styleId="Heading1">
    <w:name w:val="heading 1"/>
    <w:basedOn w:val="Normal"/>
    <w:next w:val="Normal"/>
    <w:link w:val="Heading1Char"/>
    <w:uiPriority w:val="99"/>
    <w:qFormat/>
    <w:rsid w:val="00447DE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447DE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447DE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7DE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47DE9"/>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447DE9"/>
    <w:rPr>
      <w:rFonts w:ascii="Cambria" w:hAnsi="Cambria" w:cs="Times New Roman"/>
      <w:b/>
      <w:bCs/>
      <w:sz w:val="26"/>
      <w:szCs w:val="26"/>
      <w:lang w:eastAsia="en-US"/>
    </w:rPr>
  </w:style>
  <w:style w:type="paragraph" w:styleId="EndnoteText">
    <w:name w:val="endnote text"/>
    <w:basedOn w:val="Normal"/>
    <w:link w:val="EndnoteTextChar"/>
    <w:uiPriority w:val="99"/>
    <w:semiHidden/>
    <w:rsid w:val="00254F1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254F14"/>
    <w:rPr>
      <w:rFonts w:cs="Times New Roman"/>
      <w:sz w:val="20"/>
      <w:szCs w:val="20"/>
    </w:rPr>
  </w:style>
  <w:style w:type="character" w:styleId="EndnoteReference">
    <w:name w:val="endnote reference"/>
    <w:basedOn w:val="DefaultParagraphFont"/>
    <w:uiPriority w:val="99"/>
    <w:semiHidden/>
    <w:rsid w:val="00254F14"/>
    <w:rPr>
      <w:rFonts w:cs="Times New Roman"/>
      <w:vertAlign w:val="superscript"/>
    </w:rPr>
  </w:style>
  <w:style w:type="table" w:customStyle="1" w:styleId="LightShading-Accent11">
    <w:name w:val="Light Shading - Accent 11"/>
    <w:uiPriority w:val="99"/>
    <w:rsid w:val="0039376F"/>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FootnoteText">
    <w:name w:val="footnote text"/>
    <w:basedOn w:val="Normal"/>
    <w:link w:val="FootnoteTextChar"/>
    <w:uiPriority w:val="99"/>
    <w:rsid w:val="0039376F"/>
    <w:pPr>
      <w:spacing w:after="0" w:line="240" w:lineRule="auto"/>
    </w:pPr>
    <w:rPr>
      <w:color w:val="404040"/>
      <w:sz w:val="18"/>
      <w:szCs w:val="20"/>
    </w:rPr>
  </w:style>
  <w:style w:type="character" w:customStyle="1" w:styleId="FootnoteTextChar">
    <w:name w:val="Footnote Text Char"/>
    <w:basedOn w:val="DefaultParagraphFont"/>
    <w:link w:val="FootnoteText"/>
    <w:uiPriority w:val="99"/>
    <w:locked/>
    <w:rsid w:val="0039376F"/>
    <w:rPr>
      <w:rFonts w:cs="Times New Roman"/>
      <w:color w:val="404040"/>
      <w:sz w:val="20"/>
      <w:szCs w:val="20"/>
    </w:rPr>
  </w:style>
  <w:style w:type="character" w:styleId="FootnoteReference">
    <w:name w:val="footnote reference"/>
    <w:basedOn w:val="DefaultParagraphFont"/>
    <w:uiPriority w:val="99"/>
    <w:semiHidden/>
    <w:rsid w:val="0039376F"/>
    <w:rPr>
      <w:rFonts w:cs="Times New Roman"/>
      <w:vertAlign w:val="superscript"/>
    </w:rPr>
  </w:style>
  <w:style w:type="paragraph" w:customStyle="1" w:styleId="Figuretext">
    <w:name w:val="Figure text"/>
    <w:basedOn w:val="Normal"/>
    <w:link w:val="FiguretextChar"/>
    <w:uiPriority w:val="99"/>
    <w:rsid w:val="0039376F"/>
    <w:pPr>
      <w:spacing w:after="0"/>
      <w:jc w:val="center"/>
    </w:pPr>
    <w:rPr>
      <w:b/>
      <w:sz w:val="20"/>
    </w:rPr>
  </w:style>
  <w:style w:type="character" w:customStyle="1" w:styleId="FiguretextChar">
    <w:name w:val="Figure text Char"/>
    <w:basedOn w:val="DefaultParagraphFont"/>
    <w:link w:val="Figuretext"/>
    <w:uiPriority w:val="99"/>
    <w:locked/>
    <w:rsid w:val="0039376F"/>
    <w:rPr>
      <w:rFonts w:cs="Times New Roman"/>
      <w:b/>
      <w:sz w:val="20"/>
    </w:rPr>
  </w:style>
  <w:style w:type="paragraph" w:styleId="BalloonText">
    <w:name w:val="Balloon Text"/>
    <w:basedOn w:val="Normal"/>
    <w:link w:val="BalloonTextChar"/>
    <w:uiPriority w:val="99"/>
    <w:semiHidden/>
    <w:rsid w:val="004D7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7675"/>
    <w:rPr>
      <w:rFonts w:ascii="Tahoma" w:hAnsi="Tahoma" w:cs="Tahoma"/>
      <w:sz w:val="16"/>
      <w:szCs w:val="16"/>
    </w:rPr>
  </w:style>
  <w:style w:type="paragraph" w:styleId="ListParagraph">
    <w:name w:val="List Paragraph"/>
    <w:basedOn w:val="Normal"/>
    <w:uiPriority w:val="99"/>
    <w:qFormat/>
    <w:rsid w:val="00A9472F"/>
    <w:pPr>
      <w:ind w:left="720"/>
      <w:contextualSpacing/>
    </w:pPr>
  </w:style>
  <w:style w:type="character" w:styleId="CommentReference">
    <w:name w:val="annotation reference"/>
    <w:basedOn w:val="DefaultParagraphFont"/>
    <w:uiPriority w:val="99"/>
    <w:semiHidden/>
    <w:rsid w:val="00525419"/>
    <w:rPr>
      <w:rFonts w:cs="Times New Roman"/>
      <w:sz w:val="16"/>
      <w:szCs w:val="16"/>
    </w:rPr>
  </w:style>
  <w:style w:type="paragraph" w:styleId="CommentText">
    <w:name w:val="annotation text"/>
    <w:basedOn w:val="Normal"/>
    <w:link w:val="CommentTextChar"/>
    <w:uiPriority w:val="99"/>
    <w:semiHidden/>
    <w:rsid w:val="00525419"/>
    <w:rPr>
      <w:sz w:val="20"/>
      <w:szCs w:val="20"/>
    </w:rPr>
  </w:style>
  <w:style w:type="character" w:customStyle="1" w:styleId="CommentTextChar">
    <w:name w:val="Comment Text Char"/>
    <w:basedOn w:val="DefaultParagraphFont"/>
    <w:link w:val="CommentText"/>
    <w:uiPriority w:val="99"/>
    <w:semiHidden/>
    <w:rsid w:val="00623224"/>
    <w:rPr>
      <w:sz w:val="20"/>
      <w:szCs w:val="20"/>
      <w:lang w:eastAsia="en-US"/>
    </w:rPr>
  </w:style>
  <w:style w:type="paragraph" w:styleId="CommentSubject">
    <w:name w:val="annotation subject"/>
    <w:basedOn w:val="CommentText"/>
    <w:next w:val="CommentText"/>
    <w:link w:val="CommentSubjectChar"/>
    <w:uiPriority w:val="99"/>
    <w:semiHidden/>
    <w:rsid w:val="00525419"/>
    <w:rPr>
      <w:b/>
      <w:bCs/>
    </w:rPr>
  </w:style>
  <w:style w:type="character" w:customStyle="1" w:styleId="CommentSubjectChar">
    <w:name w:val="Comment Subject Char"/>
    <w:basedOn w:val="CommentTextChar"/>
    <w:link w:val="CommentSubject"/>
    <w:uiPriority w:val="99"/>
    <w:semiHidden/>
    <w:rsid w:val="00623224"/>
    <w:rPr>
      <w:b/>
      <w:bCs/>
      <w:sz w:val="20"/>
      <w:szCs w:val="20"/>
      <w:lang w:eastAsia="en-US"/>
    </w:rPr>
  </w:style>
  <w:style w:type="paragraph" w:styleId="Header">
    <w:name w:val="header"/>
    <w:basedOn w:val="Normal"/>
    <w:link w:val="HeaderChar"/>
    <w:uiPriority w:val="99"/>
    <w:rsid w:val="00ED4AA9"/>
    <w:pPr>
      <w:tabs>
        <w:tab w:val="center" w:pos="4513"/>
        <w:tab w:val="right" w:pos="9026"/>
      </w:tabs>
    </w:pPr>
  </w:style>
  <w:style w:type="character" w:customStyle="1" w:styleId="HeaderChar">
    <w:name w:val="Header Char"/>
    <w:basedOn w:val="DefaultParagraphFont"/>
    <w:link w:val="Header"/>
    <w:uiPriority w:val="99"/>
    <w:locked/>
    <w:rsid w:val="00ED4AA9"/>
    <w:rPr>
      <w:rFonts w:cs="Times New Roman"/>
      <w:sz w:val="22"/>
      <w:szCs w:val="22"/>
      <w:lang w:eastAsia="en-US"/>
    </w:rPr>
  </w:style>
  <w:style w:type="paragraph" w:styleId="Footer">
    <w:name w:val="footer"/>
    <w:basedOn w:val="Normal"/>
    <w:link w:val="FooterChar"/>
    <w:uiPriority w:val="99"/>
    <w:rsid w:val="00ED4AA9"/>
    <w:pPr>
      <w:tabs>
        <w:tab w:val="center" w:pos="4513"/>
        <w:tab w:val="right" w:pos="9026"/>
      </w:tabs>
    </w:pPr>
  </w:style>
  <w:style w:type="character" w:customStyle="1" w:styleId="FooterChar">
    <w:name w:val="Footer Char"/>
    <w:basedOn w:val="DefaultParagraphFont"/>
    <w:link w:val="Footer"/>
    <w:uiPriority w:val="99"/>
    <w:locked/>
    <w:rsid w:val="00ED4AA9"/>
    <w:rPr>
      <w:rFonts w:cs="Times New Roman"/>
      <w:sz w:val="22"/>
      <w:szCs w:val="22"/>
      <w:lang w:eastAsia="en-US"/>
    </w:rPr>
  </w:style>
  <w:style w:type="character" w:customStyle="1" w:styleId="BODYTEXT-11PTCALIBRI">
    <w:name w:val="BODY TEXT - 11PT CALIBRI"/>
    <w:uiPriority w:val="99"/>
    <w:rsid w:val="009D5910"/>
    <w:rPr>
      <w:rFonts w:ascii="Calibri" w:hAnsi="Calibri"/>
      <w:color w:val="031E2F"/>
      <w:sz w:val="22"/>
    </w:rPr>
  </w:style>
  <w:style w:type="paragraph" w:customStyle="1" w:styleId="BULLETS">
    <w:name w:val="BULLETS"/>
    <w:basedOn w:val="Normal"/>
    <w:uiPriority w:val="99"/>
    <w:rsid w:val="009D5910"/>
    <w:pPr>
      <w:numPr>
        <w:numId w:val="5"/>
      </w:numPr>
      <w:suppressAutoHyphens/>
      <w:autoSpaceDE w:val="0"/>
      <w:autoSpaceDN w:val="0"/>
      <w:adjustRightInd w:val="0"/>
      <w:spacing w:after="113" w:line="280" w:lineRule="atLeast"/>
      <w:textAlignment w:val="center"/>
    </w:pPr>
    <w:rPr>
      <w:rFonts w:cs="Calibri"/>
      <w:color w:val="4B575F"/>
    </w:rPr>
  </w:style>
  <w:style w:type="paragraph" w:customStyle="1" w:styleId="SECTIONDIVIDERKEYLINE">
    <w:name w:val="SECTION DIVIDER KEYLINE"/>
    <w:basedOn w:val="Normal"/>
    <w:uiPriority w:val="99"/>
    <w:rsid w:val="009D5910"/>
    <w:pPr>
      <w:pBdr>
        <w:top w:val="dotted" w:sz="8" w:space="0" w:color="8A0066"/>
      </w:pBdr>
      <w:suppressAutoHyphens/>
      <w:autoSpaceDE w:val="0"/>
      <w:autoSpaceDN w:val="0"/>
      <w:adjustRightInd w:val="0"/>
      <w:spacing w:before="240" w:after="120" w:line="280" w:lineRule="atLeast"/>
      <w:textAlignment w:val="center"/>
    </w:pPr>
    <w:rPr>
      <w:rFonts w:cs="Calibri"/>
      <w:color w:val="4B565E"/>
    </w:rPr>
  </w:style>
  <w:style w:type="character" w:customStyle="1" w:styleId="HEADINGINLOWERCASE-11PTBOLD">
    <w:name w:val="HEADING IN LOWER CASE - 11PT BOLD"/>
    <w:uiPriority w:val="99"/>
    <w:rsid w:val="009D5910"/>
    <w:rPr>
      <w:rFonts w:ascii="Calibri" w:hAnsi="Calibri"/>
      <w:b/>
      <w:color w:val="8A0066"/>
      <w:sz w:val="22"/>
    </w:rPr>
  </w:style>
  <w:style w:type="character" w:customStyle="1" w:styleId="HEADINGINCAPS-12PTBOLD">
    <w:name w:val="HEADING IN CAPS - 12PT BOLD"/>
    <w:uiPriority w:val="99"/>
    <w:rsid w:val="009D5910"/>
    <w:rPr>
      <w:rFonts w:ascii="Calibri" w:hAnsi="Calibri"/>
      <w:b/>
      <w:color w:val="8A0066"/>
      <w:sz w:val="24"/>
    </w:rPr>
  </w:style>
  <w:style w:type="table" w:styleId="LightShading-Accent4">
    <w:name w:val="Light Shading Accent 4"/>
    <w:basedOn w:val="TableNormal"/>
    <w:uiPriority w:val="99"/>
    <w:rsid w:val="004578AA"/>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TableGrid">
    <w:name w:val="Table Grid"/>
    <w:basedOn w:val="TableNormal"/>
    <w:uiPriority w:val="99"/>
    <w:rsid w:val="004578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35"/>
    <w:pPr>
      <w:spacing w:after="200" w:line="276" w:lineRule="auto"/>
    </w:pPr>
    <w:rPr>
      <w:lang w:eastAsia="en-US"/>
    </w:rPr>
  </w:style>
  <w:style w:type="paragraph" w:styleId="Heading1">
    <w:name w:val="heading 1"/>
    <w:basedOn w:val="Normal"/>
    <w:next w:val="Normal"/>
    <w:link w:val="Heading1Char"/>
    <w:uiPriority w:val="99"/>
    <w:qFormat/>
    <w:rsid w:val="00447DE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447DE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447DE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7DE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47DE9"/>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447DE9"/>
    <w:rPr>
      <w:rFonts w:ascii="Cambria" w:hAnsi="Cambria" w:cs="Times New Roman"/>
      <w:b/>
      <w:bCs/>
      <w:sz w:val="26"/>
      <w:szCs w:val="26"/>
      <w:lang w:eastAsia="en-US"/>
    </w:rPr>
  </w:style>
  <w:style w:type="paragraph" w:styleId="EndnoteText">
    <w:name w:val="endnote text"/>
    <w:basedOn w:val="Normal"/>
    <w:link w:val="EndnoteTextChar"/>
    <w:uiPriority w:val="99"/>
    <w:semiHidden/>
    <w:rsid w:val="00254F1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254F14"/>
    <w:rPr>
      <w:rFonts w:cs="Times New Roman"/>
      <w:sz w:val="20"/>
      <w:szCs w:val="20"/>
    </w:rPr>
  </w:style>
  <w:style w:type="character" w:styleId="EndnoteReference">
    <w:name w:val="endnote reference"/>
    <w:basedOn w:val="DefaultParagraphFont"/>
    <w:uiPriority w:val="99"/>
    <w:semiHidden/>
    <w:rsid w:val="00254F14"/>
    <w:rPr>
      <w:rFonts w:cs="Times New Roman"/>
      <w:vertAlign w:val="superscript"/>
    </w:rPr>
  </w:style>
  <w:style w:type="table" w:customStyle="1" w:styleId="LightShading-Accent11">
    <w:name w:val="Light Shading - Accent 11"/>
    <w:uiPriority w:val="99"/>
    <w:rsid w:val="0039376F"/>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FootnoteText">
    <w:name w:val="footnote text"/>
    <w:basedOn w:val="Normal"/>
    <w:link w:val="FootnoteTextChar"/>
    <w:uiPriority w:val="99"/>
    <w:rsid w:val="0039376F"/>
    <w:pPr>
      <w:spacing w:after="0" w:line="240" w:lineRule="auto"/>
    </w:pPr>
    <w:rPr>
      <w:color w:val="404040"/>
      <w:sz w:val="18"/>
      <w:szCs w:val="20"/>
    </w:rPr>
  </w:style>
  <w:style w:type="character" w:customStyle="1" w:styleId="FootnoteTextChar">
    <w:name w:val="Footnote Text Char"/>
    <w:basedOn w:val="DefaultParagraphFont"/>
    <w:link w:val="FootnoteText"/>
    <w:uiPriority w:val="99"/>
    <w:locked/>
    <w:rsid w:val="0039376F"/>
    <w:rPr>
      <w:rFonts w:cs="Times New Roman"/>
      <w:color w:val="404040"/>
      <w:sz w:val="20"/>
      <w:szCs w:val="20"/>
    </w:rPr>
  </w:style>
  <w:style w:type="character" w:styleId="FootnoteReference">
    <w:name w:val="footnote reference"/>
    <w:basedOn w:val="DefaultParagraphFont"/>
    <w:uiPriority w:val="99"/>
    <w:semiHidden/>
    <w:rsid w:val="0039376F"/>
    <w:rPr>
      <w:rFonts w:cs="Times New Roman"/>
      <w:vertAlign w:val="superscript"/>
    </w:rPr>
  </w:style>
  <w:style w:type="paragraph" w:customStyle="1" w:styleId="Figuretext">
    <w:name w:val="Figure text"/>
    <w:basedOn w:val="Normal"/>
    <w:link w:val="FiguretextChar"/>
    <w:uiPriority w:val="99"/>
    <w:rsid w:val="0039376F"/>
    <w:pPr>
      <w:spacing w:after="0"/>
      <w:jc w:val="center"/>
    </w:pPr>
    <w:rPr>
      <w:b/>
      <w:sz w:val="20"/>
    </w:rPr>
  </w:style>
  <w:style w:type="character" w:customStyle="1" w:styleId="FiguretextChar">
    <w:name w:val="Figure text Char"/>
    <w:basedOn w:val="DefaultParagraphFont"/>
    <w:link w:val="Figuretext"/>
    <w:uiPriority w:val="99"/>
    <w:locked/>
    <w:rsid w:val="0039376F"/>
    <w:rPr>
      <w:rFonts w:cs="Times New Roman"/>
      <w:b/>
      <w:sz w:val="20"/>
    </w:rPr>
  </w:style>
  <w:style w:type="paragraph" w:styleId="BalloonText">
    <w:name w:val="Balloon Text"/>
    <w:basedOn w:val="Normal"/>
    <w:link w:val="BalloonTextChar"/>
    <w:uiPriority w:val="99"/>
    <w:semiHidden/>
    <w:rsid w:val="004D7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7675"/>
    <w:rPr>
      <w:rFonts w:ascii="Tahoma" w:hAnsi="Tahoma" w:cs="Tahoma"/>
      <w:sz w:val="16"/>
      <w:szCs w:val="16"/>
    </w:rPr>
  </w:style>
  <w:style w:type="paragraph" w:styleId="ListParagraph">
    <w:name w:val="List Paragraph"/>
    <w:basedOn w:val="Normal"/>
    <w:uiPriority w:val="99"/>
    <w:qFormat/>
    <w:rsid w:val="00A9472F"/>
    <w:pPr>
      <w:ind w:left="720"/>
      <w:contextualSpacing/>
    </w:pPr>
  </w:style>
  <w:style w:type="character" w:styleId="CommentReference">
    <w:name w:val="annotation reference"/>
    <w:basedOn w:val="DefaultParagraphFont"/>
    <w:uiPriority w:val="99"/>
    <w:semiHidden/>
    <w:rsid w:val="00525419"/>
    <w:rPr>
      <w:rFonts w:cs="Times New Roman"/>
      <w:sz w:val="16"/>
      <w:szCs w:val="16"/>
    </w:rPr>
  </w:style>
  <w:style w:type="paragraph" w:styleId="CommentText">
    <w:name w:val="annotation text"/>
    <w:basedOn w:val="Normal"/>
    <w:link w:val="CommentTextChar"/>
    <w:uiPriority w:val="99"/>
    <w:semiHidden/>
    <w:rsid w:val="00525419"/>
    <w:rPr>
      <w:sz w:val="20"/>
      <w:szCs w:val="20"/>
    </w:rPr>
  </w:style>
  <w:style w:type="character" w:customStyle="1" w:styleId="CommentTextChar">
    <w:name w:val="Comment Text Char"/>
    <w:basedOn w:val="DefaultParagraphFont"/>
    <w:link w:val="CommentText"/>
    <w:uiPriority w:val="99"/>
    <w:semiHidden/>
    <w:rsid w:val="00623224"/>
    <w:rPr>
      <w:sz w:val="20"/>
      <w:szCs w:val="20"/>
      <w:lang w:eastAsia="en-US"/>
    </w:rPr>
  </w:style>
  <w:style w:type="paragraph" w:styleId="CommentSubject">
    <w:name w:val="annotation subject"/>
    <w:basedOn w:val="CommentText"/>
    <w:next w:val="CommentText"/>
    <w:link w:val="CommentSubjectChar"/>
    <w:uiPriority w:val="99"/>
    <w:semiHidden/>
    <w:rsid w:val="00525419"/>
    <w:rPr>
      <w:b/>
      <w:bCs/>
    </w:rPr>
  </w:style>
  <w:style w:type="character" w:customStyle="1" w:styleId="CommentSubjectChar">
    <w:name w:val="Comment Subject Char"/>
    <w:basedOn w:val="CommentTextChar"/>
    <w:link w:val="CommentSubject"/>
    <w:uiPriority w:val="99"/>
    <w:semiHidden/>
    <w:rsid w:val="00623224"/>
    <w:rPr>
      <w:b/>
      <w:bCs/>
      <w:sz w:val="20"/>
      <w:szCs w:val="20"/>
      <w:lang w:eastAsia="en-US"/>
    </w:rPr>
  </w:style>
  <w:style w:type="paragraph" w:styleId="Header">
    <w:name w:val="header"/>
    <w:basedOn w:val="Normal"/>
    <w:link w:val="HeaderChar"/>
    <w:uiPriority w:val="99"/>
    <w:rsid w:val="00ED4AA9"/>
    <w:pPr>
      <w:tabs>
        <w:tab w:val="center" w:pos="4513"/>
        <w:tab w:val="right" w:pos="9026"/>
      </w:tabs>
    </w:pPr>
  </w:style>
  <w:style w:type="character" w:customStyle="1" w:styleId="HeaderChar">
    <w:name w:val="Header Char"/>
    <w:basedOn w:val="DefaultParagraphFont"/>
    <w:link w:val="Header"/>
    <w:uiPriority w:val="99"/>
    <w:locked/>
    <w:rsid w:val="00ED4AA9"/>
    <w:rPr>
      <w:rFonts w:cs="Times New Roman"/>
      <w:sz w:val="22"/>
      <w:szCs w:val="22"/>
      <w:lang w:eastAsia="en-US"/>
    </w:rPr>
  </w:style>
  <w:style w:type="paragraph" w:styleId="Footer">
    <w:name w:val="footer"/>
    <w:basedOn w:val="Normal"/>
    <w:link w:val="FooterChar"/>
    <w:uiPriority w:val="99"/>
    <w:rsid w:val="00ED4AA9"/>
    <w:pPr>
      <w:tabs>
        <w:tab w:val="center" w:pos="4513"/>
        <w:tab w:val="right" w:pos="9026"/>
      </w:tabs>
    </w:pPr>
  </w:style>
  <w:style w:type="character" w:customStyle="1" w:styleId="FooterChar">
    <w:name w:val="Footer Char"/>
    <w:basedOn w:val="DefaultParagraphFont"/>
    <w:link w:val="Footer"/>
    <w:uiPriority w:val="99"/>
    <w:locked/>
    <w:rsid w:val="00ED4AA9"/>
    <w:rPr>
      <w:rFonts w:cs="Times New Roman"/>
      <w:sz w:val="22"/>
      <w:szCs w:val="22"/>
      <w:lang w:eastAsia="en-US"/>
    </w:rPr>
  </w:style>
  <w:style w:type="character" w:customStyle="1" w:styleId="BODYTEXT-11PTCALIBRI">
    <w:name w:val="BODY TEXT - 11PT CALIBRI"/>
    <w:uiPriority w:val="99"/>
    <w:rsid w:val="009D5910"/>
    <w:rPr>
      <w:rFonts w:ascii="Calibri" w:hAnsi="Calibri"/>
      <w:color w:val="031E2F"/>
      <w:sz w:val="22"/>
    </w:rPr>
  </w:style>
  <w:style w:type="paragraph" w:customStyle="1" w:styleId="BULLETS">
    <w:name w:val="BULLETS"/>
    <w:basedOn w:val="Normal"/>
    <w:uiPriority w:val="99"/>
    <w:rsid w:val="009D5910"/>
    <w:pPr>
      <w:numPr>
        <w:numId w:val="5"/>
      </w:numPr>
      <w:suppressAutoHyphens/>
      <w:autoSpaceDE w:val="0"/>
      <w:autoSpaceDN w:val="0"/>
      <w:adjustRightInd w:val="0"/>
      <w:spacing w:after="113" w:line="280" w:lineRule="atLeast"/>
      <w:textAlignment w:val="center"/>
    </w:pPr>
    <w:rPr>
      <w:rFonts w:cs="Calibri"/>
      <w:color w:val="4B575F"/>
    </w:rPr>
  </w:style>
  <w:style w:type="paragraph" w:customStyle="1" w:styleId="SECTIONDIVIDERKEYLINE">
    <w:name w:val="SECTION DIVIDER KEYLINE"/>
    <w:basedOn w:val="Normal"/>
    <w:uiPriority w:val="99"/>
    <w:rsid w:val="009D5910"/>
    <w:pPr>
      <w:pBdr>
        <w:top w:val="dotted" w:sz="8" w:space="0" w:color="8A0066"/>
      </w:pBdr>
      <w:suppressAutoHyphens/>
      <w:autoSpaceDE w:val="0"/>
      <w:autoSpaceDN w:val="0"/>
      <w:adjustRightInd w:val="0"/>
      <w:spacing w:before="240" w:after="120" w:line="280" w:lineRule="atLeast"/>
      <w:textAlignment w:val="center"/>
    </w:pPr>
    <w:rPr>
      <w:rFonts w:cs="Calibri"/>
      <w:color w:val="4B565E"/>
    </w:rPr>
  </w:style>
  <w:style w:type="character" w:customStyle="1" w:styleId="HEADINGINLOWERCASE-11PTBOLD">
    <w:name w:val="HEADING IN LOWER CASE - 11PT BOLD"/>
    <w:uiPriority w:val="99"/>
    <w:rsid w:val="009D5910"/>
    <w:rPr>
      <w:rFonts w:ascii="Calibri" w:hAnsi="Calibri"/>
      <w:b/>
      <w:color w:val="8A0066"/>
      <w:sz w:val="22"/>
    </w:rPr>
  </w:style>
  <w:style w:type="character" w:customStyle="1" w:styleId="HEADINGINCAPS-12PTBOLD">
    <w:name w:val="HEADING IN CAPS - 12PT BOLD"/>
    <w:uiPriority w:val="99"/>
    <w:rsid w:val="009D5910"/>
    <w:rPr>
      <w:rFonts w:ascii="Calibri" w:hAnsi="Calibri"/>
      <w:b/>
      <w:color w:val="8A0066"/>
      <w:sz w:val="24"/>
    </w:rPr>
  </w:style>
  <w:style w:type="table" w:styleId="LightShading-Accent4">
    <w:name w:val="Light Shading Accent 4"/>
    <w:basedOn w:val="TableNormal"/>
    <w:uiPriority w:val="99"/>
    <w:rsid w:val="004578AA"/>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TableGrid">
    <w:name w:val="Table Grid"/>
    <w:basedOn w:val="TableNormal"/>
    <w:uiPriority w:val="99"/>
    <w:rsid w:val="004578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26">
      <w:bodyDiv w:val="1"/>
      <w:marLeft w:val="0"/>
      <w:marRight w:val="0"/>
      <w:marTop w:val="0"/>
      <w:marBottom w:val="0"/>
      <w:divBdr>
        <w:top w:val="none" w:sz="0" w:space="0" w:color="auto"/>
        <w:left w:val="none" w:sz="0" w:space="0" w:color="auto"/>
        <w:bottom w:val="none" w:sz="0" w:space="0" w:color="auto"/>
        <w:right w:val="none" w:sz="0" w:space="0" w:color="auto"/>
      </w:divBdr>
    </w:div>
    <w:div w:id="536624034">
      <w:bodyDiv w:val="1"/>
      <w:marLeft w:val="0"/>
      <w:marRight w:val="0"/>
      <w:marTop w:val="0"/>
      <w:marBottom w:val="0"/>
      <w:divBdr>
        <w:top w:val="none" w:sz="0" w:space="0" w:color="auto"/>
        <w:left w:val="none" w:sz="0" w:space="0" w:color="auto"/>
        <w:bottom w:val="none" w:sz="0" w:space="0" w:color="auto"/>
        <w:right w:val="none" w:sz="0" w:space="0" w:color="auto"/>
      </w:divBdr>
    </w:div>
    <w:div w:id="1117875043">
      <w:marLeft w:val="0"/>
      <w:marRight w:val="0"/>
      <w:marTop w:val="0"/>
      <w:marBottom w:val="0"/>
      <w:divBdr>
        <w:top w:val="none" w:sz="0" w:space="0" w:color="auto"/>
        <w:left w:val="none" w:sz="0" w:space="0" w:color="auto"/>
        <w:bottom w:val="none" w:sz="0" w:space="0" w:color="auto"/>
        <w:right w:val="none" w:sz="0" w:space="0" w:color="auto"/>
      </w:divBdr>
    </w:div>
    <w:div w:id="1117875044">
      <w:marLeft w:val="0"/>
      <w:marRight w:val="0"/>
      <w:marTop w:val="0"/>
      <w:marBottom w:val="0"/>
      <w:divBdr>
        <w:top w:val="none" w:sz="0" w:space="0" w:color="auto"/>
        <w:left w:val="none" w:sz="0" w:space="0" w:color="auto"/>
        <w:bottom w:val="none" w:sz="0" w:space="0" w:color="auto"/>
        <w:right w:val="none" w:sz="0" w:space="0" w:color="auto"/>
      </w:divBdr>
    </w:div>
    <w:div w:id="201236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1526B-DED7-49FF-A83A-A1CC121B2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1606</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Blackpool - Key data</vt:lpstr>
    </vt:vector>
  </TitlesOfParts>
  <Company>Grizli777</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Blackpool - Key data</dc:title>
  <dc:creator>John</dc:creator>
  <cp:lastModifiedBy>Cheryl Elson</cp:lastModifiedBy>
  <cp:revision>17</cp:revision>
  <cp:lastPrinted>2013-01-08T09:10:00Z</cp:lastPrinted>
  <dcterms:created xsi:type="dcterms:W3CDTF">2015-11-17T09:48:00Z</dcterms:created>
  <dcterms:modified xsi:type="dcterms:W3CDTF">2016-09-16T09:24:00Z</dcterms:modified>
</cp:coreProperties>
</file>