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2D4342"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Asphalt Flooring &amp; Roofing</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2D4342"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Asphalt Flooring &amp; Roofing</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4206408</wp:posOffset>
                    </wp:positionH>
                    <wp:positionV relativeFrom="margin">
                      <wp:posOffset>5715216</wp:posOffset>
                    </wp:positionV>
                    <wp:extent cx="1843347" cy="1078302"/>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1078302"/>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2D434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2pt;margin-top:450pt;width:145.15pt;height:8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2D434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2D4342">
              <w:rPr>
                <w:rFonts w:ascii="Franklin Gothic Book" w:hAnsi="Franklin Gothic Book" w:cs="Arial"/>
                <w:sz w:val="22"/>
                <w:szCs w:val="22"/>
              </w:rPr>
              <w:t>Flooring &amp; Roofing</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2D4342">
              <w:rPr>
                <w:rFonts w:ascii="Franklin Gothic Book" w:hAnsi="Franklin Gothic Book" w:cs="Arial"/>
                <w:sz w:val="22"/>
                <w:szCs w:val="22"/>
              </w:rPr>
              <w:t>4</w:t>
            </w:r>
            <w:r w:rsidR="002F4F73">
              <w:rPr>
                <w:rFonts w:ascii="Franklin Gothic Book" w:hAnsi="Franklin Gothic Book" w:cs="Arial"/>
                <w:sz w:val="22"/>
                <w:szCs w:val="22"/>
              </w:rPr>
              <w:t>4</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2F4F7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2D4342" w:rsidRDefault="002D4342" w:rsidP="002D4342">
      <w:pPr>
        <w:pStyle w:val="ListParagraph"/>
        <w:rPr>
          <w:szCs w:val="24"/>
        </w:rPr>
      </w:pPr>
    </w:p>
    <w:p w:rsidR="002D4342" w:rsidRPr="001E303E" w:rsidRDefault="002D4342" w:rsidP="002D4342">
      <w:pPr>
        <w:pStyle w:val="ListParagraph"/>
        <w:numPr>
          <w:ilvl w:val="0"/>
          <w:numId w:val="19"/>
        </w:numPr>
        <w:rPr>
          <w:szCs w:val="24"/>
        </w:rPr>
      </w:pPr>
      <w:proofErr w:type="spellStart"/>
      <w:r w:rsidRPr="001E303E">
        <w:rPr>
          <w:szCs w:val="24"/>
        </w:rPr>
        <w:t>Unitas</w:t>
      </w:r>
      <w:proofErr w:type="spellEnd"/>
      <w:r w:rsidRPr="001E303E">
        <w:rPr>
          <w:szCs w:val="24"/>
        </w:rPr>
        <w:t xml:space="preserve"> Stoke-on-Trent Limited (</w:t>
      </w:r>
      <w:proofErr w:type="spellStart"/>
      <w:r w:rsidRPr="001E303E">
        <w:rPr>
          <w:szCs w:val="24"/>
        </w:rPr>
        <w:t>Unitas</w:t>
      </w:r>
      <w:proofErr w:type="spellEnd"/>
      <w:r w:rsidRPr="001E303E">
        <w:rPr>
          <w:szCs w:val="24"/>
        </w:rPr>
        <w:t>) is a wholly owned subsidiary of Stoke-on-Trent City Council and will be delivering around £40m of repairs and improvements to around 18,000 homes and public buildings on behalf of Stoke-on-Trent City Council. All works are located within the boundaries of the City of Stoke-on-Trent. The Council’s housing and public building stock incorporates all types of construction, including traditional low rise, medium and high rise properties, shops with flats above, garage compounds and car parks. Most works are usually undertaken whilst the customer is in occupation.</w:t>
      </w:r>
      <w:r>
        <w:t xml:space="preserve"> </w:t>
      </w:r>
    </w:p>
    <w:p w:rsidR="009B45E3" w:rsidRPr="00B16D22" w:rsidRDefault="009B45E3" w:rsidP="009B45E3">
      <w:pPr>
        <w:jc w:val="both"/>
        <w:rPr>
          <w:rFonts w:ascii="Franklin Gothic Book" w:hAnsi="Franklin Gothic Book"/>
          <w:b/>
          <w:kern w:val="0"/>
          <w:sz w:val="22"/>
          <w:szCs w:val="22"/>
          <w:lang w:eastAsia="en-GB"/>
        </w:rPr>
      </w:pPr>
    </w:p>
    <w:p w:rsidR="002F4F73" w:rsidRPr="00B16D22" w:rsidRDefault="002F4F7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2D4342" w:rsidRPr="001E303E" w:rsidRDefault="002D4342" w:rsidP="002D4342">
      <w:pPr>
        <w:pStyle w:val="ListParagraph"/>
        <w:numPr>
          <w:ilvl w:val="0"/>
          <w:numId w:val="32"/>
        </w:numPr>
        <w:rPr>
          <w:szCs w:val="24"/>
        </w:rPr>
      </w:pPr>
      <w:r w:rsidRPr="001E303E">
        <w:rPr>
          <w:szCs w:val="24"/>
        </w:rPr>
        <w:t>From time to time there is a need to install mastic asphalt flooring in properties with damp problems or where a quick installation and drying times</w:t>
      </w:r>
    </w:p>
    <w:p w:rsidR="002D4342" w:rsidRPr="001E303E" w:rsidRDefault="002D4342" w:rsidP="002D4342">
      <w:pPr>
        <w:pStyle w:val="ListParagraph"/>
        <w:numPr>
          <w:ilvl w:val="0"/>
          <w:numId w:val="32"/>
        </w:numPr>
        <w:rPr>
          <w:color w:val="000000"/>
          <w:szCs w:val="24"/>
        </w:rPr>
      </w:pPr>
      <w:r w:rsidRPr="001E303E">
        <w:rPr>
          <w:color w:val="000000"/>
          <w:szCs w:val="24"/>
        </w:rPr>
        <w:t xml:space="preserve">All works are to be accordance with BS 6925 Type F 1076 </w:t>
      </w:r>
    </w:p>
    <w:p w:rsidR="002F4F73" w:rsidRPr="002F4F73" w:rsidRDefault="002F4F73" w:rsidP="002D4342">
      <w:pPr>
        <w:pStyle w:val="ListParagraph"/>
        <w:jc w:val="both"/>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2D4342" w:rsidRPr="008F1B0B" w:rsidRDefault="002D4342" w:rsidP="002D4342">
      <w:pPr>
        <w:pStyle w:val="ListParagraph"/>
        <w:numPr>
          <w:ilvl w:val="0"/>
          <w:numId w:val="19"/>
        </w:numPr>
        <w:rPr>
          <w:szCs w:val="24"/>
        </w:rPr>
      </w:pPr>
      <w:proofErr w:type="spellStart"/>
      <w:r w:rsidRPr="008F1B0B">
        <w:rPr>
          <w:szCs w:val="24"/>
        </w:rPr>
        <w:t>Unitas</w:t>
      </w:r>
      <w:proofErr w:type="spellEnd"/>
      <w:r w:rsidRPr="008F1B0B">
        <w:rPr>
          <w:szCs w:val="24"/>
        </w:rPr>
        <w:t xml:space="preserve"> cannot guarantee quantities for these </w:t>
      </w:r>
      <w:r>
        <w:rPr>
          <w:szCs w:val="24"/>
        </w:rPr>
        <w:t xml:space="preserve">works but historically approx. </w:t>
      </w:r>
      <w:r w:rsidRPr="008F1B0B">
        <w:rPr>
          <w:szCs w:val="24"/>
        </w:rPr>
        <w:t>2 properties have had new asphalt floors over a 12 month period</w:t>
      </w: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2D4342" w:rsidRPr="00E46604" w:rsidRDefault="002D4342" w:rsidP="002D4342">
      <w:pPr>
        <w:rPr>
          <w:szCs w:val="24"/>
        </w:rPr>
      </w:pPr>
      <w:r w:rsidRPr="00E46604">
        <w:rPr>
          <w:szCs w:val="24"/>
        </w:rPr>
        <w:t>The Sub-Contractor must comply with the Health and Safety at Work Act 1974 and all subsequent associated, relevant legislation. In addition, the Sub-Contractor will:</w:t>
      </w:r>
    </w:p>
    <w:p w:rsidR="002D4342" w:rsidRPr="00E46604" w:rsidRDefault="002D4342" w:rsidP="002D4342">
      <w:pPr>
        <w:pStyle w:val="ListParagraph"/>
        <w:numPr>
          <w:ilvl w:val="0"/>
          <w:numId w:val="36"/>
        </w:numPr>
        <w:spacing w:after="120"/>
        <w:rPr>
          <w:szCs w:val="24"/>
        </w:rPr>
      </w:pPr>
      <w:r w:rsidRPr="00E46604">
        <w:rPr>
          <w:szCs w:val="24"/>
        </w:rPr>
        <w:t xml:space="preserve">Adhere to </w:t>
      </w:r>
      <w:proofErr w:type="spellStart"/>
      <w:r w:rsidRPr="00E46604">
        <w:rPr>
          <w:szCs w:val="24"/>
        </w:rPr>
        <w:t>Unitas</w:t>
      </w:r>
      <w:proofErr w:type="spellEnd"/>
      <w:r w:rsidRPr="00E46604">
        <w:rPr>
          <w:szCs w:val="24"/>
        </w:rPr>
        <w:t xml:space="preserve">’ health and safety policy, standards and minimum standards (where applicable) which are available on request at the offices of </w:t>
      </w:r>
      <w:proofErr w:type="spellStart"/>
      <w:r w:rsidRPr="00E46604">
        <w:rPr>
          <w:szCs w:val="24"/>
        </w:rPr>
        <w:t>Unitas</w:t>
      </w:r>
      <w:proofErr w:type="spellEnd"/>
    </w:p>
    <w:p w:rsidR="002D4342" w:rsidRPr="00E46604" w:rsidRDefault="002D4342" w:rsidP="002D4342">
      <w:pPr>
        <w:pStyle w:val="ListParagraph"/>
        <w:ind w:left="360"/>
        <w:rPr>
          <w:szCs w:val="24"/>
        </w:rPr>
      </w:pPr>
    </w:p>
    <w:p w:rsidR="002D4342" w:rsidRPr="00E46604" w:rsidRDefault="002D4342" w:rsidP="002D4342">
      <w:pPr>
        <w:pStyle w:val="ListParagraph"/>
        <w:numPr>
          <w:ilvl w:val="0"/>
          <w:numId w:val="36"/>
        </w:numPr>
        <w:spacing w:after="120"/>
        <w:rPr>
          <w:szCs w:val="24"/>
        </w:rPr>
      </w:pPr>
      <w:r w:rsidRPr="00E46604">
        <w:rPr>
          <w:szCs w:val="24"/>
        </w:rPr>
        <w:t xml:space="preserve">Standards for PPE </w:t>
      </w:r>
    </w:p>
    <w:p w:rsidR="002D4342" w:rsidRPr="00E46604" w:rsidRDefault="002D4342" w:rsidP="002D4342">
      <w:pPr>
        <w:pStyle w:val="ListParagraph"/>
        <w:ind w:left="360"/>
        <w:rPr>
          <w:szCs w:val="24"/>
        </w:rPr>
      </w:pPr>
    </w:p>
    <w:p w:rsidR="002D4342" w:rsidRPr="008F1B0B" w:rsidRDefault="002D4342" w:rsidP="002D4342">
      <w:pPr>
        <w:pStyle w:val="ListParagraph"/>
        <w:numPr>
          <w:ilvl w:val="0"/>
          <w:numId w:val="36"/>
        </w:numPr>
        <w:spacing w:after="120"/>
        <w:rPr>
          <w:szCs w:val="24"/>
        </w:rPr>
      </w:pPr>
      <w:r w:rsidRPr="00E46604">
        <w:rPr>
          <w:szCs w:val="24"/>
        </w:rPr>
        <w:t xml:space="preserve">Successful contractors will have to submit pre-start risk assessments and method statements for approval to </w:t>
      </w:r>
      <w:proofErr w:type="spellStart"/>
      <w:r w:rsidRPr="00E46604">
        <w:rPr>
          <w:szCs w:val="24"/>
        </w:rPr>
        <w:t>Unitas</w:t>
      </w:r>
      <w:proofErr w:type="spellEnd"/>
      <w:r w:rsidRPr="00E46604">
        <w:rPr>
          <w:szCs w:val="24"/>
        </w:rPr>
        <w:t xml:space="preserve"> prior to commencement on site</w:t>
      </w:r>
    </w:p>
    <w:p w:rsidR="00565CF9" w:rsidRDefault="00565CF9"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2D4342" w:rsidRDefault="002D4342"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lastRenderedPageBreak/>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2F4F73" w:rsidRDefault="002F4F73" w:rsidP="002D4342">
      <w:pPr>
        <w:pStyle w:val="ListParagraph"/>
        <w:numPr>
          <w:ilvl w:val="0"/>
          <w:numId w:val="37"/>
        </w:numPr>
        <w:jc w:val="both"/>
      </w:pPr>
      <w:bookmarkStart w:id="0" w:name="_GoBack"/>
      <w:bookmarkEnd w:id="0"/>
      <w:r>
        <w:t>On-Site Log Book Signed</w:t>
      </w:r>
    </w:p>
    <w:p w:rsidR="002F4F73" w:rsidRDefault="002F4F73" w:rsidP="002F4F73">
      <w:pPr>
        <w:pStyle w:val="ListParagraph"/>
        <w:numPr>
          <w:ilvl w:val="0"/>
          <w:numId w:val="32"/>
        </w:numPr>
        <w:jc w:val="both"/>
      </w:pPr>
      <w:r>
        <w:t>Certificate - Full System Test</w:t>
      </w:r>
    </w:p>
    <w:p w:rsidR="002F4F73" w:rsidRDefault="002F4F73" w:rsidP="002F4F73">
      <w:pPr>
        <w:pStyle w:val="ListParagraph"/>
        <w:numPr>
          <w:ilvl w:val="0"/>
          <w:numId w:val="19"/>
        </w:numPr>
        <w:jc w:val="both"/>
      </w:pPr>
      <w:r>
        <w:t>Engineers written confirmation of works sheet</w:t>
      </w:r>
      <w:r w:rsidRPr="00B05919">
        <w:t xml:space="preserve"> </w:t>
      </w:r>
    </w:p>
    <w:p w:rsidR="002F4F73" w:rsidRDefault="002F4F73" w:rsidP="002F4F73">
      <w:pPr>
        <w:pStyle w:val="ListParagraph"/>
        <w:numPr>
          <w:ilvl w:val="0"/>
          <w:numId w:val="19"/>
        </w:numPr>
        <w:jc w:val="both"/>
      </w:pPr>
      <w:r>
        <w:t xml:space="preserve">All persons employed on this contract must have current Asbestos Awareness training – due to GDPR </w:t>
      </w:r>
      <w:proofErr w:type="spellStart"/>
      <w:r>
        <w:t>Unitas</w:t>
      </w:r>
      <w:proofErr w:type="spellEnd"/>
      <w:r>
        <w:t xml:space="preserve"> do not need to see the certificates, records of this training needs to be kept on the contractor’s database, Matrix to be issued with RAMS upon receipt of order.</w:t>
      </w:r>
    </w:p>
    <w:p w:rsidR="002F4F73" w:rsidRDefault="002F4F73" w:rsidP="002F4F73">
      <w:pPr>
        <w:pStyle w:val="ListParagraph"/>
        <w:numPr>
          <w:ilvl w:val="0"/>
          <w:numId w:val="19"/>
        </w:numPr>
        <w:jc w:val="both"/>
      </w:pPr>
      <w:r>
        <w:t xml:space="preserve">All persons employed on this contract must have DBS certification – due to GDPR </w:t>
      </w:r>
      <w:proofErr w:type="spellStart"/>
      <w:r>
        <w:t>Unitas</w:t>
      </w:r>
      <w:proofErr w:type="spellEnd"/>
      <w:r>
        <w:t xml:space="preserve"> do not need to see the certificates, records of this needs to be kept on the contractor’s database, Matrix to be issued with RAMS upon receipt of order.</w:t>
      </w:r>
    </w:p>
    <w:p w:rsidR="002F4F73" w:rsidRDefault="002F4F73" w:rsidP="002F4F73">
      <w:pPr>
        <w:contextualSpacing/>
        <w:jc w:val="both"/>
        <w:rPr>
          <w:rFonts w:ascii="Franklin Gothic Book" w:hAnsi="Franklin Gothic Book"/>
          <w:kern w:val="0"/>
          <w:sz w:val="22"/>
          <w:szCs w:val="22"/>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Storage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On site</w:t>
      </w:r>
    </w:p>
    <w:p w:rsidR="002F4F73" w:rsidRDefault="002F4F73" w:rsidP="002F4F73">
      <w:pPr>
        <w:pStyle w:val="ListParagraph"/>
        <w:numPr>
          <w:ilvl w:val="0"/>
          <w:numId w:val="32"/>
        </w:numPr>
        <w:jc w:val="both"/>
      </w:pPr>
      <w:r>
        <w:t>Signed engineers report placed in the site log book before leaving the site.</w:t>
      </w:r>
    </w:p>
    <w:p w:rsidR="002F4F73" w:rsidRDefault="002F4F73" w:rsidP="002F4F73">
      <w:pPr>
        <w:pStyle w:val="ListParagraph"/>
        <w:numPr>
          <w:ilvl w:val="0"/>
          <w:numId w:val="32"/>
        </w:numPr>
        <w:jc w:val="both"/>
      </w:pPr>
      <w:r>
        <w:t>Signed, written confirmation of works undertaken, placed  in the site log book before leaving the site where applicable.(Certificates if available at time of test)</w:t>
      </w:r>
    </w:p>
    <w:p w:rsidR="00F53218" w:rsidRPr="002D4342" w:rsidRDefault="002F4F73" w:rsidP="00F53218">
      <w:pPr>
        <w:pStyle w:val="ListParagraph"/>
        <w:numPr>
          <w:ilvl w:val="0"/>
          <w:numId w:val="32"/>
        </w:numPr>
        <w:jc w:val="both"/>
      </w:pPr>
      <w:r>
        <w:t>Signed certificate placed in the site log book to be entered within 14 days of the test where applicable.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Off site</w:t>
      </w:r>
    </w:p>
    <w:p w:rsidR="002F4F73" w:rsidRDefault="002F4F73" w:rsidP="002F4F73">
      <w:pPr>
        <w:pStyle w:val="ListParagraph"/>
        <w:numPr>
          <w:ilvl w:val="0"/>
          <w:numId w:val="19"/>
        </w:numPr>
        <w:jc w:val="both"/>
      </w:pPr>
      <w:r>
        <w:t xml:space="preserve">Web based access to an electronic copy of the report to be available within 5 days of test. </w:t>
      </w:r>
    </w:p>
    <w:p w:rsidR="002F4F73" w:rsidRDefault="002F4F73" w:rsidP="002F4F73">
      <w:pPr>
        <w:pStyle w:val="ListParagraph"/>
        <w:numPr>
          <w:ilvl w:val="0"/>
          <w:numId w:val="19"/>
        </w:numPr>
        <w:jc w:val="both"/>
      </w:pPr>
      <w:r>
        <w:t>Invoice within 7days for each individual site completed</w:t>
      </w:r>
    </w:p>
    <w:p w:rsidR="00F53218" w:rsidRDefault="00F53218" w:rsidP="00F53218">
      <w:pPr>
        <w:pStyle w:val="ListParagraph"/>
        <w:jc w:val="both"/>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2F4F73">
        <w:rPr>
          <w:rFonts w:ascii="Franklin Gothic Book" w:hAnsi="Franklin Gothic Book"/>
          <w:sz w:val="22"/>
          <w:szCs w:val="22"/>
        </w:rPr>
        <w:t xml:space="preserve"> </w:t>
      </w:r>
      <w:r w:rsidR="002F4F73" w:rsidRPr="002F4F73">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2F4F73" w:rsidRDefault="002F4F73"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F14279" w:rsidRPr="002F4F73" w:rsidRDefault="001F02CB" w:rsidP="00F14279">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 xml:space="preserve">BRITISH STANDARD PRODUCTS: Where any product is specified to comply with a British Standard, it may be substituted at the Client Representative’s discretion by a product complying </w:t>
      </w:r>
      <w:r w:rsidRPr="00B16D22">
        <w:rPr>
          <w:rFonts w:ascii="Franklin Gothic Book" w:hAnsi="Franklin Gothic Book"/>
          <w:kern w:val="0"/>
          <w:sz w:val="22"/>
          <w:szCs w:val="22"/>
          <w:lang w:eastAsia="en-GB"/>
        </w:rPr>
        <w:lastRenderedPageBreak/>
        <w:t>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Prior to commencement the contractor is to locate, temporarily protect, and/or disconnect as required, any services or utilities affected by works specified. The contractor must ensure subsequent reconnection of the said services upon completion ensuring minimal disturbance to </w:t>
      </w:r>
      <w:r w:rsidRPr="00743ED2">
        <w:rPr>
          <w:rFonts w:ascii="Franklin Gothic Book" w:hAnsi="Franklin Gothic Book"/>
          <w:kern w:val="0"/>
          <w:sz w:val="22"/>
          <w:szCs w:val="22"/>
          <w:lang w:eastAsia="en-GB"/>
        </w:rPr>
        <w:lastRenderedPageBreak/>
        <w:t>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4342" w:rsidRPr="002D4342">
          <w:rPr>
            <w:b/>
            <w:bCs/>
            <w:noProof/>
          </w:rPr>
          <w:t>4</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2D43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2D43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2D43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3">
    <w:nsid w:val="6E6C7CCA"/>
    <w:multiLevelType w:val="hybridMultilevel"/>
    <w:tmpl w:val="3DB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A2C83"/>
    <w:multiLevelType w:val="hybridMultilevel"/>
    <w:tmpl w:val="9524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31"/>
  </w:num>
  <w:num w:numId="5">
    <w:abstractNumId w:val="22"/>
  </w:num>
  <w:num w:numId="6">
    <w:abstractNumId w:val="27"/>
  </w:num>
  <w:num w:numId="7">
    <w:abstractNumId w:val="28"/>
  </w:num>
  <w:num w:numId="8">
    <w:abstractNumId w:val="29"/>
  </w:num>
  <w:num w:numId="9">
    <w:abstractNumId w:val="19"/>
  </w:num>
  <w:num w:numId="10">
    <w:abstractNumId w:val="26"/>
  </w:num>
  <w:num w:numId="11">
    <w:abstractNumId w:val="6"/>
  </w:num>
  <w:num w:numId="12">
    <w:abstractNumId w:val="36"/>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4"/>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4342"/>
    <w:rsid w:val="002D7469"/>
    <w:rsid w:val="002E51B2"/>
    <w:rsid w:val="002E6A7E"/>
    <w:rsid w:val="002F4F73"/>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26BC0-F16D-4BDF-8A1B-CA3861BB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2341</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Trevor Wheeldon</dc:creator>
  <cp:lastModifiedBy>Paul Bossons</cp:lastModifiedBy>
  <cp:revision>5</cp:revision>
  <cp:lastPrinted>2018-07-02T11:08:00Z</cp:lastPrinted>
  <dcterms:created xsi:type="dcterms:W3CDTF">2019-04-11T14:11:00Z</dcterms:created>
  <dcterms:modified xsi:type="dcterms:W3CDTF">2019-05-15T06:56:00Z</dcterms:modified>
</cp:coreProperties>
</file>