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E34800" w:rsidRPr="003405CC" w:rsidRDefault="00E34800" w:rsidP="00E34800">
      <w:pPr>
        <w:rPr>
          <w:rFonts w:cs="Arial"/>
          <w:sz w:val="22"/>
          <w:szCs w:val="22"/>
        </w:rPr>
      </w:pPr>
      <w:bookmarkStart w:id="0" w:name="_Toc420499942"/>
    </w:p>
    <w:p w14:paraId="1C103321" w14:textId="77777777" w:rsidR="00C85373" w:rsidRPr="00E71253" w:rsidRDefault="00C85373" w:rsidP="00C85373">
      <w:pPr>
        <w:rPr>
          <w:rFonts w:cs="Arial"/>
          <w:b/>
          <w:sz w:val="32"/>
          <w:szCs w:val="32"/>
        </w:rPr>
      </w:pPr>
      <w:r w:rsidRPr="008E1EE2">
        <w:rPr>
          <w:rFonts w:cs="Arial"/>
          <w:b/>
          <w:sz w:val="32"/>
          <w:szCs w:val="32"/>
        </w:rPr>
        <w:t>D</w:t>
      </w:r>
      <w:r>
        <w:rPr>
          <w:rFonts w:cs="Arial"/>
          <w:b/>
          <w:sz w:val="32"/>
          <w:szCs w:val="32"/>
        </w:rPr>
        <w:t>589873</w:t>
      </w:r>
      <w:r w:rsidRPr="008E1EE2">
        <w:rPr>
          <w:rFonts w:cs="Arial"/>
          <w:b/>
          <w:sz w:val="32"/>
          <w:szCs w:val="32"/>
        </w:rPr>
        <w:t xml:space="preserve"> -</w:t>
      </w:r>
      <w:r>
        <w:t xml:space="preserve"> </w:t>
      </w:r>
      <w:r w:rsidRPr="00B46E3B">
        <w:rPr>
          <w:rFonts w:cs="Arial"/>
          <w:b/>
          <w:sz w:val="32"/>
          <w:szCs w:val="32"/>
        </w:rPr>
        <w:t xml:space="preserve">Collation and Analysis of Weather Impacts from </w:t>
      </w:r>
      <w:r>
        <w:rPr>
          <w:rFonts w:cs="Arial"/>
          <w:b/>
          <w:sz w:val="32"/>
          <w:szCs w:val="32"/>
        </w:rPr>
        <w:t>s</w:t>
      </w:r>
      <w:r w:rsidRPr="00B46E3B">
        <w:rPr>
          <w:rFonts w:cs="Arial"/>
          <w:b/>
          <w:sz w:val="32"/>
          <w:szCs w:val="32"/>
        </w:rPr>
        <w:t>ocial</w:t>
      </w:r>
      <w:r>
        <w:rPr>
          <w:rFonts w:cs="Arial"/>
          <w:b/>
          <w:sz w:val="32"/>
          <w:szCs w:val="32"/>
        </w:rPr>
        <w:t xml:space="preserve"> media</w:t>
      </w:r>
    </w:p>
    <w:p w14:paraId="02EB378F" w14:textId="77777777" w:rsidR="00E34800" w:rsidRPr="003405CC" w:rsidRDefault="00E34800" w:rsidP="00E34800">
      <w:pPr>
        <w:rPr>
          <w:rFonts w:cs="Arial"/>
          <w:sz w:val="22"/>
          <w:szCs w:val="22"/>
        </w:rPr>
      </w:pPr>
    </w:p>
    <w:p w14:paraId="27C242FD" w14:textId="0CC99615" w:rsidR="00F03402" w:rsidRPr="003405CC" w:rsidRDefault="00F03402" w:rsidP="00F03402">
      <w:pPr>
        <w:keepNext/>
        <w:numPr>
          <w:ilvl w:val="0"/>
          <w:numId w:val="1"/>
        </w:numPr>
        <w:spacing w:before="240" w:after="60"/>
        <w:outlineLvl w:val="0"/>
        <w:rPr>
          <w:rFonts w:cs="Arial"/>
          <w:b/>
          <w:bCs/>
          <w:kern w:val="32"/>
          <w:sz w:val="32"/>
          <w:szCs w:val="32"/>
        </w:rPr>
      </w:pPr>
      <w:r w:rsidRPr="003405CC">
        <w:rPr>
          <w:rFonts w:cs="Arial"/>
          <w:b/>
          <w:bCs/>
          <w:kern w:val="32"/>
          <w:sz w:val="32"/>
          <w:szCs w:val="32"/>
        </w:rPr>
        <w:t>Information Sharing</w:t>
      </w:r>
      <w:bookmarkEnd w:id="0"/>
    </w:p>
    <w:p w14:paraId="34CE0A41" w14:textId="77777777" w:rsidR="00F03402" w:rsidRPr="003405CC" w:rsidRDefault="00F03402" w:rsidP="00F03402">
      <w:pPr>
        <w:rPr>
          <w:rFonts w:cs="Arial"/>
        </w:rPr>
      </w:pPr>
    </w:p>
    <w:p w14:paraId="463AFB39" w14:textId="77777777" w:rsidR="00F03402" w:rsidRPr="003405CC" w:rsidRDefault="00F03402" w:rsidP="00C85373">
      <w:pPr>
        <w:tabs>
          <w:tab w:val="left" w:pos="426"/>
        </w:tabs>
        <w:ind w:left="360" w:hanging="360"/>
        <w:jc w:val="both"/>
        <w:rPr>
          <w:rFonts w:cs="Arial"/>
          <w:sz w:val="22"/>
          <w:szCs w:val="22"/>
        </w:rPr>
      </w:pPr>
      <w:r w:rsidRPr="003405CC">
        <w:rPr>
          <w:rFonts w:cs="Arial"/>
          <w:sz w:val="22"/>
          <w:szCs w:val="22"/>
        </w:rPr>
        <w:t>1.1</w:t>
      </w:r>
      <w:r w:rsidRPr="003405CC">
        <w:rPr>
          <w:rFonts w:cs="Arial"/>
          <w:sz w:val="22"/>
          <w:szCs w:val="22"/>
        </w:rPr>
        <w:tab/>
      </w:r>
      <w:r w:rsidRPr="003405CC">
        <w:rPr>
          <w:rFonts w:cs="Arial"/>
          <w:b/>
          <w:sz w:val="22"/>
          <w:szCs w:val="22"/>
        </w:rPr>
        <w:t xml:space="preserve">Freedom of Information, Transparency, Environmental Information Regulations: </w:t>
      </w:r>
      <w:r w:rsidRPr="003405CC">
        <w:rPr>
          <w:rFonts w:cs="Arial"/>
          <w:sz w:val="22"/>
          <w:szCs w:val="22"/>
        </w:rPr>
        <w:t>Bidders should be aware that, should they be awarded the Contract, the content of the Contract will be published by the Met Office to the general public in line with government policy set out in the Prime Minister’s letter of May 2010 (</w:t>
      </w:r>
      <w:hyperlink r:id="rId12" w:history="1">
        <w:r w:rsidRPr="003405CC">
          <w:rPr>
            <w:rFonts w:cs="Arial"/>
            <w:color w:val="0000FF"/>
            <w:sz w:val="22"/>
            <w:u w:val="single"/>
          </w:rPr>
          <w:t>https://www.gov.uk/government/news/letter-to-government-departments-on-opening-up-data</w:t>
        </w:r>
      </w:hyperlink>
      <w:r w:rsidRPr="003405CC">
        <w:rPr>
          <w:rFonts w:cs="Arial"/>
          <w:sz w:val="22"/>
          <w:szCs w:val="22"/>
        </w:rPr>
        <w:t xml:space="preserve">) </w:t>
      </w:r>
    </w:p>
    <w:p w14:paraId="62EBF3C5" w14:textId="77777777" w:rsidR="00F03402" w:rsidRPr="003405CC" w:rsidRDefault="00F03402" w:rsidP="00C85373">
      <w:pPr>
        <w:tabs>
          <w:tab w:val="left" w:pos="426"/>
        </w:tabs>
        <w:ind w:left="360"/>
        <w:jc w:val="both"/>
        <w:rPr>
          <w:rFonts w:cs="Arial"/>
          <w:sz w:val="22"/>
          <w:szCs w:val="22"/>
        </w:rPr>
      </w:pPr>
    </w:p>
    <w:p w14:paraId="76D018B4" w14:textId="77777777" w:rsidR="00F03402" w:rsidRPr="003405CC" w:rsidRDefault="00F03402" w:rsidP="00C85373">
      <w:pPr>
        <w:tabs>
          <w:tab w:val="left" w:pos="426"/>
        </w:tabs>
        <w:ind w:left="360"/>
        <w:jc w:val="both"/>
        <w:rPr>
          <w:rFonts w:cs="Arial"/>
          <w:sz w:val="22"/>
          <w:szCs w:val="22"/>
        </w:rPr>
      </w:pPr>
      <w:r w:rsidRPr="003405CC">
        <w:rPr>
          <w:rFonts w:cs="Arial"/>
          <w:sz w:val="22"/>
          <w:szCs w:val="22"/>
        </w:rPr>
        <w:t>Before publishing the Contract, the Met Office may redact any information which would be exempt from disclosure if it was the subject of a request for information under the Freedom of Information Act 2000 (“the FOIA”) or the Environmental Information Regulations 2002 (“the EIR”).</w:t>
      </w:r>
    </w:p>
    <w:p w14:paraId="6D98A12B" w14:textId="77777777" w:rsidR="00F03402" w:rsidRPr="003405CC" w:rsidRDefault="00F03402" w:rsidP="00C85373">
      <w:pPr>
        <w:tabs>
          <w:tab w:val="left" w:pos="426"/>
        </w:tabs>
        <w:ind w:left="360"/>
        <w:jc w:val="both"/>
        <w:rPr>
          <w:rFonts w:cs="Arial"/>
          <w:sz w:val="22"/>
          <w:szCs w:val="22"/>
        </w:rPr>
      </w:pPr>
    </w:p>
    <w:p w14:paraId="5F939BFE" w14:textId="77777777" w:rsidR="00F03402" w:rsidRPr="003405CC" w:rsidRDefault="00F03402" w:rsidP="00C85373">
      <w:pPr>
        <w:tabs>
          <w:tab w:val="left" w:pos="426"/>
        </w:tabs>
        <w:ind w:left="360"/>
        <w:jc w:val="both"/>
        <w:rPr>
          <w:rFonts w:cs="Arial"/>
          <w:sz w:val="22"/>
          <w:szCs w:val="22"/>
        </w:rPr>
      </w:pPr>
      <w:r w:rsidRPr="003405CC">
        <w:rPr>
          <w:rFonts w:cs="Arial"/>
          <w:sz w:val="22"/>
          <w:szCs w:val="22"/>
        </w:rPr>
        <w:t xml:space="preserve">The FOIA and the EIR provide a more general statutory right of access to information held by or on behalf of public authorities, including information provided by third parties such as suppliers. This right of access is subject to a number of exemptions, including confidential information and commercially sensitive information.  Further details of the Met Office's policy on FOIA can be found on the Met Office web site </w:t>
      </w:r>
      <w:hyperlink r:id="rId13" w:history="1">
        <w:r w:rsidRPr="003405CC">
          <w:rPr>
            <w:rFonts w:cs="Arial"/>
            <w:color w:val="0000FF"/>
            <w:sz w:val="22"/>
            <w:u w:val="single"/>
          </w:rPr>
          <w:t>http://www.metoffice.gov.uk/corporate/legal/foi.html</w:t>
        </w:r>
      </w:hyperlink>
      <w:r w:rsidRPr="003405CC">
        <w:rPr>
          <w:rFonts w:cs="Arial"/>
          <w:sz w:val="22"/>
          <w:szCs w:val="22"/>
        </w:rPr>
        <w:t xml:space="preserve"> click on Freedom of Information located at the bottom of the page.</w:t>
      </w:r>
    </w:p>
    <w:p w14:paraId="2946DB82" w14:textId="77777777" w:rsidR="00F03402" w:rsidRPr="003405CC" w:rsidRDefault="00F03402" w:rsidP="00C85373">
      <w:pPr>
        <w:tabs>
          <w:tab w:val="left" w:pos="426"/>
        </w:tabs>
        <w:ind w:left="360"/>
        <w:jc w:val="both"/>
        <w:rPr>
          <w:rFonts w:cs="Arial"/>
          <w:sz w:val="22"/>
          <w:szCs w:val="22"/>
        </w:rPr>
      </w:pPr>
    </w:p>
    <w:p w14:paraId="28AFDA56" w14:textId="77777777" w:rsidR="00F03402" w:rsidRPr="003405CC" w:rsidRDefault="00F03402" w:rsidP="00C85373">
      <w:pPr>
        <w:tabs>
          <w:tab w:val="left" w:pos="426"/>
        </w:tabs>
        <w:ind w:left="360"/>
        <w:jc w:val="both"/>
        <w:rPr>
          <w:rFonts w:cs="Arial"/>
          <w:b/>
          <w:sz w:val="22"/>
          <w:szCs w:val="22"/>
        </w:rPr>
      </w:pPr>
      <w:r w:rsidRPr="003405CC">
        <w:rPr>
          <w:rFonts w:cs="Arial"/>
          <w:b/>
          <w:sz w:val="22"/>
          <w:szCs w:val="22"/>
        </w:rPr>
        <w:t>In order to assist the Met Office in applying the exemptions in the FOIA and the EIR, Bidders should complete the Bidder’s Commercially Sensitive Information Form at Annex A below, explaining which parts of their Tender they consider to be commercially sensitive.  Bidders are also requested to include on the Form the details of a named individual who may be contacted with regard to FOIA and EIR.</w:t>
      </w:r>
    </w:p>
    <w:p w14:paraId="5997CC1D" w14:textId="77777777" w:rsidR="00F03402" w:rsidRPr="003405CC" w:rsidRDefault="00F03402" w:rsidP="00C85373">
      <w:pPr>
        <w:tabs>
          <w:tab w:val="left" w:pos="426"/>
        </w:tabs>
        <w:ind w:left="360"/>
        <w:jc w:val="both"/>
        <w:rPr>
          <w:rFonts w:cs="Arial"/>
          <w:sz w:val="22"/>
          <w:szCs w:val="22"/>
        </w:rPr>
      </w:pPr>
    </w:p>
    <w:p w14:paraId="566E061C" w14:textId="77777777" w:rsidR="00F03402" w:rsidRPr="003405CC" w:rsidRDefault="00F03402" w:rsidP="00C85373">
      <w:pPr>
        <w:tabs>
          <w:tab w:val="left" w:pos="426"/>
        </w:tabs>
        <w:ind w:left="360"/>
        <w:jc w:val="both"/>
        <w:rPr>
          <w:rFonts w:cs="Arial"/>
          <w:sz w:val="22"/>
          <w:szCs w:val="22"/>
        </w:rPr>
      </w:pPr>
      <w:r w:rsidRPr="003405CC">
        <w:rPr>
          <w:rFonts w:cs="Arial"/>
          <w:sz w:val="22"/>
          <w:szCs w:val="22"/>
        </w:rPr>
        <w:t>Bidders should note that, while their views will be taken into consideration, the ultimate decision whether to publish or disclose information provided to the Met Office lies with the Met Office.  Bidders are advised to give as much detail as possible on the Form.  It is highly unlikely that a Tender will be exempt from disclosure in its entirety.  Should the Met Office decide to publish or disclose information against the wishes of a Bidder, the Bidder will be given prior notification.</w:t>
      </w:r>
    </w:p>
    <w:p w14:paraId="110FFD37" w14:textId="77777777" w:rsidR="00F03402" w:rsidRPr="003405CC" w:rsidRDefault="00F03402" w:rsidP="00C85373">
      <w:pPr>
        <w:tabs>
          <w:tab w:val="left" w:pos="426"/>
        </w:tabs>
        <w:jc w:val="both"/>
        <w:rPr>
          <w:rFonts w:cs="Arial"/>
          <w:sz w:val="22"/>
          <w:szCs w:val="22"/>
        </w:rPr>
      </w:pPr>
    </w:p>
    <w:p w14:paraId="4C8971B3" w14:textId="24D639F0" w:rsidR="00F03402" w:rsidRPr="003405CC" w:rsidRDefault="00F03402" w:rsidP="00C85373">
      <w:pPr>
        <w:tabs>
          <w:tab w:val="left" w:pos="426"/>
        </w:tabs>
        <w:ind w:left="360" w:hanging="360"/>
        <w:jc w:val="both"/>
        <w:rPr>
          <w:rFonts w:cs="Arial"/>
          <w:sz w:val="22"/>
          <w:szCs w:val="22"/>
        </w:rPr>
      </w:pPr>
      <w:r w:rsidRPr="003405CC">
        <w:rPr>
          <w:rFonts w:cs="Arial"/>
          <w:sz w:val="22"/>
          <w:szCs w:val="22"/>
        </w:rPr>
        <w:t>1.2</w:t>
      </w:r>
      <w:r w:rsidRPr="003405CC">
        <w:rPr>
          <w:rFonts w:cs="Arial"/>
          <w:sz w:val="22"/>
          <w:szCs w:val="22"/>
        </w:rPr>
        <w:tab/>
      </w:r>
      <w:r w:rsidRPr="003405CC">
        <w:rPr>
          <w:rFonts w:cs="Arial"/>
          <w:b/>
          <w:sz w:val="22"/>
          <w:szCs w:val="22"/>
        </w:rPr>
        <w:t>Sharing of Information with Government:</w:t>
      </w:r>
      <w:r w:rsidRPr="003405CC">
        <w:rPr>
          <w:rFonts w:cs="Arial"/>
          <w:sz w:val="22"/>
          <w:szCs w:val="22"/>
        </w:rPr>
        <w:t xml:space="preserve"> All Central Government Departments and their Executive Agencies and </w:t>
      </w:r>
      <w:r w:rsidR="00243002" w:rsidRPr="003405CC">
        <w:rPr>
          <w:rFonts w:cs="Arial"/>
          <w:sz w:val="22"/>
          <w:szCs w:val="22"/>
        </w:rPr>
        <w:t>Non-Departmental</w:t>
      </w:r>
      <w:r w:rsidRPr="003405CC">
        <w:rPr>
          <w:rFonts w:cs="Arial"/>
          <w:sz w:val="22"/>
          <w:szCs w:val="22"/>
        </w:rPr>
        <w:t xml:space="preserve"> Public Bodies are subject to control and reporting within Government. In particular, they report to the Cabinet Office and HM Treasury for all expenditure. Further, the Cabinet Office has a cross-Government role delivering overall Government policy on public procurement - including ensuring value for money and related aspects of good procurement practice.</w:t>
      </w:r>
    </w:p>
    <w:p w14:paraId="6B699379" w14:textId="77777777" w:rsidR="00F03402" w:rsidRPr="003405CC" w:rsidRDefault="00F03402" w:rsidP="00C85373">
      <w:pPr>
        <w:tabs>
          <w:tab w:val="left" w:pos="426"/>
        </w:tabs>
        <w:ind w:left="360" w:hanging="360"/>
        <w:jc w:val="both"/>
        <w:rPr>
          <w:rFonts w:cs="Arial"/>
          <w:sz w:val="22"/>
          <w:szCs w:val="22"/>
        </w:rPr>
      </w:pPr>
    </w:p>
    <w:p w14:paraId="6CDAD106" w14:textId="77777777" w:rsidR="00F03402" w:rsidRPr="003405CC" w:rsidRDefault="00F03402" w:rsidP="00C85373">
      <w:pPr>
        <w:tabs>
          <w:tab w:val="left" w:pos="426"/>
        </w:tabs>
        <w:ind w:left="360"/>
        <w:jc w:val="both"/>
        <w:rPr>
          <w:rFonts w:cs="Arial"/>
          <w:sz w:val="22"/>
          <w:szCs w:val="22"/>
        </w:rPr>
      </w:pPr>
      <w:r w:rsidRPr="003405CC">
        <w:rPr>
          <w:rFonts w:cs="Arial"/>
          <w:sz w:val="22"/>
          <w:szCs w:val="22"/>
        </w:rPr>
        <w:t>For these purposes, the Met Office may disclose within Government any of the Contractor's documentation/information (including any that the Contractor considers to be confidential and/or commercially sensitive such as specific bid information) submitted by the Contractor to the Authority during this Procurement. The information will not be disclosed outside Government. Bidders taking part in this competition consent to these terms as part of the competition process.</w:t>
      </w:r>
    </w:p>
    <w:p w14:paraId="108A04B9" w14:textId="77777777" w:rsidR="00F03402" w:rsidRPr="003405CC" w:rsidRDefault="00F03402" w:rsidP="00C85373">
      <w:pPr>
        <w:keepNext/>
        <w:spacing w:before="240" w:after="60"/>
        <w:jc w:val="both"/>
        <w:outlineLvl w:val="0"/>
        <w:rPr>
          <w:rFonts w:cs="Arial"/>
          <w:b/>
          <w:bCs/>
          <w:kern w:val="32"/>
          <w:sz w:val="32"/>
          <w:szCs w:val="32"/>
        </w:rPr>
      </w:pPr>
      <w:bookmarkStart w:id="1" w:name="_Toc420499944"/>
      <w:r w:rsidRPr="003405CC">
        <w:rPr>
          <w:rFonts w:cs="Arial"/>
          <w:b/>
          <w:bCs/>
          <w:kern w:val="32"/>
          <w:sz w:val="32"/>
          <w:szCs w:val="32"/>
        </w:rPr>
        <w:lastRenderedPageBreak/>
        <w:t>ANNEX A – Bidder’s Commercial Sensitive Information Form</w:t>
      </w:r>
      <w:bookmarkEnd w:id="1"/>
    </w:p>
    <w:p w14:paraId="08CE6F91" w14:textId="77777777" w:rsidR="00F03402" w:rsidRPr="003405CC" w:rsidRDefault="00F03402" w:rsidP="00C85373">
      <w:pPr>
        <w:tabs>
          <w:tab w:val="left" w:pos="426"/>
        </w:tabs>
        <w:jc w:val="both"/>
        <w:rPr>
          <w:rFonts w:cs="Arial"/>
          <w:b/>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F03402" w:rsidRPr="003405CC" w14:paraId="7398FBE6" w14:textId="77777777" w:rsidTr="003F1434">
        <w:tc>
          <w:tcPr>
            <w:tcW w:w="10348" w:type="dxa"/>
          </w:tcPr>
          <w:p w14:paraId="4A0D8FF6" w14:textId="77777777" w:rsidR="00F03402" w:rsidRPr="003405CC" w:rsidRDefault="00F03402" w:rsidP="00C85373">
            <w:pPr>
              <w:tabs>
                <w:tab w:val="left" w:pos="426"/>
              </w:tabs>
              <w:jc w:val="both"/>
              <w:rPr>
                <w:rFonts w:cs="Arial"/>
                <w:sz w:val="22"/>
                <w:szCs w:val="22"/>
              </w:rPr>
            </w:pPr>
            <w:r w:rsidRPr="003405CC">
              <w:rPr>
                <w:rFonts w:cs="Arial"/>
                <w:sz w:val="22"/>
                <w:szCs w:val="22"/>
              </w:rPr>
              <w:t>ITT Ref No:</w:t>
            </w:r>
          </w:p>
          <w:p w14:paraId="61CDCEAD" w14:textId="77777777" w:rsidR="00F03402" w:rsidRPr="003405CC" w:rsidRDefault="00F03402" w:rsidP="00C85373">
            <w:pPr>
              <w:tabs>
                <w:tab w:val="left" w:pos="426"/>
              </w:tabs>
              <w:jc w:val="both"/>
              <w:rPr>
                <w:rFonts w:cs="Arial"/>
                <w:sz w:val="22"/>
                <w:szCs w:val="22"/>
              </w:rPr>
            </w:pPr>
          </w:p>
          <w:p w14:paraId="6BB9E253" w14:textId="77777777" w:rsidR="00F03402" w:rsidRPr="003405CC" w:rsidRDefault="00F03402" w:rsidP="00C85373">
            <w:pPr>
              <w:tabs>
                <w:tab w:val="left" w:pos="426"/>
              </w:tabs>
              <w:jc w:val="both"/>
              <w:rPr>
                <w:rFonts w:cs="Arial"/>
                <w:sz w:val="22"/>
                <w:szCs w:val="22"/>
              </w:rPr>
            </w:pPr>
          </w:p>
          <w:p w14:paraId="23DE523C" w14:textId="77777777" w:rsidR="00F03402" w:rsidRPr="003405CC" w:rsidRDefault="00F03402" w:rsidP="00C85373">
            <w:pPr>
              <w:tabs>
                <w:tab w:val="left" w:pos="426"/>
              </w:tabs>
              <w:jc w:val="both"/>
              <w:rPr>
                <w:rFonts w:cs="Arial"/>
                <w:sz w:val="22"/>
                <w:szCs w:val="22"/>
              </w:rPr>
            </w:pPr>
          </w:p>
        </w:tc>
      </w:tr>
      <w:tr w:rsidR="00F03402" w:rsidRPr="003405CC" w14:paraId="0C26ECA6" w14:textId="77777777" w:rsidTr="003F1434">
        <w:tc>
          <w:tcPr>
            <w:tcW w:w="10348" w:type="dxa"/>
          </w:tcPr>
          <w:p w14:paraId="732BA999" w14:textId="77777777" w:rsidR="00F03402" w:rsidRPr="003405CC" w:rsidRDefault="00F03402" w:rsidP="00C85373">
            <w:pPr>
              <w:tabs>
                <w:tab w:val="left" w:pos="426"/>
              </w:tabs>
              <w:jc w:val="both"/>
              <w:rPr>
                <w:rFonts w:cs="Arial"/>
                <w:sz w:val="22"/>
                <w:szCs w:val="22"/>
              </w:rPr>
            </w:pPr>
            <w:r w:rsidRPr="003405CC">
              <w:rPr>
                <w:rFonts w:cs="Arial"/>
                <w:sz w:val="22"/>
                <w:szCs w:val="22"/>
              </w:rPr>
              <w:t>Description of Contractor Sensitive Information:</w:t>
            </w:r>
          </w:p>
          <w:p w14:paraId="52E56223" w14:textId="77777777" w:rsidR="00F03402" w:rsidRPr="003405CC" w:rsidRDefault="00F03402" w:rsidP="00C85373">
            <w:pPr>
              <w:tabs>
                <w:tab w:val="left" w:pos="426"/>
              </w:tabs>
              <w:jc w:val="both"/>
              <w:rPr>
                <w:rFonts w:cs="Arial"/>
                <w:sz w:val="22"/>
                <w:szCs w:val="22"/>
              </w:rPr>
            </w:pPr>
          </w:p>
          <w:p w14:paraId="07547A01" w14:textId="77777777" w:rsidR="00F03402" w:rsidRPr="003405CC" w:rsidRDefault="00F03402" w:rsidP="00C85373">
            <w:pPr>
              <w:tabs>
                <w:tab w:val="left" w:pos="426"/>
              </w:tabs>
              <w:jc w:val="both"/>
              <w:rPr>
                <w:rFonts w:cs="Arial"/>
                <w:sz w:val="22"/>
                <w:szCs w:val="22"/>
              </w:rPr>
            </w:pPr>
          </w:p>
          <w:p w14:paraId="07459315" w14:textId="77777777" w:rsidR="00F03402" w:rsidRPr="003405CC" w:rsidRDefault="00F03402" w:rsidP="00C85373">
            <w:pPr>
              <w:tabs>
                <w:tab w:val="left" w:pos="426"/>
              </w:tabs>
              <w:jc w:val="both"/>
              <w:rPr>
                <w:rFonts w:cs="Arial"/>
                <w:sz w:val="22"/>
                <w:szCs w:val="22"/>
              </w:rPr>
            </w:pPr>
          </w:p>
          <w:p w14:paraId="6537F28F" w14:textId="77777777" w:rsidR="00F03402" w:rsidRPr="003405CC" w:rsidRDefault="00F03402" w:rsidP="00C85373">
            <w:pPr>
              <w:tabs>
                <w:tab w:val="left" w:pos="426"/>
              </w:tabs>
              <w:jc w:val="both"/>
              <w:rPr>
                <w:rFonts w:cs="Arial"/>
                <w:sz w:val="22"/>
                <w:szCs w:val="22"/>
              </w:rPr>
            </w:pPr>
          </w:p>
        </w:tc>
      </w:tr>
      <w:tr w:rsidR="00F03402" w:rsidRPr="003405CC" w14:paraId="73862DDB" w14:textId="77777777" w:rsidTr="003F1434">
        <w:tc>
          <w:tcPr>
            <w:tcW w:w="10348" w:type="dxa"/>
          </w:tcPr>
          <w:p w14:paraId="0D3B2B5F" w14:textId="77777777" w:rsidR="00F03402" w:rsidRPr="003405CC" w:rsidRDefault="00F03402" w:rsidP="00C85373">
            <w:pPr>
              <w:tabs>
                <w:tab w:val="left" w:pos="426"/>
              </w:tabs>
              <w:jc w:val="both"/>
              <w:rPr>
                <w:rFonts w:cs="Arial"/>
                <w:sz w:val="22"/>
                <w:szCs w:val="22"/>
              </w:rPr>
            </w:pPr>
            <w:r w:rsidRPr="003405CC">
              <w:rPr>
                <w:rFonts w:cs="Arial"/>
                <w:sz w:val="22"/>
                <w:szCs w:val="22"/>
              </w:rPr>
              <w:t>Reference(s) of where can be found in ITT response:</w:t>
            </w:r>
          </w:p>
          <w:p w14:paraId="663B2A82" w14:textId="3C264702" w:rsidR="00F03402" w:rsidRDefault="00F03402" w:rsidP="00C85373">
            <w:pPr>
              <w:tabs>
                <w:tab w:val="left" w:pos="426"/>
              </w:tabs>
              <w:jc w:val="both"/>
              <w:rPr>
                <w:rFonts w:cs="Arial"/>
                <w:sz w:val="22"/>
                <w:szCs w:val="22"/>
              </w:rPr>
            </w:pPr>
          </w:p>
          <w:p w14:paraId="237EE79A" w14:textId="77777777" w:rsidR="007246B9" w:rsidRDefault="007246B9" w:rsidP="00C85373">
            <w:pPr>
              <w:tabs>
                <w:tab w:val="left" w:pos="426"/>
              </w:tabs>
              <w:jc w:val="both"/>
              <w:rPr>
                <w:rFonts w:cs="Arial"/>
                <w:sz w:val="22"/>
                <w:szCs w:val="22"/>
              </w:rPr>
            </w:pPr>
          </w:p>
          <w:p w14:paraId="6DFB9E20" w14:textId="00BCCE18" w:rsidR="007246B9" w:rsidRPr="003405CC" w:rsidRDefault="007246B9" w:rsidP="00C85373">
            <w:pPr>
              <w:tabs>
                <w:tab w:val="left" w:pos="426"/>
              </w:tabs>
              <w:jc w:val="both"/>
              <w:rPr>
                <w:rFonts w:cs="Arial"/>
                <w:sz w:val="22"/>
                <w:szCs w:val="22"/>
              </w:rPr>
            </w:pPr>
          </w:p>
        </w:tc>
      </w:tr>
      <w:tr w:rsidR="00F03402" w:rsidRPr="003405CC" w14:paraId="60320ED8" w14:textId="77777777" w:rsidTr="003F1434">
        <w:tc>
          <w:tcPr>
            <w:tcW w:w="10348" w:type="dxa"/>
          </w:tcPr>
          <w:p w14:paraId="3D978853" w14:textId="77777777" w:rsidR="00F03402" w:rsidRPr="003405CC" w:rsidRDefault="00F03402" w:rsidP="00C85373">
            <w:pPr>
              <w:tabs>
                <w:tab w:val="left" w:pos="426"/>
              </w:tabs>
              <w:jc w:val="both"/>
              <w:rPr>
                <w:rFonts w:cs="Arial"/>
                <w:sz w:val="22"/>
                <w:szCs w:val="22"/>
              </w:rPr>
            </w:pPr>
            <w:r w:rsidRPr="003405CC">
              <w:rPr>
                <w:rFonts w:cs="Arial"/>
                <w:sz w:val="22"/>
                <w:szCs w:val="22"/>
              </w:rPr>
              <w:t>Explanation of Sensitivity:</w:t>
            </w:r>
          </w:p>
          <w:p w14:paraId="70DF9E56" w14:textId="77777777" w:rsidR="00F03402" w:rsidRPr="003405CC" w:rsidRDefault="00F03402" w:rsidP="00C85373">
            <w:pPr>
              <w:tabs>
                <w:tab w:val="left" w:pos="426"/>
              </w:tabs>
              <w:jc w:val="both"/>
              <w:rPr>
                <w:rFonts w:cs="Arial"/>
                <w:sz w:val="22"/>
                <w:szCs w:val="22"/>
              </w:rPr>
            </w:pPr>
          </w:p>
          <w:p w14:paraId="44E871BC" w14:textId="77777777" w:rsidR="00F03402" w:rsidRPr="003405CC" w:rsidRDefault="00F03402" w:rsidP="00C85373">
            <w:pPr>
              <w:tabs>
                <w:tab w:val="left" w:pos="426"/>
              </w:tabs>
              <w:jc w:val="both"/>
              <w:rPr>
                <w:rFonts w:cs="Arial"/>
                <w:sz w:val="22"/>
                <w:szCs w:val="22"/>
              </w:rPr>
            </w:pPr>
          </w:p>
          <w:p w14:paraId="29D6B04F" w14:textId="77777777" w:rsidR="00F03402" w:rsidRPr="003405CC" w:rsidRDefault="00F03402" w:rsidP="00C85373">
            <w:pPr>
              <w:tabs>
                <w:tab w:val="left" w:pos="426"/>
              </w:tabs>
              <w:jc w:val="both"/>
              <w:rPr>
                <w:rFonts w:cs="Arial"/>
                <w:sz w:val="22"/>
                <w:szCs w:val="22"/>
              </w:rPr>
            </w:pPr>
            <w:r w:rsidRPr="003405CC">
              <w:rPr>
                <w:rFonts w:cs="Arial"/>
                <w:sz w:val="22"/>
                <w:szCs w:val="22"/>
              </w:rPr>
              <w:t xml:space="preserve"> </w:t>
            </w:r>
          </w:p>
        </w:tc>
      </w:tr>
      <w:tr w:rsidR="00F03402" w:rsidRPr="003405CC" w14:paraId="1933DCB4" w14:textId="77777777" w:rsidTr="003F1434">
        <w:tc>
          <w:tcPr>
            <w:tcW w:w="10348" w:type="dxa"/>
          </w:tcPr>
          <w:p w14:paraId="22D0081C" w14:textId="77777777" w:rsidR="00F03402" w:rsidRPr="003405CC" w:rsidRDefault="00F03402" w:rsidP="00C85373">
            <w:pPr>
              <w:tabs>
                <w:tab w:val="left" w:pos="426"/>
              </w:tabs>
              <w:jc w:val="both"/>
              <w:rPr>
                <w:rFonts w:cs="Arial"/>
                <w:sz w:val="22"/>
                <w:szCs w:val="22"/>
              </w:rPr>
            </w:pPr>
            <w:r w:rsidRPr="003405CC">
              <w:rPr>
                <w:rFonts w:cs="Arial"/>
                <w:sz w:val="22"/>
                <w:szCs w:val="22"/>
              </w:rPr>
              <w:t>Details of potential harm resulting from disclosure:</w:t>
            </w:r>
          </w:p>
          <w:p w14:paraId="144A5D23" w14:textId="77777777" w:rsidR="00F03402" w:rsidRPr="003405CC" w:rsidRDefault="00F03402" w:rsidP="00C85373">
            <w:pPr>
              <w:tabs>
                <w:tab w:val="left" w:pos="426"/>
              </w:tabs>
              <w:jc w:val="both"/>
              <w:rPr>
                <w:rFonts w:cs="Arial"/>
                <w:sz w:val="22"/>
                <w:szCs w:val="22"/>
              </w:rPr>
            </w:pPr>
          </w:p>
          <w:p w14:paraId="738610EB" w14:textId="77777777" w:rsidR="00F03402" w:rsidRPr="003405CC" w:rsidRDefault="00F03402" w:rsidP="00C85373">
            <w:pPr>
              <w:tabs>
                <w:tab w:val="left" w:pos="426"/>
              </w:tabs>
              <w:jc w:val="both"/>
              <w:rPr>
                <w:rFonts w:cs="Arial"/>
                <w:sz w:val="22"/>
                <w:szCs w:val="22"/>
              </w:rPr>
            </w:pPr>
          </w:p>
          <w:p w14:paraId="637805D2" w14:textId="77777777" w:rsidR="00F03402" w:rsidRPr="003405CC" w:rsidRDefault="00F03402" w:rsidP="00C85373">
            <w:pPr>
              <w:tabs>
                <w:tab w:val="left" w:pos="426"/>
              </w:tabs>
              <w:jc w:val="both"/>
              <w:rPr>
                <w:rFonts w:cs="Arial"/>
                <w:sz w:val="22"/>
                <w:szCs w:val="22"/>
              </w:rPr>
            </w:pPr>
          </w:p>
        </w:tc>
      </w:tr>
      <w:tr w:rsidR="00F03402" w:rsidRPr="003405CC" w14:paraId="7B73CB2F" w14:textId="77777777" w:rsidTr="003F1434">
        <w:tc>
          <w:tcPr>
            <w:tcW w:w="10348" w:type="dxa"/>
          </w:tcPr>
          <w:p w14:paraId="05642386" w14:textId="77777777" w:rsidR="00F03402" w:rsidRPr="003405CC" w:rsidRDefault="00F03402" w:rsidP="00C85373">
            <w:pPr>
              <w:tabs>
                <w:tab w:val="left" w:pos="426"/>
              </w:tabs>
              <w:jc w:val="both"/>
              <w:rPr>
                <w:rFonts w:cs="Arial"/>
                <w:sz w:val="22"/>
                <w:szCs w:val="22"/>
              </w:rPr>
            </w:pPr>
            <w:r w:rsidRPr="003405CC">
              <w:rPr>
                <w:rFonts w:cs="Arial"/>
                <w:sz w:val="22"/>
                <w:szCs w:val="22"/>
              </w:rPr>
              <w:t>Period of Confidence (if applicable):</w:t>
            </w:r>
          </w:p>
          <w:p w14:paraId="463F29E8" w14:textId="77777777" w:rsidR="00F03402" w:rsidRPr="003405CC" w:rsidRDefault="00F03402" w:rsidP="00C85373">
            <w:pPr>
              <w:tabs>
                <w:tab w:val="left" w:pos="426"/>
              </w:tabs>
              <w:jc w:val="both"/>
              <w:rPr>
                <w:rFonts w:cs="Arial"/>
                <w:sz w:val="22"/>
                <w:szCs w:val="22"/>
              </w:rPr>
            </w:pPr>
          </w:p>
          <w:p w14:paraId="3B7B4B86" w14:textId="77777777" w:rsidR="00F03402" w:rsidRPr="003405CC" w:rsidRDefault="00F03402" w:rsidP="00C85373">
            <w:pPr>
              <w:tabs>
                <w:tab w:val="left" w:pos="426"/>
              </w:tabs>
              <w:jc w:val="both"/>
              <w:rPr>
                <w:rFonts w:cs="Arial"/>
                <w:sz w:val="22"/>
                <w:szCs w:val="22"/>
              </w:rPr>
            </w:pPr>
          </w:p>
          <w:p w14:paraId="3A0FF5F2" w14:textId="77777777" w:rsidR="00F03402" w:rsidRPr="003405CC" w:rsidRDefault="00F03402" w:rsidP="00C85373">
            <w:pPr>
              <w:tabs>
                <w:tab w:val="left" w:pos="426"/>
              </w:tabs>
              <w:jc w:val="both"/>
              <w:rPr>
                <w:rFonts w:cs="Arial"/>
                <w:sz w:val="22"/>
                <w:szCs w:val="22"/>
              </w:rPr>
            </w:pPr>
          </w:p>
        </w:tc>
      </w:tr>
      <w:tr w:rsidR="00F03402" w:rsidRPr="003405CC" w14:paraId="2681AE99" w14:textId="77777777" w:rsidTr="003F1434">
        <w:trPr>
          <w:trHeight w:val="1275"/>
        </w:trPr>
        <w:tc>
          <w:tcPr>
            <w:tcW w:w="10348" w:type="dxa"/>
          </w:tcPr>
          <w:p w14:paraId="504C7DBA" w14:textId="77777777" w:rsidR="00F03402" w:rsidRPr="003405CC" w:rsidRDefault="00F03402" w:rsidP="00C85373">
            <w:pPr>
              <w:tabs>
                <w:tab w:val="left" w:pos="426"/>
              </w:tabs>
              <w:jc w:val="both"/>
              <w:rPr>
                <w:rFonts w:cs="Arial"/>
                <w:sz w:val="22"/>
                <w:szCs w:val="22"/>
              </w:rPr>
            </w:pPr>
            <w:r w:rsidRPr="003405CC">
              <w:rPr>
                <w:rFonts w:cs="Arial"/>
                <w:sz w:val="22"/>
                <w:szCs w:val="22"/>
              </w:rPr>
              <w:t>Contact Details for Transparency/Freedom of Information matters</w:t>
            </w:r>
          </w:p>
          <w:p w14:paraId="5630AD66" w14:textId="77777777" w:rsidR="00F03402" w:rsidRPr="003405CC" w:rsidRDefault="00F03402" w:rsidP="00C85373">
            <w:pPr>
              <w:tabs>
                <w:tab w:val="left" w:pos="426"/>
              </w:tabs>
              <w:jc w:val="both"/>
              <w:rPr>
                <w:rFonts w:cs="Arial"/>
                <w:sz w:val="22"/>
                <w:szCs w:val="22"/>
              </w:rPr>
            </w:pPr>
          </w:p>
          <w:p w14:paraId="5ED90B35" w14:textId="77777777" w:rsidR="00F03402" w:rsidRPr="003405CC" w:rsidRDefault="00F03402" w:rsidP="00C85373">
            <w:pPr>
              <w:tabs>
                <w:tab w:val="left" w:pos="426"/>
              </w:tabs>
              <w:jc w:val="both"/>
              <w:rPr>
                <w:rFonts w:cs="Arial"/>
                <w:sz w:val="22"/>
                <w:szCs w:val="22"/>
              </w:rPr>
            </w:pPr>
            <w:r w:rsidRPr="003405CC">
              <w:rPr>
                <w:rFonts w:cs="Arial"/>
                <w:sz w:val="22"/>
                <w:szCs w:val="22"/>
              </w:rPr>
              <w:t>Name:</w:t>
            </w:r>
          </w:p>
          <w:p w14:paraId="61829076" w14:textId="77777777" w:rsidR="00F03402" w:rsidRPr="003405CC" w:rsidRDefault="00F03402" w:rsidP="00C85373">
            <w:pPr>
              <w:tabs>
                <w:tab w:val="left" w:pos="426"/>
              </w:tabs>
              <w:jc w:val="both"/>
              <w:rPr>
                <w:rFonts w:cs="Arial"/>
                <w:sz w:val="22"/>
                <w:szCs w:val="22"/>
              </w:rPr>
            </w:pPr>
          </w:p>
          <w:p w14:paraId="0A849FD5" w14:textId="77777777" w:rsidR="00F03402" w:rsidRPr="003405CC" w:rsidRDefault="00F03402" w:rsidP="00C85373">
            <w:pPr>
              <w:tabs>
                <w:tab w:val="left" w:pos="426"/>
              </w:tabs>
              <w:jc w:val="both"/>
              <w:rPr>
                <w:rFonts w:cs="Arial"/>
                <w:sz w:val="22"/>
                <w:szCs w:val="22"/>
              </w:rPr>
            </w:pPr>
            <w:r w:rsidRPr="003405CC">
              <w:rPr>
                <w:rFonts w:cs="Arial"/>
                <w:sz w:val="22"/>
                <w:szCs w:val="22"/>
              </w:rPr>
              <w:t>Position:</w:t>
            </w:r>
          </w:p>
          <w:p w14:paraId="2BA226A1" w14:textId="77777777" w:rsidR="00F03402" w:rsidRPr="003405CC" w:rsidRDefault="00F03402" w:rsidP="00C85373">
            <w:pPr>
              <w:tabs>
                <w:tab w:val="left" w:pos="426"/>
              </w:tabs>
              <w:jc w:val="both"/>
              <w:rPr>
                <w:rFonts w:cs="Arial"/>
                <w:sz w:val="22"/>
                <w:szCs w:val="22"/>
              </w:rPr>
            </w:pPr>
          </w:p>
          <w:p w14:paraId="385E5CC6" w14:textId="77777777" w:rsidR="00F03402" w:rsidRPr="003405CC" w:rsidRDefault="00F03402" w:rsidP="00C85373">
            <w:pPr>
              <w:tabs>
                <w:tab w:val="left" w:pos="426"/>
              </w:tabs>
              <w:jc w:val="both"/>
              <w:rPr>
                <w:rFonts w:cs="Arial"/>
                <w:sz w:val="22"/>
                <w:szCs w:val="22"/>
              </w:rPr>
            </w:pPr>
            <w:r w:rsidRPr="003405CC">
              <w:rPr>
                <w:rFonts w:cs="Arial"/>
                <w:sz w:val="22"/>
                <w:szCs w:val="22"/>
              </w:rPr>
              <w:t>Address:</w:t>
            </w:r>
          </w:p>
          <w:p w14:paraId="17AD93B2" w14:textId="77777777" w:rsidR="00F03402" w:rsidRPr="003405CC" w:rsidRDefault="00F03402" w:rsidP="00C85373">
            <w:pPr>
              <w:tabs>
                <w:tab w:val="left" w:pos="426"/>
              </w:tabs>
              <w:jc w:val="both"/>
              <w:rPr>
                <w:rFonts w:cs="Arial"/>
                <w:sz w:val="22"/>
                <w:szCs w:val="22"/>
              </w:rPr>
            </w:pPr>
          </w:p>
          <w:p w14:paraId="24EC891E" w14:textId="77777777" w:rsidR="00F03402" w:rsidRPr="003405CC" w:rsidRDefault="00F03402" w:rsidP="00C85373">
            <w:pPr>
              <w:tabs>
                <w:tab w:val="left" w:pos="426"/>
              </w:tabs>
              <w:jc w:val="both"/>
              <w:rPr>
                <w:rFonts w:cs="Arial"/>
                <w:sz w:val="22"/>
                <w:szCs w:val="22"/>
              </w:rPr>
            </w:pPr>
            <w:r w:rsidRPr="003405CC">
              <w:rPr>
                <w:rFonts w:cs="Arial"/>
                <w:sz w:val="22"/>
                <w:szCs w:val="22"/>
              </w:rPr>
              <w:t>Telephone Number:</w:t>
            </w:r>
          </w:p>
          <w:p w14:paraId="0DE4B5B7" w14:textId="77777777" w:rsidR="00F03402" w:rsidRPr="003405CC" w:rsidRDefault="00F03402" w:rsidP="00C85373">
            <w:pPr>
              <w:tabs>
                <w:tab w:val="left" w:pos="426"/>
              </w:tabs>
              <w:jc w:val="both"/>
              <w:rPr>
                <w:rFonts w:cs="Arial"/>
                <w:sz w:val="22"/>
                <w:szCs w:val="22"/>
              </w:rPr>
            </w:pPr>
          </w:p>
          <w:p w14:paraId="736182C7" w14:textId="77777777" w:rsidR="00F03402" w:rsidRPr="003405CC" w:rsidRDefault="00F03402" w:rsidP="00C85373">
            <w:pPr>
              <w:tabs>
                <w:tab w:val="left" w:pos="426"/>
              </w:tabs>
              <w:jc w:val="both"/>
              <w:rPr>
                <w:rFonts w:cs="Arial"/>
                <w:sz w:val="22"/>
                <w:szCs w:val="22"/>
              </w:rPr>
            </w:pPr>
            <w:r w:rsidRPr="003405CC">
              <w:rPr>
                <w:rFonts w:cs="Arial"/>
                <w:sz w:val="22"/>
                <w:szCs w:val="22"/>
              </w:rPr>
              <w:t>Email Address:</w:t>
            </w:r>
          </w:p>
        </w:tc>
      </w:tr>
    </w:tbl>
    <w:p w14:paraId="66204FF1" w14:textId="77777777" w:rsidR="00565432" w:rsidRDefault="00565432" w:rsidP="00C85373">
      <w:pPr>
        <w:jc w:val="both"/>
        <w:rPr>
          <w:rFonts w:cs="Arial"/>
          <w:szCs w:val="22"/>
        </w:rPr>
      </w:pPr>
    </w:p>
    <w:p w14:paraId="3E9F1654" w14:textId="77777777" w:rsidR="007246B9" w:rsidRDefault="003110A6" w:rsidP="00C85373">
      <w:pPr>
        <w:pStyle w:val="L3kncontract"/>
        <w:tabs>
          <w:tab w:val="clear" w:pos="360"/>
          <w:tab w:val="left" w:pos="720"/>
        </w:tabs>
        <w:ind w:left="0" w:firstLine="0"/>
        <w:contextualSpacing/>
        <w:jc w:val="both"/>
        <w:rPr>
          <w:sz w:val="22"/>
          <w:szCs w:val="22"/>
          <w:lang w:eastAsia="zh-CN"/>
        </w:rPr>
      </w:pPr>
      <w:r w:rsidRPr="00C238F5">
        <w:rPr>
          <w:sz w:val="22"/>
          <w:szCs w:val="22"/>
          <w:lang w:eastAsia="zh-CN"/>
        </w:rPr>
        <w:t xml:space="preserve">*Bidders should note that the suppliers company details may be released under the FOIA or the EIR, whether successful or unsuccessful at any stage of the tender process. </w:t>
      </w:r>
    </w:p>
    <w:p w14:paraId="1972775E" w14:textId="0C1C8ECD" w:rsidR="003110A6" w:rsidRPr="00C238F5" w:rsidRDefault="003110A6" w:rsidP="00C85373">
      <w:pPr>
        <w:pStyle w:val="L3kncontract"/>
        <w:tabs>
          <w:tab w:val="clear" w:pos="360"/>
          <w:tab w:val="left" w:pos="720"/>
        </w:tabs>
        <w:ind w:left="0" w:firstLine="0"/>
        <w:contextualSpacing/>
        <w:jc w:val="both"/>
        <w:rPr>
          <w:sz w:val="22"/>
          <w:szCs w:val="22"/>
          <w:lang w:eastAsia="zh-CN"/>
        </w:rPr>
      </w:pPr>
      <w:r w:rsidRPr="00C238F5">
        <w:rPr>
          <w:sz w:val="22"/>
          <w:szCs w:val="22"/>
          <w:lang w:eastAsia="zh-CN"/>
        </w:rPr>
        <w:t>Bidders should be clear throughout the process in stating what information they reasonably consider to be commercially sensitive.</w:t>
      </w:r>
    </w:p>
    <w:p w14:paraId="2DBF0D7D" w14:textId="77777777" w:rsidR="000E483B" w:rsidRDefault="000E483B" w:rsidP="00C85373">
      <w:pPr>
        <w:jc w:val="both"/>
        <w:rPr>
          <w:rFonts w:cs="Arial"/>
          <w:szCs w:val="22"/>
        </w:rPr>
      </w:pPr>
      <w:r>
        <w:rPr>
          <w:rFonts w:cs="Arial"/>
          <w:szCs w:val="22"/>
        </w:rPr>
        <w:br w:type="page"/>
      </w:r>
    </w:p>
    <w:p w14:paraId="2623FBE3" w14:textId="77777777" w:rsidR="007F7CBB" w:rsidRDefault="000E483B" w:rsidP="00C85373">
      <w:pPr>
        <w:keepNext/>
        <w:numPr>
          <w:ilvl w:val="0"/>
          <w:numId w:val="1"/>
        </w:numPr>
        <w:spacing w:before="240" w:after="60"/>
        <w:jc w:val="both"/>
        <w:outlineLvl w:val="0"/>
        <w:rPr>
          <w:rFonts w:cs="Arial"/>
          <w:b/>
          <w:bCs/>
          <w:kern w:val="32"/>
          <w:sz w:val="32"/>
          <w:szCs w:val="32"/>
        </w:rPr>
      </w:pPr>
      <w:r w:rsidRPr="000E483B">
        <w:rPr>
          <w:rFonts w:cs="Arial"/>
          <w:b/>
          <w:bCs/>
          <w:kern w:val="32"/>
          <w:sz w:val="32"/>
          <w:szCs w:val="32"/>
        </w:rPr>
        <w:lastRenderedPageBreak/>
        <w:t>G</w:t>
      </w:r>
      <w:r>
        <w:rPr>
          <w:rFonts w:cs="Arial"/>
          <w:b/>
          <w:bCs/>
          <w:kern w:val="32"/>
          <w:sz w:val="32"/>
          <w:szCs w:val="32"/>
        </w:rPr>
        <w:t xml:space="preserve">overnment </w:t>
      </w:r>
      <w:r w:rsidRPr="000E483B">
        <w:rPr>
          <w:rFonts w:cs="Arial"/>
          <w:b/>
          <w:bCs/>
          <w:kern w:val="32"/>
          <w:sz w:val="32"/>
          <w:szCs w:val="32"/>
        </w:rPr>
        <w:t>D</w:t>
      </w:r>
      <w:r>
        <w:rPr>
          <w:rFonts w:cs="Arial"/>
          <w:b/>
          <w:bCs/>
          <w:kern w:val="32"/>
          <w:sz w:val="32"/>
          <w:szCs w:val="32"/>
        </w:rPr>
        <w:t xml:space="preserve">ata </w:t>
      </w:r>
      <w:r w:rsidRPr="000E483B">
        <w:rPr>
          <w:rFonts w:cs="Arial"/>
          <w:b/>
          <w:bCs/>
          <w:kern w:val="32"/>
          <w:sz w:val="32"/>
          <w:szCs w:val="32"/>
        </w:rPr>
        <w:t>P</w:t>
      </w:r>
      <w:r>
        <w:rPr>
          <w:rFonts w:cs="Arial"/>
          <w:b/>
          <w:bCs/>
          <w:kern w:val="32"/>
          <w:sz w:val="32"/>
          <w:szCs w:val="32"/>
        </w:rPr>
        <w:t xml:space="preserve">rotection </w:t>
      </w:r>
      <w:r w:rsidRPr="000E483B">
        <w:rPr>
          <w:rFonts w:cs="Arial"/>
          <w:b/>
          <w:bCs/>
          <w:kern w:val="32"/>
          <w:sz w:val="32"/>
          <w:szCs w:val="32"/>
        </w:rPr>
        <w:t>R</w:t>
      </w:r>
      <w:r>
        <w:rPr>
          <w:rFonts w:cs="Arial"/>
          <w:b/>
          <w:bCs/>
          <w:kern w:val="32"/>
          <w:sz w:val="32"/>
          <w:szCs w:val="32"/>
        </w:rPr>
        <w:t>egulations (GDPR)</w:t>
      </w:r>
    </w:p>
    <w:p w14:paraId="664F2356" w14:textId="77777777" w:rsidR="00F63507" w:rsidRPr="00186037" w:rsidRDefault="00537028" w:rsidP="00C85373">
      <w:pPr>
        <w:keepNext/>
        <w:spacing w:before="240" w:after="60"/>
        <w:ind w:left="360"/>
        <w:jc w:val="both"/>
        <w:outlineLvl w:val="0"/>
        <w:rPr>
          <w:rFonts w:cs="Arial"/>
          <w:iCs/>
          <w:sz w:val="22"/>
          <w:szCs w:val="22"/>
        </w:rPr>
      </w:pPr>
      <w:r w:rsidRPr="00186037">
        <w:rPr>
          <w:rFonts w:cs="Arial"/>
          <w:iCs/>
          <w:sz w:val="22"/>
          <w:szCs w:val="22"/>
        </w:rPr>
        <w:t xml:space="preserve">New data protection legislation </w:t>
      </w:r>
      <w:r w:rsidR="00F63507" w:rsidRPr="00186037">
        <w:rPr>
          <w:rFonts w:cs="Arial"/>
          <w:iCs/>
          <w:sz w:val="22"/>
          <w:szCs w:val="22"/>
        </w:rPr>
        <w:t>(</w:t>
      </w:r>
      <w:hyperlink r:id="rId14" w:history="1">
        <w:r w:rsidR="00F63507" w:rsidRPr="00186037">
          <w:rPr>
            <w:rFonts w:cs="Arial"/>
            <w:sz w:val="22"/>
            <w:szCs w:val="22"/>
          </w:rPr>
          <w:t>GDPR</w:t>
        </w:r>
      </w:hyperlink>
      <w:r w:rsidR="00F63507" w:rsidRPr="00186037">
        <w:rPr>
          <w:rFonts w:cs="Arial"/>
          <w:iCs/>
          <w:sz w:val="22"/>
          <w:szCs w:val="22"/>
        </w:rPr>
        <w:t>) comes</w:t>
      </w:r>
      <w:r w:rsidRPr="00186037">
        <w:rPr>
          <w:rFonts w:cs="Arial"/>
          <w:iCs/>
          <w:sz w:val="22"/>
          <w:szCs w:val="22"/>
        </w:rPr>
        <w:t xml:space="preserve"> into force </w:t>
      </w:r>
      <w:r w:rsidR="00F63507" w:rsidRPr="00186037">
        <w:rPr>
          <w:rFonts w:cs="Arial"/>
          <w:iCs/>
          <w:sz w:val="22"/>
          <w:szCs w:val="22"/>
        </w:rPr>
        <w:t>25 May</w:t>
      </w:r>
      <w:r w:rsidRPr="00186037">
        <w:rPr>
          <w:rFonts w:cs="Arial"/>
          <w:iCs/>
          <w:sz w:val="22"/>
          <w:szCs w:val="22"/>
        </w:rPr>
        <w:t xml:space="preserve"> 2018, which aims to protect the privacy of all EU citizen</w:t>
      </w:r>
      <w:r w:rsidR="00F63507" w:rsidRPr="00186037">
        <w:rPr>
          <w:rFonts w:cs="Arial"/>
          <w:iCs/>
          <w:sz w:val="22"/>
          <w:szCs w:val="22"/>
        </w:rPr>
        <w:t>s and prevent data breaches. For contracts which involve the processing of personal data, The Met Office must set out, in each contract, details of the nature, scope and duration of the data processing, and impose specific obligations on the Processor (Supplier), including:</w:t>
      </w:r>
    </w:p>
    <w:p w14:paraId="53BEF0C2" w14:textId="77777777" w:rsidR="00F63507" w:rsidRPr="00186037" w:rsidRDefault="00F63507" w:rsidP="00C85373">
      <w:pPr>
        <w:keepNext/>
        <w:spacing w:before="240" w:after="60"/>
        <w:ind w:left="360"/>
        <w:jc w:val="both"/>
        <w:outlineLvl w:val="0"/>
        <w:rPr>
          <w:rFonts w:cs="Arial"/>
          <w:iCs/>
          <w:sz w:val="22"/>
          <w:szCs w:val="22"/>
        </w:rPr>
      </w:pPr>
      <w:r w:rsidRPr="00186037">
        <w:rPr>
          <w:rFonts w:cs="Arial"/>
          <w:iCs/>
          <w:sz w:val="22"/>
          <w:szCs w:val="22"/>
        </w:rPr>
        <w:t>i) the legal obligation to formalise working relationships with the Processor in contracts where processing of personal data is to be carried out by a third party on behalf of the Controller (see GDPR Article 28 );</w:t>
      </w:r>
    </w:p>
    <w:p w14:paraId="762AAA27" w14:textId="77777777" w:rsidR="00F63507" w:rsidRPr="00186037" w:rsidRDefault="00F63507" w:rsidP="00C85373">
      <w:pPr>
        <w:keepNext/>
        <w:spacing w:before="240" w:after="60"/>
        <w:ind w:left="360"/>
        <w:jc w:val="both"/>
        <w:outlineLvl w:val="0"/>
        <w:rPr>
          <w:rFonts w:cs="Arial"/>
          <w:iCs/>
          <w:sz w:val="22"/>
          <w:szCs w:val="22"/>
        </w:rPr>
      </w:pPr>
      <w:r w:rsidRPr="00186037">
        <w:rPr>
          <w:rFonts w:cs="Arial"/>
          <w:iCs/>
          <w:sz w:val="22"/>
          <w:szCs w:val="22"/>
        </w:rPr>
        <w:t>ii) a requirement to create and maintain records of processing activities (see GDPR Article 30(2) ); and</w:t>
      </w:r>
    </w:p>
    <w:p w14:paraId="22FDA853" w14:textId="77777777" w:rsidR="00186037" w:rsidRPr="00186037" w:rsidRDefault="00F63507" w:rsidP="00C85373">
      <w:pPr>
        <w:keepNext/>
        <w:spacing w:before="240" w:after="60"/>
        <w:ind w:left="360"/>
        <w:jc w:val="both"/>
        <w:outlineLvl w:val="0"/>
        <w:rPr>
          <w:rFonts w:cs="Arial"/>
          <w:iCs/>
          <w:sz w:val="22"/>
          <w:szCs w:val="22"/>
        </w:rPr>
      </w:pPr>
      <w:r w:rsidRPr="00186037">
        <w:rPr>
          <w:rFonts w:cs="Arial"/>
          <w:iCs/>
          <w:sz w:val="22"/>
          <w:szCs w:val="22"/>
        </w:rPr>
        <w:t xml:space="preserve">iii) use only Processors who provide guarantees to implement appropriate technical and organisational measures that are sufficient to secure that the processing will (a) meet the requirements of the GDPR and (b) ensure the protection of the rights of the data subject. </w:t>
      </w:r>
    </w:p>
    <w:p w14:paraId="4CFDC7C4" w14:textId="77777777" w:rsidR="00537028" w:rsidRPr="00186037" w:rsidRDefault="00F63507" w:rsidP="00C85373">
      <w:pPr>
        <w:keepNext/>
        <w:spacing w:before="240" w:after="60"/>
        <w:ind w:left="360"/>
        <w:jc w:val="both"/>
        <w:outlineLvl w:val="0"/>
        <w:rPr>
          <w:rFonts w:cs="Arial"/>
          <w:iCs/>
          <w:sz w:val="22"/>
          <w:szCs w:val="22"/>
        </w:rPr>
      </w:pPr>
      <w:r w:rsidRPr="00186037">
        <w:rPr>
          <w:rFonts w:cs="Arial"/>
          <w:iCs/>
          <w:sz w:val="22"/>
          <w:szCs w:val="22"/>
        </w:rPr>
        <w:t>All suppliers processing personal data must complete the following Annex and return with their bid.</w:t>
      </w:r>
    </w:p>
    <w:p w14:paraId="6101CD23" w14:textId="77777777" w:rsidR="000E483B" w:rsidRPr="000E483B" w:rsidRDefault="000E483B" w:rsidP="00C85373">
      <w:pPr>
        <w:pStyle w:val="Heading1"/>
        <w:spacing w:line="290" w:lineRule="auto"/>
        <w:ind w:left="230" w:right="157"/>
        <w:rPr>
          <w:b w:val="0"/>
          <w:bCs w:val="0"/>
        </w:rPr>
      </w:pPr>
      <w:r w:rsidRPr="000E483B">
        <w:rPr>
          <w:u w:val="single" w:color="00478B"/>
        </w:rPr>
        <w:t>Annex B : Schedule of Processing, Personal Data and</w:t>
      </w:r>
      <w:r w:rsidRPr="000E483B">
        <w:rPr>
          <w:spacing w:val="-46"/>
          <w:u w:val="single" w:color="00478B"/>
        </w:rPr>
        <w:t xml:space="preserve"> </w:t>
      </w:r>
      <w:r w:rsidRPr="000E483B">
        <w:rPr>
          <w:u w:val="single" w:color="00478B"/>
        </w:rPr>
        <w:t>Data</w:t>
      </w:r>
      <w:r w:rsidRPr="000E483B">
        <w:t xml:space="preserve"> </w:t>
      </w:r>
      <w:r w:rsidRPr="000E483B">
        <w:rPr>
          <w:u w:val="single" w:color="00478B"/>
        </w:rPr>
        <w:t>Subjects</w:t>
      </w:r>
    </w:p>
    <w:p w14:paraId="6B62F1B3" w14:textId="77777777" w:rsidR="000E483B" w:rsidRDefault="000E483B" w:rsidP="00C85373">
      <w:pPr>
        <w:spacing w:before="8"/>
        <w:jc w:val="both"/>
        <w:rPr>
          <w:rFonts w:eastAsia="Arial" w:cs="Arial"/>
          <w:b/>
          <w:bCs/>
          <w:sz w:val="21"/>
          <w:szCs w:val="21"/>
        </w:rPr>
      </w:pPr>
    </w:p>
    <w:p w14:paraId="45185114" w14:textId="77777777" w:rsidR="000E483B" w:rsidRDefault="000E483B" w:rsidP="00C85373">
      <w:pPr>
        <w:pStyle w:val="ListParagraph"/>
        <w:widowControl w:val="0"/>
        <w:numPr>
          <w:ilvl w:val="0"/>
          <w:numId w:val="2"/>
        </w:numPr>
        <w:tabs>
          <w:tab w:val="left" w:pos="952"/>
        </w:tabs>
        <w:spacing w:line="247" w:lineRule="auto"/>
        <w:ind w:right="157"/>
        <w:contextualSpacing w:val="0"/>
        <w:jc w:val="both"/>
        <w:rPr>
          <w:rFonts w:eastAsia="Arial" w:cs="Arial"/>
          <w:sz w:val="24"/>
          <w:szCs w:val="24"/>
        </w:rPr>
      </w:pPr>
      <w:r>
        <w:rPr>
          <w:sz w:val="24"/>
        </w:rPr>
        <w:t>The Contractor shall comply with any further written instructions with respect</w:t>
      </w:r>
      <w:r>
        <w:rPr>
          <w:spacing w:val="43"/>
          <w:sz w:val="24"/>
        </w:rPr>
        <w:t xml:space="preserve"> </w:t>
      </w:r>
      <w:r>
        <w:rPr>
          <w:sz w:val="24"/>
        </w:rPr>
        <w:t>to processing by the Customer.</w:t>
      </w:r>
    </w:p>
    <w:p w14:paraId="02F2C34E" w14:textId="77777777" w:rsidR="000E483B" w:rsidRDefault="000E483B" w:rsidP="00C85373">
      <w:pPr>
        <w:spacing w:before="11"/>
        <w:jc w:val="both"/>
        <w:rPr>
          <w:rFonts w:eastAsia="Arial" w:cs="Arial"/>
        </w:rPr>
      </w:pPr>
    </w:p>
    <w:p w14:paraId="27D6460F" w14:textId="77777777" w:rsidR="000E483B" w:rsidRDefault="000E483B" w:rsidP="00C85373">
      <w:pPr>
        <w:pStyle w:val="ListParagraph"/>
        <w:widowControl w:val="0"/>
        <w:numPr>
          <w:ilvl w:val="0"/>
          <w:numId w:val="2"/>
        </w:numPr>
        <w:tabs>
          <w:tab w:val="left" w:pos="952"/>
        </w:tabs>
        <w:ind w:right="157"/>
        <w:contextualSpacing w:val="0"/>
        <w:jc w:val="both"/>
        <w:rPr>
          <w:rFonts w:eastAsia="Arial" w:cs="Arial"/>
          <w:sz w:val="24"/>
          <w:szCs w:val="24"/>
        </w:rPr>
      </w:pPr>
      <w:r>
        <w:rPr>
          <w:sz w:val="24"/>
        </w:rPr>
        <w:t>Any such further instructions shall be incorporated into this</w:t>
      </w:r>
      <w:r>
        <w:rPr>
          <w:spacing w:val="1"/>
          <w:sz w:val="24"/>
        </w:rPr>
        <w:t xml:space="preserve"> </w:t>
      </w:r>
      <w:r>
        <w:rPr>
          <w:sz w:val="24"/>
        </w:rPr>
        <w:t>Schedule.</w:t>
      </w:r>
    </w:p>
    <w:p w14:paraId="680A4E5D" w14:textId="77777777" w:rsidR="000E483B" w:rsidRDefault="000E483B" w:rsidP="00C85373">
      <w:pPr>
        <w:spacing w:before="8"/>
        <w:jc w:val="both"/>
        <w:rPr>
          <w:rFonts w:eastAsia="Arial" w:cs="Arial"/>
          <w:sz w:val="21"/>
          <w:szCs w:val="21"/>
        </w:rPr>
      </w:pPr>
    </w:p>
    <w:tbl>
      <w:tblPr>
        <w:tblW w:w="0" w:type="auto"/>
        <w:tblInd w:w="276" w:type="dxa"/>
        <w:tblLayout w:type="fixed"/>
        <w:tblCellMar>
          <w:left w:w="0" w:type="dxa"/>
          <w:right w:w="0" w:type="dxa"/>
        </w:tblCellMar>
        <w:tblLook w:val="01E0" w:firstRow="1" w:lastRow="1" w:firstColumn="1" w:lastColumn="1" w:noHBand="0" w:noVBand="0"/>
      </w:tblPr>
      <w:tblGrid>
        <w:gridCol w:w="2791"/>
        <w:gridCol w:w="6741"/>
      </w:tblGrid>
      <w:tr w:rsidR="000E483B" w14:paraId="505AF9C2" w14:textId="77777777" w:rsidTr="004D6FD4">
        <w:trPr>
          <w:trHeight w:hRule="exact" w:val="540"/>
        </w:trPr>
        <w:tc>
          <w:tcPr>
            <w:tcW w:w="2791" w:type="dxa"/>
            <w:tcBorders>
              <w:top w:val="single" w:sz="6" w:space="0" w:color="000000"/>
              <w:left w:val="single" w:sz="6" w:space="0" w:color="000000"/>
              <w:bottom w:val="single" w:sz="6" w:space="0" w:color="000000"/>
              <w:right w:val="single" w:sz="6" w:space="0" w:color="000000"/>
            </w:tcBorders>
            <w:shd w:val="clear" w:color="auto" w:fill="BEBEBE"/>
          </w:tcPr>
          <w:p w14:paraId="31FF54C8" w14:textId="77777777" w:rsidR="000E483B" w:rsidRDefault="000E483B" w:rsidP="00C85373">
            <w:pPr>
              <w:pStyle w:val="TableParagraph"/>
              <w:spacing w:before="15"/>
              <w:ind w:left="795"/>
              <w:jc w:val="both"/>
              <w:rPr>
                <w:rFonts w:ascii="Arial" w:eastAsia="Arial" w:hAnsi="Arial" w:cs="Arial"/>
                <w:sz w:val="24"/>
                <w:szCs w:val="24"/>
              </w:rPr>
            </w:pPr>
            <w:r>
              <w:rPr>
                <w:rFonts w:ascii="Arial"/>
                <w:b/>
                <w:sz w:val="24"/>
              </w:rPr>
              <w:t>Description</w:t>
            </w:r>
          </w:p>
        </w:tc>
        <w:tc>
          <w:tcPr>
            <w:tcW w:w="6741" w:type="dxa"/>
            <w:tcBorders>
              <w:top w:val="single" w:sz="6" w:space="0" w:color="000000"/>
              <w:left w:val="single" w:sz="6" w:space="0" w:color="000000"/>
              <w:bottom w:val="single" w:sz="6" w:space="0" w:color="000000"/>
              <w:right w:val="single" w:sz="6" w:space="0" w:color="000000"/>
            </w:tcBorders>
            <w:shd w:val="clear" w:color="auto" w:fill="BEBEBE"/>
          </w:tcPr>
          <w:p w14:paraId="0231F8D0" w14:textId="77777777" w:rsidR="000E483B" w:rsidRDefault="000E483B" w:rsidP="00C85373">
            <w:pPr>
              <w:pStyle w:val="TableParagraph"/>
              <w:spacing w:before="15"/>
              <w:ind w:right="22"/>
              <w:jc w:val="both"/>
              <w:rPr>
                <w:rFonts w:ascii="Arial" w:eastAsia="Arial" w:hAnsi="Arial" w:cs="Arial"/>
                <w:sz w:val="24"/>
                <w:szCs w:val="24"/>
              </w:rPr>
            </w:pPr>
            <w:r>
              <w:rPr>
                <w:rFonts w:ascii="Arial"/>
                <w:b/>
                <w:sz w:val="24"/>
              </w:rPr>
              <w:t>Details</w:t>
            </w:r>
          </w:p>
        </w:tc>
      </w:tr>
      <w:tr w:rsidR="000E483B" w14:paraId="69F14062" w14:textId="77777777" w:rsidTr="004D6FD4">
        <w:trPr>
          <w:trHeight w:hRule="exact" w:val="811"/>
        </w:trPr>
        <w:tc>
          <w:tcPr>
            <w:tcW w:w="2791" w:type="dxa"/>
            <w:tcBorders>
              <w:top w:val="single" w:sz="6" w:space="0" w:color="000000"/>
              <w:left w:val="single" w:sz="6" w:space="0" w:color="000000"/>
              <w:bottom w:val="single" w:sz="6" w:space="0" w:color="000000"/>
              <w:right w:val="single" w:sz="6" w:space="0" w:color="000000"/>
            </w:tcBorders>
          </w:tcPr>
          <w:p w14:paraId="0BFD57D8" w14:textId="77777777" w:rsidR="000E483B" w:rsidRDefault="000E483B" w:rsidP="00C85373">
            <w:pPr>
              <w:pStyle w:val="TableParagraph"/>
              <w:spacing w:line="247" w:lineRule="auto"/>
              <w:ind w:left="105" w:right="619"/>
              <w:rPr>
                <w:rFonts w:ascii="Arial" w:eastAsia="Arial" w:hAnsi="Arial" w:cs="Arial"/>
                <w:sz w:val="24"/>
                <w:szCs w:val="24"/>
              </w:rPr>
            </w:pPr>
            <w:r>
              <w:rPr>
                <w:rFonts w:ascii="Arial"/>
                <w:sz w:val="24"/>
              </w:rPr>
              <w:t>Subject matter of</w:t>
            </w:r>
            <w:r>
              <w:rPr>
                <w:rFonts w:ascii="Arial"/>
                <w:spacing w:val="1"/>
                <w:sz w:val="24"/>
              </w:rPr>
              <w:t xml:space="preserve"> </w:t>
            </w:r>
            <w:r>
              <w:rPr>
                <w:rFonts w:ascii="Arial"/>
                <w:sz w:val="24"/>
              </w:rPr>
              <w:t>the processing</w:t>
            </w:r>
          </w:p>
        </w:tc>
        <w:tc>
          <w:tcPr>
            <w:tcW w:w="6741" w:type="dxa"/>
            <w:tcBorders>
              <w:top w:val="single" w:sz="6" w:space="0" w:color="000000"/>
              <w:left w:val="single" w:sz="6" w:space="0" w:color="000000"/>
              <w:bottom w:val="single" w:sz="6" w:space="0" w:color="000000"/>
              <w:right w:val="single" w:sz="6" w:space="0" w:color="000000"/>
            </w:tcBorders>
          </w:tcPr>
          <w:p w14:paraId="73CB5033" w14:textId="77777777" w:rsidR="000E483B" w:rsidRDefault="000E483B" w:rsidP="00C85373">
            <w:pPr>
              <w:pStyle w:val="TableParagraph"/>
              <w:spacing w:line="247" w:lineRule="auto"/>
              <w:ind w:left="105" w:right="570"/>
              <w:rPr>
                <w:rFonts w:ascii="Arial" w:eastAsia="Arial" w:hAnsi="Arial" w:cs="Arial"/>
                <w:sz w:val="24"/>
                <w:szCs w:val="24"/>
              </w:rPr>
            </w:pPr>
            <w:r>
              <w:rPr>
                <w:rFonts w:ascii="Arial"/>
                <w:i/>
                <w:sz w:val="24"/>
              </w:rPr>
              <w:t>[This should be a high level, short description of what</w:t>
            </w:r>
            <w:r>
              <w:rPr>
                <w:rFonts w:ascii="Arial"/>
                <w:i/>
                <w:spacing w:val="5"/>
                <w:sz w:val="24"/>
              </w:rPr>
              <w:t xml:space="preserve"> </w:t>
            </w:r>
            <w:r>
              <w:rPr>
                <w:rFonts w:ascii="Arial"/>
                <w:i/>
                <w:sz w:val="24"/>
              </w:rPr>
              <w:t>the processing is about i.e. its subject</w:t>
            </w:r>
            <w:r>
              <w:rPr>
                <w:rFonts w:ascii="Arial"/>
                <w:i/>
                <w:spacing w:val="3"/>
                <w:sz w:val="24"/>
              </w:rPr>
              <w:t xml:space="preserve"> </w:t>
            </w:r>
            <w:r>
              <w:rPr>
                <w:rFonts w:ascii="Arial"/>
                <w:i/>
                <w:sz w:val="24"/>
              </w:rPr>
              <w:t>matter]</w:t>
            </w:r>
          </w:p>
        </w:tc>
      </w:tr>
      <w:tr w:rsidR="000E483B" w14:paraId="064167AD" w14:textId="77777777" w:rsidTr="004D6FD4">
        <w:trPr>
          <w:trHeight w:hRule="exact" w:val="796"/>
        </w:trPr>
        <w:tc>
          <w:tcPr>
            <w:tcW w:w="2791" w:type="dxa"/>
            <w:tcBorders>
              <w:top w:val="single" w:sz="6" w:space="0" w:color="000000"/>
              <w:left w:val="single" w:sz="6" w:space="0" w:color="000000"/>
              <w:bottom w:val="single" w:sz="6" w:space="0" w:color="000000"/>
              <w:right w:val="single" w:sz="6" w:space="0" w:color="000000"/>
            </w:tcBorders>
          </w:tcPr>
          <w:p w14:paraId="2306B285" w14:textId="77777777" w:rsidR="000E483B" w:rsidRDefault="000E483B" w:rsidP="00C85373">
            <w:pPr>
              <w:pStyle w:val="TableParagraph"/>
              <w:spacing w:line="247" w:lineRule="auto"/>
              <w:ind w:left="105" w:right="1259"/>
              <w:rPr>
                <w:rFonts w:ascii="Arial" w:eastAsia="Arial" w:hAnsi="Arial" w:cs="Arial"/>
                <w:sz w:val="24"/>
                <w:szCs w:val="24"/>
              </w:rPr>
            </w:pPr>
            <w:r>
              <w:rPr>
                <w:rFonts w:ascii="Arial"/>
                <w:sz w:val="24"/>
              </w:rPr>
              <w:t>Duration of</w:t>
            </w:r>
            <w:r>
              <w:rPr>
                <w:rFonts w:ascii="Arial"/>
                <w:spacing w:val="1"/>
                <w:sz w:val="24"/>
              </w:rPr>
              <w:t xml:space="preserve"> </w:t>
            </w:r>
            <w:r>
              <w:rPr>
                <w:rFonts w:ascii="Arial"/>
                <w:sz w:val="24"/>
              </w:rPr>
              <w:t>the processing</w:t>
            </w:r>
          </w:p>
        </w:tc>
        <w:tc>
          <w:tcPr>
            <w:tcW w:w="6741" w:type="dxa"/>
            <w:tcBorders>
              <w:top w:val="single" w:sz="6" w:space="0" w:color="000000"/>
              <w:left w:val="single" w:sz="6" w:space="0" w:color="000000"/>
              <w:bottom w:val="single" w:sz="6" w:space="0" w:color="000000"/>
              <w:right w:val="single" w:sz="6" w:space="0" w:color="000000"/>
            </w:tcBorders>
          </w:tcPr>
          <w:p w14:paraId="1563EC45" w14:textId="77777777" w:rsidR="000E483B" w:rsidRDefault="000E483B" w:rsidP="00C85373">
            <w:pPr>
              <w:pStyle w:val="TableParagraph"/>
              <w:spacing w:line="247" w:lineRule="auto"/>
              <w:ind w:left="105" w:right="770"/>
              <w:rPr>
                <w:rFonts w:ascii="Arial" w:eastAsia="Arial" w:hAnsi="Arial" w:cs="Arial"/>
                <w:sz w:val="24"/>
                <w:szCs w:val="24"/>
              </w:rPr>
            </w:pPr>
            <w:r>
              <w:rPr>
                <w:rFonts w:ascii="Arial"/>
                <w:i/>
                <w:sz w:val="24"/>
              </w:rPr>
              <w:t>[Clearly set out the duration of the processing</w:t>
            </w:r>
            <w:r>
              <w:rPr>
                <w:rFonts w:ascii="Arial"/>
                <w:i/>
                <w:spacing w:val="5"/>
                <w:sz w:val="24"/>
              </w:rPr>
              <w:t xml:space="preserve"> </w:t>
            </w:r>
            <w:r>
              <w:rPr>
                <w:rFonts w:ascii="Arial"/>
                <w:i/>
                <w:sz w:val="24"/>
              </w:rPr>
              <w:t>including dates]</w:t>
            </w:r>
          </w:p>
        </w:tc>
      </w:tr>
      <w:tr w:rsidR="000E483B" w14:paraId="5B885A5F" w14:textId="77777777" w:rsidTr="004D6FD4">
        <w:trPr>
          <w:trHeight w:hRule="exact" w:val="3813"/>
        </w:trPr>
        <w:tc>
          <w:tcPr>
            <w:tcW w:w="2791" w:type="dxa"/>
            <w:tcBorders>
              <w:top w:val="single" w:sz="6" w:space="0" w:color="000000"/>
              <w:left w:val="single" w:sz="6" w:space="0" w:color="000000"/>
              <w:bottom w:val="single" w:sz="6" w:space="0" w:color="000000"/>
              <w:right w:val="single" w:sz="6" w:space="0" w:color="000000"/>
            </w:tcBorders>
          </w:tcPr>
          <w:p w14:paraId="07EE2D2B" w14:textId="77777777" w:rsidR="000E483B" w:rsidRDefault="000E483B" w:rsidP="00C85373">
            <w:pPr>
              <w:pStyle w:val="TableParagraph"/>
              <w:spacing w:line="247" w:lineRule="auto"/>
              <w:ind w:left="105" w:right="326"/>
              <w:rPr>
                <w:rFonts w:ascii="Arial" w:eastAsia="Arial" w:hAnsi="Arial" w:cs="Arial"/>
                <w:sz w:val="24"/>
                <w:szCs w:val="24"/>
              </w:rPr>
            </w:pPr>
            <w:r>
              <w:rPr>
                <w:rFonts w:ascii="Arial"/>
                <w:sz w:val="24"/>
              </w:rPr>
              <w:lastRenderedPageBreak/>
              <w:t>Nature and purposes</w:t>
            </w:r>
            <w:r>
              <w:rPr>
                <w:rFonts w:ascii="Arial"/>
                <w:spacing w:val="2"/>
                <w:sz w:val="24"/>
              </w:rPr>
              <w:t xml:space="preserve"> </w:t>
            </w:r>
            <w:r>
              <w:rPr>
                <w:rFonts w:ascii="Arial"/>
                <w:sz w:val="24"/>
              </w:rPr>
              <w:t>of the</w:t>
            </w:r>
            <w:r>
              <w:rPr>
                <w:rFonts w:ascii="Arial"/>
                <w:spacing w:val="1"/>
                <w:sz w:val="24"/>
              </w:rPr>
              <w:t xml:space="preserve"> </w:t>
            </w:r>
            <w:r>
              <w:rPr>
                <w:rFonts w:ascii="Arial"/>
                <w:sz w:val="24"/>
              </w:rPr>
              <w:t>processing</w:t>
            </w:r>
          </w:p>
        </w:tc>
        <w:tc>
          <w:tcPr>
            <w:tcW w:w="6741" w:type="dxa"/>
            <w:tcBorders>
              <w:top w:val="single" w:sz="6" w:space="0" w:color="000000"/>
              <w:left w:val="single" w:sz="6" w:space="0" w:color="000000"/>
              <w:bottom w:val="single" w:sz="6" w:space="0" w:color="000000"/>
              <w:right w:val="single" w:sz="6" w:space="0" w:color="000000"/>
            </w:tcBorders>
          </w:tcPr>
          <w:p w14:paraId="23C23A0A" w14:textId="77777777" w:rsidR="000E483B" w:rsidRDefault="000E483B" w:rsidP="00C85373">
            <w:pPr>
              <w:pStyle w:val="TableParagraph"/>
              <w:spacing w:line="247" w:lineRule="auto"/>
              <w:ind w:left="105" w:right="450"/>
              <w:rPr>
                <w:rFonts w:ascii="Arial" w:eastAsia="Arial" w:hAnsi="Arial" w:cs="Arial"/>
                <w:sz w:val="24"/>
                <w:szCs w:val="24"/>
              </w:rPr>
            </w:pPr>
            <w:r>
              <w:rPr>
                <w:rFonts w:ascii="Arial"/>
                <w:i/>
                <w:sz w:val="24"/>
              </w:rPr>
              <w:t>[Please be as specific as possible, but make sure that</w:t>
            </w:r>
            <w:r>
              <w:rPr>
                <w:rFonts w:ascii="Arial"/>
                <w:i/>
                <w:spacing w:val="5"/>
                <w:sz w:val="24"/>
              </w:rPr>
              <w:t xml:space="preserve"> </w:t>
            </w:r>
            <w:r>
              <w:rPr>
                <w:rFonts w:ascii="Arial"/>
                <w:i/>
                <w:sz w:val="24"/>
              </w:rPr>
              <w:t>you cover all intended</w:t>
            </w:r>
            <w:r>
              <w:rPr>
                <w:rFonts w:ascii="Arial"/>
                <w:i/>
                <w:spacing w:val="2"/>
                <w:sz w:val="24"/>
              </w:rPr>
              <w:t xml:space="preserve"> </w:t>
            </w:r>
            <w:r>
              <w:rPr>
                <w:rFonts w:ascii="Arial"/>
                <w:i/>
                <w:sz w:val="24"/>
              </w:rPr>
              <w:t>purposes.</w:t>
            </w:r>
          </w:p>
          <w:p w14:paraId="6A50E6D7" w14:textId="6C50C02E" w:rsidR="000E483B" w:rsidRDefault="000E483B" w:rsidP="00C85373">
            <w:pPr>
              <w:pStyle w:val="TableParagraph"/>
              <w:spacing w:before="211" w:line="247" w:lineRule="auto"/>
              <w:ind w:left="105" w:right="276"/>
              <w:rPr>
                <w:rFonts w:ascii="Arial" w:eastAsia="Arial" w:hAnsi="Arial" w:cs="Arial"/>
                <w:sz w:val="24"/>
                <w:szCs w:val="24"/>
              </w:rPr>
            </w:pPr>
            <w:r>
              <w:rPr>
                <w:rFonts w:ascii="Arial"/>
                <w:i/>
                <w:sz w:val="24"/>
              </w:rPr>
              <w:t>The nature of the processing means any operation such</w:t>
            </w:r>
            <w:r>
              <w:rPr>
                <w:rFonts w:ascii="Arial"/>
                <w:i/>
                <w:spacing w:val="4"/>
                <w:sz w:val="24"/>
              </w:rPr>
              <w:t xml:space="preserve"> </w:t>
            </w:r>
            <w:r>
              <w:rPr>
                <w:rFonts w:ascii="Arial"/>
                <w:i/>
                <w:sz w:val="24"/>
              </w:rPr>
              <w:t>as collection, recording, organisation, structuring, storage,</w:t>
            </w:r>
            <w:r>
              <w:rPr>
                <w:rFonts w:ascii="Arial"/>
                <w:i/>
                <w:spacing w:val="-62"/>
                <w:sz w:val="24"/>
              </w:rPr>
              <w:t xml:space="preserve"> </w:t>
            </w:r>
            <w:r>
              <w:rPr>
                <w:rFonts w:ascii="Arial"/>
                <w:i/>
                <w:sz w:val="24"/>
              </w:rPr>
              <w:t>adaptation or alteration, retrieval, consultation, use,</w:t>
            </w:r>
            <w:r>
              <w:rPr>
                <w:rFonts w:ascii="Arial"/>
                <w:i/>
                <w:spacing w:val="-62"/>
                <w:sz w:val="24"/>
              </w:rPr>
              <w:t xml:space="preserve"> </w:t>
            </w:r>
            <w:r>
              <w:rPr>
                <w:rFonts w:ascii="Arial"/>
                <w:i/>
                <w:sz w:val="24"/>
              </w:rPr>
              <w:t>disclosure by transmission, dissemination or otherwise</w:t>
            </w:r>
            <w:r>
              <w:rPr>
                <w:rFonts w:ascii="Arial"/>
                <w:i/>
                <w:spacing w:val="-62"/>
                <w:sz w:val="24"/>
              </w:rPr>
              <w:t xml:space="preserve"> </w:t>
            </w:r>
            <w:r>
              <w:rPr>
                <w:rFonts w:ascii="Arial"/>
                <w:i/>
                <w:sz w:val="24"/>
              </w:rPr>
              <w:t>making available, alignment or combination, restriction,</w:t>
            </w:r>
            <w:r>
              <w:rPr>
                <w:rFonts w:ascii="Arial"/>
                <w:i/>
                <w:spacing w:val="-62"/>
                <w:sz w:val="24"/>
              </w:rPr>
              <w:t xml:space="preserve"> </w:t>
            </w:r>
            <w:r w:rsidR="00243002">
              <w:rPr>
                <w:rFonts w:ascii="Arial"/>
                <w:i/>
                <w:sz w:val="24"/>
              </w:rPr>
              <w:t>erasure,</w:t>
            </w:r>
            <w:r>
              <w:rPr>
                <w:rFonts w:ascii="Arial"/>
                <w:i/>
                <w:sz w:val="24"/>
              </w:rPr>
              <w:t xml:space="preserve"> or destruction of data (whether or not by</w:t>
            </w:r>
            <w:r>
              <w:rPr>
                <w:rFonts w:ascii="Arial"/>
                <w:i/>
                <w:spacing w:val="5"/>
                <w:sz w:val="24"/>
              </w:rPr>
              <w:t xml:space="preserve"> </w:t>
            </w:r>
            <w:r>
              <w:rPr>
                <w:rFonts w:ascii="Arial"/>
                <w:i/>
                <w:sz w:val="24"/>
              </w:rPr>
              <w:t>automated means)</w:t>
            </w:r>
            <w:r>
              <w:rPr>
                <w:rFonts w:ascii="Arial"/>
                <w:i/>
                <w:spacing w:val="1"/>
                <w:sz w:val="24"/>
              </w:rPr>
              <w:t xml:space="preserve"> </w:t>
            </w:r>
            <w:r>
              <w:rPr>
                <w:rFonts w:ascii="Arial"/>
                <w:i/>
                <w:sz w:val="24"/>
              </w:rPr>
              <w:t>etc.</w:t>
            </w:r>
          </w:p>
          <w:p w14:paraId="7C8BF27A" w14:textId="4A32872D" w:rsidR="000E483B" w:rsidRDefault="000E483B" w:rsidP="00C85373">
            <w:pPr>
              <w:pStyle w:val="TableParagraph"/>
              <w:spacing w:before="211" w:line="247" w:lineRule="auto"/>
              <w:ind w:left="105" w:right="1052"/>
              <w:rPr>
                <w:rFonts w:ascii="Arial" w:eastAsia="Arial" w:hAnsi="Arial" w:cs="Arial"/>
                <w:sz w:val="24"/>
                <w:szCs w:val="24"/>
              </w:rPr>
            </w:pPr>
            <w:r>
              <w:rPr>
                <w:rFonts w:ascii="Arial"/>
                <w:i/>
                <w:sz w:val="24"/>
              </w:rPr>
              <w:t xml:space="preserve">The purpose might </w:t>
            </w:r>
            <w:r w:rsidR="00243002">
              <w:rPr>
                <w:rFonts w:ascii="Arial"/>
                <w:i/>
                <w:sz w:val="24"/>
              </w:rPr>
              <w:t>include</w:t>
            </w:r>
            <w:r>
              <w:rPr>
                <w:rFonts w:ascii="Arial"/>
                <w:i/>
                <w:sz w:val="24"/>
              </w:rPr>
              <w:t xml:space="preserve"> employment</w:t>
            </w:r>
            <w:r>
              <w:rPr>
                <w:rFonts w:ascii="Arial"/>
                <w:i/>
                <w:spacing w:val="4"/>
                <w:sz w:val="24"/>
              </w:rPr>
              <w:t xml:space="preserve"> </w:t>
            </w:r>
            <w:r>
              <w:rPr>
                <w:rFonts w:ascii="Arial"/>
                <w:i/>
                <w:sz w:val="24"/>
              </w:rPr>
              <w:t>processing, statutory obligation, recruitment assessment</w:t>
            </w:r>
            <w:r>
              <w:rPr>
                <w:rFonts w:ascii="Arial"/>
                <w:i/>
                <w:spacing w:val="4"/>
                <w:sz w:val="24"/>
              </w:rPr>
              <w:t xml:space="preserve"> </w:t>
            </w:r>
            <w:r>
              <w:rPr>
                <w:rFonts w:ascii="Arial"/>
                <w:i/>
                <w:sz w:val="24"/>
              </w:rPr>
              <w:t>etc]</w:t>
            </w:r>
          </w:p>
        </w:tc>
      </w:tr>
      <w:tr w:rsidR="000E483B" w14:paraId="0ABEF58D" w14:textId="77777777" w:rsidTr="004D6FD4">
        <w:trPr>
          <w:trHeight w:hRule="exact" w:val="856"/>
        </w:trPr>
        <w:tc>
          <w:tcPr>
            <w:tcW w:w="2791" w:type="dxa"/>
            <w:tcBorders>
              <w:top w:val="single" w:sz="6" w:space="0" w:color="000000"/>
              <w:left w:val="single" w:sz="6" w:space="0" w:color="000000"/>
              <w:bottom w:val="single" w:sz="6" w:space="0" w:color="000000"/>
              <w:right w:val="single" w:sz="6" w:space="0" w:color="000000"/>
            </w:tcBorders>
          </w:tcPr>
          <w:p w14:paraId="0E6DF1C6" w14:textId="77777777" w:rsidR="000E483B" w:rsidRDefault="000E483B" w:rsidP="00C85373">
            <w:pPr>
              <w:pStyle w:val="TableParagraph"/>
              <w:ind w:left="105"/>
              <w:rPr>
                <w:rFonts w:ascii="Arial" w:eastAsia="Arial" w:hAnsi="Arial" w:cs="Arial"/>
                <w:sz w:val="24"/>
                <w:szCs w:val="24"/>
              </w:rPr>
            </w:pPr>
            <w:r>
              <w:rPr>
                <w:rFonts w:ascii="Arial"/>
                <w:sz w:val="24"/>
              </w:rPr>
              <w:t>Type of Personal</w:t>
            </w:r>
            <w:r>
              <w:rPr>
                <w:rFonts w:ascii="Arial"/>
                <w:spacing w:val="2"/>
                <w:sz w:val="24"/>
              </w:rPr>
              <w:t xml:space="preserve"> </w:t>
            </w:r>
            <w:r>
              <w:rPr>
                <w:rFonts w:ascii="Arial"/>
                <w:sz w:val="24"/>
              </w:rPr>
              <w:t>Data</w:t>
            </w:r>
          </w:p>
        </w:tc>
        <w:tc>
          <w:tcPr>
            <w:tcW w:w="6741" w:type="dxa"/>
            <w:tcBorders>
              <w:top w:val="single" w:sz="6" w:space="0" w:color="000000"/>
              <w:left w:val="single" w:sz="6" w:space="0" w:color="000000"/>
              <w:bottom w:val="single" w:sz="6" w:space="0" w:color="000000"/>
              <w:right w:val="single" w:sz="6" w:space="0" w:color="000000"/>
            </w:tcBorders>
          </w:tcPr>
          <w:p w14:paraId="367E4F52" w14:textId="0B590642" w:rsidR="000E483B" w:rsidRDefault="000E483B" w:rsidP="00C85373">
            <w:pPr>
              <w:pStyle w:val="TableParagraph"/>
              <w:spacing w:line="247" w:lineRule="auto"/>
              <w:ind w:left="105" w:right="209"/>
              <w:rPr>
                <w:rFonts w:ascii="Arial" w:eastAsia="Arial" w:hAnsi="Arial" w:cs="Arial"/>
                <w:sz w:val="24"/>
                <w:szCs w:val="24"/>
              </w:rPr>
            </w:pPr>
            <w:r>
              <w:rPr>
                <w:rFonts w:ascii="Arial"/>
                <w:i/>
                <w:sz w:val="24"/>
              </w:rPr>
              <w:t>[Examples here include: name, address, date of birth, NI</w:t>
            </w:r>
            <w:r>
              <w:rPr>
                <w:rFonts w:ascii="Arial"/>
                <w:i/>
                <w:spacing w:val="-62"/>
                <w:sz w:val="24"/>
              </w:rPr>
              <w:t xml:space="preserve"> </w:t>
            </w:r>
            <w:r>
              <w:rPr>
                <w:rFonts w:ascii="Arial"/>
                <w:i/>
                <w:sz w:val="24"/>
              </w:rPr>
              <w:t>number, telephone number, pay, images, biometric data</w:t>
            </w:r>
            <w:r>
              <w:rPr>
                <w:rFonts w:ascii="Arial"/>
                <w:i/>
                <w:spacing w:val="5"/>
                <w:sz w:val="24"/>
              </w:rPr>
              <w:t xml:space="preserve"> </w:t>
            </w:r>
            <w:r w:rsidR="00243002">
              <w:rPr>
                <w:rFonts w:ascii="Arial"/>
                <w:i/>
                <w:sz w:val="24"/>
              </w:rPr>
              <w:t>etc.</w:t>
            </w:r>
            <w:r>
              <w:rPr>
                <w:rFonts w:ascii="Arial"/>
                <w:i/>
                <w:sz w:val="24"/>
              </w:rPr>
              <w:t>]</w:t>
            </w:r>
          </w:p>
        </w:tc>
      </w:tr>
      <w:tr w:rsidR="000E483B" w14:paraId="25F45E0F" w14:textId="77777777" w:rsidTr="004D6FD4">
        <w:trPr>
          <w:trHeight w:hRule="exact" w:val="1366"/>
        </w:trPr>
        <w:tc>
          <w:tcPr>
            <w:tcW w:w="2791" w:type="dxa"/>
            <w:tcBorders>
              <w:top w:val="single" w:sz="6" w:space="0" w:color="000000"/>
              <w:left w:val="single" w:sz="6" w:space="0" w:color="000000"/>
              <w:bottom w:val="single" w:sz="6" w:space="0" w:color="000000"/>
              <w:right w:val="single" w:sz="6" w:space="0" w:color="000000"/>
            </w:tcBorders>
          </w:tcPr>
          <w:p w14:paraId="18F10DD0" w14:textId="77777777" w:rsidR="000E483B" w:rsidRDefault="000E483B" w:rsidP="00C85373">
            <w:pPr>
              <w:pStyle w:val="TableParagraph"/>
              <w:spacing w:line="247" w:lineRule="auto"/>
              <w:ind w:left="105" w:right="832"/>
              <w:rPr>
                <w:rFonts w:ascii="Arial" w:eastAsia="Arial" w:hAnsi="Arial" w:cs="Arial"/>
                <w:sz w:val="24"/>
                <w:szCs w:val="24"/>
              </w:rPr>
            </w:pPr>
            <w:r>
              <w:rPr>
                <w:rFonts w:ascii="Arial"/>
                <w:sz w:val="24"/>
              </w:rPr>
              <w:t>Categories of</w:t>
            </w:r>
            <w:r>
              <w:rPr>
                <w:rFonts w:ascii="Arial"/>
                <w:spacing w:val="1"/>
                <w:sz w:val="24"/>
              </w:rPr>
              <w:t xml:space="preserve"> </w:t>
            </w:r>
            <w:r>
              <w:rPr>
                <w:rFonts w:ascii="Arial"/>
                <w:sz w:val="24"/>
              </w:rPr>
              <w:t>Data Subject</w:t>
            </w:r>
          </w:p>
        </w:tc>
        <w:tc>
          <w:tcPr>
            <w:tcW w:w="6741" w:type="dxa"/>
            <w:tcBorders>
              <w:top w:val="single" w:sz="6" w:space="0" w:color="000000"/>
              <w:left w:val="single" w:sz="6" w:space="0" w:color="000000"/>
              <w:bottom w:val="single" w:sz="6" w:space="0" w:color="000000"/>
              <w:right w:val="single" w:sz="6" w:space="0" w:color="000000"/>
            </w:tcBorders>
          </w:tcPr>
          <w:p w14:paraId="2FCE9FCF" w14:textId="77777777" w:rsidR="000E483B" w:rsidRDefault="000E483B" w:rsidP="00C85373">
            <w:pPr>
              <w:pStyle w:val="TableParagraph"/>
              <w:spacing w:line="247" w:lineRule="auto"/>
              <w:ind w:left="105" w:right="143"/>
              <w:rPr>
                <w:rFonts w:ascii="Arial" w:eastAsia="Arial" w:hAnsi="Arial" w:cs="Arial"/>
                <w:sz w:val="24"/>
                <w:szCs w:val="24"/>
              </w:rPr>
            </w:pPr>
            <w:r>
              <w:rPr>
                <w:rFonts w:ascii="Arial"/>
                <w:i/>
                <w:sz w:val="24"/>
              </w:rPr>
              <w:t xml:space="preserve">[Examples </w:t>
            </w:r>
            <w:proofErr w:type="gramStart"/>
            <w:r>
              <w:rPr>
                <w:rFonts w:ascii="Arial"/>
                <w:i/>
                <w:sz w:val="24"/>
              </w:rPr>
              <w:t>include:</w:t>
            </w:r>
            <w:proofErr w:type="gramEnd"/>
            <w:r>
              <w:rPr>
                <w:rFonts w:ascii="Arial"/>
                <w:i/>
                <w:sz w:val="24"/>
              </w:rPr>
              <w:t xml:space="preserve"> Staff (including volunteers, agents, and</w:t>
            </w:r>
            <w:r>
              <w:rPr>
                <w:rFonts w:ascii="Arial"/>
                <w:i/>
                <w:spacing w:val="-61"/>
                <w:sz w:val="24"/>
              </w:rPr>
              <w:t xml:space="preserve"> </w:t>
            </w:r>
            <w:r>
              <w:rPr>
                <w:rFonts w:ascii="Arial"/>
                <w:i/>
                <w:sz w:val="24"/>
              </w:rPr>
              <w:t>temporary workers), customers/ clients, suppliers, patients,</w:t>
            </w:r>
            <w:r>
              <w:rPr>
                <w:rFonts w:ascii="Arial"/>
                <w:i/>
                <w:spacing w:val="-62"/>
                <w:sz w:val="24"/>
              </w:rPr>
              <w:t xml:space="preserve"> </w:t>
            </w:r>
            <w:r>
              <w:rPr>
                <w:rFonts w:ascii="Arial"/>
                <w:i/>
                <w:sz w:val="24"/>
              </w:rPr>
              <w:t>students / pupils, members of the public, users of a</w:t>
            </w:r>
            <w:r>
              <w:rPr>
                <w:rFonts w:ascii="Arial"/>
                <w:i/>
                <w:spacing w:val="5"/>
                <w:sz w:val="24"/>
              </w:rPr>
              <w:t xml:space="preserve"> </w:t>
            </w:r>
            <w:r>
              <w:rPr>
                <w:rFonts w:ascii="Arial"/>
                <w:i/>
                <w:sz w:val="24"/>
              </w:rPr>
              <w:t>particular website</w:t>
            </w:r>
            <w:r>
              <w:rPr>
                <w:rFonts w:ascii="Arial"/>
                <w:i/>
                <w:spacing w:val="1"/>
                <w:sz w:val="24"/>
              </w:rPr>
              <w:t xml:space="preserve"> </w:t>
            </w:r>
            <w:proofErr w:type="spellStart"/>
            <w:r>
              <w:rPr>
                <w:rFonts w:ascii="Arial"/>
                <w:i/>
                <w:sz w:val="24"/>
              </w:rPr>
              <w:t>etc</w:t>
            </w:r>
            <w:proofErr w:type="spellEnd"/>
            <w:r>
              <w:rPr>
                <w:rFonts w:ascii="Arial"/>
                <w:i/>
                <w:sz w:val="24"/>
              </w:rPr>
              <w:t>]</w:t>
            </w:r>
          </w:p>
        </w:tc>
      </w:tr>
      <w:tr w:rsidR="000E483B" w14:paraId="22FE4A65" w14:textId="77777777" w:rsidTr="004D6FD4">
        <w:trPr>
          <w:trHeight w:hRule="exact" w:val="2507"/>
        </w:trPr>
        <w:tc>
          <w:tcPr>
            <w:tcW w:w="2791" w:type="dxa"/>
            <w:tcBorders>
              <w:top w:val="single" w:sz="6" w:space="0" w:color="000000"/>
              <w:left w:val="single" w:sz="6" w:space="0" w:color="000000"/>
              <w:bottom w:val="single" w:sz="6" w:space="0" w:color="000000"/>
              <w:right w:val="single" w:sz="6" w:space="0" w:color="000000"/>
            </w:tcBorders>
          </w:tcPr>
          <w:p w14:paraId="06216921" w14:textId="77777777" w:rsidR="000E483B" w:rsidRDefault="000E483B" w:rsidP="00C85373">
            <w:pPr>
              <w:pStyle w:val="TableParagraph"/>
              <w:spacing w:line="247" w:lineRule="auto"/>
              <w:ind w:left="105" w:right="218"/>
              <w:rPr>
                <w:rFonts w:ascii="Arial" w:eastAsia="Arial" w:hAnsi="Arial" w:cs="Arial"/>
                <w:sz w:val="24"/>
                <w:szCs w:val="24"/>
              </w:rPr>
            </w:pPr>
            <w:r>
              <w:rPr>
                <w:rFonts w:ascii="Arial"/>
                <w:sz w:val="24"/>
              </w:rPr>
              <w:t>Plan for return and destruction of the data once the processing</w:t>
            </w:r>
            <w:r>
              <w:rPr>
                <w:rFonts w:ascii="Arial"/>
                <w:spacing w:val="1"/>
                <w:sz w:val="24"/>
              </w:rPr>
              <w:t xml:space="preserve"> </w:t>
            </w:r>
            <w:r>
              <w:rPr>
                <w:rFonts w:ascii="Arial"/>
                <w:sz w:val="24"/>
              </w:rPr>
              <w:t>is complete UNLESS requirement under</w:t>
            </w:r>
            <w:r>
              <w:rPr>
                <w:rFonts w:ascii="Arial"/>
                <w:spacing w:val="2"/>
                <w:sz w:val="24"/>
              </w:rPr>
              <w:t xml:space="preserve"> </w:t>
            </w:r>
            <w:r>
              <w:rPr>
                <w:rFonts w:ascii="Arial"/>
                <w:sz w:val="24"/>
              </w:rPr>
              <w:t>union or member state law</w:t>
            </w:r>
            <w:r>
              <w:rPr>
                <w:rFonts w:ascii="Arial"/>
                <w:spacing w:val="1"/>
                <w:sz w:val="24"/>
              </w:rPr>
              <w:t xml:space="preserve"> </w:t>
            </w:r>
            <w:r>
              <w:rPr>
                <w:rFonts w:ascii="Arial"/>
                <w:sz w:val="24"/>
              </w:rPr>
              <w:t>to preserve that type of data</w:t>
            </w:r>
          </w:p>
        </w:tc>
        <w:tc>
          <w:tcPr>
            <w:tcW w:w="6741" w:type="dxa"/>
            <w:tcBorders>
              <w:top w:val="single" w:sz="6" w:space="0" w:color="000000"/>
              <w:left w:val="single" w:sz="6" w:space="0" w:color="000000"/>
              <w:bottom w:val="single" w:sz="6" w:space="0" w:color="000000"/>
              <w:right w:val="single" w:sz="6" w:space="0" w:color="000000"/>
            </w:tcBorders>
          </w:tcPr>
          <w:p w14:paraId="4DE21DE9" w14:textId="77777777" w:rsidR="000E483B" w:rsidRDefault="000E483B" w:rsidP="00C85373">
            <w:pPr>
              <w:pStyle w:val="TableParagraph"/>
              <w:spacing w:line="247" w:lineRule="auto"/>
              <w:ind w:left="105" w:right="530"/>
              <w:rPr>
                <w:rFonts w:ascii="Arial" w:eastAsia="Arial" w:hAnsi="Arial" w:cs="Arial"/>
                <w:sz w:val="24"/>
                <w:szCs w:val="24"/>
              </w:rPr>
            </w:pPr>
            <w:r>
              <w:rPr>
                <w:rFonts w:ascii="Arial"/>
                <w:i/>
                <w:sz w:val="24"/>
              </w:rPr>
              <w:t>[Describe how long the data will be retained for, how it</w:t>
            </w:r>
            <w:r>
              <w:rPr>
                <w:rFonts w:ascii="Arial"/>
                <w:i/>
                <w:spacing w:val="5"/>
                <w:sz w:val="24"/>
              </w:rPr>
              <w:t xml:space="preserve"> </w:t>
            </w:r>
            <w:r>
              <w:rPr>
                <w:rFonts w:ascii="Arial"/>
                <w:i/>
                <w:sz w:val="24"/>
              </w:rPr>
              <w:t>be returned or</w:t>
            </w:r>
            <w:r>
              <w:rPr>
                <w:rFonts w:ascii="Arial"/>
                <w:i/>
                <w:spacing w:val="2"/>
                <w:sz w:val="24"/>
              </w:rPr>
              <w:t xml:space="preserve"> </w:t>
            </w:r>
            <w:r>
              <w:rPr>
                <w:rFonts w:ascii="Arial"/>
                <w:i/>
                <w:sz w:val="24"/>
              </w:rPr>
              <w:t>destroyed]</w:t>
            </w:r>
          </w:p>
        </w:tc>
      </w:tr>
    </w:tbl>
    <w:p w14:paraId="19219836" w14:textId="77777777" w:rsidR="000E483B" w:rsidRPr="000E483B" w:rsidRDefault="000E483B" w:rsidP="00C85373">
      <w:pPr>
        <w:keepNext/>
        <w:spacing w:before="240" w:after="60"/>
        <w:jc w:val="both"/>
        <w:outlineLvl w:val="0"/>
        <w:rPr>
          <w:rFonts w:cs="Arial"/>
          <w:b/>
          <w:bCs/>
          <w:kern w:val="32"/>
          <w:sz w:val="32"/>
          <w:szCs w:val="32"/>
        </w:rPr>
      </w:pPr>
    </w:p>
    <w:sectPr w:rsidR="000E483B" w:rsidRPr="000E483B" w:rsidSect="00393DE8">
      <w:headerReference w:type="default" r:id="rId15"/>
      <w:footerReference w:type="default" r:id="rId16"/>
      <w:type w:val="continuous"/>
      <w:pgSz w:w="11906" w:h="16838"/>
      <w:pgMar w:top="2694" w:right="991" w:bottom="170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EF7D" w14:textId="77777777" w:rsidR="008A491C" w:rsidRDefault="008A491C">
      <w:r>
        <w:separator/>
      </w:r>
    </w:p>
  </w:endnote>
  <w:endnote w:type="continuationSeparator" w:id="0">
    <w:p w14:paraId="7194DBDC" w14:textId="77777777" w:rsidR="008A491C" w:rsidRDefault="008A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B60E" w14:textId="0570A831" w:rsidR="00ED2D93" w:rsidRPr="00F45BF6" w:rsidRDefault="00ED2D93" w:rsidP="002C05B3">
    <w:pPr>
      <w:pStyle w:val="Footer"/>
      <w:rPr>
        <w:sz w:val="16"/>
        <w:szCs w:val="16"/>
      </w:rPr>
    </w:pPr>
    <w:r>
      <w:rPr>
        <w:sz w:val="16"/>
        <w:szCs w:val="16"/>
      </w:rPr>
      <w:tab/>
    </w:r>
    <w:r>
      <w:rPr>
        <w:sz w:val="16"/>
        <w:szCs w:val="16"/>
      </w:rPr>
      <w:tab/>
    </w:r>
    <w:r>
      <w:rPr>
        <w:sz w:val="16"/>
        <w:szCs w:val="16"/>
      </w:rPr>
      <w:tab/>
    </w:r>
    <w:r>
      <w:rPr>
        <w:sz w:val="16"/>
        <w:szCs w:val="16"/>
      </w:rPr>
      <w:tab/>
    </w:r>
    <w:r w:rsidRPr="00F45BF6">
      <w:rPr>
        <w:sz w:val="16"/>
        <w:szCs w:val="16"/>
      </w:rPr>
      <w:t xml:space="preserve">Page </w:t>
    </w:r>
    <w:r w:rsidR="000D67A0" w:rsidRPr="00F45BF6">
      <w:rPr>
        <w:sz w:val="16"/>
        <w:szCs w:val="16"/>
      </w:rPr>
      <w:fldChar w:fldCharType="begin"/>
    </w:r>
    <w:r w:rsidRPr="00F45BF6">
      <w:rPr>
        <w:sz w:val="16"/>
        <w:szCs w:val="16"/>
      </w:rPr>
      <w:instrText xml:space="preserve"> PAGE </w:instrText>
    </w:r>
    <w:r w:rsidR="000D67A0" w:rsidRPr="00F45BF6">
      <w:rPr>
        <w:sz w:val="16"/>
        <w:szCs w:val="16"/>
      </w:rPr>
      <w:fldChar w:fldCharType="separate"/>
    </w:r>
    <w:r w:rsidR="004A1F9A">
      <w:rPr>
        <w:noProof/>
        <w:sz w:val="16"/>
        <w:szCs w:val="16"/>
      </w:rPr>
      <w:t>5</w:t>
    </w:r>
    <w:r w:rsidR="000D67A0" w:rsidRPr="00F45BF6">
      <w:rPr>
        <w:sz w:val="16"/>
        <w:szCs w:val="16"/>
      </w:rPr>
      <w:fldChar w:fldCharType="end"/>
    </w:r>
    <w:r w:rsidRPr="00F45BF6">
      <w:rPr>
        <w:sz w:val="16"/>
        <w:szCs w:val="16"/>
      </w:rPr>
      <w:t xml:space="preserve"> of </w:t>
    </w:r>
    <w:r w:rsidR="000D67A0" w:rsidRPr="00F45BF6">
      <w:rPr>
        <w:sz w:val="16"/>
        <w:szCs w:val="16"/>
      </w:rPr>
      <w:fldChar w:fldCharType="begin"/>
    </w:r>
    <w:r w:rsidRPr="00F45BF6">
      <w:rPr>
        <w:sz w:val="16"/>
        <w:szCs w:val="16"/>
      </w:rPr>
      <w:instrText xml:space="preserve"> NUMPAGES </w:instrText>
    </w:r>
    <w:r w:rsidR="000D67A0" w:rsidRPr="00F45BF6">
      <w:rPr>
        <w:sz w:val="16"/>
        <w:szCs w:val="16"/>
      </w:rPr>
      <w:fldChar w:fldCharType="separate"/>
    </w:r>
    <w:r w:rsidR="004A1F9A">
      <w:rPr>
        <w:noProof/>
        <w:sz w:val="16"/>
        <w:szCs w:val="16"/>
      </w:rPr>
      <w:t>5</w:t>
    </w:r>
    <w:r w:rsidR="000D67A0" w:rsidRPr="00F45BF6">
      <w:rPr>
        <w:sz w:val="16"/>
        <w:szCs w:val="16"/>
      </w:rPr>
      <w:fldChar w:fldCharType="end"/>
    </w:r>
  </w:p>
  <w:p w14:paraId="769D0D3C" w14:textId="77777777" w:rsidR="00ED2D93" w:rsidRDefault="00ED2D93">
    <w:pPr>
      <w:pStyle w:val="Footer"/>
      <w:rPr>
        <w:sz w:val="16"/>
        <w:szCs w:val="16"/>
      </w:rPr>
    </w:pPr>
  </w:p>
  <w:p w14:paraId="3957659A" w14:textId="4DC25AB5" w:rsidR="00ED2D93" w:rsidRDefault="000D67A0">
    <w:pPr>
      <w:pStyle w:val="Footer"/>
      <w:rPr>
        <w:sz w:val="16"/>
        <w:szCs w:val="16"/>
      </w:rPr>
    </w:pPr>
    <w:r w:rsidRPr="000A6E7E">
      <w:rPr>
        <w:sz w:val="16"/>
        <w:szCs w:val="16"/>
      </w:rPr>
      <w:fldChar w:fldCharType="begin"/>
    </w:r>
    <w:r w:rsidR="00ED2D93" w:rsidRPr="000A6E7E">
      <w:rPr>
        <w:sz w:val="16"/>
        <w:szCs w:val="16"/>
      </w:rPr>
      <w:instrText xml:space="preserve"> FILENAME </w:instrText>
    </w:r>
    <w:r w:rsidRPr="000A6E7E">
      <w:rPr>
        <w:sz w:val="16"/>
        <w:szCs w:val="16"/>
      </w:rPr>
      <w:fldChar w:fldCharType="separate"/>
    </w:r>
    <w:r w:rsidR="008A0BC4">
      <w:rPr>
        <w:noProof/>
        <w:sz w:val="16"/>
        <w:szCs w:val="16"/>
      </w:rPr>
      <w:t xml:space="preserve">Document </w:t>
    </w:r>
    <w:r w:rsidR="007306FA">
      <w:rPr>
        <w:noProof/>
        <w:sz w:val="16"/>
        <w:szCs w:val="16"/>
      </w:rPr>
      <w:t>1</w:t>
    </w:r>
    <w:r w:rsidR="006C0245">
      <w:rPr>
        <w:noProof/>
        <w:sz w:val="16"/>
        <w:szCs w:val="16"/>
      </w:rPr>
      <w:t>0</w:t>
    </w:r>
    <w:r w:rsidR="00A81DC5">
      <w:rPr>
        <w:noProof/>
        <w:sz w:val="16"/>
        <w:szCs w:val="16"/>
      </w:rPr>
      <w:t xml:space="preserve"> </w:t>
    </w:r>
    <w:r w:rsidR="007306FA">
      <w:rPr>
        <w:noProof/>
        <w:sz w:val="16"/>
        <w:szCs w:val="16"/>
      </w:rPr>
      <w:t>INFORMATION</w:t>
    </w:r>
    <w:r w:rsidR="00A81DC5">
      <w:rPr>
        <w:noProof/>
        <w:sz w:val="16"/>
        <w:szCs w:val="16"/>
      </w:rPr>
      <w:t xml:space="preserve"> </w:t>
    </w:r>
    <w:r w:rsidR="007306FA">
      <w:rPr>
        <w:noProof/>
        <w:sz w:val="16"/>
        <w:szCs w:val="16"/>
      </w:rPr>
      <w:t>SHARING</w:t>
    </w:r>
    <w:r w:rsidR="00A81DC5">
      <w:rPr>
        <w:noProof/>
        <w:sz w:val="16"/>
        <w:szCs w:val="16"/>
      </w:rPr>
      <w:t xml:space="preserve"> AND GDPR</w:t>
    </w:r>
    <w:r w:rsidR="002B6F49">
      <w:rPr>
        <w:noProof/>
        <w:sz w:val="16"/>
        <w:szCs w:val="16"/>
      </w:rPr>
      <w:t xml:space="preserve"> (Weather Impacts From social media)</w:t>
    </w:r>
    <w:r w:rsidRPr="000A6E7E">
      <w:rPr>
        <w:sz w:val="16"/>
        <w:szCs w:val="16"/>
      </w:rPr>
      <w:fldChar w:fldCharType="end"/>
    </w:r>
  </w:p>
  <w:p w14:paraId="54CD245A" w14:textId="77777777" w:rsidR="00ED2D93" w:rsidRDefault="00ED2D9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BE67" w14:textId="77777777" w:rsidR="008A491C" w:rsidRDefault="008A491C">
      <w:r>
        <w:separator/>
      </w:r>
    </w:p>
  </w:footnote>
  <w:footnote w:type="continuationSeparator" w:id="0">
    <w:p w14:paraId="36FEB5B0" w14:textId="77777777" w:rsidR="008A491C" w:rsidRDefault="008A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76D6" w14:textId="6A7304A9" w:rsidR="00022BCB" w:rsidRPr="00ED2D93" w:rsidRDefault="00E34800" w:rsidP="00022BCB">
    <w:pPr>
      <w:pStyle w:val="Footer"/>
      <w:jc w:val="center"/>
      <w:rPr>
        <w:b/>
        <w:sz w:val="16"/>
        <w:szCs w:val="16"/>
      </w:rPr>
    </w:pPr>
    <w:r>
      <w:rPr>
        <w:noProof/>
        <w:lang w:eastAsia="en-GB"/>
      </w:rPr>
      <w:drawing>
        <wp:anchor distT="0" distB="0" distL="114300" distR="114300" simplePos="0" relativeHeight="251657728" behindDoc="1" locked="0" layoutInCell="1" allowOverlap="1" wp14:anchorId="1025213F" wp14:editId="07777777">
          <wp:simplePos x="0" y="0"/>
          <wp:positionH relativeFrom="column">
            <wp:posOffset>-170180</wp:posOffset>
          </wp:positionH>
          <wp:positionV relativeFrom="paragraph">
            <wp:posOffset>-252095</wp:posOffset>
          </wp:positionV>
          <wp:extent cx="1485900" cy="134683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85900" cy="1346835"/>
                  </a:xfrm>
                  <a:prstGeom prst="rect">
                    <a:avLst/>
                  </a:prstGeom>
                  <a:noFill/>
                  <a:ln w="9525">
                    <a:noFill/>
                    <a:miter lim="800000"/>
                    <a:headEnd/>
                    <a:tailEnd/>
                  </a:ln>
                </pic:spPr>
              </pic:pic>
            </a:graphicData>
          </a:graphic>
        </wp:anchor>
      </w:drawing>
    </w:r>
    <w:r w:rsidR="00565432">
      <w:rPr>
        <w:b/>
        <w:sz w:val="16"/>
        <w:szCs w:val="16"/>
      </w:rPr>
      <w:t>OFFICIAL – COMMERCIAL – SENSITIVE</w:t>
    </w:r>
  </w:p>
  <w:p w14:paraId="30D7AA69" w14:textId="77777777" w:rsidR="00ED2D93" w:rsidRPr="00E80492" w:rsidRDefault="00ED2D93" w:rsidP="00022BCB">
    <w:pPr>
      <w:pStyle w:val="Header"/>
      <w:jc w:val="center"/>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56017"/>
    <w:multiLevelType w:val="hybridMultilevel"/>
    <w:tmpl w:val="50F2E42A"/>
    <w:lvl w:ilvl="0" w:tplc="CD024B54">
      <w:start w:val="1"/>
      <w:numFmt w:val="decimal"/>
      <w:lvlText w:val="%1."/>
      <w:lvlJc w:val="left"/>
      <w:pPr>
        <w:ind w:left="951" w:hanging="721"/>
        <w:jc w:val="left"/>
      </w:pPr>
      <w:rPr>
        <w:rFonts w:ascii="Arial" w:eastAsia="Arial" w:hAnsi="Arial" w:hint="default"/>
        <w:w w:val="100"/>
        <w:sz w:val="24"/>
        <w:szCs w:val="24"/>
      </w:rPr>
    </w:lvl>
    <w:lvl w:ilvl="1" w:tplc="41D031B4">
      <w:start w:val="1"/>
      <w:numFmt w:val="bullet"/>
      <w:lvlText w:val="•"/>
      <w:lvlJc w:val="left"/>
      <w:pPr>
        <w:ind w:left="1892" w:hanging="721"/>
      </w:pPr>
      <w:rPr>
        <w:rFonts w:hint="default"/>
      </w:rPr>
    </w:lvl>
    <w:lvl w:ilvl="2" w:tplc="3E7A4D62">
      <w:start w:val="1"/>
      <w:numFmt w:val="bullet"/>
      <w:lvlText w:val="•"/>
      <w:lvlJc w:val="left"/>
      <w:pPr>
        <w:ind w:left="2824" w:hanging="721"/>
      </w:pPr>
      <w:rPr>
        <w:rFonts w:hint="default"/>
      </w:rPr>
    </w:lvl>
    <w:lvl w:ilvl="3" w:tplc="0BF8ADC4">
      <w:start w:val="1"/>
      <w:numFmt w:val="bullet"/>
      <w:lvlText w:val="•"/>
      <w:lvlJc w:val="left"/>
      <w:pPr>
        <w:ind w:left="3756" w:hanging="721"/>
      </w:pPr>
      <w:rPr>
        <w:rFonts w:hint="default"/>
      </w:rPr>
    </w:lvl>
    <w:lvl w:ilvl="4" w:tplc="E578F066">
      <w:start w:val="1"/>
      <w:numFmt w:val="bullet"/>
      <w:lvlText w:val="•"/>
      <w:lvlJc w:val="left"/>
      <w:pPr>
        <w:ind w:left="4688" w:hanging="721"/>
      </w:pPr>
      <w:rPr>
        <w:rFonts w:hint="default"/>
      </w:rPr>
    </w:lvl>
    <w:lvl w:ilvl="5" w:tplc="31142F6E">
      <w:start w:val="1"/>
      <w:numFmt w:val="bullet"/>
      <w:lvlText w:val="•"/>
      <w:lvlJc w:val="left"/>
      <w:pPr>
        <w:ind w:left="5620" w:hanging="721"/>
      </w:pPr>
      <w:rPr>
        <w:rFonts w:hint="default"/>
      </w:rPr>
    </w:lvl>
    <w:lvl w:ilvl="6" w:tplc="023AD68E">
      <w:start w:val="1"/>
      <w:numFmt w:val="bullet"/>
      <w:lvlText w:val="•"/>
      <w:lvlJc w:val="left"/>
      <w:pPr>
        <w:ind w:left="6552" w:hanging="721"/>
      </w:pPr>
      <w:rPr>
        <w:rFonts w:hint="default"/>
      </w:rPr>
    </w:lvl>
    <w:lvl w:ilvl="7" w:tplc="993E8B2C">
      <w:start w:val="1"/>
      <w:numFmt w:val="bullet"/>
      <w:lvlText w:val="•"/>
      <w:lvlJc w:val="left"/>
      <w:pPr>
        <w:ind w:left="7484" w:hanging="721"/>
      </w:pPr>
      <w:rPr>
        <w:rFonts w:hint="default"/>
      </w:rPr>
    </w:lvl>
    <w:lvl w:ilvl="8" w:tplc="7AB6F568">
      <w:start w:val="1"/>
      <w:numFmt w:val="bullet"/>
      <w:lvlText w:val="•"/>
      <w:lvlJc w:val="left"/>
      <w:pPr>
        <w:ind w:left="8416" w:hanging="721"/>
      </w:pPr>
      <w:rPr>
        <w:rFonts w:hint="default"/>
      </w:rPr>
    </w:lvl>
  </w:abstractNum>
  <w:abstractNum w:abstractNumId="1" w15:restartNumberingAfterBreak="0">
    <w:nsid w:val="764752B8"/>
    <w:multiLevelType w:val="hybridMultilevel"/>
    <w:tmpl w:val="D5D28B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8B"/>
    <w:rsid w:val="00022BCB"/>
    <w:rsid w:val="00032B93"/>
    <w:rsid w:val="00067562"/>
    <w:rsid w:val="0007023B"/>
    <w:rsid w:val="000A6E7E"/>
    <w:rsid w:val="000A76E7"/>
    <w:rsid w:val="000D67A0"/>
    <w:rsid w:val="000E483B"/>
    <w:rsid w:val="0012577E"/>
    <w:rsid w:val="00186037"/>
    <w:rsid w:val="00243002"/>
    <w:rsid w:val="002B6F49"/>
    <w:rsid w:val="002C05B3"/>
    <w:rsid w:val="002D03B0"/>
    <w:rsid w:val="00303C19"/>
    <w:rsid w:val="003110A6"/>
    <w:rsid w:val="003405CC"/>
    <w:rsid w:val="0038301D"/>
    <w:rsid w:val="00393DE8"/>
    <w:rsid w:val="003F1434"/>
    <w:rsid w:val="003F41AD"/>
    <w:rsid w:val="00415F71"/>
    <w:rsid w:val="00475357"/>
    <w:rsid w:val="00486660"/>
    <w:rsid w:val="004A1F9A"/>
    <w:rsid w:val="004D6FD4"/>
    <w:rsid w:val="004E26B8"/>
    <w:rsid w:val="00511D39"/>
    <w:rsid w:val="005222DD"/>
    <w:rsid w:val="005237DE"/>
    <w:rsid w:val="0053045F"/>
    <w:rsid w:val="00536189"/>
    <w:rsid w:val="00537028"/>
    <w:rsid w:val="00565432"/>
    <w:rsid w:val="005E41C8"/>
    <w:rsid w:val="006627C2"/>
    <w:rsid w:val="006B594E"/>
    <w:rsid w:val="006C0245"/>
    <w:rsid w:val="007177C1"/>
    <w:rsid w:val="0072098B"/>
    <w:rsid w:val="007246B9"/>
    <w:rsid w:val="007306FA"/>
    <w:rsid w:val="0074589B"/>
    <w:rsid w:val="007638BF"/>
    <w:rsid w:val="007F7CBB"/>
    <w:rsid w:val="00882895"/>
    <w:rsid w:val="008A0BC4"/>
    <w:rsid w:val="008A491C"/>
    <w:rsid w:val="008C4727"/>
    <w:rsid w:val="008D1654"/>
    <w:rsid w:val="00907781"/>
    <w:rsid w:val="00993977"/>
    <w:rsid w:val="009D5B10"/>
    <w:rsid w:val="00A31225"/>
    <w:rsid w:val="00A43C45"/>
    <w:rsid w:val="00A81DC5"/>
    <w:rsid w:val="00A8320A"/>
    <w:rsid w:val="00A9365F"/>
    <w:rsid w:val="00AE2E90"/>
    <w:rsid w:val="00AE5EAF"/>
    <w:rsid w:val="00AF34F3"/>
    <w:rsid w:val="00B03344"/>
    <w:rsid w:val="00B2210E"/>
    <w:rsid w:val="00BA3165"/>
    <w:rsid w:val="00BB7831"/>
    <w:rsid w:val="00C12D4B"/>
    <w:rsid w:val="00C238F5"/>
    <w:rsid w:val="00C85373"/>
    <w:rsid w:val="00CC23B3"/>
    <w:rsid w:val="00D70E27"/>
    <w:rsid w:val="00DD2DD6"/>
    <w:rsid w:val="00DE0425"/>
    <w:rsid w:val="00E24CD6"/>
    <w:rsid w:val="00E34800"/>
    <w:rsid w:val="00E80492"/>
    <w:rsid w:val="00EC14C6"/>
    <w:rsid w:val="00ED2D93"/>
    <w:rsid w:val="00ED44F3"/>
    <w:rsid w:val="00F03402"/>
    <w:rsid w:val="00F050BA"/>
    <w:rsid w:val="00F449A1"/>
    <w:rsid w:val="00F45BF6"/>
    <w:rsid w:val="00F47B6F"/>
    <w:rsid w:val="00F63507"/>
    <w:rsid w:val="00F72A93"/>
    <w:rsid w:val="00F80A24"/>
    <w:rsid w:val="00F9477E"/>
    <w:rsid w:val="00FD0C43"/>
    <w:rsid w:val="4740A0C4"/>
    <w:rsid w:val="7B940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428D73F"/>
  <w15:docId w15:val="{7DAF68C6-7EAC-4F28-862C-D79577EE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03B0"/>
    <w:rPr>
      <w:rFonts w:ascii="Arial" w:hAnsi="Arial"/>
      <w:lang w:eastAsia="zh-CN"/>
    </w:rPr>
  </w:style>
  <w:style w:type="paragraph" w:styleId="Heading1">
    <w:name w:val="heading 1"/>
    <w:basedOn w:val="Normal"/>
    <w:next w:val="Normal"/>
    <w:qFormat/>
    <w:rsid w:val="002D03B0"/>
    <w:pPr>
      <w:keepNext/>
      <w:spacing w:before="240" w:after="60"/>
      <w:outlineLvl w:val="0"/>
    </w:pPr>
    <w:rPr>
      <w:rFonts w:cs="Arial"/>
      <w:b/>
      <w:bCs/>
      <w:kern w:val="32"/>
      <w:sz w:val="32"/>
      <w:szCs w:val="32"/>
    </w:rPr>
  </w:style>
  <w:style w:type="paragraph" w:styleId="Heading2">
    <w:name w:val="heading 2"/>
    <w:basedOn w:val="Normal"/>
    <w:next w:val="Normal"/>
    <w:qFormat/>
    <w:rsid w:val="002D03B0"/>
    <w:pPr>
      <w:keepNext/>
      <w:spacing w:before="240" w:after="60"/>
      <w:outlineLvl w:val="1"/>
    </w:pPr>
    <w:rPr>
      <w:rFonts w:cs="Arial"/>
      <w:b/>
      <w:bCs/>
      <w:i/>
      <w:iCs/>
      <w:sz w:val="28"/>
      <w:szCs w:val="28"/>
    </w:rPr>
  </w:style>
  <w:style w:type="paragraph" w:styleId="Heading3">
    <w:name w:val="heading 3"/>
    <w:basedOn w:val="Normal"/>
    <w:next w:val="Normal"/>
    <w:qFormat/>
    <w:rsid w:val="000D67A0"/>
    <w:pPr>
      <w:keepNext/>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3B0"/>
    <w:pPr>
      <w:tabs>
        <w:tab w:val="center" w:pos="4153"/>
        <w:tab w:val="right" w:pos="8306"/>
      </w:tabs>
    </w:pPr>
    <w:rPr>
      <w:sz w:val="22"/>
    </w:rPr>
  </w:style>
  <w:style w:type="paragraph" w:styleId="Footer">
    <w:name w:val="footer"/>
    <w:basedOn w:val="Normal"/>
    <w:rsid w:val="002D03B0"/>
    <w:pPr>
      <w:tabs>
        <w:tab w:val="center" w:pos="4153"/>
        <w:tab w:val="right" w:pos="8306"/>
      </w:tabs>
    </w:pPr>
    <w:rPr>
      <w:sz w:val="22"/>
    </w:rPr>
  </w:style>
  <w:style w:type="paragraph" w:styleId="BalloonText">
    <w:name w:val="Balloon Text"/>
    <w:basedOn w:val="Normal"/>
    <w:semiHidden/>
    <w:rsid w:val="0038301D"/>
    <w:rPr>
      <w:rFonts w:ascii="Tahoma" w:hAnsi="Tahoma" w:cs="Tahoma"/>
      <w:sz w:val="16"/>
      <w:szCs w:val="16"/>
    </w:rPr>
  </w:style>
  <w:style w:type="table" w:styleId="TableGrid">
    <w:name w:val="Table Grid"/>
    <w:basedOn w:val="TableNormal"/>
    <w:rsid w:val="00F45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A6E7E"/>
    <w:rPr>
      <w:sz w:val="16"/>
      <w:szCs w:val="16"/>
    </w:rPr>
  </w:style>
  <w:style w:type="paragraph" w:styleId="CommentText">
    <w:name w:val="annotation text"/>
    <w:basedOn w:val="Normal"/>
    <w:semiHidden/>
    <w:rsid w:val="000A6E7E"/>
  </w:style>
  <w:style w:type="paragraph" w:styleId="CommentSubject">
    <w:name w:val="annotation subject"/>
    <w:basedOn w:val="CommentText"/>
    <w:next w:val="CommentText"/>
    <w:semiHidden/>
    <w:rsid w:val="000A6E7E"/>
    <w:rPr>
      <w:b/>
      <w:bCs/>
    </w:rPr>
  </w:style>
  <w:style w:type="character" w:styleId="Hyperlink">
    <w:name w:val="Hyperlink"/>
    <w:basedOn w:val="DefaultParagraphFont"/>
    <w:rsid w:val="008D1654"/>
    <w:rPr>
      <w:color w:val="0000FF"/>
      <w:u w:val="single"/>
    </w:rPr>
  </w:style>
  <w:style w:type="character" w:customStyle="1" w:styleId="L3kncontractChar">
    <w:name w:val="L3 kn contract Char"/>
    <w:basedOn w:val="DefaultParagraphFont"/>
    <w:link w:val="L3kncontract"/>
    <w:locked/>
    <w:rsid w:val="003110A6"/>
    <w:rPr>
      <w:rFonts w:ascii="Arial" w:hAnsi="Arial" w:cs="Arial"/>
    </w:rPr>
  </w:style>
  <w:style w:type="paragraph" w:customStyle="1" w:styleId="L3kncontract">
    <w:name w:val="L3 kn contract"/>
    <w:basedOn w:val="Normal"/>
    <w:link w:val="L3kncontractChar"/>
    <w:rsid w:val="003110A6"/>
    <w:pPr>
      <w:tabs>
        <w:tab w:val="num" w:pos="360"/>
      </w:tabs>
      <w:spacing w:before="120" w:after="240" w:line="360" w:lineRule="auto"/>
      <w:ind w:left="709" w:hanging="709"/>
    </w:pPr>
    <w:rPr>
      <w:rFonts w:cs="Arial"/>
      <w:lang w:eastAsia="en-GB"/>
    </w:rPr>
  </w:style>
  <w:style w:type="paragraph" w:styleId="ListParagraph">
    <w:name w:val="List Paragraph"/>
    <w:basedOn w:val="Normal"/>
    <w:uiPriority w:val="1"/>
    <w:qFormat/>
    <w:rsid w:val="000E483B"/>
    <w:pPr>
      <w:ind w:left="720"/>
      <w:contextualSpacing/>
    </w:pPr>
  </w:style>
  <w:style w:type="paragraph" w:customStyle="1" w:styleId="TableParagraph">
    <w:name w:val="Table Paragraph"/>
    <w:basedOn w:val="Normal"/>
    <w:uiPriority w:val="1"/>
    <w:qFormat/>
    <w:rsid w:val="000E483B"/>
    <w:pPr>
      <w:widowControl w:val="0"/>
    </w:pPr>
    <w:rPr>
      <w:rFonts w:asciiTheme="minorHAnsi" w:eastAsiaTheme="minorHAnsi" w:hAnsiTheme="minorHAnsi" w:cstheme="minorBidi"/>
      <w:sz w:val="22"/>
      <w:szCs w:val="22"/>
      <w:lang w:val="en-US" w:eastAsia="en-US"/>
    </w:rPr>
  </w:style>
  <w:style w:type="character" w:styleId="Emphasis">
    <w:name w:val="Emphasis"/>
    <w:basedOn w:val="DefaultParagraphFont"/>
    <w:qFormat/>
    <w:rsid w:val="005370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10474">
      <w:bodyDiv w:val="1"/>
      <w:marLeft w:val="0"/>
      <w:marRight w:val="0"/>
      <w:marTop w:val="0"/>
      <w:marBottom w:val="0"/>
      <w:divBdr>
        <w:top w:val="none" w:sz="0" w:space="0" w:color="auto"/>
        <w:left w:val="none" w:sz="0" w:space="0" w:color="auto"/>
        <w:bottom w:val="none" w:sz="0" w:space="0" w:color="auto"/>
        <w:right w:val="none" w:sz="0" w:space="0" w:color="auto"/>
      </w:divBdr>
    </w:div>
    <w:div w:id="1262640125">
      <w:bodyDiv w:val="1"/>
      <w:marLeft w:val="0"/>
      <w:marRight w:val="0"/>
      <w:marTop w:val="0"/>
      <w:marBottom w:val="0"/>
      <w:divBdr>
        <w:top w:val="none" w:sz="0" w:space="0" w:color="auto"/>
        <w:left w:val="none" w:sz="0" w:space="0" w:color="auto"/>
        <w:bottom w:val="none" w:sz="0" w:space="0" w:color="auto"/>
        <w:right w:val="none" w:sz="0" w:space="0" w:color="auto"/>
      </w:divBdr>
    </w:div>
    <w:div w:id="18221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toffice.gov.uk/corporate/legal/foi.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news/letter-to-government-departments-on-opening-up-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hyperlink" Target="http://eur-lex.europa.eu/legal-content/EN/TXT/PDF/?uri=CELEX:32016R0679&amp;from=EN"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D302B283DD0D43AF0AE03C17070FF3" ma:contentTypeVersion="6" ma:contentTypeDescription="Create a new document." ma:contentTypeScope="" ma:versionID="a4e61c502491cb32730378d0cadbc532">
  <xsd:schema xmlns:xsd="http://www.w3.org/2001/XMLSchema" xmlns:xs="http://www.w3.org/2001/XMLSchema" xmlns:p="http://schemas.microsoft.com/office/2006/metadata/properties" xmlns:ns2="63d5ffbd-0101-4a26-be06-016b0bbb7101" xmlns:ns3="502a79df-4f52-4757-ac2f-753e065f4c93" targetNamespace="http://schemas.microsoft.com/office/2006/metadata/properties" ma:root="true" ma:fieldsID="28b15c29b2fa73e6afc1b39fa29f9857" ns2:_="" ns3:_="">
    <xsd:import namespace="63d5ffbd-0101-4a26-be06-016b0bbb7101"/>
    <xsd:import namespace="502a79df-4f52-4757-ac2f-753e065f4c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5ffbd-0101-4a26-be06-016b0bbb7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2a79df-4f52-4757-ac2f-753e065f4c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et Office Document" ma:contentTypeID="0x01010008EC4BDFB4C3D542892399C37F0B505F00AC4135EABF9DD14FA89F903F451FF155" ma:contentTypeVersion="12" ma:contentTypeDescription="" ma:contentTypeScope="" ma:versionID="80220cd3eb44900d7cfb5c29ada9b010">
  <xsd:schema xmlns:xsd="http://www.w3.org/2001/XMLSchema" xmlns:xs="http://www.w3.org/2001/XMLSchema" xmlns:p="http://schemas.microsoft.com/office/2006/metadata/properties" xmlns:ns2="95a6d21c-7db0-4b7e-981f-b4f22b02b9d8" targetNamespace="http://schemas.microsoft.com/office/2006/metadata/properties" ma:root="true" ma:fieldsID="9797b4c60cd823bbf6e5d1857d68bbc4" ns2:_="">
    <xsd:import namespace="95a6d21c-7db0-4b7e-981f-b4f22b02b9d8"/>
    <xsd:element name="properties">
      <xsd:complexType>
        <xsd:sequence>
          <xsd:element name="documentManagement">
            <xsd:complexType>
              <xsd:all>
                <xsd:element ref="ns2:TNA" minOccurs="0"/>
                <xsd:element ref="ns2: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6d21c-7db0-4b7e-981f-b4f22b02b9d8" elementFormDefault="qualified">
    <xsd:import namespace="http://schemas.microsoft.com/office/2006/documentManagement/types"/>
    <xsd:import namespace="http://schemas.microsoft.com/office/infopath/2007/PartnerControls"/>
    <xsd:element name="TNA" ma:index="1" nillable="true" ma:displayName="TNA" ma:default="Not of potential interest" ma:format="Dropdown" ma:internalName="TNA">
      <xsd:simpleType>
        <xsd:restriction base="dms:Choice">
          <xsd:enumeration value="Not of potential interest"/>
          <xsd:enumeration value="Potential TNA Record"/>
          <xsd:enumeration value="Flagged for TNA"/>
          <xsd:enumeration value="List to TNA"/>
          <xsd:enumeration value="Not listed to TNA"/>
          <xsd:enumeration value="Transferred to TNA"/>
          <xsd:enumeration value="Published by TNA"/>
        </xsd:restriction>
      </xsd:simpleType>
    </xsd:element>
    <xsd:element name="ReviewDate" ma:index="2" nillable="true" ma:displayName="Review Date" ma:format="DateOnly"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EDACD-4EA6-4EBB-A57C-D175402E4431}">
  <ds:schemaRefs>
    <ds:schemaRef ds:uri="http://schemas.microsoft.com/sharepoint/v3/contenttype/forms"/>
  </ds:schemaRefs>
</ds:datastoreItem>
</file>

<file path=customXml/itemProps2.xml><?xml version="1.0" encoding="utf-8"?>
<ds:datastoreItem xmlns:ds="http://schemas.openxmlformats.org/officeDocument/2006/customXml" ds:itemID="{6F0A3C29-D10E-478E-8CD3-A67024775739}"/>
</file>

<file path=customXml/itemProps3.xml><?xml version="1.0" encoding="utf-8"?>
<ds:datastoreItem xmlns:ds="http://schemas.openxmlformats.org/officeDocument/2006/customXml" ds:itemID="{4C940D75-951C-441E-B56C-F8FF6EEDFC1E}">
  <ds:schemaRefs>
    <ds:schemaRef ds:uri="http://schemas.openxmlformats.org/officeDocument/2006/bibliography"/>
  </ds:schemaRefs>
</ds:datastoreItem>
</file>

<file path=customXml/itemProps4.xml><?xml version="1.0" encoding="utf-8"?>
<ds:datastoreItem xmlns:ds="http://schemas.openxmlformats.org/officeDocument/2006/customXml" ds:itemID="{CBCB83A9-9B45-487A-BF77-E3D57F7E5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6d21c-7db0-4b7e-981f-b4f22b02b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7B447D-E84B-407F-931B-FAADD4DC839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95a6d21c-7db0-4b7e-981f-b4f22b02b9d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6019</Characters>
  <Application>Microsoft Office Word</Application>
  <DocSecurity>0</DocSecurity>
  <Lines>50</Lines>
  <Paragraphs>14</Paragraphs>
  <ScaleCrop>false</ScaleCrop>
  <Company>The Met. Office</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elizabeth.spedding</dc:creator>
  <cp:lastModifiedBy>Cooke, Sarah</cp:lastModifiedBy>
  <cp:revision>12</cp:revision>
  <cp:lastPrinted>2007-11-14T13:20:00Z</cp:lastPrinted>
  <dcterms:created xsi:type="dcterms:W3CDTF">2022-01-18T09:47:00Z</dcterms:created>
  <dcterms:modified xsi:type="dcterms:W3CDTF">2022-01-20T10:56:00Z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0x010100F7D302B283DD0D43AF0AE03C17070FF3</vt:lpwstr>
  </property>
  <property fmtid="{D5CDD505-2E9C-101B-9397-08002B2CF9AE}" pid="3" name="AuthorIds_UIVersion_512">
    <vt:lpwstr>38</vt:lpwstr>
  </property>
</Properties>
</file>