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821B3" w14:textId="35A32CC1" w:rsidR="00383DA5" w:rsidRPr="005449A2" w:rsidRDefault="005259D7">
      <w:pPr>
        <w:rPr>
          <w:b/>
          <w:bCs/>
          <w:sz w:val="28"/>
          <w:szCs w:val="28"/>
        </w:rPr>
      </w:pPr>
      <w:r w:rsidRPr="005449A2">
        <w:rPr>
          <w:b/>
          <w:bCs/>
          <w:sz w:val="28"/>
          <w:szCs w:val="28"/>
        </w:rPr>
        <w:t>PIN notice</w:t>
      </w:r>
    </w:p>
    <w:p w14:paraId="2ED82223" w14:textId="7126A69B" w:rsidR="00B95709" w:rsidRDefault="00B95709" w:rsidP="00B95709">
      <w:pPr>
        <w:rPr>
          <w:sz w:val="22"/>
          <w:szCs w:val="22"/>
        </w:rPr>
      </w:pPr>
    </w:p>
    <w:p w14:paraId="1B96404F" w14:textId="6E645FD4" w:rsidR="003B426A" w:rsidRPr="005449A2" w:rsidRDefault="005449A2">
      <w:r>
        <w:t xml:space="preserve">The London Borough of Redbridge currently has a single contract for the delivery of Leisure, Libraries, Parks and Culture and the management of the associated assets. The current contract with our provider expires in April 2026 and we are considering our options post 2026 and conducting a formal market engagement exercise. </w:t>
      </w:r>
      <w:r w:rsidR="00245069">
        <w:t xml:space="preserve">The current contract provides for a management fee of around £11m in 24/25 </w:t>
      </w:r>
      <w:r w:rsidR="00E67627">
        <w:t>with a total</w:t>
      </w:r>
      <w:r w:rsidR="00245069">
        <w:t xml:space="preserve"> value of the services </w:t>
      </w:r>
      <w:r w:rsidR="00E67627">
        <w:t xml:space="preserve">provided </w:t>
      </w:r>
      <w:r w:rsidR="00245069">
        <w:t xml:space="preserve">around £21m. </w:t>
      </w:r>
    </w:p>
    <w:p w14:paraId="2237B734" w14:textId="77777777" w:rsidR="005259D7" w:rsidRDefault="005259D7"/>
    <w:p w14:paraId="05B595D7" w14:textId="100DA29F" w:rsidR="005259D7" w:rsidRPr="005449A2" w:rsidRDefault="005259D7">
      <w:pPr>
        <w:rPr>
          <w:sz w:val="26"/>
          <w:szCs w:val="26"/>
        </w:rPr>
      </w:pPr>
      <w:r w:rsidRPr="005449A2">
        <w:rPr>
          <w:sz w:val="26"/>
          <w:szCs w:val="26"/>
        </w:rPr>
        <w:t>Our services:</w:t>
      </w:r>
    </w:p>
    <w:p w14:paraId="2C1E5D4C" w14:textId="32853441" w:rsidR="005259D7" w:rsidRDefault="005259D7">
      <w:r>
        <w:t>Parks</w:t>
      </w:r>
    </w:p>
    <w:p w14:paraId="6E0F032E" w14:textId="012458BB" w:rsidR="005259D7" w:rsidRDefault="005259D7" w:rsidP="003B426A">
      <w:pPr>
        <w:jc w:val="both"/>
      </w:pPr>
      <w:r>
        <w:t>Management and maintenance of our 53 p</w:t>
      </w:r>
      <w:r w:rsidRPr="005259D7">
        <w:t xml:space="preserve">arks </w:t>
      </w:r>
      <w:r>
        <w:t xml:space="preserve">and green spaces </w:t>
      </w:r>
      <w:r w:rsidRPr="005259D7">
        <w:t xml:space="preserve">management </w:t>
      </w:r>
      <w:r>
        <w:t xml:space="preserve">including two large Country Parks in Hainault and Fairlop. Management of those spaces includes managing park hires for events and sporting use in our parks. </w:t>
      </w:r>
      <w:r w:rsidR="003B426A">
        <w:t xml:space="preserve">The events team also manages a number of civic events on behalf of the Council. </w:t>
      </w:r>
      <w:r>
        <w:t>Our current provider also manages a small Nature Conservation team.</w:t>
      </w:r>
    </w:p>
    <w:p w14:paraId="5573C8B6" w14:textId="59F3875C" w:rsidR="005259D7" w:rsidRDefault="005259D7" w:rsidP="003B426A">
      <w:pPr>
        <w:jc w:val="both"/>
      </w:pPr>
      <w:r>
        <w:t>Leisure</w:t>
      </w:r>
    </w:p>
    <w:p w14:paraId="560A1346" w14:textId="6D6E0C97" w:rsidR="005259D7" w:rsidRPr="005259D7" w:rsidRDefault="005259D7" w:rsidP="003B426A">
      <w:pPr>
        <w:jc w:val="both"/>
      </w:pPr>
      <w:r>
        <w:t>Management of four</w:t>
      </w:r>
      <w:r w:rsidRPr="005259D7">
        <w:t xml:space="preserve"> Leisure centres</w:t>
      </w:r>
      <w:r>
        <w:t xml:space="preserve"> (three of which have pools with a fourth being constructed), two gyms that sit within combined Gym / Library sites, two sports stadiums with athletics tracks and provision for football and other sports (one of which includes a gym), a cycle centre and a water-based Outdoor Activity Centre</w:t>
      </w:r>
      <w:r w:rsidR="004450ED">
        <w:t>. In addition to the fourth indoor pool being constructed at Wanstead Leisure Centre, we have plans to build a heated Lido in Valentines Park which may open later next year.</w:t>
      </w:r>
    </w:p>
    <w:p w14:paraId="0DF55993" w14:textId="715522C1" w:rsidR="005259D7" w:rsidRDefault="005259D7" w:rsidP="003B426A">
      <w:pPr>
        <w:jc w:val="both"/>
      </w:pPr>
      <w:r>
        <w:t>Libraries</w:t>
      </w:r>
    </w:p>
    <w:p w14:paraId="67083AB0" w14:textId="6F7FFFEA" w:rsidR="005259D7" w:rsidRDefault="003B426A" w:rsidP="003B426A">
      <w:pPr>
        <w:jc w:val="both"/>
      </w:pPr>
      <w:r>
        <w:t>11 libraries across the borough ranging from a few much smaller sites to Central Library in Ilford, which is one of the busier local authority libraries in London. Central Library also includes the Redbridge Museum and the heritage and archives service. As well as providing for the delivery of a full a comprehensive library service, our libraries also have significant amounts of hireable room space compared to many other authorities.</w:t>
      </w:r>
    </w:p>
    <w:p w14:paraId="0EF0405E" w14:textId="582B4C77" w:rsidR="005259D7" w:rsidRDefault="005259D7" w:rsidP="003B426A">
      <w:pPr>
        <w:jc w:val="both"/>
      </w:pPr>
      <w:r>
        <w:t>Culture</w:t>
      </w:r>
    </w:p>
    <w:p w14:paraId="2057962D" w14:textId="7893FD19" w:rsidR="003B426A" w:rsidRDefault="003B426A" w:rsidP="003B426A">
      <w:pPr>
        <w:jc w:val="both"/>
      </w:pPr>
      <w:r>
        <w:t xml:space="preserve">The Kenneth More Theatre in Ilford, the Redbridge Music Service, Redbridge Drama Centre, Valentines Mansion (a heritage site open to the public and a wedding venue). Valentines Mansion, along with part of the Town Hall and the Sir James Hawkey Hall are part of a number of buildings which are hired out for events to generate income. </w:t>
      </w:r>
    </w:p>
    <w:p w14:paraId="67836C22" w14:textId="77777777" w:rsidR="005259D7" w:rsidRDefault="005259D7"/>
    <w:p w14:paraId="66A8A1F7" w14:textId="77777777" w:rsidR="00383DA5" w:rsidRDefault="00383DA5"/>
    <w:p w14:paraId="318EDD8C" w14:textId="506900CA" w:rsidR="003B426A" w:rsidRDefault="00E67627">
      <w:r>
        <w:t>We are keen to speak to potential providers across the leisure and culture market to</w:t>
      </w:r>
      <w:r w:rsidR="003B426A">
        <w:t xml:space="preserve"> answer the questions</w:t>
      </w:r>
      <w:r>
        <w:t xml:space="preserve"> set out below.</w:t>
      </w:r>
    </w:p>
    <w:p w14:paraId="1B506FD0" w14:textId="64D85DF8" w:rsidR="003B426A" w:rsidRDefault="00E67627">
      <w:r>
        <w:t xml:space="preserve">Please contact Rose Urban via email: </w:t>
      </w:r>
      <w:hyperlink r:id="rId5" w:history="1">
        <w:r w:rsidRPr="00636A33">
          <w:rPr>
            <w:rStyle w:val="Hyperlink"/>
          </w:rPr>
          <w:t>rose.urban@redbridge.gov.uk</w:t>
        </w:r>
      </w:hyperlink>
      <w:r>
        <w:t xml:space="preserve"> to arrange an appointment with the team here.</w:t>
      </w:r>
    </w:p>
    <w:p w14:paraId="399F18BC" w14:textId="1114B069" w:rsidR="00E67627" w:rsidRDefault="00E67627">
      <w:r>
        <w:t>Please consider these questions which we explore when we talk to providers:</w:t>
      </w:r>
    </w:p>
    <w:p w14:paraId="20D7A516" w14:textId="155D2631" w:rsidR="00383DA5" w:rsidRDefault="00722DE1">
      <w:r>
        <w:t>Based on the above outline of services, in four key service groupings of Leisure, Libraries, Parks and Culture, if a tender were to go out for all these services in a single package would you be interest in bidding?</w:t>
      </w:r>
    </w:p>
    <w:p w14:paraId="0B9ADB18" w14:textId="75F69F46" w:rsidR="00722DE1" w:rsidRDefault="00722DE1">
      <w:r>
        <w:t xml:space="preserve">If not would you be interested if the opportunity were available to bid to run some but not all of these service groupings? </w:t>
      </w:r>
    </w:p>
    <w:p w14:paraId="418F209E" w14:textId="6B346722" w:rsidR="00722DE1" w:rsidRPr="004450ED" w:rsidRDefault="00722DE1">
      <w:r w:rsidRPr="004450ED">
        <w:t xml:space="preserve">If so, which groups of services would you be interested in bidding for? </w:t>
      </w:r>
    </w:p>
    <w:p w14:paraId="5CFA0FFE" w14:textId="3D320A2F" w:rsidR="004450ED" w:rsidRPr="004450ED" w:rsidRDefault="00722DE1">
      <w:r w:rsidRPr="004450ED">
        <w:t>Please consider, and explain, if you would consider the opportunity as part of a consortium and if so which service areas you might consider</w:t>
      </w:r>
      <w:r w:rsidR="004450ED" w:rsidRPr="004450ED">
        <w:t>?</w:t>
      </w:r>
    </w:p>
    <w:p w14:paraId="3024DA8E" w14:textId="13ED3A15" w:rsidR="004450ED" w:rsidRPr="004450ED" w:rsidRDefault="004450ED">
      <w:r w:rsidRPr="004450ED">
        <w:t>What would be your preferred length of contract, 5, 10 or 15 years and why?</w:t>
      </w:r>
    </w:p>
    <w:p w14:paraId="383CD2FD" w14:textId="77777777" w:rsidR="004450ED" w:rsidRPr="004450ED" w:rsidRDefault="004450ED" w:rsidP="004450ED">
      <w:r w:rsidRPr="004450ED">
        <w:t>Would you be able to bring capital investment into the assets to improve services?</w:t>
      </w:r>
    </w:p>
    <w:p w14:paraId="20D95B09" w14:textId="163D81D8" w:rsidR="004450ED" w:rsidRPr="004450ED" w:rsidRDefault="004450ED" w:rsidP="004450ED">
      <w:r w:rsidRPr="004450ED">
        <w:t>If you did that how would you seek to achieve a return on investment?</w:t>
      </w:r>
    </w:p>
    <w:p w14:paraId="55AE755D" w14:textId="77777777" w:rsidR="004450ED" w:rsidRDefault="004450ED"/>
    <w:p w14:paraId="28CF4956" w14:textId="77777777" w:rsidR="005259D7" w:rsidRDefault="005259D7"/>
    <w:p w14:paraId="15B18C18" w14:textId="77777777" w:rsidR="005259D7" w:rsidRDefault="005259D7"/>
    <w:sectPr w:rsidR="00525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274AF"/>
    <w:multiLevelType w:val="hybridMultilevel"/>
    <w:tmpl w:val="77A4567E"/>
    <w:lvl w:ilvl="0" w:tplc="B20632FA">
      <w:start w:val="1"/>
      <w:numFmt w:val="bullet"/>
      <w:lvlText w:val="●"/>
      <w:lvlJc w:val="left"/>
      <w:pPr>
        <w:tabs>
          <w:tab w:val="num" w:pos="720"/>
        </w:tabs>
        <w:ind w:left="720" w:hanging="360"/>
      </w:pPr>
      <w:rPr>
        <w:rFonts w:ascii="Verdana" w:hAnsi="Verdana" w:hint="default"/>
      </w:rPr>
    </w:lvl>
    <w:lvl w:ilvl="1" w:tplc="31481E5E">
      <w:numFmt w:val="bullet"/>
      <w:lvlText w:val="–"/>
      <w:lvlJc w:val="left"/>
      <w:pPr>
        <w:tabs>
          <w:tab w:val="num" w:pos="1440"/>
        </w:tabs>
        <w:ind w:left="1440" w:hanging="360"/>
      </w:pPr>
      <w:rPr>
        <w:rFonts w:ascii="Arial" w:hAnsi="Arial" w:hint="default"/>
      </w:rPr>
    </w:lvl>
    <w:lvl w:ilvl="2" w:tplc="6FBAB148" w:tentative="1">
      <w:start w:val="1"/>
      <w:numFmt w:val="bullet"/>
      <w:lvlText w:val="●"/>
      <w:lvlJc w:val="left"/>
      <w:pPr>
        <w:tabs>
          <w:tab w:val="num" w:pos="2160"/>
        </w:tabs>
        <w:ind w:left="2160" w:hanging="360"/>
      </w:pPr>
      <w:rPr>
        <w:rFonts w:ascii="Verdana" w:hAnsi="Verdana" w:hint="default"/>
      </w:rPr>
    </w:lvl>
    <w:lvl w:ilvl="3" w:tplc="86969232" w:tentative="1">
      <w:start w:val="1"/>
      <w:numFmt w:val="bullet"/>
      <w:lvlText w:val="●"/>
      <w:lvlJc w:val="left"/>
      <w:pPr>
        <w:tabs>
          <w:tab w:val="num" w:pos="2880"/>
        </w:tabs>
        <w:ind w:left="2880" w:hanging="360"/>
      </w:pPr>
      <w:rPr>
        <w:rFonts w:ascii="Verdana" w:hAnsi="Verdana" w:hint="default"/>
      </w:rPr>
    </w:lvl>
    <w:lvl w:ilvl="4" w:tplc="2F4CC92C" w:tentative="1">
      <w:start w:val="1"/>
      <w:numFmt w:val="bullet"/>
      <w:lvlText w:val="●"/>
      <w:lvlJc w:val="left"/>
      <w:pPr>
        <w:tabs>
          <w:tab w:val="num" w:pos="3600"/>
        </w:tabs>
        <w:ind w:left="3600" w:hanging="360"/>
      </w:pPr>
      <w:rPr>
        <w:rFonts w:ascii="Verdana" w:hAnsi="Verdana" w:hint="default"/>
      </w:rPr>
    </w:lvl>
    <w:lvl w:ilvl="5" w:tplc="3E48B828" w:tentative="1">
      <w:start w:val="1"/>
      <w:numFmt w:val="bullet"/>
      <w:lvlText w:val="●"/>
      <w:lvlJc w:val="left"/>
      <w:pPr>
        <w:tabs>
          <w:tab w:val="num" w:pos="4320"/>
        </w:tabs>
        <w:ind w:left="4320" w:hanging="360"/>
      </w:pPr>
      <w:rPr>
        <w:rFonts w:ascii="Verdana" w:hAnsi="Verdana" w:hint="default"/>
      </w:rPr>
    </w:lvl>
    <w:lvl w:ilvl="6" w:tplc="5816C588" w:tentative="1">
      <w:start w:val="1"/>
      <w:numFmt w:val="bullet"/>
      <w:lvlText w:val="●"/>
      <w:lvlJc w:val="left"/>
      <w:pPr>
        <w:tabs>
          <w:tab w:val="num" w:pos="5040"/>
        </w:tabs>
        <w:ind w:left="5040" w:hanging="360"/>
      </w:pPr>
      <w:rPr>
        <w:rFonts w:ascii="Verdana" w:hAnsi="Verdana" w:hint="default"/>
      </w:rPr>
    </w:lvl>
    <w:lvl w:ilvl="7" w:tplc="6BDE8A98" w:tentative="1">
      <w:start w:val="1"/>
      <w:numFmt w:val="bullet"/>
      <w:lvlText w:val="●"/>
      <w:lvlJc w:val="left"/>
      <w:pPr>
        <w:tabs>
          <w:tab w:val="num" w:pos="5760"/>
        </w:tabs>
        <w:ind w:left="5760" w:hanging="360"/>
      </w:pPr>
      <w:rPr>
        <w:rFonts w:ascii="Verdana" w:hAnsi="Verdana" w:hint="default"/>
      </w:rPr>
    </w:lvl>
    <w:lvl w:ilvl="8" w:tplc="8774E442"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6AC6F73"/>
    <w:multiLevelType w:val="hybridMultilevel"/>
    <w:tmpl w:val="987AF85E"/>
    <w:lvl w:ilvl="0" w:tplc="FAC60870">
      <w:start w:val="1"/>
      <w:numFmt w:val="bullet"/>
      <w:lvlText w:val="●"/>
      <w:lvlJc w:val="left"/>
      <w:pPr>
        <w:tabs>
          <w:tab w:val="num" w:pos="720"/>
        </w:tabs>
        <w:ind w:left="720" w:hanging="360"/>
      </w:pPr>
      <w:rPr>
        <w:rFonts w:ascii="Verdana" w:hAnsi="Verdana" w:hint="default"/>
      </w:rPr>
    </w:lvl>
    <w:lvl w:ilvl="1" w:tplc="13E46A14">
      <w:numFmt w:val="bullet"/>
      <w:lvlText w:val="–"/>
      <w:lvlJc w:val="left"/>
      <w:pPr>
        <w:tabs>
          <w:tab w:val="num" w:pos="1440"/>
        </w:tabs>
        <w:ind w:left="1440" w:hanging="360"/>
      </w:pPr>
      <w:rPr>
        <w:rFonts w:ascii="Arial" w:hAnsi="Arial" w:hint="default"/>
      </w:rPr>
    </w:lvl>
    <w:lvl w:ilvl="2" w:tplc="EB0A9AFA" w:tentative="1">
      <w:start w:val="1"/>
      <w:numFmt w:val="bullet"/>
      <w:lvlText w:val="●"/>
      <w:lvlJc w:val="left"/>
      <w:pPr>
        <w:tabs>
          <w:tab w:val="num" w:pos="2160"/>
        </w:tabs>
        <w:ind w:left="2160" w:hanging="360"/>
      </w:pPr>
      <w:rPr>
        <w:rFonts w:ascii="Verdana" w:hAnsi="Verdana" w:hint="default"/>
      </w:rPr>
    </w:lvl>
    <w:lvl w:ilvl="3" w:tplc="CDB64E08" w:tentative="1">
      <w:start w:val="1"/>
      <w:numFmt w:val="bullet"/>
      <w:lvlText w:val="●"/>
      <w:lvlJc w:val="left"/>
      <w:pPr>
        <w:tabs>
          <w:tab w:val="num" w:pos="2880"/>
        </w:tabs>
        <w:ind w:left="2880" w:hanging="360"/>
      </w:pPr>
      <w:rPr>
        <w:rFonts w:ascii="Verdana" w:hAnsi="Verdana" w:hint="default"/>
      </w:rPr>
    </w:lvl>
    <w:lvl w:ilvl="4" w:tplc="159EB842" w:tentative="1">
      <w:start w:val="1"/>
      <w:numFmt w:val="bullet"/>
      <w:lvlText w:val="●"/>
      <w:lvlJc w:val="left"/>
      <w:pPr>
        <w:tabs>
          <w:tab w:val="num" w:pos="3600"/>
        </w:tabs>
        <w:ind w:left="3600" w:hanging="360"/>
      </w:pPr>
      <w:rPr>
        <w:rFonts w:ascii="Verdana" w:hAnsi="Verdana" w:hint="default"/>
      </w:rPr>
    </w:lvl>
    <w:lvl w:ilvl="5" w:tplc="56EAAB80" w:tentative="1">
      <w:start w:val="1"/>
      <w:numFmt w:val="bullet"/>
      <w:lvlText w:val="●"/>
      <w:lvlJc w:val="left"/>
      <w:pPr>
        <w:tabs>
          <w:tab w:val="num" w:pos="4320"/>
        </w:tabs>
        <w:ind w:left="4320" w:hanging="360"/>
      </w:pPr>
      <w:rPr>
        <w:rFonts w:ascii="Verdana" w:hAnsi="Verdana" w:hint="default"/>
      </w:rPr>
    </w:lvl>
    <w:lvl w:ilvl="6" w:tplc="E9725C5C" w:tentative="1">
      <w:start w:val="1"/>
      <w:numFmt w:val="bullet"/>
      <w:lvlText w:val="●"/>
      <w:lvlJc w:val="left"/>
      <w:pPr>
        <w:tabs>
          <w:tab w:val="num" w:pos="5040"/>
        </w:tabs>
        <w:ind w:left="5040" w:hanging="360"/>
      </w:pPr>
      <w:rPr>
        <w:rFonts w:ascii="Verdana" w:hAnsi="Verdana" w:hint="default"/>
      </w:rPr>
    </w:lvl>
    <w:lvl w:ilvl="7" w:tplc="ADA4E4BC" w:tentative="1">
      <w:start w:val="1"/>
      <w:numFmt w:val="bullet"/>
      <w:lvlText w:val="●"/>
      <w:lvlJc w:val="left"/>
      <w:pPr>
        <w:tabs>
          <w:tab w:val="num" w:pos="5760"/>
        </w:tabs>
        <w:ind w:left="5760" w:hanging="360"/>
      </w:pPr>
      <w:rPr>
        <w:rFonts w:ascii="Verdana" w:hAnsi="Verdana" w:hint="default"/>
      </w:rPr>
    </w:lvl>
    <w:lvl w:ilvl="8" w:tplc="ABA8C03E" w:tentative="1">
      <w:start w:val="1"/>
      <w:numFmt w:val="bullet"/>
      <w:lvlText w:val="●"/>
      <w:lvlJc w:val="left"/>
      <w:pPr>
        <w:tabs>
          <w:tab w:val="num" w:pos="6480"/>
        </w:tabs>
        <w:ind w:left="6480" w:hanging="360"/>
      </w:pPr>
      <w:rPr>
        <w:rFonts w:ascii="Verdana" w:hAnsi="Verdana" w:hint="default"/>
      </w:rPr>
    </w:lvl>
  </w:abstractNum>
  <w:num w:numId="1" w16cid:durableId="804466219">
    <w:abstractNumId w:val="0"/>
  </w:num>
  <w:num w:numId="2" w16cid:durableId="118706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A5"/>
    <w:rsid w:val="00245069"/>
    <w:rsid w:val="00383DA5"/>
    <w:rsid w:val="003B426A"/>
    <w:rsid w:val="004450ED"/>
    <w:rsid w:val="005259D7"/>
    <w:rsid w:val="005449A2"/>
    <w:rsid w:val="00616A48"/>
    <w:rsid w:val="00722DE1"/>
    <w:rsid w:val="00B95709"/>
    <w:rsid w:val="00E6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9E71"/>
  <w15:chartTrackingRefBased/>
  <w15:docId w15:val="{8BCEE6DB-1EA1-434A-819A-95FA35D7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D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3D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3D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3D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3D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3D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3D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3D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3D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3D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3D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3D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3D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3D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3D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3D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3DA5"/>
    <w:rPr>
      <w:rFonts w:eastAsiaTheme="majorEastAsia" w:cstheme="majorBidi"/>
      <w:color w:val="272727" w:themeColor="text1" w:themeTint="D8"/>
    </w:rPr>
  </w:style>
  <w:style w:type="paragraph" w:styleId="Title">
    <w:name w:val="Title"/>
    <w:basedOn w:val="Normal"/>
    <w:next w:val="Normal"/>
    <w:link w:val="TitleChar"/>
    <w:uiPriority w:val="10"/>
    <w:qFormat/>
    <w:rsid w:val="00383D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D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D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3D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3DA5"/>
    <w:pPr>
      <w:spacing w:before="160"/>
      <w:jc w:val="center"/>
    </w:pPr>
    <w:rPr>
      <w:i/>
      <w:iCs/>
      <w:color w:val="404040" w:themeColor="text1" w:themeTint="BF"/>
    </w:rPr>
  </w:style>
  <w:style w:type="character" w:customStyle="1" w:styleId="QuoteChar">
    <w:name w:val="Quote Char"/>
    <w:basedOn w:val="DefaultParagraphFont"/>
    <w:link w:val="Quote"/>
    <w:uiPriority w:val="29"/>
    <w:rsid w:val="00383DA5"/>
    <w:rPr>
      <w:i/>
      <w:iCs/>
      <w:color w:val="404040" w:themeColor="text1" w:themeTint="BF"/>
    </w:rPr>
  </w:style>
  <w:style w:type="paragraph" w:styleId="ListParagraph">
    <w:name w:val="List Paragraph"/>
    <w:basedOn w:val="Normal"/>
    <w:uiPriority w:val="34"/>
    <w:qFormat/>
    <w:rsid w:val="00383DA5"/>
    <w:pPr>
      <w:ind w:left="720"/>
      <w:contextualSpacing/>
    </w:pPr>
  </w:style>
  <w:style w:type="character" w:styleId="IntenseEmphasis">
    <w:name w:val="Intense Emphasis"/>
    <w:basedOn w:val="DefaultParagraphFont"/>
    <w:uiPriority w:val="21"/>
    <w:qFormat/>
    <w:rsid w:val="00383DA5"/>
    <w:rPr>
      <w:i/>
      <w:iCs/>
      <w:color w:val="0F4761" w:themeColor="accent1" w:themeShade="BF"/>
    </w:rPr>
  </w:style>
  <w:style w:type="paragraph" w:styleId="IntenseQuote">
    <w:name w:val="Intense Quote"/>
    <w:basedOn w:val="Normal"/>
    <w:next w:val="Normal"/>
    <w:link w:val="IntenseQuoteChar"/>
    <w:uiPriority w:val="30"/>
    <w:qFormat/>
    <w:rsid w:val="00383D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3DA5"/>
    <w:rPr>
      <w:i/>
      <w:iCs/>
      <w:color w:val="0F4761" w:themeColor="accent1" w:themeShade="BF"/>
    </w:rPr>
  </w:style>
  <w:style w:type="character" w:styleId="IntenseReference">
    <w:name w:val="Intense Reference"/>
    <w:basedOn w:val="DefaultParagraphFont"/>
    <w:uiPriority w:val="32"/>
    <w:qFormat/>
    <w:rsid w:val="00383DA5"/>
    <w:rPr>
      <w:b/>
      <w:bCs/>
      <w:smallCaps/>
      <w:color w:val="0F4761" w:themeColor="accent1" w:themeShade="BF"/>
      <w:spacing w:val="5"/>
    </w:rPr>
  </w:style>
  <w:style w:type="character" w:styleId="Hyperlink">
    <w:name w:val="Hyperlink"/>
    <w:basedOn w:val="DefaultParagraphFont"/>
    <w:uiPriority w:val="99"/>
    <w:unhideWhenUsed/>
    <w:rsid w:val="00E67627"/>
    <w:rPr>
      <w:color w:val="467886" w:themeColor="hyperlink"/>
      <w:u w:val="single"/>
    </w:rPr>
  </w:style>
  <w:style w:type="character" w:styleId="UnresolvedMention">
    <w:name w:val="Unresolved Mention"/>
    <w:basedOn w:val="DefaultParagraphFont"/>
    <w:uiPriority w:val="99"/>
    <w:semiHidden/>
    <w:unhideWhenUsed/>
    <w:rsid w:val="00E6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497759">
      <w:bodyDiv w:val="1"/>
      <w:marLeft w:val="0"/>
      <w:marRight w:val="0"/>
      <w:marTop w:val="0"/>
      <w:marBottom w:val="0"/>
      <w:divBdr>
        <w:top w:val="none" w:sz="0" w:space="0" w:color="auto"/>
        <w:left w:val="none" w:sz="0" w:space="0" w:color="auto"/>
        <w:bottom w:val="none" w:sz="0" w:space="0" w:color="auto"/>
        <w:right w:val="none" w:sz="0" w:space="0" w:color="auto"/>
      </w:divBdr>
      <w:divsChild>
        <w:div w:id="573901884">
          <w:marLeft w:val="446"/>
          <w:marRight w:val="0"/>
          <w:marTop w:val="160"/>
          <w:marBottom w:val="0"/>
          <w:divBdr>
            <w:top w:val="none" w:sz="0" w:space="0" w:color="auto"/>
            <w:left w:val="none" w:sz="0" w:space="0" w:color="auto"/>
            <w:bottom w:val="none" w:sz="0" w:space="0" w:color="auto"/>
            <w:right w:val="none" w:sz="0" w:space="0" w:color="auto"/>
          </w:divBdr>
        </w:div>
        <w:div w:id="798885553">
          <w:marLeft w:val="907"/>
          <w:marRight w:val="0"/>
          <w:marTop w:val="100"/>
          <w:marBottom w:val="0"/>
          <w:divBdr>
            <w:top w:val="none" w:sz="0" w:space="0" w:color="auto"/>
            <w:left w:val="none" w:sz="0" w:space="0" w:color="auto"/>
            <w:bottom w:val="none" w:sz="0" w:space="0" w:color="auto"/>
            <w:right w:val="none" w:sz="0" w:space="0" w:color="auto"/>
          </w:divBdr>
        </w:div>
        <w:div w:id="1287734539">
          <w:marLeft w:val="907"/>
          <w:marRight w:val="0"/>
          <w:marTop w:val="100"/>
          <w:marBottom w:val="0"/>
          <w:divBdr>
            <w:top w:val="none" w:sz="0" w:space="0" w:color="auto"/>
            <w:left w:val="none" w:sz="0" w:space="0" w:color="auto"/>
            <w:bottom w:val="none" w:sz="0" w:space="0" w:color="auto"/>
            <w:right w:val="none" w:sz="0" w:space="0" w:color="auto"/>
          </w:divBdr>
        </w:div>
        <w:div w:id="902957244">
          <w:marLeft w:val="907"/>
          <w:marRight w:val="0"/>
          <w:marTop w:val="100"/>
          <w:marBottom w:val="0"/>
          <w:divBdr>
            <w:top w:val="none" w:sz="0" w:space="0" w:color="auto"/>
            <w:left w:val="none" w:sz="0" w:space="0" w:color="auto"/>
            <w:bottom w:val="none" w:sz="0" w:space="0" w:color="auto"/>
            <w:right w:val="none" w:sz="0" w:space="0" w:color="auto"/>
          </w:divBdr>
        </w:div>
        <w:div w:id="1887834834">
          <w:marLeft w:val="907"/>
          <w:marRight w:val="0"/>
          <w:marTop w:val="100"/>
          <w:marBottom w:val="0"/>
          <w:divBdr>
            <w:top w:val="none" w:sz="0" w:space="0" w:color="auto"/>
            <w:left w:val="none" w:sz="0" w:space="0" w:color="auto"/>
            <w:bottom w:val="none" w:sz="0" w:space="0" w:color="auto"/>
            <w:right w:val="none" w:sz="0" w:space="0" w:color="auto"/>
          </w:divBdr>
        </w:div>
        <w:div w:id="1498232649">
          <w:marLeft w:val="446"/>
          <w:marRight w:val="0"/>
          <w:marTop w:val="160"/>
          <w:marBottom w:val="0"/>
          <w:divBdr>
            <w:top w:val="none" w:sz="0" w:space="0" w:color="auto"/>
            <w:left w:val="none" w:sz="0" w:space="0" w:color="auto"/>
            <w:bottom w:val="none" w:sz="0" w:space="0" w:color="auto"/>
            <w:right w:val="none" w:sz="0" w:space="0" w:color="auto"/>
          </w:divBdr>
        </w:div>
        <w:div w:id="1691836344">
          <w:marLeft w:val="907"/>
          <w:marRight w:val="0"/>
          <w:marTop w:val="100"/>
          <w:marBottom w:val="0"/>
          <w:divBdr>
            <w:top w:val="none" w:sz="0" w:space="0" w:color="auto"/>
            <w:left w:val="none" w:sz="0" w:space="0" w:color="auto"/>
            <w:bottom w:val="none" w:sz="0" w:space="0" w:color="auto"/>
            <w:right w:val="none" w:sz="0" w:space="0" w:color="auto"/>
          </w:divBdr>
        </w:div>
        <w:div w:id="759910163">
          <w:marLeft w:val="907"/>
          <w:marRight w:val="0"/>
          <w:marTop w:val="100"/>
          <w:marBottom w:val="0"/>
          <w:divBdr>
            <w:top w:val="none" w:sz="0" w:space="0" w:color="auto"/>
            <w:left w:val="none" w:sz="0" w:space="0" w:color="auto"/>
            <w:bottom w:val="none" w:sz="0" w:space="0" w:color="auto"/>
            <w:right w:val="none" w:sz="0" w:space="0" w:color="auto"/>
          </w:divBdr>
        </w:div>
        <w:div w:id="341932686">
          <w:marLeft w:val="446"/>
          <w:marRight w:val="0"/>
          <w:marTop w:val="160"/>
          <w:marBottom w:val="0"/>
          <w:divBdr>
            <w:top w:val="none" w:sz="0" w:space="0" w:color="auto"/>
            <w:left w:val="none" w:sz="0" w:space="0" w:color="auto"/>
            <w:bottom w:val="none" w:sz="0" w:space="0" w:color="auto"/>
            <w:right w:val="none" w:sz="0" w:space="0" w:color="auto"/>
          </w:divBdr>
        </w:div>
        <w:div w:id="2064210747">
          <w:marLeft w:val="907"/>
          <w:marRight w:val="0"/>
          <w:marTop w:val="100"/>
          <w:marBottom w:val="0"/>
          <w:divBdr>
            <w:top w:val="none" w:sz="0" w:space="0" w:color="auto"/>
            <w:left w:val="none" w:sz="0" w:space="0" w:color="auto"/>
            <w:bottom w:val="none" w:sz="0" w:space="0" w:color="auto"/>
            <w:right w:val="none" w:sz="0" w:space="0" w:color="auto"/>
          </w:divBdr>
        </w:div>
        <w:div w:id="1626766168">
          <w:marLeft w:val="907"/>
          <w:marRight w:val="0"/>
          <w:marTop w:val="100"/>
          <w:marBottom w:val="0"/>
          <w:divBdr>
            <w:top w:val="none" w:sz="0" w:space="0" w:color="auto"/>
            <w:left w:val="none" w:sz="0" w:space="0" w:color="auto"/>
            <w:bottom w:val="none" w:sz="0" w:space="0" w:color="auto"/>
            <w:right w:val="none" w:sz="0" w:space="0" w:color="auto"/>
          </w:divBdr>
        </w:div>
        <w:div w:id="1048458095">
          <w:marLeft w:val="907"/>
          <w:marRight w:val="0"/>
          <w:marTop w:val="100"/>
          <w:marBottom w:val="0"/>
          <w:divBdr>
            <w:top w:val="none" w:sz="0" w:space="0" w:color="auto"/>
            <w:left w:val="none" w:sz="0" w:space="0" w:color="auto"/>
            <w:bottom w:val="none" w:sz="0" w:space="0" w:color="auto"/>
            <w:right w:val="none" w:sz="0" w:space="0" w:color="auto"/>
          </w:divBdr>
        </w:div>
        <w:div w:id="2064671306">
          <w:marLeft w:val="907"/>
          <w:marRight w:val="0"/>
          <w:marTop w:val="100"/>
          <w:marBottom w:val="0"/>
          <w:divBdr>
            <w:top w:val="none" w:sz="0" w:space="0" w:color="auto"/>
            <w:left w:val="none" w:sz="0" w:space="0" w:color="auto"/>
            <w:bottom w:val="none" w:sz="0" w:space="0" w:color="auto"/>
            <w:right w:val="none" w:sz="0" w:space="0" w:color="auto"/>
          </w:divBdr>
        </w:div>
        <w:div w:id="1911966919">
          <w:marLeft w:val="907"/>
          <w:marRight w:val="0"/>
          <w:marTop w:val="100"/>
          <w:marBottom w:val="0"/>
          <w:divBdr>
            <w:top w:val="none" w:sz="0" w:space="0" w:color="auto"/>
            <w:left w:val="none" w:sz="0" w:space="0" w:color="auto"/>
            <w:bottom w:val="none" w:sz="0" w:space="0" w:color="auto"/>
            <w:right w:val="none" w:sz="0" w:space="0" w:color="auto"/>
          </w:divBdr>
        </w:div>
      </w:divsChild>
    </w:div>
    <w:div w:id="607469132">
      <w:bodyDiv w:val="1"/>
      <w:marLeft w:val="0"/>
      <w:marRight w:val="0"/>
      <w:marTop w:val="0"/>
      <w:marBottom w:val="0"/>
      <w:divBdr>
        <w:top w:val="none" w:sz="0" w:space="0" w:color="auto"/>
        <w:left w:val="none" w:sz="0" w:space="0" w:color="auto"/>
        <w:bottom w:val="none" w:sz="0" w:space="0" w:color="auto"/>
        <w:right w:val="none" w:sz="0" w:space="0" w:color="auto"/>
      </w:divBdr>
    </w:div>
    <w:div w:id="2116824672">
      <w:bodyDiv w:val="1"/>
      <w:marLeft w:val="0"/>
      <w:marRight w:val="0"/>
      <w:marTop w:val="0"/>
      <w:marBottom w:val="0"/>
      <w:divBdr>
        <w:top w:val="none" w:sz="0" w:space="0" w:color="auto"/>
        <w:left w:val="none" w:sz="0" w:space="0" w:color="auto"/>
        <w:bottom w:val="none" w:sz="0" w:space="0" w:color="auto"/>
        <w:right w:val="none" w:sz="0" w:space="0" w:color="auto"/>
      </w:divBdr>
      <w:divsChild>
        <w:div w:id="920912740">
          <w:marLeft w:val="446"/>
          <w:marRight w:val="0"/>
          <w:marTop w:val="160"/>
          <w:marBottom w:val="0"/>
          <w:divBdr>
            <w:top w:val="none" w:sz="0" w:space="0" w:color="auto"/>
            <w:left w:val="none" w:sz="0" w:space="0" w:color="auto"/>
            <w:bottom w:val="none" w:sz="0" w:space="0" w:color="auto"/>
            <w:right w:val="none" w:sz="0" w:space="0" w:color="auto"/>
          </w:divBdr>
        </w:div>
        <w:div w:id="308094031">
          <w:marLeft w:val="907"/>
          <w:marRight w:val="0"/>
          <w:marTop w:val="100"/>
          <w:marBottom w:val="0"/>
          <w:divBdr>
            <w:top w:val="none" w:sz="0" w:space="0" w:color="auto"/>
            <w:left w:val="none" w:sz="0" w:space="0" w:color="auto"/>
            <w:bottom w:val="none" w:sz="0" w:space="0" w:color="auto"/>
            <w:right w:val="none" w:sz="0" w:space="0" w:color="auto"/>
          </w:divBdr>
        </w:div>
        <w:div w:id="533692308">
          <w:marLeft w:val="446"/>
          <w:marRight w:val="0"/>
          <w:marTop w:val="160"/>
          <w:marBottom w:val="0"/>
          <w:divBdr>
            <w:top w:val="none" w:sz="0" w:space="0" w:color="auto"/>
            <w:left w:val="none" w:sz="0" w:space="0" w:color="auto"/>
            <w:bottom w:val="none" w:sz="0" w:space="0" w:color="auto"/>
            <w:right w:val="none" w:sz="0" w:space="0" w:color="auto"/>
          </w:divBdr>
        </w:div>
        <w:div w:id="234361693">
          <w:marLeft w:val="446"/>
          <w:marRight w:val="0"/>
          <w:marTop w:val="160"/>
          <w:marBottom w:val="0"/>
          <w:divBdr>
            <w:top w:val="none" w:sz="0" w:space="0" w:color="auto"/>
            <w:left w:val="none" w:sz="0" w:space="0" w:color="auto"/>
            <w:bottom w:val="none" w:sz="0" w:space="0" w:color="auto"/>
            <w:right w:val="none" w:sz="0" w:space="0" w:color="auto"/>
          </w:divBdr>
        </w:div>
        <w:div w:id="673722304">
          <w:marLeft w:val="907"/>
          <w:marRight w:val="0"/>
          <w:marTop w:val="100"/>
          <w:marBottom w:val="0"/>
          <w:divBdr>
            <w:top w:val="none" w:sz="0" w:space="0" w:color="auto"/>
            <w:left w:val="none" w:sz="0" w:space="0" w:color="auto"/>
            <w:bottom w:val="none" w:sz="0" w:space="0" w:color="auto"/>
            <w:right w:val="none" w:sz="0" w:space="0" w:color="auto"/>
          </w:divBdr>
        </w:div>
        <w:div w:id="413279738">
          <w:marLeft w:val="907"/>
          <w:marRight w:val="0"/>
          <w:marTop w:val="100"/>
          <w:marBottom w:val="0"/>
          <w:divBdr>
            <w:top w:val="none" w:sz="0" w:space="0" w:color="auto"/>
            <w:left w:val="none" w:sz="0" w:space="0" w:color="auto"/>
            <w:bottom w:val="none" w:sz="0" w:space="0" w:color="auto"/>
            <w:right w:val="none" w:sz="0" w:space="0" w:color="auto"/>
          </w:divBdr>
        </w:div>
        <w:div w:id="260576313">
          <w:marLeft w:val="446"/>
          <w:marRight w:val="0"/>
          <w:marTop w:val="160"/>
          <w:marBottom w:val="0"/>
          <w:divBdr>
            <w:top w:val="none" w:sz="0" w:space="0" w:color="auto"/>
            <w:left w:val="none" w:sz="0" w:space="0" w:color="auto"/>
            <w:bottom w:val="none" w:sz="0" w:space="0" w:color="auto"/>
            <w:right w:val="none" w:sz="0" w:space="0" w:color="auto"/>
          </w:divBdr>
        </w:div>
        <w:div w:id="385376529">
          <w:marLeft w:val="446"/>
          <w:marRight w:val="0"/>
          <w:marTop w:val="160"/>
          <w:marBottom w:val="0"/>
          <w:divBdr>
            <w:top w:val="none" w:sz="0" w:space="0" w:color="auto"/>
            <w:left w:val="none" w:sz="0" w:space="0" w:color="auto"/>
            <w:bottom w:val="none" w:sz="0" w:space="0" w:color="auto"/>
            <w:right w:val="none" w:sz="0" w:space="0" w:color="auto"/>
          </w:divBdr>
        </w:div>
        <w:div w:id="2127037115">
          <w:marLeft w:val="446"/>
          <w:marRight w:val="0"/>
          <w:marTop w:val="160"/>
          <w:marBottom w:val="0"/>
          <w:divBdr>
            <w:top w:val="none" w:sz="0" w:space="0" w:color="auto"/>
            <w:left w:val="none" w:sz="0" w:space="0" w:color="auto"/>
            <w:bottom w:val="none" w:sz="0" w:space="0" w:color="auto"/>
            <w:right w:val="none" w:sz="0" w:space="0" w:color="auto"/>
          </w:divBdr>
        </w:div>
        <w:div w:id="1530755596">
          <w:marLeft w:val="446"/>
          <w:marRight w:val="0"/>
          <w:marTop w:val="160"/>
          <w:marBottom w:val="0"/>
          <w:divBdr>
            <w:top w:val="none" w:sz="0" w:space="0" w:color="auto"/>
            <w:left w:val="none" w:sz="0" w:space="0" w:color="auto"/>
            <w:bottom w:val="none" w:sz="0" w:space="0" w:color="auto"/>
            <w:right w:val="none" w:sz="0" w:space="0" w:color="auto"/>
          </w:divBdr>
        </w:div>
        <w:div w:id="1227958134">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urban@redbridg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Atkinson</dc:creator>
  <cp:keywords/>
  <dc:description/>
  <cp:lastModifiedBy>Mark Baigent</cp:lastModifiedBy>
  <cp:revision>2</cp:revision>
  <dcterms:created xsi:type="dcterms:W3CDTF">2024-06-03T13:49:00Z</dcterms:created>
  <dcterms:modified xsi:type="dcterms:W3CDTF">2024-06-03T13:49:00Z</dcterms:modified>
</cp:coreProperties>
</file>