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firstLine="0"/>
        <w:jc w:val="center"/>
        <w:rPr>
          <w:b w:val="1"/>
          <w:highlight w:val="white"/>
        </w:rPr>
      </w:pPr>
      <w:r w:rsidDel="00000000" w:rsidR="00000000" w:rsidRPr="00000000">
        <w:rPr>
          <w:rtl w:val="0"/>
        </w:rPr>
      </w:r>
    </w:p>
    <w:p w:rsidR="00000000" w:rsidDel="00000000" w:rsidP="00000000" w:rsidRDefault="00000000" w:rsidRPr="00000000" w14:paraId="00000002">
      <w:pPr>
        <w:spacing w:after="120" w:before="120" w:lineRule="auto"/>
        <w:jc w:val="center"/>
        <w:rPr>
          <w:b w:val="1"/>
          <w:color w:val="b45f06"/>
          <w:sz w:val="46"/>
          <w:szCs w:val="46"/>
          <w:u w:val="single"/>
        </w:rPr>
      </w:pPr>
      <w:r w:rsidDel="00000000" w:rsidR="00000000" w:rsidRPr="00000000">
        <w:rPr>
          <w:b w:val="1"/>
          <w:sz w:val="26"/>
          <w:szCs w:val="26"/>
          <w:highlight w:val="white"/>
          <w:rtl w:val="0"/>
        </w:rPr>
        <w:t xml:space="preserve">Mental Health Supported Housing &amp; Floating Support</w:t>
      </w:r>
      <w:r w:rsidDel="00000000" w:rsidR="00000000" w:rsidRPr="00000000">
        <w:rPr>
          <w:rtl w:val="0"/>
        </w:rPr>
      </w:r>
    </w:p>
    <w:p w:rsidR="00000000" w:rsidDel="00000000" w:rsidP="00000000" w:rsidRDefault="00000000" w:rsidRPr="00000000" w14:paraId="00000003">
      <w:pPr>
        <w:jc w:val="left"/>
        <w:rPr>
          <w:b w:val="1"/>
          <w:color w:val="1f1f1f"/>
          <w:sz w:val="25"/>
          <w:szCs w:val="25"/>
          <w:highlight w:val="white"/>
          <w:u w:val="single"/>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tabs>
          <w:tab w:val="left" w:leader="none" w:pos="720"/>
        </w:tabs>
        <w:spacing w:after="120" w:before="120" w:lineRule="auto"/>
        <w:jc w:val="center"/>
        <w:rPr>
          <w:b w:val="1"/>
          <w:smallCaps w:val="1"/>
        </w:rPr>
      </w:pPr>
      <w:r w:rsidDel="00000000" w:rsidR="00000000" w:rsidRPr="00000000">
        <w:rPr>
          <w:b w:val="1"/>
          <w:smallCaps w:val="1"/>
          <w:rtl w:val="0"/>
        </w:rPr>
        <w:t xml:space="preserve">FREEDOM OF INFORMATION</w:t>
      </w:r>
    </w:p>
    <w:p w:rsidR="00000000" w:rsidDel="00000000" w:rsidP="00000000" w:rsidRDefault="00000000" w:rsidRPr="00000000" w14:paraId="00000005">
      <w:pPr>
        <w:keepNext w:val="1"/>
        <w:spacing w:after="120" w:before="120" w:line="276" w:lineRule="auto"/>
        <w:rPr/>
      </w:pPr>
      <w:r w:rsidDel="00000000" w:rsidR="00000000" w:rsidRPr="00000000">
        <w:rPr>
          <w:rtl w:val="0"/>
        </w:rPr>
      </w:r>
    </w:p>
    <w:p w:rsidR="00000000" w:rsidDel="00000000" w:rsidP="00000000" w:rsidRDefault="00000000" w:rsidRPr="00000000" w14:paraId="00000006">
      <w:pPr>
        <w:keepNext w:val="1"/>
        <w:spacing w:after="120" w:before="120" w:line="276" w:lineRule="auto"/>
        <w:rPr/>
      </w:pPr>
      <w:r w:rsidDel="00000000" w:rsidR="00000000" w:rsidRPr="00000000">
        <w:rPr>
          <w:rtl w:val="0"/>
        </w:rPr>
        <w:t xml:space="preserve">Information considered exempt from Freedom of Information requests:</w:t>
      </w:r>
    </w:p>
    <w:p w:rsidR="00000000" w:rsidDel="00000000" w:rsidP="00000000" w:rsidRDefault="00000000" w:rsidRPr="00000000" w14:paraId="00000007">
      <w:pPr>
        <w:spacing w:after="120" w:before="120" w:line="276" w:lineRule="auto"/>
        <w:ind w:left="720" w:hanging="720"/>
        <w:rPr/>
      </w:pPr>
      <w:r w:rsidDel="00000000" w:rsidR="00000000" w:rsidRPr="00000000">
        <w:rPr>
          <w:rtl w:val="0"/>
        </w:rPr>
        <w:t xml:space="preserve">1.</w:t>
        <w:tab/>
        <w:t xml:space="preserve">Any information supplied, which the Tenderer considers may be potentially exempt from disclosure under the Freedom of Information Act 2000 </w:t>
      </w:r>
      <w:r w:rsidDel="00000000" w:rsidR="00000000" w:rsidRPr="00000000">
        <w:rPr>
          <w:b w:val="1"/>
          <w:rtl w:val="0"/>
        </w:rPr>
        <w:t xml:space="preserve">MUST</w:t>
      </w:r>
      <w:r w:rsidDel="00000000" w:rsidR="00000000" w:rsidRPr="00000000">
        <w:rPr>
          <w:rtl w:val="0"/>
        </w:rPr>
        <w:t xml:space="preserve"> be set out in this section.</w:t>
      </w:r>
    </w:p>
    <w:p w:rsidR="00000000" w:rsidDel="00000000" w:rsidP="00000000" w:rsidRDefault="00000000" w:rsidRPr="00000000" w14:paraId="00000008">
      <w:pPr>
        <w:spacing w:after="120" w:before="120" w:line="276" w:lineRule="auto"/>
        <w:ind w:left="720" w:hanging="720"/>
        <w:rPr/>
      </w:pPr>
      <w:r w:rsidDel="00000000" w:rsidR="00000000" w:rsidRPr="00000000">
        <w:rPr>
          <w:rtl w:val="0"/>
        </w:rPr>
        <w:t xml:space="preserve">2.</w:t>
        <w:tab/>
        <w:t xml:space="preserve">Any information not contained in this section will be subject to disclosure without any prior consultation.</w:t>
      </w:r>
    </w:p>
    <w:p w:rsidR="00000000" w:rsidDel="00000000" w:rsidP="00000000" w:rsidRDefault="00000000" w:rsidRPr="00000000" w14:paraId="00000009">
      <w:pPr>
        <w:spacing w:after="120" w:before="120" w:line="276" w:lineRule="auto"/>
        <w:ind w:left="720" w:hanging="720"/>
        <w:rPr/>
      </w:pPr>
      <w:r w:rsidDel="00000000" w:rsidR="00000000" w:rsidRPr="00000000">
        <w:rPr>
          <w:rtl w:val="0"/>
        </w:rPr>
        <w:t xml:space="preserve">3.</w:t>
        <w:tab/>
        <w:t xml:space="preserve">The information considered to be exempt must be referred to in the table below; this could be a whole section of the documentation provided, a clause or paragraph in the documentation provided.</w:t>
      </w:r>
    </w:p>
    <w:p w:rsidR="00000000" w:rsidDel="00000000" w:rsidP="00000000" w:rsidRDefault="00000000" w:rsidRPr="00000000" w14:paraId="0000000A">
      <w:pPr>
        <w:spacing w:after="120" w:before="120" w:line="276" w:lineRule="auto"/>
        <w:ind w:left="720" w:hanging="720"/>
        <w:rPr/>
      </w:pPr>
      <w:r w:rsidDel="00000000" w:rsidR="00000000" w:rsidRPr="00000000">
        <w:rPr>
          <w:rtl w:val="0"/>
        </w:rPr>
        <w:t xml:space="preserve">4.</w:t>
        <w:tab/>
        <w:t xml:space="preserve">The Tenderer should set out in this section of the Tender documents to be returned, that information which it considers to be exempt from disclosure, the reason for non-disclosure, the exemption that might be applicable and the time period for which this information should be considered to be exempt.</w:t>
      </w:r>
    </w:p>
    <w:p w:rsidR="00000000" w:rsidDel="00000000" w:rsidP="00000000" w:rsidRDefault="00000000" w:rsidRPr="00000000" w14:paraId="0000000B">
      <w:pPr>
        <w:spacing w:after="120" w:before="120" w:line="276" w:lineRule="auto"/>
        <w:ind w:left="720" w:hanging="720"/>
        <w:rPr/>
      </w:pPr>
      <w:r w:rsidDel="00000000" w:rsidR="00000000" w:rsidRPr="00000000">
        <w:rPr>
          <w:rtl w:val="0"/>
        </w:rPr>
        <w:t xml:space="preserve">5.</w:t>
        <w:tab/>
        <w:t xml:space="preserve">The Tenderer acknowledges nevertheless that any information contained within this section is indicative only and The Royal Borough of Kingston may nevertheless be required to disclose such information under the FOIA or the EIR. The Tenderer should also include in this section the name and contact details of a link person who will be able to handle Freedom of Information requests.</w:t>
      </w:r>
    </w:p>
    <w:p w:rsidR="00000000" w:rsidDel="00000000" w:rsidP="00000000" w:rsidRDefault="00000000" w:rsidRPr="00000000" w14:paraId="0000000C">
      <w:pPr>
        <w:spacing w:after="120" w:before="120" w:lineRule="auto"/>
        <w:ind w:left="720" w:hanging="720"/>
        <w:rPr/>
      </w:pPr>
      <w:r w:rsidDel="00000000" w:rsidR="00000000" w:rsidRPr="00000000">
        <w:rPr>
          <w:rtl w:val="0"/>
        </w:rPr>
      </w:r>
    </w:p>
    <w:p w:rsidR="00000000" w:rsidDel="00000000" w:rsidP="00000000" w:rsidRDefault="00000000" w:rsidRPr="00000000" w14:paraId="0000000D">
      <w:pPr>
        <w:spacing w:after="120" w:before="120" w:lineRule="auto"/>
        <w:ind w:left="720" w:hanging="720"/>
        <w:rPr/>
      </w:pPr>
      <w:r w:rsidDel="00000000" w:rsidR="00000000" w:rsidRPr="00000000">
        <w:rPr>
          <w:rtl w:val="0"/>
        </w:rPr>
      </w:r>
    </w:p>
    <w:p w:rsidR="00000000" w:rsidDel="00000000" w:rsidP="00000000" w:rsidRDefault="00000000" w:rsidRPr="00000000" w14:paraId="0000000E">
      <w:pPr>
        <w:spacing w:after="120" w:before="120" w:lineRule="auto"/>
        <w:ind w:left="720" w:hanging="720"/>
        <w:rPr/>
      </w:pPr>
      <w:r w:rsidDel="00000000" w:rsidR="00000000" w:rsidRPr="00000000">
        <w:rPr>
          <w:rtl w:val="0"/>
        </w:rPr>
      </w:r>
    </w:p>
    <w:p w:rsidR="00000000" w:rsidDel="00000000" w:rsidP="00000000" w:rsidRDefault="00000000" w:rsidRPr="00000000" w14:paraId="0000000F">
      <w:pPr>
        <w:spacing w:after="120" w:before="120" w:lineRule="auto"/>
        <w:ind w:left="720" w:hanging="720"/>
        <w:rPr/>
      </w:pPr>
      <w:r w:rsidDel="00000000" w:rsidR="00000000" w:rsidRPr="00000000">
        <w:rPr>
          <w:rtl w:val="0"/>
        </w:rPr>
      </w:r>
    </w:p>
    <w:p w:rsidR="00000000" w:rsidDel="00000000" w:rsidP="00000000" w:rsidRDefault="00000000" w:rsidRPr="00000000" w14:paraId="00000010">
      <w:pPr>
        <w:spacing w:after="120" w:before="120" w:lineRule="auto"/>
        <w:ind w:left="720" w:hanging="720"/>
        <w:rPr/>
      </w:pPr>
      <w:r w:rsidDel="00000000" w:rsidR="00000000" w:rsidRPr="00000000">
        <w:rPr>
          <w:rtl w:val="0"/>
        </w:rPr>
      </w:r>
    </w:p>
    <w:p w:rsidR="00000000" w:rsidDel="00000000" w:rsidP="00000000" w:rsidRDefault="00000000" w:rsidRPr="00000000" w14:paraId="00000011">
      <w:pPr>
        <w:spacing w:after="120" w:before="120" w:lineRule="auto"/>
        <w:ind w:left="720" w:hanging="720"/>
        <w:rPr/>
      </w:pPr>
      <w:r w:rsidDel="00000000" w:rsidR="00000000" w:rsidRPr="00000000">
        <w:rPr>
          <w:rtl w:val="0"/>
        </w:rPr>
      </w:r>
    </w:p>
    <w:p w:rsidR="00000000" w:rsidDel="00000000" w:rsidP="00000000" w:rsidRDefault="00000000" w:rsidRPr="00000000" w14:paraId="00000012">
      <w:pPr>
        <w:spacing w:after="120" w:before="120" w:lineRule="auto"/>
        <w:ind w:left="720" w:hanging="720"/>
        <w:rPr/>
      </w:pPr>
      <w:r w:rsidDel="00000000" w:rsidR="00000000" w:rsidRPr="00000000">
        <w:rPr>
          <w:rtl w:val="0"/>
        </w:rPr>
      </w:r>
    </w:p>
    <w:p w:rsidR="00000000" w:rsidDel="00000000" w:rsidP="00000000" w:rsidRDefault="00000000" w:rsidRPr="00000000" w14:paraId="00000013">
      <w:pPr>
        <w:spacing w:after="120" w:before="120" w:lineRule="auto"/>
        <w:ind w:left="720" w:hanging="720"/>
        <w:rPr/>
      </w:pPr>
      <w:r w:rsidDel="00000000" w:rsidR="00000000" w:rsidRPr="00000000">
        <w:rPr>
          <w:rtl w:val="0"/>
        </w:rPr>
      </w:r>
    </w:p>
    <w:p w:rsidR="00000000" w:rsidDel="00000000" w:rsidP="00000000" w:rsidRDefault="00000000" w:rsidRPr="00000000" w14:paraId="00000014">
      <w:pPr>
        <w:spacing w:after="120" w:before="120" w:lineRule="auto"/>
        <w:ind w:left="720" w:hanging="720"/>
        <w:rPr/>
      </w:pPr>
      <w:r w:rsidDel="00000000" w:rsidR="00000000" w:rsidRPr="00000000">
        <w:rPr>
          <w:rtl w:val="0"/>
        </w:rPr>
      </w:r>
    </w:p>
    <w:tbl>
      <w:tblPr>
        <w:tblStyle w:val="Table1"/>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f3f3f3" w:val="clear"/>
          </w:tcPr>
          <w:p w:rsidR="00000000" w:rsidDel="00000000" w:rsidP="00000000" w:rsidRDefault="00000000" w:rsidRPr="00000000" w14:paraId="00000015">
            <w:pPr>
              <w:spacing w:after="120" w:before="120" w:lineRule="auto"/>
              <w:rPr/>
            </w:pPr>
            <w:r w:rsidDel="00000000" w:rsidR="00000000" w:rsidRPr="00000000">
              <w:rPr>
                <w:b w:val="1"/>
                <w:rtl w:val="0"/>
              </w:rPr>
              <w:t xml:space="preserve">Exempted Information (cross reference to Tender)</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16">
            <w:pPr>
              <w:spacing w:after="120" w:before="120" w:lineRule="auto"/>
              <w:rPr>
                <w:b w:val="1"/>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7">
            <w:pPr>
              <w:spacing w:after="120" w:before="120" w:lineRule="auto"/>
              <w:rPr>
                <w:b w:val="1"/>
              </w:rPr>
            </w:pPr>
            <w:r w:rsidDel="00000000" w:rsidR="00000000" w:rsidRPr="00000000">
              <w:rPr>
                <w:b w:val="1"/>
                <w:rtl w:val="0"/>
              </w:rPr>
              <w:t xml:space="preserve">Reasons for Exemption</w:t>
            </w:r>
          </w:p>
        </w:tc>
      </w:tr>
      <w:tr>
        <w:trPr>
          <w:cantSplit w:val="0"/>
          <w:tblHeader w:val="0"/>
        </w:trPr>
        <w:tc>
          <w:tcPr/>
          <w:p w:rsidR="00000000" w:rsidDel="00000000" w:rsidP="00000000" w:rsidRDefault="00000000" w:rsidRPr="00000000" w14:paraId="00000018">
            <w:pPr>
              <w:spacing w:after="120" w:before="120" w:lineRule="auto"/>
              <w:rPr>
                <w:b w:val="1"/>
              </w:rPr>
            </w:pPr>
            <w:r w:rsidDel="00000000" w:rsidR="00000000" w:rsidRPr="00000000">
              <w:rPr>
                <w:rtl w:val="0"/>
              </w:rPr>
            </w:r>
          </w:p>
          <w:p w:rsidR="00000000" w:rsidDel="00000000" w:rsidP="00000000" w:rsidRDefault="00000000" w:rsidRPr="00000000" w14:paraId="00000019">
            <w:pPr>
              <w:spacing w:after="120" w:before="120" w:lineRule="auto"/>
              <w:rPr>
                <w:b w:val="1"/>
              </w:rPr>
            </w:pPr>
            <w:r w:rsidDel="00000000" w:rsidR="00000000" w:rsidRPr="00000000">
              <w:rPr>
                <w:rtl w:val="0"/>
              </w:rPr>
            </w:r>
          </w:p>
          <w:p w:rsidR="00000000" w:rsidDel="00000000" w:rsidP="00000000" w:rsidRDefault="00000000" w:rsidRPr="00000000" w14:paraId="0000001A">
            <w:pPr>
              <w:spacing w:after="120" w:before="120" w:lineRule="auto"/>
              <w:rPr>
                <w:b w:val="1"/>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B">
            <w:pPr>
              <w:spacing w:after="120" w:before="120" w:lineRule="auto"/>
              <w:rPr>
                <w:b w:val="1"/>
              </w:rPr>
            </w:pPr>
            <w:r w:rsidDel="00000000" w:rsidR="00000000" w:rsidRPr="00000000">
              <w:rPr>
                <w:b w:val="1"/>
                <w:rtl w:val="0"/>
              </w:rPr>
              <w:t xml:space="preserve">Exemption to be Applied</w:t>
            </w:r>
          </w:p>
        </w:tc>
      </w:tr>
      <w:tr>
        <w:trPr>
          <w:cantSplit w:val="0"/>
          <w:tblHeader w:val="0"/>
        </w:trPr>
        <w:tc>
          <w:tcPr/>
          <w:p w:rsidR="00000000" w:rsidDel="00000000" w:rsidP="00000000" w:rsidRDefault="00000000" w:rsidRPr="00000000" w14:paraId="0000001C">
            <w:pPr>
              <w:spacing w:after="120" w:before="120" w:lineRule="auto"/>
              <w:rPr>
                <w:b w:val="1"/>
              </w:rPr>
            </w:pPr>
            <w:r w:rsidDel="00000000" w:rsidR="00000000" w:rsidRPr="00000000">
              <w:rPr>
                <w:rtl w:val="0"/>
              </w:rPr>
            </w:r>
          </w:p>
          <w:p w:rsidR="00000000" w:rsidDel="00000000" w:rsidP="00000000" w:rsidRDefault="00000000" w:rsidRPr="00000000" w14:paraId="0000001D">
            <w:pPr>
              <w:spacing w:after="120" w:before="120" w:lineRule="auto"/>
              <w:rPr>
                <w:b w:val="1"/>
              </w:rPr>
            </w:pPr>
            <w:r w:rsidDel="00000000" w:rsidR="00000000" w:rsidRPr="00000000">
              <w:rPr>
                <w:rtl w:val="0"/>
              </w:rPr>
            </w:r>
          </w:p>
          <w:p w:rsidR="00000000" w:rsidDel="00000000" w:rsidP="00000000" w:rsidRDefault="00000000" w:rsidRPr="00000000" w14:paraId="0000001E">
            <w:pPr>
              <w:spacing w:after="120" w:before="120" w:lineRule="auto"/>
              <w:rPr>
                <w:b w:val="1"/>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F">
            <w:pPr>
              <w:spacing w:after="120" w:before="120" w:lineRule="auto"/>
              <w:rPr>
                <w:b w:val="1"/>
              </w:rPr>
            </w:pPr>
            <w:r w:rsidDel="00000000" w:rsidR="00000000" w:rsidRPr="00000000">
              <w:rPr>
                <w:b w:val="1"/>
                <w:rtl w:val="0"/>
              </w:rPr>
              <w:t xml:space="preserve">Time Period for Exemption</w:t>
            </w:r>
          </w:p>
        </w:tc>
      </w:tr>
      <w:tr>
        <w:trPr>
          <w:cantSplit w:val="0"/>
          <w:tblHeader w:val="0"/>
        </w:trPr>
        <w:tc>
          <w:tcPr/>
          <w:p w:rsidR="00000000" w:rsidDel="00000000" w:rsidP="00000000" w:rsidRDefault="00000000" w:rsidRPr="00000000" w14:paraId="00000020">
            <w:pPr>
              <w:spacing w:after="120" w:before="120" w:lineRule="auto"/>
              <w:rPr>
                <w:b w:val="1"/>
              </w:rPr>
            </w:pPr>
            <w:r w:rsidDel="00000000" w:rsidR="00000000" w:rsidRPr="00000000">
              <w:rPr>
                <w:rtl w:val="0"/>
              </w:rPr>
            </w:r>
          </w:p>
          <w:p w:rsidR="00000000" w:rsidDel="00000000" w:rsidP="00000000" w:rsidRDefault="00000000" w:rsidRPr="00000000" w14:paraId="00000021">
            <w:pPr>
              <w:spacing w:after="120" w:before="120" w:lineRule="auto"/>
              <w:rPr>
                <w:b w:val="1"/>
              </w:rPr>
            </w:pPr>
            <w:r w:rsidDel="00000000" w:rsidR="00000000" w:rsidRPr="00000000">
              <w:rPr>
                <w:rtl w:val="0"/>
              </w:rPr>
            </w:r>
          </w:p>
          <w:p w:rsidR="00000000" w:rsidDel="00000000" w:rsidP="00000000" w:rsidRDefault="00000000" w:rsidRPr="00000000" w14:paraId="00000022">
            <w:pPr>
              <w:spacing w:after="120" w:before="120" w:lineRule="auto"/>
              <w:rPr>
                <w:b w:val="1"/>
              </w:rPr>
            </w:pPr>
            <w:r w:rsidDel="00000000" w:rsidR="00000000" w:rsidRPr="00000000">
              <w:rPr>
                <w:rtl w:val="0"/>
              </w:rPr>
            </w:r>
          </w:p>
        </w:tc>
      </w:tr>
    </w:tbl>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left"/>
        <w:rPr>
          <w:rFonts w:ascii="MS Gothic" w:cs="MS Gothic" w:eastAsia="MS Gothic" w:hAnsi="MS Gothic"/>
          <w:sz w:val="52"/>
          <w:szCs w:val="52"/>
        </w:rPr>
      </w:pPr>
      <w:r w:rsidDel="00000000" w:rsidR="00000000" w:rsidRPr="00000000">
        <w:rPr>
          <w:b w:val="1"/>
          <w:rtl w:val="0"/>
        </w:rPr>
        <w:t xml:space="preserve">None of the information submitted is considered exempted</w:t>
      </w:r>
      <w:r w:rsidDel="00000000" w:rsidR="00000000" w:rsidRPr="00000000">
        <w:rPr>
          <w:rtl w:val="0"/>
        </w:rPr>
        <w:t xml:space="preserve">   </w:t>
      </w:r>
      <w:r w:rsidDel="00000000" w:rsidR="00000000" w:rsidRPr="00000000">
        <w:rPr>
          <w:rFonts w:ascii="MS Gothic" w:cs="MS Gothic" w:eastAsia="MS Gothic" w:hAnsi="MS Gothic"/>
          <w:sz w:val="52"/>
          <w:szCs w:val="52"/>
          <w:rtl w:val="0"/>
        </w:rPr>
        <w:t xml:space="preserve">☐</w:t>
      </w:r>
    </w:p>
    <w:p w:rsidR="00000000" w:rsidDel="00000000" w:rsidP="00000000" w:rsidRDefault="00000000" w:rsidRPr="00000000" w14:paraId="00000025">
      <w:pPr>
        <w:spacing w:line="276" w:lineRule="auto"/>
        <w:jc w:val="left"/>
        <w:rPr>
          <w:sz w:val="22"/>
          <w:szCs w:val="22"/>
        </w:rPr>
      </w:pPr>
      <w:r w:rsidDel="00000000" w:rsidR="00000000" w:rsidRPr="00000000">
        <w:rPr>
          <w:rtl w:val="0"/>
        </w:rPr>
      </w:r>
    </w:p>
    <w:p w:rsidR="00000000" w:rsidDel="00000000" w:rsidP="00000000" w:rsidRDefault="00000000" w:rsidRPr="00000000" w14:paraId="00000026">
      <w:pPr>
        <w:spacing w:after="240" w:lineRule="auto"/>
        <w:rPr>
          <w:sz w:val="22"/>
          <w:szCs w:val="22"/>
        </w:rPr>
      </w:pPr>
      <w:r w:rsidDel="00000000" w:rsidR="00000000" w:rsidRPr="00000000">
        <w:rPr>
          <w:rtl w:val="0"/>
        </w:rPr>
      </w:r>
    </w:p>
    <w:tbl>
      <w:tblPr>
        <w:tblStyle w:val="Table2"/>
        <w:tblW w:w="8505.0" w:type="dxa"/>
        <w:jc w:val="left"/>
        <w:tblBorders>
          <w:top w:color="000000" w:space="0" w:sz="0" w:val="nil"/>
          <w:left w:color="000000" w:space="0" w:sz="0" w:val="nil"/>
          <w:bottom w:color="000000" w:space="0" w:sz="0" w:val="nil"/>
          <w:right w:color="000000" w:space="0" w:sz="0" w:val="nil"/>
          <w:insideH w:color="cccbcd" w:space="0" w:sz="4" w:val="single"/>
          <w:insideV w:color="000000" w:space="0" w:sz="0" w:val="nil"/>
        </w:tblBorders>
        <w:tblLayout w:type="fixed"/>
        <w:tblLook w:val="0000"/>
      </w:tblPr>
      <w:tblGrid>
        <w:gridCol w:w="2490"/>
        <w:gridCol w:w="3030"/>
        <w:gridCol w:w="855"/>
        <w:gridCol w:w="2130"/>
        <w:tblGridChange w:id="0">
          <w:tblGrid>
            <w:gridCol w:w="2490"/>
            <w:gridCol w:w="3030"/>
            <w:gridCol w:w="855"/>
            <w:gridCol w:w="21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27">
            <w:pPr>
              <w:spacing w:after="120" w:before="120" w:lineRule="auto"/>
              <w:ind w:left="100" w:firstLine="0"/>
              <w:jc w:val="left"/>
              <w:rPr>
                <w:b w:val="1"/>
                <w:sz w:val="22"/>
                <w:szCs w:val="22"/>
              </w:rPr>
            </w:pPr>
            <w:r w:rsidDel="00000000" w:rsidR="00000000" w:rsidRPr="00000000">
              <w:rPr>
                <w:b w:val="1"/>
                <w:sz w:val="22"/>
                <w:szCs w:val="22"/>
                <w:rtl w:val="0"/>
              </w:rPr>
              <w:t xml:space="preserve">Signed: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after="120" w:before="12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Mar>
              <w:left w:w="108.0" w:type="dxa"/>
              <w:right w:w="108.0" w:type="dxa"/>
            </w:tcMar>
          </w:tcPr>
          <w:p w:rsidR="00000000" w:rsidDel="00000000" w:rsidP="00000000" w:rsidRDefault="00000000" w:rsidRPr="00000000" w14:paraId="00000029">
            <w:pPr>
              <w:spacing w:after="120" w:before="120" w:lineRule="auto"/>
              <w:rPr>
                <w:b w:val="1"/>
                <w:sz w:val="22"/>
                <w:szCs w:val="22"/>
              </w:rPr>
            </w:pPr>
            <w:r w:rsidDel="00000000" w:rsidR="00000000" w:rsidRPr="00000000">
              <w:rPr>
                <w:b w:val="1"/>
                <w:sz w:val="22"/>
                <w:szCs w:val="22"/>
                <w:rtl w:val="0"/>
              </w:rPr>
              <w:t xml:space="preserve">Date: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A">
            <w:pPr>
              <w:spacing w:after="120" w:before="120" w:lineRule="auto"/>
              <w:rPr>
                <w:sz w:val="22"/>
                <w:szCs w:val="22"/>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2B">
            <w:pPr>
              <w:spacing w:after="120" w:before="120" w:lineRule="auto"/>
              <w:ind w:left="100" w:firstLine="0"/>
              <w:jc w:val="left"/>
              <w:rPr>
                <w:b w:val="1"/>
                <w:sz w:val="22"/>
                <w:szCs w:val="22"/>
              </w:rPr>
            </w:pPr>
            <w:r w:rsidDel="00000000" w:rsidR="00000000" w:rsidRPr="00000000">
              <w:rPr>
                <w:b w:val="1"/>
                <w:sz w:val="22"/>
                <w:szCs w:val="22"/>
                <w:rtl w:val="0"/>
              </w:rPr>
              <w:t xml:space="preserve">Name:</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120" w:before="120" w:lineRule="auto"/>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Mar>
              <w:top w:w="0.0" w:type="dxa"/>
              <w:left w:w="108.0" w:type="dxa"/>
              <w:bottom w:w="0.0" w:type="dxa"/>
              <w:right w:w="108.0" w:type="dxa"/>
            </w:tcMar>
          </w:tcPr>
          <w:p w:rsidR="00000000" w:rsidDel="00000000" w:rsidP="00000000" w:rsidRDefault="00000000" w:rsidRPr="00000000" w14:paraId="0000002F">
            <w:pPr>
              <w:spacing w:after="120" w:before="120" w:lineRule="auto"/>
              <w:jc w:val="left"/>
              <w:rPr>
                <w:b w:val="1"/>
                <w:sz w:val="22"/>
                <w:szCs w:val="22"/>
              </w:rPr>
            </w:pPr>
            <w:r w:rsidDel="00000000" w:rsidR="00000000" w:rsidRPr="00000000">
              <w:rPr>
                <w:b w:val="1"/>
                <w:sz w:val="22"/>
                <w:szCs w:val="22"/>
                <w:rtl w:val="0"/>
              </w:rPr>
              <w:t xml:space="preserve">Position:</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0">
            <w:pPr>
              <w:spacing w:after="120" w:before="120" w:lineRule="auto"/>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Mar>
              <w:top w:w="0.0" w:type="dxa"/>
              <w:left w:w="108.0" w:type="dxa"/>
              <w:bottom w:w="0.0" w:type="dxa"/>
              <w:right w:w="108.0" w:type="dxa"/>
            </w:tcMar>
          </w:tcPr>
          <w:p w:rsidR="00000000" w:rsidDel="00000000" w:rsidP="00000000" w:rsidRDefault="00000000" w:rsidRPr="00000000" w14:paraId="00000033">
            <w:pPr>
              <w:spacing w:after="120" w:before="120" w:lineRule="auto"/>
              <w:jc w:val="left"/>
              <w:rPr>
                <w:b w:val="1"/>
                <w:sz w:val="22"/>
                <w:szCs w:val="22"/>
              </w:rPr>
            </w:pPr>
            <w:r w:rsidDel="00000000" w:rsidR="00000000" w:rsidRPr="00000000">
              <w:rPr>
                <w:b w:val="1"/>
                <w:sz w:val="22"/>
                <w:szCs w:val="22"/>
                <w:rtl w:val="0"/>
              </w:rPr>
              <w:t xml:space="preserve">For and on behalf of: </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4">
            <w:pPr>
              <w:spacing w:after="120" w:before="120" w:lineRule="auto"/>
              <w:rPr>
                <w:sz w:val="22"/>
                <w:szCs w:val="22"/>
              </w:rPr>
            </w:pPr>
            <w:r w:rsidDel="00000000" w:rsidR="00000000" w:rsidRPr="00000000">
              <w:rPr>
                <w:rtl w:val="0"/>
              </w:rPr>
            </w:r>
          </w:p>
        </w:tc>
      </w:tr>
    </w:tbl>
    <w:p w:rsidR="00000000" w:rsidDel="00000000" w:rsidP="00000000" w:rsidRDefault="00000000" w:rsidRPr="00000000" w14:paraId="00000037">
      <w:pPr>
        <w:spacing w:after="240" w:lineRule="auto"/>
        <w:rPr>
          <w:rFonts w:ascii="MS Gothic" w:cs="MS Gothic" w:eastAsia="MS Gothic" w:hAnsi="MS Gothic"/>
          <w:sz w:val="40"/>
          <w:szCs w:val="40"/>
        </w:rPr>
      </w:pPr>
      <w:r w:rsidDel="00000000" w:rsidR="00000000" w:rsidRPr="00000000">
        <w:rPr>
          <w:rtl w:val="0"/>
        </w:rPr>
      </w:r>
    </w:p>
    <w:sectPr>
      <w:headerReference r:id="rId7" w:type="default"/>
      <w:headerReference r:id="rId8" w:type="first"/>
      <w:footerReference r:id="rId9" w:type="firs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001777"/>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001777"/>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2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28.0" w:type="dxa"/>
      </w:tblCellMar>
    </w:tblPr>
  </w:style>
  <w:style w:type="table" w:styleId="Table2">
    <w:basedOn w:val="TableNormal"/>
    <w:tblPr>
      <w:tblStyleRowBandSize w:val="1"/>
      <w:tblStyleColBandSize w:val="1"/>
      <w:tblCellMar>
        <w:top w:w="0.0" w:type="dxa"/>
        <w:left w:w="0.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zSq7Wy7DKMyQ0zx932bzzcMIZw==">CgMxLjA4AHIhMTFYYy1OT3pwNV9yV1VlVFdxUjh6MDlJT1F3ZkQzY3Qt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