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49" w:rsidRPr="005E1343" w:rsidRDefault="00EE3A49" w:rsidP="00EE3A49">
      <w:pPr>
        <w:pStyle w:val="Heading1"/>
        <w:rPr>
          <w:rFonts w:ascii="Calibri" w:hAnsi="Calibri"/>
          <w:sz w:val="24"/>
          <w:szCs w:val="24"/>
        </w:rPr>
      </w:pPr>
      <w:r w:rsidRPr="005E1343">
        <w:rPr>
          <w:rFonts w:ascii="Calibri" w:hAnsi="Calibri"/>
          <w:sz w:val="24"/>
          <w:szCs w:val="24"/>
        </w:rPr>
        <w:t>SCHEDULE 2</w:t>
      </w:r>
    </w:p>
    <w:p w:rsidR="00985A8D" w:rsidRDefault="00985A8D" w:rsidP="00EE3A49">
      <w:pPr>
        <w:rPr>
          <w:rFonts w:ascii="Calibri" w:hAnsi="Calibri"/>
          <w:b/>
          <w:szCs w:val="24"/>
          <w:u w:val="single"/>
        </w:rPr>
      </w:pPr>
    </w:p>
    <w:p w:rsidR="00985A8D" w:rsidRDefault="00900DA5" w:rsidP="00EE3A49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 xml:space="preserve">OPERATIONAL </w:t>
      </w:r>
      <w:r w:rsidR="008618B6">
        <w:rPr>
          <w:rFonts w:ascii="Calibri" w:hAnsi="Calibri"/>
          <w:b/>
          <w:szCs w:val="24"/>
          <w:u w:val="single"/>
        </w:rPr>
        <w:t xml:space="preserve"> RESPONSIBILITIES</w:t>
      </w:r>
    </w:p>
    <w:p w:rsidR="00985A8D" w:rsidRPr="00985A8D" w:rsidRDefault="00985A8D" w:rsidP="00EE3A49">
      <w:pPr>
        <w:rPr>
          <w:rFonts w:ascii="Calibri" w:hAnsi="Calibri"/>
          <w:b/>
          <w:szCs w:val="24"/>
        </w:rPr>
      </w:pPr>
    </w:p>
    <w:p w:rsidR="00EE3A49" w:rsidRDefault="00EE3A49" w:rsidP="00EE3A49">
      <w:pPr>
        <w:rPr>
          <w:rFonts w:ascii="Calibri" w:hAnsi="Calibri"/>
          <w:color w:val="000000"/>
          <w:szCs w:val="24"/>
        </w:rPr>
      </w:pPr>
      <w:r w:rsidRPr="00385D36">
        <w:rPr>
          <w:rFonts w:ascii="Calibri" w:hAnsi="Calibri"/>
          <w:b/>
          <w:color w:val="000000"/>
          <w:szCs w:val="24"/>
          <w:u w:val="single"/>
        </w:rPr>
        <w:t>NOTE</w:t>
      </w:r>
      <w:r w:rsidRPr="00385D36">
        <w:rPr>
          <w:rFonts w:ascii="Calibri" w:hAnsi="Calibri"/>
          <w:color w:val="000000"/>
          <w:szCs w:val="24"/>
        </w:rPr>
        <w:t xml:space="preserve"> </w:t>
      </w:r>
      <w:r w:rsidRPr="00385D36">
        <w:rPr>
          <w:rFonts w:ascii="Calibri" w:hAnsi="Calibri"/>
          <w:color w:val="000000"/>
          <w:szCs w:val="24"/>
        </w:rPr>
        <w:sym w:font="Wingdings" w:char="F0FC"/>
      </w:r>
      <w:r w:rsidRPr="00385D36">
        <w:rPr>
          <w:rFonts w:ascii="Calibri" w:hAnsi="Calibri"/>
          <w:color w:val="000000"/>
          <w:szCs w:val="24"/>
        </w:rPr>
        <w:sym w:font="Wingdings" w:char="F0FC"/>
      </w:r>
      <w:r w:rsidRPr="00385D36">
        <w:rPr>
          <w:rFonts w:ascii="Calibri" w:hAnsi="Calibri"/>
          <w:color w:val="000000"/>
          <w:szCs w:val="24"/>
        </w:rPr>
        <w:t xml:space="preserve"> indicates primary responsibility where both Bromford and the </w:t>
      </w:r>
      <w:r w:rsidR="00D8640A">
        <w:rPr>
          <w:rFonts w:ascii="Calibri" w:hAnsi="Calibri"/>
          <w:color w:val="000000"/>
          <w:szCs w:val="24"/>
        </w:rPr>
        <w:t xml:space="preserve">Managing </w:t>
      </w:r>
      <w:r w:rsidRPr="00385D36">
        <w:rPr>
          <w:rFonts w:ascii="Calibri" w:hAnsi="Calibri"/>
          <w:color w:val="000000"/>
          <w:szCs w:val="24"/>
        </w:rPr>
        <w:t>Agent are involved in delivering the service.</w:t>
      </w:r>
    </w:p>
    <w:p w:rsidR="00EE3A49" w:rsidRPr="00385D36" w:rsidRDefault="00EE3A49" w:rsidP="00EE3A49">
      <w:pPr>
        <w:pStyle w:val="Heading1"/>
        <w:rPr>
          <w:rFonts w:ascii="Calibri" w:hAnsi="Calibri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361"/>
        <w:gridCol w:w="1582"/>
      </w:tblGrid>
      <w:tr w:rsidR="001E25D1" w:rsidRPr="00385D36" w:rsidTr="00325623">
        <w:trPr>
          <w:tblHeader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D1" w:rsidRPr="001E25D1" w:rsidRDefault="001E25D1" w:rsidP="00EF5D94">
            <w:pPr>
              <w:pStyle w:val="Heading1"/>
              <w:rPr>
                <w:rFonts w:ascii="Calibri" w:hAnsi="Calibri"/>
                <w:color w:val="000000"/>
                <w:sz w:val="24"/>
                <w:szCs w:val="24"/>
              </w:rPr>
            </w:pPr>
            <w:r w:rsidRPr="000A161F">
              <w:rPr>
                <w:rFonts w:ascii="Calibri" w:hAnsi="Calibri"/>
                <w:color w:val="000000"/>
                <w:sz w:val="24"/>
                <w:szCs w:val="24"/>
              </w:rPr>
              <w:t>HOUSING MA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NAGEMENT</w:t>
            </w:r>
          </w:p>
          <w:p w:rsidR="001E25D1" w:rsidRPr="00385D36" w:rsidRDefault="001E25D1" w:rsidP="00EF5D94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D1" w:rsidRPr="009B0403" w:rsidRDefault="001E25D1" w:rsidP="00EF5D94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9B0403">
              <w:rPr>
                <w:rFonts w:ascii="Calibri" w:hAnsi="Calibri"/>
                <w:b/>
                <w:color w:val="000000"/>
                <w:szCs w:val="24"/>
              </w:rPr>
              <w:t>Bromford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D1" w:rsidRPr="009B0403" w:rsidRDefault="000A5BAD" w:rsidP="00EF5D9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color w:val="FF0000"/>
                <w:szCs w:val="24"/>
              </w:rPr>
              <w:t>Agent</w:t>
            </w:r>
          </w:p>
        </w:tc>
      </w:tr>
      <w:tr w:rsidR="00EE3A49" w:rsidRPr="00385D36" w:rsidTr="0032562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266C73" w:rsidRDefault="00EE3A49" w:rsidP="00EF5D94">
            <w:pPr>
              <w:pStyle w:val="Footer"/>
              <w:tabs>
                <w:tab w:val="clear" w:pos="4153"/>
                <w:tab w:val="clear" w:pos="8306"/>
                <w:tab w:val="left" w:pos="567"/>
                <w:tab w:val="left" w:pos="720"/>
              </w:tabs>
              <w:spacing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266C73">
              <w:rPr>
                <w:rFonts w:ascii="Calibri" w:hAnsi="Calibri"/>
                <w:color w:val="000000"/>
                <w:szCs w:val="24"/>
              </w:rPr>
              <w:t>1</w:t>
            </w:r>
            <w:r w:rsidR="00266C73" w:rsidRPr="00266C73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Housing Management policy formulation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  <w:r w:rsidR="00EF5D94"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tabs>
                <w:tab w:val="left" w:pos="567"/>
                <w:tab w:val="left" w:pos="720"/>
              </w:tabs>
              <w:spacing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2</w:t>
            </w:r>
            <w:r w:rsidR="00266C73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F5D94" w:rsidP="00EF5D94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Drawing up 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Cs w:val="24"/>
              </w:rPr>
              <w:t>m</w:t>
            </w:r>
            <w:r w:rsidR="00554D7E">
              <w:rPr>
                <w:rFonts w:ascii="Calibri" w:hAnsi="Calibri"/>
                <w:color w:val="000000"/>
                <w:szCs w:val="24"/>
              </w:rPr>
              <w:t>anagement</w:t>
            </w:r>
            <w:r>
              <w:rPr>
                <w:rFonts w:ascii="Calibri" w:hAnsi="Calibri"/>
                <w:color w:val="000000"/>
                <w:szCs w:val="24"/>
              </w:rPr>
              <w:t xml:space="preserve"> agreements 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 xml:space="preserve">with </w:t>
            </w:r>
            <w:r>
              <w:rPr>
                <w:rFonts w:ascii="Calibri" w:hAnsi="Calibri"/>
                <w:color w:val="000000"/>
                <w:szCs w:val="24"/>
              </w:rPr>
              <w:t xml:space="preserve">voluntary agencies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F5D94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tabs>
                <w:tab w:val="left" w:pos="567"/>
                <w:tab w:val="left" w:pos="720"/>
              </w:tabs>
              <w:spacing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Customer selection and transfer, including liaison with referral agencies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tabs>
                <w:tab w:val="left" w:pos="567"/>
                <w:tab w:val="left" w:pos="720"/>
              </w:tabs>
              <w:spacing w:line="360" w:lineRule="auto"/>
              <w:ind w:left="113" w:hanging="113"/>
              <w:jc w:val="both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554D7E" w:rsidP="00EF5D94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Issuing Occupancy A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>greements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D7F7B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tabs>
                <w:tab w:val="left" w:pos="567"/>
                <w:tab w:val="left" w:pos="720"/>
              </w:tabs>
              <w:spacing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Rent setting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385D36" w:rsidTr="0032562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tabs>
                <w:tab w:val="left" w:pos="567"/>
                <w:tab w:val="left" w:pos="720"/>
              </w:tabs>
              <w:spacing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Rent Collection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tabs>
                <w:tab w:val="left" w:pos="567"/>
                <w:tab w:val="left" w:pos="720"/>
              </w:tabs>
              <w:spacing w:line="360" w:lineRule="auto"/>
              <w:ind w:left="113" w:hanging="113"/>
              <w:jc w:val="both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Property insurance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385D36" w:rsidTr="00325623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tabs>
                <w:tab w:val="left" w:pos="567"/>
                <w:tab w:val="left" w:pos="720"/>
              </w:tabs>
              <w:spacing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Estate management, including liaison with local communities and neighbours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tabs>
                <w:tab w:val="left" w:pos="567"/>
                <w:tab w:val="left" w:pos="720"/>
              </w:tabs>
              <w:spacing w:line="360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General liaison with </w:t>
            </w:r>
            <w:r w:rsidR="00B76190">
              <w:rPr>
                <w:rFonts w:ascii="Calibri" w:hAnsi="Calibri"/>
                <w:color w:val="000000"/>
                <w:szCs w:val="24"/>
              </w:rPr>
              <w:t>Occupant</w:t>
            </w:r>
            <w:r w:rsidRPr="00385D36">
              <w:rPr>
                <w:rFonts w:ascii="Calibri" w:hAnsi="Calibri"/>
                <w:color w:val="000000"/>
                <w:szCs w:val="24"/>
              </w:rPr>
              <w:t>s on maintenance issues in the course of other housing management activities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1319A8" w:rsidP="00EF5D94">
            <w:pPr>
              <w:tabs>
                <w:tab w:val="left" w:pos="567"/>
                <w:tab w:val="left" w:pos="720"/>
              </w:tabs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Customer consultation, information and participation</w:t>
            </w:r>
            <w:r w:rsidR="00554D7E">
              <w:rPr>
                <w:rFonts w:ascii="Calibri" w:hAnsi="Calibri"/>
                <w:color w:val="000000"/>
                <w:szCs w:val="24"/>
              </w:rPr>
              <w:t xml:space="preserve"> related to housing matters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1319A8" w:rsidP="00EF5D94">
            <w:pPr>
              <w:tabs>
                <w:tab w:val="left" w:pos="567"/>
                <w:tab w:val="left" w:pos="720"/>
              </w:tabs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Dealing with Occupants </w:t>
            </w:r>
            <w:r>
              <w:rPr>
                <w:rFonts w:ascii="Calibri" w:hAnsi="Calibri"/>
                <w:color w:val="000000"/>
                <w:szCs w:val="24"/>
              </w:rPr>
              <w:t xml:space="preserve">complaints and </w:t>
            </w:r>
            <w:r w:rsidRPr="00385D36">
              <w:rPr>
                <w:rFonts w:ascii="Calibri" w:hAnsi="Calibri"/>
                <w:color w:val="000000"/>
                <w:szCs w:val="24"/>
              </w:rPr>
              <w:t>disputes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1319A8" w:rsidP="00EF5D94">
            <w:pPr>
              <w:tabs>
                <w:tab w:val="left" w:pos="567"/>
                <w:tab w:val="left" w:pos="720"/>
              </w:tabs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Giving advice on claiming Housing Benefits (but not other benefits, where this activity is defined as “care support and welfare”)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D7F7B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D7F7B">
              <w:rPr>
                <w:rFonts w:ascii="Calibri" w:hAnsi="Calibri"/>
                <w:color w:val="000000"/>
                <w:szCs w:val="24"/>
              </w:rPr>
              <w:sym w:font="Wingdings" w:char="F0FC"/>
            </w:r>
            <w:r w:rsidRPr="007D7F7B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1319A8" w:rsidP="00EF5D94">
            <w:pPr>
              <w:tabs>
                <w:tab w:val="left" w:pos="567"/>
                <w:tab w:val="left" w:pos="720"/>
              </w:tabs>
              <w:spacing w:line="360" w:lineRule="auto"/>
              <w:ind w:left="-185" w:firstLine="142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266C73">
              <w:rPr>
                <w:rFonts w:ascii="Calibri" w:hAnsi="Calibri"/>
                <w:color w:val="000000"/>
                <w:szCs w:val="24"/>
              </w:rPr>
              <w:t>13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Formulating policy and giving advice relating to resettlement, “move-on” and permanent housing opportunities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F84D24" w:rsidP="00EF5D94">
            <w:pPr>
              <w:tabs>
                <w:tab w:val="left" w:pos="567"/>
                <w:tab w:val="left" w:pos="720"/>
              </w:tabs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F7145B" w:rsidRDefault="00EE3A49" w:rsidP="00EF5D94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F7145B">
              <w:rPr>
                <w:rFonts w:ascii="Calibri" w:hAnsi="Calibri"/>
                <w:szCs w:val="24"/>
              </w:rPr>
              <w:t>Contacting relatives or care services directly when there seems to be cause for concern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F7145B" w:rsidRDefault="00EE3A49" w:rsidP="00EF5D94">
            <w:pPr>
              <w:jc w:val="center"/>
              <w:rPr>
                <w:rFonts w:ascii="Calibri" w:hAnsi="Calibri"/>
                <w:szCs w:val="24"/>
              </w:rPr>
            </w:pPr>
            <w:r w:rsidRPr="00F7145B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F7145B" w:rsidRDefault="00EE3A49" w:rsidP="00EF5D94">
            <w:pPr>
              <w:jc w:val="center"/>
              <w:rPr>
                <w:rFonts w:ascii="Calibri" w:hAnsi="Calibri"/>
                <w:szCs w:val="24"/>
              </w:rPr>
            </w:pPr>
            <w:r w:rsidRPr="00F7145B">
              <w:rPr>
                <w:rFonts w:ascii="Calibri" w:hAnsi="Calibri"/>
                <w:szCs w:val="24"/>
              </w:rPr>
              <w:sym w:font="Wingdings" w:char="F0FC"/>
            </w:r>
            <w:r w:rsidRPr="00F7145B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3" w:rsidRPr="00385D36" w:rsidRDefault="00F84D24" w:rsidP="00EF5D94">
            <w:pPr>
              <w:tabs>
                <w:tab w:val="left" w:pos="567"/>
                <w:tab w:val="left" w:pos="720"/>
              </w:tabs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3" w:rsidRPr="005E1343" w:rsidRDefault="005E1343" w:rsidP="00EF5D94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Taking Legal Action against the Occupants where necessary for breach of</w:t>
            </w:r>
            <w:r w:rsidR="00266C73">
              <w:rPr>
                <w:rFonts w:ascii="Calibri" w:hAnsi="Calibri"/>
                <w:color w:val="000000"/>
                <w:szCs w:val="24"/>
              </w:rPr>
              <w:t xml:space="preserve"> Occupancy Agreement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3" w:rsidRPr="005E1343" w:rsidRDefault="005E1343" w:rsidP="00EF5D94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43" w:rsidRPr="005E1343" w:rsidRDefault="00EC7516" w:rsidP="00EF5D94">
            <w:p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F7145B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F84D24" w:rsidP="00EF5D94">
            <w:pPr>
              <w:tabs>
                <w:tab w:val="left" w:pos="567"/>
                <w:tab w:val="left" w:pos="720"/>
              </w:tabs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Giving advice on dealing with the police and courts where this relates to housing matters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F84D24" w:rsidP="00EF5D94">
            <w:pPr>
              <w:tabs>
                <w:tab w:val="left" w:pos="567"/>
                <w:tab w:val="left" w:pos="720"/>
              </w:tabs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Advice to Occupants on aids and adaptations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F5D94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F5D94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  <w:r w:rsidR="00EF5D94"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</w:tbl>
    <w:p w:rsidR="00EE3A49" w:rsidRPr="00154E4C" w:rsidRDefault="00EE3A49" w:rsidP="00EE3A49">
      <w:pPr>
        <w:rPr>
          <w:rFonts w:ascii="Verdana" w:hAnsi="Verdana"/>
          <w:color w:val="00000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6112"/>
        <w:gridCol w:w="1361"/>
        <w:gridCol w:w="1582"/>
      </w:tblGrid>
      <w:tr w:rsidR="001E25D1" w:rsidRPr="00AD35C4" w:rsidTr="00325623">
        <w:trPr>
          <w:trHeight w:val="340"/>
          <w:tblHeader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9A8" w:rsidRDefault="001319A8" w:rsidP="001E25D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color w:val="000000"/>
                <w:szCs w:val="24"/>
                <w:u w:val="single"/>
              </w:rPr>
            </w:pPr>
            <w:r w:rsidRPr="00AD35C4">
              <w:rPr>
                <w:rFonts w:ascii="Calibri" w:hAnsi="Calibri"/>
                <w:b/>
                <w:color w:val="000000"/>
                <w:szCs w:val="24"/>
                <w:u w:val="single"/>
              </w:rPr>
              <w:t>FINANCIAL RESPONSIBILITIES</w:t>
            </w:r>
          </w:p>
          <w:p w:rsidR="00A9643D" w:rsidRPr="00AD35C4" w:rsidRDefault="00A9643D" w:rsidP="001E25D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D1" w:rsidRPr="00AD35C4" w:rsidRDefault="001E25D1" w:rsidP="005E134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AD35C4">
              <w:rPr>
                <w:rFonts w:ascii="Calibri" w:hAnsi="Calibri"/>
                <w:b/>
                <w:color w:val="000000"/>
                <w:szCs w:val="24"/>
              </w:rPr>
              <w:t>Bromford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5D1" w:rsidRPr="00075899" w:rsidRDefault="000A5BAD" w:rsidP="008B6E4B">
            <w:pPr>
              <w:jc w:val="center"/>
              <w:rPr>
                <w:rFonts w:ascii="Calibri" w:hAnsi="Calibri"/>
                <w:b/>
                <w:color w:val="FF0000"/>
                <w:szCs w:val="24"/>
              </w:rPr>
            </w:pPr>
            <w:r>
              <w:rPr>
                <w:rFonts w:ascii="Calibri" w:hAnsi="Calibri"/>
                <w:b/>
                <w:color w:val="FF0000"/>
                <w:szCs w:val="24"/>
              </w:rPr>
              <w:t>Agent</w:t>
            </w:r>
          </w:p>
        </w:tc>
      </w:tr>
      <w:tr w:rsidR="001E25D1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 xml:space="preserve">Rent charge administration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sym w:font="Wingdings" w:char="F0FC"/>
            </w:r>
            <w:r w:rsidRPr="00AD35C4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1E25D1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 xml:space="preserve">Rent charge collection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1E25D1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Monitoring arrears and voids</w:t>
            </w:r>
            <w:r w:rsidRPr="00AD35C4">
              <w:rPr>
                <w:rFonts w:ascii="Calibri" w:hAnsi="Calibri"/>
                <w:color w:val="000000"/>
                <w:szCs w:val="24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sym w:font="Wingdings" w:char="F0FC"/>
            </w:r>
            <w:r w:rsidRPr="00AD35C4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1E25D1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 xml:space="preserve">Preparation of annual budgets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1E25D1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953D00" w:rsidP="00FF3D29">
            <w:pPr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5.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 xml:space="preserve">Monitoring of rents and service charges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1E25D1" w:rsidRPr="00AD35C4" w:rsidTr="00325623">
        <w:trPr>
          <w:trHeight w:val="63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953D00" w:rsidP="00FF3D29">
            <w:pPr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6.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 xml:space="preserve">Maintaining separate accounts of charges for each Occupant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1E25D1" w:rsidRPr="00AD35C4" w:rsidTr="00325623">
        <w:trPr>
          <w:trHeight w:val="79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953D00" w:rsidP="00FF3D29">
            <w:pPr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7.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Ensuring that Occupants claim all benefits and allowances to which they are entitled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1E25D1" w:rsidRPr="00AD35C4" w:rsidTr="00325623">
        <w:trPr>
          <w:trHeight w:val="6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953D00" w:rsidP="00FF3D29">
            <w:pPr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8.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8" w:rsidRPr="00AD35C4" w:rsidRDefault="00EE3A49" w:rsidP="009412F8">
            <w:pPr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Appointment of an Auditor (each party to arrange auditing of their own accounts)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1E25D1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953D00" w:rsidP="00FF3D29">
            <w:pPr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9.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Preparation of audited accounts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98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953D00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10.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Maintaining a separate revenue account for the scheme covered by this agreement (including identification of any sinking fu</w:t>
            </w:r>
            <w:r w:rsidR="009412F8" w:rsidRPr="00AD35C4">
              <w:rPr>
                <w:rFonts w:ascii="Calibri" w:hAnsi="Calibri"/>
                <w:color w:val="000000"/>
                <w:szCs w:val="24"/>
              </w:rPr>
              <w:t>nd and depreciation allowances)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953D00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t xml:space="preserve">Payment of  Council Tax  for resource unit </w:t>
            </w:r>
            <w:r w:rsidR="009412F8" w:rsidRPr="00AD35C4">
              <w:rPr>
                <w:rFonts w:ascii="Calibri" w:hAnsi="Calibri"/>
                <w:szCs w:val="24"/>
              </w:rPr>
              <w:t>and void units where applicable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EE3A49" w:rsidP="00132EA8">
            <w:pPr>
              <w:spacing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03675C" w:rsidRPr="00AD35C4" w:rsidTr="00325623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03675C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94" w:rsidRPr="00AD35C4" w:rsidRDefault="0003675C" w:rsidP="00EF5D94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t xml:space="preserve">Payment </w:t>
            </w:r>
            <w:r w:rsidR="00EF5D94">
              <w:rPr>
                <w:rFonts w:ascii="Calibri" w:hAnsi="Calibri"/>
                <w:szCs w:val="24"/>
              </w:rPr>
              <w:t>of Council Tax for shared units/room only accommodation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03675C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03675C" w:rsidP="0003675C">
            <w:pPr>
              <w:spacing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7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03675C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EE3A49" w:rsidP="001E25D1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t>Payment of utilities (gas/elec</w:t>
            </w:r>
            <w:r w:rsidR="0003675C" w:rsidRPr="00AD35C4">
              <w:rPr>
                <w:rFonts w:ascii="Calibri" w:hAnsi="Calibri"/>
                <w:szCs w:val="24"/>
              </w:rPr>
              <w:t xml:space="preserve">tric/water) for communal areas </w:t>
            </w:r>
            <w:r w:rsidRPr="00AD35C4">
              <w:rPr>
                <w:rFonts w:ascii="Calibri" w:hAnsi="Calibri"/>
                <w:szCs w:val="24"/>
              </w:rPr>
              <w:t xml:space="preserve">resource units </w:t>
            </w:r>
            <w:r w:rsidR="00EB44BB" w:rsidRPr="00AD35C4">
              <w:rPr>
                <w:rFonts w:ascii="Calibri" w:hAnsi="Calibri"/>
                <w:szCs w:val="24"/>
              </w:rPr>
              <w:t>and void units where applicable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0367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03675C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03675C" w:rsidP="004141DF">
            <w:pPr>
              <w:spacing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14.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03675C" w:rsidP="004141DF">
            <w:pPr>
              <w:spacing w:after="100" w:afterAutospacing="1"/>
              <w:rPr>
                <w:rFonts w:ascii="Calibri" w:hAnsi="Calibri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t xml:space="preserve">Payment of utilities </w:t>
            </w:r>
            <w:r w:rsidR="004141DF" w:rsidRPr="00AD35C4">
              <w:rPr>
                <w:rFonts w:ascii="Calibri" w:hAnsi="Calibri"/>
                <w:szCs w:val="24"/>
              </w:rPr>
              <w:t xml:space="preserve">(gas/electric/water) for shared units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03675C" w:rsidP="004141DF">
            <w:pPr>
              <w:spacing w:after="100" w:afterAutospacing="1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C" w:rsidRPr="00AD35C4" w:rsidRDefault="004141DF" w:rsidP="004141DF">
            <w:pPr>
              <w:spacing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F84D24" w:rsidP="004141DF">
            <w:pPr>
              <w:spacing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15</w:t>
            </w:r>
            <w:r w:rsidR="00953D00" w:rsidRPr="00AD35C4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FF3D29" w:rsidP="004141DF">
            <w:pPr>
              <w:tabs>
                <w:tab w:val="left" w:pos="2412"/>
              </w:tabs>
              <w:spacing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Pr</w:t>
            </w:r>
            <w:r w:rsidR="00EE3A49" w:rsidRPr="00AD35C4">
              <w:rPr>
                <w:rFonts w:ascii="Calibri" w:hAnsi="Calibri"/>
                <w:color w:val="000000"/>
                <w:szCs w:val="24"/>
              </w:rPr>
              <w:t xml:space="preserve">operty Building  Insurance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4141DF">
            <w:pPr>
              <w:spacing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4141DF">
            <w:pPr>
              <w:spacing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F84D2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16</w:t>
            </w:r>
            <w:r w:rsidR="00953D00" w:rsidRPr="00AD35C4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Public Liability Insurance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F84D2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17</w:t>
            </w:r>
            <w:r w:rsidR="00953D00" w:rsidRPr="00AD35C4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Employer’s Liability Insurance</w:t>
            </w:r>
            <w:r w:rsidRPr="00AD35C4">
              <w:rPr>
                <w:rFonts w:ascii="Calibri" w:hAnsi="Calibri"/>
                <w:color w:val="000000"/>
                <w:szCs w:val="24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6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F84D2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18</w:t>
            </w:r>
            <w:r w:rsidR="00953D00" w:rsidRPr="00AD35C4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 xml:space="preserve">Contents insurance for communal and/or office/sleep over units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7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F84D2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19.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EA1E0D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 xml:space="preserve">Additional insurance relating to proposed use of premises   (if the </w:t>
            </w:r>
            <w:r w:rsidR="00EA1E0D">
              <w:rPr>
                <w:rFonts w:ascii="Calibri" w:hAnsi="Calibri"/>
                <w:color w:val="000000"/>
                <w:szCs w:val="24"/>
              </w:rPr>
              <w:t>Managing Agent</w:t>
            </w:r>
            <w:r w:rsidRPr="00AD35C4">
              <w:rPr>
                <w:rFonts w:ascii="Calibri" w:hAnsi="Calibri"/>
                <w:color w:val="000000"/>
                <w:szCs w:val="24"/>
              </w:rPr>
              <w:t xml:space="preserve"> so desires)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EE3A49" w:rsidRPr="00AD35C4" w:rsidTr="0032562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F84D2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lastRenderedPageBreak/>
              <w:t>20.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szCs w:val="24"/>
              </w:rPr>
              <w:t xml:space="preserve">Contents insurance for </w:t>
            </w:r>
            <w:r w:rsidR="00B76190" w:rsidRPr="00AD35C4">
              <w:rPr>
                <w:rFonts w:ascii="Calibri" w:hAnsi="Calibri"/>
                <w:szCs w:val="24"/>
              </w:rPr>
              <w:t>Occupant</w:t>
            </w:r>
            <w:r w:rsidR="001319A8" w:rsidRPr="00AD35C4">
              <w:rPr>
                <w:rFonts w:ascii="Calibri" w:hAnsi="Calibri"/>
                <w:szCs w:val="24"/>
              </w:rPr>
              <w:t>s possessions where applicable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1319A8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F84D2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21.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Fidelity Insurance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AD35C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 xml:space="preserve">Professional Indemnity Insurance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AD35C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 xml:space="preserve">Lift and boiler insurance where applicable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CA747B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AD35C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24.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 xml:space="preserve">Replacement of furniture and equipment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ind w:firstLine="34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AD35C4" w:rsidTr="00325623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AD35C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25.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t>Setting weekly or monthly charges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AD35C4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D35C4">
              <w:rPr>
                <w:rFonts w:ascii="Calibri" w:hAnsi="Calibri"/>
                <w:color w:val="000000"/>
                <w:szCs w:val="24"/>
              </w:rPr>
              <w:sym w:font="Wingdings" w:char="F0FC"/>
            </w:r>
            <w:r w:rsidRPr="00AD35C4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7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AD35C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B73D5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Admin</w:t>
            </w:r>
            <w:r w:rsidR="00CC15EF">
              <w:rPr>
                <w:rFonts w:ascii="Calibri" w:hAnsi="Calibri"/>
                <w:color w:val="000000"/>
                <w:szCs w:val="24"/>
              </w:rPr>
              <w:t xml:space="preserve">istration of salaries, PAYE </w:t>
            </w:r>
            <w:r w:rsidR="00B73D51">
              <w:rPr>
                <w:rFonts w:ascii="Calibri" w:hAnsi="Calibri"/>
                <w:color w:val="000000"/>
                <w:szCs w:val="24"/>
              </w:rPr>
              <w:t xml:space="preserve">relating to staff delivering services on behalf of the Registered Provider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AD35C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CA747B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Securing care contracts </w:t>
            </w:r>
            <w:r w:rsidR="00CA747B">
              <w:rPr>
                <w:rFonts w:ascii="Calibri" w:hAnsi="Calibri"/>
                <w:color w:val="000000"/>
                <w:szCs w:val="24"/>
              </w:rPr>
              <w:t>and  any topping up which may be required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EE3A49" w:rsidRPr="00154E4C" w:rsidTr="0032562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AD35C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Payment of interest and principal on any mortgage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154E4C" w:rsidTr="00325623">
        <w:trPr>
          <w:trHeight w:val="6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AD35C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CA747B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R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echarges </w:t>
            </w:r>
            <w:r>
              <w:rPr>
                <w:rFonts w:ascii="Calibri" w:hAnsi="Calibri"/>
                <w:color w:val="000000"/>
                <w:szCs w:val="24"/>
              </w:rPr>
              <w:t xml:space="preserve">as necessary for </w:t>
            </w:r>
            <w:r w:rsidR="00CA747B">
              <w:rPr>
                <w:rFonts w:ascii="Calibri" w:hAnsi="Calibri"/>
                <w:color w:val="000000"/>
                <w:szCs w:val="24"/>
              </w:rPr>
              <w:t xml:space="preserve">repairs agreed as a result of </w:t>
            </w:r>
            <w:r w:rsidR="00B76190">
              <w:rPr>
                <w:rFonts w:ascii="Calibri" w:hAnsi="Calibri"/>
                <w:color w:val="000000"/>
                <w:szCs w:val="24"/>
              </w:rPr>
              <w:t>Occupant</w:t>
            </w:r>
            <w:r w:rsidR="00CA747B">
              <w:rPr>
                <w:rFonts w:ascii="Calibri" w:hAnsi="Calibri"/>
                <w:color w:val="000000"/>
                <w:szCs w:val="24"/>
              </w:rPr>
              <w:t xml:space="preserve"> damage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5301D3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154E4C" w:rsidTr="00325623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AD35C4" w:rsidP="001E25D1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tabs>
                <w:tab w:val="left" w:pos="2412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Recharging and recovery of costs from </w:t>
            </w:r>
            <w:r w:rsidR="00B76190">
              <w:rPr>
                <w:rFonts w:ascii="Calibri" w:hAnsi="Calibri"/>
                <w:color w:val="000000"/>
                <w:szCs w:val="24"/>
              </w:rPr>
              <w:t>Occupant</w:t>
            </w:r>
            <w:r>
              <w:rPr>
                <w:rFonts w:ascii="Calibri" w:hAnsi="Calibri"/>
                <w:color w:val="000000"/>
                <w:szCs w:val="24"/>
              </w:rPr>
              <w:t xml:space="preserve">s for deliberate damage </w:t>
            </w:r>
            <w:r w:rsidR="00CA747B">
              <w:rPr>
                <w:rFonts w:ascii="Calibri" w:hAnsi="Calibri"/>
                <w:color w:val="000000"/>
                <w:szCs w:val="24"/>
              </w:rPr>
              <w:t xml:space="preserve">where agreed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5301D3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5301D3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</w:tbl>
    <w:p w:rsidR="00EE3A49" w:rsidRDefault="00EE3A49" w:rsidP="001E25D1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</w:p>
    <w:p w:rsidR="00242450" w:rsidRPr="00154E4C" w:rsidRDefault="00242450" w:rsidP="001E25D1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982"/>
        <w:gridCol w:w="1276"/>
        <w:gridCol w:w="1530"/>
      </w:tblGrid>
      <w:tr w:rsidR="002E74CD" w:rsidRPr="00154E4C" w:rsidTr="00325623">
        <w:trPr>
          <w:trHeight w:val="737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74CD" w:rsidRPr="002E74CD" w:rsidRDefault="002E74CD" w:rsidP="001E25D1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HOUSING SERVICES: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E74CD" w:rsidRPr="002E74CD" w:rsidRDefault="002E74CD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Bromford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74CD" w:rsidRPr="002E74CD" w:rsidRDefault="000A5BAD" w:rsidP="000A5BAD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FF0000"/>
                <w:szCs w:val="24"/>
              </w:rPr>
              <w:t>Agent</w:t>
            </w:r>
          </w:p>
        </w:tc>
      </w:tr>
      <w:tr w:rsidR="00EE3A49" w:rsidRPr="00154E4C" w:rsidTr="00325623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953D00" w:rsidP="001E25D1">
            <w:pPr>
              <w:pStyle w:val="Footer"/>
              <w:tabs>
                <w:tab w:val="clear" w:pos="4153"/>
                <w:tab w:val="clear" w:pos="8306"/>
                <w:tab w:val="left" w:pos="-534"/>
                <w:tab w:val="left" w:pos="-392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5B41B8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Actual expenditure or contributions to provisions relating to renewa</w:t>
            </w:r>
            <w:r w:rsidR="005B41B8">
              <w:rPr>
                <w:rFonts w:ascii="Calibri" w:hAnsi="Calibri"/>
                <w:color w:val="000000"/>
                <w:szCs w:val="24"/>
              </w:rPr>
              <w:t>ls and replacements of carpets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, curtains,  furniture and equipment as </w:t>
            </w:r>
            <w:r>
              <w:rPr>
                <w:rFonts w:ascii="Calibri" w:hAnsi="Calibri"/>
                <w:color w:val="000000"/>
                <w:szCs w:val="24"/>
              </w:rPr>
              <w:t xml:space="preserve">provided 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 by the Registered Provider at handover</w:t>
            </w:r>
            <w:r w:rsidR="00B84A4A">
              <w:rPr>
                <w:rFonts w:ascii="Calibri" w:hAnsi="Calibri"/>
                <w:color w:val="000000"/>
                <w:szCs w:val="24"/>
              </w:rPr>
              <w:t xml:space="preserve"> within individual units and communal office/resource </w:t>
            </w:r>
            <w:r w:rsidR="00DC042D">
              <w:rPr>
                <w:rFonts w:ascii="Calibri" w:hAnsi="Calibri"/>
                <w:color w:val="000000"/>
                <w:szCs w:val="24"/>
              </w:rPr>
              <w:t xml:space="preserve"> (as per Inventory at Schedule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CA747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CA5CDE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FF0000"/>
                <w:szCs w:val="24"/>
              </w:rPr>
            </w:pPr>
            <w:r w:rsidRPr="00805A49">
              <w:rPr>
                <w:rFonts w:ascii="Calibri" w:hAnsi="Calibri"/>
                <w:szCs w:val="24"/>
              </w:rPr>
              <w:t xml:space="preserve">The cost of council tax </w:t>
            </w:r>
            <w:r w:rsidR="009544FF" w:rsidRPr="00805A49">
              <w:rPr>
                <w:rFonts w:ascii="Calibri" w:hAnsi="Calibri"/>
                <w:szCs w:val="24"/>
              </w:rPr>
              <w:t xml:space="preserve">for resource and/or communal areas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CA747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4141DF" w:rsidRDefault="00EE3A49" w:rsidP="004141DF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953D00">
              <w:rPr>
                <w:rFonts w:ascii="Calibri" w:hAnsi="Calibri"/>
                <w:szCs w:val="24"/>
              </w:rPr>
              <w:t xml:space="preserve">The cost of communal water supply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385D36" w:rsidRDefault="00EE3A49" w:rsidP="004141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4141DF" w:rsidRPr="00154E4C" w:rsidTr="00325623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F" w:rsidRPr="00385D36" w:rsidRDefault="00CA747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F" w:rsidRPr="00953D00" w:rsidRDefault="004141DF" w:rsidP="001E25D1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 cost of fuel for communal heat and light  (gas and/or electricity)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F" w:rsidRPr="00385D36" w:rsidRDefault="004141DF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F" w:rsidRDefault="004141DF" w:rsidP="004141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4141DF" w:rsidRPr="00385D36" w:rsidRDefault="004141DF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154E4C" w:rsidTr="0032562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6F1DDB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Maintenance of </w:t>
            </w:r>
            <w:r w:rsidR="006F1DDB">
              <w:rPr>
                <w:rFonts w:ascii="Calibri" w:hAnsi="Calibri"/>
                <w:color w:val="000000"/>
                <w:szCs w:val="24"/>
              </w:rPr>
              <w:t xml:space="preserve">communal 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 electricity sockets and fixtures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FF526A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154E4C" w:rsidTr="00325623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6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Repair, maintenance, service and insura</w:t>
            </w:r>
            <w:r w:rsidR="004141DF">
              <w:rPr>
                <w:rFonts w:ascii="Calibri" w:hAnsi="Calibri"/>
                <w:color w:val="000000"/>
                <w:szCs w:val="24"/>
              </w:rPr>
              <w:t>nce of lifts (where applicable)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5B41B8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5B41B8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n/a</w:t>
            </w:r>
          </w:p>
        </w:tc>
      </w:tr>
      <w:tr w:rsidR="00EE3A49" w:rsidRPr="00154E4C" w:rsidTr="0032562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7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385D36" w:rsidRDefault="009544FF" w:rsidP="00EF5D94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The c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 xml:space="preserve">ost of providing and running a door entry system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385D36" w:rsidRDefault="00EC7516" w:rsidP="00900DA5">
            <w:p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FF526A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FE13E5" w:rsidRPr="00154E4C" w:rsidTr="0032562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13E5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8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5" w:rsidRDefault="00FE13E5" w:rsidP="00FE13E5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The cost of providing and maintaining CCTV systems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C" w:rsidRPr="008B6E4B" w:rsidRDefault="00EC7516" w:rsidP="005B41B8">
            <w:p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FF526A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5" w:rsidRPr="008B6E4B" w:rsidRDefault="00FE13E5" w:rsidP="00EC7516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4141DF" w:rsidRPr="00154E4C" w:rsidTr="00325623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DF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9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F" w:rsidRDefault="004141DF" w:rsidP="00325623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The cost of </w:t>
            </w:r>
            <w:r w:rsidR="00B73D51">
              <w:rPr>
                <w:rFonts w:ascii="Calibri" w:hAnsi="Calibri"/>
                <w:color w:val="000000"/>
                <w:szCs w:val="24"/>
              </w:rPr>
              <w:t xml:space="preserve">providing and maintaining </w:t>
            </w:r>
            <w:r w:rsidR="00EF5D94">
              <w:rPr>
                <w:rFonts w:ascii="Calibri" w:hAnsi="Calibri"/>
                <w:color w:val="000000"/>
                <w:szCs w:val="24"/>
              </w:rPr>
              <w:t xml:space="preserve">specialist </w:t>
            </w:r>
            <w:r>
              <w:rPr>
                <w:rFonts w:ascii="Calibri" w:hAnsi="Calibri"/>
                <w:color w:val="000000"/>
                <w:szCs w:val="24"/>
              </w:rPr>
              <w:t xml:space="preserve">alarms and/or </w:t>
            </w:r>
            <w:r w:rsidR="006F1DDB">
              <w:rPr>
                <w:rFonts w:ascii="Calibri" w:hAnsi="Calibri"/>
                <w:color w:val="000000"/>
                <w:szCs w:val="24"/>
              </w:rPr>
              <w:t xml:space="preserve">other </w:t>
            </w:r>
            <w:r>
              <w:rPr>
                <w:rFonts w:ascii="Calibri" w:hAnsi="Calibri"/>
                <w:color w:val="000000"/>
                <w:szCs w:val="24"/>
              </w:rPr>
              <w:t>assistive technology</w:t>
            </w:r>
            <w:r w:rsidR="00EA1E0D" w:rsidRPr="00900DA5">
              <w:rPr>
                <w:rFonts w:ascii="Calibri" w:hAnsi="Calibri"/>
                <w:i/>
                <w:szCs w:val="24"/>
              </w:rPr>
              <w:t>, e.</w:t>
            </w:r>
            <w:r w:rsidR="00325623">
              <w:rPr>
                <w:rFonts w:ascii="Calibri" w:hAnsi="Calibri"/>
                <w:i/>
                <w:szCs w:val="24"/>
              </w:rPr>
              <w:t xml:space="preserve">g. </w:t>
            </w:r>
            <w:r w:rsidR="00F209EF" w:rsidRPr="00900DA5">
              <w:rPr>
                <w:rFonts w:ascii="Calibri" w:hAnsi="Calibri"/>
                <w:i/>
                <w:szCs w:val="24"/>
              </w:rPr>
              <w:t>exit alarms</w:t>
            </w:r>
            <w:r w:rsidR="00A0457F" w:rsidRPr="00900DA5">
              <w:rPr>
                <w:rFonts w:ascii="Calibri" w:hAnsi="Calibri"/>
                <w:i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F" w:rsidRPr="00384A76" w:rsidRDefault="004141DF" w:rsidP="001E25D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DF" w:rsidRDefault="005B41B8" w:rsidP="001E25D1">
            <w:pPr>
              <w:jc w:val="center"/>
              <w:rPr>
                <w:rFonts w:asciiTheme="minorHAnsi" w:hAnsiTheme="minorHAnsi"/>
                <w:szCs w:val="24"/>
              </w:rPr>
            </w:pPr>
            <w:r w:rsidRPr="008B6E4B">
              <w:rPr>
                <w:rFonts w:asciiTheme="minorHAnsi" w:hAnsiTheme="minorHAnsi"/>
                <w:szCs w:val="24"/>
              </w:rPr>
              <w:sym w:font="Wingdings" w:char="F0FC"/>
            </w:r>
          </w:p>
          <w:p w:rsidR="00900DA5" w:rsidRDefault="00900DA5" w:rsidP="001E25D1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900DA5" w:rsidRPr="005B41B8" w:rsidRDefault="00900DA5" w:rsidP="001E25D1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EE3A49" w:rsidRPr="00154E4C" w:rsidTr="00325623">
        <w:trPr>
          <w:trHeight w:val="96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9544FF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Garden </w:t>
            </w:r>
            <w:r w:rsidR="00260A96">
              <w:rPr>
                <w:rFonts w:ascii="Calibri" w:hAnsi="Calibri"/>
                <w:color w:val="000000"/>
                <w:szCs w:val="24"/>
              </w:rPr>
              <w:t xml:space="preserve">and grounds </w:t>
            </w:r>
            <w:r>
              <w:rPr>
                <w:rFonts w:ascii="Calibri" w:hAnsi="Calibri"/>
                <w:color w:val="000000"/>
                <w:szCs w:val="24"/>
              </w:rPr>
              <w:t>maintenance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 xml:space="preserve"> to include th</w:t>
            </w:r>
            <w:r w:rsidR="00813FB2">
              <w:rPr>
                <w:rFonts w:ascii="Calibri" w:hAnsi="Calibri"/>
                <w:color w:val="000000"/>
                <w:szCs w:val="24"/>
              </w:rPr>
              <w:t>e sweeping of parking spaces,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 xml:space="preserve"> pathw</w:t>
            </w:r>
            <w:r w:rsidR="00813FB2">
              <w:rPr>
                <w:rFonts w:ascii="Calibri" w:hAnsi="Calibri"/>
                <w:color w:val="000000"/>
                <w:szCs w:val="24"/>
              </w:rPr>
              <w:t>ays and clearing leaves from drains.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EC7516" w:rsidRDefault="00EC7516" w:rsidP="001E25D1">
            <w:p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FF526A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7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11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The maintenance of trees in line with the</w:t>
            </w:r>
            <w:r w:rsidR="009544FF">
              <w:rPr>
                <w:rFonts w:ascii="Calibri" w:hAnsi="Calibri"/>
                <w:color w:val="000000"/>
                <w:szCs w:val="24"/>
              </w:rPr>
              <w:t xml:space="preserve"> current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4141DF">
              <w:rPr>
                <w:rFonts w:ascii="Calibri" w:hAnsi="Calibri"/>
                <w:color w:val="000000"/>
                <w:szCs w:val="24"/>
              </w:rPr>
              <w:t>‘tree g</w:t>
            </w:r>
            <w:r w:rsidR="009544FF">
              <w:rPr>
                <w:rFonts w:ascii="Calibri" w:hAnsi="Calibri"/>
                <w:color w:val="000000"/>
                <w:szCs w:val="24"/>
              </w:rPr>
              <w:t>uidance</w:t>
            </w:r>
            <w:r w:rsidR="004141DF">
              <w:rPr>
                <w:rFonts w:ascii="Calibri" w:hAnsi="Calibri"/>
                <w:color w:val="000000"/>
                <w:szCs w:val="24"/>
              </w:rPr>
              <w:t>’</w:t>
            </w:r>
            <w:r w:rsidR="009544FF">
              <w:rPr>
                <w:rFonts w:ascii="Calibri" w:hAnsi="Calibri"/>
                <w:color w:val="000000"/>
                <w:szCs w:val="24"/>
              </w:rPr>
              <w:t xml:space="preserve"> i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ssued  by the Registered Provider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EC2EF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E3A49" w:rsidRPr="00154E4C" w:rsidTr="00325623">
        <w:trPr>
          <w:trHeight w:val="7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12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385D36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The maintenance of trees not covered </w:t>
            </w:r>
            <w:r w:rsidR="009544FF">
              <w:rPr>
                <w:rFonts w:ascii="Calibri" w:hAnsi="Calibri"/>
                <w:color w:val="000000"/>
                <w:szCs w:val="24"/>
              </w:rPr>
              <w:t>by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DC042D">
              <w:rPr>
                <w:rFonts w:ascii="Calibri" w:hAnsi="Calibri"/>
                <w:color w:val="000000"/>
                <w:szCs w:val="24"/>
              </w:rPr>
              <w:t>the published ‘tree g</w:t>
            </w:r>
            <w:r w:rsidR="009544FF">
              <w:rPr>
                <w:rFonts w:ascii="Calibri" w:hAnsi="Calibri"/>
                <w:color w:val="000000"/>
                <w:szCs w:val="24"/>
              </w:rPr>
              <w:t>uidance</w:t>
            </w:r>
            <w:r w:rsidR="00DC042D">
              <w:rPr>
                <w:rFonts w:ascii="Calibri" w:hAnsi="Calibri"/>
                <w:color w:val="000000"/>
                <w:szCs w:val="24"/>
              </w:rPr>
              <w:t>’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 issued by the Registered Provider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EC2EF4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E3A49" w:rsidRPr="00385D36" w:rsidRDefault="00EE3A49" w:rsidP="001E25D1">
            <w:pPr>
              <w:jc w:val="center"/>
              <w:rPr>
                <w:rFonts w:ascii="Calibri" w:hAnsi="Calibri"/>
                <w:szCs w:val="24"/>
              </w:rPr>
            </w:pPr>
            <w:r w:rsidRPr="00EC2EF4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1057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13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Maintenance of parking spaces and pathways where necessary to provide access, the upkeep of which is classified as housing maintenance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1E25D1">
            <w:pPr>
              <w:jc w:val="center"/>
              <w:rPr>
                <w:rFonts w:ascii="Calibri" w:hAnsi="Calibri"/>
                <w:szCs w:val="24"/>
              </w:rPr>
            </w:pPr>
          </w:p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154E4C" w:rsidTr="00325623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14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Cost of cleaning communal areas</w:t>
            </w:r>
            <w:r w:rsidR="009544FF">
              <w:rPr>
                <w:rFonts w:ascii="Calibri" w:hAnsi="Calibri"/>
                <w:color w:val="000000"/>
                <w:szCs w:val="24"/>
              </w:rPr>
              <w:t xml:space="preserve"> – internal and external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C7516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FF526A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DC042D" w:rsidRPr="00154E4C" w:rsidTr="00325623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2D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15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D" w:rsidRPr="00385D36" w:rsidRDefault="00DC042D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Window cleaning</w:t>
            </w:r>
            <w:r w:rsidR="006A5A2F">
              <w:rPr>
                <w:rFonts w:ascii="Calibri" w:hAnsi="Calibri"/>
                <w:color w:val="000000"/>
                <w:szCs w:val="24"/>
              </w:rPr>
              <w:t xml:space="preserve"> (internal and/or </w:t>
            </w:r>
            <w:r>
              <w:rPr>
                <w:rFonts w:ascii="Calibri" w:hAnsi="Calibri"/>
                <w:color w:val="000000"/>
                <w:szCs w:val="24"/>
              </w:rPr>
              <w:t>external)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D" w:rsidRPr="00385D36" w:rsidRDefault="00DC042D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2D" w:rsidRPr="00385D36" w:rsidRDefault="00EC7516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FF526A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16</w:t>
            </w:r>
            <w:r w:rsidR="00CA747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385D36" w:rsidRDefault="00EE3A49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Refuse, disposal and recycling containers  (post property handover)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17</w:t>
            </w:r>
            <w:r w:rsidR="00CC15EF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EA1E0D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Provision and maintenance of fire equipment (</w:t>
            </w:r>
            <w:r w:rsidR="00EA1E0D">
              <w:rPr>
                <w:rFonts w:ascii="Calibri" w:hAnsi="Calibri"/>
                <w:color w:val="000000"/>
                <w:szCs w:val="24"/>
              </w:rPr>
              <w:t>fire alarm panel</w:t>
            </w:r>
            <w:r w:rsidRPr="00385D36">
              <w:rPr>
                <w:rFonts w:ascii="Calibri" w:hAnsi="Calibri"/>
                <w:color w:val="000000"/>
                <w:szCs w:val="24"/>
              </w:rPr>
              <w:t>, smoke and/or heat detectors, sprinklers and emergency light</w:t>
            </w:r>
            <w:r w:rsidR="00DC042D">
              <w:rPr>
                <w:rFonts w:ascii="Calibri" w:hAnsi="Calibri"/>
                <w:color w:val="000000"/>
                <w:szCs w:val="24"/>
              </w:rPr>
              <w:t>ing) where applicable.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1E25D1">
            <w:pPr>
              <w:jc w:val="center"/>
              <w:rPr>
                <w:rFonts w:ascii="Calibri" w:hAnsi="Calibri"/>
                <w:szCs w:val="24"/>
              </w:rPr>
            </w:pPr>
          </w:p>
          <w:p w:rsidR="00EE3A49" w:rsidRPr="00385D36" w:rsidRDefault="00EE3A49" w:rsidP="001E25D1">
            <w:p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EC7516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EE3A49" w:rsidRPr="00154E4C" w:rsidTr="00325623">
        <w:trPr>
          <w:trHeight w:val="7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18</w:t>
            </w:r>
            <w:r w:rsidR="00CC15EF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t>Provision and maintenance of fire fighting equipment - (extinguishers and f</w:t>
            </w:r>
            <w:r w:rsidR="00DC042D">
              <w:rPr>
                <w:rFonts w:ascii="Calibri" w:hAnsi="Calibri"/>
                <w:szCs w:val="24"/>
              </w:rPr>
              <w:t xml:space="preserve">ire blankets) where applicable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1E25D1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E3A49" w:rsidRPr="00385D36" w:rsidRDefault="00FD0F7E" w:rsidP="001E25D1">
            <w:p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EC7516">
              <w:rPr>
                <w:rFonts w:asciiTheme="minorHAnsi" w:hAnsiTheme="minorHAnsi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075899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EE3A49" w:rsidRPr="00154E4C" w:rsidTr="00325623">
        <w:trPr>
          <w:trHeight w:val="964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19</w:t>
            </w:r>
            <w:r w:rsidR="00CC15EF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F" w:rsidRPr="00385D36" w:rsidRDefault="00952D9E" w:rsidP="001E25D1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All pest control, vermin and infestations in the Prop</w:t>
            </w:r>
            <w:r w:rsidR="00534D7F">
              <w:rPr>
                <w:rFonts w:ascii="Calibri" w:hAnsi="Calibri"/>
                <w:color w:val="000000"/>
                <w:szCs w:val="24"/>
              </w:rPr>
              <w:t>erty internally and externally (unless specifically caused by a building defect)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1E25D1">
            <w:pPr>
              <w:jc w:val="center"/>
              <w:rPr>
                <w:rFonts w:ascii="Calibri" w:hAnsi="Calibri"/>
                <w:color w:val="000000"/>
                <w:szCs w:val="24"/>
                <w:lang w:val="fr-FR"/>
              </w:rPr>
            </w:pPr>
          </w:p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  <w:lang w:val="fr-FR"/>
              </w:rPr>
            </w:pPr>
            <w:r w:rsidRPr="00385D36">
              <w:rPr>
                <w:rFonts w:ascii="Calibri" w:hAnsi="Calibri"/>
                <w:color w:val="000000"/>
                <w:szCs w:val="24"/>
                <w:lang w:val="fr-FR"/>
              </w:rPr>
              <w:sym w:font="Wingdings" w:char="F0FC"/>
            </w:r>
          </w:p>
        </w:tc>
      </w:tr>
      <w:tr w:rsidR="00EE3A49" w:rsidRPr="00154E4C" w:rsidTr="0032562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20</w:t>
            </w:r>
            <w:r w:rsidR="00CC15EF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B73D51" w:rsidRDefault="00EE3A49" w:rsidP="001E25D1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B73D51">
              <w:rPr>
                <w:rFonts w:ascii="Calibri" w:hAnsi="Calibri"/>
                <w:szCs w:val="24"/>
              </w:rPr>
              <w:t>Costs of providing a communal</w:t>
            </w:r>
            <w:r w:rsidR="002B7CFE">
              <w:rPr>
                <w:rFonts w:ascii="Calibri" w:hAnsi="Calibri"/>
                <w:szCs w:val="24"/>
              </w:rPr>
              <w:t xml:space="preserve"> or office </w:t>
            </w:r>
            <w:r w:rsidRPr="00B73D51">
              <w:rPr>
                <w:rFonts w:ascii="Calibri" w:hAnsi="Calibri"/>
                <w:szCs w:val="24"/>
              </w:rPr>
              <w:t xml:space="preserve"> phone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260A96" w:rsidRPr="00154E4C" w:rsidTr="0032562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A96" w:rsidRDefault="00260A96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6" w:rsidRPr="00B73D51" w:rsidRDefault="00260A96" w:rsidP="00260A96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Maintenance of existing TV aerials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6" w:rsidRPr="00385D36" w:rsidRDefault="00260A96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6" w:rsidRPr="00385D36" w:rsidRDefault="00260A96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154E4C" w:rsidTr="00325623">
        <w:trPr>
          <w:trHeight w:val="104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2F0A99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ind w:left="-13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22</w:t>
            </w:r>
            <w:r w:rsidR="00CC15EF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B73D51" w:rsidRDefault="00EE3A49" w:rsidP="00B73D51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B73D51">
              <w:rPr>
                <w:rFonts w:ascii="Calibri" w:hAnsi="Calibri"/>
                <w:szCs w:val="24"/>
              </w:rPr>
              <w:t>All expenditure relating to staff employed for the provision of services and the</w:t>
            </w:r>
            <w:r w:rsidR="00B73D51" w:rsidRPr="00B73D51">
              <w:rPr>
                <w:rFonts w:ascii="Calibri" w:hAnsi="Calibri"/>
                <w:szCs w:val="24"/>
              </w:rPr>
              <w:t xml:space="preserve"> accommodation of those </w:t>
            </w:r>
            <w:r w:rsidR="002B7CFE">
              <w:rPr>
                <w:rFonts w:ascii="Calibri" w:hAnsi="Calibri"/>
                <w:szCs w:val="24"/>
              </w:rPr>
              <w:t>staff within the Property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6F1DDB" w:rsidP="002F0A99">
            <w:pPr>
              <w:tabs>
                <w:tab w:val="left" w:pos="567"/>
                <w:tab w:val="left" w:pos="624"/>
              </w:tabs>
              <w:spacing w:before="100" w:beforeAutospacing="1" w:after="100" w:afterAutospacing="1" w:line="480" w:lineRule="auto"/>
              <w:ind w:left="-13" w:hanging="34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23</w:t>
            </w:r>
            <w:r w:rsidR="002F0A99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CC15EF">
            <w:pPr>
              <w:tabs>
                <w:tab w:val="right" w:pos="5737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4A76">
              <w:rPr>
                <w:rFonts w:ascii="Calibri" w:hAnsi="Calibri"/>
                <w:color w:val="000000"/>
                <w:szCs w:val="24"/>
              </w:rPr>
              <w:t>Mainten</w:t>
            </w:r>
            <w:r w:rsidR="00CC15EF">
              <w:rPr>
                <w:rFonts w:ascii="Calibri" w:hAnsi="Calibri"/>
                <w:color w:val="000000"/>
                <w:szCs w:val="24"/>
              </w:rPr>
              <w:t xml:space="preserve">ance of Communal water heaters </w:t>
            </w:r>
            <w:r w:rsidR="00CC15EF">
              <w:rPr>
                <w:rFonts w:ascii="Calibri" w:hAnsi="Calibri"/>
                <w:color w:val="000000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A5808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521D3A" w:rsidRPr="00154E4C" w:rsidTr="00325623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D3A" w:rsidRDefault="00521D3A" w:rsidP="002F0A99">
            <w:pPr>
              <w:tabs>
                <w:tab w:val="left" w:pos="567"/>
                <w:tab w:val="left" w:pos="624"/>
              </w:tabs>
              <w:spacing w:before="100" w:beforeAutospacing="1" w:after="100" w:afterAutospacing="1" w:line="480" w:lineRule="auto"/>
              <w:ind w:left="-13" w:hanging="34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24.</w:t>
            </w:r>
          </w:p>
          <w:p w:rsidR="001702C1" w:rsidRDefault="001702C1" w:rsidP="002F0A99">
            <w:pPr>
              <w:tabs>
                <w:tab w:val="left" w:pos="567"/>
                <w:tab w:val="left" w:pos="624"/>
              </w:tabs>
              <w:spacing w:before="100" w:beforeAutospacing="1" w:after="100" w:afterAutospacing="1" w:line="480" w:lineRule="auto"/>
              <w:ind w:left="-13" w:hanging="34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25.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1" w:rsidRDefault="00521D3A" w:rsidP="00CC15EF">
            <w:pPr>
              <w:tabs>
                <w:tab w:val="right" w:pos="5737"/>
              </w:tabs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>Assessment and management of Legionella risk  where applicable</w:t>
            </w:r>
          </w:p>
          <w:p w:rsidR="001702C1" w:rsidRDefault="001702C1" w:rsidP="00CC15EF">
            <w:pPr>
              <w:tabs>
                <w:tab w:val="right" w:pos="5737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Maintenance and servicing of Thermostatic Valves (hot water controls) where applicable</w:t>
            </w:r>
          </w:p>
          <w:p w:rsidR="001702C1" w:rsidRDefault="001702C1" w:rsidP="00CC15EF">
            <w:pPr>
              <w:tabs>
                <w:tab w:val="right" w:pos="5737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A" w:rsidRDefault="00521D3A" w:rsidP="001E25D1">
            <w:pPr>
              <w:jc w:val="center"/>
              <w:rPr>
                <w:rFonts w:ascii="Calibri" w:hAnsi="Calibri"/>
                <w:szCs w:val="24"/>
              </w:rPr>
            </w:pPr>
            <w:r w:rsidRPr="00DA5808">
              <w:rPr>
                <w:rFonts w:ascii="Calibri" w:hAnsi="Calibri"/>
                <w:szCs w:val="24"/>
              </w:rPr>
              <w:sym w:font="Wingdings" w:char="F0FC"/>
            </w:r>
          </w:p>
          <w:p w:rsidR="00900DA5" w:rsidRDefault="00900DA5" w:rsidP="001E25D1">
            <w:pPr>
              <w:jc w:val="center"/>
              <w:rPr>
                <w:rFonts w:ascii="Calibri" w:hAnsi="Calibri"/>
                <w:szCs w:val="24"/>
              </w:rPr>
            </w:pPr>
          </w:p>
          <w:p w:rsidR="00900DA5" w:rsidRDefault="00900DA5" w:rsidP="001E25D1">
            <w:pPr>
              <w:jc w:val="center"/>
              <w:rPr>
                <w:rFonts w:ascii="Calibri" w:hAnsi="Calibri"/>
                <w:szCs w:val="24"/>
              </w:rPr>
            </w:pPr>
          </w:p>
          <w:p w:rsidR="00900DA5" w:rsidRPr="00DA5808" w:rsidRDefault="00900DA5" w:rsidP="001E25D1">
            <w:pPr>
              <w:jc w:val="center"/>
              <w:rPr>
                <w:rFonts w:ascii="Calibri" w:hAnsi="Calibri"/>
                <w:szCs w:val="24"/>
              </w:rPr>
            </w:pPr>
            <w:r w:rsidRPr="00FF526A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A" w:rsidRDefault="00521D3A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6366DA" w:rsidRDefault="006366DA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6366DA" w:rsidRPr="00385D36" w:rsidRDefault="006366DA" w:rsidP="006366D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154E4C" w:rsidTr="00325623">
        <w:trPr>
          <w:trHeight w:val="1928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A49" w:rsidRPr="00385D36" w:rsidRDefault="001702C1" w:rsidP="002F0A99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ind w:left="-13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26</w:t>
            </w:r>
            <w:r w:rsidR="002F0A99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1E25D1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t>Maintenance of the following when supplied by the landlord at handover and where  replaced by the agent:</w:t>
            </w:r>
          </w:p>
          <w:p w:rsidR="006366DA" w:rsidRPr="00CC15EF" w:rsidRDefault="00CC15EF" w:rsidP="00CC15EF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White goods, electrical appliance such as cookers, fridges, freezers, washing machine, tumble driers - as </w:t>
            </w:r>
            <w:r w:rsidR="00987497">
              <w:rPr>
                <w:rFonts w:ascii="Calibri" w:hAnsi="Calibri"/>
                <w:szCs w:val="24"/>
              </w:rPr>
              <w:t xml:space="preserve">detailed in </w:t>
            </w:r>
            <w:r>
              <w:rPr>
                <w:rFonts w:ascii="Calibri" w:hAnsi="Calibri"/>
                <w:szCs w:val="24"/>
              </w:rPr>
              <w:t xml:space="preserve"> Schedule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A" w:rsidRDefault="006366DA" w:rsidP="001E25D1">
            <w:pPr>
              <w:jc w:val="center"/>
              <w:rPr>
                <w:rFonts w:ascii="Calibri" w:hAnsi="Calibri"/>
                <w:szCs w:val="24"/>
              </w:rPr>
            </w:pPr>
          </w:p>
          <w:p w:rsidR="006366DA" w:rsidRDefault="006366DA" w:rsidP="001E25D1">
            <w:pPr>
              <w:jc w:val="center"/>
              <w:rPr>
                <w:rFonts w:ascii="Calibri" w:hAnsi="Calibri"/>
                <w:szCs w:val="24"/>
              </w:rPr>
            </w:pPr>
          </w:p>
          <w:p w:rsidR="006366DA" w:rsidRDefault="006366DA" w:rsidP="001E25D1">
            <w:pPr>
              <w:jc w:val="center"/>
              <w:rPr>
                <w:rFonts w:ascii="Calibri" w:hAnsi="Calibri"/>
                <w:szCs w:val="24"/>
              </w:rPr>
            </w:pPr>
          </w:p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A5808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1702C1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27</w:t>
            </w:r>
            <w:r w:rsidR="00CC15EF">
              <w:rPr>
                <w:rFonts w:ascii="Calibri" w:hAnsi="Calibri"/>
                <w:color w:val="000000"/>
                <w:szCs w:val="24"/>
              </w:rPr>
              <w:t xml:space="preserve">.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946D26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Depreciation of, or replacement</w:t>
            </w:r>
            <w:r w:rsidR="00B878FD">
              <w:rPr>
                <w:rFonts w:ascii="Calibri" w:hAnsi="Calibri"/>
                <w:color w:val="000000"/>
                <w:szCs w:val="24"/>
              </w:rPr>
              <w:t xml:space="preserve"> provision for, the following:-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521D3A" w:rsidRPr="00154E4C" w:rsidTr="00325623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D3A" w:rsidRDefault="00521D3A" w:rsidP="001E25D1">
            <w:p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521D3A" w:rsidRDefault="00521D3A" w:rsidP="00946D26">
            <w:pPr>
              <w:pStyle w:val="ListParagraph"/>
              <w:numPr>
                <w:ilvl w:val="0"/>
                <w:numId w:val="9"/>
              </w:numPr>
              <w:ind w:left="697" w:hanging="357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Communal boiler installations including the tanks, exchangers, pipes and/or other heating system</w:t>
            </w:r>
          </w:p>
          <w:p w:rsidR="00946D26" w:rsidRPr="00521D3A" w:rsidRDefault="00946D26" w:rsidP="00946D26">
            <w:pPr>
              <w:pStyle w:val="ListParagraph"/>
              <w:ind w:left="697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1D3A" w:rsidRDefault="00521D3A" w:rsidP="001E25D1">
            <w:pPr>
              <w:jc w:val="center"/>
              <w:rPr>
                <w:rFonts w:ascii="Calibri" w:hAnsi="Calibri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  <w:p w:rsidR="00FD0F7E" w:rsidRDefault="00FD0F7E" w:rsidP="001E25D1">
            <w:pPr>
              <w:jc w:val="center"/>
              <w:rPr>
                <w:rFonts w:ascii="Calibri" w:hAnsi="Calibri"/>
                <w:szCs w:val="24"/>
              </w:rPr>
            </w:pPr>
          </w:p>
          <w:p w:rsidR="00FD0F7E" w:rsidRPr="00385D36" w:rsidRDefault="00FD0F7E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21D3A" w:rsidRPr="00385D36" w:rsidRDefault="00521D3A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D0F7E" w:rsidRPr="00154E4C" w:rsidTr="0032562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F7E" w:rsidRPr="00385D36" w:rsidRDefault="00FD0F7E" w:rsidP="00946D26">
            <w:pPr>
              <w:tabs>
                <w:tab w:val="left" w:pos="567"/>
                <w:tab w:val="left" w:pos="624"/>
              </w:tabs>
              <w:spacing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FD0F7E" w:rsidRPr="00B878FD" w:rsidRDefault="00FD0F7E" w:rsidP="00946D2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440"/>
              </w:tabs>
              <w:spacing w:after="100" w:afterAutospacing="1"/>
              <w:rPr>
                <w:rFonts w:ascii="Calibri" w:hAnsi="Calibri"/>
                <w:color w:val="000000"/>
                <w:szCs w:val="24"/>
              </w:rPr>
            </w:pPr>
            <w:r w:rsidRPr="00B878FD">
              <w:rPr>
                <w:rFonts w:ascii="Calibri" w:hAnsi="Calibri"/>
                <w:color w:val="000000"/>
                <w:szCs w:val="24"/>
              </w:rPr>
              <w:t>Communal water heaters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F7E" w:rsidRPr="00385D36" w:rsidRDefault="00FD0F7E" w:rsidP="00946D26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D0F7E" w:rsidRPr="00385D36" w:rsidRDefault="00FD0F7E" w:rsidP="00946D26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154E4C" w:rsidTr="0032562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EE3A49" w:rsidP="00946D26">
            <w:pPr>
              <w:numPr>
                <w:ilvl w:val="12"/>
                <w:numId w:val="0"/>
              </w:numPr>
              <w:tabs>
                <w:tab w:val="left" w:pos="567"/>
                <w:tab w:val="left" w:pos="624"/>
              </w:tabs>
              <w:spacing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521D3A" w:rsidRDefault="00EE3A49" w:rsidP="00946D26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</w:tabs>
              <w:spacing w:after="100" w:afterAutospacing="1"/>
              <w:rPr>
                <w:rFonts w:ascii="Calibri" w:hAnsi="Calibri"/>
                <w:color w:val="000000"/>
                <w:szCs w:val="24"/>
              </w:rPr>
            </w:pPr>
            <w:r w:rsidRPr="00521D3A">
              <w:rPr>
                <w:rFonts w:ascii="Calibri" w:hAnsi="Calibri"/>
                <w:color w:val="000000"/>
                <w:szCs w:val="24"/>
              </w:rPr>
              <w:t>Lifts (where applicable)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385D36" w:rsidRDefault="000A5BAD" w:rsidP="00946D26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946D26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154E4C" w:rsidTr="0032562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EE3A49" w:rsidP="00946D26">
            <w:pPr>
              <w:numPr>
                <w:ilvl w:val="12"/>
                <w:numId w:val="0"/>
              </w:numPr>
              <w:tabs>
                <w:tab w:val="left" w:pos="567"/>
                <w:tab w:val="left" w:pos="624"/>
              </w:tabs>
              <w:spacing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521D3A" w:rsidRDefault="00EE3A49" w:rsidP="00946D26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</w:tabs>
              <w:spacing w:after="100" w:afterAutospacing="1"/>
              <w:rPr>
                <w:rFonts w:ascii="Calibri" w:hAnsi="Calibri"/>
                <w:color w:val="000000"/>
                <w:szCs w:val="24"/>
              </w:rPr>
            </w:pPr>
            <w:r w:rsidRPr="00521D3A">
              <w:rPr>
                <w:rFonts w:ascii="Calibri" w:hAnsi="Calibri"/>
                <w:color w:val="000000"/>
                <w:szCs w:val="24"/>
              </w:rPr>
              <w:t>Door entry systems (including phone where provided)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075899" w:rsidRDefault="00D27CCC" w:rsidP="00946D26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EC7516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946D26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FE13E5" w:rsidRPr="00154E4C" w:rsidTr="0032562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3E5" w:rsidRPr="00385D36" w:rsidRDefault="00FE13E5" w:rsidP="00946D26">
            <w:pPr>
              <w:numPr>
                <w:ilvl w:val="12"/>
                <w:numId w:val="0"/>
              </w:numPr>
              <w:tabs>
                <w:tab w:val="left" w:pos="567"/>
                <w:tab w:val="left" w:pos="624"/>
              </w:tabs>
              <w:spacing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FE13E5" w:rsidRPr="00521D3A" w:rsidRDefault="00FE13E5" w:rsidP="00946D26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</w:tabs>
              <w:spacing w:after="100" w:afterAutospacing="1"/>
              <w:rPr>
                <w:rFonts w:ascii="Calibri" w:hAnsi="Calibri"/>
                <w:color w:val="000000"/>
                <w:szCs w:val="24"/>
              </w:rPr>
            </w:pPr>
            <w:r w:rsidRPr="00521D3A">
              <w:rPr>
                <w:rFonts w:ascii="Calibri" w:hAnsi="Calibri"/>
                <w:color w:val="000000"/>
                <w:szCs w:val="24"/>
              </w:rPr>
              <w:t xml:space="preserve">CCTV systems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3E5" w:rsidRPr="00384A76" w:rsidRDefault="00900DA5" w:rsidP="00946D26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Cs w:val="24"/>
              </w:rPr>
            </w:pPr>
            <w:r w:rsidRPr="00EC7516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E13E5" w:rsidRPr="00FD0F7E" w:rsidRDefault="00FE13E5" w:rsidP="00946D26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EE3A49" w:rsidRPr="00154E4C" w:rsidTr="0032562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EE3A49" w:rsidP="00946D26">
            <w:pPr>
              <w:numPr>
                <w:ilvl w:val="12"/>
                <w:numId w:val="0"/>
              </w:numPr>
              <w:tabs>
                <w:tab w:val="left" w:pos="567"/>
                <w:tab w:val="left" w:pos="624"/>
              </w:tabs>
              <w:spacing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521D3A" w:rsidRDefault="00EE3A49" w:rsidP="00946D26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</w:tabs>
              <w:spacing w:after="100" w:afterAutospacing="1"/>
              <w:rPr>
                <w:rFonts w:ascii="Calibri" w:hAnsi="Calibri"/>
                <w:szCs w:val="24"/>
              </w:rPr>
            </w:pPr>
            <w:r w:rsidRPr="00521D3A">
              <w:rPr>
                <w:rFonts w:ascii="Calibri" w:hAnsi="Calibri"/>
                <w:szCs w:val="24"/>
              </w:rPr>
              <w:t>Carpets and furniture in communal areas, including resource offices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946D26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946D26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EE3A49" w:rsidP="001E25D1">
            <w:pPr>
              <w:numPr>
                <w:ilvl w:val="12"/>
                <w:numId w:val="0"/>
              </w:num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521D3A" w:rsidRDefault="00EE3A49" w:rsidP="00521D3A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</w:tabs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521D3A">
              <w:rPr>
                <w:rFonts w:ascii="Calibri" w:hAnsi="Calibri"/>
                <w:szCs w:val="24"/>
              </w:rPr>
              <w:t>Carpets and furniture in Occupants accommodation where applicable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13491C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154E4C" w:rsidTr="00325623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EE3A49" w:rsidP="001E25D1">
            <w:pPr>
              <w:numPr>
                <w:ilvl w:val="12"/>
                <w:numId w:val="0"/>
              </w:num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521D3A" w:rsidRDefault="00EE3A49" w:rsidP="00521D3A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</w:tabs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521D3A">
              <w:rPr>
                <w:rFonts w:ascii="Calibri" w:hAnsi="Calibri"/>
                <w:szCs w:val="24"/>
              </w:rPr>
              <w:t xml:space="preserve">Replacement of refuse, disposal and recycling containers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D4794C" w:rsidRDefault="00EE3A49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D4794C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EE3A49" w:rsidRPr="00385D36" w:rsidRDefault="00EE3A49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878FD" w:rsidRPr="00154E4C" w:rsidTr="00325623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8FD" w:rsidRPr="00385D36" w:rsidRDefault="00B878FD" w:rsidP="001E25D1">
            <w:pPr>
              <w:numPr>
                <w:ilvl w:val="12"/>
                <w:numId w:val="0"/>
              </w:num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B878FD" w:rsidRPr="00521D3A" w:rsidRDefault="00B878FD" w:rsidP="00521D3A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</w:tabs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521D3A">
              <w:rPr>
                <w:rFonts w:ascii="Calibri" w:hAnsi="Calibri"/>
                <w:szCs w:val="24"/>
              </w:rPr>
              <w:t>Emergency fire alarms and smoke and/or heat detectors and emergency lighting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78FD" w:rsidRDefault="00D27CCC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878FD" w:rsidRDefault="00B878FD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EE3A49" w:rsidRPr="00154E4C" w:rsidTr="0032562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A49" w:rsidRPr="00385D36" w:rsidRDefault="00EE3A49" w:rsidP="001E25D1">
            <w:pPr>
              <w:numPr>
                <w:ilvl w:val="12"/>
                <w:numId w:val="0"/>
              </w:num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521D3A" w:rsidRDefault="00EE3A49" w:rsidP="00521D3A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</w:tabs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521D3A">
              <w:rPr>
                <w:rFonts w:ascii="Calibri" w:hAnsi="Calibri"/>
                <w:szCs w:val="24"/>
              </w:rPr>
              <w:t>Fire fighting equ</w:t>
            </w:r>
            <w:r w:rsidR="00FD0F7E">
              <w:rPr>
                <w:rFonts w:ascii="Calibri" w:hAnsi="Calibri"/>
                <w:szCs w:val="24"/>
              </w:rPr>
              <w:t>ip</w:t>
            </w:r>
            <w:r w:rsidR="008B6E4B">
              <w:rPr>
                <w:rFonts w:ascii="Calibri" w:hAnsi="Calibri"/>
                <w:szCs w:val="24"/>
              </w:rPr>
              <w:t xml:space="preserve">ment (extinguishers, blankets)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385D36" w:rsidRDefault="00EC7516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F7145B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D4794C" w:rsidRDefault="00EE3A49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FF0000"/>
                <w:szCs w:val="24"/>
              </w:rPr>
            </w:pPr>
            <w:bookmarkStart w:id="0" w:name="_GoBack"/>
            <w:bookmarkEnd w:id="0"/>
          </w:p>
        </w:tc>
      </w:tr>
      <w:tr w:rsidR="00EE3A49" w:rsidRPr="00154E4C" w:rsidTr="00325623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numPr>
                <w:ilvl w:val="12"/>
                <w:numId w:val="0"/>
              </w:num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521D3A" w:rsidRDefault="00EE3A49" w:rsidP="00521D3A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521D3A">
              <w:rPr>
                <w:rFonts w:ascii="Calibri" w:hAnsi="Calibri"/>
                <w:color w:val="000000"/>
                <w:szCs w:val="24"/>
              </w:rPr>
              <w:t>Air conditioning systems (where applicable)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987497" w:rsidRDefault="00900DA5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FF0000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A49" w:rsidRPr="00987497" w:rsidRDefault="00900DA5" w:rsidP="001E25D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900DA5">
              <w:rPr>
                <w:rFonts w:ascii="Calibri" w:hAnsi="Calibri"/>
                <w:szCs w:val="24"/>
              </w:rPr>
              <w:t>n/a</w:t>
            </w:r>
          </w:p>
        </w:tc>
      </w:tr>
      <w:tr w:rsidR="00EE3A49" w:rsidRPr="00154E4C" w:rsidTr="00325623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numPr>
                <w:ilvl w:val="12"/>
                <w:numId w:val="0"/>
              </w:numPr>
              <w:tabs>
                <w:tab w:val="left" w:pos="567"/>
                <w:tab w:val="left" w:pos="624"/>
              </w:tabs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521D3A" w:rsidRDefault="00EE3A49" w:rsidP="00521D3A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440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521D3A">
              <w:rPr>
                <w:rFonts w:ascii="Calibri" w:hAnsi="Calibri"/>
                <w:color w:val="000000"/>
                <w:szCs w:val="24"/>
              </w:rPr>
              <w:t xml:space="preserve">Cookers, freezers, refrigerators, washing machines, tumble dryers </w:t>
            </w:r>
            <w:r w:rsidR="008E5A4C" w:rsidRPr="00521D3A">
              <w:rPr>
                <w:rFonts w:ascii="Calibri" w:hAnsi="Calibri"/>
                <w:color w:val="000000"/>
                <w:szCs w:val="24"/>
              </w:rPr>
              <w:t xml:space="preserve">and other electrical appliances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1E25D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794C">
              <w:rPr>
                <w:rFonts w:ascii="Calibri" w:hAnsi="Calibri"/>
                <w:szCs w:val="24"/>
              </w:rPr>
              <w:sym w:font="Wingdings" w:char="F0FC"/>
            </w:r>
          </w:p>
        </w:tc>
      </w:tr>
    </w:tbl>
    <w:p w:rsidR="00EE3A49" w:rsidRPr="00154E4C" w:rsidRDefault="001E25D1" w:rsidP="00EE3A49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 w:type="textWrapping" w:clear="all"/>
      </w:r>
    </w:p>
    <w:p w:rsidR="00EE3A49" w:rsidRPr="00385D36" w:rsidRDefault="00EE3A49" w:rsidP="00EE3A49">
      <w:pPr>
        <w:rPr>
          <w:rFonts w:ascii="Calibri" w:hAnsi="Calibri"/>
          <w:color w:val="000000"/>
          <w:szCs w:val="24"/>
        </w:rPr>
      </w:pPr>
    </w:p>
    <w:p w:rsidR="00EE3A49" w:rsidRPr="00385D36" w:rsidRDefault="00EE3A49" w:rsidP="00EE3A49">
      <w:pPr>
        <w:rPr>
          <w:rFonts w:ascii="Calibri" w:hAnsi="Calibri"/>
          <w:color w:val="000000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6094"/>
        <w:gridCol w:w="1361"/>
        <w:gridCol w:w="1476"/>
      </w:tblGrid>
      <w:tr w:rsidR="00315E4C" w:rsidRPr="00385D36" w:rsidTr="00325623"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E4C" w:rsidRPr="00315E4C" w:rsidRDefault="00315E4C" w:rsidP="007A125C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  <w:szCs w:val="24"/>
                <w:u w:val="single"/>
              </w:rPr>
            </w:pPr>
            <w:r w:rsidRPr="00315E4C">
              <w:rPr>
                <w:rFonts w:ascii="Calibri" w:hAnsi="Calibri"/>
                <w:b/>
                <w:color w:val="000000"/>
                <w:szCs w:val="24"/>
                <w:u w:val="single"/>
              </w:rPr>
              <w:t>HOUSING MAINTENANCE:</w:t>
            </w:r>
          </w:p>
          <w:p w:rsidR="00315E4C" w:rsidRPr="00315E4C" w:rsidRDefault="00315E4C" w:rsidP="007A125C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E4C" w:rsidRPr="00315E4C" w:rsidRDefault="00315E4C" w:rsidP="00FF3D2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Bromford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E4C" w:rsidRPr="00315E4C" w:rsidRDefault="000A5BAD" w:rsidP="00FF3D2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FF0000"/>
                <w:szCs w:val="24"/>
              </w:rPr>
              <w:t>Agent</w:t>
            </w:r>
          </w:p>
        </w:tc>
      </w:tr>
      <w:tr w:rsidR="00EE3A49" w:rsidRPr="00385D36" w:rsidTr="0032562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tabs>
                <w:tab w:val="left" w:pos="530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Routine maintenance inspections by specialist staff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385D36" w:rsidTr="00325623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tabs>
                <w:tab w:val="left" w:pos="530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Inspection of defects by specialist staff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385D36" w:rsidTr="00325623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tabs>
                <w:tab w:val="left" w:pos="530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Writing the specification for the repairs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E5A4C" w:rsidRPr="00385D36" w:rsidTr="00325623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tabs>
                <w:tab w:val="left" w:pos="530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6A1D12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Obtaining estimates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E5A4C" w:rsidRPr="00385D36" w:rsidTr="00325623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tabs>
                <w:tab w:val="left" w:pos="530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Placing the order for the works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E5A4C" w:rsidRPr="00385D36" w:rsidTr="00325623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tabs>
                <w:tab w:val="left" w:pos="530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Checking the work in progress by specialist staff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E5A4C" w:rsidRPr="00385D36" w:rsidTr="00325623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tabs>
                <w:tab w:val="left" w:pos="530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pStyle w:val="Foot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Checking the completed work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E5A4C" w:rsidRPr="00385D36" w:rsidTr="00325623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tabs>
                <w:tab w:val="left" w:pos="530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Paying invoices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E5A4C" w:rsidRPr="00385D36" w:rsidTr="00325623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tabs>
                <w:tab w:val="left" w:pos="530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Administration of maintenance records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242450" w:rsidRDefault="00242450" w:rsidP="00EE3A49">
      <w:pPr>
        <w:rPr>
          <w:rFonts w:ascii="Calibri" w:hAnsi="Calibri"/>
          <w:color w:val="000000"/>
          <w:szCs w:val="24"/>
        </w:rPr>
      </w:pPr>
    </w:p>
    <w:p w:rsidR="00055AAC" w:rsidRPr="00385D36" w:rsidRDefault="00055AAC" w:rsidP="00EE3A49">
      <w:pPr>
        <w:rPr>
          <w:rFonts w:ascii="Calibri" w:hAnsi="Calibri"/>
          <w:color w:val="000000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6094"/>
        <w:gridCol w:w="1361"/>
        <w:gridCol w:w="1476"/>
      </w:tblGrid>
      <w:tr w:rsidR="003B4BE0" w:rsidRPr="00385D36" w:rsidTr="00325623">
        <w:trPr>
          <w:trHeight w:val="567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BE0" w:rsidRPr="003B4BE0" w:rsidRDefault="003B4BE0" w:rsidP="007A125C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  <w:szCs w:val="24"/>
                <w:u w:val="single"/>
              </w:rPr>
            </w:pPr>
            <w:r>
              <w:rPr>
                <w:rFonts w:ascii="Calibri" w:hAnsi="Calibri"/>
                <w:b/>
                <w:color w:val="000000"/>
                <w:szCs w:val="24"/>
                <w:u w:val="single"/>
              </w:rPr>
              <w:t>Cyclical maintenance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4BE0" w:rsidRPr="00242450" w:rsidRDefault="003B4BE0" w:rsidP="00FF3D2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242450">
              <w:rPr>
                <w:rFonts w:ascii="Calibri" w:hAnsi="Calibri"/>
                <w:b/>
                <w:color w:val="000000"/>
                <w:szCs w:val="24"/>
              </w:rPr>
              <w:t>Bromford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BE0" w:rsidRPr="00242450" w:rsidRDefault="000A5BAD" w:rsidP="00FF3D2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FF0000"/>
                <w:szCs w:val="24"/>
              </w:rPr>
              <w:t>Agent</w:t>
            </w:r>
          </w:p>
        </w:tc>
      </w:tr>
      <w:tr w:rsidR="003D5C26" w:rsidRPr="00385D36" w:rsidTr="00325623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385D36" w:rsidRDefault="00EE3A49" w:rsidP="006366DA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The internal redecoration of communal and shared areas</w:t>
            </w:r>
            <w:r w:rsidR="00C075DE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D40F00">
              <w:rPr>
                <w:rFonts w:ascii="Calibri" w:hAnsi="Calibri"/>
                <w:color w:val="000000"/>
                <w:szCs w:val="24"/>
              </w:rPr>
              <w:t>(not including stairwells, corridors of blocks of flats)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0A5BAD" w:rsidP="000A5BAD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3D5C26" w:rsidRPr="00385D36" w:rsidTr="00325623">
        <w:trPr>
          <w:trHeight w:val="1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D0F7E">
            <w:pPr>
              <w:spacing w:before="100" w:beforeAutospacing="1" w:after="100" w:afterAutospacing="1"/>
              <w:rPr>
                <w:rFonts w:ascii="Calibri" w:hAnsi="Calibri"/>
                <w:color w:val="FF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The</w:t>
            </w:r>
            <w:r w:rsidR="00B878FD">
              <w:rPr>
                <w:rFonts w:ascii="Calibri" w:hAnsi="Calibri"/>
                <w:color w:val="000000"/>
                <w:szCs w:val="24"/>
              </w:rPr>
              <w:t xml:space="preserve"> redecoration of the individual units including 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 rooms in shared accommodation where this is specifically listed in the tenancy or occupancy agreement as being the responsibility of the </w:t>
            </w:r>
            <w:r w:rsidRPr="00385D36">
              <w:rPr>
                <w:rFonts w:ascii="Calibri" w:hAnsi="Calibri"/>
                <w:szCs w:val="24"/>
              </w:rPr>
              <w:t>Registered Provider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</w:tr>
      <w:tr w:rsidR="003D5C26" w:rsidRPr="00385D36" w:rsidTr="00325623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A" w:rsidRDefault="00EE3A49" w:rsidP="006366DA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3.</w:t>
            </w:r>
          </w:p>
          <w:p w:rsidR="006366DA" w:rsidRPr="00385D36" w:rsidRDefault="006366DA" w:rsidP="006366DA">
            <w:pPr>
              <w:spacing w:before="100" w:beforeAutospacing="1" w:after="100" w:afterAutospacing="1" w:line="360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DA" w:rsidRPr="00385D36" w:rsidRDefault="002F0A99" w:rsidP="00FD0F7E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The 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>external redecoration</w:t>
            </w:r>
            <w:r>
              <w:rPr>
                <w:rFonts w:ascii="Calibri" w:hAnsi="Calibri"/>
                <w:color w:val="000000"/>
                <w:szCs w:val="24"/>
              </w:rPr>
              <w:t xml:space="preserve"> of the Property 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 xml:space="preserve"> and minor re</w:t>
            </w:r>
            <w:r w:rsidR="00FD0F7E">
              <w:rPr>
                <w:rFonts w:ascii="Calibri" w:hAnsi="Calibri"/>
                <w:color w:val="000000"/>
                <w:szCs w:val="24"/>
              </w:rPr>
              <w:t>pairs associated with this work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FF3D29">
            <w:pPr>
              <w:jc w:val="center"/>
              <w:rPr>
                <w:rFonts w:ascii="Calibri" w:hAnsi="Calibri"/>
                <w:szCs w:val="24"/>
              </w:rPr>
            </w:pPr>
          </w:p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EE3A49" w:rsidRDefault="00EE3A49" w:rsidP="00EE3A49">
      <w:pPr>
        <w:rPr>
          <w:rFonts w:ascii="Verdana" w:hAnsi="Verdana"/>
          <w:color w:val="000000"/>
          <w:sz w:val="22"/>
          <w:szCs w:val="22"/>
        </w:rPr>
      </w:pPr>
    </w:p>
    <w:p w:rsidR="003B4BE0" w:rsidRPr="00154E4C" w:rsidRDefault="003B4BE0" w:rsidP="00EE3A49">
      <w:pPr>
        <w:rPr>
          <w:rFonts w:ascii="Verdana" w:hAnsi="Verdana"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1418"/>
        <w:gridCol w:w="1559"/>
      </w:tblGrid>
      <w:tr w:rsidR="00987497" w:rsidRPr="00385D36" w:rsidTr="00325623">
        <w:trPr>
          <w:trHeight w:val="68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D12" w:rsidRPr="00AD35C4" w:rsidRDefault="00987497" w:rsidP="006A1D12">
            <w:pPr>
              <w:pStyle w:val="Foot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Calibri" w:hAnsi="Calibri"/>
                <w:b/>
                <w:szCs w:val="24"/>
                <w:u w:val="single"/>
              </w:rPr>
            </w:pPr>
            <w:r w:rsidRPr="00AD35C4">
              <w:rPr>
                <w:rFonts w:ascii="Calibri" w:hAnsi="Calibri"/>
                <w:b/>
                <w:szCs w:val="24"/>
                <w:u w:val="single"/>
              </w:rPr>
              <w:t xml:space="preserve">Day to </w:t>
            </w:r>
            <w:r w:rsidR="002E74CD">
              <w:rPr>
                <w:rFonts w:ascii="Calibri" w:hAnsi="Calibri"/>
                <w:b/>
                <w:szCs w:val="24"/>
                <w:u w:val="single"/>
              </w:rPr>
              <w:t>Day Maintenance</w:t>
            </w:r>
            <w:r w:rsidRPr="00AD35C4">
              <w:rPr>
                <w:rFonts w:ascii="Calibri" w:hAnsi="Calibri"/>
                <w:b/>
                <w:szCs w:val="24"/>
                <w:u w:val="single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497" w:rsidRPr="00987497" w:rsidRDefault="00987497" w:rsidP="00FF3D2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Bromford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497" w:rsidRPr="00987497" w:rsidRDefault="000A5BAD" w:rsidP="008B6E4B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FF0000"/>
                <w:szCs w:val="24"/>
              </w:rPr>
              <w:t>Agent</w:t>
            </w:r>
          </w:p>
        </w:tc>
      </w:tr>
      <w:tr w:rsidR="00987497" w:rsidRPr="00385D36" w:rsidTr="00325623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tabs>
                <w:tab w:val="left" w:pos="530"/>
              </w:tabs>
              <w:spacing w:line="360" w:lineRule="auto"/>
              <w:ind w:left="17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182A81" w:rsidRDefault="00EE3A49" w:rsidP="00B878FD">
            <w:pPr>
              <w:pStyle w:val="Footer"/>
              <w:tabs>
                <w:tab w:val="clear" w:pos="4153"/>
                <w:tab w:val="clear" w:pos="8306"/>
              </w:tabs>
              <w:spacing w:before="100" w:beforeAutospacing="1" w:after="100" w:afterAutospacing="1"/>
            </w:pPr>
            <w:r w:rsidRPr="00182A81">
              <w:rPr>
                <w:rFonts w:ascii="Calibri" w:hAnsi="Calibri"/>
                <w:szCs w:val="24"/>
              </w:rPr>
              <w:t xml:space="preserve">The </w:t>
            </w:r>
            <w:r w:rsidRPr="00182A81">
              <w:rPr>
                <w:rFonts w:ascii="Calibri" w:hAnsi="Calibri"/>
                <w:b/>
                <w:szCs w:val="24"/>
              </w:rPr>
              <w:t>day to day costs</w:t>
            </w:r>
            <w:r w:rsidRPr="00182A81">
              <w:rPr>
                <w:rFonts w:ascii="Calibri" w:hAnsi="Calibri"/>
                <w:szCs w:val="24"/>
              </w:rPr>
              <w:t xml:space="preserve"> of physically </w:t>
            </w:r>
            <w:r w:rsidR="00B878FD" w:rsidRPr="00182A81">
              <w:rPr>
                <w:rFonts w:ascii="Calibri" w:hAnsi="Calibri"/>
                <w:szCs w:val="24"/>
              </w:rPr>
              <w:t>maintaining the fabr</w:t>
            </w:r>
            <w:r w:rsidR="00182A81" w:rsidRPr="00182A81">
              <w:rPr>
                <w:rFonts w:ascii="Calibri" w:hAnsi="Calibri"/>
                <w:szCs w:val="24"/>
              </w:rPr>
              <w:t>ic of the buildin</w:t>
            </w:r>
            <w:r w:rsidR="00182A81">
              <w:rPr>
                <w:rFonts w:ascii="Calibri" w:hAnsi="Calibri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B878F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87497" w:rsidRPr="00385D36" w:rsidTr="00325623">
        <w:trPr>
          <w:trHeight w:val="10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tabs>
                <w:tab w:val="left" w:pos="530"/>
              </w:tabs>
              <w:spacing w:line="360" w:lineRule="auto"/>
              <w:ind w:left="17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81" w:rsidRPr="00182A81" w:rsidRDefault="00EE3A49" w:rsidP="00182A81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The costs of </w:t>
            </w:r>
            <w:r w:rsidRPr="00385D36">
              <w:rPr>
                <w:rFonts w:ascii="Calibri" w:hAnsi="Calibri"/>
                <w:b/>
                <w:color w:val="000000"/>
                <w:szCs w:val="24"/>
              </w:rPr>
              <w:t>routine planned maintenance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 to physically maintain properties</w:t>
            </w:r>
            <w:r w:rsidRPr="00385D36">
              <w:rPr>
                <w:rFonts w:ascii="Calibri" w:hAnsi="Calibri"/>
                <w:szCs w:val="24"/>
              </w:rPr>
              <w:t xml:space="preserve"> </w:t>
            </w:r>
            <w:r w:rsidR="00182A81">
              <w:rPr>
                <w:rFonts w:ascii="Calibri" w:hAnsi="Calibri"/>
                <w:szCs w:val="24"/>
              </w:rPr>
              <w:t>(renewal of kitchens, bathrooms, windows and other building components)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B878F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87497" w:rsidRPr="00385D36" w:rsidTr="0032562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tabs>
                <w:tab w:val="left" w:pos="530"/>
              </w:tabs>
              <w:spacing w:line="360" w:lineRule="auto"/>
              <w:ind w:left="17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182A81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The costs of repairing damage and minor works </w:t>
            </w:r>
            <w:r w:rsidR="00182A81">
              <w:rPr>
                <w:rFonts w:ascii="Calibri" w:hAnsi="Calibri"/>
                <w:b/>
                <w:color w:val="000000"/>
                <w:szCs w:val="24"/>
              </w:rPr>
              <w:t xml:space="preserve">between lettings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7" w:rsidRDefault="00726797" w:rsidP="0072679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726797" w:rsidRDefault="00726797" w:rsidP="0072679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87497" w:rsidRPr="00385D36" w:rsidTr="0032562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tabs>
                <w:tab w:val="left" w:pos="530"/>
              </w:tabs>
              <w:spacing w:line="360" w:lineRule="auto"/>
              <w:ind w:left="17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3" w:rsidRPr="00A9643D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The cost of </w:t>
            </w:r>
            <w:r w:rsidRPr="00385D36">
              <w:rPr>
                <w:rFonts w:ascii="Calibri" w:hAnsi="Calibri"/>
                <w:b/>
                <w:color w:val="000000"/>
                <w:szCs w:val="24"/>
              </w:rPr>
              <w:t>repairing damage</w:t>
            </w:r>
            <w:r w:rsidR="00182A81">
              <w:rPr>
                <w:rFonts w:ascii="Calibri" w:hAnsi="Calibri"/>
                <w:color w:val="000000"/>
                <w:szCs w:val="24"/>
              </w:rPr>
              <w:t xml:space="preserve"> caused by Occupants or their visitors through deliberate damage or neglect</w:t>
            </w:r>
            <w:r w:rsidR="006F1DDB">
              <w:rPr>
                <w:rFonts w:ascii="Calibri" w:hAnsi="Calibri"/>
                <w:color w:val="000000"/>
                <w:szCs w:val="24"/>
              </w:rPr>
              <w:t>, as defined in the agreement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</w:tbl>
    <w:p w:rsidR="006A1D12" w:rsidRDefault="006A1D12" w:rsidP="00EE3A49">
      <w:pPr>
        <w:rPr>
          <w:rFonts w:ascii="Calibri" w:hAnsi="Calibri"/>
          <w:color w:val="000000"/>
          <w:szCs w:val="24"/>
        </w:rPr>
        <w:sectPr w:rsidR="006A1D12" w:rsidSect="00EB44BB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E3A49" w:rsidRPr="00385D36" w:rsidRDefault="00EE3A49" w:rsidP="00EE3A49">
      <w:pPr>
        <w:rPr>
          <w:rFonts w:ascii="Calibri" w:hAnsi="Calibri"/>
          <w:color w:val="000000"/>
          <w:szCs w:val="24"/>
        </w:rPr>
      </w:pPr>
    </w:p>
    <w:p w:rsidR="00055AAC" w:rsidRDefault="00055AAC" w:rsidP="00055AAC"/>
    <w:p w:rsidR="00055AAC" w:rsidRPr="00055AAC" w:rsidRDefault="00055AAC" w:rsidP="00055AAC"/>
    <w:tbl>
      <w:tblPr>
        <w:tblW w:w="9923" w:type="dxa"/>
        <w:tblInd w:w="108" w:type="dxa"/>
        <w:tblLayout w:type="fixed"/>
        <w:tblLook w:val="0200" w:firstRow="0" w:lastRow="0" w:firstColumn="0" w:lastColumn="0" w:noHBand="1" w:noVBand="0"/>
      </w:tblPr>
      <w:tblGrid>
        <w:gridCol w:w="992"/>
        <w:gridCol w:w="6095"/>
        <w:gridCol w:w="1361"/>
        <w:gridCol w:w="1475"/>
      </w:tblGrid>
      <w:tr w:rsidR="00910133" w:rsidRPr="00385D36" w:rsidTr="00325623">
        <w:trPr>
          <w:trHeight w:val="560"/>
          <w:tblHeader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33" w:rsidRDefault="00910133" w:rsidP="0091013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AD35C4">
              <w:rPr>
                <w:rFonts w:ascii="Calibri" w:hAnsi="Calibri"/>
                <w:b/>
                <w:color w:val="000000"/>
                <w:szCs w:val="24"/>
                <w:u w:val="single"/>
              </w:rPr>
              <w:t>Detailed responsibilities for maintenance</w:t>
            </w:r>
            <w:r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  <w:p w:rsidR="00521D3A" w:rsidRPr="00910133" w:rsidRDefault="00521D3A" w:rsidP="00A96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33" w:rsidRPr="00385D36" w:rsidRDefault="00910133" w:rsidP="00FF3D2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85D36">
              <w:rPr>
                <w:rFonts w:ascii="Calibri" w:hAnsi="Calibri"/>
                <w:b/>
                <w:color w:val="000000"/>
                <w:szCs w:val="24"/>
              </w:rPr>
              <w:t>Bromford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33" w:rsidRPr="00385D36" w:rsidRDefault="000A5BAD" w:rsidP="000A5BAD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FF0000"/>
                <w:szCs w:val="24"/>
              </w:rPr>
              <w:t>Agent</w:t>
            </w:r>
          </w:p>
        </w:tc>
      </w:tr>
      <w:tr w:rsidR="00EE3A49" w:rsidRPr="00385D36" w:rsidTr="00325623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0" w:rsidRPr="00F02C72" w:rsidRDefault="008E7970" w:rsidP="00910133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color w:val="000000"/>
                <w:szCs w:val="24"/>
              </w:rPr>
            </w:pPr>
            <w:r w:rsidRPr="00726797">
              <w:rPr>
                <w:rFonts w:ascii="Calibri" w:hAnsi="Calibri"/>
                <w:b/>
                <w:color w:val="000000"/>
                <w:szCs w:val="24"/>
              </w:rPr>
              <w:t>Decorating Responsibilities:</w:t>
            </w:r>
          </w:p>
          <w:p w:rsidR="00F02C72" w:rsidRPr="00F02C72" w:rsidRDefault="008E7970" w:rsidP="00F02C72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E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>xternal decorations</w:t>
            </w:r>
            <w:r w:rsidR="00F02C72">
              <w:rPr>
                <w:rFonts w:ascii="Calibri" w:hAnsi="Calibri"/>
                <w:color w:val="000000"/>
                <w:szCs w:val="24"/>
              </w:rPr>
              <w:t xml:space="preserve"> to the property</w:t>
            </w:r>
          </w:p>
          <w:p w:rsidR="00900DA5" w:rsidRPr="00900DA5" w:rsidRDefault="00726797" w:rsidP="00900DA5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</w:t>
            </w:r>
            <w:r w:rsidR="00F02C72">
              <w:rPr>
                <w:rFonts w:ascii="Calibri" w:hAnsi="Calibri"/>
                <w:color w:val="000000"/>
                <w:szCs w:val="24"/>
              </w:rPr>
              <w:t>omm</w:t>
            </w:r>
            <w:r w:rsidR="00EB04DE" w:rsidRPr="00F02C72">
              <w:rPr>
                <w:rFonts w:ascii="Calibri" w:hAnsi="Calibri"/>
                <w:color w:val="000000"/>
                <w:szCs w:val="24"/>
              </w:rPr>
              <w:t xml:space="preserve">unal </w:t>
            </w:r>
            <w:r w:rsidRPr="00F02C72">
              <w:rPr>
                <w:rFonts w:ascii="Calibri" w:hAnsi="Calibri"/>
                <w:color w:val="000000"/>
                <w:szCs w:val="24"/>
              </w:rPr>
              <w:t xml:space="preserve">corridors, </w:t>
            </w:r>
            <w:r w:rsidR="00EB04DE" w:rsidRPr="00F02C72">
              <w:rPr>
                <w:rFonts w:ascii="Calibri" w:hAnsi="Calibri"/>
                <w:color w:val="000000"/>
                <w:szCs w:val="24"/>
              </w:rPr>
              <w:t>stairwells and front doo</w:t>
            </w:r>
            <w:r w:rsidR="00B84A4A" w:rsidRPr="00F02C72">
              <w:rPr>
                <w:rFonts w:ascii="Calibri" w:hAnsi="Calibri"/>
                <w:color w:val="000000"/>
                <w:szCs w:val="24"/>
              </w:rPr>
              <w:t>rs</w:t>
            </w:r>
            <w:r w:rsidRPr="00F02C72">
              <w:rPr>
                <w:rFonts w:ascii="Calibri" w:hAnsi="Calibri"/>
                <w:color w:val="000000"/>
                <w:szCs w:val="24"/>
              </w:rPr>
              <w:t xml:space="preserve"> opening on to these areas where</w:t>
            </w:r>
            <w:r w:rsidR="00B84A4A" w:rsidRPr="00F02C72">
              <w:rPr>
                <w:rFonts w:ascii="Calibri" w:hAnsi="Calibri"/>
                <w:color w:val="000000"/>
                <w:szCs w:val="24"/>
              </w:rPr>
              <w:t xml:space="preserve"> the </w:t>
            </w:r>
            <w:r w:rsidR="00EB04DE" w:rsidRPr="00F02C72">
              <w:rPr>
                <w:rFonts w:ascii="Calibri" w:hAnsi="Calibri"/>
                <w:color w:val="000000"/>
                <w:szCs w:val="24"/>
              </w:rPr>
              <w:t>property is a block of flats</w:t>
            </w:r>
            <w:r w:rsidR="00900DA5">
              <w:rPr>
                <w:rFonts w:ascii="Calibri" w:hAnsi="Calibri"/>
                <w:color w:val="000000"/>
                <w:szCs w:val="24"/>
              </w:rPr>
              <w:t xml:space="preserve"> (excluding communal rooms</w:t>
            </w:r>
          </w:p>
          <w:p w:rsidR="00813FB2" w:rsidRPr="00946D26" w:rsidRDefault="00813FB2" w:rsidP="006B1F4F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6B1F4F">
              <w:rPr>
                <w:rFonts w:ascii="Calibri" w:hAnsi="Calibri"/>
                <w:color w:val="000000"/>
                <w:szCs w:val="24"/>
              </w:rPr>
              <w:t>Internal decorations of individual units, communal areas such as  kitchens, bathrooms, W.C’S,  resource and/or office areas,  including filling out minor internal cracks in the walls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E" w:rsidRDefault="00C075DE" w:rsidP="00C075DE">
            <w:pPr>
              <w:rPr>
                <w:rFonts w:ascii="Calibri" w:hAnsi="Calibri"/>
                <w:color w:val="000000"/>
                <w:szCs w:val="24"/>
              </w:rPr>
            </w:pPr>
          </w:p>
          <w:p w:rsidR="008E7970" w:rsidRDefault="00726797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8E7970" w:rsidRDefault="008E7970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FC6551" w:rsidRDefault="00FC6551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813FB2">
            <w:pPr>
              <w:rPr>
                <w:rFonts w:ascii="Calibri" w:hAnsi="Calibri"/>
                <w:color w:val="000000"/>
                <w:szCs w:val="24"/>
              </w:rPr>
            </w:pPr>
          </w:p>
          <w:p w:rsidR="00813FB2" w:rsidRDefault="00813FB2" w:rsidP="00813FB2">
            <w:pPr>
              <w:rPr>
                <w:rFonts w:ascii="Calibri" w:hAnsi="Calibri"/>
                <w:color w:val="000000"/>
                <w:szCs w:val="24"/>
              </w:rPr>
            </w:pPr>
          </w:p>
          <w:p w:rsidR="00813FB2" w:rsidRDefault="00813FB2" w:rsidP="00813FB2">
            <w:pPr>
              <w:rPr>
                <w:rFonts w:ascii="Calibri" w:hAnsi="Calibri"/>
                <w:color w:val="000000"/>
                <w:szCs w:val="24"/>
              </w:rPr>
            </w:pPr>
          </w:p>
          <w:p w:rsidR="00813FB2" w:rsidRDefault="00813FB2" w:rsidP="00813FB2">
            <w:pPr>
              <w:rPr>
                <w:rFonts w:ascii="Calibri" w:hAnsi="Calibri"/>
                <w:color w:val="000000"/>
                <w:szCs w:val="24"/>
              </w:rPr>
            </w:pPr>
          </w:p>
          <w:p w:rsidR="00813FB2" w:rsidRDefault="00813FB2" w:rsidP="00813FB2">
            <w:pPr>
              <w:rPr>
                <w:rFonts w:ascii="Calibri" w:hAnsi="Calibri"/>
                <w:color w:val="000000"/>
                <w:szCs w:val="24"/>
              </w:rPr>
            </w:pPr>
          </w:p>
          <w:p w:rsidR="00813FB2" w:rsidRDefault="00813FB2" w:rsidP="00813FB2">
            <w:pPr>
              <w:rPr>
                <w:rFonts w:ascii="Calibri" w:hAnsi="Calibri"/>
                <w:color w:val="000000"/>
                <w:szCs w:val="24"/>
              </w:rPr>
            </w:pPr>
          </w:p>
          <w:p w:rsidR="00813FB2" w:rsidRDefault="00813FB2" w:rsidP="00813FB2">
            <w:pPr>
              <w:rPr>
                <w:rFonts w:ascii="Calibri" w:hAnsi="Calibri"/>
                <w:color w:val="000000"/>
                <w:szCs w:val="24"/>
              </w:rPr>
            </w:pPr>
          </w:p>
          <w:p w:rsidR="00813FB2" w:rsidRDefault="00813FB2" w:rsidP="00813FB2">
            <w:pPr>
              <w:rPr>
                <w:rFonts w:ascii="Calibri" w:hAnsi="Calibri"/>
                <w:color w:val="000000"/>
                <w:szCs w:val="24"/>
              </w:rPr>
            </w:pPr>
          </w:p>
          <w:p w:rsidR="00813FB2" w:rsidRPr="00385D36" w:rsidRDefault="00813FB2" w:rsidP="00813FB2">
            <w:pPr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9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726797" w:rsidP="0032256E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726797" w:rsidRDefault="006B1F4F" w:rsidP="0032256E">
            <w:pPr>
              <w:spacing w:before="100" w:beforeAutospacing="1" w:after="100" w:afterAutospacing="1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Carpet and F</w:t>
            </w:r>
            <w:r w:rsidR="00E30DAC" w:rsidRPr="00726797">
              <w:rPr>
                <w:rFonts w:ascii="Calibri" w:hAnsi="Calibri"/>
                <w:b/>
                <w:color w:val="000000"/>
                <w:szCs w:val="24"/>
              </w:rPr>
              <w:t>looring responsibilities:</w:t>
            </w:r>
          </w:p>
          <w:p w:rsidR="00B504CD" w:rsidRPr="00FC6551" w:rsidRDefault="00E30DAC" w:rsidP="0032256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FC6551">
              <w:rPr>
                <w:rFonts w:ascii="Calibri" w:hAnsi="Calibri"/>
                <w:color w:val="000000"/>
                <w:szCs w:val="24"/>
              </w:rPr>
              <w:t>Repair and replacement of carpets in</w:t>
            </w:r>
            <w:r w:rsidR="00B504CD" w:rsidRPr="00FC6551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Pr="00FC6551">
              <w:rPr>
                <w:rFonts w:ascii="Calibri" w:hAnsi="Calibri"/>
                <w:color w:val="000000"/>
                <w:szCs w:val="24"/>
              </w:rPr>
              <w:t>communal stairwells and passageways</w:t>
            </w:r>
            <w:r w:rsidR="00B504CD" w:rsidRPr="00FC6551">
              <w:rPr>
                <w:rFonts w:ascii="Calibri" w:hAnsi="Calibri"/>
                <w:color w:val="000000"/>
                <w:szCs w:val="24"/>
              </w:rPr>
              <w:t xml:space="preserve"> where the property is a block of flats</w:t>
            </w:r>
            <w:r w:rsidR="00726797" w:rsidRPr="00FC6551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  <w:p w:rsidR="00075899" w:rsidRPr="00075899" w:rsidRDefault="00B504CD" w:rsidP="0007589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Repair </w:t>
            </w:r>
            <w:r w:rsidR="00D331F8">
              <w:rPr>
                <w:rFonts w:ascii="Calibri" w:hAnsi="Calibri"/>
                <w:color w:val="000000"/>
                <w:szCs w:val="24"/>
              </w:rPr>
              <w:t xml:space="preserve">and replacement </w:t>
            </w:r>
            <w:r w:rsidR="006712F5">
              <w:rPr>
                <w:rFonts w:ascii="Calibri" w:hAnsi="Calibri"/>
                <w:color w:val="000000"/>
                <w:szCs w:val="24"/>
              </w:rPr>
              <w:t>of non slip flooring in bathrooms,  kitch</w:t>
            </w:r>
            <w:r w:rsidR="0032256E">
              <w:rPr>
                <w:rFonts w:ascii="Calibri" w:hAnsi="Calibri"/>
                <w:color w:val="000000"/>
                <w:szCs w:val="24"/>
              </w:rPr>
              <w:t>ens and WC's within</w:t>
            </w:r>
            <w:r w:rsidR="00FC6551">
              <w:rPr>
                <w:rFonts w:ascii="Calibri" w:hAnsi="Calibri"/>
                <w:color w:val="000000"/>
                <w:szCs w:val="24"/>
              </w:rPr>
              <w:t xml:space="preserve"> shared housing</w:t>
            </w:r>
            <w:r w:rsidR="0032256E">
              <w:rPr>
                <w:rFonts w:ascii="Calibri" w:hAnsi="Calibri"/>
                <w:color w:val="000000"/>
                <w:szCs w:val="24"/>
              </w:rPr>
              <w:t xml:space="preserve"> and self contained units </w:t>
            </w:r>
          </w:p>
          <w:p w:rsidR="006712F5" w:rsidRDefault="006712F5" w:rsidP="00FD0F7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Repair and replacement</w:t>
            </w:r>
            <w:r w:rsidR="00726797">
              <w:rPr>
                <w:rFonts w:ascii="Calibri" w:hAnsi="Calibri"/>
                <w:color w:val="000000"/>
                <w:szCs w:val="24"/>
              </w:rPr>
              <w:t xml:space="preserve"> of </w:t>
            </w:r>
            <w:r w:rsidR="006B1F4F">
              <w:rPr>
                <w:rFonts w:ascii="Calibri" w:hAnsi="Calibri"/>
                <w:color w:val="000000"/>
                <w:szCs w:val="24"/>
              </w:rPr>
              <w:t>carpets and flooring</w:t>
            </w:r>
            <w:r w:rsidR="00FD0F7E">
              <w:rPr>
                <w:rFonts w:ascii="Calibri" w:hAnsi="Calibri"/>
                <w:color w:val="000000"/>
                <w:szCs w:val="24"/>
              </w:rPr>
              <w:t xml:space="preserve"> elsewhere</w:t>
            </w:r>
          </w:p>
          <w:p w:rsidR="00FD0F7E" w:rsidRPr="006712F5" w:rsidRDefault="00FD0F7E" w:rsidP="00FD0F7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Repair and replacement of carpet in the office/resource flat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30DAC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30DAC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30DAC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726797" w:rsidRDefault="00726797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511F35" w:rsidRDefault="00511F35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30DAC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FC6551" w:rsidRDefault="00FC6551" w:rsidP="00D331F8">
            <w:pPr>
              <w:rPr>
                <w:rFonts w:ascii="Calibri" w:hAnsi="Calibri"/>
                <w:color w:val="000000"/>
                <w:szCs w:val="24"/>
              </w:rPr>
            </w:pPr>
          </w:p>
          <w:p w:rsidR="006712F5" w:rsidRPr="00385D36" w:rsidRDefault="006712F5" w:rsidP="0032256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30DAC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30DAC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30DAC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30DAC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30DAC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30DAC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FC6551" w:rsidRDefault="00FC6551" w:rsidP="00D331F8">
            <w:pPr>
              <w:rPr>
                <w:rFonts w:ascii="Calibri" w:hAnsi="Calibri"/>
                <w:color w:val="000000"/>
                <w:szCs w:val="24"/>
              </w:rPr>
            </w:pPr>
          </w:p>
          <w:p w:rsidR="00511F35" w:rsidRDefault="00511F35" w:rsidP="00511F3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FC6551" w:rsidRDefault="00FC6551" w:rsidP="00511F3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FD0F7E" w:rsidRDefault="00FD0F7E" w:rsidP="00511F3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FD0F7E" w:rsidRDefault="00FD0F7E" w:rsidP="00FD0F7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FD0F7E" w:rsidRPr="00385D36" w:rsidRDefault="00FD0F7E" w:rsidP="00511F3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30DAC" w:rsidRPr="00385D36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AC" w:rsidRDefault="00511F35" w:rsidP="00FF3D29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</w:t>
            </w:r>
            <w:r w:rsidR="006712F5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AC" w:rsidRPr="00385D36" w:rsidRDefault="006712F5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Electrical wiring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AC" w:rsidRPr="00385D36" w:rsidRDefault="006B1F4F" w:rsidP="006B1F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AC" w:rsidRPr="00385D36" w:rsidRDefault="00E30DAC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385D36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511F35" w:rsidP="00FF3D29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Plumbing installations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32256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385D36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511F35" w:rsidP="00FF3D29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Structural repairs to the fabric of the buildings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385D36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511F35" w:rsidP="00FF3D29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6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Heating, </w:t>
            </w:r>
            <w:r w:rsidRPr="00385D36">
              <w:rPr>
                <w:rFonts w:ascii="Calibri" w:hAnsi="Calibri"/>
                <w:szCs w:val="24"/>
              </w:rPr>
              <w:t>hot water</w:t>
            </w:r>
            <w:r w:rsidRPr="00385D36">
              <w:rPr>
                <w:rFonts w:ascii="Calibri" w:hAnsi="Calibri"/>
                <w:color w:val="000000"/>
                <w:szCs w:val="24"/>
              </w:rPr>
              <w:t xml:space="preserve"> installations and boilers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385D36" w:rsidTr="00325623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511F35" w:rsidP="00FF3D29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7</w:t>
            </w:r>
            <w:r w:rsidR="00EE3A49" w:rsidRPr="00385D36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3" w:rsidRPr="00910133" w:rsidRDefault="00EE3A49" w:rsidP="007A125C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Fixtures and fittings, </w:t>
            </w:r>
            <w:r w:rsidRPr="00385D36">
              <w:rPr>
                <w:rFonts w:ascii="Calibri" w:hAnsi="Calibri"/>
                <w:szCs w:val="24"/>
              </w:rPr>
              <w:t xml:space="preserve">including kitchen units, wash hand basins (and vanity units where provided),  sinks, toilets, standard baths and showers or other sanitary ware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075899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32256E" w:rsidRPr="00385D36" w:rsidRDefault="0032256E" w:rsidP="0007589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E3A49" w:rsidRPr="00385D36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6D06FC" w:rsidP="00FF3D29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8</w:t>
            </w:r>
            <w:r w:rsidR="00910133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>Non-standard specialist baths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FD0F7E" w:rsidRDefault="00EE3A49" w:rsidP="00FF3D2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FD0F7E" w:rsidRDefault="000A5BAD" w:rsidP="00FF3D29">
            <w:pPr>
              <w:jc w:val="center"/>
              <w:rPr>
                <w:rFonts w:ascii="Calibri" w:hAnsi="Calibri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6D06FC" w:rsidP="00FF3D29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9</w:t>
            </w:r>
            <w:r w:rsidR="00910133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7A125C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DC401A">
              <w:rPr>
                <w:rFonts w:ascii="Calibri" w:hAnsi="Calibri"/>
                <w:color w:val="000000"/>
                <w:szCs w:val="24"/>
              </w:rPr>
              <w:t>Hoists (where applicable)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0A5BAD" w:rsidP="00FF3D29">
            <w:pPr>
              <w:jc w:val="center"/>
              <w:rPr>
                <w:rFonts w:ascii="Calibri" w:hAnsi="Calibri"/>
                <w:color w:val="FF0000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</w:tc>
      </w:tr>
      <w:tr w:rsidR="00EE3A49" w:rsidRPr="00385D36" w:rsidTr="00325623">
        <w:trPr>
          <w:trHeight w:val="7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6D06FC" w:rsidP="00FF3D29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</w:t>
            </w:r>
            <w:r w:rsidR="00910133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910133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Providing and repairing additional heating appliances </w:t>
            </w:r>
            <w:r w:rsidR="00910133">
              <w:rPr>
                <w:rFonts w:ascii="Calibri" w:hAnsi="Calibri"/>
                <w:color w:val="000000"/>
                <w:szCs w:val="24"/>
              </w:rPr>
              <w:t xml:space="preserve">(except in the case of heating system failure)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EE3A49" w:rsidRPr="00385D36" w:rsidRDefault="00EE3A49" w:rsidP="00FF3D2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</w:tc>
      </w:tr>
      <w:tr w:rsidR="00EE3A49" w:rsidRPr="002F0A99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11</w:t>
            </w:r>
            <w:r w:rsidR="002F0A99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2F0A99" w:rsidRDefault="00EE3A49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>Laundry Appliances including installation costs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2F0A99" w:rsidRDefault="00EE3A49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2F0A99" w:rsidRDefault="00EE3A49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EE3A49" w:rsidRPr="002F0A99" w:rsidTr="00325623">
        <w:trPr>
          <w:trHeight w:val="7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12</w:t>
            </w:r>
            <w:r w:rsidR="002F0A99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2F0A99" w:rsidRDefault="00EE3A49" w:rsidP="00910133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 xml:space="preserve">Cookers, fridges, </w:t>
            </w:r>
            <w:r w:rsidRPr="002F0A99">
              <w:rPr>
                <w:rFonts w:asciiTheme="minorHAnsi" w:hAnsiTheme="minorHAnsi"/>
                <w:szCs w:val="24"/>
              </w:rPr>
              <w:t>freezers a</w:t>
            </w:r>
            <w:r w:rsidRPr="002F0A99">
              <w:rPr>
                <w:rFonts w:asciiTheme="minorHAnsi" w:hAnsiTheme="minorHAnsi"/>
                <w:color w:val="000000"/>
                <w:szCs w:val="24"/>
              </w:rPr>
              <w:t>nd dishwashers including installation costs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2F0A99" w:rsidRDefault="00EE3A49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9" w:rsidRPr="002F0A99" w:rsidRDefault="00EE3A49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F209EF" w:rsidRPr="002F0A99" w:rsidTr="00325623">
        <w:trPr>
          <w:trHeight w:val="7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13</w:t>
            </w:r>
            <w:r w:rsidR="002F0A99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2F0A99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>Annual electrical safety checks to appliances including provision of safety certificates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209EF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209EF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F209EF" w:rsidRPr="002F0A99" w:rsidTr="00325623">
        <w:trPr>
          <w:trHeight w:val="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14</w:t>
            </w:r>
            <w:r w:rsidR="002F0A99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>Cutting and moving kitchen units to fit in with new appliances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F209EF" w:rsidRPr="002F0A99" w:rsidTr="00325623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>Repairing or providing additional cooker power sources and sockets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F209EF" w:rsidRPr="002F0A99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</w:t>
            </w:r>
            <w:r w:rsidR="00F209EF" w:rsidRPr="002F0A99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>Replacing kitchen cupboard catches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F209EF" w:rsidRPr="002F0A99" w:rsidTr="00325623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17</w:t>
            </w:r>
            <w:r w:rsidR="00F209EF" w:rsidRPr="002F0A99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>Repairing or replacing draught excluders where fitted by the Registered Provider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B61D99" w:rsidRPr="002F0A99" w:rsidTr="00325623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18</w:t>
            </w:r>
            <w:r w:rsidR="00B61D99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99" w:rsidRPr="002F0A99" w:rsidRDefault="00B61D99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Glazing - crime reference required in the case of deliberate damage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99" w:rsidRDefault="00B61D99" w:rsidP="00B61D9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B61D99" w:rsidRPr="002F0A99" w:rsidRDefault="00B61D99" w:rsidP="00FF3D29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99" w:rsidRPr="002F0A99" w:rsidRDefault="00B61D99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F209EF" w:rsidRPr="002F0A99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6D06FC" w:rsidP="00FF3D2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19</w:t>
            </w:r>
            <w:r w:rsidR="00F209EF" w:rsidRPr="002F0A99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6F1DDB" w:rsidRDefault="002F0A99" w:rsidP="002F0A99">
            <w:pPr>
              <w:spacing w:before="100" w:beforeAutospacing="1" w:after="100" w:afterAutospacing="1"/>
              <w:rPr>
                <w:rFonts w:asciiTheme="minorHAnsi" w:hAnsiTheme="minorHAnsi"/>
                <w:color w:val="FF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Replacement of light bulbs </w:t>
            </w:r>
            <w:r w:rsidR="006F1DDB">
              <w:rPr>
                <w:rFonts w:ascii="Calibri" w:hAnsi="Calibri"/>
                <w:color w:val="000000"/>
                <w:szCs w:val="24"/>
              </w:rPr>
              <w:t>in standard pendant fitting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F" w:rsidRPr="002F0A99" w:rsidRDefault="00F209EF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2F0A99" w:rsidRPr="002F0A99" w:rsidTr="00325623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Default="006D06FC" w:rsidP="00FF3D2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20</w:t>
            </w:r>
            <w:r w:rsidR="006F1DDB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2F0A99" w:rsidRDefault="002F0A99" w:rsidP="002F0A99">
            <w:pPr>
              <w:spacing w:before="100" w:beforeAutospacing="1" w:after="100" w:afterAutospacing="1"/>
              <w:rPr>
                <w:rFonts w:asciiTheme="minorHAnsi" w:hAnsiTheme="minorHAnsi"/>
                <w:color w:val="FF0000"/>
                <w:szCs w:val="24"/>
              </w:rPr>
            </w:pPr>
            <w:r w:rsidRPr="00CA747B">
              <w:rPr>
                <w:rFonts w:ascii="Calibri" w:hAnsi="Calibri"/>
                <w:szCs w:val="24"/>
              </w:rPr>
              <w:t>Replacement of standard tubes in fluorescent light fittings</w:t>
            </w:r>
            <w:r>
              <w:rPr>
                <w:rFonts w:ascii="Calibri" w:hAnsi="Calibri"/>
                <w:szCs w:val="24"/>
              </w:rPr>
              <w:t xml:space="preserve">, fuses and batteries </w:t>
            </w:r>
            <w:r w:rsidRPr="00CA747B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2F0A99" w:rsidRDefault="002F0A99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2F0A99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2F0A99" w:rsidTr="00325623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Default="006D06FC" w:rsidP="00FF3D2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21</w:t>
            </w:r>
            <w:r w:rsidR="006F1DDB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DE" w:rsidRPr="00385D36" w:rsidRDefault="006F1DDB" w:rsidP="006F1DDB">
            <w:pPr>
              <w:spacing w:before="100" w:beforeAutospacing="1" w:after="100" w:afterAutospacing="1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t xml:space="preserve">Replacement of </w:t>
            </w:r>
            <w:r w:rsidR="006712F5">
              <w:rPr>
                <w:rFonts w:ascii="Calibri" w:hAnsi="Calibri"/>
                <w:color w:val="000000"/>
                <w:szCs w:val="24"/>
              </w:rPr>
              <w:t>bulbs or tubes in specialist</w:t>
            </w:r>
            <w:r>
              <w:rPr>
                <w:rFonts w:ascii="Calibri" w:hAnsi="Calibri"/>
                <w:color w:val="000000"/>
                <w:szCs w:val="24"/>
              </w:rPr>
              <w:t xml:space="preserve"> lighting units, which are sealed units and/or at height </w:t>
            </w:r>
            <w:r w:rsidR="00EB04DE">
              <w:rPr>
                <w:rFonts w:ascii="Calibri" w:hAnsi="Calibri"/>
                <w:color w:val="000000"/>
                <w:szCs w:val="24"/>
              </w:rPr>
              <w:t>within communal and/or individual units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F1DDB" w:rsidRPr="002F0A99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22</w:t>
            </w:r>
            <w:r w:rsidR="006F1DDB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>Lift service contract (where applicable)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52" w:rsidRPr="00075899" w:rsidRDefault="000A5BAD" w:rsidP="00C42052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385D36">
              <w:rPr>
                <w:rFonts w:ascii="Calibri" w:hAnsi="Calibri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075899" w:rsidRDefault="006F1DDB" w:rsidP="00FF3D29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6F1DDB" w:rsidRPr="002F0A99" w:rsidTr="00325623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23</w:t>
            </w:r>
            <w:r w:rsidR="00260A96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>Removing and replacing smoke alarm batteries provided as backup to mains wired systems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2F0A99" w:rsidTr="00325623">
        <w:trPr>
          <w:trHeight w:val="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24</w:t>
            </w:r>
            <w:r w:rsidR="006F1DDB" w:rsidRPr="002F0A99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>Repairing or replacing washing lines and posts, including rotary</w:t>
            </w:r>
            <w:r w:rsidR="00260A96">
              <w:rPr>
                <w:rFonts w:asciiTheme="minorHAnsi" w:hAnsiTheme="minorHAnsi"/>
                <w:color w:val="000000"/>
                <w:szCs w:val="24"/>
              </w:rPr>
              <w:t xml:space="preserve"> driers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  <w:p w:rsidR="006F1DDB" w:rsidRPr="002F0A99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F1DDB" w:rsidRPr="002F0A99" w:rsidTr="00325623">
        <w:trPr>
          <w:trHeight w:val="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25</w:t>
            </w:r>
            <w:r w:rsidR="006F1DDB" w:rsidRPr="002F0A99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t>Repair and replacement of furniture, electrical appliances or  equipment not defined elsewhere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:rsidR="00C42052" w:rsidRPr="002F0A99" w:rsidRDefault="00C42052" w:rsidP="00C4205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2F0A99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  <w:p w:rsidR="006F1DDB" w:rsidRPr="002F0A99" w:rsidRDefault="006F1DDB" w:rsidP="00FF3D29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F1DDB" w:rsidRPr="00385D36" w:rsidTr="00325623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D06FC" w:rsidP="00FF3D29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26</w:t>
            </w:r>
            <w:r w:rsidR="006F1DDB" w:rsidRPr="006F1DD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7A125C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6F1DDB">
              <w:rPr>
                <w:rFonts w:ascii="Calibri" w:hAnsi="Calibri"/>
                <w:szCs w:val="24"/>
              </w:rPr>
              <w:t>Servicing and replacement of fire detection equipment such as fire alarms, smoke/heat detectors</w:t>
            </w:r>
            <w:r w:rsidR="00C42052">
              <w:rPr>
                <w:rFonts w:ascii="Calibri" w:hAnsi="Calibri"/>
                <w:szCs w:val="24"/>
              </w:rPr>
              <w:t xml:space="preserve"> and emergency lighting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Default="006F1DDB" w:rsidP="00C42052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  <w:p w:rsidR="00C42052" w:rsidRPr="002F0A99" w:rsidRDefault="00C42052" w:rsidP="00C42052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2F0A99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  <w:p w:rsidR="00C42052" w:rsidRPr="006F1DDB" w:rsidRDefault="00C42052" w:rsidP="00C42052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6F1DDB" w:rsidRPr="00385D36" w:rsidTr="00325623">
        <w:trPr>
          <w:trHeight w:val="6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581EE4" w:rsidP="00FF3D29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</w:t>
            </w:r>
            <w:r w:rsidR="006D06FC">
              <w:rPr>
                <w:rFonts w:ascii="Calibri" w:hAnsi="Calibri"/>
                <w:color w:val="000000"/>
                <w:szCs w:val="24"/>
              </w:rPr>
              <w:t>7</w:t>
            </w:r>
            <w:r w:rsidR="006F1DDB" w:rsidRPr="006F1DDB"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7A125C">
            <w:pPr>
              <w:spacing w:before="100" w:beforeAutospacing="1" w:after="100" w:afterAutospacing="1"/>
              <w:rPr>
                <w:rFonts w:ascii="Calibri" w:hAnsi="Calibri"/>
                <w:szCs w:val="24"/>
              </w:rPr>
            </w:pPr>
            <w:r w:rsidRPr="006F1DDB">
              <w:rPr>
                <w:rFonts w:ascii="Calibri" w:hAnsi="Calibri"/>
                <w:szCs w:val="24"/>
              </w:rPr>
              <w:t>Provision, servicing and replacement of fire-fighting equipment (extinguishers and blankets)</w:t>
            </w:r>
            <w:r w:rsidR="00FD0F7E">
              <w:rPr>
                <w:rFonts w:ascii="Calibri" w:hAnsi="Calibri"/>
                <w:szCs w:val="24"/>
              </w:rPr>
              <w:t xml:space="preserve"> in resource flat only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Default="00FD0F7E" w:rsidP="00FD0F7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D36">
              <w:rPr>
                <w:rFonts w:ascii="Calibri" w:hAnsi="Calibri"/>
                <w:color w:val="000000"/>
                <w:szCs w:val="24"/>
              </w:rPr>
              <w:sym w:font="Wingdings" w:char="F0FC"/>
            </w:r>
          </w:p>
          <w:p w:rsidR="006F1DDB" w:rsidRPr="006F1DDB" w:rsidRDefault="006F1DDB" w:rsidP="00FF3D29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6F1DDB" w:rsidRPr="006F1DDB" w:rsidTr="00325623">
        <w:trPr>
          <w:trHeight w:val="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28</w:t>
            </w:r>
            <w:r w:rsidR="006F1DDB" w:rsidRPr="006F1DDB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209EF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>Conducting fire drills and tests in compliance with regulation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209EF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29</w:t>
            </w:r>
            <w:r w:rsidR="00AD35C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84D24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 xml:space="preserve">Carrying out of annual fire risk assessments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30</w:t>
            </w:r>
            <w:r w:rsidR="00AD35C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>Fixing ornaments, pictures etc. to walls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6F1DDB" w:rsidTr="00325623">
        <w:trPr>
          <w:trHeight w:val="7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31</w:t>
            </w:r>
            <w:r w:rsidR="00AD35C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534D7F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 xml:space="preserve">Replacing bathroom fittings such as bathroom cabinets, mirrors, toilet roll holders </w:t>
            </w:r>
            <w:r w:rsidR="00813FB2">
              <w:rPr>
                <w:rFonts w:asciiTheme="minorHAnsi" w:hAnsiTheme="minorHAnsi"/>
                <w:color w:val="000000"/>
                <w:szCs w:val="24"/>
              </w:rPr>
              <w:t>and cord in pull light switch.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32</w:t>
            </w:r>
            <w:r w:rsidR="00AD35C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534D7F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 xml:space="preserve">Renewing or replacing toilet seats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33</w:t>
            </w:r>
            <w:r w:rsidR="00581EE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>Renewing sink, basin or bath plugs and chains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  <w:p w:rsidR="00FB5576" w:rsidRPr="006F1DDB" w:rsidRDefault="00FB5576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F1DDB" w:rsidRPr="006F1DDB" w:rsidTr="00325623">
        <w:trPr>
          <w:trHeight w:val="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D06FC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34</w:t>
            </w:r>
            <w:r w:rsidR="00581EE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EE7271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>Cleaning out and replacing shower heads, where not covered by legionella management servicing  arrangements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C332ED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35</w:t>
            </w:r>
            <w:r w:rsidR="00581EE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>Fixing curtain rails and tracks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C332ED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08523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 xml:space="preserve">Replacing locks or keys through keys being lost or broken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260A96" w:rsidRPr="006F1DDB" w:rsidTr="00325623">
        <w:trPr>
          <w:trHeight w:val="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6" w:rsidRPr="006F1DDB" w:rsidRDefault="00C332ED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37</w:t>
            </w:r>
            <w:r w:rsidR="00AD35C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6" w:rsidRPr="006F1DDB" w:rsidRDefault="00260A96" w:rsidP="0008523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Repairing and replacing window locks where provided by the Registered Provider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6" w:rsidRPr="006F1DDB" w:rsidRDefault="00260A96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96" w:rsidRPr="006F1DDB" w:rsidRDefault="00260A96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F1DDB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6F1DDB" w:rsidRDefault="00C332ED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38</w:t>
            </w:r>
            <w:r w:rsidR="00AD35C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6F1DDB" w:rsidRDefault="006F1DDB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>Providing extra security locks and chains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325623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Default="00325623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6F1DDB" w:rsidRDefault="00325623" w:rsidP="007A125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Providing and maintaining burglar alarms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6F1DDB" w:rsidRDefault="00325623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6F1DDB" w:rsidRDefault="00325623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6F1DDB" w:rsidTr="00325623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325623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</w:t>
            </w:r>
            <w:r w:rsidR="00581EE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1616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>Adjusting or replacing letter box flaps and repairing or replacing door numbers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325623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41</w:t>
            </w:r>
            <w:r w:rsidR="00AD35C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1616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>Boundary walls and fences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F1DDB" w:rsidRPr="006F1DDB" w:rsidTr="00325623">
        <w:trPr>
          <w:trHeight w:val="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325623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42</w:t>
            </w:r>
            <w:r w:rsidR="00581EE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1616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 xml:space="preserve">Sheds and out buildings provided by the Registered Provider </w:t>
            </w:r>
            <w:r w:rsidR="00900DA5">
              <w:rPr>
                <w:rFonts w:asciiTheme="minorHAnsi" w:hAnsiTheme="minorHAnsi"/>
                <w:color w:val="000000"/>
                <w:szCs w:val="24"/>
              </w:rPr>
              <w:t xml:space="preserve">where provided </w:t>
            </w:r>
            <w:r w:rsidR="00DB16AA">
              <w:rPr>
                <w:rFonts w:asciiTheme="minorHAnsi" w:hAnsiTheme="minorHAnsi"/>
                <w:color w:val="000000"/>
                <w:szCs w:val="24"/>
              </w:rPr>
              <w:t>- see Schedule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F1DDB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325623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43</w:t>
            </w:r>
            <w:r w:rsidR="00AD35C4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1616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 xml:space="preserve">Clearing  guttering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F1DDB" w:rsidRPr="006F1DDB" w:rsidTr="0032562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325623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44</w:t>
            </w:r>
            <w:r w:rsidR="008E7970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1616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>Emptying septic tanks (where applicable)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</w:tc>
      </w:tr>
      <w:tr w:rsidR="006F1DDB" w:rsidRPr="006F1DDB" w:rsidTr="00325623">
        <w:trPr>
          <w:trHeight w:val="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325623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45</w:t>
            </w:r>
            <w:r w:rsidR="008E7970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1616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>Cleaning the property</w:t>
            </w:r>
            <w:r w:rsidR="00C42052">
              <w:rPr>
                <w:rFonts w:asciiTheme="minorHAnsi" w:hAnsiTheme="minorHAnsi"/>
                <w:color w:val="000000"/>
                <w:szCs w:val="24"/>
              </w:rPr>
              <w:t>, including extractor fans in kitchens and bathrooms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  <w:p w:rsidR="002E74CD" w:rsidRDefault="002E74CD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:rsidR="002E74CD" w:rsidRPr="006F1DDB" w:rsidRDefault="002E74CD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F1DDB" w:rsidRPr="006F1DDB" w:rsidTr="00325623">
        <w:trPr>
          <w:trHeight w:val="9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Default="00325623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46</w:t>
            </w:r>
            <w:r w:rsidR="00581EE4">
              <w:rPr>
                <w:rFonts w:asciiTheme="minorHAnsi" w:hAnsiTheme="minorHAnsi"/>
                <w:color w:val="000000"/>
                <w:szCs w:val="24"/>
              </w:rPr>
              <w:t>.</w:t>
            </w:r>
          </w:p>
          <w:p w:rsidR="002E74CD" w:rsidRDefault="002E74CD" w:rsidP="00FF3D29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900DA5" w:rsidRDefault="00900DA5" w:rsidP="00FF3D29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C42052" w:rsidRPr="006F1DDB" w:rsidRDefault="00325623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47</w:t>
            </w:r>
            <w:r w:rsidR="00DD74DA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2E74CD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Default="006F1DDB" w:rsidP="00F1616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t>Routine Chimney sweeping, replacing ash pans (where applicable)</w:t>
            </w:r>
          </w:p>
          <w:p w:rsidR="00C42052" w:rsidRPr="00900DA5" w:rsidRDefault="002E74CD" w:rsidP="00900DA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Bleeding radiators</w:t>
            </w:r>
            <w:r w:rsidR="00900DA5">
              <w:rPr>
                <w:rFonts w:asciiTheme="minorHAnsi" w:hAnsiTheme="minorHAnsi"/>
                <w:color w:val="000000"/>
                <w:szCs w:val="24"/>
              </w:rPr>
              <w:t xml:space="preserve"> and routine ignition of boilers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D" w:rsidRDefault="002E74CD" w:rsidP="002E74CD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  <w:p w:rsid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:rsidR="00C42052" w:rsidRDefault="00C42052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:rsidR="00900DA5" w:rsidRDefault="00900DA5" w:rsidP="00900DA5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  <w:p w:rsidR="00C42052" w:rsidRPr="006F1DDB" w:rsidRDefault="00C42052" w:rsidP="00C4205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CD" w:rsidRDefault="002E74CD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:rsidR="002E74CD" w:rsidRDefault="002E74CD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:rsidR="00900DA5" w:rsidRDefault="00900DA5" w:rsidP="002E74CD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:rsidR="002E74CD" w:rsidRPr="006F1DDB" w:rsidRDefault="002E74CD" w:rsidP="00900DA5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00DA5" w:rsidRPr="006F1DDB" w:rsidTr="00325623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325623" w:rsidP="00FF3D2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48</w:t>
            </w:r>
            <w:r w:rsidR="00900DA5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6F1DDB" w:rsidRDefault="00900DA5" w:rsidP="00F1616C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Dealing with rubbish and fly tipping on or in vicinity of scheme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Pr="006F1DDB" w:rsidRDefault="00900DA5" w:rsidP="002E74CD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5" w:rsidRDefault="00900DA5" w:rsidP="00900DA5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  <w:p w:rsidR="00900DA5" w:rsidRDefault="00900DA5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F1DDB" w:rsidRPr="006F1DDB" w:rsidTr="00325623">
        <w:trPr>
          <w:trHeight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325623" w:rsidP="00FF3D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49</w:t>
            </w:r>
            <w:r w:rsidR="00581EE4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581EE4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 xml:space="preserve">Property Inspections in line with the Registered Provider's policies in relation to </w:t>
            </w:r>
            <w:r w:rsidR="00581EE4">
              <w:rPr>
                <w:rFonts w:asciiTheme="minorHAnsi" w:hAnsiTheme="minorHAnsi"/>
                <w:szCs w:val="24"/>
              </w:rPr>
              <w:t>inspecting and maintaining assets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color w:val="000000"/>
                <w:szCs w:val="24"/>
              </w:rPr>
              <w:sym w:font="Wingdings" w:char="F0FC"/>
            </w:r>
          </w:p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B" w:rsidRPr="006F1DDB" w:rsidRDefault="006F1DDB" w:rsidP="002E74CD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:rsidR="006F1DDB" w:rsidRPr="006F1DDB" w:rsidRDefault="006F1DDB" w:rsidP="00FF3D29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</w:tbl>
    <w:p w:rsidR="006769CD" w:rsidRDefault="006769CD">
      <w:pPr>
        <w:rPr>
          <w:rFonts w:asciiTheme="minorHAnsi" w:hAnsiTheme="minorHAnsi"/>
          <w:szCs w:val="24"/>
        </w:rPr>
      </w:pPr>
    </w:p>
    <w:p w:rsidR="003B4BE0" w:rsidRPr="008A6AE1" w:rsidRDefault="003B4BE0">
      <w:pPr>
        <w:rPr>
          <w:rFonts w:asciiTheme="minorHAnsi" w:hAnsiTheme="minorHAnsi"/>
          <w:color w:val="FF0000"/>
          <w:szCs w:val="24"/>
        </w:rPr>
      </w:pPr>
    </w:p>
    <w:tbl>
      <w:tblPr>
        <w:tblW w:w="9810" w:type="dxa"/>
        <w:tblInd w:w="108" w:type="dxa"/>
        <w:tblLayout w:type="fixed"/>
        <w:tblLook w:val="0200" w:firstRow="0" w:lastRow="0" w:firstColumn="0" w:lastColumn="0" w:noHBand="1" w:noVBand="0"/>
      </w:tblPr>
      <w:tblGrid>
        <w:gridCol w:w="991"/>
        <w:gridCol w:w="6095"/>
        <w:gridCol w:w="2724"/>
      </w:tblGrid>
      <w:tr w:rsidR="00725081" w:rsidRPr="006F1DDB" w:rsidTr="00325623">
        <w:trPr>
          <w:trHeight w:val="560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081" w:rsidRPr="00A9643D" w:rsidRDefault="004266FA" w:rsidP="00AD06FA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FF0000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 xml:space="preserve"> SUPPORT SERVICES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081" w:rsidRPr="006F1DDB" w:rsidRDefault="000A5BAD" w:rsidP="00FF3D29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Cs w:val="24"/>
              </w:rPr>
              <w:t>Agent</w:t>
            </w:r>
          </w:p>
        </w:tc>
      </w:tr>
      <w:tr w:rsidR="00725081" w:rsidRPr="006F1DDB" w:rsidTr="00325623">
        <w:trPr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A" w:rsidRPr="006F1DDB" w:rsidRDefault="002D1043" w:rsidP="00FF3D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725081" w:rsidRPr="006F1D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A" w:rsidRPr="006F1DDB" w:rsidRDefault="00725081" w:rsidP="00AD06FA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 xml:space="preserve">Supporting Occupants to maintain the  terms of </w:t>
            </w:r>
            <w:r w:rsidR="002D1043">
              <w:rPr>
                <w:rFonts w:asciiTheme="minorHAnsi" w:hAnsiTheme="minorHAnsi"/>
                <w:szCs w:val="24"/>
              </w:rPr>
              <w:t xml:space="preserve">their </w:t>
            </w:r>
            <w:r w:rsidR="00AD06FA">
              <w:rPr>
                <w:rFonts w:asciiTheme="minorHAnsi" w:hAnsiTheme="minorHAnsi"/>
                <w:szCs w:val="24"/>
              </w:rPr>
              <w:t>Occupancy agreement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8A6AE1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sym w:font="Wingdings" w:char="F0FC"/>
            </w:r>
          </w:p>
        </w:tc>
      </w:tr>
      <w:tr w:rsidR="00725081" w:rsidRPr="006F1DDB" w:rsidTr="00325623">
        <w:trPr>
          <w:trHeight w:val="4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2D1043" w:rsidP="00FF3D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725081" w:rsidP="00F1616C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>Maintaining security within the home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8A6AE1" w:rsidP="00FF3D29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sym w:font="Wingdings" w:char="F0FC"/>
            </w:r>
          </w:p>
        </w:tc>
      </w:tr>
      <w:tr w:rsidR="00725081" w:rsidRPr="006F1DDB" w:rsidTr="00325623">
        <w:trPr>
          <w:trHeight w:val="4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2D1043" w:rsidP="00FF3D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725081" w:rsidP="00B76190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>Supporting Occupants  in Health and Safety matters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8A6AE1" w:rsidP="00FF3D29">
            <w:pPr>
              <w:jc w:val="center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sym w:font="Wingdings" w:char="F0FC"/>
            </w:r>
          </w:p>
        </w:tc>
      </w:tr>
      <w:tr w:rsidR="00725081" w:rsidRPr="006F1DDB" w:rsidTr="00325623">
        <w:trPr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2D1043" w:rsidP="00FF3D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725081" w:rsidP="00F1616C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>Giving advice and support to access to benefits other than housing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8A6AE1" w:rsidP="00FF3D29">
            <w:pPr>
              <w:jc w:val="center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sym w:font="Wingdings" w:char="F0FC"/>
            </w:r>
          </w:p>
        </w:tc>
      </w:tr>
      <w:tr w:rsidR="00725081" w:rsidRPr="006F1DDB" w:rsidTr="00325623">
        <w:trPr>
          <w:trHeight w:val="4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2D1043" w:rsidP="00FF3D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725081" w:rsidP="00F1616C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 xml:space="preserve">Advice on access to education, training or employment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8A6AE1" w:rsidP="00FF3D29">
            <w:pPr>
              <w:jc w:val="center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sym w:font="Wingdings" w:char="F0FC"/>
            </w:r>
          </w:p>
        </w:tc>
      </w:tr>
      <w:tr w:rsidR="00725081" w:rsidRPr="006F1DDB" w:rsidTr="00325623">
        <w:trPr>
          <w:trHeight w:val="4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2D1043" w:rsidP="00FF3D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725081" w:rsidRPr="006F1D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725081" w:rsidP="00F1616C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>Advice on bills and debts not directly related to the tenancy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8A6AE1" w:rsidP="00FF3D29">
            <w:pPr>
              <w:jc w:val="center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sym w:font="Wingdings" w:char="F0FC"/>
            </w:r>
          </w:p>
        </w:tc>
      </w:tr>
      <w:tr w:rsidR="00725081" w:rsidRPr="006F1DDB" w:rsidTr="00325623">
        <w:trPr>
          <w:trHeight w:val="5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2D1043" w:rsidP="00A92AC3">
            <w:pPr>
              <w:tabs>
                <w:tab w:val="left" w:pos="567"/>
                <w:tab w:val="left" w:pos="720"/>
              </w:tabs>
              <w:spacing w:line="360" w:lineRule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7</w:t>
            </w:r>
            <w:r w:rsidR="00725081" w:rsidRPr="006F1DDB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725081" w:rsidP="00A92AC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>Putting the Occupants  in touch with, or advising on the availability of, those services which are appropriate to their needs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8A6AE1" w:rsidP="00A92AC3">
            <w:pPr>
              <w:jc w:val="center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sym w:font="Wingdings" w:char="F0FC"/>
            </w:r>
          </w:p>
        </w:tc>
      </w:tr>
      <w:tr w:rsidR="00725081" w:rsidRPr="006F1DDB" w:rsidTr="00325623">
        <w:trPr>
          <w:trHeight w:val="6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2D1043" w:rsidP="00A92AC3">
            <w:pPr>
              <w:tabs>
                <w:tab w:val="left" w:pos="567"/>
                <w:tab w:val="left" w:pos="720"/>
              </w:tabs>
              <w:spacing w:line="360" w:lineRule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8</w:t>
            </w:r>
            <w:r w:rsidR="00725081" w:rsidRPr="006F1DDB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725081" w:rsidP="00A92AC3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 xml:space="preserve">Encouraging the Occupants  to maintain relevant contacts for care, support and welfare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8A6AE1" w:rsidP="00A92AC3">
            <w:pPr>
              <w:jc w:val="center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sym w:font="Wingdings" w:char="F0FC"/>
            </w:r>
          </w:p>
        </w:tc>
      </w:tr>
      <w:tr w:rsidR="00725081" w:rsidRPr="006F1DDB" w:rsidTr="00325623">
        <w:trPr>
          <w:trHeight w:val="6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2D1043" w:rsidP="00901279">
            <w:pPr>
              <w:tabs>
                <w:tab w:val="left" w:pos="567"/>
                <w:tab w:val="left" w:pos="720"/>
              </w:tabs>
              <w:spacing w:line="360" w:lineRule="auto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9</w:t>
            </w:r>
            <w:r w:rsidR="00725081" w:rsidRPr="006F1DDB">
              <w:rPr>
                <w:rFonts w:asciiTheme="minorHAnsi" w:hAnsiTheme="minorHAnsi"/>
                <w:color w:val="000000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725081" w:rsidP="00901279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t>Contacting relatives or care services directly when there seems to be cause for concern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81" w:rsidRPr="006F1DDB" w:rsidRDefault="00725081" w:rsidP="00901279">
            <w:pPr>
              <w:jc w:val="center"/>
              <w:rPr>
                <w:rFonts w:asciiTheme="minorHAnsi" w:hAnsiTheme="minorHAnsi"/>
                <w:szCs w:val="24"/>
              </w:rPr>
            </w:pPr>
            <w:r w:rsidRPr="006F1DDB">
              <w:rPr>
                <w:rFonts w:asciiTheme="minorHAnsi" w:hAnsiTheme="minorHAnsi"/>
                <w:szCs w:val="24"/>
              </w:rPr>
              <w:sym w:font="Wingdings" w:char="F0FC"/>
            </w:r>
          </w:p>
        </w:tc>
      </w:tr>
    </w:tbl>
    <w:p w:rsidR="004266FA" w:rsidRDefault="004266FA"/>
    <w:p w:rsidR="008A6AE1" w:rsidRDefault="008A6AE1">
      <w:pPr>
        <w:rPr>
          <w:rFonts w:ascii="Calibri" w:hAnsi="Calibri"/>
          <w:color w:val="FF0000"/>
          <w:szCs w:val="24"/>
        </w:rPr>
      </w:pPr>
      <w:r w:rsidRPr="008A6AE1">
        <w:rPr>
          <w:rFonts w:ascii="Calibri" w:hAnsi="Calibri"/>
          <w:color w:val="FF0000"/>
          <w:szCs w:val="24"/>
        </w:rPr>
        <w:t>Delete IHMH services where not applicable</w:t>
      </w:r>
    </w:p>
    <w:p w:rsidR="008A6AE1" w:rsidRPr="008A6AE1" w:rsidRDefault="008A6AE1">
      <w:pPr>
        <w:rPr>
          <w:rFonts w:ascii="Calibri" w:hAnsi="Calibri"/>
          <w:color w:val="FF0000"/>
          <w:szCs w:val="24"/>
        </w:rPr>
      </w:pPr>
    </w:p>
    <w:tbl>
      <w:tblPr>
        <w:tblW w:w="9810" w:type="dxa"/>
        <w:tblInd w:w="108" w:type="dxa"/>
        <w:tblLayout w:type="fixed"/>
        <w:tblLook w:val="0200" w:firstRow="0" w:lastRow="0" w:firstColumn="0" w:lastColumn="0" w:noHBand="1" w:noVBand="0"/>
      </w:tblPr>
      <w:tblGrid>
        <w:gridCol w:w="991"/>
        <w:gridCol w:w="6095"/>
        <w:gridCol w:w="2724"/>
      </w:tblGrid>
      <w:tr w:rsidR="00D27CCC" w:rsidRPr="00D27CCC" w:rsidTr="008A4954">
        <w:trPr>
          <w:trHeight w:val="454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266FA" w:rsidRPr="008A4954" w:rsidRDefault="004266FA" w:rsidP="004266FA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FF0000"/>
                <w:szCs w:val="24"/>
                <w:u w:val="single"/>
              </w:rPr>
            </w:pPr>
            <w:r w:rsidRPr="008A4954">
              <w:rPr>
                <w:rFonts w:asciiTheme="minorHAnsi" w:hAnsiTheme="minorHAnsi"/>
                <w:b/>
                <w:color w:val="FF0000"/>
                <w:szCs w:val="24"/>
                <w:u w:val="single"/>
              </w:rPr>
              <w:t xml:space="preserve"> INTENSIVE HOUSING MANAGEMENT SERVICES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6FA" w:rsidRPr="00D27CCC" w:rsidRDefault="000A5BAD" w:rsidP="004266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Cs w:val="24"/>
              </w:rPr>
              <w:t>Agent</w:t>
            </w:r>
          </w:p>
        </w:tc>
      </w:tr>
      <w:tr w:rsidR="004266FA" w:rsidRPr="00D27CCC" w:rsidTr="008A6AE1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FA" w:rsidRPr="008A4954" w:rsidRDefault="0051780A" w:rsidP="004266F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1.</w:t>
            </w:r>
          </w:p>
          <w:p w:rsidR="008A6AE1" w:rsidRPr="008A4954" w:rsidRDefault="008A6AE1" w:rsidP="004266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AE1" w:rsidRPr="008A4954" w:rsidRDefault="004266FA" w:rsidP="0051780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>Assist customers to understand the terms of their occupancy agreement an</w:t>
            </w:r>
            <w:r w:rsidR="0051780A">
              <w:rPr>
                <w:rFonts w:asciiTheme="minorHAnsi" w:hAnsiTheme="minorHAnsi" w:cs="Segoe UI"/>
                <w:color w:val="FF0000"/>
                <w:szCs w:val="24"/>
              </w:rPr>
              <w:t>d what they are responsible for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6FA" w:rsidRPr="008A4954" w:rsidRDefault="005B41B8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  <w:p w:rsidR="005B41B8" w:rsidRPr="008A4954" w:rsidRDefault="005B41B8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  <w:p w:rsidR="005B41B8" w:rsidRPr="00D27CCC" w:rsidRDefault="005B41B8" w:rsidP="004266F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1780A" w:rsidRPr="00D27CCC" w:rsidTr="008A6AE1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0A" w:rsidRPr="008A4954" w:rsidRDefault="0051780A" w:rsidP="0051780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80A" w:rsidRPr="008A4954" w:rsidRDefault="0051780A" w:rsidP="0051780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>Support and advice on paying rent and charges, help with benefit claims and help to resol</w:t>
            </w:r>
            <w:r>
              <w:rPr>
                <w:rFonts w:asciiTheme="minorHAnsi" w:hAnsiTheme="minorHAnsi" w:cs="Segoe UI"/>
                <w:color w:val="FF0000"/>
                <w:szCs w:val="24"/>
              </w:rPr>
              <w:t>ve issues when things go wrong.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80A" w:rsidRPr="008A4954" w:rsidRDefault="0051780A" w:rsidP="0051780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  <w:p w:rsidR="0051780A" w:rsidRPr="008A4954" w:rsidRDefault="0051780A" w:rsidP="00325623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51780A" w:rsidRPr="00D27CCC" w:rsidTr="0051780A">
        <w:trPr>
          <w:trHeight w:val="5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0A" w:rsidRPr="008A4954" w:rsidRDefault="0051780A" w:rsidP="0051780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80A" w:rsidRPr="008A4954" w:rsidRDefault="0051780A" w:rsidP="0051780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 xml:space="preserve">How </w:t>
            </w:r>
            <w:r>
              <w:rPr>
                <w:rFonts w:asciiTheme="minorHAnsi" w:hAnsiTheme="minorHAnsi" w:cs="Segoe UI"/>
                <w:color w:val="FF0000"/>
                <w:szCs w:val="24"/>
              </w:rPr>
              <w:t>to identify and report repairs.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80A" w:rsidRPr="008A4954" w:rsidRDefault="0051780A" w:rsidP="00325623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</w:tc>
      </w:tr>
      <w:tr w:rsidR="0051780A" w:rsidRPr="00D27CCC" w:rsidTr="008A6AE1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0A" w:rsidRPr="008A4954" w:rsidRDefault="0051780A" w:rsidP="0051780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80A" w:rsidRPr="008A4954" w:rsidRDefault="0051780A" w:rsidP="0051780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>Signpost and support occupants with health and mobility issues - from referral to successful instal</w:t>
            </w:r>
            <w:r>
              <w:rPr>
                <w:rFonts w:asciiTheme="minorHAnsi" w:hAnsiTheme="minorHAnsi" w:cs="Segoe UI"/>
                <w:color w:val="FF0000"/>
                <w:szCs w:val="24"/>
              </w:rPr>
              <w:t>lation of aids and adaptations.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80A" w:rsidRPr="008A4954" w:rsidRDefault="0051780A" w:rsidP="0051780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  <w:p w:rsidR="0051780A" w:rsidRPr="008A4954" w:rsidRDefault="0051780A" w:rsidP="00325623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325623" w:rsidRPr="00D27CCC" w:rsidTr="008A6AE1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8A4954" w:rsidRDefault="0051780A" w:rsidP="004266F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51780A" w:rsidP="004266F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>Ensure occupants understand and maintain appropriate behaviour to sustain their tenancy, work with them to manage disputes and neighbour issues and advise on how to report an</w:t>
            </w:r>
            <w:r>
              <w:rPr>
                <w:rFonts w:asciiTheme="minorHAnsi" w:hAnsiTheme="minorHAnsi" w:cs="Segoe UI"/>
                <w:color w:val="FF0000"/>
                <w:szCs w:val="24"/>
              </w:rPr>
              <w:t>d manage anti-social behaviour.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325623" w:rsidP="00325623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  <w:p w:rsidR="00325623" w:rsidRPr="008A4954" w:rsidRDefault="00325623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325623" w:rsidRPr="00D27CCC" w:rsidTr="0051780A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8A4954" w:rsidRDefault="0051780A" w:rsidP="004266F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51780A" w:rsidP="004266F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>Advise occupants</w:t>
            </w:r>
            <w:r>
              <w:rPr>
                <w:rFonts w:asciiTheme="minorHAnsi" w:hAnsiTheme="minorHAnsi" w:cs="Segoe UI"/>
                <w:color w:val="FF0000"/>
                <w:szCs w:val="24"/>
              </w:rPr>
              <w:t xml:space="preserve"> on how to make a complaint.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325623" w:rsidP="00325623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  <w:p w:rsidR="00325623" w:rsidRPr="008A4954" w:rsidRDefault="00325623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325623" w:rsidRPr="00D27CCC" w:rsidTr="008A6AE1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8A4954" w:rsidRDefault="0051780A" w:rsidP="004266F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51780A" w:rsidP="004266F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>Work with occupants to explain</w:t>
            </w:r>
            <w:r>
              <w:rPr>
                <w:rFonts w:asciiTheme="minorHAnsi" w:hAnsiTheme="minorHAnsi" w:cs="Segoe UI"/>
                <w:color w:val="FF0000"/>
                <w:szCs w:val="24"/>
              </w:rPr>
              <w:t xml:space="preserve"> any changes to their services.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325623" w:rsidP="00325623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  <w:p w:rsidR="00325623" w:rsidRPr="008A4954" w:rsidRDefault="00325623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325623" w:rsidRPr="00D27CCC" w:rsidTr="008A6AE1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8A4954" w:rsidRDefault="00325623" w:rsidP="00325623">
            <w:pPr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t>8.</w:t>
            </w:r>
          </w:p>
          <w:p w:rsidR="00325623" w:rsidRPr="008A4954" w:rsidRDefault="00325623" w:rsidP="004266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325623" w:rsidP="004266F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>Ensure the safety and security of occupied buildings, shared areas and appropriate access.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325623" w:rsidP="00325623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  <w:p w:rsidR="00325623" w:rsidRPr="008A4954" w:rsidRDefault="00325623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325623" w:rsidRPr="00D27CCC" w:rsidTr="008A6AE1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8A4954" w:rsidRDefault="00325623" w:rsidP="004266F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325623" w:rsidP="004266F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>Manage voids and appropriate lettings within support schemes ensuring new occupants are welcomed and sett</w:t>
            </w:r>
            <w:r w:rsidR="0051780A">
              <w:rPr>
                <w:rFonts w:asciiTheme="minorHAnsi" w:hAnsiTheme="minorHAnsi" w:cs="Segoe UI"/>
                <w:color w:val="FF0000"/>
                <w:szCs w:val="24"/>
              </w:rPr>
              <w:t>led into their new environment.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623" w:rsidRDefault="00325623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  <w:p w:rsidR="00325623" w:rsidRDefault="00325623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</w:p>
          <w:p w:rsidR="00325623" w:rsidRPr="008A4954" w:rsidRDefault="00325623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</w:tc>
      </w:tr>
      <w:tr w:rsidR="00325623" w:rsidRPr="00D27CCC" w:rsidTr="008A6AE1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8A4954" w:rsidRDefault="00325623" w:rsidP="004266F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325623" w:rsidP="004266F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 xml:space="preserve">Promote and encourage a high level of independence and involvement </w:t>
            </w:r>
            <w:r w:rsidR="0051780A">
              <w:rPr>
                <w:rFonts w:asciiTheme="minorHAnsi" w:hAnsiTheme="minorHAnsi" w:cs="Segoe UI"/>
                <w:color w:val="FF0000"/>
                <w:szCs w:val="24"/>
              </w:rPr>
              <w:t>of occupants in their community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325623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</w:tc>
      </w:tr>
      <w:tr w:rsidR="00325623" w:rsidRPr="00D27CCC" w:rsidTr="008A6AE1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3" w:rsidRPr="008A4954" w:rsidRDefault="00325623" w:rsidP="004266FA">
            <w:pPr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325623" w:rsidP="004266F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Segoe UI"/>
                <w:color w:val="FF0000"/>
                <w:szCs w:val="24"/>
              </w:rPr>
            </w:pPr>
            <w:r w:rsidRPr="008A4954">
              <w:rPr>
                <w:rFonts w:asciiTheme="minorHAnsi" w:hAnsiTheme="minorHAnsi" w:cs="Segoe UI"/>
                <w:color w:val="FF0000"/>
                <w:szCs w:val="24"/>
              </w:rPr>
              <w:t>Ensure specialist accommodation is embraced within the local community and provide additional services as required to promote or provide as a community based resource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623" w:rsidRPr="008A4954" w:rsidRDefault="00325623" w:rsidP="004266F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8A4954">
              <w:rPr>
                <w:rFonts w:asciiTheme="minorHAnsi" w:hAnsiTheme="minorHAnsi"/>
                <w:color w:val="FF0000"/>
                <w:szCs w:val="24"/>
              </w:rPr>
              <w:sym w:font="Wingdings" w:char="F0FC"/>
            </w:r>
          </w:p>
        </w:tc>
      </w:tr>
    </w:tbl>
    <w:p w:rsidR="00F7145B" w:rsidRPr="00D27CCC" w:rsidRDefault="00F7145B">
      <w:pPr>
        <w:rPr>
          <w:rFonts w:asciiTheme="minorHAnsi" w:hAnsiTheme="minorHAnsi"/>
          <w:szCs w:val="24"/>
        </w:rPr>
      </w:pPr>
    </w:p>
    <w:p w:rsidR="004266FA" w:rsidRPr="00D27CCC" w:rsidRDefault="004266FA">
      <w:pPr>
        <w:rPr>
          <w:rFonts w:asciiTheme="minorHAnsi" w:hAnsiTheme="minorHAnsi"/>
          <w:szCs w:val="24"/>
        </w:rPr>
      </w:pPr>
    </w:p>
    <w:p w:rsidR="004266FA" w:rsidRPr="004266FA" w:rsidRDefault="004266FA" w:rsidP="008A6AE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="Segoe UI"/>
          <w:szCs w:val="24"/>
        </w:rPr>
      </w:pPr>
    </w:p>
    <w:p w:rsidR="003B4BE0" w:rsidRPr="004266FA" w:rsidRDefault="003B4BE0">
      <w:pPr>
        <w:rPr>
          <w:rFonts w:asciiTheme="minorHAnsi" w:hAnsiTheme="minorHAnsi"/>
          <w:szCs w:val="24"/>
        </w:rPr>
      </w:pPr>
    </w:p>
    <w:p w:rsidR="008F1250" w:rsidRPr="004266FA" w:rsidRDefault="008F1250">
      <w:pPr>
        <w:rPr>
          <w:rFonts w:asciiTheme="minorHAnsi" w:hAnsiTheme="minorHAnsi"/>
          <w:szCs w:val="24"/>
        </w:rPr>
      </w:pPr>
    </w:p>
    <w:p w:rsidR="00F7145B" w:rsidRDefault="00F7145B"/>
    <w:sectPr w:rsidR="00F7145B" w:rsidSect="00EB44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23" w:rsidRDefault="00325623" w:rsidP="00C92E66">
      <w:r>
        <w:separator/>
      </w:r>
    </w:p>
  </w:endnote>
  <w:endnote w:type="continuationSeparator" w:id="0">
    <w:p w:rsidR="00325623" w:rsidRDefault="00325623" w:rsidP="00C9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78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5623" w:rsidRDefault="00325623">
            <w:pPr>
              <w:pStyle w:val="Footer"/>
              <w:jc w:val="right"/>
              <w:rPr>
                <w:rFonts w:asciiTheme="minorHAnsi" w:hAnsiTheme="minorHAnsi"/>
                <w:bCs/>
                <w:sz w:val="20"/>
              </w:rPr>
            </w:pPr>
            <w:r w:rsidRPr="00900DA5">
              <w:rPr>
                <w:rFonts w:asciiTheme="minorHAnsi" w:hAnsiTheme="minorHAnsi"/>
                <w:sz w:val="20"/>
              </w:rPr>
              <w:t xml:space="preserve">Page </w:t>
            </w:r>
            <w:r w:rsidRPr="00900DA5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900DA5">
              <w:rPr>
                <w:rFonts w:asciiTheme="minorHAnsi" w:hAnsiTheme="minorHAnsi"/>
                <w:bCs/>
                <w:sz w:val="20"/>
              </w:rPr>
              <w:instrText xml:space="preserve"> PAGE </w:instrText>
            </w:r>
            <w:r w:rsidRPr="00900DA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C7516">
              <w:rPr>
                <w:rFonts w:asciiTheme="minorHAnsi" w:hAnsiTheme="minorHAnsi"/>
                <w:bCs/>
                <w:noProof/>
                <w:sz w:val="20"/>
              </w:rPr>
              <w:t>11</w:t>
            </w:r>
            <w:r w:rsidRPr="00900DA5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900DA5">
              <w:rPr>
                <w:rFonts w:asciiTheme="minorHAnsi" w:hAnsiTheme="minorHAnsi"/>
                <w:sz w:val="20"/>
              </w:rPr>
              <w:t xml:space="preserve"> of </w:t>
            </w:r>
            <w:r w:rsidRPr="00900DA5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900DA5">
              <w:rPr>
                <w:rFonts w:asciiTheme="minorHAnsi" w:hAnsiTheme="minorHAnsi"/>
                <w:bCs/>
                <w:sz w:val="20"/>
              </w:rPr>
              <w:instrText xml:space="preserve"> NUMPAGES  </w:instrText>
            </w:r>
            <w:r w:rsidRPr="00900DA5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C7516">
              <w:rPr>
                <w:rFonts w:asciiTheme="minorHAnsi" w:hAnsiTheme="minorHAnsi"/>
                <w:bCs/>
                <w:noProof/>
                <w:sz w:val="20"/>
              </w:rPr>
              <w:t>11</w:t>
            </w:r>
            <w:r w:rsidRPr="00900DA5">
              <w:rPr>
                <w:rFonts w:asciiTheme="minorHAnsi" w:hAnsiTheme="minorHAnsi"/>
                <w:bCs/>
                <w:sz w:val="20"/>
              </w:rPr>
              <w:fldChar w:fldCharType="end"/>
            </w:r>
          </w:p>
          <w:p w:rsidR="00325623" w:rsidRDefault="00325623">
            <w:pPr>
              <w:pStyle w:val="Footer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Schedule 2 - Operational Responsibilities</w:t>
            </w:r>
          </w:p>
          <w:p w:rsidR="00325623" w:rsidRDefault="00325623">
            <w:pPr>
              <w:pStyle w:val="Footer"/>
              <w:jc w:val="right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Supported Housing Management Agreement</w:t>
            </w:r>
          </w:p>
          <w:p w:rsidR="00325623" w:rsidRDefault="00325623">
            <w:pPr>
              <w:pStyle w:val="Footer"/>
              <w:jc w:val="right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agent/scheme</w:t>
            </w:r>
          </w:p>
          <w:p w:rsidR="00325623" w:rsidRPr="00900DA5" w:rsidRDefault="00325623">
            <w:pPr>
              <w:pStyle w:val="Footer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date</w:t>
            </w:r>
          </w:p>
        </w:sdtContent>
      </w:sdt>
    </w:sdtContent>
  </w:sdt>
  <w:p w:rsidR="00325623" w:rsidRPr="001A114D" w:rsidRDefault="00325623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23" w:rsidRDefault="00325623" w:rsidP="00C92E66">
      <w:r>
        <w:separator/>
      </w:r>
    </w:p>
  </w:footnote>
  <w:footnote w:type="continuationSeparator" w:id="0">
    <w:p w:rsidR="00325623" w:rsidRDefault="00325623" w:rsidP="00C9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23" w:rsidRDefault="00325623">
    <w:pPr>
      <w:pStyle w:val="Header"/>
      <w:jc w:val="right"/>
    </w:pPr>
  </w:p>
  <w:p w:rsidR="00325623" w:rsidRDefault="00325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08B"/>
    <w:multiLevelType w:val="hybridMultilevel"/>
    <w:tmpl w:val="1B002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257C4"/>
    <w:multiLevelType w:val="hybridMultilevel"/>
    <w:tmpl w:val="9D204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D52BF"/>
    <w:multiLevelType w:val="hybridMultilevel"/>
    <w:tmpl w:val="C9822BAC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128AF"/>
    <w:multiLevelType w:val="hybridMultilevel"/>
    <w:tmpl w:val="DC4C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2BD7"/>
    <w:multiLevelType w:val="hybridMultilevel"/>
    <w:tmpl w:val="15E4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F3EBA"/>
    <w:multiLevelType w:val="hybridMultilevel"/>
    <w:tmpl w:val="A1583386"/>
    <w:lvl w:ilvl="0" w:tplc="D136BB5C">
      <w:start w:val="24"/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6">
    <w:nsid w:val="48354C09"/>
    <w:multiLevelType w:val="hybridMultilevel"/>
    <w:tmpl w:val="44BC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F54C1"/>
    <w:multiLevelType w:val="hybridMultilevel"/>
    <w:tmpl w:val="E28E05D8"/>
    <w:lvl w:ilvl="0" w:tplc="A844D306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4109A"/>
    <w:multiLevelType w:val="hybridMultilevel"/>
    <w:tmpl w:val="576A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588"/>
    <w:multiLevelType w:val="multilevel"/>
    <w:tmpl w:val="5028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4C51B25"/>
    <w:multiLevelType w:val="hybridMultilevel"/>
    <w:tmpl w:val="2092F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976044"/>
    <w:multiLevelType w:val="hybridMultilevel"/>
    <w:tmpl w:val="498E3C56"/>
    <w:lvl w:ilvl="0" w:tplc="A844D306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665AE"/>
    <w:multiLevelType w:val="multilevel"/>
    <w:tmpl w:val="2B827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49"/>
    <w:rsid w:val="0003675C"/>
    <w:rsid w:val="00055AAC"/>
    <w:rsid w:val="00075899"/>
    <w:rsid w:val="00085232"/>
    <w:rsid w:val="000A51CA"/>
    <w:rsid w:val="000A5BAD"/>
    <w:rsid w:val="000F6887"/>
    <w:rsid w:val="00130430"/>
    <w:rsid w:val="001319A8"/>
    <w:rsid w:val="00132EA8"/>
    <w:rsid w:val="001669CB"/>
    <w:rsid w:val="001702C1"/>
    <w:rsid w:val="00182A81"/>
    <w:rsid w:val="001A114D"/>
    <w:rsid w:val="001E25D1"/>
    <w:rsid w:val="0023128F"/>
    <w:rsid w:val="00242450"/>
    <w:rsid w:val="00260A96"/>
    <w:rsid w:val="00266C73"/>
    <w:rsid w:val="002B7CFE"/>
    <w:rsid w:val="002D1043"/>
    <w:rsid w:val="002E74CD"/>
    <w:rsid w:val="002F0A99"/>
    <w:rsid w:val="00315E4C"/>
    <w:rsid w:val="0032256E"/>
    <w:rsid w:val="00325623"/>
    <w:rsid w:val="003441E5"/>
    <w:rsid w:val="003B4BE0"/>
    <w:rsid w:val="003D099C"/>
    <w:rsid w:val="003D5C26"/>
    <w:rsid w:val="004141DF"/>
    <w:rsid w:val="004231CA"/>
    <w:rsid w:val="004266FA"/>
    <w:rsid w:val="00485ECE"/>
    <w:rsid w:val="00511F35"/>
    <w:rsid w:val="00514542"/>
    <w:rsid w:val="0051780A"/>
    <w:rsid w:val="00521D3A"/>
    <w:rsid w:val="00524D17"/>
    <w:rsid w:val="00534D7F"/>
    <w:rsid w:val="00554D7E"/>
    <w:rsid w:val="00581EE4"/>
    <w:rsid w:val="005B41B8"/>
    <w:rsid w:val="005E1343"/>
    <w:rsid w:val="006366DA"/>
    <w:rsid w:val="006712F5"/>
    <w:rsid w:val="006769CD"/>
    <w:rsid w:val="006A1D12"/>
    <w:rsid w:val="006A5A2F"/>
    <w:rsid w:val="006B1F4F"/>
    <w:rsid w:val="006D06FC"/>
    <w:rsid w:val="006F1DDB"/>
    <w:rsid w:val="00725081"/>
    <w:rsid w:val="0072582C"/>
    <w:rsid w:val="00726797"/>
    <w:rsid w:val="00757FFE"/>
    <w:rsid w:val="007A125C"/>
    <w:rsid w:val="007D3492"/>
    <w:rsid w:val="00805A49"/>
    <w:rsid w:val="00812478"/>
    <w:rsid w:val="00813FB2"/>
    <w:rsid w:val="008618B6"/>
    <w:rsid w:val="008A4954"/>
    <w:rsid w:val="008A6AE1"/>
    <w:rsid w:val="008B6E4B"/>
    <w:rsid w:val="008C169E"/>
    <w:rsid w:val="008C28A1"/>
    <w:rsid w:val="008E5A4C"/>
    <w:rsid w:val="008E7970"/>
    <w:rsid w:val="008F1250"/>
    <w:rsid w:val="00900DA5"/>
    <w:rsid w:val="00901279"/>
    <w:rsid w:val="00910133"/>
    <w:rsid w:val="009412F8"/>
    <w:rsid w:val="00946D26"/>
    <w:rsid w:val="00952D9E"/>
    <w:rsid w:val="009537EF"/>
    <w:rsid w:val="00953D00"/>
    <w:rsid w:val="009544FF"/>
    <w:rsid w:val="0095653B"/>
    <w:rsid w:val="00983C67"/>
    <w:rsid w:val="00985A8D"/>
    <w:rsid w:val="00987497"/>
    <w:rsid w:val="009B0403"/>
    <w:rsid w:val="009B4BEB"/>
    <w:rsid w:val="00A0457F"/>
    <w:rsid w:val="00A87922"/>
    <w:rsid w:val="00A92AC3"/>
    <w:rsid w:val="00A94EFD"/>
    <w:rsid w:val="00A954D2"/>
    <w:rsid w:val="00A9643D"/>
    <w:rsid w:val="00AD06FA"/>
    <w:rsid w:val="00AD35C4"/>
    <w:rsid w:val="00B504CD"/>
    <w:rsid w:val="00B61D99"/>
    <w:rsid w:val="00B73D51"/>
    <w:rsid w:val="00B76190"/>
    <w:rsid w:val="00B84A4A"/>
    <w:rsid w:val="00B878FD"/>
    <w:rsid w:val="00C075DE"/>
    <w:rsid w:val="00C332ED"/>
    <w:rsid w:val="00C42052"/>
    <w:rsid w:val="00C82317"/>
    <w:rsid w:val="00C86126"/>
    <w:rsid w:val="00C92E66"/>
    <w:rsid w:val="00CA747B"/>
    <w:rsid w:val="00CC15EF"/>
    <w:rsid w:val="00D27CCC"/>
    <w:rsid w:val="00D331F8"/>
    <w:rsid w:val="00D40F00"/>
    <w:rsid w:val="00D8640A"/>
    <w:rsid w:val="00DB16AA"/>
    <w:rsid w:val="00DC042D"/>
    <w:rsid w:val="00DD74DA"/>
    <w:rsid w:val="00DF3C48"/>
    <w:rsid w:val="00E30DAC"/>
    <w:rsid w:val="00E426D6"/>
    <w:rsid w:val="00EA1E0D"/>
    <w:rsid w:val="00EB04DE"/>
    <w:rsid w:val="00EB44BB"/>
    <w:rsid w:val="00EC7516"/>
    <w:rsid w:val="00EE3A49"/>
    <w:rsid w:val="00EE603D"/>
    <w:rsid w:val="00EE7271"/>
    <w:rsid w:val="00EF1E8C"/>
    <w:rsid w:val="00EF5D94"/>
    <w:rsid w:val="00F02C72"/>
    <w:rsid w:val="00F1616C"/>
    <w:rsid w:val="00F209EF"/>
    <w:rsid w:val="00F7145B"/>
    <w:rsid w:val="00F84D24"/>
    <w:rsid w:val="00FB2C28"/>
    <w:rsid w:val="00FB5576"/>
    <w:rsid w:val="00FC6551"/>
    <w:rsid w:val="00FD0F7E"/>
    <w:rsid w:val="00FE13E5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3A49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E3A49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E3A49"/>
    <w:pPr>
      <w:keepNext/>
      <w:jc w:val="center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A49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EE3A49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E3A49"/>
    <w:rPr>
      <w:rFonts w:ascii="Arial" w:eastAsia="Times New Roman" w:hAnsi="Arial" w:cs="Times New Roman"/>
      <w:b/>
      <w:color w:val="FF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E3A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49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29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qFormat/>
    <w:rsid w:val="00B87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66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3A49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E3A49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E3A49"/>
    <w:pPr>
      <w:keepNext/>
      <w:jc w:val="center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A49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EE3A49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E3A49"/>
    <w:rPr>
      <w:rFonts w:ascii="Arial" w:eastAsia="Times New Roman" w:hAnsi="Arial" w:cs="Times New Roman"/>
      <w:b/>
      <w:color w:val="FF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E3A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49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29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qFormat/>
    <w:rsid w:val="00B87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66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7A64-68AB-4B07-BE0A-724E0C81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1DCF7432</Template>
  <TotalTime>1</TotalTime>
  <Pages>11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Bromford Group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Russell</dc:creator>
  <cp:lastModifiedBy>Anita Russell</cp:lastModifiedBy>
  <cp:revision>2</cp:revision>
  <cp:lastPrinted>2016-01-29T11:31:00Z</cp:lastPrinted>
  <dcterms:created xsi:type="dcterms:W3CDTF">2017-01-31T15:02:00Z</dcterms:created>
  <dcterms:modified xsi:type="dcterms:W3CDTF">2017-01-31T15:02:00Z</dcterms:modified>
</cp:coreProperties>
</file>