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1F6A1" w14:textId="77777777" w:rsidR="0002210B" w:rsidRPr="00F62C10" w:rsidRDefault="00C321BF" w:rsidP="00F62C10">
      <w:pPr>
        <w:autoSpaceDE w:val="0"/>
        <w:autoSpaceDN w:val="0"/>
        <w:adjustRightInd w:val="0"/>
        <w:spacing w:after="120"/>
        <w:jc w:val="center"/>
        <w:rPr>
          <w:rFonts w:cs="Arial"/>
          <w:b/>
          <w:color w:val="000000"/>
          <w:szCs w:val="24"/>
        </w:rPr>
      </w:pPr>
      <w:r w:rsidRPr="00F62C10">
        <w:rPr>
          <w:rFonts w:cs="Arial"/>
          <w:b/>
          <w:color w:val="000000"/>
          <w:szCs w:val="24"/>
        </w:rPr>
        <w:t xml:space="preserve">SECTION </w:t>
      </w:r>
      <w:r w:rsidR="0002210B" w:rsidRPr="00F62C10">
        <w:rPr>
          <w:rFonts w:cs="Arial"/>
          <w:b/>
          <w:color w:val="000000"/>
          <w:szCs w:val="24"/>
        </w:rPr>
        <w:t>1 APPENDIX</w:t>
      </w:r>
    </w:p>
    <w:p w14:paraId="05465F51" w14:textId="47DC7F36" w:rsidR="00A7386A" w:rsidRPr="00F62C10" w:rsidRDefault="00FD0514" w:rsidP="00F62C10">
      <w:pPr>
        <w:autoSpaceDE w:val="0"/>
        <w:autoSpaceDN w:val="0"/>
        <w:adjustRightInd w:val="0"/>
        <w:spacing w:after="120"/>
        <w:jc w:val="center"/>
        <w:rPr>
          <w:rFonts w:cs="Arial"/>
          <w:b/>
          <w:color w:val="000000"/>
          <w:szCs w:val="24"/>
        </w:rPr>
      </w:pPr>
      <w:r w:rsidRPr="00F62C10">
        <w:rPr>
          <w:rFonts w:cs="Arial"/>
          <w:b/>
          <w:color w:val="000000"/>
          <w:szCs w:val="24"/>
        </w:rPr>
        <w:t>LOT DETAILS</w:t>
      </w:r>
    </w:p>
    <w:p w14:paraId="7175FA15" w14:textId="77777777" w:rsidR="003710BD" w:rsidRDefault="003710BD" w:rsidP="008856D4">
      <w:pPr>
        <w:autoSpaceDE w:val="0"/>
        <w:autoSpaceDN w:val="0"/>
        <w:adjustRightInd w:val="0"/>
        <w:jc w:val="left"/>
        <w:rPr>
          <w:rFonts w:cs="Arial"/>
          <w:b/>
          <w:color w:val="000000"/>
          <w:sz w:val="22"/>
          <w:szCs w:val="22"/>
          <w:u w:val="single"/>
        </w:rPr>
      </w:pPr>
    </w:p>
    <w:p w14:paraId="22D9A055" w14:textId="45D402A3" w:rsidR="008856D4" w:rsidRPr="00F62C10" w:rsidRDefault="00EE15C8" w:rsidP="00F62C10">
      <w:pPr>
        <w:tabs>
          <w:tab w:val="left" w:pos="284"/>
        </w:tabs>
        <w:autoSpaceDE w:val="0"/>
        <w:autoSpaceDN w:val="0"/>
        <w:adjustRightInd w:val="0"/>
        <w:jc w:val="left"/>
        <w:rPr>
          <w:rFonts w:cs="Arial"/>
          <w:b/>
          <w:color w:val="000000"/>
          <w:szCs w:val="24"/>
        </w:rPr>
      </w:pPr>
      <w:r w:rsidRPr="00F62C10">
        <w:rPr>
          <w:rFonts w:cs="Arial"/>
          <w:b/>
          <w:color w:val="000000"/>
          <w:szCs w:val="24"/>
        </w:rPr>
        <w:t>LOT</w:t>
      </w:r>
      <w:r w:rsidR="00CC2464" w:rsidRPr="00F62C10">
        <w:rPr>
          <w:rFonts w:cs="Arial"/>
          <w:b/>
          <w:color w:val="000000"/>
          <w:szCs w:val="24"/>
        </w:rPr>
        <w:t xml:space="preserve"> </w:t>
      </w:r>
      <w:r w:rsidR="0098675F" w:rsidRPr="00F62C10">
        <w:rPr>
          <w:rFonts w:cs="Arial"/>
          <w:b/>
          <w:color w:val="000000"/>
          <w:szCs w:val="24"/>
        </w:rPr>
        <w:t>DETAIL</w:t>
      </w:r>
    </w:p>
    <w:p w14:paraId="1101A169" w14:textId="38FC7630" w:rsidR="00262913" w:rsidRPr="00312A0A" w:rsidRDefault="00262913" w:rsidP="008856D4">
      <w:pPr>
        <w:autoSpaceDE w:val="0"/>
        <w:autoSpaceDN w:val="0"/>
        <w:adjustRightInd w:val="0"/>
        <w:jc w:val="left"/>
        <w:rPr>
          <w:rFonts w:cs="Arial"/>
          <w:color w:val="000000"/>
          <w:sz w:val="22"/>
          <w:szCs w:val="22"/>
        </w:rPr>
      </w:pPr>
      <w:r w:rsidRPr="00312A0A">
        <w:rPr>
          <w:rFonts w:cs="Arial"/>
          <w:color w:val="000000"/>
          <w:sz w:val="22"/>
          <w:szCs w:val="22"/>
        </w:rPr>
        <w:t>The following information provides more detail on the size and scope of each Lot</w:t>
      </w:r>
    </w:p>
    <w:p w14:paraId="484EED19" w14:textId="0C90AD09" w:rsidR="009B2233" w:rsidRPr="00312A0A" w:rsidRDefault="009B2233" w:rsidP="008856D4">
      <w:pPr>
        <w:autoSpaceDE w:val="0"/>
        <w:autoSpaceDN w:val="0"/>
        <w:adjustRightInd w:val="0"/>
        <w:jc w:val="left"/>
        <w:rPr>
          <w:rFonts w:cs="Arial"/>
          <w:color w:val="000000"/>
          <w:sz w:val="22"/>
          <w:szCs w:val="22"/>
        </w:rPr>
      </w:pPr>
      <w:r w:rsidRPr="00312A0A">
        <w:rPr>
          <w:rFonts w:cs="Arial"/>
          <w:color w:val="000000"/>
          <w:sz w:val="22"/>
          <w:szCs w:val="22"/>
        </w:rPr>
        <w:t>In this section you will find:</w:t>
      </w:r>
    </w:p>
    <w:p w14:paraId="254AEC44" w14:textId="1B777B06" w:rsidR="009B2233" w:rsidRPr="000556B4" w:rsidRDefault="004E3CF4" w:rsidP="0038007B">
      <w:pPr>
        <w:pStyle w:val="ListParagraph"/>
        <w:numPr>
          <w:ilvl w:val="0"/>
          <w:numId w:val="46"/>
        </w:numPr>
        <w:autoSpaceDE w:val="0"/>
        <w:autoSpaceDN w:val="0"/>
        <w:adjustRightInd w:val="0"/>
        <w:jc w:val="left"/>
        <w:rPr>
          <w:rFonts w:ascii="Arial" w:hAnsi="Arial" w:cs="Arial"/>
          <w:color w:val="000000"/>
          <w:sz w:val="22"/>
          <w:szCs w:val="22"/>
        </w:rPr>
      </w:pPr>
      <w:r w:rsidRPr="000556B4">
        <w:rPr>
          <w:rFonts w:ascii="Arial" w:hAnsi="Arial" w:cs="Arial"/>
          <w:color w:val="000000"/>
          <w:sz w:val="22"/>
          <w:szCs w:val="22"/>
        </w:rPr>
        <w:t>Value of the Lot</w:t>
      </w:r>
    </w:p>
    <w:p w14:paraId="51B7456F" w14:textId="63282075" w:rsidR="004E3CF4" w:rsidRPr="000556B4" w:rsidRDefault="000556B4" w:rsidP="0038007B">
      <w:pPr>
        <w:pStyle w:val="ListParagraph"/>
        <w:numPr>
          <w:ilvl w:val="0"/>
          <w:numId w:val="46"/>
        </w:numPr>
        <w:autoSpaceDE w:val="0"/>
        <w:autoSpaceDN w:val="0"/>
        <w:adjustRightInd w:val="0"/>
        <w:jc w:val="left"/>
        <w:rPr>
          <w:rFonts w:ascii="Arial" w:hAnsi="Arial" w:cs="Arial"/>
          <w:color w:val="000000"/>
          <w:sz w:val="22"/>
          <w:szCs w:val="22"/>
        </w:rPr>
      </w:pPr>
      <w:r w:rsidRPr="000556B4">
        <w:rPr>
          <w:rFonts w:ascii="Arial" w:hAnsi="Arial" w:cs="Arial"/>
          <w:color w:val="000000"/>
          <w:sz w:val="22"/>
          <w:szCs w:val="22"/>
        </w:rPr>
        <w:t>Potential</w:t>
      </w:r>
      <w:r w:rsidR="004E3CF4" w:rsidRPr="000556B4">
        <w:rPr>
          <w:rFonts w:ascii="Arial" w:hAnsi="Arial" w:cs="Arial"/>
          <w:color w:val="000000"/>
          <w:sz w:val="22"/>
          <w:szCs w:val="22"/>
        </w:rPr>
        <w:t xml:space="preserve"> </w:t>
      </w:r>
      <w:r w:rsidR="00EA049E" w:rsidRPr="000556B4">
        <w:rPr>
          <w:rFonts w:ascii="Arial" w:hAnsi="Arial" w:cs="Arial"/>
          <w:color w:val="000000"/>
          <w:sz w:val="22"/>
          <w:szCs w:val="22"/>
        </w:rPr>
        <w:t xml:space="preserve">market </w:t>
      </w:r>
      <w:r w:rsidR="00F85D04" w:rsidRPr="000556B4">
        <w:rPr>
          <w:rFonts w:ascii="Arial" w:hAnsi="Arial" w:cs="Arial"/>
          <w:color w:val="000000"/>
          <w:sz w:val="22"/>
          <w:szCs w:val="22"/>
        </w:rPr>
        <w:t>in each Lot</w:t>
      </w:r>
      <w:r w:rsidRPr="000556B4">
        <w:rPr>
          <w:rFonts w:ascii="Arial" w:hAnsi="Arial" w:cs="Arial"/>
          <w:color w:val="000000"/>
          <w:sz w:val="22"/>
          <w:szCs w:val="22"/>
        </w:rPr>
        <w:t xml:space="preserve"> based on key measure types </w:t>
      </w:r>
    </w:p>
    <w:p w14:paraId="055596BC" w14:textId="0C0571F1" w:rsidR="00F85D04" w:rsidRPr="000556B4" w:rsidRDefault="000556B4" w:rsidP="0038007B">
      <w:pPr>
        <w:pStyle w:val="ListParagraph"/>
        <w:numPr>
          <w:ilvl w:val="0"/>
          <w:numId w:val="46"/>
        </w:numPr>
        <w:autoSpaceDE w:val="0"/>
        <w:autoSpaceDN w:val="0"/>
        <w:adjustRightInd w:val="0"/>
        <w:jc w:val="left"/>
        <w:rPr>
          <w:rFonts w:ascii="Arial" w:hAnsi="Arial" w:cs="Arial"/>
          <w:color w:val="000000"/>
          <w:sz w:val="22"/>
          <w:szCs w:val="22"/>
        </w:rPr>
      </w:pPr>
      <w:r w:rsidRPr="36CF9F57">
        <w:rPr>
          <w:rFonts w:ascii="Arial" w:hAnsi="Arial" w:cs="Arial"/>
          <w:color w:val="000000" w:themeColor="text1"/>
          <w:sz w:val="22"/>
          <w:szCs w:val="22"/>
        </w:rPr>
        <w:t xml:space="preserve">Potential market in each Lot in </w:t>
      </w:r>
      <w:r w:rsidR="207C3458" w:rsidRPr="36CF9F57">
        <w:rPr>
          <w:rFonts w:ascii="Arial" w:hAnsi="Arial" w:cs="Arial"/>
          <w:color w:val="000000" w:themeColor="text1"/>
          <w:sz w:val="22"/>
          <w:szCs w:val="22"/>
        </w:rPr>
        <w:t>low-income</w:t>
      </w:r>
      <w:r w:rsidRPr="36CF9F57">
        <w:rPr>
          <w:rFonts w:ascii="Arial" w:hAnsi="Arial" w:cs="Arial"/>
          <w:color w:val="000000" w:themeColor="text1"/>
          <w:sz w:val="22"/>
          <w:szCs w:val="22"/>
        </w:rPr>
        <w:t xml:space="preserve"> category</w:t>
      </w:r>
    </w:p>
    <w:p w14:paraId="747DADA6" w14:textId="77777777" w:rsidR="0098675F" w:rsidRPr="00390032" w:rsidRDefault="0098675F" w:rsidP="00312A0A">
      <w:pPr>
        <w:autoSpaceDE w:val="0"/>
        <w:autoSpaceDN w:val="0"/>
        <w:adjustRightInd w:val="0"/>
        <w:jc w:val="left"/>
        <w:rPr>
          <w:rFonts w:cs="Arial"/>
          <w:b/>
          <w:color w:val="000000"/>
          <w:sz w:val="22"/>
          <w:szCs w:val="22"/>
        </w:rPr>
      </w:pPr>
    </w:p>
    <w:p w14:paraId="6D0DA642" w14:textId="6899B1CC" w:rsidR="461EC771" w:rsidRDefault="461EC771" w:rsidP="3B6BD473">
      <w:pPr>
        <w:spacing w:line="257" w:lineRule="atLeast"/>
        <w:rPr>
          <w:rFonts w:eastAsia="Arial" w:cs="Arial"/>
          <w:color w:val="000000" w:themeColor="text1"/>
          <w:sz w:val="22"/>
          <w:szCs w:val="22"/>
        </w:rPr>
      </w:pPr>
      <w:r w:rsidRPr="3B6BD473">
        <w:rPr>
          <w:rFonts w:eastAsia="Arial" w:cs="Arial"/>
          <w:b/>
          <w:bCs/>
          <w:color w:val="000000" w:themeColor="text1"/>
          <w:sz w:val="22"/>
          <w:szCs w:val="22"/>
        </w:rPr>
        <w:t>Lot value evaluation</w:t>
      </w:r>
    </w:p>
    <w:p w14:paraId="0E9F96F0" w14:textId="3AE0DE50" w:rsidR="461EC771" w:rsidRDefault="461EC771" w:rsidP="3B6BD473">
      <w:pPr>
        <w:spacing w:line="257" w:lineRule="atLeast"/>
        <w:rPr>
          <w:rFonts w:eastAsia="Arial" w:cs="Arial"/>
          <w:color w:val="000000" w:themeColor="text1"/>
          <w:szCs w:val="24"/>
        </w:rPr>
      </w:pPr>
      <w:r w:rsidRPr="3B6BD473">
        <w:rPr>
          <w:rFonts w:eastAsia="Arial" w:cs="Arial"/>
          <w:color w:val="000000" w:themeColor="text1"/>
          <w:sz w:val="22"/>
          <w:szCs w:val="22"/>
        </w:rPr>
        <w:t>Lot values have been calculated following analysis of domestic Energy Performance Certificate and Fuel Poverty data</w:t>
      </w:r>
      <w:r w:rsidR="7191D9DB" w:rsidRPr="3B6BD473">
        <w:rPr>
          <w:rFonts w:eastAsia="Arial" w:cs="Arial"/>
          <w:color w:val="000000" w:themeColor="text1"/>
          <w:sz w:val="22"/>
          <w:szCs w:val="22"/>
        </w:rPr>
        <w:t xml:space="preserve">. </w:t>
      </w:r>
      <w:r w:rsidRPr="3B6BD473">
        <w:rPr>
          <w:rFonts w:eastAsia="Arial" w:cs="Arial"/>
          <w:color w:val="000000" w:themeColor="text1"/>
          <w:sz w:val="22"/>
          <w:szCs w:val="22"/>
        </w:rPr>
        <w:t>Each local authority in a Lot area was assigned a fuel poverty rate based on the BEIS Sub–Regional Fuel Poverty estimates published in 2020</w:t>
      </w:r>
      <w:r w:rsidR="42621DF5" w:rsidRPr="3B6BD473">
        <w:rPr>
          <w:rFonts w:eastAsia="Arial" w:cs="Arial"/>
          <w:color w:val="000000" w:themeColor="text1"/>
          <w:sz w:val="22"/>
          <w:szCs w:val="22"/>
        </w:rPr>
        <w:t xml:space="preserve">. </w:t>
      </w:r>
      <w:r w:rsidRPr="3B6BD473">
        <w:rPr>
          <w:rFonts w:eastAsia="Arial" w:cs="Arial"/>
          <w:color w:val="000000" w:themeColor="text1"/>
          <w:sz w:val="22"/>
          <w:szCs w:val="22"/>
        </w:rPr>
        <w:t>This rate was then multiplied by the total number of homes in each local authority to calculate the number of fuel poor homes</w:t>
      </w:r>
      <w:r w:rsidR="324C21A4" w:rsidRPr="3B6BD473">
        <w:rPr>
          <w:rFonts w:eastAsia="Arial" w:cs="Arial"/>
          <w:color w:val="000000" w:themeColor="text1"/>
          <w:sz w:val="22"/>
          <w:szCs w:val="22"/>
        </w:rPr>
        <w:t xml:space="preserve">. </w:t>
      </w:r>
      <w:r w:rsidRPr="3B6BD473">
        <w:rPr>
          <w:rFonts w:eastAsia="Arial" w:cs="Arial"/>
          <w:color w:val="000000" w:themeColor="text1"/>
          <w:sz w:val="22"/>
          <w:szCs w:val="22"/>
        </w:rPr>
        <w:t>EPC D, E, F &amp;G properties were then ordered highest to lowest in each local authority based on EST’s fuel poverty probability assessment</w:t>
      </w:r>
      <w:r w:rsidR="37813604" w:rsidRPr="3B6BD473">
        <w:rPr>
          <w:rFonts w:eastAsia="Arial" w:cs="Arial"/>
          <w:color w:val="000000" w:themeColor="text1"/>
          <w:sz w:val="22"/>
          <w:szCs w:val="22"/>
        </w:rPr>
        <w:t xml:space="preserve">. </w:t>
      </w:r>
      <w:r w:rsidRPr="3B6BD473">
        <w:rPr>
          <w:rFonts w:eastAsia="Arial" w:cs="Arial"/>
          <w:color w:val="000000" w:themeColor="text1"/>
          <w:sz w:val="22"/>
          <w:szCs w:val="22"/>
        </w:rPr>
        <w:t>The top properties in each local authority were selected equal to the number of expected fuel poor homes identified earlier. The proportion of the programme total for each Lot area was calculated and the percentage applied to the total available funding and total minimum number of properties required.</w:t>
      </w:r>
      <w:r>
        <w:tab/>
      </w:r>
    </w:p>
    <w:p w14:paraId="26889F7A" w14:textId="2A131ABA" w:rsidR="3B6BD473" w:rsidRDefault="3B6BD473" w:rsidP="3B6BD473">
      <w:pPr>
        <w:spacing w:line="257" w:lineRule="atLeast"/>
        <w:rPr>
          <w:rFonts w:eastAsia="Arial" w:cs="Arial"/>
          <w:color w:val="000000" w:themeColor="text1"/>
          <w:szCs w:val="24"/>
        </w:rPr>
      </w:pPr>
    </w:p>
    <w:p w14:paraId="7A54F8FE" w14:textId="2F44CF6B" w:rsidR="461EC771" w:rsidRDefault="3A93683D" w:rsidP="3B6BD473">
      <w:pPr>
        <w:spacing w:line="257" w:lineRule="atLeast"/>
        <w:rPr>
          <w:rFonts w:eastAsia="Arial" w:cs="Arial"/>
          <w:color w:val="000000" w:themeColor="text1"/>
          <w:sz w:val="22"/>
          <w:szCs w:val="22"/>
        </w:rPr>
      </w:pPr>
      <w:r>
        <w:rPr>
          <w:noProof/>
        </w:rPr>
        <w:drawing>
          <wp:inline distT="0" distB="0" distL="0" distR="0" wp14:anchorId="14598372" wp14:editId="7A21734E">
            <wp:extent cx="5724524" cy="3352800"/>
            <wp:effectExtent l="0" t="0" r="0" b="0"/>
            <wp:docPr id="1276113795" name="Picture 1276113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113795"/>
                    <pic:cNvPicPr/>
                  </pic:nvPicPr>
                  <pic:blipFill>
                    <a:blip r:embed="rId11">
                      <a:extLst>
                        <a:ext uri="{28A0092B-C50C-407E-A947-70E740481C1C}">
                          <a14:useLocalDpi xmlns:a14="http://schemas.microsoft.com/office/drawing/2010/main" val="0"/>
                        </a:ext>
                      </a:extLst>
                    </a:blip>
                    <a:stretch>
                      <a:fillRect/>
                    </a:stretch>
                  </pic:blipFill>
                  <pic:spPr>
                    <a:xfrm>
                      <a:off x="0" y="0"/>
                      <a:ext cx="5724524" cy="3352800"/>
                    </a:xfrm>
                    <a:prstGeom prst="rect">
                      <a:avLst/>
                    </a:prstGeom>
                  </pic:spPr>
                </pic:pic>
              </a:graphicData>
            </a:graphic>
          </wp:inline>
        </w:drawing>
      </w:r>
    </w:p>
    <w:p w14:paraId="2106F800" w14:textId="2DF3A515" w:rsidR="461EC771" w:rsidRDefault="461EC771" w:rsidP="3B6BD473">
      <w:pPr>
        <w:spacing w:line="257" w:lineRule="atLeast"/>
        <w:rPr>
          <w:rFonts w:eastAsia="Arial" w:cs="Arial"/>
          <w:color w:val="000000" w:themeColor="text1"/>
          <w:sz w:val="18"/>
          <w:szCs w:val="18"/>
        </w:rPr>
      </w:pPr>
      <w:r w:rsidRPr="3B6BD473">
        <w:rPr>
          <w:rFonts w:eastAsia="Arial" w:cs="Arial"/>
          <w:i/>
          <w:iCs/>
          <w:color w:val="000000" w:themeColor="text1"/>
          <w:sz w:val="18"/>
          <w:szCs w:val="18"/>
        </w:rPr>
        <w:t xml:space="preserve">Table 1: estimated number of </w:t>
      </w:r>
      <w:proofErr w:type="gramStart"/>
      <w:r w:rsidRPr="3B6BD473">
        <w:rPr>
          <w:rFonts w:eastAsia="Arial" w:cs="Arial"/>
          <w:i/>
          <w:iCs/>
          <w:color w:val="000000" w:themeColor="text1"/>
          <w:sz w:val="18"/>
          <w:szCs w:val="18"/>
        </w:rPr>
        <w:t>D,E</w:t>
      </w:r>
      <w:proofErr w:type="gramEnd"/>
      <w:r w:rsidRPr="3B6BD473">
        <w:rPr>
          <w:rFonts w:eastAsia="Arial" w:cs="Arial"/>
          <w:i/>
          <w:iCs/>
          <w:color w:val="000000" w:themeColor="text1"/>
          <w:sz w:val="18"/>
          <w:szCs w:val="18"/>
        </w:rPr>
        <w:t>,F&amp;G properties</w:t>
      </w:r>
    </w:p>
    <w:p w14:paraId="59654737" w14:textId="27EEB867" w:rsidR="3B6BD473" w:rsidRDefault="3B6BD473" w:rsidP="3B6BD473">
      <w:pPr>
        <w:spacing w:line="257" w:lineRule="auto"/>
        <w:rPr>
          <w:rFonts w:eastAsia="Calibri" w:cs="Arial"/>
          <w:sz w:val="22"/>
          <w:szCs w:val="22"/>
        </w:rPr>
      </w:pPr>
    </w:p>
    <w:p w14:paraId="09B3AFA0" w14:textId="77777777" w:rsidR="005A7464" w:rsidRDefault="005A7464" w:rsidP="00254116">
      <w:pPr>
        <w:spacing w:line="257" w:lineRule="auto"/>
        <w:rPr>
          <w:rFonts w:eastAsia="Calibri" w:cs="Arial"/>
          <w:b/>
          <w:sz w:val="22"/>
          <w:szCs w:val="22"/>
        </w:rPr>
      </w:pPr>
    </w:p>
    <w:p w14:paraId="2C16B047" w14:textId="01252045" w:rsidR="7A05D5B6" w:rsidRDefault="744D538D" w:rsidP="280EC607">
      <w:pPr>
        <w:spacing w:line="257" w:lineRule="auto"/>
        <w:rPr>
          <w:rFonts w:eastAsia="Calibri" w:cs="Arial"/>
          <w:b/>
          <w:bCs/>
          <w:sz w:val="22"/>
          <w:szCs w:val="22"/>
        </w:rPr>
      </w:pPr>
      <w:r w:rsidRPr="280EC607">
        <w:rPr>
          <w:rFonts w:eastAsia="Calibri" w:cs="Arial"/>
          <w:b/>
          <w:bCs/>
          <w:sz w:val="22"/>
          <w:szCs w:val="22"/>
        </w:rPr>
        <w:t>Market potential evaluation</w:t>
      </w:r>
    </w:p>
    <w:p w14:paraId="2A56FCB8" w14:textId="5D509DD0" w:rsidR="7A05D5B6" w:rsidRDefault="744D538D" w:rsidP="280EC607">
      <w:pPr>
        <w:spacing w:line="257" w:lineRule="auto"/>
        <w:rPr>
          <w:rFonts w:eastAsia="Calibri" w:cs="Arial"/>
          <w:sz w:val="22"/>
          <w:szCs w:val="22"/>
        </w:rPr>
      </w:pPr>
      <w:r w:rsidRPr="280EC607">
        <w:rPr>
          <w:rFonts w:eastAsia="Calibri" w:cs="Arial"/>
          <w:sz w:val="22"/>
          <w:szCs w:val="22"/>
        </w:rPr>
        <w:t>The South West Energy Hub have carried out analysis of the potential market opportunity for each Local Enterprise Partnership (LEP) area. This analysis has been carried out by the Energy Saving Trust using their Home Analytics tool. These tools use EPC data, where available, and then intelligently fills any gaps in the data.</w:t>
      </w:r>
    </w:p>
    <w:p w14:paraId="34FC56F3" w14:textId="77777777" w:rsidR="7A05D5B6" w:rsidRDefault="7A05D5B6" w:rsidP="280EC607">
      <w:pPr>
        <w:spacing w:line="257" w:lineRule="auto"/>
        <w:rPr>
          <w:rFonts w:eastAsia="Calibri" w:cs="Arial"/>
          <w:sz w:val="22"/>
          <w:szCs w:val="22"/>
        </w:rPr>
      </w:pPr>
    </w:p>
    <w:p w14:paraId="65C0AB91" w14:textId="0387EABB" w:rsidR="7A05D5B6" w:rsidRDefault="744D538D" w:rsidP="280EC607">
      <w:pPr>
        <w:tabs>
          <w:tab w:val="clear" w:pos="720"/>
          <w:tab w:val="clear" w:pos="1440"/>
          <w:tab w:val="clear" w:pos="2160"/>
          <w:tab w:val="clear" w:pos="2880"/>
          <w:tab w:val="clear" w:pos="4680"/>
          <w:tab w:val="clear" w:pos="5400"/>
          <w:tab w:val="clear" w:pos="9000"/>
        </w:tabs>
        <w:spacing w:line="240" w:lineRule="auto"/>
        <w:rPr>
          <w:rFonts w:cs="Arial"/>
          <w:sz w:val="22"/>
          <w:szCs w:val="22"/>
          <w:lang w:eastAsia="en-GB"/>
        </w:rPr>
      </w:pPr>
      <w:r w:rsidRPr="280EC607">
        <w:rPr>
          <w:rFonts w:eastAsia="Calibri" w:cs="Arial"/>
          <w:sz w:val="22"/>
          <w:szCs w:val="22"/>
        </w:rPr>
        <w:lastRenderedPageBreak/>
        <w:t xml:space="preserve">The assessment of the potential opportunity has been driven by the primary scheme qualifying criteria, namely, Energy Performance Certificate (EPC) rating of ‘D’ or worse and household income less than £30,000 per year. The EST Fuel Poverty Indicator has been used as the closest proxy for low income – this is based on a Low-Income High-Cost measure of fuel poverty using </w:t>
      </w:r>
      <w:r w:rsidRPr="280EC607">
        <w:rPr>
          <w:rFonts w:cs="Arial"/>
          <w:sz w:val="22"/>
          <w:szCs w:val="22"/>
          <w:lang w:eastAsia="en-GB"/>
        </w:rPr>
        <w:t>English Housing Survey data.</w:t>
      </w:r>
      <w:r w:rsidRPr="280EC607">
        <w:rPr>
          <w:rFonts w:eastAsia="Arial" w:cs="Arial"/>
          <w:b/>
          <w:bCs/>
          <w:color w:val="000000" w:themeColor="text1"/>
          <w:sz w:val="22"/>
          <w:szCs w:val="22"/>
        </w:rPr>
        <w:t xml:space="preserve"> </w:t>
      </w:r>
    </w:p>
    <w:p w14:paraId="03D8AD89" w14:textId="488F87C1" w:rsidR="7A05D5B6" w:rsidRDefault="7A05D5B6" w:rsidP="280EC607">
      <w:pPr>
        <w:tabs>
          <w:tab w:val="clear" w:pos="720"/>
          <w:tab w:val="clear" w:pos="1440"/>
          <w:tab w:val="clear" w:pos="2160"/>
          <w:tab w:val="clear" w:pos="2880"/>
          <w:tab w:val="clear" w:pos="4680"/>
          <w:tab w:val="clear" w:pos="5400"/>
          <w:tab w:val="clear" w:pos="9000"/>
        </w:tabs>
        <w:spacing w:line="240" w:lineRule="auto"/>
        <w:rPr>
          <w:rFonts w:eastAsia="Arial" w:cs="Arial"/>
          <w:b/>
          <w:bCs/>
          <w:color w:val="000000" w:themeColor="text1"/>
          <w:sz w:val="22"/>
          <w:szCs w:val="22"/>
        </w:rPr>
      </w:pPr>
    </w:p>
    <w:p w14:paraId="5EAE33EA" w14:textId="5CEF4ACD" w:rsidR="7A05D5B6" w:rsidRDefault="744D538D" w:rsidP="280EC607">
      <w:pPr>
        <w:tabs>
          <w:tab w:val="clear" w:pos="720"/>
          <w:tab w:val="clear" w:pos="1440"/>
          <w:tab w:val="clear" w:pos="2160"/>
          <w:tab w:val="clear" w:pos="2880"/>
          <w:tab w:val="clear" w:pos="4680"/>
          <w:tab w:val="clear" w:pos="5400"/>
          <w:tab w:val="clear" w:pos="9000"/>
        </w:tabs>
        <w:spacing w:line="240" w:lineRule="auto"/>
        <w:rPr>
          <w:rFonts w:eastAsia="Arial" w:cs="Arial"/>
          <w:color w:val="000000" w:themeColor="text1"/>
          <w:sz w:val="22"/>
          <w:szCs w:val="22"/>
        </w:rPr>
      </w:pPr>
      <w:r w:rsidRPr="280EC607">
        <w:rPr>
          <w:rFonts w:eastAsia="Arial" w:cs="Arial"/>
          <w:color w:val="000000" w:themeColor="text1"/>
          <w:sz w:val="22"/>
          <w:szCs w:val="22"/>
        </w:rPr>
        <w:t>As outlined in 4.</w:t>
      </w:r>
      <w:r w:rsidR="7B091224" w:rsidRPr="280EC607">
        <w:rPr>
          <w:rFonts w:eastAsia="Arial" w:cs="Arial"/>
          <w:color w:val="000000" w:themeColor="text1"/>
          <w:sz w:val="22"/>
          <w:szCs w:val="22"/>
        </w:rPr>
        <w:t xml:space="preserve">4 of the Introduction, the Delivery Organisation is expected to deliver measures across all the local authority areas within the Lot. </w:t>
      </w:r>
      <w:r w:rsidR="31925F3B" w:rsidRPr="280EC607">
        <w:rPr>
          <w:rFonts w:eastAsia="Arial" w:cs="Arial"/>
          <w:color w:val="000000" w:themeColor="text1"/>
          <w:sz w:val="22"/>
          <w:szCs w:val="22"/>
        </w:rPr>
        <w:t xml:space="preserve">The minimum number of installations in each local authority area should reflect the overall percentage of properties as a percentage of the </w:t>
      </w:r>
      <w:r w:rsidR="21A7648A" w:rsidRPr="280EC607">
        <w:rPr>
          <w:rFonts w:eastAsia="Arial" w:cs="Arial"/>
          <w:color w:val="000000" w:themeColor="text1"/>
          <w:sz w:val="22"/>
          <w:szCs w:val="22"/>
        </w:rPr>
        <w:t>total and</w:t>
      </w:r>
      <w:r w:rsidR="31925F3B" w:rsidRPr="280EC607">
        <w:rPr>
          <w:rFonts w:eastAsia="Arial" w:cs="Arial"/>
          <w:color w:val="000000" w:themeColor="text1"/>
          <w:sz w:val="22"/>
          <w:szCs w:val="22"/>
        </w:rPr>
        <w:t xml:space="preserve"> deliver 50% as a minimum</w:t>
      </w:r>
      <w:r w:rsidR="21A0342C" w:rsidRPr="280EC607">
        <w:rPr>
          <w:rFonts w:eastAsia="Arial" w:cs="Arial"/>
          <w:color w:val="000000" w:themeColor="text1"/>
          <w:sz w:val="22"/>
          <w:szCs w:val="22"/>
        </w:rPr>
        <w:t>.</w:t>
      </w:r>
    </w:p>
    <w:p w14:paraId="51F68B28" w14:textId="01EEC03A" w:rsidR="7A05D5B6" w:rsidRDefault="7A05D5B6" w:rsidP="280EC607">
      <w:pPr>
        <w:tabs>
          <w:tab w:val="clear" w:pos="720"/>
          <w:tab w:val="clear" w:pos="1440"/>
          <w:tab w:val="clear" w:pos="2160"/>
          <w:tab w:val="clear" w:pos="2880"/>
          <w:tab w:val="clear" w:pos="4680"/>
          <w:tab w:val="clear" w:pos="5400"/>
          <w:tab w:val="clear" w:pos="9000"/>
        </w:tabs>
        <w:spacing w:line="240" w:lineRule="auto"/>
        <w:rPr>
          <w:rFonts w:eastAsia="Arial" w:cs="Arial"/>
          <w:color w:val="000000" w:themeColor="text1"/>
          <w:sz w:val="22"/>
          <w:szCs w:val="22"/>
        </w:rPr>
      </w:pPr>
    </w:p>
    <w:p w14:paraId="2468AF00" w14:textId="2517DCCC" w:rsidR="7A05D5B6" w:rsidRDefault="7B091224" w:rsidP="280EC607">
      <w:pPr>
        <w:tabs>
          <w:tab w:val="clear" w:pos="720"/>
          <w:tab w:val="clear" w:pos="1440"/>
          <w:tab w:val="clear" w:pos="2160"/>
          <w:tab w:val="clear" w:pos="2880"/>
          <w:tab w:val="clear" w:pos="4680"/>
          <w:tab w:val="clear" w:pos="5400"/>
          <w:tab w:val="clear" w:pos="9000"/>
        </w:tabs>
        <w:spacing w:line="240" w:lineRule="auto"/>
        <w:rPr>
          <w:rFonts w:eastAsia="Arial" w:cs="Arial"/>
          <w:color w:val="000000" w:themeColor="text1"/>
          <w:sz w:val="22"/>
          <w:szCs w:val="22"/>
        </w:rPr>
      </w:pPr>
      <w:r w:rsidRPr="280EC607">
        <w:rPr>
          <w:rFonts w:eastAsia="Arial" w:cs="Arial"/>
          <w:color w:val="000000" w:themeColor="text1"/>
          <w:sz w:val="22"/>
          <w:szCs w:val="22"/>
        </w:rPr>
        <w:t>For example</w:t>
      </w:r>
      <w:r w:rsidR="7EB972EB" w:rsidRPr="280EC607">
        <w:rPr>
          <w:rFonts w:eastAsia="Arial" w:cs="Arial"/>
          <w:color w:val="000000" w:themeColor="text1"/>
          <w:sz w:val="22"/>
          <w:szCs w:val="22"/>
        </w:rPr>
        <w:t>: Lot X has four local authority areas (a-d), and a minimum installation of measures on 700 properties.</w:t>
      </w:r>
    </w:p>
    <w:p w14:paraId="360FD20A" w14:textId="38D2551A" w:rsidR="7A05D5B6" w:rsidRDefault="7EB972EB" w:rsidP="280EC607">
      <w:pPr>
        <w:tabs>
          <w:tab w:val="clear" w:pos="720"/>
          <w:tab w:val="clear" w:pos="1440"/>
          <w:tab w:val="clear" w:pos="2160"/>
          <w:tab w:val="clear" w:pos="2880"/>
          <w:tab w:val="clear" w:pos="4680"/>
          <w:tab w:val="clear" w:pos="5400"/>
          <w:tab w:val="clear" w:pos="9000"/>
        </w:tabs>
        <w:spacing w:line="240" w:lineRule="auto"/>
        <w:rPr>
          <w:rFonts w:eastAsia="Arial" w:cs="Arial"/>
          <w:color w:val="000000" w:themeColor="text1"/>
          <w:sz w:val="22"/>
          <w:szCs w:val="22"/>
        </w:rPr>
      </w:pPr>
      <w:r w:rsidRPr="280EC607">
        <w:rPr>
          <w:rFonts w:eastAsia="Arial" w:cs="Arial"/>
          <w:color w:val="000000" w:themeColor="text1"/>
          <w:sz w:val="22"/>
          <w:szCs w:val="22"/>
        </w:rPr>
        <w:t>Area a has 35% of the total eligible properties in that Lot - 35% of 700 = 245 pro</w:t>
      </w:r>
      <w:r w:rsidR="55F04D69" w:rsidRPr="280EC607">
        <w:rPr>
          <w:rFonts w:eastAsia="Arial" w:cs="Arial"/>
          <w:color w:val="000000" w:themeColor="text1"/>
          <w:sz w:val="22"/>
          <w:szCs w:val="22"/>
        </w:rPr>
        <w:t xml:space="preserve">perties form the percentage requirement in area a. 50% of these properties need to be installed or 123 from this local authority area to achieve a fair delivery of </w:t>
      </w:r>
      <w:r w:rsidR="0A856BCE" w:rsidRPr="280EC607">
        <w:rPr>
          <w:rFonts w:eastAsia="Arial" w:cs="Arial"/>
          <w:color w:val="000000" w:themeColor="text1"/>
          <w:sz w:val="22"/>
          <w:szCs w:val="22"/>
        </w:rPr>
        <w:t xml:space="preserve">improvements across the area. </w:t>
      </w:r>
    </w:p>
    <w:p w14:paraId="75ADF9D4" w14:textId="70D9E2F6" w:rsidR="7A05D5B6" w:rsidRDefault="7A05D5B6" w:rsidP="280EC607">
      <w:pPr>
        <w:tabs>
          <w:tab w:val="clear" w:pos="720"/>
          <w:tab w:val="clear" w:pos="1440"/>
          <w:tab w:val="clear" w:pos="2160"/>
          <w:tab w:val="clear" w:pos="2880"/>
          <w:tab w:val="clear" w:pos="4680"/>
          <w:tab w:val="clear" w:pos="5400"/>
          <w:tab w:val="clear" w:pos="9000"/>
        </w:tabs>
        <w:spacing w:line="240" w:lineRule="auto"/>
        <w:rPr>
          <w:rFonts w:eastAsia="Arial" w:cs="Arial"/>
          <w:b/>
          <w:bCs/>
          <w:color w:val="000000" w:themeColor="text1"/>
          <w:sz w:val="22"/>
          <w:szCs w:val="22"/>
        </w:rPr>
      </w:pPr>
    </w:p>
    <w:p w14:paraId="39C0ACE3" w14:textId="6A4E5912" w:rsidR="7A05D5B6" w:rsidRDefault="2972F5FE" w:rsidP="3B6BD473">
      <w:pPr>
        <w:spacing w:line="257" w:lineRule="atLeast"/>
        <w:rPr>
          <w:rFonts w:eastAsia="Arial" w:cs="Arial"/>
          <w:color w:val="000000" w:themeColor="text1"/>
          <w:sz w:val="22"/>
          <w:szCs w:val="22"/>
        </w:rPr>
      </w:pPr>
      <w:r w:rsidRPr="280EC607">
        <w:rPr>
          <w:rFonts w:eastAsia="Arial" w:cs="Arial"/>
          <w:b/>
          <w:bCs/>
          <w:color w:val="000000" w:themeColor="text1"/>
          <w:sz w:val="22"/>
          <w:szCs w:val="22"/>
        </w:rPr>
        <w:t>Capital / Ancillary / Management Fees</w:t>
      </w:r>
    </w:p>
    <w:p w14:paraId="536172EA" w14:textId="296896D3" w:rsidR="7A05D5B6" w:rsidRDefault="7A05D5B6" w:rsidP="0FC5BCDA">
      <w:pPr>
        <w:spacing w:line="257" w:lineRule="atLeast"/>
        <w:rPr>
          <w:rFonts w:eastAsia="Arial" w:cs="Arial"/>
          <w:color w:val="000000" w:themeColor="text1"/>
          <w:sz w:val="22"/>
          <w:szCs w:val="22"/>
        </w:rPr>
      </w:pPr>
      <w:r w:rsidRPr="0FC5BCDA">
        <w:rPr>
          <w:rFonts w:eastAsia="Arial" w:cs="Arial"/>
          <w:color w:val="000000" w:themeColor="text1"/>
          <w:sz w:val="22"/>
          <w:szCs w:val="22"/>
        </w:rPr>
        <w:t xml:space="preserve">The funder has made an allowance for up to 10.5% of the fees to be allocated as capitalised revenue, </w:t>
      </w:r>
      <w:r w:rsidR="417357E9" w:rsidRPr="0FC5BCDA">
        <w:rPr>
          <w:rFonts w:eastAsia="Arial" w:cs="Arial"/>
          <w:color w:val="000000" w:themeColor="text1"/>
          <w:sz w:val="22"/>
          <w:szCs w:val="22"/>
        </w:rPr>
        <w:t xml:space="preserve">all </w:t>
      </w:r>
      <w:r w:rsidRPr="0FC5BCDA">
        <w:rPr>
          <w:rFonts w:eastAsia="Arial" w:cs="Arial"/>
          <w:color w:val="000000" w:themeColor="text1"/>
          <w:sz w:val="22"/>
          <w:szCs w:val="22"/>
        </w:rPr>
        <w:t>Ancillary works</w:t>
      </w:r>
      <w:r w:rsidR="06539A76" w:rsidRPr="0FC5BCDA">
        <w:rPr>
          <w:rFonts w:eastAsia="Arial" w:cs="Arial"/>
          <w:color w:val="000000" w:themeColor="text1"/>
          <w:sz w:val="22"/>
          <w:szCs w:val="22"/>
        </w:rPr>
        <w:t xml:space="preserve"> must be allocated to this 10.5%</w:t>
      </w:r>
      <w:r w:rsidRPr="0FC5BCDA">
        <w:rPr>
          <w:rFonts w:eastAsia="Arial" w:cs="Arial"/>
          <w:color w:val="000000" w:themeColor="text1"/>
          <w:sz w:val="22"/>
          <w:szCs w:val="22"/>
        </w:rPr>
        <w:t>. The table below identifies tasks split into these categories.</w:t>
      </w:r>
    </w:p>
    <w:p w14:paraId="0B758ABF" w14:textId="77777777" w:rsidR="00C94F4F" w:rsidRDefault="00C94F4F" w:rsidP="3B6BD473">
      <w:pPr>
        <w:spacing w:line="257" w:lineRule="auto"/>
        <w:rPr>
          <w:rFonts w:eastAsia="Calibri" w:cs="Arial"/>
          <w:b/>
          <w:bCs/>
          <w:sz w:val="22"/>
          <w:szCs w:val="22"/>
        </w:rPr>
      </w:pPr>
    </w:p>
    <w:tbl>
      <w:tblPr>
        <w:tblStyle w:val="TableGrid"/>
        <w:tblW w:w="0" w:type="auto"/>
        <w:tblLayout w:type="fixed"/>
        <w:tblLook w:val="04A0" w:firstRow="1" w:lastRow="0" w:firstColumn="1" w:lastColumn="0" w:noHBand="0" w:noVBand="1"/>
      </w:tblPr>
      <w:tblGrid>
        <w:gridCol w:w="3000"/>
        <w:gridCol w:w="3000"/>
        <w:gridCol w:w="3000"/>
      </w:tblGrid>
      <w:tr w:rsidR="3B6BD473" w14:paraId="20487BDD" w14:textId="77777777" w:rsidTr="3B6BD473">
        <w:tc>
          <w:tcPr>
            <w:tcW w:w="3000" w:type="dxa"/>
            <w:shd w:val="clear" w:color="auto" w:fill="7F7F7F" w:themeFill="text1" w:themeFillTint="80"/>
          </w:tcPr>
          <w:p w14:paraId="0FCEB9DA" w14:textId="40641277" w:rsidR="3B6BD473" w:rsidRDefault="3B6BD473" w:rsidP="3B6BD473">
            <w:pPr>
              <w:spacing w:line="257" w:lineRule="atLeast"/>
              <w:rPr>
                <w:rFonts w:eastAsia="Arial" w:cs="Arial"/>
                <w:color w:val="FFFFFF" w:themeColor="background1"/>
                <w:sz w:val="22"/>
                <w:szCs w:val="22"/>
              </w:rPr>
            </w:pPr>
            <w:r w:rsidRPr="3B6BD473">
              <w:rPr>
                <w:rFonts w:eastAsia="Arial" w:cs="Arial"/>
                <w:color w:val="FFFFFF" w:themeColor="background1"/>
                <w:sz w:val="22"/>
                <w:szCs w:val="22"/>
              </w:rPr>
              <w:t>Capital</w:t>
            </w:r>
          </w:p>
        </w:tc>
        <w:tc>
          <w:tcPr>
            <w:tcW w:w="3000" w:type="dxa"/>
            <w:shd w:val="clear" w:color="auto" w:fill="7F7F7F" w:themeFill="text1" w:themeFillTint="80"/>
          </w:tcPr>
          <w:p w14:paraId="092B3AD6" w14:textId="222E24C0" w:rsidR="3B6BD473" w:rsidRDefault="3B6BD473" w:rsidP="3B6BD473">
            <w:pPr>
              <w:spacing w:line="257" w:lineRule="atLeast"/>
              <w:rPr>
                <w:rFonts w:eastAsia="Arial" w:cs="Arial"/>
                <w:color w:val="FFFFFF" w:themeColor="background1"/>
                <w:sz w:val="22"/>
                <w:szCs w:val="22"/>
              </w:rPr>
            </w:pPr>
            <w:r w:rsidRPr="3B6BD473">
              <w:rPr>
                <w:rFonts w:eastAsia="Arial" w:cs="Arial"/>
                <w:color w:val="FFFFFF" w:themeColor="background1"/>
                <w:sz w:val="22"/>
                <w:szCs w:val="22"/>
              </w:rPr>
              <w:t>Ancillary</w:t>
            </w:r>
          </w:p>
        </w:tc>
        <w:tc>
          <w:tcPr>
            <w:tcW w:w="3000" w:type="dxa"/>
            <w:shd w:val="clear" w:color="auto" w:fill="7F7F7F" w:themeFill="text1" w:themeFillTint="80"/>
          </w:tcPr>
          <w:p w14:paraId="2B4E77A4" w14:textId="344BA95E" w:rsidR="3B6BD473" w:rsidRDefault="3B6BD473" w:rsidP="3B6BD473">
            <w:pPr>
              <w:spacing w:line="257" w:lineRule="atLeast"/>
              <w:rPr>
                <w:rFonts w:eastAsia="Arial" w:cs="Arial"/>
                <w:color w:val="FFFFFF" w:themeColor="background1"/>
                <w:sz w:val="22"/>
                <w:szCs w:val="22"/>
              </w:rPr>
            </w:pPr>
            <w:r w:rsidRPr="3B6BD473">
              <w:rPr>
                <w:rFonts w:eastAsia="Arial" w:cs="Arial"/>
                <w:color w:val="FFFFFF" w:themeColor="background1"/>
                <w:sz w:val="22"/>
                <w:szCs w:val="22"/>
              </w:rPr>
              <w:t>Management Fee</w:t>
            </w:r>
          </w:p>
        </w:tc>
      </w:tr>
      <w:tr w:rsidR="3B6BD473" w14:paraId="3CCB3F15" w14:textId="77777777" w:rsidTr="3B6BD473">
        <w:tc>
          <w:tcPr>
            <w:tcW w:w="3000" w:type="dxa"/>
          </w:tcPr>
          <w:p w14:paraId="021AB1B8" w14:textId="0AA7F962" w:rsidR="3B6BD473" w:rsidRDefault="3B6BD473" w:rsidP="3B6BD473">
            <w:pPr>
              <w:spacing w:line="257" w:lineRule="atLeast"/>
              <w:rPr>
                <w:rFonts w:eastAsia="Arial" w:cs="Arial"/>
                <w:color w:val="000000" w:themeColor="text1"/>
                <w:sz w:val="22"/>
                <w:szCs w:val="22"/>
              </w:rPr>
            </w:pPr>
            <w:r w:rsidRPr="3B6BD473">
              <w:rPr>
                <w:rFonts w:eastAsia="Arial" w:cs="Arial"/>
                <w:color w:val="000000" w:themeColor="text1"/>
                <w:sz w:val="22"/>
                <w:szCs w:val="22"/>
              </w:rPr>
              <w:t>Measure installation</w:t>
            </w:r>
          </w:p>
        </w:tc>
        <w:tc>
          <w:tcPr>
            <w:tcW w:w="3000" w:type="dxa"/>
          </w:tcPr>
          <w:p w14:paraId="16B25344" w14:textId="62F75DF6" w:rsidR="3B6BD473" w:rsidRDefault="3B6BD473" w:rsidP="3B6BD473">
            <w:pPr>
              <w:spacing w:line="257" w:lineRule="atLeast"/>
              <w:rPr>
                <w:rFonts w:eastAsia="Arial" w:cs="Arial"/>
                <w:color w:val="000000" w:themeColor="text1"/>
                <w:sz w:val="22"/>
                <w:szCs w:val="22"/>
              </w:rPr>
            </w:pPr>
            <w:r w:rsidRPr="3B6BD473">
              <w:rPr>
                <w:rFonts w:eastAsia="Arial" w:cs="Arial"/>
                <w:color w:val="000000" w:themeColor="text1"/>
                <w:sz w:val="22"/>
                <w:szCs w:val="22"/>
              </w:rPr>
              <w:t>Retrofit Assessors</w:t>
            </w:r>
            <w:r w:rsidR="32A407E6" w:rsidRPr="3B6BD473">
              <w:rPr>
                <w:rFonts w:eastAsia="Arial" w:cs="Arial"/>
                <w:color w:val="000000" w:themeColor="text1"/>
                <w:sz w:val="22"/>
                <w:szCs w:val="22"/>
              </w:rPr>
              <w:t>/ EPCs</w:t>
            </w:r>
          </w:p>
        </w:tc>
        <w:tc>
          <w:tcPr>
            <w:tcW w:w="3000" w:type="dxa"/>
          </w:tcPr>
          <w:p w14:paraId="5EF0C7BB" w14:textId="50ACA969" w:rsidR="3B6BD473" w:rsidRDefault="3B6BD473" w:rsidP="3B6BD473">
            <w:pPr>
              <w:spacing w:line="257" w:lineRule="atLeast"/>
              <w:rPr>
                <w:rFonts w:eastAsia="Arial" w:cs="Arial"/>
                <w:color w:val="000000" w:themeColor="text1"/>
                <w:sz w:val="22"/>
                <w:szCs w:val="22"/>
              </w:rPr>
            </w:pPr>
            <w:r w:rsidRPr="3B6BD473">
              <w:rPr>
                <w:rFonts w:eastAsia="Arial" w:cs="Arial"/>
                <w:color w:val="000000" w:themeColor="text1"/>
                <w:sz w:val="22"/>
                <w:szCs w:val="22"/>
              </w:rPr>
              <w:t>Marketing (web and print)</w:t>
            </w:r>
          </w:p>
        </w:tc>
      </w:tr>
      <w:tr w:rsidR="008D29B4" w14:paraId="7A4341CD" w14:textId="77777777" w:rsidTr="3B6BD473">
        <w:tc>
          <w:tcPr>
            <w:tcW w:w="3000" w:type="dxa"/>
          </w:tcPr>
          <w:p w14:paraId="0DFAC822" w14:textId="370243DC" w:rsidR="008D29B4" w:rsidRDefault="008D29B4" w:rsidP="008D29B4">
            <w:pPr>
              <w:spacing w:line="257" w:lineRule="atLeast"/>
              <w:rPr>
                <w:rFonts w:eastAsia="Arial" w:cs="Arial"/>
                <w:color w:val="000000" w:themeColor="text1"/>
                <w:sz w:val="22"/>
                <w:szCs w:val="22"/>
              </w:rPr>
            </w:pPr>
            <w:r w:rsidRPr="3B6BD473">
              <w:rPr>
                <w:rFonts w:eastAsia="Arial" w:cs="Arial"/>
                <w:color w:val="000000" w:themeColor="text1"/>
                <w:sz w:val="22"/>
                <w:szCs w:val="22"/>
              </w:rPr>
              <w:t>Retrofit Coordinator</w:t>
            </w:r>
          </w:p>
        </w:tc>
        <w:tc>
          <w:tcPr>
            <w:tcW w:w="3000" w:type="dxa"/>
          </w:tcPr>
          <w:p w14:paraId="12A34E4F" w14:textId="0533E474" w:rsidR="008D29B4" w:rsidRDefault="008D29B4" w:rsidP="008D29B4">
            <w:pPr>
              <w:spacing w:line="257" w:lineRule="atLeast"/>
              <w:rPr>
                <w:rFonts w:eastAsia="Arial" w:cs="Arial"/>
                <w:color w:val="000000" w:themeColor="text1"/>
                <w:sz w:val="22"/>
                <w:szCs w:val="22"/>
              </w:rPr>
            </w:pPr>
            <w:bookmarkStart w:id="0" w:name="_GoBack"/>
            <w:bookmarkEnd w:id="0"/>
            <w:r w:rsidRPr="3B6BD473">
              <w:rPr>
                <w:rFonts w:eastAsia="Arial" w:cs="Arial"/>
                <w:color w:val="000000" w:themeColor="text1"/>
                <w:sz w:val="22"/>
                <w:szCs w:val="22"/>
              </w:rPr>
              <w:t>Asbestos reports</w:t>
            </w:r>
          </w:p>
        </w:tc>
        <w:tc>
          <w:tcPr>
            <w:tcW w:w="3000" w:type="dxa"/>
          </w:tcPr>
          <w:p w14:paraId="03DB596C" w14:textId="2DBEFEF4" w:rsidR="008D29B4" w:rsidRDefault="008D29B4" w:rsidP="008D29B4">
            <w:pPr>
              <w:spacing w:line="257" w:lineRule="atLeast"/>
              <w:rPr>
                <w:rFonts w:eastAsia="Arial" w:cs="Arial"/>
                <w:color w:val="000000" w:themeColor="text1"/>
                <w:sz w:val="22"/>
                <w:szCs w:val="22"/>
              </w:rPr>
            </w:pPr>
            <w:r w:rsidRPr="3B6BD473">
              <w:rPr>
                <w:rFonts w:eastAsia="Arial" w:cs="Arial"/>
                <w:color w:val="000000" w:themeColor="text1"/>
                <w:sz w:val="22"/>
                <w:szCs w:val="22"/>
              </w:rPr>
              <w:t>Advertising</w:t>
            </w:r>
          </w:p>
        </w:tc>
      </w:tr>
      <w:tr w:rsidR="008D29B4" w14:paraId="621E4949" w14:textId="77777777" w:rsidTr="3B6BD473">
        <w:tc>
          <w:tcPr>
            <w:tcW w:w="3000" w:type="dxa"/>
          </w:tcPr>
          <w:p w14:paraId="481B2212" w14:textId="0B285934" w:rsidR="008D29B4" w:rsidRDefault="008D29B4" w:rsidP="008D29B4">
            <w:pPr>
              <w:spacing w:line="257" w:lineRule="atLeast"/>
              <w:rPr>
                <w:rFonts w:eastAsia="Arial" w:cs="Arial"/>
                <w:color w:val="000000" w:themeColor="text1"/>
                <w:sz w:val="22"/>
                <w:szCs w:val="22"/>
              </w:rPr>
            </w:pPr>
            <w:r w:rsidRPr="3B6BD473">
              <w:rPr>
                <w:rFonts w:eastAsia="Arial" w:cs="Arial"/>
                <w:color w:val="000000" w:themeColor="text1"/>
                <w:sz w:val="22"/>
                <w:szCs w:val="22"/>
              </w:rPr>
              <w:t>Enabling works</w:t>
            </w:r>
          </w:p>
        </w:tc>
        <w:tc>
          <w:tcPr>
            <w:tcW w:w="3000" w:type="dxa"/>
          </w:tcPr>
          <w:p w14:paraId="0BFCAABE" w14:textId="597E4F83" w:rsidR="008D29B4" w:rsidRDefault="008D29B4" w:rsidP="008D29B4">
            <w:pPr>
              <w:spacing w:line="257" w:lineRule="atLeast"/>
              <w:rPr>
                <w:rFonts w:eastAsia="Arial" w:cs="Arial"/>
                <w:color w:val="000000" w:themeColor="text1"/>
                <w:sz w:val="22"/>
                <w:szCs w:val="22"/>
              </w:rPr>
            </w:pPr>
            <w:r w:rsidRPr="3B6BD473">
              <w:rPr>
                <w:rFonts w:eastAsia="Arial" w:cs="Arial"/>
                <w:color w:val="000000" w:themeColor="text1"/>
                <w:sz w:val="22"/>
                <w:szCs w:val="22"/>
              </w:rPr>
              <w:t>Professional fees</w:t>
            </w:r>
          </w:p>
        </w:tc>
        <w:tc>
          <w:tcPr>
            <w:tcW w:w="3000" w:type="dxa"/>
          </w:tcPr>
          <w:p w14:paraId="57EDE86B" w14:textId="73EA264C" w:rsidR="008D29B4" w:rsidRDefault="008D29B4" w:rsidP="008D29B4">
            <w:pPr>
              <w:spacing w:line="257" w:lineRule="atLeast"/>
              <w:rPr>
                <w:rFonts w:eastAsia="Arial" w:cs="Arial"/>
                <w:color w:val="000000" w:themeColor="text1"/>
                <w:sz w:val="22"/>
                <w:szCs w:val="22"/>
              </w:rPr>
            </w:pPr>
            <w:r w:rsidRPr="3B6BD473">
              <w:rPr>
                <w:rFonts w:eastAsia="Arial" w:cs="Arial"/>
                <w:color w:val="000000" w:themeColor="text1"/>
                <w:sz w:val="22"/>
                <w:szCs w:val="22"/>
              </w:rPr>
              <w:t>Customer Service / Advice</w:t>
            </w:r>
          </w:p>
        </w:tc>
      </w:tr>
      <w:tr w:rsidR="008D29B4" w14:paraId="401E7EB1" w14:textId="77777777" w:rsidTr="3B6BD473">
        <w:tc>
          <w:tcPr>
            <w:tcW w:w="3000" w:type="dxa"/>
          </w:tcPr>
          <w:p w14:paraId="47604435" w14:textId="0003F12F" w:rsidR="008D29B4" w:rsidRDefault="008D29B4" w:rsidP="008D29B4">
            <w:pPr>
              <w:spacing w:line="257" w:lineRule="atLeast"/>
              <w:rPr>
                <w:rFonts w:eastAsia="Arial" w:cs="Arial"/>
                <w:color w:val="000000" w:themeColor="text1"/>
                <w:sz w:val="22"/>
                <w:szCs w:val="22"/>
              </w:rPr>
            </w:pPr>
            <w:r w:rsidRPr="3B6BD473">
              <w:rPr>
                <w:rFonts w:eastAsia="Arial" w:cs="Arial"/>
                <w:color w:val="000000" w:themeColor="text1"/>
                <w:sz w:val="22"/>
                <w:szCs w:val="22"/>
              </w:rPr>
              <w:t>Lodgement fees</w:t>
            </w:r>
          </w:p>
        </w:tc>
        <w:tc>
          <w:tcPr>
            <w:tcW w:w="3000" w:type="dxa"/>
          </w:tcPr>
          <w:p w14:paraId="7EFD7C33" w14:textId="7E521F31" w:rsidR="008D29B4" w:rsidRDefault="008D29B4" w:rsidP="008D29B4">
            <w:pPr>
              <w:spacing w:line="257" w:lineRule="atLeast"/>
              <w:rPr>
                <w:rFonts w:eastAsia="Arial" w:cs="Arial"/>
                <w:color w:val="000000" w:themeColor="text1"/>
                <w:sz w:val="22"/>
                <w:szCs w:val="22"/>
              </w:rPr>
            </w:pPr>
            <w:r w:rsidRPr="3B6BD473">
              <w:rPr>
                <w:rFonts w:eastAsia="Arial" w:cs="Arial"/>
                <w:color w:val="000000" w:themeColor="text1"/>
                <w:sz w:val="22"/>
                <w:szCs w:val="22"/>
              </w:rPr>
              <w:t>Ancillary measures as listed in Technical Specification</w:t>
            </w:r>
          </w:p>
        </w:tc>
        <w:tc>
          <w:tcPr>
            <w:tcW w:w="3000" w:type="dxa"/>
          </w:tcPr>
          <w:p w14:paraId="2782C446" w14:textId="23BA647C" w:rsidR="008D29B4" w:rsidRDefault="008D29B4" w:rsidP="008D29B4">
            <w:pPr>
              <w:spacing w:line="257" w:lineRule="atLeast"/>
              <w:rPr>
                <w:rFonts w:eastAsia="Arial" w:cs="Arial"/>
                <w:color w:val="000000" w:themeColor="text1"/>
                <w:sz w:val="22"/>
                <w:szCs w:val="22"/>
              </w:rPr>
            </w:pPr>
            <w:r w:rsidRPr="3B6BD473">
              <w:rPr>
                <w:rFonts w:eastAsia="Arial" w:cs="Arial"/>
                <w:color w:val="000000" w:themeColor="text1"/>
                <w:sz w:val="22"/>
                <w:szCs w:val="22"/>
              </w:rPr>
              <w:t>Project Management</w:t>
            </w:r>
          </w:p>
          <w:p w14:paraId="3B4BD20C" w14:textId="0A55E7B7" w:rsidR="008D29B4" w:rsidRDefault="008D29B4" w:rsidP="008D29B4">
            <w:pPr>
              <w:spacing w:line="257" w:lineRule="atLeast"/>
              <w:rPr>
                <w:rFonts w:eastAsia="Arial" w:cs="Arial"/>
                <w:color w:val="000000" w:themeColor="text1"/>
                <w:sz w:val="22"/>
                <w:szCs w:val="22"/>
              </w:rPr>
            </w:pPr>
          </w:p>
        </w:tc>
      </w:tr>
      <w:tr w:rsidR="008D29B4" w14:paraId="6E6B9D98" w14:textId="77777777" w:rsidTr="3B6BD473">
        <w:tc>
          <w:tcPr>
            <w:tcW w:w="3000" w:type="dxa"/>
          </w:tcPr>
          <w:p w14:paraId="0E002C1C" w14:textId="3F47F7CC" w:rsidR="008D29B4" w:rsidRDefault="008D29B4" w:rsidP="008D29B4">
            <w:pPr>
              <w:spacing w:line="257" w:lineRule="atLeast"/>
              <w:rPr>
                <w:rFonts w:eastAsia="Arial" w:cs="Arial"/>
                <w:color w:val="000000" w:themeColor="text1"/>
                <w:sz w:val="22"/>
                <w:szCs w:val="22"/>
              </w:rPr>
            </w:pPr>
            <w:r w:rsidRPr="3B6BD473">
              <w:rPr>
                <w:rFonts w:eastAsia="Arial" w:cs="Arial"/>
                <w:color w:val="000000" w:themeColor="text1"/>
                <w:sz w:val="22"/>
                <w:szCs w:val="22"/>
              </w:rPr>
              <w:t>Material delivery fees</w:t>
            </w:r>
          </w:p>
        </w:tc>
        <w:tc>
          <w:tcPr>
            <w:tcW w:w="3000" w:type="dxa"/>
          </w:tcPr>
          <w:p w14:paraId="0E2F07DF" w14:textId="3027B276" w:rsidR="008D29B4" w:rsidRDefault="008D29B4" w:rsidP="008D29B4">
            <w:pPr>
              <w:spacing w:line="257" w:lineRule="atLeast"/>
              <w:rPr>
                <w:rFonts w:eastAsia="Arial" w:cs="Arial"/>
                <w:color w:val="000000" w:themeColor="text1"/>
                <w:sz w:val="22"/>
                <w:szCs w:val="22"/>
              </w:rPr>
            </w:pPr>
          </w:p>
        </w:tc>
        <w:tc>
          <w:tcPr>
            <w:tcW w:w="3000" w:type="dxa"/>
          </w:tcPr>
          <w:p w14:paraId="72A01A5C" w14:textId="5FC1B74F" w:rsidR="008D29B4" w:rsidRDefault="008D29B4" w:rsidP="008D29B4">
            <w:pPr>
              <w:spacing w:line="257" w:lineRule="atLeast"/>
              <w:rPr>
                <w:rFonts w:eastAsia="Arial" w:cs="Arial"/>
                <w:color w:val="000000" w:themeColor="text1"/>
                <w:sz w:val="22"/>
                <w:szCs w:val="22"/>
              </w:rPr>
            </w:pPr>
            <w:r w:rsidRPr="3B6BD473">
              <w:rPr>
                <w:rFonts w:eastAsia="Arial" w:cs="Arial"/>
                <w:color w:val="000000" w:themeColor="text1"/>
                <w:sz w:val="22"/>
                <w:szCs w:val="22"/>
              </w:rPr>
              <w:t>Other staff costs</w:t>
            </w:r>
          </w:p>
        </w:tc>
      </w:tr>
      <w:tr w:rsidR="008D29B4" w14:paraId="6CEF2485" w14:textId="77777777" w:rsidTr="3B6BD473">
        <w:tc>
          <w:tcPr>
            <w:tcW w:w="3000" w:type="dxa"/>
          </w:tcPr>
          <w:p w14:paraId="2B91C7F1" w14:textId="5F5AE333" w:rsidR="008D29B4" w:rsidRDefault="008D29B4" w:rsidP="008D29B4">
            <w:pPr>
              <w:spacing w:line="257" w:lineRule="atLeast"/>
              <w:rPr>
                <w:rFonts w:eastAsia="Arial" w:cs="Arial"/>
                <w:color w:val="000000" w:themeColor="text1"/>
                <w:sz w:val="22"/>
                <w:szCs w:val="22"/>
              </w:rPr>
            </w:pPr>
          </w:p>
        </w:tc>
        <w:tc>
          <w:tcPr>
            <w:tcW w:w="3000" w:type="dxa"/>
          </w:tcPr>
          <w:p w14:paraId="537B635E" w14:textId="5B3E3E89" w:rsidR="008D29B4" w:rsidRDefault="008D29B4" w:rsidP="008D29B4">
            <w:pPr>
              <w:spacing w:line="257" w:lineRule="atLeast"/>
              <w:rPr>
                <w:rFonts w:eastAsia="Arial" w:cs="Arial"/>
                <w:color w:val="000000" w:themeColor="text1"/>
                <w:sz w:val="22"/>
                <w:szCs w:val="22"/>
              </w:rPr>
            </w:pPr>
          </w:p>
        </w:tc>
        <w:tc>
          <w:tcPr>
            <w:tcW w:w="3000" w:type="dxa"/>
          </w:tcPr>
          <w:p w14:paraId="79855674" w14:textId="5141501C" w:rsidR="008D29B4" w:rsidRDefault="008D29B4" w:rsidP="008D29B4">
            <w:pPr>
              <w:spacing w:line="257" w:lineRule="atLeast"/>
              <w:rPr>
                <w:rFonts w:eastAsia="Arial" w:cs="Arial"/>
                <w:color w:val="000000" w:themeColor="text1"/>
                <w:sz w:val="22"/>
                <w:szCs w:val="22"/>
              </w:rPr>
            </w:pPr>
            <w:r w:rsidRPr="3B6BD473">
              <w:rPr>
                <w:rFonts w:eastAsia="Arial" w:cs="Arial"/>
                <w:color w:val="000000" w:themeColor="text1"/>
                <w:sz w:val="22"/>
                <w:szCs w:val="22"/>
              </w:rPr>
              <w:t>Overheads</w:t>
            </w:r>
          </w:p>
        </w:tc>
      </w:tr>
      <w:tr w:rsidR="008D29B4" w14:paraId="06842608" w14:textId="77777777" w:rsidTr="3B6BD473">
        <w:tc>
          <w:tcPr>
            <w:tcW w:w="3000" w:type="dxa"/>
          </w:tcPr>
          <w:p w14:paraId="4AB9A31E" w14:textId="10BAA5F1" w:rsidR="008D29B4" w:rsidRDefault="008D29B4" w:rsidP="008D29B4">
            <w:pPr>
              <w:spacing w:line="257" w:lineRule="atLeast"/>
              <w:rPr>
                <w:rFonts w:eastAsia="Arial" w:cs="Arial"/>
                <w:color w:val="000000" w:themeColor="text1"/>
                <w:sz w:val="22"/>
                <w:szCs w:val="22"/>
              </w:rPr>
            </w:pPr>
          </w:p>
        </w:tc>
        <w:tc>
          <w:tcPr>
            <w:tcW w:w="3000" w:type="dxa"/>
          </w:tcPr>
          <w:p w14:paraId="0D665F0D" w14:textId="539B2E4E" w:rsidR="008D29B4" w:rsidRDefault="008D29B4" w:rsidP="008D29B4">
            <w:pPr>
              <w:spacing w:line="257" w:lineRule="atLeast"/>
              <w:rPr>
                <w:rFonts w:eastAsia="Arial" w:cs="Arial"/>
                <w:color w:val="000000" w:themeColor="text1"/>
                <w:sz w:val="22"/>
                <w:szCs w:val="22"/>
              </w:rPr>
            </w:pPr>
          </w:p>
        </w:tc>
        <w:tc>
          <w:tcPr>
            <w:tcW w:w="3000" w:type="dxa"/>
          </w:tcPr>
          <w:p w14:paraId="5CDB8E00" w14:textId="4A86ADD7" w:rsidR="008D29B4" w:rsidRDefault="008D29B4" w:rsidP="008D29B4">
            <w:pPr>
              <w:spacing w:line="257" w:lineRule="atLeast"/>
              <w:rPr>
                <w:rFonts w:eastAsia="Arial" w:cs="Arial"/>
                <w:color w:val="000000" w:themeColor="text1"/>
                <w:sz w:val="22"/>
                <w:szCs w:val="22"/>
              </w:rPr>
            </w:pPr>
            <w:r w:rsidRPr="3B6BD473">
              <w:rPr>
                <w:rFonts w:eastAsia="Arial" w:cs="Arial"/>
                <w:color w:val="000000" w:themeColor="text1"/>
                <w:sz w:val="22"/>
                <w:szCs w:val="22"/>
              </w:rPr>
              <w:t>Management reporting</w:t>
            </w:r>
          </w:p>
        </w:tc>
      </w:tr>
      <w:tr w:rsidR="008D29B4" w14:paraId="17E573FB" w14:textId="77777777" w:rsidTr="3B6BD473">
        <w:tc>
          <w:tcPr>
            <w:tcW w:w="3000" w:type="dxa"/>
          </w:tcPr>
          <w:p w14:paraId="2D196979" w14:textId="29A05C4A" w:rsidR="008D29B4" w:rsidRDefault="008D29B4" w:rsidP="008D29B4">
            <w:pPr>
              <w:spacing w:line="257" w:lineRule="atLeast"/>
              <w:rPr>
                <w:rFonts w:eastAsia="Arial" w:cs="Arial"/>
                <w:color w:val="000000" w:themeColor="text1"/>
                <w:sz w:val="22"/>
                <w:szCs w:val="22"/>
              </w:rPr>
            </w:pPr>
          </w:p>
        </w:tc>
        <w:tc>
          <w:tcPr>
            <w:tcW w:w="3000" w:type="dxa"/>
          </w:tcPr>
          <w:p w14:paraId="6517BEC0" w14:textId="6DA552BC" w:rsidR="008D29B4" w:rsidRDefault="008D29B4" w:rsidP="008D29B4">
            <w:pPr>
              <w:spacing w:line="257" w:lineRule="atLeast"/>
              <w:rPr>
                <w:rFonts w:eastAsia="Arial" w:cs="Arial"/>
                <w:color w:val="000000" w:themeColor="text1"/>
                <w:sz w:val="22"/>
                <w:szCs w:val="22"/>
              </w:rPr>
            </w:pPr>
          </w:p>
        </w:tc>
        <w:tc>
          <w:tcPr>
            <w:tcW w:w="3000" w:type="dxa"/>
          </w:tcPr>
          <w:p w14:paraId="56C86D8B" w14:textId="436153F4" w:rsidR="008D29B4" w:rsidRDefault="008D29B4" w:rsidP="008D29B4">
            <w:pPr>
              <w:spacing w:line="257" w:lineRule="atLeast"/>
              <w:rPr>
                <w:rFonts w:eastAsia="Arial" w:cs="Arial"/>
                <w:color w:val="000000" w:themeColor="text1"/>
                <w:sz w:val="22"/>
                <w:szCs w:val="22"/>
              </w:rPr>
            </w:pPr>
            <w:r w:rsidRPr="3B6BD473">
              <w:rPr>
                <w:rFonts w:eastAsia="Arial" w:cs="Arial"/>
                <w:color w:val="000000" w:themeColor="text1"/>
                <w:sz w:val="22"/>
                <w:szCs w:val="22"/>
              </w:rPr>
              <w:t>Invoicing</w:t>
            </w:r>
          </w:p>
        </w:tc>
      </w:tr>
    </w:tbl>
    <w:p w14:paraId="02E2BA2C" w14:textId="6CD43D90" w:rsidR="3B6BD473" w:rsidRDefault="3B6BD473" w:rsidP="3B6BD473">
      <w:pPr>
        <w:spacing w:line="257" w:lineRule="auto"/>
        <w:rPr>
          <w:rFonts w:eastAsia="Calibri" w:cs="Arial"/>
          <w:b/>
          <w:bCs/>
          <w:sz w:val="22"/>
          <w:szCs w:val="22"/>
        </w:rPr>
      </w:pPr>
    </w:p>
    <w:p w14:paraId="085CE6BD" w14:textId="40FD6692" w:rsidR="00254116" w:rsidRDefault="00254116" w:rsidP="00254116">
      <w:pPr>
        <w:spacing w:line="257" w:lineRule="auto"/>
        <w:rPr>
          <w:rFonts w:ascii="Calibri" w:eastAsia="Calibri" w:hAnsi="Calibri" w:cs="Calibri"/>
          <w:sz w:val="22"/>
          <w:szCs w:val="22"/>
        </w:rPr>
      </w:pPr>
    </w:p>
    <w:p w14:paraId="0B1259B5" w14:textId="77777777" w:rsidR="00312A0A" w:rsidRDefault="00312A0A">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r>
        <w:rPr>
          <w:rFonts w:cs="Arial"/>
          <w:sz w:val="22"/>
          <w:szCs w:val="22"/>
        </w:rPr>
        <w:br w:type="page"/>
      </w:r>
    </w:p>
    <w:p w14:paraId="53C632E6" w14:textId="0EE79C5D" w:rsidR="00C85EC1" w:rsidRDefault="00AF2CF1" w:rsidP="00312A0A">
      <w:pPr>
        <w:spacing w:after="120"/>
        <w:rPr>
          <w:rFonts w:cs="Arial"/>
          <w:b/>
          <w:sz w:val="22"/>
          <w:szCs w:val="22"/>
        </w:rPr>
      </w:pPr>
      <w:r w:rsidRPr="0071568B">
        <w:rPr>
          <w:rFonts w:cs="Arial"/>
          <w:b/>
          <w:sz w:val="22"/>
          <w:szCs w:val="22"/>
        </w:rPr>
        <w:lastRenderedPageBreak/>
        <w:t>LOT 1: GLOUCESTERSHIRE</w:t>
      </w:r>
      <w:r w:rsidR="000774B5">
        <w:rPr>
          <w:rFonts w:cs="Arial"/>
          <w:b/>
          <w:sz w:val="22"/>
          <w:szCs w:val="22"/>
        </w:rPr>
        <w:t xml:space="preserve"> (</w:t>
      </w:r>
      <w:proofErr w:type="spellStart"/>
      <w:r w:rsidR="000774B5">
        <w:rPr>
          <w:rFonts w:cs="Arial"/>
          <w:b/>
          <w:sz w:val="22"/>
          <w:szCs w:val="22"/>
        </w:rPr>
        <w:t>GFirst</w:t>
      </w:r>
      <w:proofErr w:type="spellEnd"/>
      <w:r w:rsidR="000774B5">
        <w:rPr>
          <w:rFonts w:cs="Arial"/>
          <w:b/>
          <w:sz w:val="22"/>
          <w:szCs w:val="22"/>
        </w:rPr>
        <w:t>)</w:t>
      </w:r>
    </w:p>
    <w:p w14:paraId="076895B5" w14:textId="52440098" w:rsidR="0071568B" w:rsidRDefault="0071568B" w:rsidP="00312A0A">
      <w:pPr>
        <w:spacing w:after="120"/>
        <w:rPr>
          <w:rFonts w:cs="Arial"/>
          <w:b/>
          <w:sz w:val="22"/>
          <w:szCs w:val="22"/>
        </w:rPr>
      </w:pPr>
    </w:p>
    <w:p w14:paraId="0AE61E29" w14:textId="6018B748" w:rsidR="0071568B" w:rsidRPr="00571ED3" w:rsidRDefault="0071568B" w:rsidP="0071568B">
      <w:pPr>
        <w:spacing w:after="120"/>
        <w:rPr>
          <w:rFonts w:cs="Arial"/>
          <w:sz w:val="22"/>
          <w:szCs w:val="22"/>
        </w:rPr>
      </w:pPr>
      <w:r w:rsidRPr="5664A060">
        <w:rPr>
          <w:rFonts w:cs="Arial"/>
          <w:b/>
          <w:bCs/>
          <w:sz w:val="22"/>
          <w:szCs w:val="22"/>
        </w:rPr>
        <w:t>Value of the Lot:</w:t>
      </w:r>
      <w:r w:rsidRPr="5664A060">
        <w:rPr>
          <w:rFonts w:cs="Arial"/>
          <w:sz w:val="22"/>
          <w:szCs w:val="22"/>
        </w:rPr>
        <w:t xml:space="preserve"> £</w:t>
      </w:r>
      <w:r w:rsidR="00646461" w:rsidRPr="5664A060">
        <w:rPr>
          <w:color w:val="000000" w:themeColor="text1"/>
          <w:sz w:val="22"/>
          <w:szCs w:val="22"/>
          <w:lang w:eastAsia="en-GB"/>
        </w:rPr>
        <w:t>4,531,96</w:t>
      </w:r>
      <w:r w:rsidR="0B643752" w:rsidRPr="5664A060">
        <w:rPr>
          <w:color w:val="000000" w:themeColor="text1"/>
          <w:sz w:val="22"/>
          <w:szCs w:val="22"/>
          <w:lang w:eastAsia="en-GB"/>
        </w:rPr>
        <w:t>9</w:t>
      </w:r>
    </w:p>
    <w:p w14:paraId="139D3FC1" w14:textId="77777777" w:rsidR="0071568B" w:rsidRDefault="0071568B" w:rsidP="0071568B">
      <w:pPr>
        <w:spacing w:after="120"/>
        <w:rPr>
          <w:rFonts w:cs="Arial"/>
          <w:b/>
          <w:sz w:val="22"/>
          <w:szCs w:val="22"/>
        </w:rPr>
      </w:pPr>
      <w:r w:rsidRPr="00215180">
        <w:rPr>
          <w:rFonts w:cs="Arial"/>
          <w:b/>
          <w:sz w:val="22"/>
          <w:szCs w:val="22"/>
        </w:rPr>
        <w:t xml:space="preserve">Geographic area: </w:t>
      </w:r>
    </w:p>
    <w:p w14:paraId="0B7E3DAD" w14:textId="711A21A2" w:rsidR="009A443B" w:rsidRPr="00EE2702" w:rsidRDefault="009A443B" w:rsidP="00EE2702">
      <w:pPr>
        <w:pStyle w:val="ListParagraph"/>
        <w:numPr>
          <w:ilvl w:val="0"/>
          <w:numId w:val="45"/>
        </w:numPr>
        <w:tabs>
          <w:tab w:val="clear" w:pos="720"/>
          <w:tab w:val="clear" w:pos="1440"/>
          <w:tab w:val="clear" w:pos="2160"/>
          <w:tab w:val="clear" w:pos="2880"/>
          <w:tab w:val="clear" w:pos="4680"/>
          <w:tab w:val="clear" w:pos="5400"/>
          <w:tab w:val="clear" w:pos="9000"/>
        </w:tabs>
        <w:spacing w:after="120"/>
        <w:ind w:left="714" w:hanging="357"/>
        <w:jc w:val="left"/>
        <w:rPr>
          <w:rFonts w:ascii="Arial" w:hAnsi="Arial" w:cs="Arial"/>
          <w:sz w:val="22"/>
          <w:szCs w:val="22"/>
          <w:lang w:eastAsia="en-US"/>
        </w:rPr>
      </w:pPr>
      <w:r w:rsidRPr="00EE2702">
        <w:rPr>
          <w:rFonts w:ascii="Arial" w:hAnsi="Arial" w:cs="Arial"/>
          <w:sz w:val="22"/>
          <w:szCs w:val="22"/>
        </w:rPr>
        <w:t xml:space="preserve">Gloucestershire County Council </w:t>
      </w:r>
    </w:p>
    <w:p w14:paraId="0510C56E" w14:textId="77777777" w:rsidR="009A443B" w:rsidRPr="00EE2702" w:rsidRDefault="009A443B" w:rsidP="00EE2702">
      <w:pPr>
        <w:pStyle w:val="ListParagraph"/>
        <w:numPr>
          <w:ilvl w:val="0"/>
          <w:numId w:val="45"/>
        </w:numPr>
        <w:tabs>
          <w:tab w:val="clear" w:pos="720"/>
          <w:tab w:val="clear" w:pos="1440"/>
          <w:tab w:val="clear" w:pos="2160"/>
          <w:tab w:val="clear" w:pos="2880"/>
          <w:tab w:val="clear" w:pos="4680"/>
          <w:tab w:val="clear" w:pos="5400"/>
          <w:tab w:val="clear" w:pos="9000"/>
        </w:tabs>
        <w:spacing w:after="120"/>
        <w:ind w:left="714" w:hanging="357"/>
        <w:jc w:val="left"/>
        <w:rPr>
          <w:rFonts w:ascii="Arial" w:hAnsi="Arial" w:cs="Arial"/>
          <w:sz w:val="22"/>
          <w:szCs w:val="22"/>
        </w:rPr>
      </w:pPr>
      <w:r w:rsidRPr="00EE2702">
        <w:rPr>
          <w:rFonts w:ascii="Arial" w:hAnsi="Arial" w:cs="Arial"/>
          <w:sz w:val="22"/>
          <w:szCs w:val="22"/>
        </w:rPr>
        <w:t>Gloucester City Council</w:t>
      </w:r>
    </w:p>
    <w:p w14:paraId="6F72CD8C" w14:textId="77777777" w:rsidR="009A443B" w:rsidRPr="00EE2702" w:rsidRDefault="009A443B" w:rsidP="00EE2702">
      <w:pPr>
        <w:pStyle w:val="ListParagraph"/>
        <w:numPr>
          <w:ilvl w:val="0"/>
          <w:numId w:val="45"/>
        </w:numPr>
        <w:tabs>
          <w:tab w:val="clear" w:pos="720"/>
          <w:tab w:val="clear" w:pos="1440"/>
          <w:tab w:val="clear" w:pos="2160"/>
          <w:tab w:val="clear" w:pos="2880"/>
          <w:tab w:val="clear" w:pos="4680"/>
          <w:tab w:val="clear" w:pos="5400"/>
          <w:tab w:val="clear" w:pos="9000"/>
        </w:tabs>
        <w:spacing w:after="120"/>
        <w:ind w:left="714" w:hanging="357"/>
        <w:jc w:val="left"/>
        <w:rPr>
          <w:rFonts w:ascii="Arial" w:hAnsi="Arial" w:cs="Arial"/>
          <w:sz w:val="22"/>
          <w:szCs w:val="22"/>
        </w:rPr>
      </w:pPr>
      <w:r w:rsidRPr="00EE2702">
        <w:rPr>
          <w:rFonts w:ascii="Arial" w:hAnsi="Arial" w:cs="Arial"/>
          <w:sz w:val="22"/>
          <w:szCs w:val="22"/>
        </w:rPr>
        <w:t>Cheltenham Borough Council</w:t>
      </w:r>
    </w:p>
    <w:p w14:paraId="224463BB" w14:textId="77777777" w:rsidR="009A443B" w:rsidRPr="00EE2702" w:rsidRDefault="009A443B" w:rsidP="00EE2702">
      <w:pPr>
        <w:pStyle w:val="ListParagraph"/>
        <w:numPr>
          <w:ilvl w:val="0"/>
          <w:numId w:val="45"/>
        </w:numPr>
        <w:tabs>
          <w:tab w:val="clear" w:pos="720"/>
          <w:tab w:val="clear" w:pos="1440"/>
          <w:tab w:val="clear" w:pos="2160"/>
          <w:tab w:val="clear" w:pos="2880"/>
          <w:tab w:val="clear" w:pos="4680"/>
          <w:tab w:val="clear" w:pos="5400"/>
          <w:tab w:val="clear" w:pos="9000"/>
        </w:tabs>
        <w:spacing w:after="120"/>
        <w:ind w:left="714" w:hanging="357"/>
        <w:jc w:val="left"/>
        <w:rPr>
          <w:rFonts w:ascii="Arial" w:hAnsi="Arial" w:cs="Arial"/>
          <w:sz w:val="22"/>
          <w:szCs w:val="22"/>
        </w:rPr>
      </w:pPr>
      <w:r w:rsidRPr="00EE2702">
        <w:rPr>
          <w:rFonts w:ascii="Arial" w:hAnsi="Arial" w:cs="Arial"/>
          <w:sz w:val="22"/>
          <w:szCs w:val="22"/>
        </w:rPr>
        <w:t>Cotswold District Council</w:t>
      </w:r>
    </w:p>
    <w:p w14:paraId="34B2B7C1" w14:textId="77777777" w:rsidR="009A443B" w:rsidRPr="00EE2702" w:rsidRDefault="009A443B" w:rsidP="00EE2702">
      <w:pPr>
        <w:pStyle w:val="ListParagraph"/>
        <w:numPr>
          <w:ilvl w:val="0"/>
          <w:numId w:val="45"/>
        </w:numPr>
        <w:tabs>
          <w:tab w:val="clear" w:pos="720"/>
          <w:tab w:val="clear" w:pos="1440"/>
          <w:tab w:val="clear" w:pos="2160"/>
          <w:tab w:val="clear" w:pos="2880"/>
          <w:tab w:val="clear" w:pos="4680"/>
          <w:tab w:val="clear" w:pos="5400"/>
          <w:tab w:val="clear" w:pos="9000"/>
        </w:tabs>
        <w:spacing w:after="120"/>
        <w:ind w:left="714" w:hanging="357"/>
        <w:jc w:val="left"/>
        <w:rPr>
          <w:rFonts w:ascii="Arial" w:hAnsi="Arial" w:cs="Arial"/>
          <w:sz w:val="22"/>
          <w:szCs w:val="22"/>
        </w:rPr>
      </w:pPr>
      <w:r w:rsidRPr="00EE2702">
        <w:rPr>
          <w:rFonts w:ascii="Arial" w:hAnsi="Arial" w:cs="Arial"/>
          <w:sz w:val="22"/>
          <w:szCs w:val="22"/>
        </w:rPr>
        <w:t>Forest of Dean District Council</w:t>
      </w:r>
    </w:p>
    <w:p w14:paraId="47403124" w14:textId="77777777" w:rsidR="009A443B" w:rsidRPr="00EE2702" w:rsidRDefault="009A443B" w:rsidP="00EE2702">
      <w:pPr>
        <w:pStyle w:val="ListParagraph"/>
        <w:numPr>
          <w:ilvl w:val="0"/>
          <w:numId w:val="45"/>
        </w:numPr>
        <w:tabs>
          <w:tab w:val="clear" w:pos="720"/>
          <w:tab w:val="clear" w:pos="1440"/>
          <w:tab w:val="clear" w:pos="2160"/>
          <w:tab w:val="clear" w:pos="2880"/>
          <w:tab w:val="clear" w:pos="4680"/>
          <w:tab w:val="clear" w:pos="5400"/>
          <w:tab w:val="clear" w:pos="9000"/>
        </w:tabs>
        <w:spacing w:after="120"/>
        <w:ind w:left="714" w:hanging="357"/>
        <w:jc w:val="left"/>
        <w:rPr>
          <w:rFonts w:ascii="Arial" w:hAnsi="Arial" w:cs="Arial"/>
          <w:sz w:val="22"/>
          <w:szCs w:val="22"/>
        </w:rPr>
      </w:pPr>
      <w:r w:rsidRPr="00EE2702">
        <w:rPr>
          <w:rFonts w:ascii="Arial" w:hAnsi="Arial" w:cs="Arial"/>
          <w:sz w:val="22"/>
          <w:szCs w:val="22"/>
        </w:rPr>
        <w:t>Tewkesbury Borough Council</w:t>
      </w:r>
    </w:p>
    <w:p w14:paraId="04AA1D9B" w14:textId="77777777" w:rsidR="009A443B" w:rsidRPr="00EE2702" w:rsidRDefault="009A443B" w:rsidP="00EE2702">
      <w:pPr>
        <w:pStyle w:val="ListParagraph"/>
        <w:numPr>
          <w:ilvl w:val="0"/>
          <w:numId w:val="45"/>
        </w:numPr>
        <w:tabs>
          <w:tab w:val="clear" w:pos="720"/>
          <w:tab w:val="clear" w:pos="1440"/>
          <w:tab w:val="clear" w:pos="2160"/>
          <w:tab w:val="clear" w:pos="2880"/>
          <w:tab w:val="clear" w:pos="4680"/>
          <w:tab w:val="clear" w:pos="5400"/>
          <w:tab w:val="clear" w:pos="9000"/>
        </w:tabs>
        <w:spacing w:after="120"/>
        <w:ind w:left="714" w:hanging="357"/>
        <w:jc w:val="left"/>
        <w:rPr>
          <w:rFonts w:ascii="Arial" w:hAnsi="Arial" w:cs="Arial"/>
          <w:sz w:val="22"/>
          <w:szCs w:val="22"/>
        </w:rPr>
      </w:pPr>
      <w:r w:rsidRPr="00EE2702">
        <w:rPr>
          <w:rFonts w:ascii="Arial" w:hAnsi="Arial" w:cs="Arial"/>
          <w:sz w:val="22"/>
          <w:szCs w:val="22"/>
        </w:rPr>
        <w:t>Stroud District Council</w:t>
      </w:r>
    </w:p>
    <w:p w14:paraId="037BDF90" w14:textId="77777777" w:rsidR="0071568B" w:rsidRDefault="0071568B" w:rsidP="0071568B">
      <w:pPr>
        <w:spacing w:after="120"/>
        <w:rPr>
          <w:rFonts w:cs="Arial"/>
          <w:sz w:val="22"/>
          <w:szCs w:val="22"/>
        </w:rPr>
      </w:pPr>
    </w:p>
    <w:p w14:paraId="423C422C" w14:textId="6DA916F2" w:rsidR="0071568B" w:rsidRDefault="00646461" w:rsidP="0071568B">
      <w:pPr>
        <w:spacing w:after="120"/>
        <w:rPr>
          <w:color w:val="000000"/>
          <w:lang w:eastAsia="en-GB"/>
        </w:rPr>
      </w:pPr>
      <w:r>
        <w:rPr>
          <w:rFonts w:cs="Arial"/>
          <w:b/>
          <w:bCs/>
          <w:sz w:val="22"/>
          <w:szCs w:val="22"/>
        </w:rPr>
        <w:t>N</w:t>
      </w:r>
      <w:r w:rsidR="0071568B" w:rsidRPr="58CE3C60">
        <w:rPr>
          <w:rFonts w:cs="Arial"/>
          <w:b/>
          <w:bCs/>
          <w:sz w:val="22"/>
          <w:szCs w:val="22"/>
        </w:rPr>
        <w:t>umber of installations:</w:t>
      </w:r>
      <w:r w:rsidR="0071568B" w:rsidRPr="58CE3C60">
        <w:rPr>
          <w:rFonts w:cs="Arial"/>
          <w:sz w:val="22"/>
          <w:szCs w:val="22"/>
        </w:rPr>
        <w:t xml:space="preserve"> </w:t>
      </w:r>
      <w:r>
        <w:rPr>
          <w:color w:val="000000"/>
          <w:lang w:eastAsia="en-GB"/>
        </w:rPr>
        <w:t>406</w:t>
      </w:r>
    </w:p>
    <w:p w14:paraId="4D8506E4" w14:textId="68989ADE" w:rsidR="002624DB" w:rsidRDefault="002624DB" w:rsidP="005131E3">
      <w:pPr>
        <w:spacing w:line="257" w:lineRule="auto"/>
        <w:rPr>
          <w:color w:val="000000"/>
          <w:sz w:val="22"/>
          <w:szCs w:val="22"/>
          <w:lang w:eastAsia="en-GB"/>
        </w:rPr>
      </w:pPr>
      <w:r w:rsidRPr="002624DB">
        <w:rPr>
          <w:color w:val="000000"/>
          <w:sz w:val="22"/>
          <w:szCs w:val="22"/>
          <w:lang w:eastAsia="en-GB"/>
        </w:rPr>
        <w:t xml:space="preserve">Number of installations is based on completing only owner occupier properties and with an average total spend of £10,000 per property. </w:t>
      </w:r>
      <w:r>
        <w:rPr>
          <w:color w:val="000000"/>
          <w:sz w:val="22"/>
          <w:szCs w:val="22"/>
          <w:lang w:eastAsia="en-GB"/>
        </w:rPr>
        <w:t>It is likely that the numbers will be made up of a mixture of owner occupier, social and private rental properties and therefore these numbers are at the lower end of the spectrum</w:t>
      </w:r>
      <w:r w:rsidR="005131E3">
        <w:rPr>
          <w:color w:val="000000"/>
          <w:sz w:val="22"/>
          <w:szCs w:val="22"/>
          <w:lang w:eastAsia="en-GB"/>
        </w:rPr>
        <w:t>.</w:t>
      </w:r>
    </w:p>
    <w:p w14:paraId="417A1B21" w14:textId="046F8AB9" w:rsidR="00032AF7" w:rsidRDefault="00032AF7" w:rsidP="005131E3">
      <w:pPr>
        <w:spacing w:line="257" w:lineRule="auto"/>
        <w:rPr>
          <w:color w:val="000000"/>
          <w:sz w:val="22"/>
          <w:szCs w:val="22"/>
          <w:lang w:eastAsia="en-GB"/>
        </w:rPr>
      </w:pPr>
    </w:p>
    <w:p w14:paraId="78442050" w14:textId="28ECA9BB" w:rsidR="00032AF7" w:rsidRPr="00032AF7" w:rsidRDefault="00032AF7" w:rsidP="005131E3">
      <w:pPr>
        <w:spacing w:line="257" w:lineRule="auto"/>
        <w:rPr>
          <w:rFonts w:eastAsia="Calibri" w:cs="Arial"/>
          <w:b/>
          <w:sz w:val="22"/>
          <w:szCs w:val="22"/>
        </w:rPr>
      </w:pPr>
      <w:r w:rsidRPr="00032AF7">
        <w:rPr>
          <w:rFonts w:eastAsia="Calibri" w:cs="Arial"/>
          <w:b/>
          <w:sz w:val="22"/>
          <w:szCs w:val="22"/>
        </w:rPr>
        <w:t xml:space="preserve">Potential market </w:t>
      </w:r>
    </w:p>
    <w:p w14:paraId="3F0B1F73" w14:textId="2CE31BA2" w:rsidR="00002FDD" w:rsidRPr="00646461" w:rsidRDefault="00002FDD" w:rsidP="005131E3">
      <w:pPr>
        <w:spacing w:line="257" w:lineRule="auto"/>
        <w:rPr>
          <w:rFonts w:eastAsia="Calibri" w:cs="Arial"/>
          <w:sz w:val="22"/>
          <w:szCs w:val="22"/>
        </w:rPr>
      </w:pPr>
      <w:r w:rsidRPr="3B6BD473">
        <w:rPr>
          <w:rFonts w:eastAsia="Calibri" w:cs="Arial"/>
          <w:sz w:val="22"/>
          <w:szCs w:val="22"/>
        </w:rPr>
        <w:t xml:space="preserve">The </w:t>
      </w:r>
      <w:proofErr w:type="spellStart"/>
      <w:r w:rsidR="00B23088" w:rsidRPr="3B6BD473">
        <w:rPr>
          <w:rFonts w:eastAsia="Calibri" w:cs="Arial"/>
          <w:sz w:val="22"/>
          <w:szCs w:val="22"/>
        </w:rPr>
        <w:t>GFirst</w:t>
      </w:r>
      <w:proofErr w:type="spellEnd"/>
      <w:r w:rsidRPr="3B6BD473">
        <w:rPr>
          <w:rFonts w:eastAsia="Calibri" w:cs="Arial"/>
          <w:sz w:val="22"/>
          <w:szCs w:val="22"/>
        </w:rPr>
        <w:t xml:space="preserve"> LEP</w:t>
      </w:r>
      <w:r w:rsidR="00B23088" w:rsidRPr="3B6BD473">
        <w:rPr>
          <w:rFonts w:eastAsia="Calibri" w:cs="Arial"/>
          <w:sz w:val="22"/>
          <w:szCs w:val="22"/>
        </w:rPr>
        <w:t xml:space="preserve"> area</w:t>
      </w:r>
      <w:r w:rsidRPr="3B6BD473">
        <w:rPr>
          <w:rFonts w:eastAsia="Calibri" w:cs="Arial"/>
          <w:sz w:val="22"/>
          <w:szCs w:val="22"/>
        </w:rPr>
        <w:t xml:space="preserve"> contains likely </w:t>
      </w:r>
      <w:r w:rsidR="00401395" w:rsidRPr="3B6BD473">
        <w:rPr>
          <w:rFonts w:eastAsia="Calibri" w:cs="Arial"/>
          <w:color w:val="000000" w:themeColor="text1"/>
          <w:sz w:val="22"/>
          <w:szCs w:val="22"/>
        </w:rPr>
        <w:t>198</w:t>
      </w:r>
      <w:r w:rsidR="00BC26BA" w:rsidRPr="3B6BD473">
        <w:rPr>
          <w:rFonts w:eastAsia="Calibri" w:cs="Arial"/>
          <w:color w:val="000000" w:themeColor="text1"/>
          <w:sz w:val="22"/>
          <w:szCs w:val="22"/>
        </w:rPr>
        <w:t>,000</w:t>
      </w:r>
      <w:r w:rsidRPr="3B6BD473">
        <w:rPr>
          <w:rFonts w:eastAsia="Calibri" w:cs="Arial"/>
          <w:color w:val="000000" w:themeColor="text1"/>
          <w:sz w:val="22"/>
          <w:szCs w:val="22"/>
        </w:rPr>
        <w:t xml:space="preserve"> properties rated EPC ‘D’ or below. Of these in the region of </w:t>
      </w:r>
      <w:r w:rsidR="00401395" w:rsidRPr="3B6BD473">
        <w:rPr>
          <w:rFonts w:eastAsia="Calibri" w:cs="Arial"/>
          <w:color w:val="000000" w:themeColor="text1"/>
          <w:sz w:val="22"/>
          <w:szCs w:val="22"/>
        </w:rPr>
        <w:t>2</w:t>
      </w:r>
      <w:r w:rsidR="00BC26BA" w:rsidRPr="3B6BD473">
        <w:rPr>
          <w:rFonts w:eastAsia="Calibri" w:cs="Arial"/>
          <w:color w:val="000000" w:themeColor="text1"/>
          <w:sz w:val="22"/>
          <w:szCs w:val="22"/>
        </w:rPr>
        <w:t>7,000</w:t>
      </w:r>
      <w:r w:rsidRPr="3B6BD473">
        <w:rPr>
          <w:rFonts w:eastAsia="Calibri" w:cs="Arial"/>
          <w:color w:val="000000" w:themeColor="text1"/>
          <w:sz w:val="22"/>
          <w:szCs w:val="22"/>
        </w:rPr>
        <w:t xml:space="preserve"> are in areas where there is</w:t>
      </w:r>
      <w:r w:rsidRPr="3B6BD473">
        <w:rPr>
          <w:rFonts w:eastAsia="Calibri" w:cs="Arial"/>
          <w:sz w:val="22"/>
          <w:szCs w:val="22"/>
        </w:rPr>
        <w:t xml:space="preserve"> a higher likelihood that households will fall within the scheme’s </w:t>
      </w:r>
      <w:r w:rsidR="7CF2D600" w:rsidRPr="3B6BD473">
        <w:rPr>
          <w:rFonts w:eastAsia="Calibri" w:cs="Arial"/>
          <w:sz w:val="22"/>
          <w:szCs w:val="22"/>
        </w:rPr>
        <w:t>income-based</w:t>
      </w:r>
      <w:r w:rsidRPr="3B6BD473">
        <w:rPr>
          <w:rFonts w:eastAsia="Calibri" w:cs="Arial"/>
          <w:sz w:val="22"/>
          <w:szCs w:val="22"/>
        </w:rPr>
        <w:t xml:space="preserve"> eligibility criteria. </w:t>
      </w:r>
    </w:p>
    <w:p w14:paraId="28C253AC" w14:textId="77777777" w:rsidR="00002FDD" w:rsidRPr="00646461" w:rsidRDefault="00002FDD" w:rsidP="00002FDD">
      <w:pPr>
        <w:spacing w:line="257" w:lineRule="auto"/>
        <w:rPr>
          <w:rFonts w:eastAsia="Calibri" w:cs="Arial"/>
          <w:sz w:val="22"/>
          <w:szCs w:val="22"/>
        </w:rPr>
      </w:pPr>
    </w:p>
    <w:p w14:paraId="4210BF9B" w14:textId="4D64A0CA" w:rsidR="00002FDD" w:rsidRPr="00646461" w:rsidRDefault="00002FDD" w:rsidP="00002FDD">
      <w:pPr>
        <w:spacing w:line="257" w:lineRule="auto"/>
        <w:rPr>
          <w:rFonts w:eastAsia="Calibri" w:cs="Arial"/>
          <w:sz w:val="22"/>
          <w:szCs w:val="22"/>
        </w:rPr>
      </w:pPr>
      <w:proofErr w:type="gramStart"/>
      <w:r w:rsidRPr="00646461">
        <w:rPr>
          <w:rFonts w:eastAsia="Calibri" w:cs="Arial"/>
          <w:sz w:val="22"/>
          <w:szCs w:val="22"/>
        </w:rPr>
        <w:t>By definition of</w:t>
      </w:r>
      <w:proofErr w:type="gramEnd"/>
      <w:r w:rsidRPr="00646461">
        <w:rPr>
          <w:rFonts w:eastAsia="Calibri" w:cs="Arial"/>
          <w:sz w:val="22"/>
          <w:szCs w:val="22"/>
        </w:rPr>
        <w:t xml:space="preserve"> being EPC band ‘D’ or below, many of these properties will benefit from one or more of the eligible measures that can be delivered through the scheme. Table 1 below shows the number of households in the </w:t>
      </w:r>
      <w:proofErr w:type="spellStart"/>
      <w:r w:rsidR="00B23088" w:rsidRPr="00646461">
        <w:rPr>
          <w:rFonts w:eastAsia="Calibri" w:cs="Arial"/>
          <w:sz w:val="22"/>
          <w:szCs w:val="22"/>
        </w:rPr>
        <w:t>GFirst</w:t>
      </w:r>
      <w:proofErr w:type="spellEnd"/>
      <w:r w:rsidR="00B23088" w:rsidRPr="00646461">
        <w:rPr>
          <w:rFonts w:eastAsia="Calibri" w:cs="Arial"/>
          <w:sz w:val="22"/>
          <w:szCs w:val="22"/>
        </w:rPr>
        <w:t xml:space="preserve"> area</w:t>
      </w:r>
      <w:r w:rsidRPr="00646461">
        <w:rPr>
          <w:rFonts w:eastAsia="Calibri" w:cs="Arial"/>
          <w:sz w:val="22"/>
          <w:szCs w:val="22"/>
        </w:rPr>
        <w:t xml:space="preserve"> that would benefit from some of the schemes keys measures that are likely to be EPC band D or below. Additionally, it shows where those households are also in areas more likely to meet the schemes income eligibility criteria:</w:t>
      </w:r>
    </w:p>
    <w:p w14:paraId="17937A26" w14:textId="77777777" w:rsidR="00002FDD" w:rsidRDefault="00002FDD" w:rsidP="00002FDD">
      <w:pPr>
        <w:spacing w:line="257" w:lineRule="auto"/>
        <w:rPr>
          <w:rFonts w:ascii="Calibri" w:eastAsia="Calibri" w:hAnsi="Calibri" w:cs="Calibri"/>
          <w:sz w:val="22"/>
          <w:szCs w:val="22"/>
        </w:rPr>
      </w:pPr>
    </w:p>
    <w:p w14:paraId="0FC1B94F" w14:textId="50534A5C" w:rsidR="00002FDD" w:rsidRPr="008F43FF" w:rsidRDefault="00002FDD" w:rsidP="00002FDD">
      <w:pPr>
        <w:spacing w:line="257" w:lineRule="auto"/>
        <w:rPr>
          <w:rFonts w:eastAsia="Calibri" w:cs="Arial"/>
          <w:b/>
          <w:bCs/>
          <w:sz w:val="22"/>
          <w:szCs w:val="22"/>
        </w:rPr>
      </w:pPr>
      <w:r w:rsidRPr="008F43FF">
        <w:rPr>
          <w:rFonts w:eastAsia="Calibri" w:cs="Arial"/>
          <w:b/>
          <w:bCs/>
          <w:sz w:val="22"/>
          <w:szCs w:val="22"/>
        </w:rPr>
        <w:t>Table 1 – Likely eligible households appropriate for key scheme measures</w:t>
      </w:r>
    </w:p>
    <w:tbl>
      <w:tblPr>
        <w:tblW w:w="5000" w:type="pct"/>
        <w:tblLook w:val="04A0" w:firstRow="1" w:lastRow="0" w:firstColumn="1" w:lastColumn="0" w:noHBand="0" w:noVBand="1"/>
      </w:tblPr>
      <w:tblGrid>
        <w:gridCol w:w="3474"/>
        <w:gridCol w:w="2835"/>
        <w:gridCol w:w="2933"/>
      </w:tblGrid>
      <w:tr w:rsidR="00E51156" w:rsidRPr="008F43FF" w14:paraId="01FD7ACA" w14:textId="77777777" w:rsidTr="3B6BD473">
        <w:trPr>
          <w:trHeight w:val="300"/>
        </w:trPr>
        <w:tc>
          <w:tcPr>
            <w:tcW w:w="5000" w:type="pct"/>
            <w:gridSpan w:val="3"/>
            <w:tcBorders>
              <w:top w:val="single" w:sz="8" w:space="0" w:color="auto"/>
              <w:left w:val="single" w:sz="8" w:space="0" w:color="auto"/>
              <w:bottom w:val="single" w:sz="8" w:space="0" w:color="auto"/>
              <w:right w:val="single" w:sz="8" w:space="0" w:color="000000" w:themeColor="text1"/>
            </w:tcBorders>
            <w:shd w:val="clear" w:color="auto" w:fill="auto"/>
            <w:noWrap/>
            <w:vAlign w:val="bottom"/>
            <w:hideMark/>
          </w:tcPr>
          <w:p w14:paraId="0EFC5960" w14:textId="73B8BF3E" w:rsidR="00E51156" w:rsidRPr="008F43FF" w:rsidRDefault="00E51156" w:rsidP="00E51156">
            <w:pPr>
              <w:tabs>
                <w:tab w:val="clear" w:pos="720"/>
                <w:tab w:val="clear" w:pos="1440"/>
                <w:tab w:val="clear" w:pos="2160"/>
                <w:tab w:val="clear" w:pos="2880"/>
                <w:tab w:val="clear" w:pos="4680"/>
                <w:tab w:val="clear" w:pos="5400"/>
                <w:tab w:val="clear" w:pos="9000"/>
              </w:tabs>
              <w:spacing w:line="240" w:lineRule="auto"/>
              <w:jc w:val="center"/>
              <w:rPr>
                <w:rFonts w:cs="Arial"/>
                <w:color w:val="000000"/>
                <w:sz w:val="22"/>
                <w:szCs w:val="22"/>
                <w:lang w:eastAsia="en-GB"/>
              </w:rPr>
            </w:pPr>
            <w:proofErr w:type="spellStart"/>
            <w:r w:rsidRPr="008F43FF">
              <w:rPr>
                <w:rFonts w:cs="Arial"/>
                <w:color w:val="000000"/>
                <w:sz w:val="22"/>
                <w:szCs w:val="22"/>
                <w:lang w:eastAsia="en-GB"/>
              </w:rPr>
              <w:t>G</w:t>
            </w:r>
            <w:r w:rsidR="00821A9E" w:rsidRPr="008F43FF">
              <w:rPr>
                <w:rFonts w:cs="Arial"/>
                <w:color w:val="000000"/>
                <w:sz w:val="22"/>
                <w:szCs w:val="22"/>
                <w:lang w:eastAsia="en-GB"/>
              </w:rPr>
              <w:t>F</w:t>
            </w:r>
            <w:r w:rsidRPr="008F43FF">
              <w:rPr>
                <w:rFonts w:cs="Arial"/>
                <w:color w:val="000000"/>
                <w:sz w:val="22"/>
                <w:szCs w:val="22"/>
                <w:lang w:eastAsia="en-GB"/>
              </w:rPr>
              <w:t>irst</w:t>
            </w:r>
            <w:proofErr w:type="spellEnd"/>
            <w:r w:rsidRPr="008F43FF">
              <w:rPr>
                <w:rFonts w:cs="Arial"/>
                <w:color w:val="000000"/>
                <w:sz w:val="22"/>
                <w:szCs w:val="22"/>
                <w:lang w:eastAsia="en-GB"/>
              </w:rPr>
              <w:t xml:space="preserve"> LEP</w:t>
            </w:r>
          </w:p>
        </w:tc>
      </w:tr>
      <w:tr w:rsidR="00E51156" w:rsidRPr="008F43FF" w14:paraId="1789EF7D" w14:textId="77777777" w:rsidTr="3B6BD473">
        <w:trPr>
          <w:trHeight w:val="1452"/>
        </w:trPr>
        <w:tc>
          <w:tcPr>
            <w:tcW w:w="1879" w:type="pct"/>
            <w:tcBorders>
              <w:top w:val="nil"/>
              <w:left w:val="single" w:sz="8" w:space="0" w:color="auto"/>
              <w:bottom w:val="single" w:sz="8" w:space="0" w:color="auto"/>
              <w:right w:val="single" w:sz="8" w:space="0" w:color="auto"/>
            </w:tcBorders>
            <w:shd w:val="clear" w:color="auto" w:fill="auto"/>
            <w:vAlign w:val="center"/>
            <w:hideMark/>
          </w:tcPr>
          <w:p w14:paraId="745C52B9" w14:textId="77777777" w:rsidR="00E51156" w:rsidRPr="008F43FF" w:rsidRDefault="00E51156" w:rsidP="00E51156">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008F43FF">
              <w:rPr>
                <w:rFonts w:cs="Arial"/>
                <w:b/>
                <w:bCs/>
                <w:color w:val="000000"/>
                <w:sz w:val="22"/>
                <w:szCs w:val="22"/>
                <w:lang w:eastAsia="en-GB"/>
              </w:rPr>
              <w:t xml:space="preserve">Suitable measures </w:t>
            </w:r>
            <w:r w:rsidRPr="008F43FF">
              <w:rPr>
                <w:rFonts w:cs="Arial"/>
                <w:color w:val="000000"/>
                <w:sz w:val="18"/>
                <w:szCs w:val="18"/>
                <w:lang w:eastAsia="en-GB"/>
              </w:rPr>
              <w:t>i.e. appropriate construction with low carbon measure not yet in place</w:t>
            </w:r>
            <w:r w:rsidRPr="008F43FF">
              <w:rPr>
                <w:rFonts w:cs="Arial"/>
                <w:b/>
                <w:bCs/>
                <w:color w:val="000000"/>
                <w:sz w:val="22"/>
                <w:szCs w:val="22"/>
                <w:lang w:eastAsia="en-GB"/>
              </w:rPr>
              <w:t xml:space="preserve"> </w:t>
            </w:r>
          </w:p>
        </w:tc>
        <w:tc>
          <w:tcPr>
            <w:tcW w:w="1534" w:type="pct"/>
            <w:tcBorders>
              <w:top w:val="nil"/>
              <w:left w:val="nil"/>
              <w:bottom w:val="single" w:sz="8" w:space="0" w:color="auto"/>
              <w:right w:val="single" w:sz="8" w:space="0" w:color="auto"/>
            </w:tcBorders>
            <w:shd w:val="clear" w:color="auto" w:fill="auto"/>
            <w:vAlign w:val="center"/>
            <w:hideMark/>
          </w:tcPr>
          <w:p w14:paraId="14DE7E05" w14:textId="77777777" w:rsidR="00E51156" w:rsidRPr="008F43FF" w:rsidRDefault="00E51156" w:rsidP="00E51156">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008F43FF">
              <w:rPr>
                <w:rFonts w:cs="Arial"/>
                <w:b/>
                <w:bCs/>
                <w:color w:val="000000"/>
                <w:sz w:val="22"/>
                <w:szCs w:val="22"/>
                <w:lang w:eastAsia="en-GB"/>
              </w:rPr>
              <w:t xml:space="preserve">Number of likely eligible households - </w:t>
            </w:r>
            <w:r w:rsidRPr="008F43FF">
              <w:rPr>
                <w:rFonts w:cs="Arial"/>
                <w:color w:val="000000"/>
                <w:sz w:val="22"/>
                <w:szCs w:val="22"/>
                <w:lang w:eastAsia="en-GB"/>
              </w:rPr>
              <w:t>EPC 'D' or below</w:t>
            </w:r>
          </w:p>
        </w:tc>
        <w:tc>
          <w:tcPr>
            <w:tcW w:w="1586" w:type="pct"/>
            <w:tcBorders>
              <w:top w:val="nil"/>
              <w:left w:val="nil"/>
              <w:bottom w:val="single" w:sz="8" w:space="0" w:color="auto"/>
              <w:right w:val="single" w:sz="8" w:space="0" w:color="auto"/>
            </w:tcBorders>
            <w:shd w:val="clear" w:color="auto" w:fill="auto"/>
            <w:vAlign w:val="center"/>
            <w:hideMark/>
          </w:tcPr>
          <w:p w14:paraId="36954522" w14:textId="7DAC121F" w:rsidR="00E51156" w:rsidRPr="008F43FF" w:rsidRDefault="5B11D847" w:rsidP="00E51156">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3B6BD473">
              <w:rPr>
                <w:rFonts w:cs="Arial"/>
                <w:b/>
                <w:bCs/>
                <w:color w:val="000000" w:themeColor="text1"/>
                <w:sz w:val="22"/>
                <w:szCs w:val="22"/>
                <w:lang w:eastAsia="en-GB"/>
              </w:rPr>
              <w:t xml:space="preserve">Number of likely eligible households - </w:t>
            </w:r>
            <w:r w:rsidRPr="3B6BD473">
              <w:rPr>
                <w:rFonts w:cs="Arial"/>
                <w:color w:val="000000" w:themeColor="text1"/>
                <w:sz w:val="22"/>
                <w:szCs w:val="22"/>
                <w:lang w:eastAsia="en-GB"/>
              </w:rPr>
              <w:t xml:space="preserve">EPC 'D' or below </w:t>
            </w:r>
            <w:r w:rsidRPr="3B6BD473">
              <w:rPr>
                <w:rFonts w:cs="Arial"/>
                <w:b/>
                <w:bCs/>
                <w:color w:val="000000" w:themeColor="text1"/>
                <w:sz w:val="22"/>
                <w:szCs w:val="22"/>
                <w:lang w:eastAsia="en-GB"/>
              </w:rPr>
              <w:t xml:space="preserve">&amp; </w:t>
            </w:r>
            <w:r w:rsidR="62A0E2B2" w:rsidRPr="3B6BD473">
              <w:rPr>
                <w:rFonts w:cs="Arial"/>
                <w:color w:val="000000" w:themeColor="text1"/>
                <w:sz w:val="22"/>
                <w:szCs w:val="22"/>
                <w:lang w:eastAsia="en-GB"/>
              </w:rPr>
              <w:t>low-income</w:t>
            </w:r>
            <w:r w:rsidRPr="3B6BD473">
              <w:rPr>
                <w:rFonts w:cs="Arial"/>
                <w:color w:val="000000" w:themeColor="text1"/>
                <w:sz w:val="22"/>
                <w:szCs w:val="22"/>
                <w:lang w:eastAsia="en-GB"/>
              </w:rPr>
              <w:t xml:space="preserve"> proxy</w:t>
            </w:r>
          </w:p>
        </w:tc>
      </w:tr>
      <w:tr w:rsidR="00E51156" w:rsidRPr="008F43FF" w14:paraId="26AC5EA8"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21B5427D" w14:textId="77777777" w:rsidR="00E51156" w:rsidRPr="008F43FF" w:rsidRDefault="00E51156" w:rsidP="00E5115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8F43FF">
              <w:rPr>
                <w:rFonts w:cs="Arial"/>
                <w:color w:val="000000"/>
                <w:sz w:val="22"/>
                <w:szCs w:val="22"/>
                <w:lang w:eastAsia="en-GB"/>
              </w:rPr>
              <w:t xml:space="preserve">Cavity wall insulation </w:t>
            </w:r>
          </w:p>
        </w:tc>
        <w:tc>
          <w:tcPr>
            <w:tcW w:w="1534" w:type="pct"/>
            <w:tcBorders>
              <w:top w:val="nil"/>
              <w:left w:val="nil"/>
              <w:bottom w:val="single" w:sz="4" w:space="0" w:color="auto"/>
              <w:right w:val="single" w:sz="8" w:space="0" w:color="auto"/>
            </w:tcBorders>
            <w:shd w:val="clear" w:color="auto" w:fill="auto"/>
            <w:noWrap/>
            <w:vAlign w:val="bottom"/>
            <w:hideMark/>
          </w:tcPr>
          <w:p w14:paraId="41C4721A" w14:textId="77777777" w:rsidR="00E51156" w:rsidRPr="008F43FF" w:rsidRDefault="5B11D847"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37,505 </w:t>
            </w:r>
          </w:p>
        </w:tc>
        <w:tc>
          <w:tcPr>
            <w:tcW w:w="1586" w:type="pct"/>
            <w:tcBorders>
              <w:top w:val="nil"/>
              <w:left w:val="nil"/>
              <w:bottom w:val="single" w:sz="4" w:space="0" w:color="auto"/>
              <w:right w:val="single" w:sz="8" w:space="0" w:color="auto"/>
            </w:tcBorders>
            <w:shd w:val="clear" w:color="auto" w:fill="auto"/>
            <w:noWrap/>
            <w:vAlign w:val="bottom"/>
            <w:hideMark/>
          </w:tcPr>
          <w:p w14:paraId="285A2E3B" w14:textId="77777777" w:rsidR="00E51156" w:rsidRPr="008F43FF" w:rsidRDefault="5B11D847"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5,690 </w:t>
            </w:r>
          </w:p>
        </w:tc>
      </w:tr>
      <w:tr w:rsidR="00E51156" w:rsidRPr="008F43FF" w14:paraId="3221096A"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3DB828F9" w14:textId="77777777" w:rsidR="00E51156" w:rsidRPr="008F43FF" w:rsidRDefault="00E51156" w:rsidP="00E5115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8F43FF">
              <w:rPr>
                <w:rFonts w:cs="Arial"/>
                <w:color w:val="000000"/>
                <w:sz w:val="22"/>
                <w:szCs w:val="22"/>
                <w:lang w:eastAsia="en-GB"/>
              </w:rPr>
              <w:t xml:space="preserve">Solid wall insulation </w:t>
            </w:r>
          </w:p>
        </w:tc>
        <w:tc>
          <w:tcPr>
            <w:tcW w:w="1534" w:type="pct"/>
            <w:tcBorders>
              <w:top w:val="nil"/>
              <w:left w:val="nil"/>
              <w:bottom w:val="single" w:sz="4" w:space="0" w:color="auto"/>
              <w:right w:val="single" w:sz="8" w:space="0" w:color="auto"/>
            </w:tcBorders>
            <w:shd w:val="clear" w:color="auto" w:fill="auto"/>
            <w:noWrap/>
            <w:vAlign w:val="bottom"/>
            <w:hideMark/>
          </w:tcPr>
          <w:p w14:paraId="5D08BF68" w14:textId="77777777" w:rsidR="00E51156" w:rsidRPr="008F43FF" w:rsidRDefault="5B11D847"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58,346 </w:t>
            </w:r>
          </w:p>
        </w:tc>
        <w:tc>
          <w:tcPr>
            <w:tcW w:w="1586" w:type="pct"/>
            <w:tcBorders>
              <w:top w:val="nil"/>
              <w:left w:val="nil"/>
              <w:bottom w:val="single" w:sz="4" w:space="0" w:color="auto"/>
              <w:right w:val="single" w:sz="8" w:space="0" w:color="auto"/>
            </w:tcBorders>
            <w:shd w:val="clear" w:color="auto" w:fill="auto"/>
            <w:noWrap/>
            <w:vAlign w:val="bottom"/>
            <w:hideMark/>
          </w:tcPr>
          <w:p w14:paraId="33A3E8A6" w14:textId="77777777" w:rsidR="00E51156" w:rsidRPr="008F43FF" w:rsidRDefault="5B11D847"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11,184 </w:t>
            </w:r>
          </w:p>
        </w:tc>
      </w:tr>
      <w:tr w:rsidR="00E51156" w:rsidRPr="008F43FF" w14:paraId="27358CB3"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3872EA92" w14:textId="77777777" w:rsidR="00E51156" w:rsidRPr="008F43FF" w:rsidRDefault="00E51156" w:rsidP="00E5115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8F43FF">
              <w:rPr>
                <w:rFonts w:cs="Arial"/>
                <w:color w:val="000000"/>
                <w:sz w:val="22"/>
                <w:szCs w:val="22"/>
                <w:lang w:eastAsia="en-GB"/>
              </w:rPr>
              <w:t>Loft insulation</w:t>
            </w:r>
          </w:p>
        </w:tc>
        <w:tc>
          <w:tcPr>
            <w:tcW w:w="1534" w:type="pct"/>
            <w:tcBorders>
              <w:top w:val="nil"/>
              <w:left w:val="nil"/>
              <w:bottom w:val="single" w:sz="4" w:space="0" w:color="auto"/>
              <w:right w:val="single" w:sz="8" w:space="0" w:color="auto"/>
            </w:tcBorders>
            <w:shd w:val="clear" w:color="auto" w:fill="auto"/>
            <w:noWrap/>
            <w:vAlign w:val="bottom"/>
            <w:hideMark/>
          </w:tcPr>
          <w:p w14:paraId="2B9DAC52" w14:textId="77777777" w:rsidR="00E51156" w:rsidRPr="008F43FF" w:rsidRDefault="5B11D847"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111,431 </w:t>
            </w:r>
          </w:p>
        </w:tc>
        <w:tc>
          <w:tcPr>
            <w:tcW w:w="1586" w:type="pct"/>
            <w:tcBorders>
              <w:top w:val="nil"/>
              <w:left w:val="nil"/>
              <w:bottom w:val="single" w:sz="4" w:space="0" w:color="auto"/>
              <w:right w:val="single" w:sz="8" w:space="0" w:color="auto"/>
            </w:tcBorders>
            <w:shd w:val="clear" w:color="auto" w:fill="auto"/>
            <w:noWrap/>
            <w:vAlign w:val="bottom"/>
            <w:hideMark/>
          </w:tcPr>
          <w:p w14:paraId="5AE891FD" w14:textId="77777777" w:rsidR="00E51156" w:rsidRPr="008F43FF" w:rsidRDefault="5B11D847"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17,210 </w:t>
            </w:r>
          </w:p>
        </w:tc>
      </w:tr>
      <w:tr w:rsidR="00E51156" w:rsidRPr="008F43FF" w14:paraId="43AC6815"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4C63772F" w14:textId="77777777" w:rsidR="00E51156" w:rsidRPr="008F43FF" w:rsidRDefault="00E51156" w:rsidP="00E5115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8F43FF">
              <w:rPr>
                <w:rFonts w:cs="Arial"/>
                <w:color w:val="000000"/>
                <w:sz w:val="22"/>
                <w:szCs w:val="22"/>
                <w:lang w:eastAsia="en-GB"/>
              </w:rPr>
              <w:t xml:space="preserve">Floor insulation </w:t>
            </w:r>
          </w:p>
        </w:tc>
        <w:tc>
          <w:tcPr>
            <w:tcW w:w="1534" w:type="pct"/>
            <w:tcBorders>
              <w:top w:val="nil"/>
              <w:left w:val="nil"/>
              <w:bottom w:val="single" w:sz="4" w:space="0" w:color="auto"/>
              <w:right w:val="single" w:sz="8" w:space="0" w:color="auto"/>
            </w:tcBorders>
            <w:shd w:val="clear" w:color="auto" w:fill="auto"/>
            <w:noWrap/>
            <w:vAlign w:val="bottom"/>
            <w:hideMark/>
          </w:tcPr>
          <w:p w14:paraId="1EE01CD8" w14:textId="77777777" w:rsidR="00E51156" w:rsidRPr="008F43FF" w:rsidRDefault="5B11D847"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194,359 </w:t>
            </w:r>
          </w:p>
        </w:tc>
        <w:tc>
          <w:tcPr>
            <w:tcW w:w="1586" w:type="pct"/>
            <w:tcBorders>
              <w:top w:val="nil"/>
              <w:left w:val="nil"/>
              <w:bottom w:val="single" w:sz="4" w:space="0" w:color="auto"/>
              <w:right w:val="single" w:sz="8" w:space="0" w:color="auto"/>
            </w:tcBorders>
            <w:shd w:val="clear" w:color="auto" w:fill="auto"/>
            <w:noWrap/>
            <w:vAlign w:val="bottom"/>
            <w:hideMark/>
          </w:tcPr>
          <w:p w14:paraId="16BF4AFC" w14:textId="77777777" w:rsidR="00E51156" w:rsidRPr="008F43FF" w:rsidRDefault="5B11D847"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26,360 </w:t>
            </w:r>
          </w:p>
        </w:tc>
      </w:tr>
      <w:tr w:rsidR="00E51156" w:rsidRPr="008F43FF" w14:paraId="1FE37FC4"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4821D2DB" w14:textId="77777777" w:rsidR="00E51156" w:rsidRPr="008F43FF" w:rsidRDefault="00E51156" w:rsidP="00E5115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8F43FF">
              <w:rPr>
                <w:rFonts w:cs="Arial"/>
                <w:color w:val="000000"/>
                <w:sz w:val="22"/>
                <w:szCs w:val="22"/>
                <w:lang w:eastAsia="en-GB"/>
              </w:rPr>
              <w:t>Glazing upgrade</w:t>
            </w:r>
          </w:p>
        </w:tc>
        <w:tc>
          <w:tcPr>
            <w:tcW w:w="1534" w:type="pct"/>
            <w:tcBorders>
              <w:top w:val="nil"/>
              <w:left w:val="nil"/>
              <w:bottom w:val="single" w:sz="4" w:space="0" w:color="auto"/>
              <w:right w:val="single" w:sz="8" w:space="0" w:color="auto"/>
            </w:tcBorders>
            <w:shd w:val="clear" w:color="auto" w:fill="auto"/>
            <w:noWrap/>
            <w:vAlign w:val="bottom"/>
            <w:hideMark/>
          </w:tcPr>
          <w:p w14:paraId="54A3049B" w14:textId="77777777" w:rsidR="00E51156" w:rsidRPr="008F43FF" w:rsidRDefault="5B11D847"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25,665 </w:t>
            </w:r>
          </w:p>
        </w:tc>
        <w:tc>
          <w:tcPr>
            <w:tcW w:w="1586" w:type="pct"/>
            <w:tcBorders>
              <w:top w:val="nil"/>
              <w:left w:val="nil"/>
              <w:bottom w:val="single" w:sz="4" w:space="0" w:color="auto"/>
              <w:right w:val="single" w:sz="8" w:space="0" w:color="auto"/>
            </w:tcBorders>
            <w:shd w:val="clear" w:color="auto" w:fill="auto"/>
            <w:noWrap/>
            <w:vAlign w:val="bottom"/>
            <w:hideMark/>
          </w:tcPr>
          <w:p w14:paraId="0CF4A17A" w14:textId="77777777" w:rsidR="00E51156" w:rsidRPr="008F43FF" w:rsidRDefault="5B11D847"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4,403 </w:t>
            </w:r>
          </w:p>
        </w:tc>
      </w:tr>
      <w:tr w:rsidR="00E51156" w:rsidRPr="008F43FF" w14:paraId="3697FE61"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75A94FC0" w14:textId="77777777" w:rsidR="00E51156" w:rsidRPr="008F43FF" w:rsidRDefault="00E51156" w:rsidP="00E5115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8F43FF">
              <w:rPr>
                <w:rFonts w:cs="Arial"/>
                <w:color w:val="000000"/>
                <w:sz w:val="22"/>
                <w:szCs w:val="22"/>
                <w:lang w:eastAsia="en-GB"/>
              </w:rPr>
              <w:t>Heating upgrade ASHP*</w:t>
            </w:r>
          </w:p>
        </w:tc>
        <w:tc>
          <w:tcPr>
            <w:tcW w:w="1534" w:type="pct"/>
            <w:tcBorders>
              <w:top w:val="nil"/>
              <w:left w:val="nil"/>
              <w:bottom w:val="single" w:sz="4" w:space="0" w:color="auto"/>
              <w:right w:val="single" w:sz="8" w:space="0" w:color="auto"/>
            </w:tcBorders>
            <w:shd w:val="clear" w:color="auto" w:fill="auto"/>
            <w:noWrap/>
            <w:vAlign w:val="bottom"/>
            <w:hideMark/>
          </w:tcPr>
          <w:p w14:paraId="7B6578E0" w14:textId="77777777" w:rsidR="00E51156" w:rsidRPr="008F43FF" w:rsidRDefault="5B11D847"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12,781 </w:t>
            </w:r>
          </w:p>
        </w:tc>
        <w:tc>
          <w:tcPr>
            <w:tcW w:w="1586" w:type="pct"/>
            <w:tcBorders>
              <w:top w:val="nil"/>
              <w:left w:val="nil"/>
              <w:bottom w:val="single" w:sz="4" w:space="0" w:color="auto"/>
              <w:right w:val="single" w:sz="8" w:space="0" w:color="auto"/>
            </w:tcBorders>
            <w:shd w:val="clear" w:color="auto" w:fill="auto"/>
            <w:noWrap/>
            <w:vAlign w:val="bottom"/>
            <w:hideMark/>
          </w:tcPr>
          <w:p w14:paraId="7EDB1A97" w14:textId="77777777" w:rsidR="00E51156" w:rsidRPr="008F43FF" w:rsidRDefault="5B11D847"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1,129 </w:t>
            </w:r>
          </w:p>
        </w:tc>
      </w:tr>
      <w:tr w:rsidR="00E51156" w:rsidRPr="008F43FF" w14:paraId="116B12F6"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00069BE5" w14:textId="77777777" w:rsidR="00E51156" w:rsidRPr="008F43FF" w:rsidRDefault="00E51156" w:rsidP="00E5115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8F43FF">
              <w:rPr>
                <w:rFonts w:cs="Arial"/>
                <w:color w:val="000000"/>
                <w:sz w:val="22"/>
                <w:szCs w:val="22"/>
                <w:lang w:eastAsia="en-GB"/>
              </w:rPr>
              <w:t>Solar PV</w:t>
            </w:r>
          </w:p>
        </w:tc>
        <w:tc>
          <w:tcPr>
            <w:tcW w:w="1534" w:type="pct"/>
            <w:tcBorders>
              <w:top w:val="nil"/>
              <w:left w:val="nil"/>
              <w:bottom w:val="single" w:sz="4" w:space="0" w:color="auto"/>
              <w:right w:val="single" w:sz="8" w:space="0" w:color="auto"/>
            </w:tcBorders>
            <w:shd w:val="clear" w:color="auto" w:fill="auto"/>
            <w:noWrap/>
            <w:vAlign w:val="bottom"/>
            <w:hideMark/>
          </w:tcPr>
          <w:p w14:paraId="18974CB4" w14:textId="77777777" w:rsidR="00E51156" w:rsidRPr="008F43FF" w:rsidRDefault="5B11D847"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122,242 </w:t>
            </w:r>
          </w:p>
        </w:tc>
        <w:tc>
          <w:tcPr>
            <w:tcW w:w="1586" w:type="pct"/>
            <w:tcBorders>
              <w:top w:val="nil"/>
              <w:left w:val="nil"/>
              <w:bottom w:val="single" w:sz="4" w:space="0" w:color="auto"/>
              <w:right w:val="single" w:sz="8" w:space="0" w:color="auto"/>
            </w:tcBorders>
            <w:shd w:val="clear" w:color="auto" w:fill="auto"/>
            <w:noWrap/>
            <w:vAlign w:val="bottom"/>
            <w:hideMark/>
          </w:tcPr>
          <w:p w14:paraId="7F6644D1" w14:textId="77777777" w:rsidR="00E51156" w:rsidRPr="008F43FF" w:rsidRDefault="5B11D847"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17,282 </w:t>
            </w:r>
          </w:p>
        </w:tc>
      </w:tr>
      <w:tr w:rsidR="00E51156" w:rsidRPr="008F43FF" w14:paraId="665CE4BB" w14:textId="77777777" w:rsidTr="3B6BD473">
        <w:trPr>
          <w:trHeight w:val="300"/>
        </w:trPr>
        <w:tc>
          <w:tcPr>
            <w:tcW w:w="1879" w:type="pct"/>
            <w:tcBorders>
              <w:top w:val="nil"/>
              <w:left w:val="single" w:sz="8" w:space="0" w:color="auto"/>
              <w:bottom w:val="single" w:sz="8" w:space="0" w:color="auto"/>
              <w:right w:val="single" w:sz="8" w:space="0" w:color="auto"/>
            </w:tcBorders>
            <w:shd w:val="clear" w:color="auto" w:fill="auto"/>
            <w:noWrap/>
            <w:vAlign w:val="center"/>
            <w:hideMark/>
          </w:tcPr>
          <w:p w14:paraId="53C33392" w14:textId="77777777" w:rsidR="00E51156" w:rsidRPr="008F43FF" w:rsidRDefault="00E51156" w:rsidP="00E5115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8F43FF">
              <w:rPr>
                <w:rFonts w:cs="Arial"/>
                <w:color w:val="000000"/>
                <w:sz w:val="22"/>
                <w:szCs w:val="22"/>
                <w:lang w:eastAsia="en-GB"/>
              </w:rPr>
              <w:lastRenderedPageBreak/>
              <w:t>Solar Thermal</w:t>
            </w:r>
          </w:p>
        </w:tc>
        <w:tc>
          <w:tcPr>
            <w:tcW w:w="1534" w:type="pct"/>
            <w:tcBorders>
              <w:top w:val="nil"/>
              <w:left w:val="nil"/>
              <w:bottom w:val="single" w:sz="8" w:space="0" w:color="auto"/>
              <w:right w:val="single" w:sz="8" w:space="0" w:color="auto"/>
            </w:tcBorders>
            <w:shd w:val="clear" w:color="auto" w:fill="auto"/>
            <w:noWrap/>
            <w:vAlign w:val="bottom"/>
            <w:hideMark/>
          </w:tcPr>
          <w:p w14:paraId="029E3778" w14:textId="77777777" w:rsidR="00E51156" w:rsidRPr="008F43FF" w:rsidRDefault="5B11D847"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122,159 </w:t>
            </w:r>
          </w:p>
        </w:tc>
        <w:tc>
          <w:tcPr>
            <w:tcW w:w="1586" w:type="pct"/>
            <w:tcBorders>
              <w:top w:val="nil"/>
              <w:left w:val="nil"/>
              <w:bottom w:val="single" w:sz="8" w:space="0" w:color="auto"/>
              <w:right w:val="single" w:sz="8" w:space="0" w:color="auto"/>
            </w:tcBorders>
            <w:shd w:val="clear" w:color="auto" w:fill="auto"/>
            <w:noWrap/>
            <w:vAlign w:val="bottom"/>
            <w:hideMark/>
          </w:tcPr>
          <w:p w14:paraId="0AC29864" w14:textId="77777777" w:rsidR="00E51156" w:rsidRPr="008F43FF" w:rsidRDefault="5B11D847"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17,303 </w:t>
            </w:r>
          </w:p>
        </w:tc>
      </w:tr>
    </w:tbl>
    <w:p w14:paraId="26588D0E" w14:textId="77777777" w:rsidR="00E51156" w:rsidRDefault="00E51156" w:rsidP="00002FDD">
      <w:pPr>
        <w:spacing w:line="257" w:lineRule="auto"/>
        <w:rPr>
          <w:rFonts w:ascii="Calibri" w:eastAsia="Calibri" w:hAnsi="Calibri" w:cs="Calibri"/>
          <w:b/>
          <w:bCs/>
          <w:sz w:val="22"/>
          <w:szCs w:val="22"/>
        </w:rPr>
      </w:pPr>
    </w:p>
    <w:p w14:paraId="6153A64E" w14:textId="77777777" w:rsidR="00074020" w:rsidRDefault="00074020" w:rsidP="00002FDD">
      <w:pPr>
        <w:spacing w:line="257" w:lineRule="auto"/>
        <w:rPr>
          <w:rFonts w:ascii="Calibri" w:eastAsia="Calibri" w:hAnsi="Calibri" w:cs="Calibri"/>
          <w:b/>
          <w:bCs/>
          <w:sz w:val="22"/>
          <w:szCs w:val="22"/>
        </w:rPr>
      </w:pPr>
    </w:p>
    <w:p w14:paraId="15EEB357" w14:textId="77777777" w:rsidR="00002FDD" w:rsidRPr="008F43FF" w:rsidRDefault="00002FDD" w:rsidP="00002FDD">
      <w:pPr>
        <w:spacing w:line="257" w:lineRule="auto"/>
        <w:rPr>
          <w:rFonts w:eastAsia="Calibri" w:cs="Arial"/>
          <w:sz w:val="22"/>
          <w:szCs w:val="22"/>
        </w:rPr>
      </w:pPr>
      <w:r w:rsidRPr="008F43FF">
        <w:rPr>
          <w:rFonts w:eastAsia="Calibri" w:cs="Arial"/>
          <w:sz w:val="22"/>
          <w:szCs w:val="22"/>
        </w:rPr>
        <w:t xml:space="preserve"> </w:t>
      </w:r>
    </w:p>
    <w:p w14:paraId="0162C775" w14:textId="7910E215" w:rsidR="00002FDD" w:rsidRPr="008F43FF" w:rsidRDefault="00002FDD" w:rsidP="00002FDD">
      <w:pPr>
        <w:spacing w:line="257" w:lineRule="auto"/>
        <w:rPr>
          <w:rFonts w:eastAsia="Calibri" w:cs="Arial"/>
          <w:sz w:val="22"/>
          <w:szCs w:val="22"/>
        </w:rPr>
      </w:pPr>
      <w:r w:rsidRPr="3B6BD473">
        <w:rPr>
          <w:rFonts w:eastAsia="Calibri" w:cs="Arial"/>
          <w:sz w:val="22"/>
          <w:szCs w:val="22"/>
        </w:rPr>
        <w:t xml:space="preserve">*The ASHP opportunity in Table 1 above assumes that the property would not be connected to the gas network in order to be suitable for an Air Source Heat Pump (ASHP). However, this not </w:t>
      </w:r>
      <w:r w:rsidR="3CB3FF42" w:rsidRPr="3B6BD473">
        <w:rPr>
          <w:rFonts w:eastAsia="Calibri" w:cs="Arial"/>
          <w:sz w:val="22"/>
          <w:szCs w:val="22"/>
        </w:rPr>
        <w:t>a prerequisite</w:t>
      </w:r>
      <w:r w:rsidRPr="3B6BD473">
        <w:rPr>
          <w:rFonts w:eastAsia="Calibri" w:cs="Arial"/>
          <w:sz w:val="22"/>
          <w:szCs w:val="22"/>
        </w:rPr>
        <w:t xml:space="preserve"> for this scheme where fossil fuel heating installations are not eligible. On this basis the number of likely eligible properties that might theoretically benefit from an ASHP installation is more like </w:t>
      </w:r>
      <w:r w:rsidR="00821A9E" w:rsidRPr="3B6BD473">
        <w:rPr>
          <w:rFonts w:eastAsia="Calibri" w:cs="Arial"/>
          <w:color w:val="000000" w:themeColor="text1"/>
          <w:sz w:val="22"/>
          <w:szCs w:val="22"/>
        </w:rPr>
        <w:t>7,000</w:t>
      </w:r>
      <w:r w:rsidRPr="3B6BD473">
        <w:rPr>
          <w:rFonts w:eastAsia="Calibri" w:cs="Arial"/>
          <w:color w:val="000000" w:themeColor="text1"/>
          <w:sz w:val="22"/>
          <w:szCs w:val="22"/>
        </w:rPr>
        <w:t xml:space="preserve"> </w:t>
      </w:r>
      <w:r w:rsidRPr="3B6BD473">
        <w:rPr>
          <w:rFonts w:eastAsia="Calibri" w:cs="Arial"/>
          <w:sz w:val="22"/>
          <w:szCs w:val="22"/>
        </w:rPr>
        <w:t xml:space="preserve">for </w:t>
      </w:r>
      <w:r w:rsidR="000774B5" w:rsidRPr="3B6BD473">
        <w:rPr>
          <w:rFonts w:eastAsia="Calibri" w:cs="Arial"/>
          <w:sz w:val="22"/>
          <w:szCs w:val="22"/>
        </w:rPr>
        <w:t xml:space="preserve">the </w:t>
      </w:r>
      <w:proofErr w:type="spellStart"/>
      <w:r w:rsidR="000774B5" w:rsidRPr="3B6BD473">
        <w:rPr>
          <w:rFonts w:eastAsia="Calibri" w:cs="Arial"/>
          <w:sz w:val="22"/>
          <w:szCs w:val="22"/>
        </w:rPr>
        <w:t>GFirst</w:t>
      </w:r>
      <w:proofErr w:type="spellEnd"/>
      <w:r w:rsidR="000774B5" w:rsidRPr="3B6BD473">
        <w:rPr>
          <w:rFonts w:eastAsia="Calibri" w:cs="Arial"/>
          <w:sz w:val="22"/>
          <w:szCs w:val="22"/>
        </w:rPr>
        <w:t xml:space="preserve"> LEP area</w:t>
      </w:r>
      <w:r w:rsidRPr="3B6BD473">
        <w:rPr>
          <w:rFonts w:eastAsia="Calibri" w:cs="Arial"/>
          <w:sz w:val="22"/>
          <w:szCs w:val="22"/>
        </w:rPr>
        <w:t>.</w:t>
      </w:r>
    </w:p>
    <w:p w14:paraId="15D797C5" w14:textId="77777777" w:rsidR="0071568B" w:rsidRPr="0071568B" w:rsidRDefault="0071568B" w:rsidP="00312A0A">
      <w:pPr>
        <w:spacing w:after="120"/>
        <w:rPr>
          <w:rFonts w:cs="Arial"/>
          <w:b/>
          <w:sz w:val="22"/>
          <w:szCs w:val="22"/>
        </w:rPr>
      </w:pPr>
    </w:p>
    <w:p w14:paraId="082CB7E4" w14:textId="36975AE1" w:rsidR="00312A0A" w:rsidRDefault="00312A0A" w:rsidP="00312A0A">
      <w:pPr>
        <w:spacing w:after="120"/>
        <w:rPr>
          <w:rFonts w:cs="Arial"/>
          <w:sz w:val="22"/>
          <w:szCs w:val="22"/>
        </w:rPr>
      </w:pPr>
    </w:p>
    <w:p w14:paraId="6786344A" w14:textId="77777777" w:rsidR="00312A0A" w:rsidRPr="00312A0A" w:rsidRDefault="00312A0A" w:rsidP="00312A0A">
      <w:pPr>
        <w:spacing w:after="120"/>
        <w:rPr>
          <w:rFonts w:cs="Arial"/>
          <w:sz w:val="22"/>
          <w:szCs w:val="22"/>
        </w:rPr>
      </w:pPr>
    </w:p>
    <w:p w14:paraId="2D737E62" w14:textId="77777777" w:rsidR="00312A0A" w:rsidRDefault="00312A0A">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r>
        <w:rPr>
          <w:rFonts w:cs="Arial"/>
          <w:sz w:val="22"/>
          <w:szCs w:val="22"/>
        </w:rPr>
        <w:br w:type="page"/>
      </w:r>
    </w:p>
    <w:p w14:paraId="759B71F3" w14:textId="46E9DB2C" w:rsidR="00C85EC1" w:rsidRPr="00AF2CF1" w:rsidRDefault="00AF2CF1" w:rsidP="00312A0A">
      <w:pPr>
        <w:spacing w:after="120"/>
        <w:rPr>
          <w:rFonts w:cs="Arial"/>
          <w:b/>
          <w:sz w:val="22"/>
          <w:szCs w:val="22"/>
        </w:rPr>
      </w:pPr>
      <w:r>
        <w:rPr>
          <w:rFonts w:cs="Arial"/>
          <w:b/>
          <w:sz w:val="22"/>
          <w:szCs w:val="22"/>
        </w:rPr>
        <w:lastRenderedPageBreak/>
        <w:t>LOT 2: WEST OF ENGLAND</w:t>
      </w:r>
    </w:p>
    <w:p w14:paraId="7E76673F" w14:textId="1F63E41C" w:rsidR="00312A0A" w:rsidRDefault="00312A0A" w:rsidP="00312A0A">
      <w:pPr>
        <w:spacing w:after="120"/>
        <w:rPr>
          <w:rFonts w:cs="Arial"/>
          <w:sz w:val="22"/>
          <w:szCs w:val="22"/>
        </w:rPr>
      </w:pPr>
    </w:p>
    <w:p w14:paraId="6380AAAE" w14:textId="70794494" w:rsidR="00AF2CF1" w:rsidRDefault="00AF2CF1" w:rsidP="00AF2CF1">
      <w:pPr>
        <w:spacing w:after="120"/>
        <w:rPr>
          <w:rFonts w:cs="Arial"/>
          <w:sz w:val="22"/>
          <w:szCs w:val="22"/>
        </w:rPr>
      </w:pPr>
      <w:r w:rsidRPr="5664A060">
        <w:rPr>
          <w:rFonts w:cs="Arial"/>
          <w:b/>
          <w:bCs/>
          <w:sz w:val="22"/>
          <w:szCs w:val="22"/>
        </w:rPr>
        <w:t>Value of the Lot:</w:t>
      </w:r>
      <w:r w:rsidRPr="5664A060">
        <w:rPr>
          <w:rFonts w:cs="Arial"/>
          <w:sz w:val="22"/>
          <w:szCs w:val="22"/>
        </w:rPr>
        <w:t xml:space="preserve"> £</w:t>
      </w:r>
      <w:r w:rsidR="00571ED3" w:rsidRPr="5664A060">
        <w:rPr>
          <w:color w:val="000000" w:themeColor="text1"/>
          <w:sz w:val="22"/>
          <w:szCs w:val="22"/>
          <w:lang w:eastAsia="en-GB"/>
        </w:rPr>
        <w:t>7,497,36</w:t>
      </w:r>
      <w:r w:rsidR="08D5136C" w:rsidRPr="5664A060">
        <w:rPr>
          <w:color w:val="000000" w:themeColor="text1"/>
          <w:sz w:val="22"/>
          <w:szCs w:val="22"/>
          <w:lang w:eastAsia="en-GB"/>
        </w:rPr>
        <w:t>6</w:t>
      </w:r>
    </w:p>
    <w:p w14:paraId="36E1E99D" w14:textId="77777777" w:rsidR="00AF2CF1" w:rsidRPr="00215180" w:rsidRDefault="00AF2CF1" w:rsidP="00AF2CF1">
      <w:pPr>
        <w:spacing w:after="120"/>
        <w:rPr>
          <w:rFonts w:cs="Arial"/>
          <w:b/>
          <w:sz w:val="22"/>
          <w:szCs w:val="22"/>
        </w:rPr>
      </w:pPr>
      <w:r w:rsidRPr="00215180">
        <w:rPr>
          <w:rFonts w:cs="Arial"/>
          <w:b/>
          <w:sz w:val="22"/>
          <w:szCs w:val="22"/>
        </w:rPr>
        <w:t xml:space="preserve">Geographic area: </w:t>
      </w:r>
    </w:p>
    <w:p w14:paraId="13CC0461" w14:textId="1B652607" w:rsidR="00AF2CF1" w:rsidRDefault="00AF2CF1" w:rsidP="00EE2702">
      <w:pPr>
        <w:spacing w:after="120"/>
        <w:rPr>
          <w:rFonts w:cs="Arial"/>
          <w:sz w:val="22"/>
          <w:szCs w:val="22"/>
        </w:rPr>
      </w:pPr>
      <w:r>
        <w:rPr>
          <w:rFonts w:cs="Arial"/>
          <w:sz w:val="22"/>
          <w:szCs w:val="22"/>
        </w:rPr>
        <w:t>Bristol City Council Unitary Authority</w:t>
      </w:r>
    </w:p>
    <w:p w14:paraId="12708FBF" w14:textId="0BFADF1E" w:rsidR="00AF2CF1" w:rsidRDefault="00AF2CF1" w:rsidP="00AF2CF1">
      <w:pPr>
        <w:spacing w:after="120"/>
        <w:rPr>
          <w:rFonts w:cs="Arial"/>
          <w:sz w:val="22"/>
          <w:szCs w:val="22"/>
        </w:rPr>
      </w:pPr>
      <w:r>
        <w:rPr>
          <w:rFonts w:cs="Arial"/>
          <w:sz w:val="22"/>
          <w:szCs w:val="22"/>
        </w:rPr>
        <w:t>Bath and North East Somerset Unitary Authority</w:t>
      </w:r>
    </w:p>
    <w:p w14:paraId="324E3586" w14:textId="228C52EE" w:rsidR="00AF2CF1" w:rsidRDefault="00AF2CF1" w:rsidP="00AF2CF1">
      <w:pPr>
        <w:spacing w:after="120"/>
        <w:rPr>
          <w:rFonts w:cs="Arial"/>
          <w:sz w:val="22"/>
          <w:szCs w:val="22"/>
        </w:rPr>
      </w:pPr>
      <w:r>
        <w:rPr>
          <w:rFonts w:cs="Arial"/>
          <w:sz w:val="22"/>
          <w:szCs w:val="22"/>
        </w:rPr>
        <w:t>South Gloucestershire Unitary Authority</w:t>
      </w:r>
    </w:p>
    <w:p w14:paraId="7C564AA0" w14:textId="53FEA9F9" w:rsidR="00AF2CF1" w:rsidRDefault="00AF2CF1" w:rsidP="00AF2CF1">
      <w:pPr>
        <w:spacing w:after="120"/>
        <w:rPr>
          <w:rFonts w:cs="Arial"/>
          <w:sz w:val="22"/>
          <w:szCs w:val="22"/>
        </w:rPr>
      </w:pPr>
      <w:r>
        <w:rPr>
          <w:rFonts w:cs="Arial"/>
          <w:sz w:val="22"/>
          <w:szCs w:val="22"/>
        </w:rPr>
        <w:t>North Somerset Unitary Authority</w:t>
      </w:r>
    </w:p>
    <w:p w14:paraId="25FB43F0" w14:textId="77777777" w:rsidR="00AF2CF1" w:rsidRDefault="00AF2CF1" w:rsidP="00AF2CF1">
      <w:pPr>
        <w:spacing w:after="120"/>
        <w:rPr>
          <w:rFonts w:cs="Arial"/>
          <w:sz w:val="22"/>
          <w:szCs w:val="22"/>
        </w:rPr>
      </w:pPr>
    </w:p>
    <w:p w14:paraId="336A14EC" w14:textId="789C763A" w:rsidR="00AF2CF1" w:rsidRPr="00312A0A" w:rsidRDefault="00AF2CF1" w:rsidP="00AF2CF1">
      <w:pPr>
        <w:spacing w:after="120"/>
        <w:rPr>
          <w:rFonts w:cs="Arial"/>
          <w:sz w:val="22"/>
          <w:szCs w:val="22"/>
        </w:rPr>
      </w:pPr>
      <w:r w:rsidRPr="00215180">
        <w:rPr>
          <w:rFonts w:cs="Arial"/>
          <w:b/>
          <w:sz w:val="22"/>
          <w:szCs w:val="22"/>
        </w:rPr>
        <w:t>Anticipated number of installations:</w:t>
      </w:r>
      <w:r w:rsidRPr="00BC193D">
        <w:rPr>
          <w:rFonts w:cs="Arial"/>
          <w:sz w:val="22"/>
          <w:szCs w:val="22"/>
        </w:rPr>
        <w:t xml:space="preserve"> </w:t>
      </w:r>
      <w:r w:rsidR="00BC193D" w:rsidRPr="00BC193D">
        <w:rPr>
          <w:color w:val="000000"/>
          <w:sz w:val="22"/>
          <w:szCs w:val="22"/>
          <w:lang w:eastAsia="en-GB"/>
        </w:rPr>
        <w:t>671</w:t>
      </w:r>
    </w:p>
    <w:p w14:paraId="3A976EA4" w14:textId="1F7C1F00" w:rsidR="000556B4" w:rsidRDefault="00571ED3" w:rsidP="00032AF7">
      <w:pPr>
        <w:spacing w:line="257" w:lineRule="auto"/>
        <w:rPr>
          <w:rFonts w:cs="Arial"/>
          <w:sz w:val="22"/>
          <w:szCs w:val="22"/>
        </w:rPr>
      </w:pPr>
      <w:r w:rsidRPr="002624DB">
        <w:rPr>
          <w:color w:val="000000"/>
          <w:sz w:val="22"/>
          <w:szCs w:val="22"/>
          <w:lang w:eastAsia="en-GB"/>
        </w:rPr>
        <w:t xml:space="preserve">Number of installations is based on completing only owner occupier properties and with an average total spend of £10,000 per property. </w:t>
      </w:r>
      <w:r>
        <w:rPr>
          <w:color w:val="000000"/>
          <w:sz w:val="22"/>
          <w:szCs w:val="22"/>
          <w:lang w:eastAsia="en-GB"/>
        </w:rPr>
        <w:t>It is likely that the numbers will be made up of a mixture of owner occupier, social and private rental properties and therefore these numbers are at the lower end of the spectrum.</w:t>
      </w:r>
    </w:p>
    <w:p w14:paraId="77BE0023" w14:textId="4F18474F" w:rsidR="00032AF7" w:rsidRDefault="00032AF7" w:rsidP="00032AF7">
      <w:pPr>
        <w:spacing w:line="257" w:lineRule="auto"/>
        <w:rPr>
          <w:rFonts w:cs="Arial"/>
          <w:sz w:val="22"/>
          <w:szCs w:val="22"/>
        </w:rPr>
      </w:pPr>
    </w:p>
    <w:p w14:paraId="717480A1" w14:textId="442C6EC3" w:rsidR="00032AF7" w:rsidRPr="00CD5E4F" w:rsidRDefault="00CD5E4F" w:rsidP="00032AF7">
      <w:pPr>
        <w:spacing w:line="257" w:lineRule="auto"/>
        <w:rPr>
          <w:rFonts w:cs="Arial"/>
          <w:b/>
          <w:sz w:val="22"/>
          <w:szCs w:val="22"/>
        </w:rPr>
      </w:pPr>
      <w:r>
        <w:rPr>
          <w:rFonts w:cs="Arial"/>
          <w:b/>
          <w:sz w:val="22"/>
          <w:szCs w:val="22"/>
        </w:rPr>
        <w:t>Potential market</w:t>
      </w:r>
    </w:p>
    <w:p w14:paraId="423A8FA4" w14:textId="389EA900" w:rsidR="00E20DF7" w:rsidRPr="009511FA" w:rsidRDefault="00E20DF7" w:rsidP="00E20DF7">
      <w:pPr>
        <w:spacing w:line="257" w:lineRule="auto"/>
        <w:rPr>
          <w:rFonts w:eastAsia="Calibri" w:cs="Arial"/>
          <w:color w:val="000000" w:themeColor="text1"/>
          <w:sz w:val="22"/>
          <w:szCs w:val="22"/>
        </w:rPr>
      </w:pPr>
      <w:r w:rsidRPr="3B6BD473">
        <w:rPr>
          <w:rFonts w:eastAsia="Calibri" w:cs="Arial"/>
          <w:sz w:val="22"/>
          <w:szCs w:val="22"/>
        </w:rPr>
        <w:t>The West of England</w:t>
      </w:r>
      <w:r w:rsidR="00E057CB" w:rsidRPr="3B6BD473">
        <w:rPr>
          <w:rFonts w:eastAsia="Calibri" w:cs="Arial"/>
          <w:sz w:val="22"/>
          <w:szCs w:val="22"/>
        </w:rPr>
        <w:t xml:space="preserve"> (</w:t>
      </w:r>
      <w:proofErr w:type="spellStart"/>
      <w:r w:rsidR="00E057CB" w:rsidRPr="3B6BD473">
        <w:rPr>
          <w:rFonts w:eastAsia="Calibri" w:cs="Arial"/>
          <w:sz w:val="22"/>
          <w:szCs w:val="22"/>
        </w:rPr>
        <w:t>WoE</w:t>
      </w:r>
      <w:proofErr w:type="spellEnd"/>
      <w:r w:rsidR="00E057CB" w:rsidRPr="3B6BD473">
        <w:rPr>
          <w:rFonts w:eastAsia="Calibri" w:cs="Arial"/>
          <w:sz w:val="22"/>
          <w:szCs w:val="22"/>
        </w:rPr>
        <w:t>)</w:t>
      </w:r>
      <w:r w:rsidRPr="3B6BD473">
        <w:rPr>
          <w:rFonts w:eastAsia="Calibri" w:cs="Arial"/>
          <w:sz w:val="22"/>
          <w:szCs w:val="22"/>
        </w:rPr>
        <w:t xml:space="preserve"> LEP contains </w:t>
      </w:r>
      <w:r w:rsidRPr="3B6BD473">
        <w:rPr>
          <w:rFonts w:eastAsia="Calibri" w:cs="Arial"/>
          <w:color w:val="000000" w:themeColor="text1"/>
          <w:sz w:val="22"/>
          <w:szCs w:val="22"/>
        </w:rPr>
        <w:t xml:space="preserve">likely </w:t>
      </w:r>
      <w:r w:rsidR="003B616E" w:rsidRPr="3B6BD473">
        <w:rPr>
          <w:rFonts w:eastAsia="Calibri" w:cs="Arial"/>
          <w:color w:val="000000" w:themeColor="text1"/>
          <w:sz w:val="22"/>
          <w:szCs w:val="22"/>
        </w:rPr>
        <w:t>33</w:t>
      </w:r>
      <w:r w:rsidR="000E6FC7" w:rsidRPr="3B6BD473">
        <w:rPr>
          <w:rFonts w:eastAsia="Calibri" w:cs="Arial"/>
          <w:color w:val="000000" w:themeColor="text1"/>
          <w:sz w:val="22"/>
          <w:szCs w:val="22"/>
        </w:rPr>
        <w:t>2</w:t>
      </w:r>
      <w:r w:rsidR="003B616E" w:rsidRPr="3B6BD473">
        <w:rPr>
          <w:rFonts w:eastAsia="Calibri" w:cs="Arial"/>
          <w:color w:val="000000" w:themeColor="text1"/>
          <w:sz w:val="22"/>
          <w:szCs w:val="22"/>
        </w:rPr>
        <w:t>,000</w:t>
      </w:r>
      <w:r w:rsidRPr="3B6BD473">
        <w:rPr>
          <w:rFonts w:eastAsia="Calibri" w:cs="Arial"/>
          <w:color w:val="000000" w:themeColor="text1"/>
          <w:sz w:val="22"/>
          <w:szCs w:val="22"/>
        </w:rPr>
        <w:t xml:space="preserve"> properties rated EPC ‘D’ or below. Of these in the region of </w:t>
      </w:r>
      <w:r w:rsidR="000E6FC7" w:rsidRPr="3B6BD473">
        <w:rPr>
          <w:rFonts w:eastAsia="Calibri" w:cs="Arial"/>
          <w:color w:val="000000" w:themeColor="text1"/>
          <w:sz w:val="22"/>
          <w:szCs w:val="22"/>
        </w:rPr>
        <w:t>44</w:t>
      </w:r>
      <w:r w:rsidRPr="3B6BD473">
        <w:rPr>
          <w:rFonts w:eastAsia="Calibri" w:cs="Arial"/>
          <w:color w:val="000000" w:themeColor="text1"/>
          <w:sz w:val="22"/>
          <w:szCs w:val="22"/>
        </w:rPr>
        <w:t xml:space="preserve">,000 are in areas where there is a higher likelihood that households will fall within the scheme’s </w:t>
      </w:r>
      <w:r w:rsidR="34D45B88" w:rsidRPr="3B6BD473">
        <w:rPr>
          <w:rFonts w:eastAsia="Calibri" w:cs="Arial"/>
          <w:color w:val="000000" w:themeColor="text1"/>
          <w:sz w:val="22"/>
          <w:szCs w:val="22"/>
        </w:rPr>
        <w:t>income-based</w:t>
      </w:r>
      <w:r w:rsidRPr="3B6BD473">
        <w:rPr>
          <w:rFonts w:eastAsia="Calibri" w:cs="Arial"/>
          <w:color w:val="000000" w:themeColor="text1"/>
          <w:sz w:val="22"/>
          <w:szCs w:val="22"/>
        </w:rPr>
        <w:t xml:space="preserve"> eligibility criteria. </w:t>
      </w:r>
    </w:p>
    <w:p w14:paraId="5BA55540" w14:textId="77777777" w:rsidR="00E20DF7" w:rsidRPr="009511FA" w:rsidRDefault="00E20DF7" w:rsidP="00E20DF7">
      <w:pPr>
        <w:spacing w:line="257" w:lineRule="auto"/>
        <w:rPr>
          <w:rFonts w:eastAsia="Calibri" w:cs="Arial"/>
          <w:sz w:val="22"/>
          <w:szCs w:val="22"/>
        </w:rPr>
      </w:pPr>
    </w:p>
    <w:p w14:paraId="70C46DCF" w14:textId="3ED48B5A" w:rsidR="00E20DF7" w:rsidRPr="009511FA" w:rsidRDefault="00E20DF7" w:rsidP="00E20DF7">
      <w:pPr>
        <w:spacing w:line="257" w:lineRule="auto"/>
        <w:rPr>
          <w:rFonts w:eastAsia="Calibri" w:cs="Arial"/>
          <w:sz w:val="22"/>
          <w:szCs w:val="22"/>
        </w:rPr>
      </w:pPr>
      <w:proofErr w:type="gramStart"/>
      <w:r w:rsidRPr="009511FA">
        <w:rPr>
          <w:rFonts w:eastAsia="Calibri" w:cs="Arial"/>
          <w:sz w:val="22"/>
          <w:szCs w:val="22"/>
        </w:rPr>
        <w:t>By definition of</w:t>
      </w:r>
      <w:proofErr w:type="gramEnd"/>
      <w:r w:rsidRPr="009511FA">
        <w:rPr>
          <w:rFonts w:eastAsia="Calibri" w:cs="Arial"/>
          <w:sz w:val="22"/>
          <w:szCs w:val="22"/>
        </w:rPr>
        <w:t xml:space="preserve"> being EPC band ‘D’ or below, many of these properties will benefit from one or more of the eligible measures that can be delivered through the scheme. Table 1 below shows the number of households in the </w:t>
      </w:r>
      <w:proofErr w:type="spellStart"/>
      <w:r w:rsidR="00E057CB" w:rsidRPr="009511FA">
        <w:rPr>
          <w:rFonts w:eastAsia="Calibri" w:cs="Arial"/>
          <w:sz w:val="22"/>
          <w:szCs w:val="22"/>
        </w:rPr>
        <w:t>WoE</w:t>
      </w:r>
      <w:proofErr w:type="spellEnd"/>
      <w:r w:rsidRPr="009511FA">
        <w:rPr>
          <w:rFonts w:eastAsia="Calibri" w:cs="Arial"/>
          <w:sz w:val="22"/>
          <w:szCs w:val="22"/>
        </w:rPr>
        <w:t xml:space="preserve"> that would benefit from some of the schemes keys measures that are likely to be EPC band D or below. Additionally, it shows where those households are also in areas more likely to meet the schemes income eligibility criteria:</w:t>
      </w:r>
    </w:p>
    <w:p w14:paraId="3AB59E2D" w14:textId="77777777" w:rsidR="00E20DF7" w:rsidRDefault="00E20DF7" w:rsidP="00E20DF7">
      <w:pPr>
        <w:spacing w:line="257" w:lineRule="auto"/>
        <w:rPr>
          <w:rFonts w:ascii="Calibri" w:eastAsia="Calibri" w:hAnsi="Calibri" w:cs="Calibri"/>
          <w:sz w:val="22"/>
          <w:szCs w:val="22"/>
        </w:rPr>
      </w:pPr>
    </w:p>
    <w:p w14:paraId="6482077A" w14:textId="05F3E204" w:rsidR="00E20DF7" w:rsidRPr="009511FA" w:rsidRDefault="00E20DF7" w:rsidP="00E20DF7">
      <w:pPr>
        <w:spacing w:line="257" w:lineRule="auto"/>
        <w:rPr>
          <w:rFonts w:eastAsia="Calibri" w:cs="Arial"/>
          <w:b/>
          <w:bCs/>
          <w:sz w:val="22"/>
          <w:szCs w:val="22"/>
        </w:rPr>
      </w:pPr>
      <w:r w:rsidRPr="009511FA">
        <w:rPr>
          <w:rFonts w:eastAsia="Calibri" w:cs="Arial"/>
          <w:b/>
          <w:bCs/>
          <w:sz w:val="22"/>
          <w:szCs w:val="22"/>
        </w:rPr>
        <w:t>Table 1 – Likely eligible households appropriate for key scheme measures</w:t>
      </w:r>
    </w:p>
    <w:tbl>
      <w:tblPr>
        <w:tblW w:w="5000" w:type="pct"/>
        <w:tblLook w:val="04A0" w:firstRow="1" w:lastRow="0" w:firstColumn="1" w:lastColumn="0" w:noHBand="0" w:noVBand="1"/>
      </w:tblPr>
      <w:tblGrid>
        <w:gridCol w:w="3474"/>
        <w:gridCol w:w="2835"/>
        <w:gridCol w:w="2933"/>
      </w:tblGrid>
      <w:tr w:rsidR="00322F1C" w:rsidRPr="009511FA" w14:paraId="4C625FCF" w14:textId="77777777" w:rsidTr="3B6BD473">
        <w:trPr>
          <w:trHeight w:val="300"/>
        </w:trPr>
        <w:tc>
          <w:tcPr>
            <w:tcW w:w="5000" w:type="pct"/>
            <w:gridSpan w:val="3"/>
            <w:tcBorders>
              <w:top w:val="single" w:sz="8" w:space="0" w:color="auto"/>
              <w:left w:val="single" w:sz="8" w:space="0" w:color="auto"/>
              <w:bottom w:val="single" w:sz="8" w:space="0" w:color="auto"/>
              <w:right w:val="single" w:sz="8" w:space="0" w:color="000000" w:themeColor="text1"/>
            </w:tcBorders>
            <w:shd w:val="clear" w:color="auto" w:fill="auto"/>
            <w:noWrap/>
            <w:vAlign w:val="bottom"/>
            <w:hideMark/>
          </w:tcPr>
          <w:p w14:paraId="748C7B48" w14:textId="77777777" w:rsidR="00322F1C" w:rsidRPr="009511FA" w:rsidRDefault="00322F1C" w:rsidP="00322F1C">
            <w:pPr>
              <w:tabs>
                <w:tab w:val="clear" w:pos="720"/>
                <w:tab w:val="clear" w:pos="1440"/>
                <w:tab w:val="clear" w:pos="2160"/>
                <w:tab w:val="clear" w:pos="2880"/>
                <w:tab w:val="clear" w:pos="4680"/>
                <w:tab w:val="clear" w:pos="5400"/>
                <w:tab w:val="clear" w:pos="9000"/>
              </w:tabs>
              <w:spacing w:line="240" w:lineRule="auto"/>
              <w:jc w:val="center"/>
              <w:rPr>
                <w:rFonts w:cs="Arial"/>
                <w:color w:val="000000"/>
                <w:sz w:val="22"/>
                <w:szCs w:val="22"/>
                <w:lang w:eastAsia="en-GB"/>
              </w:rPr>
            </w:pPr>
            <w:proofErr w:type="spellStart"/>
            <w:r w:rsidRPr="009511FA">
              <w:rPr>
                <w:rFonts w:cs="Arial"/>
                <w:color w:val="000000"/>
                <w:sz w:val="22"/>
                <w:szCs w:val="22"/>
                <w:lang w:eastAsia="en-GB"/>
              </w:rPr>
              <w:t>WoE</w:t>
            </w:r>
            <w:proofErr w:type="spellEnd"/>
            <w:r w:rsidRPr="009511FA">
              <w:rPr>
                <w:rFonts w:cs="Arial"/>
                <w:color w:val="000000"/>
                <w:sz w:val="22"/>
                <w:szCs w:val="22"/>
                <w:lang w:eastAsia="en-GB"/>
              </w:rPr>
              <w:t xml:space="preserve"> LEP</w:t>
            </w:r>
          </w:p>
        </w:tc>
      </w:tr>
      <w:tr w:rsidR="00322F1C" w:rsidRPr="009511FA" w14:paraId="476CE634" w14:textId="77777777" w:rsidTr="3B6BD473">
        <w:trPr>
          <w:trHeight w:val="1452"/>
        </w:trPr>
        <w:tc>
          <w:tcPr>
            <w:tcW w:w="1879" w:type="pct"/>
            <w:tcBorders>
              <w:top w:val="nil"/>
              <w:left w:val="single" w:sz="8" w:space="0" w:color="auto"/>
              <w:bottom w:val="single" w:sz="8" w:space="0" w:color="auto"/>
              <w:right w:val="single" w:sz="8" w:space="0" w:color="auto"/>
            </w:tcBorders>
            <w:shd w:val="clear" w:color="auto" w:fill="auto"/>
            <w:vAlign w:val="center"/>
            <w:hideMark/>
          </w:tcPr>
          <w:p w14:paraId="75025C57" w14:textId="77777777" w:rsidR="00322F1C" w:rsidRPr="009511FA" w:rsidRDefault="00322F1C" w:rsidP="00322F1C">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009511FA">
              <w:rPr>
                <w:rFonts w:cs="Arial"/>
                <w:b/>
                <w:bCs/>
                <w:color w:val="000000"/>
                <w:sz w:val="22"/>
                <w:szCs w:val="22"/>
                <w:lang w:eastAsia="en-GB"/>
              </w:rPr>
              <w:t xml:space="preserve">Suitable measures </w:t>
            </w:r>
            <w:r w:rsidRPr="009511FA">
              <w:rPr>
                <w:rFonts w:cs="Arial"/>
                <w:color w:val="000000"/>
                <w:sz w:val="18"/>
                <w:szCs w:val="18"/>
                <w:lang w:eastAsia="en-GB"/>
              </w:rPr>
              <w:t>i.e. appropriate construction with low carbon measure not yet in place</w:t>
            </w:r>
            <w:r w:rsidRPr="009511FA">
              <w:rPr>
                <w:rFonts w:cs="Arial"/>
                <w:b/>
                <w:bCs/>
                <w:color w:val="000000"/>
                <w:sz w:val="22"/>
                <w:szCs w:val="22"/>
                <w:lang w:eastAsia="en-GB"/>
              </w:rPr>
              <w:t xml:space="preserve"> </w:t>
            </w:r>
          </w:p>
        </w:tc>
        <w:tc>
          <w:tcPr>
            <w:tcW w:w="1534" w:type="pct"/>
            <w:tcBorders>
              <w:top w:val="nil"/>
              <w:left w:val="nil"/>
              <w:bottom w:val="single" w:sz="8" w:space="0" w:color="auto"/>
              <w:right w:val="single" w:sz="4" w:space="0" w:color="auto"/>
            </w:tcBorders>
            <w:shd w:val="clear" w:color="auto" w:fill="auto"/>
            <w:vAlign w:val="center"/>
            <w:hideMark/>
          </w:tcPr>
          <w:p w14:paraId="769D7521" w14:textId="77777777" w:rsidR="00322F1C" w:rsidRPr="009511FA" w:rsidRDefault="00322F1C" w:rsidP="00322F1C">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009511FA">
              <w:rPr>
                <w:rFonts w:cs="Arial"/>
                <w:b/>
                <w:bCs/>
                <w:color w:val="000000"/>
                <w:sz w:val="22"/>
                <w:szCs w:val="22"/>
                <w:lang w:eastAsia="en-GB"/>
              </w:rPr>
              <w:t xml:space="preserve">Number of likely eligible households - </w:t>
            </w:r>
            <w:r w:rsidRPr="009511FA">
              <w:rPr>
                <w:rFonts w:cs="Arial"/>
                <w:color w:val="000000"/>
                <w:sz w:val="22"/>
                <w:szCs w:val="22"/>
                <w:lang w:eastAsia="en-GB"/>
              </w:rPr>
              <w:t>EPC 'D' or below</w:t>
            </w:r>
          </w:p>
        </w:tc>
        <w:tc>
          <w:tcPr>
            <w:tcW w:w="1586" w:type="pct"/>
            <w:tcBorders>
              <w:top w:val="nil"/>
              <w:left w:val="nil"/>
              <w:bottom w:val="single" w:sz="8" w:space="0" w:color="auto"/>
              <w:right w:val="single" w:sz="8" w:space="0" w:color="auto"/>
            </w:tcBorders>
            <w:shd w:val="clear" w:color="auto" w:fill="auto"/>
            <w:vAlign w:val="center"/>
            <w:hideMark/>
          </w:tcPr>
          <w:p w14:paraId="11A37930" w14:textId="39CC53DA" w:rsidR="00322F1C" w:rsidRPr="009511FA" w:rsidRDefault="66FBC07F" w:rsidP="00322F1C">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3B6BD473">
              <w:rPr>
                <w:rFonts w:cs="Arial"/>
                <w:b/>
                <w:bCs/>
                <w:color w:val="000000" w:themeColor="text1"/>
                <w:sz w:val="22"/>
                <w:szCs w:val="22"/>
                <w:lang w:eastAsia="en-GB"/>
              </w:rPr>
              <w:t xml:space="preserve">Number of likely eligible households - </w:t>
            </w:r>
            <w:r w:rsidRPr="3B6BD473">
              <w:rPr>
                <w:rFonts w:cs="Arial"/>
                <w:color w:val="000000" w:themeColor="text1"/>
                <w:sz w:val="22"/>
                <w:szCs w:val="22"/>
                <w:lang w:eastAsia="en-GB"/>
              </w:rPr>
              <w:t xml:space="preserve">EPC 'D' or below </w:t>
            </w:r>
            <w:r w:rsidRPr="3B6BD473">
              <w:rPr>
                <w:rFonts w:cs="Arial"/>
                <w:b/>
                <w:bCs/>
                <w:color w:val="000000" w:themeColor="text1"/>
                <w:sz w:val="22"/>
                <w:szCs w:val="22"/>
                <w:lang w:eastAsia="en-GB"/>
              </w:rPr>
              <w:t xml:space="preserve">&amp; </w:t>
            </w:r>
            <w:r w:rsidR="145C5347" w:rsidRPr="3B6BD473">
              <w:rPr>
                <w:rFonts w:cs="Arial"/>
                <w:color w:val="000000" w:themeColor="text1"/>
                <w:sz w:val="22"/>
                <w:szCs w:val="22"/>
                <w:lang w:eastAsia="en-GB"/>
              </w:rPr>
              <w:t>low-income</w:t>
            </w:r>
            <w:r w:rsidRPr="3B6BD473">
              <w:rPr>
                <w:rFonts w:cs="Arial"/>
                <w:color w:val="000000" w:themeColor="text1"/>
                <w:sz w:val="22"/>
                <w:szCs w:val="22"/>
                <w:lang w:eastAsia="en-GB"/>
              </w:rPr>
              <w:t xml:space="preserve"> proxy</w:t>
            </w:r>
          </w:p>
        </w:tc>
      </w:tr>
      <w:tr w:rsidR="00322F1C" w:rsidRPr="009511FA" w14:paraId="1D295541"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37C82279" w14:textId="77777777" w:rsidR="00322F1C" w:rsidRPr="009511FA" w:rsidRDefault="00322F1C" w:rsidP="00322F1C">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9511FA">
              <w:rPr>
                <w:rFonts w:cs="Arial"/>
                <w:color w:val="000000"/>
                <w:sz w:val="22"/>
                <w:szCs w:val="22"/>
                <w:lang w:eastAsia="en-GB"/>
              </w:rPr>
              <w:t xml:space="preserve">Cavity wall insulation </w:t>
            </w:r>
          </w:p>
        </w:tc>
        <w:tc>
          <w:tcPr>
            <w:tcW w:w="1534" w:type="pct"/>
            <w:tcBorders>
              <w:top w:val="nil"/>
              <w:left w:val="nil"/>
              <w:bottom w:val="single" w:sz="4" w:space="0" w:color="auto"/>
              <w:right w:val="single" w:sz="4" w:space="0" w:color="auto"/>
            </w:tcBorders>
            <w:shd w:val="clear" w:color="auto" w:fill="auto"/>
            <w:noWrap/>
            <w:vAlign w:val="bottom"/>
            <w:hideMark/>
          </w:tcPr>
          <w:p w14:paraId="13DF3DAC" w14:textId="77777777" w:rsidR="00322F1C" w:rsidRPr="009511FA" w:rsidRDefault="66FBC07F"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66,041 </w:t>
            </w:r>
          </w:p>
        </w:tc>
        <w:tc>
          <w:tcPr>
            <w:tcW w:w="1586" w:type="pct"/>
            <w:tcBorders>
              <w:top w:val="nil"/>
              <w:left w:val="nil"/>
              <w:bottom w:val="single" w:sz="4" w:space="0" w:color="auto"/>
              <w:right w:val="single" w:sz="8" w:space="0" w:color="auto"/>
            </w:tcBorders>
            <w:shd w:val="clear" w:color="auto" w:fill="auto"/>
            <w:noWrap/>
            <w:vAlign w:val="bottom"/>
            <w:hideMark/>
          </w:tcPr>
          <w:p w14:paraId="764DAE6C" w14:textId="77777777" w:rsidR="00322F1C" w:rsidRPr="009511FA" w:rsidRDefault="66FBC07F"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10,841 </w:t>
            </w:r>
          </w:p>
        </w:tc>
      </w:tr>
      <w:tr w:rsidR="00322F1C" w:rsidRPr="009511FA" w14:paraId="6886C7A2"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55B8675E" w14:textId="77777777" w:rsidR="00322F1C" w:rsidRPr="009511FA" w:rsidRDefault="00322F1C" w:rsidP="00322F1C">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9511FA">
              <w:rPr>
                <w:rFonts w:cs="Arial"/>
                <w:color w:val="000000"/>
                <w:sz w:val="22"/>
                <w:szCs w:val="22"/>
                <w:lang w:eastAsia="en-GB"/>
              </w:rPr>
              <w:t xml:space="preserve">Solid wall insulation </w:t>
            </w:r>
          </w:p>
        </w:tc>
        <w:tc>
          <w:tcPr>
            <w:tcW w:w="1534" w:type="pct"/>
            <w:tcBorders>
              <w:top w:val="nil"/>
              <w:left w:val="nil"/>
              <w:bottom w:val="single" w:sz="4" w:space="0" w:color="auto"/>
              <w:right w:val="single" w:sz="4" w:space="0" w:color="auto"/>
            </w:tcBorders>
            <w:shd w:val="clear" w:color="auto" w:fill="auto"/>
            <w:noWrap/>
            <w:vAlign w:val="bottom"/>
            <w:hideMark/>
          </w:tcPr>
          <w:p w14:paraId="1E62694D" w14:textId="77777777" w:rsidR="00322F1C" w:rsidRPr="009511FA" w:rsidRDefault="66FBC07F"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128,357 </w:t>
            </w:r>
          </w:p>
        </w:tc>
        <w:tc>
          <w:tcPr>
            <w:tcW w:w="1586" w:type="pct"/>
            <w:tcBorders>
              <w:top w:val="nil"/>
              <w:left w:val="nil"/>
              <w:bottom w:val="single" w:sz="4" w:space="0" w:color="auto"/>
              <w:right w:val="single" w:sz="8" w:space="0" w:color="auto"/>
            </w:tcBorders>
            <w:shd w:val="clear" w:color="auto" w:fill="auto"/>
            <w:noWrap/>
            <w:vAlign w:val="bottom"/>
            <w:hideMark/>
          </w:tcPr>
          <w:p w14:paraId="406E74E2" w14:textId="77777777" w:rsidR="00322F1C" w:rsidRPr="009511FA" w:rsidRDefault="66FBC07F"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17,568 </w:t>
            </w:r>
          </w:p>
        </w:tc>
      </w:tr>
      <w:tr w:rsidR="00322F1C" w:rsidRPr="009511FA" w14:paraId="4347D874"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15A58146" w14:textId="77777777" w:rsidR="00322F1C" w:rsidRPr="009511FA" w:rsidRDefault="00322F1C" w:rsidP="00322F1C">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9511FA">
              <w:rPr>
                <w:rFonts w:cs="Arial"/>
                <w:color w:val="000000"/>
                <w:sz w:val="22"/>
                <w:szCs w:val="22"/>
                <w:lang w:eastAsia="en-GB"/>
              </w:rPr>
              <w:t>Loft insulation</w:t>
            </w:r>
          </w:p>
        </w:tc>
        <w:tc>
          <w:tcPr>
            <w:tcW w:w="1534" w:type="pct"/>
            <w:tcBorders>
              <w:top w:val="nil"/>
              <w:left w:val="nil"/>
              <w:bottom w:val="single" w:sz="4" w:space="0" w:color="auto"/>
              <w:right w:val="single" w:sz="4" w:space="0" w:color="auto"/>
            </w:tcBorders>
            <w:shd w:val="clear" w:color="auto" w:fill="auto"/>
            <w:noWrap/>
            <w:vAlign w:val="bottom"/>
            <w:hideMark/>
          </w:tcPr>
          <w:p w14:paraId="095D11BB" w14:textId="77777777" w:rsidR="00322F1C" w:rsidRPr="009511FA" w:rsidRDefault="66FBC07F"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178,613 </w:t>
            </w:r>
          </w:p>
        </w:tc>
        <w:tc>
          <w:tcPr>
            <w:tcW w:w="1586" w:type="pct"/>
            <w:tcBorders>
              <w:top w:val="nil"/>
              <w:left w:val="nil"/>
              <w:bottom w:val="single" w:sz="4" w:space="0" w:color="auto"/>
              <w:right w:val="single" w:sz="8" w:space="0" w:color="auto"/>
            </w:tcBorders>
            <w:shd w:val="clear" w:color="auto" w:fill="auto"/>
            <w:noWrap/>
            <w:vAlign w:val="bottom"/>
            <w:hideMark/>
          </w:tcPr>
          <w:p w14:paraId="527DE85B" w14:textId="77777777" w:rsidR="00322F1C" w:rsidRPr="009511FA" w:rsidRDefault="66FBC07F"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26,354 </w:t>
            </w:r>
          </w:p>
        </w:tc>
      </w:tr>
      <w:tr w:rsidR="00322F1C" w:rsidRPr="009511FA" w14:paraId="4FE02BDA"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3647BB79" w14:textId="77777777" w:rsidR="00322F1C" w:rsidRPr="009511FA" w:rsidRDefault="00322F1C" w:rsidP="00322F1C">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9511FA">
              <w:rPr>
                <w:rFonts w:cs="Arial"/>
                <w:color w:val="000000"/>
                <w:sz w:val="22"/>
                <w:szCs w:val="22"/>
                <w:lang w:eastAsia="en-GB"/>
              </w:rPr>
              <w:t xml:space="preserve">Floor insulation </w:t>
            </w:r>
          </w:p>
        </w:tc>
        <w:tc>
          <w:tcPr>
            <w:tcW w:w="1534" w:type="pct"/>
            <w:tcBorders>
              <w:top w:val="nil"/>
              <w:left w:val="nil"/>
              <w:bottom w:val="single" w:sz="4" w:space="0" w:color="auto"/>
              <w:right w:val="single" w:sz="4" w:space="0" w:color="auto"/>
            </w:tcBorders>
            <w:shd w:val="clear" w:color="auto" w:fill="auto"/>
            <w:noWrap/>
            <w:vAlign w:val="bottom"/>
            <w:hideMark/>
          </w:tcPr>
          <w:p w14:paraId="78EFE8EB" w14:textId="77777777" w:rsidR="00322F1C" w:rsidRPr="009511FA" w:rsidRDefault="66FBC07F"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325,654 </w:t>
            </w:r>
          </w:p>
        </w:tc>
        <w:tc>
          <w:tcPr>
            <w:tcW w:w="1586" w:type="pct"/>
            <w:tcBorders>
              <w:top w:val="nil"/>
              <w:left w:val="nil"/>
              <w:bottom w:val="single" w:sz="4" w:space="0" w:color="auto"/>
              <w:right w:val="single" w:sz="8" w:space="0" w:color="auto"/>
            </w:tcBorders>
            <w:shd w:val="clear" w:color="auto" w:fill="auto"/>
            <w:noWrap/>
            <w:vAlign w:val="bottom"/>
            <w:hideMark/>
          </w:tcPr>
          <w:p w14:paraId="26C78904" w14:textId="77777777" w:rsidR="00322F1C" w:rsidRPr="009511FA" w:rsidRDefault="66FBC07F"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43,917 </w:t>
            </w:r>
          </w:p>
        </w:tc>
      </w:tr>
      <w:tr w:rsidR="00322F1C" w:rsidRPr="009511FA" w14:paraId="779CC9AC"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65FF3C62" w14:textId="77777777" w:rsidR="00322F1C" w:rsidRPr="009511FA" w:rsidRDefault="00322F1C" w:rsidP="00322F1C">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9511FA">
              <w:rPr>
                <w:rFonts w:cs="Arial"/>
                <w:color w:val="000000"/>
                <w:sz w:val="22"/>
                <w:szCs w:val="22"/>
                <w:lang w:eastAsia="en-GB"/>
              </w:rPr>
              <w:t>Glazing upgrade</w:t>
            </w:r>
          </w:p>
        </w:tc>
        <w:tc>
          <w:tcPr>
            <w:tcW w:w="1534" w:type="pct"/>
            <w:tcBorders>
              <w:top w:val="nil"/>
              <w:left w:val="nil"/>
              <w:bottom w:val="single" w:sz="4" w:space="0" w:color="auto"/>
              <w:right w:val="single" w:sz="4" w:space="0" w:color="auto"/>
            </w:tcBorders>
            <w:shd w:val="clear" w:color="auto" w:fill="auto"/>
            <w:noWrap/>
            <w:vAlign w:val="bottom"/>
            <w:hideMark/>
          </w:tcPr>
          <w:p w14:paraId="0BBC74EA" w14:textId="77777777" w:rsidR="00322F1C" w:rsidRPr="009511FA" w:rsidRDefault="66FBC07F"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45,875 </w:t>
            </w:r>
          </w:p>
        </w:tc>
        <w:tc>
          <w:tcPr>
            <w:tcW w:w="1586" w:type="pct"/>
            <w:tcBorders>
              <w:top w:val="nil"/>
              <w:left w:val="nil"/>
              <w:bottom w:val="single" w:sz="4" w:space="0" w:color="auto"/>
              <w:right w:val="single" w:sz="8" w:space="0" w:color="auto"/>
            </w:tcBorders>
            <w:shd w:val="clear" w:color="auto" w:fill="auto"/>
            <w:noWrap/>
            <w:vAlign w:val="bottom"/>
            <w:hideMark/>
          </w:tcPr>
          <w:p w14:paraId="57DDEB68" w14:textId="77777777" w:rsidR="00322F1C" w:rsidRPr="009511FA" w:rsidRDefault="66FBC07F"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4,792 </w:t>
            </w:r>
          </w:p>
        </w:tc>
      </w:tr>
      <w:tr w:rsidR="00322F1C" w:rsidRPr="009511FA" w14:paraId="34637127"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54F1C3F8" w14:textId="77777777" w:rsidR="00322F1C" w:rsidRPr="009511FA" w:rsidRDefault="00322F1C" w:rsidP="00322F1C">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9511FA">
              <w:rPr>
                <w:rFonts w:cs="Arial"/>
                <w:color w:val="000000"/>
                <w:sz w:val="22"/>
                <w:szCs w:val="22"/>
                <w:lang w:eastAsia="en-GB"/>
              </w:rPr>
              <w:t>Heating upgrade ASHP*</w:t>
            </w:r>
          </w:p>
        </w:tc>
        <w:tc>
          <w:tcPr>
            <w:tcW w:w="1534" w:type="pct"/>
            <w:tcBorders>
              <w:top w:val="nil"/>
              <w:left w:val="nil"/>
              <w:bottom w:val="single" w:sz="4" w:space="0" w:color="auto"/>
              <w:right w:val="single" w:sz="4" w:space="0" w:color="auto"/>
            </w:tcBorders>
            <w:shd w:val="clear" w:color="auto" w:fill="auto"/>
            <w:noWrap/>
            <w:vAlign w:val="bottom"/>
            <w:hideMark/>
          </w:tcPr>
          <w:p w14:paraId="59F7DDEE" w14:textId="77777777" w:rsidR="00322F1C" w:rsidRPr="009511FA" w:rsidRDefault="66FBC07F"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5,454 </w:t>
            </w:r>
          </w:p>
        </w:tc>
        <w:tc>
          <w:tcPr>
            <w:tcW w:w="1586" w:type="pct"/>
            <w:tcBorders>
              <w:top w:val="nil"/>
              <w:left w:val="nil"/>
              <w:bottom w:val="single" w:sz="4" w:space="0" w:color="auto"/>
              <w:right w:val="single" w:sz="8" w:space="0" w:color="auto"/>
            </w:tcBorders>
            <w:shd w:val="clear" w:color="auto" w:fill="auto"/>
            <w:noWrap/>
            <w:vAlign w:val="bottom"/>
            <w:hideMark/>
          </w:tcPr>
          <w:p w14:paraId="1509CF53" w14:textId="77777777" w:rsidR="00322F1C" w:rsidRPr="009511FA" w:rsidRDefault="66FBC07F"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198 </w:t>
            </w:r>
          </w:p>
        </w:tc>
      </w:tr>
      <w:tr w:rsidR="00322F1C" w:rsidRPr="009511FA" w14:paraId="44529FC4"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65F8C260" w14:textId="77777777" w:rsidR="00322F1C" w:rsidRPr="009511FA" w:rsidRDefault="00322F1C" w:rsidP="00322F1C">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9511FA">
              <w:rPr>
                <w:rFonts w:cs="Arial"/>
                <w:color w:val="000000"/>
                <w:sz w:val="22"/>
                <w:szCs w:val="22"/>
                <w:lang w:eastAsia="en-GB"/>
              </w:rPr>
              <w:t>Solar PV</w:t>
            </w:r>
          </w:p>
        </w:tc>
        <w:tc>
          <w:tcPr>
            <w:tcW w:w="1534" w:type="pct"/>
            <w:tcBorders>
              <w:top w:val="nil"/>
              <w:left w:val="nil"/>
              <w:bottom w:val="single" w:sz="4" w:space="0" w:color="auto"/>
              <w:right w:val="single" w:sz="4" w:space="0" w:color="auto"/>
            </w:tcBorders>
            <w:shd w:val="clear" w:color="auto" w:fill="auto"/>
            <w:noWrap/>
            <w:vAlign w:val="bottom"/>
            <w:hideMark/>
          </w:tcPr>
          <w:p w14:paraId="1345DB95" w14:textId="77777777" w:rsidR="00322F1C" w:rsidRPr="009511FA" w:rsidRDefault="66FBC07F"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195,952 </w:t>
            </w:r>
          </w:p>
        </w:tc>
        <w:tc>
          <w:tcPr>
            <w:tcW w:w="1586" w:type="pct"/>
            <w:tcBorders>
              <w:top w:val="nil"/>
              <w:left w:val="nil"/>
              <w:bottom w:val="single" w:sz="4" w:space="0" w:color="auto"/>
              <w:right w:val="single" w:sz="8" w:space="0" w:color="auto"/>
            </w:tcBorders>
            <w:shd w:val="clear" w:color="auto" w:fill="auto"/>
            <w:noWrap/>
            <w:vAlign w:val="bottom"/>
            <w:hideMark/>
          </w:tcPr>
          <w:p w14:paraId="7A059C85" w14:textId="77777777" w:rsidR="00322F1C" w:rsidRPr="009511FA" w:rsidRDefault="66FBC07F"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26,907 </w:t>
            </w:r>
          </w:p>
        </w:tc>
      </w:tr>
      <w:tr w:rsidR="00322F1C" w:rsidRPr="009511FA" w14:paraId="02572C51" w14:textId="77777777" w:rsidTr="3B6BD473">
        <w:trPr>
          <w:trHeight w:val="300"/>
        </w:trPr>
        <w:tc>
          <w:tcPr>
            <w:tcW w:w="1879" w:type="pct"/>
            <w:tcBorders>
              <w:top w:val="nil"/>
              <w:left w:val="single" w:sz="8" w:space="0" w:color="auto"/>
              <w:bottom w:val="single" w:sz="8" w:space="0" w:color="auto"/>
              <w:right w:val="single" w:sz="8" w:space="0" w:color="auto"/>
            </w:tcBorders>
            <w:shd w:val="clear" w:color="auto" w:fill="auto"/>
            <w:noWrap/>
            <w:vAlign w:val="center"/>
            <w:hideMark/>
          </w:tcPr>
          <w:p w14:paraId="30C7E903" w14:textId="77777777" w:rsidR="00322F1C" w:rsidRPr="009511FA" w:rsidRDefault="00322F1C" w:rsidP="00322F1C">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9511FA">
              <w:rPr>
                <w:rFonts w:cs="Arial"/>
                <w:color w:val="000000"/>
                <w:sz w:val="22"/>
                <w:szCs w:val="22"/>
                <w:lang w:eastAsia="en-GB"/>
              </w:rPr>
              <w:t>Solar Thermal</w:t>
            </w:r>
          </w:p>
        </w:tc>
        <w:tc>
          <w:tcPr>
            <w:tcW w:w="1534" w:type="pct"/>
            <w:tcBorders>
              <w:top w:val="nil"/>
              <w:left w:val="nil"/>
              <w:bottom w:val="single" w:sz="8" w:space="0" w:color="auto"/>
              <w:right w:val="single" w:sz="4" w:space="0" w:color="auto"/>
            </w:tcBorders>
            <w:shd w:val="clear" w:color="auto" w:fill="auto"/>
            <w:noWrap/>
            <w:vAlign w:val="bottom"/>
            <w:hideMark/>
          </w:tcPr>
          <w:p w14:paraId="0042E485" w14:textId="77777777" w:rsidR="00322F1C" w:rsidRPr="009511FA" w:rsidRDefault="66FBC07F"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195,817 </w:t>
            </w:r>
          </w:p>
        </w:tc>
        <w:tc>
          <w:tcPr>
            <w:tcW w:w="1586" w:type="pct"/>
            <w:tcBorders>
              <w:top w:val="nil"/>
              <w:left w:val="nil"/>
              <w:bottom w:val="single" w:sz="8" w:space="0" w:color="auto"/>
              <w:right w:val="single" w:sz="8" w:space="0" w:color="auto"/>
            </w:tcBorders>
            <w:shd w:val="clear" w:color="auto" w:fill="auto"/>
            <w:noWrap/>
            <w:vAlign w:val="bottom"/>
            <w:hideMark/>
          </w:tcPr>
          <w:p w14:paraId="21458049" w14:textId="77777777" w:rsidR="00322F1C" w:rsidRPr="009511FA" w:rsidRDefault="66FBC07F"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26,918 </w:t>
            </w:r>
          </w:p>
        </w:tc>
      </w:tr>
    </w:tbl>
    <w:p w14:paraId="6B65B912" w14:textId="7B24BB1F" w:rsidR="00E20DF7" w:rsidRDefault="00E20DF7" w:rsidP="00E20DF7">
      <w:pPr>
        <w:spacing w:line="257" w:lineRule="auto"/>
        <w:rPr>
          <w:rFonts w:ascii="Calibri" w:eastAsia="Calibri" w:hAnsi="Calibri" w:cs="Calibri"/>
          <w:sz w:val="22"/>
          <w:szCs w:val="22"/>
        </w:rPr>
      </w:pPr>
    </w:p>
    <w:p w14:paraId="2F79D987" w14:textId="4E92C93E" w:rsidR="00312A0A" w:rsidRPr="009511FA" w:rsidRDefault="00E20DF7" w:rsidP="006622EC">
      <w:pPr>
        <w:spacing w:line="257" w:lineRule="auto"/>
        <w:rPr>
          <w:rFonts w:eastAsia="Calibri" w:cs="Arial"/>
          <w:sz w:val="22"/>
          <w:szCs w:val="22"/>
        </w:rPr>
      </w:pPr>
      <w:r w:rsidRPr="3B6BD473">
        <w:rPr>
          <w:rFonts w:eastAsia="Calibri" w:cs="Arial"/>
          <w:sz w:val="22"/>
          <w:szCs w:val="22"/>
        </w:rPr>
        <w:t xml:space="preserve">*The ASHP opportunity in Table 1 above assumes that the property would not be connected to the gas network in order to be suitable for an Air Source Heat Pump (ASHP). However, this not </w:t>
      </w:r>
      <w:r w:rsidR="4A1B606C" w:rsidRPr="3B6BD473">
        <w:rPr>
          <w:rFonts w:eastAsia="Calibri" w:cs="Arial"/>
          <w:sz w:val="22"/>
          <w:szCs w:val="22"/>
        </w:rPr>
        <w:t>a prerequisite</w:t>
      </w:r>
      <w:r w:rsidRPr="3B6BD473">
        <w:rPr>
          <w:rFonts w:eastAsia="Calibri" w:cs="Arial"/>
          <w:sz w:val="22"/>
          <w:szCs w:val="22"/>
        </w:rPr>
        <w:t xml:space="preserve"> for this scheme where fossil fuel heating installations are not eligible. </w:t>
      </w:r>
      <w:r w:rsidRPr="3B6BD473">
        <w:rPr>
          <w:rFonts w:eastAsia="Calibri" w:cs="Arial"/>
          <w:sz w:val="22"/>
          <w:szCs w:val="22"/>
        </w:rPr>
        <w:lastRenderedPageBreak/>
        <w:t xml:space="preserve">On this basis the number of likely eligible properties that might theoretically benefit from an ASHP installation is more </w:t>
      </w:r>
      <w:r w:rsidRPr="3B6BD473">
        <w:rPr>
          <w:rFonts w:eastAsia="Calibri" w:cs="Arial"/>
          <w:color w:val="000000" w:themeColor="text1"/>
          <w:sz w:val="22"/>
          <w:szCs w:val="22"/>
        </w:rPr>
        <w:t xml:space="preserve">like </w:t>
      </w:r>
      <w:r w:rsidR="00AB7180" w:rsidRPr="3B6BD473">
        <w:rPr>
          <w:rFonts w:eastAsia="Calibri" w:cs="Arial"/>
          <w:color w:val="000000" w:themeColor="text1"/>
          <w:sz w:val="22"/>
          <w:szCs w:val="22"/>
        </w:rPr>
        <w:t>11</w:t>
      </w:r>
      <w:r w:rsidR="000A7F45" w:rsidRPr="3B6BD473">
        <w:rPr>
          <w:rFonts w:eastAsia="Calibri" w:cs="Arial"/>
          <w:color w:val="000000" w:themeColor="text1"/>
          <w:sz w:val="22"/>
          <w:szCs w:val="22"/>
        </w:rPr>
        <w:t>,</w:t>
      </w:r>
      <w:r w:rsidR="00AB7180" w:rsidRPr="3B6BD473">
        <w:rPr>
          <w:rFonts w:eastAsia="Calibri" w:cs="Arial"/>
          <w:color w:val="000000" w:themeColor="text1"/>
          <w:sz w:val="22"/>
          <w:szCs w:val="22"/>
        </w:rPr>
        <w:t>5</w:t>
      </w:r>
      <w:r w:rsidR="000A7F45" w:rsidRPr="3B6BD473">
        <w:rPr>
          <w:rFonts w:eastAsia="Calibri" w:cs="Arial"/>
          <w:color w:val="000000" w:themeColor="text1"/>
          <w:sz w:val="22"/>
          <w:szCs w:val="22"/>
        </w:rPr>
        <w:t>00</w:t>
      </w:r>
      <w:r w:rsidRPr="3B6BD473">
        <w:rPr>
          <w:rFonts w:eastAsia="Calibri" w:cs="Arial"/>
          <w:color w:val="000000" w:themeColor="text1"/>
          <w:sz w:val="22"/>
          <w:szCs w:val="22"/>
        </w:rPr>
        <w:t xml:space="preserve"> </w:t>
      </w:r>
      <w:r w:rsidRPr="3B6BD473">
        <w:rPr>
          <w:rFonts w:eastAsia="Calibri" w:cs="Arial"/>
          <w:sz w:val="22"/>
          <w:szCs w:val="22"/>
        </w:rPr>
        <w:t xml:space="preserve">for </w:t>
      </w:r>
      <w:proofErr w:type="spellStart"/>
      <w:r w:rsidR="00E057CB" w:rsidRPr="3B6BD473">
        <w:rPr>
          <w:rFonts w:eastAsia="Calibri" w:cs="Arial"/>
          <w:sz w:val="22"/>
          <w:szCs w:val="22"/>
        </w:rPr>
        <w:t>WoE</w:t>
      </w:r>
      <w:proofErr w:type="spellEnd"/>
      <w:r w:rsidRPr="3B6BD473">
        <w:rPr>
          <w:rFonts w:eastAsia="Calibri" w:cs="Arial"/>
          <w:sz w:val="22"/>
          <w:szCs w:val="22"/>
        </w:rPr>
        <w:t>.</w:t>
      </w:r>
      <w:r w:rsidRPr="3B6BD473">
        <w:rPr>
          <w:rFonts w:cs="Arial"/>
          <w:sz w:val="22"/>
          <w:szCs w:val="22"/>
        </w:rPr>
        <w:br w:type="page"/>
      </w:r>
    </w:p>
    <w:p w14:paraId="676F73A8" w14:textId="6634C5BC" w:rsidR="00C85EC1" w:rsidRPr="00AC1ECD" w:rsidRDefault="00AC1ECD" w:rsidP="00312A0A">
      <w:pPr>
        <w:spacing w:after="120"/>
        <w:rPr>
          <w:rFonts w:cs="Arial"/>
          <w:b/>
          <w:sz w:val="22"/>
          <w:szCs w:val="22"/>
        </w:rPr>
      </w:pPr>
      <w:r w:rsidRPr="00AC1ECD">
        <w:rPr>
          <w:rFonts w:cs="Arial"/>
          <w:b/>
          <w:sz w:val="22"/>
          <w:szCs w:val="22"/>
        </w:rPr>
        <w:lastRenderedPageBreak/>
        <w:t>LOT 3: HEART OF THE SOUTH WEST</w:t>
      </w:r>
    </w:p>
    <w:p w14:paraId="01141FE6" w14:textId="7C1876B8" w:rsidR="00312A0A" w:rsidRDefault="00312A0A" w:rsidP="00312A0A">
      <w:pPr>
        <w:spacing w:after="120"/>
        <w:rPr>
          <w:rFonts w:cs="Arial"/>
          <w:sz w:val="22"/>
          <w:szCs w:val="22"/>
        </w:rPr>
      </w:pPr>
    </w:p>
    <w:p w14:paraId="53AC0F21" w14:textId="1CC8E2A3" w:rsidR="00AC1ECD" w:rsidRDefault="00AC1ECD" w:rsidP="00AC1ECD">
      <w:pPr>
        <w:spacing w:after="120"/>
        <w:rPr>
          <w:rFonts w:cs="Arial"/>
          <w:sz w:val="22"/>
          <w:szCs w:val="22"/>
        </w:rPr>
      </w:pPr>
      <w:r w:rsidRPr="5664A060">
        <w:rPr>
          <w:rFonts w:cs="Arial"/>
          <w:b/>
          <w:bCs/>
          <w:sz w:val="22"/>
          <w:szCs w:val="22"/>
        </w:rPr>
        <w:t>Value of the Lot:</w:t>
      </w:r>
      <w:r w:rsidRPr="5664A060">
        <w:rPr>
          <w:rFonts w:cs="Arial"/>
          <w:sz w:val="22"/>
          <w:szCs w:val="22"/>
        </w:rPr>
        <w:t xml:space="preserve"> £</w:t>
      </w:r>
      <w:r w:rsidR="00CD5E4F" w:rsidRPr="5664A060">
        <w:rPr>
          <w:color w:val="000000" w:themeColor="text1"/>
          <w:sz w:val="22"/>
          <w:szCs w:val="22"/>
          <w:lang w:eastAsia="en-GB"/>
        </w:rPr>
        <w:t>14,790,59</w:t>
      </w:r>
      <w:r w:rsidR="5653A311" w:rsidRPr="5664A060">
        <w:rPr>
          <w:color w:val="000000" w:themeColor="text1"/>
          <w:sz w:val="22"/>
          <w:szCs w:val="22"/>
          <w:lang w:eastAsia="en-GB"/>
        </w:rPr>
        <w:t>5</w:t>
      </w:r>
    </w:p>
    <w:p w14:paraId="7FFB70A8" w14:textId="2E417786" w:rsidR="00AC1ECD" w:rsidRDefault="00AC1ECD" w:rsidP="00AC1ECD">
      <w:pPr>
        <w:spacing w:after="120"/>
        <w:rPr>
          <w:rFonts w:cs="Arial"/>
          <w:b/>
          <w:sz w:val="22"/>
          <w:szCs w:val="22"/>
        </w:rPr>
      </w:pPr>
      <w:r w:rsidRPr="00215180">
        <w:rPr>
          <w:rFonts w:cs="Arial"/>
          <w:b/>
          <w:sz w:val="22"/>
          <w:szCs w:val="22"/>
        </w:rPr>
        <w:t xml:space="preserve">Geographic area: </w:t>
      </w:r>
    </w:p>
    <w:p w14:paraId="20932DA4" w14:textId="14D35625" w:rsidR="00170109" w:rsidRDefault="004530BF" w:rsidP="00AC1ECD">
      <w:pPr>
        <w:spacing w:after="120"/>
        <w:rPr>
          <w:rFonts w:cs="Arial"/>
          <w:sz w:val="22"/>
          <w:szCs w:val="22"/>
        </w:rPr>
      </w:pPr>
      <w:r>
        <w:rPr>
          <w:rFonts w:cs="Arial"/>
          <w:sz w:val="22"/>
          <w:szCs w:val="22"/>
        </w:rPr>
        <w:t>Exeter</w:t>
      </w:r>
      <w:r w:rsidR="00E36FC7">
        <w:rPr>
          <w:rFonts w:cs="Arial"/>
          <w:sz w:val="22"/>
          <w:szCs w:val="22"/>
        </w:rPr>
        <w:t xml:space="preserve"> </w:t>
      </w:r>
      <w:r w:rsidR="007B6673">
        <w:rPr>
          <w:rFonts w:cs="Arial"/>
          <w:sz w:val="22"/>
          <w:szCs w:val="22"/>
        </w:rPr>
        <w:t>City Council</w:t>
      </w:r>
    </w:p>
    <w:p w14:paraId="599FD7CF" w14:textId="452EDD57" w:rsidR="00E36FC7" w:rsidRDefault="00F20F3B" w:rsidP="00AC1ECD">
      <w:pPr>
        <w:spacing w:after="120"/>
        <w:rPr>
          <w:rFonts w:cs="Arial"/>
          <w:sz w:val="22"/>
          <w:szCs w:val="22"/>
        </w:rPr>
      </w:pPr>
      <w:r>
        <w:rPr>
          <w:rFonts w:cs="Arial"/>
          <w:sz w:val="22"/>
          <w:szCs w:val="22"/>
        </w:rPr>
        <w:t>East Devon District Council</w:t>
      </w:r>
    </w:p>
    <w:p w14:paraId="0D1F1F8B" w14:textId="77777777" w:rsidR="005B191A" w:rsidRDefault="005B191A" w:rsidP="00AC1ECD">
      <w:pPr>
        <w:spacing w:after="120"/>
        <w:rPr>
          <w:rFonts w:cs="Arial"/>
          <w:sz w:val="22"/>
          <w:szCs w:val="22"/>
        </w:rPr>
      </w:pPr>
      <w:r>
        <w:rPr>
          <w:rFonts w:cs="Arial"/>
          <w:sz w:val="22"/>
          <w:szCs w:val="22"/>
        </w:rPr>
        <w:t>Mendip District Council</w:t>
      </w:r>
    </w:p>
    <w:p w14:paraId="31EE3609" w14:textId="4847FF6F" w:rsidR="00F20F3B" w:rsidRDefault="00E234C8" w:rsidP="00AC1ECD">
      <w:pPr>
        <w:spacing w:after="120"/>
        <w:rPr>
          <w:rFonts w:cs="Arial"/>
          <w:sz w:val="22"/>
          <w:szCs w:val="22"/>
        </w:rPr>
      </w:pPr>
      <w:r>
        <w:rPr>
          <w:rFonts w:cs="Arial"/>
          <w:sz w:val="22"/>
          <w:szCs w:val="22"/>
        </w:rPr>
        <w:t>Mid Devon District Council</w:t>
      </w:r>
    </w:p>
    <w:p w14:paraId="2FC78C5C" w14:textId="20CD2FB5" w:rsidR="00E234C8" w:rsidRDefault="00E234C8" w:rsidP="00AC1ECD">
      <w:pPr>
        <w:spacing w:after="120"/>
        <w:rPr>
          <w:rFonts w:cs="Arial"/>
          <w:sz w:val="22"/>
          <w:szCs w:val="22"/>
        </w:rPr>
      </w:pPr>
      <w:r>
        <w:rPr>
          <w:rFonts w:cs="Arial"/>
          <w:sz w:val="22"/>
          <w:szCs w:val="22"/>
        </w:rPr>
        <w:t>North Devon District Council</w:t>
      </w:r>
    </w:p>
    <w:p w14:paraId="7AAC00E7" w14:textId="4BB8E221" w:rsidR="00DF089D" w:rsidRDefault="00DF089D" w:rsidP="00AC1ECD">
      <w:pPr>
        <w:spacing w:after="120"/>
        <w:rPr>
          <w:rFonts w:cs="Arial"/>
          <w:sz w:val="22"/>
          <w:szCs w:val="22"/>
        </w:rPr>
      </w:pPr>
      <w:r>
        <w:rPr>
          <w:rFonts w:cs="Arial"/>
          <w:sz w:val="22"/>
          <w:szCs w:val="22"/>
        </w:rPr>
        <w:t xml:space="preserve">Plymouth </w:t>
      </w:r>
      <w:r w:rsidR="00232CCE">
        <w:rPr>
          <w:rFonts w:cs="Arial"/>
          <w:sz w:val="22"/>
          <w:szCs w:val="22"/>
        </w:rPr>
        <w:t>City Council</w:t>
      </w:r>
    </w:p>
    <w:p w14:paraId="528073AB" w14:textId="24E24396" w:rsidR="005B191A" w:rsidRDefault="005B191A" w:rsidP="00AC1ECD">
      <w:pPr>
        <w:spacing w:after="120"/>
        <w:rPr>
          <w:rFonts w:cs="Arial"/>
          <w:sz w:val="22"/>
          <w:szCs w:val="22"/>
        </w:rPr>
      </w:pPr>
      <w:r>
        <w:rPr>
          <w:rFonts w:cs="Arial"/>
          <w:sz w:val="22"/>
          <w:szCs w:val="22"/>
        </w:rPr>
        <w:t xml:space="preserve">Sedgemoor District Council </w:t>
      </w:r>
    </w:p>
    <w:p w14:paraId="2E29B944" w14:textId="77777777" w:rsidR="005B191A" w:rsidRDefault="005B191A" w:rsidP="00AC1ECD">
      <w:pPr>
        <w:spacing w:after="120"/>
        <w:rPr>
          <w:rFonts w:cs="Arial"/>
          <w:sz w:val="22"/>
          <w:szCs w:val="22"/>
        </w:rPr>
      </w:pPr>
      <w:r>
        <w:rPr>
          <w:rFonts w:cs="Arial"/>
          <w:sz w:val="22"/>
          <w:szCs w:val="22"/>
        </w:rPr>
        <w:t>South Hams District Council</w:t>
      </w:r>
    </w:p>
    <w:p w14:paraId="17478A84" w14:textId="5B24CF18" w:rsidR="005B191A" w:rsidRDefault="005B191A" w:rsidP="00AC1ECD">
      <w:pPr>
        <w:spacing w:after="120"/>
        <w:rPr>
          <w:rFonts w:cs="Arial"/>
          <w:sz w:val="22"/>
          <w:szCs w:val="22"/>
        </w:rPr>
      </w:pPr>
      <w:r>
        <w:rPr>
          <w:rFonts w:cs="Arial"/>
          <w:sz w:val="22"/>
          <w:szCs w:val="22"/>
        </w:rPr>
        <w:t>South Somerset District Council</w:t>
      </w:r>
    </w:p>
    <w:p w14:paraId="0741091E" w14:textId="77777777" w:rsidR="005B191A" w:rsidRDefault="005B191A" w:rsidP="00AC1ECD">
      <w:pPr>
        <w:spacing w:after="120"/>
        <w:rPr>
          <w:rFonts w:cs="Arial"/>
          <w:sz w:val="22"/>
          <w:szCs w:val="22"/>
        </w:rPr>
      </w:pPr>
      <w:r>
        <w:rPr>
          <w:rFonts w:cs="Arial"/>
          <w:sz w:val="22"/>
          <w:szCs w:val="22"/>
        </w:rPr>
        <w:t>Taunton Deane District Council</w:t>
      </w:r>
    </w:p>
    <w:p w14:paraId="13525F32" w14:textId="4408235A" w:rsidR="00416F4C" w:rsidRDefault="00D65280" w:rsidP="00AC1ECD">
      <w:pPr>
        <w:spacing w:after="120"/>
        <w:rPr>
          <w:rFonts w:cs="Arial"/>
          <w:sz w:val="22"/>
          <w:szCs w:val="22"/>
        </w:rPr>
      </w:pPr>
      <w:r>
        <w:rPr>
          <w:rFonts w:cs="Arial"/>
          <w:sz w:val="22"/>
          <w:szCs w:val="22"/>
        </w:rPr>
        <w:t>Teignbri</w:t>
      </w:r>
      <w:r w:rsidR="005B191A">
        <w:rPr>
          <w:rFonts w:cs="Arial"/>
          <w:sz w:val="22"/>
          <w:szCs w:val="22"/>
        </w:rPr>
        <w:t>d</w:t>
      </w:r>
      <w:r>
        <w:rPr>
          <w:rFonts w:cs="Arial"/>
          <w:sz w:val="22"/>
          <w:szCs w:val="22"/>
        </w:rPr>
        <w:t>g</w:t>
      </w:r>
      <w:r w:rsidR="00F94A57">
        <w:rPr>
          <w:rFonts w:cs="Arial"/>
          <w:sz w:val="22"/>
          <w:szCs w:val="22"/>
        </w:rPr>
        <w:t>e District Council</w:t>
      </w:r>
    </w:p>
    <w:p w14:paraId="267769D6" w14:textId="26A70434" w:rsidR="005B191A" w:rsidRDefault="005B191A" w:rsidP="00AC1ECD">
      <w:pPr>
        <w:spacing w:after="120"/>
        <w:rPr>
          <w:rFonts w:cs="Arial"/>
          <w:sz w:val="22"/>
          <w:szCs w:val="22"/>
        </w:rPr>
      </w:pPr>
      <w:r>
        <w:rPr>
          <w:rFonts w:cs="Arial"/>
          <w:sz w:val="22"/>
          <w:szCs w:val="22"/>
        </w:rPr>
        <w:t xml:space="preserve">Torbay </w:t>
      </w:r>
      <w:r w:rsidR="00A122D3">
        <w:rPr>
          <w:rFonts w:cs="Arial"/>
          <w:sz w:val="22"/>
          <w:szCs w:val="22"/>
        </w:rPr>
        <w:t>Council</w:t>
      </w:r>
    </w:p>
    <w:p w14:paraId="53376AC3" w14:textId="23C3EAF8" w:rsidR="00E234C8" w:rsidRDefault="00416F4C" w:rsidP="00AC1ECD">
      <w:pPr>
        <w:spacing w:after="120"/>
        <w:rPr>
          <w:rFonts w:cs="Arial"/>
          <w:sz w:val="22"/>
          <w:szCs w:val="22"/>
        </w:rPr>
      </w:pPr>
      <w:r>
        <w:rPr>
          <w:rFonts w:cs="Arial"/>
          <w:sz w:val="22"/>
          <w:szCs w:val="22"/>
        </w:rPr>
        <w:t>West Devon District Council</w:t>
      </w:r>
    </w:p>
    <w:p w14:paraId="2E1A02F0" w14:textId="39ABAF52" w:rsidR="007B7920" w:rsidRPr="00222E24" w:rsidRDefault="007B7920" w:rsidP="00AC1ECD">
      <w:pPr>
        <w:spacing w:after="120"/>
        <w:rPr>
          <w:rFonts w:cs="Arial"/>
          <w:sz w:val="22"/>
          <w:szCs w:val="22"/>
        </w:rPr>
      </w:pPr>
      <w:r>
        <w:rPr>
          <w:rFonts w:cs="Arial"/>
          <w:sz w:val="22"/>
          <w:szCs w:val="22"/>
        </w:rPr>
        <w:t>West Somerset District Council</w:t>
      </w:r>
    </w:p>
    <w:p w14:paraId="131FE2E9" w14:textId="77777777" w:rsidR="00AC1ECD" w:rsidRDefault="00AC1ECD" w:rsidP="00AC1ECD">
      <w:pPr>
        <w:spacing w:after="120"/>
        <w:rPr>
          <w:rFonts w:cs="Arial"/>
          <w:sz w:val="22"/>
          <w:szCs w:val="22"/>
        </w:rPr>
      </w:pPr>
    </w:p>
    <w:p w14:paraId="4950D139" w14:textId="46862DE7" w:rsidR="00AC1ECD" w:rsidRPr="00312A0A" w:rsidRDefault="00AC1ECD" w:rsidP="00AC1ECD">
      <w:pPr>
        <w:spacing w:after="120"/>
        <w:rPr>
          <w:rFonts w:cs="Arial"/>
          <w:sz w:val="22"/>
          <w:szCs w:val="22"/>
        </w:rPr>
      </w:pPr>
      <w:r w:rsidRPr="00215180">
        <w:rPr>
          <w:rFonts w:cs="Arial"/>
          <w:b/>
          <w:sz w:val="22"/>
          <w:szCs w:val="22"/>
        </w:rPr>
        <w:t>Anticipated number of installations:</w:t>
      </w:r>
      <w:r w:rsidR="00CD5E4F" w:rsidRPr="00CD5E4F">
        <w:rPr>
          <w:color w:val="000000"/>
          <w:lang w:eastAsia="en-GB"/>
        </w:rPr>
        <w:t xml:space="preserve"> </w:t>
      </w:r>
      <w:r w:rsidR="00CD5E4F" w:rsidRPr="00CD5E4F">
        <w:rPr>
          <w:color w:val="000000"/>
          <w:sz w:val="22"/>
          <w:szCs w:val="22"/>
          <w:lang w:eastAsia="en-GB"/>
        </w:rPr>
        <w:t>1,324</w:t>
      </w:r>
    </w:p>
    <w:p w14:paraId="7B8999BA" w14:textId="77777777" w:rsidR="00CD5E4F" w:rsidRDefault="00CD5E4F" w:rsidP="00CD5E4F">
      <w:pPr>
        <w:spacing w:line="257" w:lineRule="auto"/>
        <w:rPr>
          <w:rFonts w:cs="Arial"/>
          <w:sz w:val="22"/>
          <w:szCs w:val="22"/>
        </w:rPr>
      </w:pPr>
      <w:r w:rsidRPr="002624DB">
        <w:rPr>
          <w:color w:val="000000"/>
          <w:sz w:val="22"/>
          <w:szCs w:val="22"/>
          <w:lang w:eastAsia="en-GB"/>
        </w:rPr>
        <w:t xml:space="preserve">Number of installations is based on completing only owner occupier properties and with an average total spend of £10,000 per property. </w:t>
      </w:r>
      <w:r>
        <w:rPr>
          <w:color w:val="000000"/>
          <w:sz w:val="22"/>
          <w:szCs w:val="22"/>
          <w:lang w:eastAsia="en-GB"/>
        </w:rPr>
        <w:t>It is likely that the numbers will be made up of a mixture of owner occupier, social and private rental properties and therefore these numbers are at the lower end of the spectrum.</w:t>
      </w:r>
    </w:p>
    <w:p w14:paraId="39597987" w14:textId="68DB7CA4" w:rsidR="0035637D" w:rsidRDefault="0035637D" w:rsidP="00BB6E6D">
      <w:pPr>
        <w:spacing w:line="257" w:lineRule="auto"/>
        <w:rPr>
          <w:rFonts w:ascii="Calibri" w:eastAsia="Calibri" w:hAnsi="Calibri" w:cs="Calibri"/>
          <w:sz w:val="22"/>
          <w:szCs w:val="22"/>
        </w:rPr>
      </w:pPr>
    </w:p>
    <w:p w14:paraId="47497F90" w14:textId="3ADE0E01" w:rsidR="00CD5E4F" w:rsidRPr="00CD5E4F" w:rsidRDefault="00CD5E4F" w:rsidP="00BB6E6D">
      <w:pPr>
        <w:spacing w:line="257" w:lineRule="auto"/>
        <w:rPr>
          <w:rFonts w:eastAsia="Calibri" w:cs="Arial"/>
          <w:b/>
          <w:sz w:val="22"/>
          <w:szCs w:val="22"/>
        </w:rPr>
      </w:pPr>
      <w:r w:rsidRPr="00CD5E4F">
        <w:rPr>
          <w:rFonts w:eastAsia="Calibri" w:cs="Arial"/>
          <w:b/>
          <w:sz w:val="22"/>
          <w:szCs w:val="22"/>
        </w:rPr>
        <w:t>Potential Market</w:t>
      </w:r>
    </w:p>
    <w:p w14:paraId="10BF4629" w14:textId="5D2CC86B" w:rsidR="4E56648B" w:rsidRPr="00CD5E4F" w:rsidRDefault="4E56648B" w:rsidP="00BB6E6D">
      <w:pPr>
        <w:spacing w:line="257" w:lineRule="auto"/>
        <w:rPr>
          <w:rFonts w:eastAsia="Calibri" w:cs="Arial"/>
          <w:sz w:val="22"/>
          <w:szCs w:val="22"/>
        </w:rPr>
      </w:pPr>
      <w:bookmarkStart w:id="1" w:name="_Hlk64018163"/>
      <w:r w:rsidRPr="3B6BD473">
        <w:rPr>
          <w:rFonts w:eastAsia="Calibri" w:cs="Arial"/>
          <w:sz w:val="22"/>
          <w:szCs w:val="22"/>
        </w:rPr>
        <w:t xml:space="preserve">The Heart of </w:t>
      </w:r>
      <w:r w:rsidRPr="3B6BD473">
        <w:rPr>
          <w:rFonts w:eastAsia="Calibri" w:cs="Arial"/>
          <w:color w:val="000000" w:themeColor="text1"/>
          <w:sz w:val="22"/>
          <w:szCs w:val="22"/>
        </w:rPr>
        <w:t>the south west LEP contains likely 560,000 properties rated EPC ‘D’ or below. Of these in the region of 8</w:t>
      </w:r>
      <w:r w:rsidR="00C06D68" w:rsidRPr="3B6BD473">
        <w:rPr>
          <w:rFonts w:eastAsia="Calibri" w:cs="Arial"/>
          <w:color w:val="000000" w:themeColor="text1"/>
          <w:sz w:val="22"/>
          <w:szCs w:val="22"/>
        </w:rPr>
        <w:t>7</w:t>
      </w:r>
      <w:r w:rsidRPr="3B6BD473">
        <w:rPr>
          <w:rFonts w:eastAsia="Calibri" w:cs="Arial"/>
          <w:color w:val="000000" w:themeColor="text1"/>
          <w:sz w:val="22"/>
          <w:szCs w:val="22"/>
        </w:rPr>
        <w:t xml:space="preserve">,000 are in areas where there is a higher likelihood that households will fall within the scheme’s </w:t>
      </w:r>
      <w:r w:rsidR="0C14E7C4" w:rsidRPr="3B6BD473">
        <w:rPr>
          <w:rFonts w:eastAsia="Calibri" w:cs="Arial"/>
          <w:color w:val="000000" w:themeColor="text1"/>
          <w:sz w:val="22"/>
          <w:szCs w:val="22"/>
        </w:rPr>
        <w:t>income-based</w:t>
      </w:r>
      <w:r w:rsidRPr="3B6BD473">
        <w:rPr>
          <w:rFonts w:eastAsia="Calibri" w:cs="Arial"/>
          <w:color w:val="000000" w:themeColor="text1"/>
          <w:sz w:val="22"/>
          <w:szCs w:val="22"/>
        </w:rPr>
        <w:t xml:space="preserve"> eligibility </w:t>
      </w:r>
      <w:r w:rsidRPr="3B6BD473">
        <w:rPr>
          <w:rFonts w:eastAsia="Calibri" w:cs="Arial"/>
          <w:sz w:val="22"/>
          <w:szCs w:val="22"/>
        </w:rPr>
        <w:t xml:space="preserve">criteria. </w:t>
      </w:r>
    </w:p>
    <w:p w14:paraId="38395D62" w14:textId="77777777" w:rsidR="0035637D" w:rsidRPr="00CD5E4F" w:rsidRDefault="0035637D" w:rsidP="00BB6E6D">
      <w:pPr>
        <w:spacing w:line="257" w:lineRule="auto"/>
        <w:rPr>
          <w:rFonts w:eastAsia="Calibri" w:cs="Arial"/>
          <w:sz w:val="22"/>
          <w:szCs w:val="22"/>
        </w:rPr>
      </w:pPr>
    </w:p>
    <w:p w14:paraId="046EDD5B" w14:textId="04F4CA3A" w:rsidR="4E56648B" w:rsidRPr="00CD5E4F" w:rsidRDefault="4E56648B" w:rsidP="00BB6E6D">
      <w:pPr>
        <w:spacing w:line="257" w:lineRule="auto"/>
        <w:rPr>
          <w:rFonts w:eastAsia="Calibri" w:cs="Arial"/>
          <w:sz w:val="22"/>
          <w:szCs w:val="22"/>
        </w:rPr>
      </w:pPr>
      <w:proofErr w:type="gramStart"/>
      <w:r w:rsidRPr="00CD5E4F">
        <w:rPr>
          <w:rFonts w:eastAsia="Calibri" w:cs="Arial"/>
          <w:sz w:val="22"/>
          <w:szCs w:val="22"/>
        </w:rPr>
        <w:t>By definition of</w:t>
      </w:r>
      <w:proofErr w:type="gramEnd"/>
      <w:r w:rsidRPr="00CD5E4F">
        <w:rPr>
          <w:rFonts w:eastAsia="Calibri" w:cs="Arial"/>
          <w:sz w:val="22"/>
          <w:szCs w:val="22"/>
        </w:rPr>
        <w:t xml:space="preserve"> being EPC band ‘D’ or below, many of these properties will benefit from one or more of the eligible measures that can be delivered through the scheme. Table 1 below shows the number of households in the </w:t>
      </w:r>
      <w:proofErr w:type="spellStart"/>
      <w:r w:rsidRPr="00CD5E4F">
        <w:rPr>
          <w:rFonts w:eastAsia="Calibri" w:cs="Arial"/>
          <w:sz w:val="22"/>
          <w:szCs w:val="22"/>
        </w:rPr>
        <w:t>HoSW</w:t>
      </w:r>
      <w:proofErr w:type="spellEnd"/>
      <w:r w:rsidRPr="00CD5E4F">
        <w:rPr>
          <w:rFonts w:eastAsia="Calibri" w:cs="Arial"/>
          <w:sz w:val="22"/>
          <w:szCs w:val="22"/>
        </w:rPr>
        <w:t xml:space="preserve"> that would benefit from some of the schemes keys measures</w:t>
      </w:r>
      <w:r w:rsidR="00726E85" w:rsidRPr="00CD5E4F">
        <w:rPr>
          <w:rFonts w:eastAsia="Calibri" w:cs="Arial"/>
          <w:sz w:val="22"/>
          <w:szCs w:val="22"/>
        </w:rPr>
        <w:t xml:space="preserve"> that </w:t>
      </w:r>
      <w:r w:rsidR="00DF6F9C" w:rsidRPr="00CD5E4F">
        <w:rPr>
          <w:rFonts w:eastAsia="Calibri" w:cs="Arial"/>
          <w:sz w:val="22"/>
          <w:szCs w:val="22"/>
        </w:rPr>
        <w:t>are likely to be EPC band D or below</w:t>
      </w:r>
      <w:r w:rsidR="00FD132E" w:rsidRPr="00CD5E4F">
        <w:rPr>
          <w:rFonts w:eastAsia="Calibri" w:cs="Arial"/>
          <w:sz w:val="22"/>
          <w:szCs w:val="22"/>
        </w:rPr>
        <w:t>. Additionally</w:t>
      </w:r>
      <w:r w:rsidRPr="00CD5E4F">
        <w:rPr>
          <w:rFonts w:eastAsia="Calibri" w:cs="Arial"/>
          <w:sz w:val="22"/>
          <w:szCs w:val="22"/>
        </w:rPr>
        <w:t xml:space="preserve">, </w:t>
      </w:r>
      <w:r w:rsidR="00FD132E" w:rsidRPr="00CD5E4F">
        <w:rPr>
          <w:rFonts w:eastAsia="Calibri" w:cs="Arial"/>
          <w:sz w:val="22"/>
          <w:szCs w:val="22"/>
        </w:rPr>
        <w:t xml:space="preserve">it shows </w:t>
      </w:r>
      <w:r w:rsidRPr="00CD5E4F">
        <w:rPr>
          <w:rFonts w:eastAsia="Calibri" w:cs="Arial"/>
          <w:sz w:val="22"/>
          <w:szCs w:val="22"/>
        </w:rPr>
        <w:t xml:space="preserve">where </w:t>
      </w:r>
      <w:r w:rsidR="00FD132E" w:rsidRPr="00CD5E4F">
        <w:rPr>
          <w:rFonts w:eastAsia="Calibri" w:cs="Arial"/>
          <w:sz w:val="22"/>
          <w:szCs w:val="22"/>
        </w:rPr>
        <w:t xml:space="preserve">those </w:t>
      </w:r>
      <w:r w:rsidRPr="00CD5E4F">
        <w:rPr>
          <w:rFonts w:eastAsia="Calibri" w:cs="Arial"/>
          <w:sz w:val="22"/>
          <w:szCs w:val="22"/>
        </w:rPr>
        <w:t>households are also in areas more likely to meet the schemes income eligibility criteria:</w:t>
      </w:r>
    </w:p>
    <w:p w14:paraId="6A899D58" w14:textId="77777777" w:rsidR="0035637D" w:rsidRPr="00CD5E4F" w:rsidRDefault="0035637D" w:rsidP="00BB6E6D">
      <w:pPr>
        <w:spacing w:line="257" w:lineRule="auto"/>
        <w:rPr>
          <w:rFonts w:eastAsia="Calibri" w:cs="Arial"/>
          <w:sz w:val="22"/>
          <w:szCs w:val="22"/>
        </w:rPr>
      </w:pPr>
    </w:p>
    <w:p w14:paraId="43778252" w14:textId="77777777" w:rsidR="00CD5E4F" w:rsidRDefault="00CD5E4F" w:rsidP="00BB6E6D">
      <w:pPr>
        <w:spacing w:line="257" w:lineRule="auto"/>
        <w:rPr>
          <w:rFonts w:eastAsia="Calibri" w:cs="Arial"/>
          <w:b/>
          <w:bCs/>
          <w:sz w:val="22"/>
          <w:szCs w:val="22"/>
        </w:rPr>
      </w:pPr>
    </w:p>
    <w:p w14:paraId="61D7492F" w14:textId="77777777" w:rsidR="00CD5E4F" w:rsidRDefault="00CD5E4F" w:rsidP="00BB6E6D">
      <w:pPr>
        <w:spacing w:line="257" w:lineRule="auto"/>
        <w:rPr>
          <w:rFonts w:eastAsia="Calibri" w:cs="Arial"/>
          <w:b/>
          <w:bCs/>
          <w:sz w:val="22"/>
          <w:szCs w:val="22"/>
        </w:rPr>
      </w:pPr>
    </w:p>
    <w:p w14:paraId="1F8263EE" w14:textId="77777777" w:rsidR="00CD5E4F" w:rsidRDefault="00CD5E4F" w:rsidP="00BB6E6D">
      <w:pPr>
        <w:spacing w:line="257" w:lineRule="auto"/>
        <w:rPr>
          <w:rFonts w:eastAsia="Calibri" w:cs="Arial"/>
          <w:b/>
          <w:bCs/>
          <w:sz w:val="22"/>
          <w:szCs w:val="22"/>
        </w:rPr>
      </w:pPr>
    </w:p>
    <w:p w14:paraId="0C0C330E" w14:textId="77777777" w:rsidR="00CD5E4F" w:rsidRDefault="00CD5E4F" w:rsidP="00BB6E6D">
      <w:pPr>
        <w:spacing w:line="257" w:lineRule="auto"/>
        <w:rPr>
          <w:rFonts w:eastAsia="Calibri" w:cs="Arial"/>
          <w:b/>
          <w:bCs/>
          <w:sz w:val="22"/>
          <w:szCs w:val="22"/>
        </w:rPr>
      </w:pPr>
    </w:p>
    <w:p w14:paraId="625271D0" w14:textId="77777777" w:rsidR="002032B3" w:rsidRDefault="002032B3" w:rsidP="00BB6E6D">
      <w:pPr>
        <w:spacing w:line="257" w:lineRule="auto"/>
        <w:rPr>
          <w:rFonts w:eastAsia="Calibri" w:cs="Arial"/>
          <w:b/>
          <w:bCs/>
          <w:sz w:val="22"/>
          <w:szCs w:val="22"/>
        </w:rPr>
      </w:pPr>
    </w:p>
    <w:p w14:paraId="66247B5E" w14:textId="77777777" w:rsidR="002032B3" w:rsidRDefault="002032B3" w:rsidP="00BB6E6D">
      <w:pPr>
        <w:spacing w:line="257" w:lineRule="auto"/>
        <w:rPr>
          <w:rFonts w:eastAsia="Calibri" w:cs="Arial"/>
          <w:b/>
          <w:bCs/>
          <w:sz w:val="22"/>
          <w:szCs w:val="22"/>
        </w:rPr>
      </w:pPr>
    </w:p>
    <w:p w14:paraId="5BEBAA6E" w14:textId="77777777" w:rsidR="002032B3" w:rsidRDefault="002032B3" w:rsidP="00BB6E6D">
      <w:pPr>
        <w:spacing w:line="257" w:lineRule="auto"/>
        <w:rPr>
          <w:rFonts w:eastAsia="Calibri" w:cs="Arial"/>
          <w:b/>
          <w:bCs/>
          <w:sz w:val="22"/>
          <w:szCs w:val="22"/>
        </w:rPr>
      </w:pPr>
    </w:p>
    <w:p w14:paraId="6C23952D" w14:textId="209DAC67" w:rsidR="4E56648B" w:rsidRPr="00CD5E4F" w:rsidRDefault="4E56648B" w:rsidP="00BB6E6D">
      <w:pPr>
        <w:spacing w:line="257" w:lineRule="auto"/>
        <w:rPr>
          <w:rFonts w:eastAsia="Calibri" w:cs="Arial"/>
          <w:b/>
          <w:bCs/>
          <w:sz w:val="22"/>
          <w:szCs w:val="22"/>
        </w:rPr>
      </w:pPr>
      <w:r w:rsidRPr="00CD5E4F">
        <w:rPr>
          <w:rFonts w:eastAsia="Calibri" w:cs="Arial"/>
          <w:b/>
          <w:bCs/>
          <w:sz w:val="22"/>
          <w:szCs w:val="22"/>
        </w:rPr>
        <w:lastRenderedPageBreak/>
        <w:t xml:space="preserve">Table 1 – </w:t>
      </w:r>
      <w:r w:rsidR="00E20DF7" w:rsidRPr="00CD5E4F">
        <w:rPr>
          <w:rFonts w:eastAsia="Calibri" w:cs="Arial"/>
          <w:b/>
          <w:bCs/>
          <w:sz w:val="22"/>
          <w:szCs w:val="22"/>
        </w:rPr>
        <w:t>Likely e</w:t>
      </w:r>
      <w:r w:rsidR="00EF09DF" w:rsidRPr="00CD5E4F">
        <w:rPr>
          <w:rFonts w:eastAsia="Calibri" w:cs="Arial"/>
          <w:b/>
          <w:bCs/>
          <w:sz w:val="22"/>
          <w:szCs w:val="22"/>
        </w:rPr>
        <w:t>ligible households appropriate for key scheme measures</w:t>
      </w:r>
    </w:p>
    <w:p w14:paraId="6E52B7FE" w14:textId="76696D6D" w:rsidR="00C56DDE" w:rsidRDefault="00C56DDE" w:rsidP="00BB6E6D">
      <w:pPr>
        <w:spacing w:line="257" w:lineRule="auto"/>
        <w:rPr>
          <w:rFonts w:ascii="Calibri" w:eastAsia="Calibri" w:hAnsi="Calibri" w:cs="Calibri"/>
          <w:b/>
          <w:bCs/>
          <w:sz w:val="22"/>
          <w:szCs w:val="22"/>
        </w:rPr>
      </w:pPr>
    </w:p>
    <w:tbl>
      <w:tblPr>
        <w:tblW w:w="9242" w:type="dxa"/>
        <w:tblLook w:val="04A0" w:firstRow="1" w:lastRow="0" w:firstColumn="1" w:lastColumn="0" w:noHBand="0" w:noVBand="1"/>
      </w:tblPr>
      <w:tblGrid>
        <w:gridCol w:w="3765"/>
        <w:gridCol w:w="2745"/>
        <w:gridCol w:w="2732"/>
      </w:tblGrid>
      <w:tr w:rsidR="00C56DDE" w:rsidRPr="002032B3" w14:paraId="73DD166A" w14:textId="77777777" w:rsidTr="3B6BD473">
        <w:trPr>
          <w:trHeight w:val="300"/>
        </w:trPr>
        <w:tc>
          <w:tcPr>
            <w:tcW w:w="9242" w:type="dxa"/>
            <w:gridSpan w:val="3"/>
            <w:tcBorders>
              <w:top w:val="single" w:sz="8" w:space="0" w:color="auto"/>
              <w:left w:val="single" w:sz="8" w:space="0" w:color="auto"/>
              <w:bottom w:val="single" w:sz="8" w:space="0" w:color="auto"/>
              <w:right w:val="single" w:sz="8" w:space="0" w:color="000000" w:themeColor="text1"/>
            </w:tcBorders>
            <w:shd w:val="clear" w:color="auto" w:fill="auto"/>
            <w:noWrap/>
            <w:hideMark/>
          </w:tcPr>
          <w:p w14:paraId="16CA8F03" w14:textId="77777777" w:rsidR="00C56DDE" w:rsidRPr="002032B3" w:rsidRDefault="3E6EC9B9" w:rsidP="3B6BD473">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proofErr w:type="spellStart"/>
            <w:r w:rsidRPr="3B6BD473">
              <w:rPr>
                <w:rFonts w:cs="Arial"/>
                <w:color w:val="000000" w:themeColor="text1"/>
                <w:sz w:val="22"/>
                <w:szCs w:val="22"/>
                <w:lang w:eastAsia="en-GB"/>
              </w:rPr>
              <w:t>HoSW</w:t>
            </w:r>
            <w:proofErr w:type="spellEnd"/>
            <w:r w:rsidRPr="3B6BD473">
              <w:rPr>
                <w:rFonts w:cs="Arial"/>
                <w:color w:val="000000" w:themeColor="text1"/>
                <w:sz w:val="22"/>
                <w:szCs w:val="22"/>
                <w:lang w:eastAsia="en-GB"/>
              </w:rPr>
              <w:t xml:space="preserve"> LEP</w:t>
            </w:r>
          </w:p>
        </w:tc>
      </w:tr>
      <w:tr w:rsidR="00C56DDE" w:rsidRPr="002032B3" w14:paraId="295C2F95" w14:textId="77777777" w:rsidTr="3B6BD473">
        <w:trPr>
          <w:trHeight w:val="1452"/>
        </w:trPr>
        <w:tc>
          <w:tcPr>
            <w:tcW w:w="3765" w:type="dxa"/>
            <w:tcBorders>
              <w:top w:val="nil"/>
              <w:left w:val="single" w:sz="8" w:space="0" w:color="auto"/>
              <w:bottom w:val="single" w:sz="8" w:space="0" w:color="auto"/>
              <w:right w:val="single" w:sz="8" w:space="0" w:color="auto"/>
            </w:tcBorders>
            <w:shd w:val="clear" w:color="auto" w:fill="auto"/>
            <w:hideMark/>
          </w:tcPr>
          <w:p w14:paraId="03B1E6C9" w14:textId="77777777" w:rsidR="00C56DDE" w:rsidRPr="002032B3" w:rsidRDefault="00C56DDE" w:rsidP="00C56DDE">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002032B3">
              <w:rPr>
                <w:rFonts w:cs="Arial"/>
                <w:b/>
                <w:bCs/>
                <w:color w:val="000000"/>
                <w:sz w:val="22"/>
                <w:szCs w:val="22"/>
                <w:lang w:eastAsia="en-GB"/>
              </w:rPr>
              <w:t xml:space="preserve">Suitable measures </w:t>
            </w:r>
            <w:r w:rsidRPr="002032B3">
              <w:rPr>
                <w:rFonts w:cs="Arial"/>
                <w:color w:val="000000"/>
                <w:sz w:val="18"/>
                <w:szCs w:val="18"/>
                <w:lang w:eastAsia="en-GB"/>
              </w:rPr>
              <w:t>i.e. appropriate construction with low carbon measure not yet in place</w:t>
            </w:r>
            <w:r w:rsidRPr="002032B3">
              <w:rPr>
                <w:rFonts w:cs="Arial"/>
                <w:b/>
                <w:bCs/>
                <w:color w:val="000000"/>
                <w:sz w:val="22"/>
                <w:szCs w:val="22"/>
                <w:lang w:eastAsia="en-GB"/>
              </w:rPr>
              <w:t xml:space="preserve"> </w:t>
            </w:r>
          </w:p>
        </w:tc>
        <w:tc>
          <w:tcPr>
            <w:tcW w:w="2745" w:type="dxa"/>
            <w:tcBorders>
              <w:top w:val="nil"/>
              <w:left w:val="nil"/>
              <w:bottom w:val="single" w:sz="8" w:space="0" w:color="auto"/>
              <w:right w:val="single" w:sz="8" w:space="0" w:color="auto"/>
            </w:tcBorders>
            <w:shd w:val="clear" w:color="auto" w:fill="auto"/>
            <w:hideMark/>
          </w:tcPr>
          <w:p w14:paraId="5AEF4D50" w14:textId="77777777" w:rsidR="00C56DDE" w:rsidRPr="002032B3" w:rsidRDefault="00C56DDE" w:rsidP="00C56DDE">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002032B3">
              <w:rPr>
                <w:rFonts w:cs="Arial"/>
                <w:b/>
                <w:bCs/>
                <w:color w:val="000000"/>
                <w:sz w:val="22"/>
                <w:szCs w:val="22"/>
                <w:lang w:eastAsia="en-GB"/>
              </w:rPr>
              <w:t xml:space="preserve">Number of likely eligible households - </w:t>
            </w:r>
            <w:r w:rsidRPr="002032B3">
              <w:rPr>
                <w:rFonts w:cs="Arial"/>
                <w:color w:val="000000"/>
                <w:sz w:val="22"/>
                <w:szCs w:val="22"/>
                <w:lang w:eastAsia="en-GB"/>
              </w:rPr>
              <w:t>EPC 'D' or below</w:t>
            </w:r>
          </w:p>
        </w:tc>
        <w:tc>
          <w:tcPr>
            <w:tcW w:w="2732" w:type="dxa"/>
            <w:tcBorders>
              <w:top w:val="nil"/>
              <w:left w:val="nil"/>
              <w:bottom w:val="single" w:sz="8" w:space="0" w:color="auto"/>
              <w:right w:val="single" w:sz="8" w:space="0" w:color="auto"/>
            </w:tcBorders>
            <w:shd w:val="clear" w:color="auto" w:fill="auto"/>
            <w:hideMark/>
          </w:tcPr>
          <w:p w14:paraId="2975DAEB" w14:textId="32A6460B" w:rsidR="00C56DDE" w:rsidRPr="002032B3" w:rsidRDefault="3E6EC9B9" w:rsidP="00C56DDE">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3B6BD473">
              <w:rPr>
                <w:rFonts w:cs="Arial"/>
                <w:b/>
                <w:bCs/>
                <w:color w:val="000000" w:themeColor="text1"/>
                <w:sz w:val="22"/>
                <w:szCs w:val="22"/>
                <w:lang w:eastAsia="en-GB"/>
              </w:rPr>
              <w:t xml:space="preserve">Number of likely eligible households - </w:t>
            </w:r>
            <w:r w:rsidRPr="3B6BD473">
              <w:rPr>
                <w:rFonts w:cs="Arial"/>
                <w:color w:val="000000" w:themeColor="text1"/>
                <w:sz w:val="22"/>
                <w:szCs w:val="22"/>
                <w:lang w:eastAsia="en-GB"/>
              </w:rPr>
              <w:t xml:space="preserve">EPC 'D' or below </w:t>
            </w:r>
            <w:r w:rsidRPr="3B6BD473">
              <w:rPr>
                <w:rFonts w:cs="Arial"/>
                <w:b/>
                <w:bCs/>
                <w:color w:val="000000" w:themeColor="text1"/>
                <w:sz w:val="22"/>
                <w:szCs w:val="22"/>
                <w:lang w:eastAsia="en-GB"/>
              </w:rPr>
              <w:t xml:space="preserve">&amp; </w:t>
            </w:r>
            <w:r w:rsidR="347F03FE" w:rsidRPr="3B6BD473">
              <w:rPr>
                <w:rFonts w:cs="Arial"/>
                <w:color w:val="000000" w:themeColor="text1"/>
                <w:sz w:val="22"/>
                <w:szCs w:val="22"/>
                <w:lang w:eastAsia="en-GB"/>
              </w:rPr>
              <w:t>low-income</w:t>
            </w:r>
            <w:r w:rsidRPr="3B6BD473">
              <w:rPr>
                <w:rFonts w:cs="Arial"/>
                <w:color w:val="000000" w:themeColor="text1"/>
                <w:sz w:val="22"/>
                <w:szCs w:val="22"/>
                <w:lang w:eastAsia="en-GB"/>
              </w:rPr>
              <w:t xml:space="preserve"> proxy</w:t>
            </w:r>
          </w:p>
        </w:tc>
      </w:tr>
      <w:tr w:rsidR="00C56DDE" w:rsidRPr="002032B3" w14:paraId="4CD57D1B" w14:textId="77777777" w:rsidTr="3B6BD473">
        <w:trPr>
          <w:trHeight w:val="330"/>
        </w:trPr>
        <w:tc>
          <w:tcPr>
            <w:tcW w:w="3765" w:type="dxa"/>
            <w:tcBorders>
              <w:top w:val="nil"/>
              <w:left w:val="single" w:sz="8" w:space="0" w:color="auto"/>
              <w:bottom w:val="single" w:sz="4" w:space="0" w:color="auto"/>
              <w:right w:val="single" w:sz="8" w:space="0" w:color="auto"/>
            </w:tcBorders>
            <w:shd w:val="clear" w:color="auto" w:fill="auto"/>
            <w:noWrap/>
            <w:hideMark/>
          </w:tcPr>
          <w:p w14:paraId="509A222C" w14:textId="77777777" w:rsidR="00C56DDE" w:rsidRPr="002032B3" w:rsidRDefault="00C56DDE" w:rsidP="00C56DDE">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2032B3">
              <w:rPr>
                <w:rFonts w:cs="Arial"/>
                <w:color w:val="000000"/>
                <w:sz w:val="22"/>
                <w:szCs w:val="22"/>
                <w:lang w:eastAsia="en-GB"/>
              </w:rPr>
              <w:t xml:space="preserve">Cavity wall insulation </w:t>
            </w:r>
          </w:p>
        </w:tc>
        <w:tc>
          <w:tcPr>
            <w:tcW w:w="2745" w:type="dxa"/>
            <w:tcBorders>
              <w:top w:val="nil"/>
              <w:left w:val="nil"/>
              <w:bottom w:val="single" w:sz="4" w:space="0" w:color="auto"/>
              <w:right w:val="single" w:sz="8" w:space="0" w:color="auto"/>
            </w:tcBorders>
            <w:shd w:val="clear" w:color="auto" w:fill="auto"/>
            <w:noWrap/>
            <w:vAlign w:val="bottom"/>
            <w:hideMark/>
          </w:tcPr>
          <w:p w14:paraId="441DD0EB" w14:textId="41A64AEE" w:rsidR="00C56DDE" w:rsidRPr="002032B3" w:rsidRDefault="3E6EC9B9"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116,946 </w:t>
            </w:r>
          </w:p>
        </w:tc>
        <w:tc>
          <w:tcPr>
            <w:tcW w:w="2732" w:type="dxa"/>
            <w:tcBorders>
              <w:top w:val="nil"/>
              <w:left w:val="nil"/>
              <w:bottom w:val="single" w:sz="4" w:space="0" w:color="auto"/>
              <w:right w:val="single" w:sz="8" w:space="0" w:color="auto"/>
            </w:tcBorders>
            <w:shd w:val="clear" w:color="auto" w:fill="auto"/>
            <w:noWrap/>
            <w:vAlign w:val="bottom"/>
            <w:hideMark/>
          </w:tcPr>
          <w:p w14:paraId="46E4A688" w14:textId="338EF3D0" w:rsidR="00C56DDE" w:rsidRPr="002032B3" w:rsidRDefault="3E6EC9B9"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20,337 </w:t>
            </w:r>
          </w:p>
        </w:tc>
      </w:tr>
      <w:tr w:rsidR="00C56DDE" w:rsidRPr="002032B3" w14:paraId="42796A5B" w14:textId="77777777" w:rsidTr="3B6BD473">
        <w:trPr>
          <w:trHeight w:val="288"/>
        </w:trPr>
        <w:tc>
          <w:tcPr>
            <w:tcW w:w="3765" w:type="dxa"/>
            <w:tcBorders>
              <w:top w:val="nil"/>
              <w:left w:val="single" w:sz="8" w:space="0" w:color="auto"/>
              <w:bottom w:val="single" w:sz="4" w:space="0" w:color="auto"/>
              <w:right w:val="single" w:sz="8" w:space="0" w:color="auto"/>
            </w:tcBorders>
            <w:shd w:val="clear" w:color="auto" w:fill="auto"/>
            <w:noWrap/>
            <w:hideMark/>
          </w:tcPr>
          <w:p w14:paraId="352D5C83" w14:textId="77777777" w:rsidR="00C56DDE" w:rsidRPr="002032B3" w:rsidRDefault="00C56DDE" w:rsidP="00C56DDE">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2032B3">
              <w:rPr>
                <w:rFonts w:cs="Arial"/>
                <w:color w:val="000000"/>
                <w:sz w:val="22"/>
                <w:szCs w:val="22"/>
                <w:lang w:eastAsia="en-GB"/>
              </w:rPr>
              <w:t xml:space="preserve">Solid wall insulation </w:t>
            </w:r>
          </w:p>
        </w:tc>
        <w:tc>
          <w:tcPr>
            <w:tcW w:w="2745" w:type="dxa"/>
            <w:tcBorders>
              <w:top w:val="nil"/>
              <w:left w:val="nil"/>
              <w:bottom w:val="single" w:sz="4" w:space="0" w:color="auto"/>
              <w:right w:val="single" w:sz="8" w:space="0" w:color="auto"/>
            </w:tcBorders>
            <w:shd w:val="clear" w:color="auto" w:fill="auto"/>
            <w:noWrap/>
            <w:vAlign w:val="bottom"/>
            <w:hideMark/>
          </w:tcPr>
          <w:p w14:paraId="2842D00E" w14:textId="1E0A4163" w:rsidR="00C56DDE" w:rsidRPr="002032B3" w:rsidRDefault="3E6EC9B9"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165,654 </w:t>
            </w:r>
          </w:p>
        </w:tc>
        <w:tc>
          <w:tcPr>
            <w:tcW w:w="2732" w:type="dxa"/>
            <w:tcBorders>
              <w:top w:val="nil"/>
              <w:left w:val="nil"/>
              <w:bottom w:val="single" w:sz="4" w:space="0" w:color="auto"/>
              <w:right w:val="single" w:sz="8" w:space="0" w:color="auto"/>
            </w:tcBorders>
            <w:shd w:val="clear" w:color="auto" w:fill="auto"/>
            <w:noWrap/>
            <w:vAlign w:val="bottom"/>
            <w:hideMark/>
          </w:tcPr>
          <w:p w14:paraId="263460FC" w14:textId="4967C55C" w:rsidR="00C56DDE" w:rsidRPr="002032B3" w:rsidRDefault="3E6EC9B9"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37,878 </w:t>
            </w:r>
          </w:p>
        </w:tc>
      </w:tr>
      <w:tr w:rsidR="00C56DDE" w:rsidRPr="002032B3" w14:paraId="5940D1CC" w14:textId="77777777" w:rsidTr="3B6BD473">
        <w:trPr>
          <w:trHeight w:val="288"/>
        </w:trPr>
        <w:tc>
          <w:tcPr>
            <w:tcW w:w="3765" w:type="dxa"/>
            <w:tcBorders>
              <w:top w:val="nil"/>
              <w:left w:val="single" w:sz="8" w:space="0" w:color="auto"/>
              <w:bottom w:val="single" w:sz="4" w:space="0" w:color="auto"/>
              <w:right w:val="single" w:sz="8" w:space="0" w:color="auto"/>
            </w:tcBorders>
            <w:shd w:val="clear" w:color="auto" w:fill="auto"/>
            <w:noWrap/>
            <w:hideMark/>
          </w:tcPr>
          <w:p w14:paraId="46F1F17C" w14:textId="77777777" w:rsidR="00C56DDE" w:rsidRPr="002032B3" w:rsidRDefault="00C56DDE" w:rsidP="00C56DDE">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2032B3">
              <w:rPr>
                <w:rFonts w:cs="Arial"/>
                <w:color w:val="000000"/>
                <w:sz w:val="22"/>
                <w:szCs w:val="22"/>
                <w:lang w:eastAsia="en-GB"/>
              </w:rPr>
              <w:t>Loft insulation</w:t>
            </w:r>
          </w:p>
        </w:tc>
        <w:tc>
          <w:tcPr>
            <w:tcW w:w="2745" w:type="dxa"/>
            <w:tcBorders>
              <w:top w:val="nil"/>
              <w:left w:val="nil"/>
              <w:bottom w:val="single" w:sz="4" w:space="0" w:color="auto"/>
              <w:right w:val="single" w:sz="8" w:space="0" w:color="auto"/>
            </w:tcBorders>
            <w:shd w:val="clear" w:color="auto" w:fill="auto"/>
            <w:noWrap/>
            <w:vAlign w:val="bottom"/>
            <w:hideMark/>
          </w:tcPr>
          <w:p w14:paraId="4ACA0660" w14:textId="273F79C9" w:rsidR="00C56DDE" w:rsidRPr="002032B3" w:rsidRDefault="3E6EC9B9"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294,792 </w:t>
            </w:r>
          </w:p>
        </w:tc>
        <w:tc>
          <w:tcPr>
            <w:tcW w:w="2732" w:type="dxa"/>
            <w:tcBorders>
              <w:top w:val="nil"/>
              <w:left w:val="nil"/>
              <w:bottom w:val="single" w:sz="4" w:space="0" w:color="auto"/>
              <w:right w:val="single" w:sz="8" w:space="0" w:color="auto"/>
            </w:tcBorders>
            <w:shd w:val="clear" w:color="auto" w:fill="auto"/>
            <w:noWrap/>
            <w:vAlign w:val="bottom"/>
            <w:hideMark/>
          </w:tcPr>
          <w:p w14:paraId="43637308" w14:textId="707544CF" w:rsidR="00C56DDE" w:rsidRPr="002032B3" w:rsidRDefault="3E6EC9B9"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53,405 </w:t>
            </w:r>
          </w:p>
        </w:tc>
      </w:tr>
      <w:tr w:rsidR="00C56DDE" w:rsidRPr="002032B3" w14:paraId="267D270A" w14:textId="77777777" w:rsidTr="3B6BD473">
        <w:trPr>
          <w:trHeight w:val="288"/>
        </w:trPr>
        <w:tc>
          <w:tcPr>
            <w:tcW w:w="3765" w:type="dxa"/>
            <w:tcBorders>
              <w:top w:val="nil"/>
              <w:left w:val="single" w:sz="8" w:space="0" w:color="auto"/>
              <w:bottom w:val="single" w:sz="4" w:space="0" w:color="auto"/>
              <w:right w:val="single" w:sz="8" w:space="0" w:color="auto"/>
            </w:tcBorders>
            <w:shd w:val="clear" w:color="auto" w:fill="auto"/>
            <w:noWrap/>
            <w:hideMark/>
          </w:tcPr>
          <w:p w14:paraId="26BD5B6C" w14:textId="77777777" w:rsidR="00C56DDE" w:rsidRPr="002032B3" w:rsidRDefault="00C56DDE" w:rsidP="00C56DDE">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2032B3">
              <w:rPr>
                <w:rFonts w:cs="Arial"/>
                <w:color w:val="000000"/>
                <w:sz w:val="22"/>
                <w:szCs w:val="22"/>
                <w:lang w:eastAsia="en-GB"/>
              </w:rPr>
              <w:t xml:space="preserve">Floor insulation </w:t>
            </w:r>
          </w:p>
        </w:tc>
        <w:tc>
          <w:tcPr>
            <w:tcW w:w="2745" w:type="dxa"/>
            <w:tcBorders>
              <w:top w:val="nil"/>
              <w:left w:val="nil"/>
              <w:bottom w:val="single" w:sz="4" w:space="0" w:color="auto"/>
              <w:right w:val="single" w:sz="8" w:space="0" w:color="auto"/>
            </w:tcBorders>
            <w:shd w:val="clear" w:color="auto" w:fill="auto"/>
            <w:noWrap/>
            <w:vAlign w:val="bottom"/>
            <w:hideMark/>
          </w:tcPr>
          <w:p w14:paraId="49690FAE" w14:textId="26B6336F" w:rsidR="00C56DDE" w:rsidRPr="002032B3" w:rsidRDefault="3E6EC9B9"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547,168 </w:t>
            </w:r>
          </w:p>
        </w:tc>
        <w:tc>
          <w:tcPr>
            <w:tcW w:w="2732" w:type="dxa"/>
            <w:tcBorders>
              <w:top w:val="nil"/>
              <w:left w:val="nil"/>
              <w:bottom w:val="single" w:sz="4" w:space="0" w:color="auto"/>
              <w:right w:val="single" w:sz="8" w:space="0" w:color="auto"/>
            </w:tcBorders>
            <w:shd w:val="clear" w:color="auto" w:fill="auto"/>
            <w:noWrap/>
            <w:vAlign w:val="bottom"/>
            <w:hideMark/>
          </w:tcPr>
          <w:p w14:paraId="5E8B710F" w14:textId="294A80FF" w:rsidR="00C56DDE" w:rsidRPr="002032B3" w:rsidRDefault="3E6EC9B9"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85,807 </w:t>
            </w:r>
          </w:p>
        </w:tc>
      </w:tr>
      <w:tr w:rsidR="00C56DDE" w:rsidRPr="002032B3" w14:paraId="0770C0CE" w14:textId="77777777" w:rsidTr="3B6BD473">
        <w:trPr>
          <w:trHeight w:val="288"/>
        </w:trPr>
        <w:tc>
          <w:tcPr>
            <w:tcW w:w="3765" w:type="dxa"/>
            <w:tcBorders>
              <w:top w:val="nil"/>
              <w:left w:val="single" w:sz="8" w:space="0" w:color="auto"/>
              <w:bottom w:val="single" w:sz="4" w:space="0" w:color="auto"/>
              <w:right w:val="single" w:sz="8" w:space="0" w:color="auto"/>
            </w:tcBorders>
            <w:shd w:val="clear" w:color="auto" w:fill="auto"/>
            <w:noWrap/>
            <w:hideMark/>
          </w:tcPr>
          <w:p w14:paraId="2A4F7543" w14:textId="77777777" w:rsidR="00C56DDE" w:rsidRPr="002032B3" w:rsidRDefault="00C56DDE" w:rsidP="00C56DDE">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2032B3">
              <w:rPr>
                <w:rFonts w:cs="Arial"/>
                <w:color w:val="000000"/>
                <w:sz w:val="22"/>
                <w:szCs w:val="22"/>
                <w:lang w:eastAsia="en-GB"/>
              </w:rPr>
              <w:t>Glazing upgrade</w:t>
            </w:r>
          </w:p>
        </w:tc>
        <w:tc>
          <w:tcPr>
            <w:tcW w:w="2745" w:type="dxa"/>
            <w:tcBorders>
              <w:top w:val="nil"/>
              <w:left w:val="nil"/>
              <w:bottom w:val="single" w:sz="4" w:space="0" w:color="auto"/>
              <w:right w:val="single" w:sz="8" w:space="0" w:color="auto"/>
            </w:tcBorders>
            <w:shd w:val="clear" w:color="auto" w:fill="auto"/>
            <w:noWrap/>
            <w:vAlign w:val="bottom"/>
            <w:hideMark/>
          </w:tcPr>
          <w:p w14:paraId="455261E2" w14:textId="37FDF4A7" w:rsidR="00C56DDE" w:rsidRPr="002032B3" w:rsidRDefault="3E6EC9B9"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68,006 </w:t>
            </w:r>
          </w:p>
        </w:tc>
        <w:tc>
          <w:tcPr>
            <w:tcW w:w="2732" w:type="dxa"/>
            <w:tcBorders>
              <w:top w:val="nil"/>
              <w:left w:val="nil"/>
              <w:bottom w:val="single" w:sz="4" w:space="0" w:color="auto"/>
              <w:right w:val="single" w:sz="8" w:space="0" w:color="auto"/>
            </w:tcBorders>
            <w:shd w:val="clear" w:color="auto" w:fill="auto"/>
            <w:noWrap/>
            <w:vAlign w:val="bottom"/>
            <w:hideMark/>
          </w:tcPr>
          <w:p w14:paraId="0481ED14" w14:textId="041FA337" w:rsidR="00C56DDE" w:rsidRPr="002032B3" w:rsidRDefault="3E6EC9B9"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15,588 </w:t>
            </w:r>
          </w:p>
        </w:tc>
      </w:tr>
      <w:tr w:rsidR="00C56DDE" w:rsidRPr="002032B3" w14:paraId="746942F0" w14:textId="77777777" w:rsidTr="3B6BD473">
        <w:trPr>
          <w:trHeight w:val="288"/>
        </w:trPr>
        <w:tc>
          <w:tcPr>
            <w:tcW w:w="3765" w:type="dxa"/>
            <w:tcBorders>
              <w:top w:val="nil"/>
              <w:left w:val="single" w:sz="8" w:space="0" w:color="auto"/>
              <w:bottom w:val="single" w:sz="4" w:space="0" w:color="auto"/>
              <w:right w:val="single" w:sz="8" w:space="0" w:color="auto"/>
            </w:tcBorders>
            <w:shd w:val="clear" w:color="auto" w:fill="auto"/>
            <w:noWrap/>
            <w:hideMark/>
          </w:tcPr>
          <w:p w14:paraId="0BA15C95" w14:textId="77777777" w:rsidR="00C56DDE" w:rsidRPr="002032B3" w:rsidRDefault="00C56DDE" w:rsidP="00C56DDE">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2032B3">
              <w:rPr>
                <w:rFonts w:cs="Arial"/>
                <w:color w:val="000000"/>
                <w:sz w:val="22"/>
                <w:szCs w:val="22"/>
                <w:lang w:eastAsia="en-GB"/>
              </w:rPr>
              <w:t>Heating upgrade ASHP*</w:t>
            </w:r>
          </w:p>
        </w:tc>
        <w:tc>
          <w:tcPr>
            <w:tcW w:w="2745" w:type="dxa"/>
            <w:tcBorders>
              <w:top w:val="nil"/>
              <w:left w:val="nil"/>
              <w:bottom w:val="single" w:sz="4" w:space="0" w:color="auto"/>
              <w:right w:val="single" w:sz="8" w:space="0" w:color="auto"/>
            </w:tcBorders>
            <w:shd w:val="clear" w:color="auto" w:fill="auto"/>
            <w:noWrap/>
            <w:vAlign w:val="bottom"/>
            <w:hideMark/>
          </w:tcPr>
          <w:p w14:paraId="48696704" w14:textId="21A18601" w:rsidR="00C56DDE" w:rsidRPr="002032B3" w:rsidRDefault="3E6EC9B9"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50,022 </w:t>
            </w:r>
          </w:p>
        </w:tc>
        <w:tc>
          <w:tcPr>
            <w:tcW w:w="2732" w:type="dxa"/>
            <w:tcBorders>
              <w:top w:val="nil"/>
              <w:left w:val="nil"/>
              <w:bottom w:val="single" w:sz="4" w:space="0" w:color="auto"/>
              <w:right w:val="single" w:sz="8" w:space="0" w:color="auto"/>
            </w:tcBorders>
            <w:shd w:val="clear" w:color="auto" w:fill="auto"/>
            <w:noWrap/>
            <w:vAlign w:val="bottom"/>
            <w:hideMark/>
          </w:tcPr>
          <w:p w14:paraId="0EA1E8B6" w14:textId="410D09B9" w:rsidR="00C56DDE" w:rsidRPr="002032B3" w:rsidRDefault="3E6EC9B9"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4,589 </w:t>
            </w:r>
          </w:p>
        </w:tc>
      </w:tr>
      <w:tr w:rsidR="00C56DDE" w:rsidRPr="002032B3" w14:paraId="39F6286F" w14:textId="77777777" w:rsidTr="3B6BD473">
        <w:trPr>
          <w:trHeight w:val="375"/>
        </w:trPr>
        <w:tc>
          <w:tcPr>
            <w:tcW w:w="3765" w:type="dxa"/>
            <w:tcBorders>
              <w:top w:val="nil"/>
              <w:left w:val="single" w:sz="8" w:space="0" w:color="auto"/>
              <w:bottom w:val="single" w:sz="4" w:space="0" w:color="auto"/>
              <w:right w:val="single" w:sz="8" w:space="0" w:color="auto"/>
            </w:tcBorders>
            <w:shd w:val="clear" w:color="auto" w:fill="auto"/>
            <w:noWrap/>
            <w:hideMark/>
          </w:tcPr>
          <w:p w14:paraId="0539F391" w14:textId="77777777" w:rsidR="00C56DDE" w:rsidRPr="002032B3" w:rsidRDefault="00C56DDE" w:rsidP="00C56DDE">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2032B3">
              <w:rPr>
                <w:rFonts w:cs="Arial"/>
                <w:color w:val="000000"/>
                <w:sz w:val="22"/>
                <w:szCs w:val="22"/>
                <w:lang w:eastAsia="en-GB"/>
              </w:rPr>
              <w:t>Solar PV</w:t>
            </w:r>
          </w:p>
        </w:tc>
        <w:tc>
          <w:tcPr>
            <w:tcW w:w="2745" w:type="dxa"/>
            <w:tcBorders>
              <w:top w:val="nil"/>
              <w:left w:val="nil"/>
              <w:bottom w:val="single" w:sz="4" w:space="0" w:color="auto"/>
              <w:right w:val="single" w:sz="8" w:space="0" w:color="auto"/>
            </w:tcBorders>
            <w:shd w:val="clear" w:color="auto" w:fill="auto"/>
            <w:noWrap/>
            <w:vAlign w:val="bottom"/>
            <w:hideMark/>
          </w:tcPr>
          <w:p w14:paraId="1B41B741" w14:textId="0D0E6FAE" w:rsidR="00C56DDE" w:rsidRPr="002032B3" w:rsidRDefault="3E6EC9B9"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335,466 </w:t>
            </w:r>
          </w:p>
        </w:tc>
        <w:tc>
          <w:tcPr>
            <w:tcW w:w="2732" w:type="dxa"/>
            <w:tcBorders>
              <w:top w:val="nil"/>
              <w:left w:val="nil"/>
              <w:bottom w:val="single" w:sz="4" w:space="0" w:color="auto"/>
              <w:right w:val="single" w:sz="8" w:space="0" w:color="auto"/>
            </w:tcBorders>
            <w:shd w:val="clear" w:color="auto" w:fill="auto"/>
            <w:noWrap/>
            <w:vAlign w:val="bottom"/>
            <w:hideMark/>
          </w:tcPr>
          <w:p w14:paraId="431FE738" w14:textId="1C4D5050" w:rsidR="00C56DDE" w:rsidRPr="002032B3" w:rsidRDefault="3E6EC9B9"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51,194 </w:t>
            </w:r>
          </w:p>
        </w:tc>
      </w:tr>
      <w:tr w:rsidR="00C56DDE" w:rsidRPr="002032B3" w14:paraId="5FF56D87" w14:textId="77777777" w:rsidTr="3B6BD473">
        <w:trPr>
          <w:trHeight w:val="300"/>
        </w:trPr>
        <w:tc>
          <w:tcPr>
            <w:tcW w:w="3765" w:type="dxa"/>
            <w:tcBorders>
              <w:top w:val="nil"/>
              <w:left w:val="single" w:sz="8" w:space="0" w:color="auto"/>
              <w:bottom w:val="single" w:sz="8" w:space="0" w:color="auto"/>
              <w:right w:val="single" w:sz="8" w:space="0" w:color="auto"/>
            </w:tcBorders>
            <w:shd w:val="clear" w:color="auto" w:fill="auto"/>
            <w:noWrap/>
            <w:hideMark/>
          </w:tcPr>
          <w:p w14:paraId="337A030A" w14:textId="77777777" w:rsidR="00C56DDE" w:rsidRPr="002032B3" w:rsidRDefault="00C56DDE" w:rsidP="00C56DDE">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2032B3">
              <w:rPr>
                <w:rFonts w:cs="Arial"/>
                <w:color w:val="000000"/>
                <w:sz w:val="22"/>
                <w:szCs w:val="22"/>
                <w:lang w:eastAsia="en-GB"/>
              </w:rPr>
              <w:t>Solar Thermal</w:t>
            </w:r>
          </w:p>
        </w:tc>
        <w:tc>
          <w:tcPr>
            <w:tcW w:w="2745" w:type="dxa"/>
            <w:tcBorders>
              <w:top w:val="nil"/>
              <w:left w:val="nil"/>
              <w:bottom w:val="single" w:sz="8" w:space="0" w:color="auto"/>
              <w:right w:val="single" w:sz="8" w:space="0" w:color="auto"/>
            </w:tcBorders>
            <w:shd w:val="clear" w:color="auto" w:fill="auto"/>
            <w:noWrap/>
            <w:vAlign w:val="bottom"/>
            <w:hideMark/>
          </w:tcPr>
          <w:p w14:paraId="6AD372DE" w14:textId="5D1C3C18" w:rsidR="00C56DDE" w:rsidRPr="002032B3" w:rsidRDefault="3E6EC9B9"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334,716 </w:t>
            </w:r>
          </w:p>
        </w:tc>
        <w:tc>
          <w:tcPr>
            <w:tcW w:w="2732" w:type="dxa"/>
            <w:tcBorders>
              <w:top w:val="nil"/>
              <w:left w:val="nil"/>
              <w:bottom w:val="single" w:sz="8" w:space="0" w:color="auto"/>
              <w:right w:val="single" w:sz="8" w:space="0" w:color="auto"/>
            </w:tcBorders>
            <w:shd w:val="clear" w:color="auto" w:fill="auto"/>
            <w:noWrap/>
            <w:vAlign w:val="bottom"/>
            <w:hideMark/>
          </w:tcPr>
          <w:p w14:paraId="4CEA9F7D" w14:textId="002F93E1" w:rsidR="00C56DDE" w:rsidRPr="002032B3" w:rsidRDefault="3E6EC9B9"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51,058 </w:t>
            </w:r>
          </w:p>
        </w:tc>
      </w:tr>
    </w:tbl>
    <w:p w14:paraId="4A5902AA" w14:textId="77777777" w:rsidR="003E6AA5" w:rsidRDefault="003E6AA5" w:rsidP="00BB6E6D">
      <w:pPr>
        <w:spacing w:line="257" w:lineRule="auto"/>
        <w:rPr>
          <w:rFonts w:ascii="Calibri" w:eastAsia="Calibri" w:hAnsi="Calibri" w:cs="Calibri"/>
          <w:b/>
          <w:bCs/>
          <w:sz w:val="22"/>
          <w:szCs w:val="22"/>
        </w:rPr>
      </w:pPr>
    </w:p>
    <w:p w14:paraId="412F6071" w14:textId="6655410B" w:rsidR="4E56648B" w:rsidRDefault="4E56648B" w:rsidP="0035637D">
      <w:pPr>
        <w:spacing w:line="257" w:lineRule="auto"/>
        <w:rPr>
          <w:rFonts w:ascii="Calibri" w:eastAsia="Calibri" w:hAnsi="Calibri" w:cs="Calibri"/>
          <w:sz w:val="22"/>
          <w:szCs w:val="22"/>
        </w:rPr>
      </w:pPr>
      <w:r w:rsidRPr="3439B5AA">
        <w:rPr>
          <w:rFonts w:ascii="Calibri" w:eastAsia="Calibri" w:hAnsi="Calibri" w:cs="Calibri"/>
          <w:sz w:val="22"/>
          <w:szCs w:val="22"/>
        </w:rPr>
        <w:t xml:space="preserve"> </w:t>
      </w:r>
    </w:p>
    <w:p w14:paraId="5ED9F0F2" w14:textId="7D254D93" w:rsidR="4E56648B" w:rsidRPr="002032B3" w:rsidRDefault="4E56648B" w:rsidP="0035637D">
      <w:pPr>
        <w:spacing w:line="257" w:lineRule="auto"/>
        <w:rPr>
          <w:rFonts w:eastAsia="Calibri" w:cs="Arial"/>
          <w:sz w:val="22"/>
          <w:szCs w:val="22"/>
        </w:rPr>
      </w:pPr>
      <w:r w:rsidRPr="3B6BD473">
        <w:rPr>
          <w:rFonts w:eastAsia="Calibri" w:cs="Arial"/>
          <w:sz w:val="22"/>
          <w:szCs w:val="22"/>
        </w:rPr>
        <w:t xml:space="preserve">*The ASHP opportunity in Table 1 above assumes that the property would not be connected to the gas network in order to be suitable for an Air Source Heat Pump (ASHP). However, this not </w:t>
      </w:r>
      <w:r w:rsidR="28736D91" w:rsidRPr="3B6BD473">
        <w:rPr>
          <w:rFonts w:eastAsia="Calibri" w:cs="Arial"/>
          <w:sz w:val="22"/>
          <w:szCs w:val="22"/>
        </w:rPr>
        <w:t>a prerequisite</w:t>
      </w:r>
      <w:r w:rsidRPr="3B6BD473">
        <w:rPr>
          <w:rFonts w:eastAsia="Calibri" w:cs="Arial"/>
          <w:sz w:val="22"/>
          <w:szCs w:val="22"/>
        </w:rPr>
        <w:t xml:space="preserve"> for this scheme where fossil fuel heating installations are not eligible. On this basis the number of likely eligible properties that might theoretically benefit from an ASHP installation is more </w:t>
      </w:r>
      <w:r w:rsidRPr="3B6BD473">
        <w:rPr>
          <w:rFonts w:eastAsia="Calibri" w:cs="Arial"/>
          <w:color w:val="000000" w:themeColor="text1"/>
          <w:sz w:val="22"/>
          <w:szCs w:val="22"/>
        </w:rPr>
        <w:t>like 2</w:t>
      </w:r>
      <w:r w:rsidR="00C5411C" w:rsidRPr="3B6BD473">
        <w:rPr>
          <w:rFonts w:eastAsia="Calibri" w:cs="Arial"/>
          <w:color w:val="000000" w:themeColor="text1"/>
          <w:sz w:val="22"/>
          <w:szCs w:val="22"/>
        </w:rPr>
        <w:t>1</w:t>
      </w:r>
      <w:r w:rsidRPr="3B6BD473">
        <w:rPr>
          <w:rFonts w:eastAsia="Calibri" w:cs="Arial"/>
          <w:color w:val="000000" w:themeColor="text1"/>
          <w:sz w:val="22"/>
          <w:szCs w:val="22"/>
        </w:rPr>
        <w:t xml:space="preserve">,000 </w:t>
      </w:r>
      <w:r w:rsidRPr="3B6BD473">
        <w:rPr>
          <w:rFonts w:eastAsia="Calibri" w:cs="Arial"/>
          <w:sz w:val="22"/>
          <w:szCs w:val="22"/>
        </w:rPr>
        <w:t xml:space="preserve">for </w:t>
      </w:r>
      <w:proofErr w:type="spellStart"/>
      <w:r w:rsidRPr="3B6BD473">
        <w:rPr>
          <w:rFonts w:eastAsia="Calibri" w:cs="Arial"/>
          <w:sz w:val="22"/>
          <w:szCs w:val="22"/>
        </w:rPr>
        <w:t>HoSW</w:t>
      </w:r>
      <w:proofErr w:type="spellEnd"/>
      <w:r w:rsidRPr="3B6BD473">
        <w:rPr>
          <w:rFonts w:eastAsia="Calibri" w:cs="Arial"/>
          <w:sz w:val="22"/>
          <w:szCs w:val="22"/>
        </w:rPr>
        <w:t>.</w:t>
      </w:r>
    </w:p>
    <w:bookmarkEnd w:id="1"/>
    <w:p w14:paraId="7268F55D" w14:textId="7A9A2F05" w:rsidR="3439B5AA" w:rsidRDefault="3439B5AA" w:rsidP="3439B5AA">
      <w:pPr>
        <w:spacing w:after="120"/>
        <w:rPr>
          <w:rFonts w:cs="Arial"/>
          <w:sz w:val="22"/>
          <w:szCs w:val="22"/>
        </w:rPr>
      </w:pPr>
    </w:p>
    <w:p w14:paraId="518F6B94" w14:textId="77777777" w:rsidR="00312A0A" w:rsidRPr="00312A0A" w:rsidRDefault="00312A0A" w:rsidP="00312A0A">
      <w:pPr>
        <w:spacing w:after="120"/>
        <w:rPr>
          <w:rFonts w:cs="Arial"/>
          <w:sz w:val="22"/>
          <w:szCs w:val="22"/>
        </w:rPr>
      </w:pPr>
    </w:p>
    <w:p w14:paraId="6984A55C" w14:textId="77777777" w:rsidR="00312A0A" w:rsidRDefault="00312A0A">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r>
        <w:rPr>
          <w:rFonts w:cs="Arial"/>
          <w:sz w:val="22"/>
          <w:szCs w:val="22"/>
        </w:rPr>
        <w:br w:type="page"/>
      </w:r>
    </w:p>
    <w:p w14:paraId="39B4E1F4" w14:textId="0C2BD79E" w:rsidR="00C85EC1" w:rsidRPr="00AC1ECD" w:rsidRDefault="00AC1ECD" w:rsidP="00312A0A">
      <w:pPr>
        <w:spacing w:after="120"/>
        <w:rPr>
          <w:rFonts w:cs="Arial"/>
          <w:b/>
          <w:sz w:val="22"/>
          <w:szCs w:val="22"/>
        </w:rPr>
      </w:pPr>
      <w:r w:rsidRPr="00AC1ECD">
        <w:rPr>
          <w:rFonts w:cs="Arial"/>
          <w:b/>
          <w:sz w:val="22"/>
          <w:szCs w:val="22"/>
        </w:rPr>
        <w:lastRenderedPageBreak/>
        <w:t>LOT 4: SWINDON AND WILTSHIRE</w:t>
      </w:r>
    </w:p>
    <w:p w14:paraId="4C7642C9" w14:textId="6FECE7C4" w:rsidR="00312A0A" w:rsidRDefault="00312A0A" w:rsidP="00312A0A">
      <w:pPr>
        <w:spacing w:after="120"/>
        <w:rPr>
          <w:rFonts w:cs="Arial"/>
          <w:sz w:val="22"/>
          <w:szCs w:val="22"/>
        </w:rPr>
      </w:pPr>
    </w:p>
    <w:p w14:paraId="05D8DBFD" w14:textId="5DB75C51" w:rsidR="00AC1ECD" w:rsidRPr="003B7EE7" w:rsidRDefault="00AC1ECD" w:rsidP="00AC1ECD">
      <w:pPr>
        <w:spacing w:after="120"/>
        <w:rPr>
          <w:rFonts w:cs="Arial"/>
          <w:sz w:val="22"/>
          <w:szCs w:val="22"/>
        </w:rPr>
      </w:pPr>
      <w:r w:rsidRPr="5664A060">
        <w:rPr>
          <w:rFonts w:cs="Arial"/>
          <w:b/>
          <w:bCs/>
          <w:sz w:val="22"/>
          <w:szCs w:val="22"/>
        </w:rPr>
        <w:t>Value of the Lot:</w:t>
      </w:r>
      <w:r w:rsidRPr="5664A060">
        <w:rPr>
          <w:rFonts w:cs="Arial"/>
          <w:sz w:val="22"/>
          <w:szCs w:val="22"/>
        </w:rPr>
        <w:t xml:space="preserve"> £</w:t>
      </w:r>
      <w:r w:rsidR="003B7EE7" w:rsidRPr="5664A060">
        <w:rPr>
          <w:color w:val="000000" w:themeColor="text1"/>
          <w:sz w:val="22"/>
          <w:szCs w:val="22"/>
          <w:lang w:eastAsia="en-GB"/>
        </w:rPr>
        <w:t>4,366,59</w:t>
      </w:r>
      <w:r w:rsidR="08AF8D9D" w:rsidRPr="5664A060">
        <w:rPr>
          <w:color w:val="000000" w:themeColor="text1"/>
          <w:sz w:val="22"/>
          <w:szCs w:val="22"/>
          <w:lang w:eastAsia="en-GB"/>
        </w:rPr>
        <w:t>4</w:t>
      </w:r>
    </w:p>
    <w:p w14:paraId="16A5994B" w14:textId="77777777" w:rsidR="00AC1ECD" w:rsidRPr="00215180" w:rsidRDefault="00AC1ECD" w:rsidP="00AC1ECD">
      <w:pPr>
        <w:spacing w:after="120"/>
        <w:rPr>
          <w:rFonts w:cs="Arial"/>
          <w:b/>
          <w:sz w:val="22"/>
          <w:szCs w:val="22"/>
        </w:rPr>
      </w:pPr>
      <w:r w:rsidRPr="00215180">
        <w:rPr>
          <w:rFonts w:cs="Arial"/>
          <w:b/>
          <w:sz w:val="22"/>
          <w:szCs w:val="22"/>
        </w:rPr>
        <w:t xml:space="preserve">Geographic area: </w:t>
      </w:r>
    </w:p>
    <w:p w14:paraId="4B4081D3" w14:textId="1895598D" w:rsidR="00AC1ECD" w:rsidRDefault="00AC1ECD" w:rsidP="00AC1ECD">
      <w:pPr>
        <w:spacing w:after="120"/>
        <w:rPr>
          <w:rFonts w:cs="Arial"/>
          <w:sz w:val="22"/>
          <w:szCs w:val="22"/>
        </w:rPr>
      </w:pPr>
      <w:r>
        <w:rPr>
          <w:rFonts w:cs="Arial"/>
          <w:sz w:val="22"/>
          <w:szCs w:val="22"/>
        </w:rPr>
        <w:t>Swindon Unitary Authority</w:t>
      </w:r>
    </w:p>
    <w:p w14:paraId="34992C8C" w14:textId="28285494" w:rsidR="00AC1ECD" w:rsidRDefault="00170109" w:rsidP="00AC1ECD">
      <w:pPr>
        <w:spacing w:after="120"/>
        <w:rPr>
          <w:rFonts w:cs="Arial"/>
          <w:sz w:val="22"/>
          <w:szCs w:val="22"/>
        </w:rPr>
      </w:pPr>
      <w:r>
        <w:rPr>
          <w:rFonts w:cs="Arial"/>
          <w:sz w:val="22"/>
          <w:szCs w:val="22"/>
        </w:rPr>
        <w:t>Wiltshire County Council</w:t>
      </w:r>
    </w:p>
    <w:p w14:paraId="532588B4" w14:textId="77777777" w:rsidR="00AC1ECD" w:rsidRDefault="00AC1ECD" w:rsidP="00AC1ECD">
      <w:pPr>
        <w:spacing w:after="120"/>
        <w:rPr>
          <w:rFonts w:cs="Arial"/>
          <w:sz w:val="22"/>
          <w:szCs w:val="22"/>
        </w:rPr>
      </w:pPr>
    </w:p>
    <w:p w14:paraId="04C14995" w14:textId="505F2461" w:rsidR="00AC1ECD" w:rsidRPr="00312A0A" w:rsidRDefault="00AC1ECD" w:rsidP="00AC1ECD">
      <w:pPr>
        <w:spacing w:after="120"/>
        <w:rPr>
          <w:rFonts w:cs="Arial"/>
          <w:sz w:val="22"/>
          <w:szCs w:val="22"/>
        </w:rPr>
      </w:pPr>
      <w:r w:rsidRPr="00215180">
        <w:rPr>
          <w:rFonts w:cs="Arial"/>
          <w:b/>
          <w:sz w:val="22"/>
          <w:szCs w:val="22"/>
        </w:rPr>
        <w:t>Anticipated number of installations:</w:t>
      </w:r>
      <w:r>
        <w:rPr>
          <w:rFonts w:cs="Arial"/>
          <w:sz w:val="22"/>
          <w:szCs w:val="22"/>
        </w:rPr>
        <w:t xml:space="preserve"> </w:t>
      </w:r>
      <w:r w:rsidR="003B7EE7" w:rsidRPr="003B7EE7">
        <w:rPr>
          <w:color w:val="000000"/>
          <w:sz w:val="22"/>
          <w:szCs w:val="22"/>
          <w:lang w:eastAsia="en-GB"/>
        </w:rPr>
        <w:t>391</w:t>
      </w:r>
    </w:p>
    <w:p w14:paraId="3A48A9FA" w14:textId="77777777" w:rsidR="002032B3" w:rsidRDefault="002032B3" w:rsidP="002032B3">
      <w:pPr>
        <w:spacing w:line="257" w:lineRule="auto"/>
        <w:rPr>
          <w:rFonts w:cs="Arial"/>
          <w:sz w:val="22"/>
          <w:szCs w:val="22"/>
        </w:rPr>
      </w:pPr>
      <w:r w:rsidRPr="002624DB">
        <w:rPr>
          <w:color w:val="000000"/>
          <w:sz w:val="22"/>
          <w:szCs w:val="22"/>
          <w:lang w:eastAsia="en-GB"/>
        </w:rPr>
        <w:t xml:space="preserve">Number of installations is based on completing only owner occupier properties and with an average total spend of £10,000 per property. </w:t>
      </w:r>
      <w:r>
        <w:rPr>
          <w:color w:val="000000"/>
          <w:sz w:val="22"/>
          <w:szCs w:val="22"/>
          <w:lang w:eastAsia="en-GB"/>
        </w:rPr>
        <w:t>It is likely that the numbers will be made up of a mixture of owner occupier, social and private rental properties and therefore these numbers are at the lower end of the spectrum.</w:t>
      </w:r>
    </w:p>
    <w:p w14:paraId="10ADC027" w14:textId="77777777" w:rsidR="002032B3" w:rsidRDefault="002032B3" w:rsidP="002032B3">
      <w:pPr>
        <w:spacing w:line="257" w:lineRule="auto"/>
        <w:rPr>
          <w:rFonts w:ascii="Calibri" w:eastAsia="Calibri" w:hAnsi="Calibri" w:cs="Calibri"/>
          <w:sz w:val="22"/>
          <w:szCs w:val="22"/>
        </w:rPr>
      </w:pPr>
    </w:p>
    <w:p w14:paraId="74B153F5" w14:textId="77777777" w:rsidR="002032B3" w:rsidRPr="00CD5E4F" w:rsidRDefault="002032B3" w:rsidP="002032B3">
      <w:pPr>
        <w:spacing w:line="257" w:lineRule="auto"/>
        <w:rPr>
          <w:rFonts w:eastAsia="Calibri" w:cs="Arial"/>
          <w:b/>
          <w:sz w:val="22"/>
          <w:szCs w:val="22"/>
        </w:rPr>
      </w:pPr>
      <w:r w:rsidRPr="00CD5E4F">
        <w:rPr>
          <w:rFonts w:eastAsia="Calibri" w:cs="Arial"/>
          <w:b/>
          <w:sz w:val="22"/>
          <w:szCs w:val="22"/>
        </w:rPr>
        <w:t>Potential Market</w:t>
      </w:r>
    </w:p>
    <w:p w14:paraId="64440D6A" w14:textId="6981AA5D" w:rsidR="0035095A" w:rsidRPr="002032B3" w:rsidRDefault="0035095A" w:rsidP="0035095A">
      <w:pPr>
        <w:spacing w:line="257" w:lineRule="auto"/>
        <w:rPr>
          <w:rFonts w:eastAsia="Calibri" w:cs="Arial"/>
          <w:sz w:val="22"/>
          <w:szCs w:val="22"/>
        </w:rPr>
      </w:pPr>
      <w:r w:rsidRPr="3B6BD473">
        <w:rPr>
          <w:rFonts w:eastAsia="Calibri" w:cs="Arial"/>
          <w:sz w:val="22"/>
          <w:szCs w:val="22"/>
        </w:rPr>
        <w:t>The Swindon and Wiltshire (</w:t>
      </w:r>
      <w:r w:rsidR="00EB2B07" w:rsidRPr="3B6BD473">
        <w:rPr>
          <w:rFonts w:eastAsia="Calibri" w:cs="Arial"/>
          <w:sz w:val="22"/>
          <w:szCs w:val="22"/>
        </w:rPr>
        <w:t>SW</w:t>
      </w:r>
      <w:r w:rsidRPr="3B6BD473">
        <w:rPr>
          <w:rFonts w:eastAsia="Calibri" w:cs="Arial"/>
          <w:sz w:val="22"/>
          <w:szCs w:val="22"/>
        </w:rPr>
        <w:t xml:space="preserve">) LEP contains likely </w:t>
      </w:r>
      <w:r w:rsidR="00E973E1" w:rsidRPr="3B6BD473">
        <w:rPr>
          <w:rFonts w:eastAsia="Calibri" w:cs="Arial"/>
          <w:color w:val="000000" w:themeColor="text1"/>
          <w:sz w:val="22"/>
          <w:szCs w:val="22"/>
        </w:rPr>
        <w:t>20</w:t>
      </w:r>
      <w:r w:rsidR="0090358E" w:rsidRPr="3B6BD473">
        <w:rPr>
          <w:rFonts w:eastAsia="Calibri" w:cs="Arial"/>
          <w:color w:val="000000" w:themeColor="text1"/>
          <w:sz w:val="22"/>
          <w:szCs w:val="22"/>
        </w:rPr>
        <w:t>2</w:t>
      </w:r>
      <w:r w:rsidR="00E973E1" w:rsidRPr="3B6BD473">
        <w:rPr>
          <w:rFonts w:eastAsia="Calibri" w:cs="Arial"/>
          <w:color w:val="000000" w:themeColor="text1"/>
          <w:sz w:val="22"/>
          <w:szCs w:val="22"/>
        </w:rPr>
        <w:t>,000</w:t>
      </w:r>
      <w:r w:rsidRPr="3B6BD473">
        <w:rPr>
          <w:rFonts w:eastAsia="Calibri" w:cs="Arial"/>
          <w:color w:val="000000" w:themeColor="text1"/>
          <w:sz w:val="22"/>
          <w:szCs w:val="22"/>
        </w:rPr>
        <w:t xml:space="preserve"> properties rated EPC ‘D’ or below. Of these in the region of </w:t>
      </w:r>
      <w:r w:rsidR="0090358E" w:rsidRPr="3B6BD473">
        <w:rPr>
          <w:rFonts w:eastAsia="Calibri" w:cs="Arial"/>
          <w:color w:val="000000" w:themeColor="text1"/>
          <w:sz w:val="22"/>
          <w:szCs w:val="22"/>
        </w:rPr>
        <w:t>26,000</w:t>
      </w:r>
      <w:r w:rsidRPr="3B6BD473">
        <w:rPr>
          <w:rFonts w:eastAsia="Calibri" w:cs="Arial"/>
          <w:color w:val="000000" w:themeColor="text1"/>
          <w:sz w:val="22"/>
          <w:szCs w:val="22"/>
        </w:rPr>
        <w:t xml:space="preserve"> are in areas where there</w:t>
      </w:r>
      <w:r w:rsidRPr="3B6BD473">
        <w:rPr>
          <w:rFonts w:eastAsia="Calibri" w:cs="Arial"/>
          <w:sz w:val="22"/>
          <w:szCs w:val="22"/>
        </w:rPr>
        <w:t xml:space="preserve"> is a higher likelihood that households will fall within the scheme’s </w:t>
      </w:r>
      <w:r w:rsidR="54AE3593" w:rsidRPr="3B6BD473">
        <w:rPr>
          <w:rFonts w:eastAsia="Calibri" w:cs="Arial"/>
          <w:sz w:val="22"/>
          <w:szCs w:val="22"/>
        </w:rPr>
        <w:t>income-based</w:t>
      </w:r>
      <w:r w:rsidRPr="3B6BD473">
        <w:rPr>
          <w:rFonts w:eastAsia="Calibri" w:cs="Arial"/>
          <w:sz w:val="22"/>
          <w:szCs w:val="22"/>
        </w:rPr>
        <w:t xml:space="preserve"> eligibility criteria. </w:t>
      </w:r>
    </w:p>
    <w:p w14:paraId="21C37B45" w14:textId="77777777" w:rsidR="0035095A" w:rsidRPr="002032B3" w:rsidRDefault="0035095A" w:rsidP="0035095A">
      <w:pPr>
        <w:spacing w:line="257" w:lineRule="auto"/>
        <w:rPr>
          <w:rFonts w:eastAsia="Calibri" w:cs="Arial"/>
          <w:sz w:val="22"/>
          <w:szCs w:val="22"/>
        </w:rPr>
      </w:pPr>
    </w:p>
    <w:p w14:paraId="635CBEC9" w14:textId="0FCCA8B9" w:rsidR="0035095A" w:rsidRPr="002032B3" w:rsidRDefault="0035095A" w:rsidP="0035095A">
      <w:pPr>
        <w:spacing w:line="257" w:lineRule="auto"/>
        <w:rPr>
          <w:rFonts w:eastAsia="Calibri" w:cs="Arial"/>
          <w:sz w:val="22"/>
          <w:szCs w:val="22"/>
        </w:rPr>
      </w:pPr>
      <w:proofErr w:type="gramStart"/>
      <w:r w:rsidRPr="002032B3">
        <w:rPr>
          <w:rFonts w:eastAsia="Calibri" w:cs="Arial"/>
          <w:sz w:val="22"/>
          <w:szCs w:val="22"/>
        </w:rPr>
        <w:t>By definition of</w:t>
      </w:r>
      <w:proofErr w:type="gramEnd"/>
      <w:r w:rsidRPr="002032B3">
        <w:rPr>
          <w:rFonts w:eastAsia="Calibri" w:cs="Arial"/>
          <w:sz w:val="22"/>
          <w:szCs w:val="22"/>
        </w:rPr>
        <w:t xml:space="preserve"> being EPC band ‘D’ or below, many of these properties will benefit from one or more of the eligible measures that can be delivered through the scheme. Table 1 below shows the number of households in the </w:t>
      </w:r>
      <w:r w:rsidR="00EB2B07" w:rsidRPr="002032B3">
        <w:rPr>
          <w:rFonts w:eastAsia="Calibri" w:cs="Arial"/>
          <w:sz w:val="22"/>
          <w:szCs w:val="22"/>
        </w:rPr>
        <w:t>SW LEP area</w:t>
      </w:r>
      <w:r w:rsidRPr="002032B3">
        <w:rPr>
          <w:rFonts w:eastAsia="Calibri" w:cs="Arial"/>
          <w:sz w:val="22"/>
          <w:szCs w:val="22"/>
        </w:rPr>
        <w:t xml:space="preserve"> that would benefit from some of the schemes keys measures that are likely to be EPC band D or below. Additionally, it shows where those households are also in areas more likely to meet the schemes income eligibility criteria:</w:t>
      </w:r>
    </w:p>
    <w:p w14:paraId="7810121D" w14:textId="77777777" w:rsidR="0035095A" w:rsidRPr="002032B3" w:rsidRDefault="0035095A" w:rsidP="0035095A">
      <w:pPr>
        <w:spacing w:line="257" w:lineRule="auto"/>
        <w:rPr>
          <w:rFonts w:eastAsia="Calibri" w:cs="Arial"/>
          <w:sz w:val="22"/>
          <w:szCs w:val="22"/>
        </w:rPr>
      </w:pPr>
    </w:p>
    <w:p w14:paraId="1B93CE5C" w14:textId="07C35712" w:rsidR="0035095A" w:rsidRPr="002032B3" w:rsidRDefault="0035095A" w:rsidP="0035095A">
      <w:pPr>
        <w:spacing w:line="257" w:lineRule="auto"/>
        <w:rPr>
          <w:rFonts w:eastAsia="Calibri" w:cs="Arial"/>
          <w:b/>
          <w:bCs/>
          <w:sz w:val="22"/>
          <w:szCs w:val="22"/>
        </w:rPr>
      </w:pPr>
      <w:r w:rsidRPr="002032B3">
        <w:rPr>
          <w:rFonts w:eastAsia="Calibri" w:cs="Arial"/>
          <w:b/>
          <w:bCs/>
          <w:sz w:val="22"/>
          <w:szCs w:val="22"/>
        </w:rPr>
        <w:t>Table 1 – Likely eligible households appropriate for key scheme measures</w:t>
      </w:r>
    </w:p>
    <w:p w14:paraId="6BF00D3A" w14:textId="7338530B" w:rsidR="00E64F4A" w:rsidRDefault="00E64F4A" w:rsidP="0035095A">
      <w:pPr>
        <w:spacing w:line="257" w:lineRule="auto"/>
        <w:rPr>
          <w:rFonts w:ascii="Calibri" w:eastAsia="Calibri" w:hAnsi="Calibri" w:cs="Calibri"/>
          <w:b/>
          <w:bCs/>
          <w:sz w:val="22"/>
          <w:szCs w:val="22"/>
        </w:rPr>
      </w:pPr>
    </w:p>
    <w:tbl>
      <w:tblPr>
        <w:tblW w:w="5000" w:type="pct"/>
        <w:tblLook w:val="04A0" w:firstRow="1" w:lastRow="0" w:firstColumn="1" w:lastColumn="0" w:noHBand="0" w:noVBand="1"/>
      </w:tblPr>
      <w:tblGrid>
        <w:gridCol w:w="3474"/>
        <w:gridCol w:w="2835"/>
        <w:gridCol w:w="2933"/>
      </w:tblGrid>
      <w:tr w:rsidR="00622722" w:rsidRPr="003B7EE7" w14:paraId="1DE97698" w14:textId="77777777" w:rsidTr="3B6BD473">
        <w:trPr>
          <w:trHeight w:val="300"/>
        </w:trPr>
        <w:tc>
          <w:tcPr>
            <w:tcW w:w="5000" w:type="pct"/>
            <w:gridSpan w:val="3"/>
            <w:tcBorders>
              <w:top w:val="single" w:sz="8" w:space="0" w:color="auto"/>
              <w:left w:val="single" w:sz="8" w:space="0" w:color="auto"/>
              <w:bottom w:val="single" w:sz="8" w:space="0" w:color="auto"/>
              <w:right w:val="single" w:sz="8" w:space="0" w:color="000000" w:themeColor="text1"/>
            </w:tcBorders>
            <w:shd w:val="clear" w:color="auto" w:fill="auto"/>
            <w:noWrap/>
            <w:vAlign w:val="bottom"/>
            <w:hideMark/>
          </w:tcPr>
          <w:p w14:paraId="77193A96" w14:textId="77777777" w:rsidR="00622722" w:rsidRPr="003B7EE7" w:rsidRDefault="00622722" w:rsidP="00622722">
            <w:pPr>
              <w:tabs>
                <w:tab w:val="clear" w:pos="720"/>
                <w:tab w:val="clear" w:pos="1440"/>
                <w:tab w:val="clear" w:pos="2160"/>
                <w:tab w:val="clear" w:pos="2880"/>
                <w:tab w:val="clear" w:pos="4680"/>
                <w:tab w:val="clear" w:pos="5400"/>
                <w:tab w:val="clear" w:pos="9000"/>
              </w:tabs>
              <w:spacing w:line="240" w:lineRule="auto"/>
              <w:jc w:val="center"/>
              <w:rPr>
                <w:rFonts w:cs="Arial"/>
                <w:color w:val="000000"/>
                <w:sz w:val="22"/>
                <w:szCs w:val="22"/>
                <w:lang w:eastAsia="en-GB"/>
              </w:rPr>
            </w:pPr>
            <w:r w:rsidRPr="003B7EE7">
              <w:rPr>
                <w:rFonts w:cs="Arial"/>
                <w:color w:val="000000"/>
                <w:sz w:val="22"/>
                <w:szCs w:val="22"/>
                <w:lang w:eastAsia="en-GB"/>
              </w:rPr>
              <w:t>SW LEP</w:t>
            </w:r>
          </w:p>
        </w:tc>
      </w:tr>
      <w:tr w:rsidR="00622722" w:rsidRPr="003B7EE7" w14:paraId="7F839C29" w14:textId="77777777" w:rsidTr="3B6BD473">
        <w:trPr>
          <w:trHeight w:val="1452"/>
        </w:trPr>
        <w:tc>
          <w:tcPr>
            <w:tcW w:w="1879" w:type="pct"/>
            <w:tcBorders>
              <w:top w:val="nil"/>
              <w:left w:val="single" w:sz="8" w:space="0" w:color="auto"/>
              <w:bottom w:val="single" w:sz="8" w:space="0" w:color="auto"/>
              <w:right w:val="single" w:sz="8" w:space="0" w:color="auto"/>
            </w:tcBorders>
            <w:shd w:val="clear" w:color="auto" w:fill="auto"/>
            <w:vAlign w:val="center"/>
            <w:hideMark/>
          </w:tcPr>
          <w:p w14:paraId="2077607D" w14:textId="77777777" w:rsidR="00622722" w:rsidRPr="003B7EE7" w:rsidRDefault="00622722" w:rsidP="00622722">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003B7EE7">
              <w:rPr>
                <w:rFonts w:cs="Arial"/>
                <w:b/>
                <w:bCs/>
                <w:color w:val="000000"/>
                <w:sz w:val="22"/>
                <w:szCs w:val="22"/>
                <w:lang w:eastAsia="en-GB"/>
              </w:rPr>
              <w:t xml:space="preserve">Suitable measures </w:t>
            </w:r>
            <w:r w:rsidRPr="003B7EE7">
              <w:rPr>
                <w:rFonts w:cs="Arial"/>
                <w:color w:val="000000"/>
                <w:sz w:val="18"/>
                <w:szCs w:val="18"/>
                <w:lang w:eastAsia="en-GB"/>
              </w:rPr>
              <w:t>i.e. appropriate construction with low carbon measure not yet in place</w:t>
            </w:r>
            <w:r w:rsidRPr="003B7EE7">
              <w:rPr>
                <w:rFonts w:cs="Arial"/>
                <w:b/>
                <w:bCs/>
                <w:color w:val="000000"/>
                <w:sz w:val="22"/>
                <w:szCs w:val="22"/>
                <w:lang w:eastAsia="en-GB"/>
              </w:rPr>
              <w:t xml:space="preserve"> </w:t>
            </w:r>
          </w:p>
        </w:tc>
        <w:tc>
          <w:tcPr>
            <w:tcW w:w="1534" w:type="pct"/>
            <w:tcBorders>
              <w:top w:val="nil"/>
              <w:left w:val="nil"/>
              <w:bottom w:val="single" w:sz="8" w:space="0" w:color="auto"/>
              <w:right w:val="single" w:sz="8" w:space="0" w:color="auto"/>
            </w:tcBorders>
            <w:shd w:val="clear" w:color="auto" w:fill="auto"/>
            <w:vAlign w:val="center"/>
            <w:hideMark/>
          </w:tcPr>
          <w:p w14:paraId="1EBD68E3" w14:textId="77777777" w:rsidR="00622722" w:rsidRPr="003B7EE7" w:rsidRDefault="00622722" w:rsidP="00622722">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003B7EE7">
              <w:rPr>
                <w:rFonts w:cs="Arial"/>
                <w:b/>
                <w:bCs/>
                <w:color w:val="000000"/>
                <w:sz w:val="22"/>
                <w:szCs w:val="22"/>
                <w:lang w:eastAsia="en-GB"/>
              </w:rPr>
              <w:t xml:space="preserve">Number of likely eligible households - </w:t>
            </w:r>
            <w:r w:rsidRPr="003B7EE7">
              <w:rPr>
                <w:rFonts w:cs="Arial"/>
                <w:color w:val="000000"/>
                <w:sz w:val="22"/>
                <w:szCs w:val="22"/>
                <w:lang w:eastAsia="en-GB"/>
              </w:rPr>
              <w:t>EPC 'D' or below</w:t>
            </w:r>
          </w:p>
        </w:tc>
        <w:tc>
          <w:tcPr>
            <w:tcW w:w="1586" w:type="pct"/>
            <w:tcBorders>
              <w:top w:val="nil"/>
              <w:left w:val="nil"/>
              <w:bottom w:val="single" w:sz="8" w:space="0" w:color="auto"/>
              <w:right w:val="single" w:sz="8" w:space="0" w:color="auto"/>
            </w:tcBorders>
            <w:shd w:val="clear" w:color="auto" w:fill="auto"/>
            <w:vAlign w:val="center"/>
            <w:hideMark/>
          </w:tcPr>
          <w:p w14:paraId="636D9F42" w14:textId="2C7EB052" w:rsidR="00622722" w:rsidRPr="003B7EE7" w:rsidRDefault="71572631" w:rsidP="00622722">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3B6BD473">
              <w:rPr>
                <w:rFonts w:cs="Arial"/>
                <w:b/>
                <w:bCs/>
                <w:color w:val="000000" w:themeColor="text1"/>
                <w:sz w:val="22"/>
                <w:szCs w:val="22"/>
                <w:lang w:eastAsia="en-GB"/>
              </w:rPr>
              <w:t xml:space="preserve">Number of likely eligible households - </w:t>
            </w:r>
            <w:r w:rsidRPr="3B6BD473">
              <w:rPr>
                <w:rFonts w:cs="Arial"/>
                <w:color w:val="000000" w:themeColor="text1"/>
                <w:sz w:val="22"/>
                <w:szCs w:val="22"/>
                <w:lang w:eastAsia="en-GB"/>
              </w:rPr>
              <w:t xml:space="preserve">EPC 'D' or below </w:t>
            </w:r>
            <w:r w:rsidRPr="3B6BD473">
              <w:rPr>
                <w:rFonts w:cs="Arial"/>
                <w:b/>
                <w:bCs/>
                <w:color w:val="000000" w:themeColor="text1"/>
                <w:sz w:val="22"/>
                <w:szCs w:val="22"/>
                <w:lang w:eastAsia="en-GB"/>
              </w:rPr>
              <w:t xml:space="preserve">&amp; </w:t>
            </w:r>
            <w:r w:rsidR="4FADCD11" w:rsidRPr="3B6BD473">
              <w:rPr>
                <w:rFonts w:cs="Arial"/>
                <w:color w:val="000000" w:themeColor="text1"/>
                <w:sz w:val="22"/>
                <w:szCs w:val="22"/>
                <w:lang w:eastAsia="en-GB"/>
              </w:rPr>
              <w:t>low-income</w:t>
            </w:r>
            <w:r w:rsidRPr="3B6BD473">
              <w:rPr>
                <w:rFonts w:cs="Arial"/>
                <w:color w:val="000000" w:themeColor="text1"/>
                <w:sz w:val="22"/>
                <w:szCs w:val="22"/>
                <w:lang w:eastAsia="en-GB"/>
              </w:rPr>
              <w:t xml:space="preserve"> proxy</w:t>
            </w:r>
          </w:p>
        </w:tc>
      </w:tr>
      <w:tr w:rsidR="00622722" w:rsidRPr="003B7EE7" w14:paraId="1FC0EBD9"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770AD464" w14:textId="77777777" w:rsidR="00622722" w:rsidRPr="003B7EE7" w:rsidRDefault="00622722" w:rsidP="0062272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3B7EE7">
              <w:rPr>
                <w:rFonts w:cs="Arial"/>
                <w:color w:val="000000"/>
                <w:sz w:val="22"/>
                <w:szCs w:val="22"/>
                <w:lang w:eastAsia="en-GB"/>
              </w:rPr>
              <w:t xml:space="preserve">Cavity wall insulation </w:t>
            </w:r>
          </w:p>
        </w:tc>
        <w:tc>
          <w:tcPr>
            <w:tcW w:w="1534" w:type="pct"/>
            <w:tcBorders>
              <w:top w:val="nil"/>
              <w:left w:val="nil"/>
              <w:bottom w:val="single" w:sz="4" w:space="0" w:color="auto"/>
              <w:right w:val="single" w:sz="8" w:space="0" w:color="auto"/>
            </w:tcBorders>
            <w:shd w:val="clear" w:color="auto" w:fill="auto"/>
            <w:noWrap/>
            <w:vAlign w:val="bottom"/>
            <w:hideMark/>
          </w:tcPr>
          <w:p w14:paraId="7582F823" w14:textId="77777777" w:rsidR="00622722" w:rsidRPr="003B7EE7" w:rsidRDefault="71572631"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46,844 </w:t>
            </w:r>
          </w:p>
        </w:tc>
        <w:tc>
          <w:tcPr>
            <w:tcW w:w="1586" w:type="pct"/>
            <w:tcBorders>
              <w:top w:val="nil"/>
              <w:left w:val="nil"/>
              <w:bottom w:val="single" w:sz="4" w:space="0" w:color="auto"/>
              <w:right w:val="single" w:sz="8" w:space="0" w:color="auto"/>
            </w:tcBorders>
            <w:shd w:val="clear" w:color="auto" w:fill="auto"/>
            <w:noWrap/>
            <w:vAlign w:val="bottom"/>
            <w:hideMark/>
          </w:tcPr>
          <w:p w14:paraId="3C7641A3" w14:textId="77777777" w:rsidR="00622722" w:rsidRPr="003B7EE7" w:rsidRDefault="71572631"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7,093 </w:t>
            </w:r>
          </w:p>
        </w:tc>
      </w:tr>
      <w:tr w:rsidR="00622722" w:rsidRPr="003B7EE7" w14:paraId="32A79E81"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4724B14F" w14:textId="77777777" w:rsidR="00622722" w:rsidRPr="003B7EE7" w:rsidRDefault="00622722" w:rsidP="0062272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3B7EE7">
              <w:rPr>
                <w:rFonts w:cs="Arial"/>
                <w:color w:val="000000"/>
                <w:sz w:val="22"/>
                <w:szCs w:val="22"/>
                <w:lang w:eastAsia="en-GB"/>
              </w:rPr>
              <w:t xml:space="preserve">Solid wall insulation </w:t>
            </w:r>
          </w:p>
        </w:tc>
        <w:tc>
          <w:tcPr>
            <w:tcW w:w="1534" w:type="pct"/>
            <w:tcBorders>
              <w:top w:val="nil"/>
              <w:left w:val="nil"/>
              <w:bottom w:val="single" w:sz="4" w:space="0" w:color="auto"/>
              <w:right w:val="single" w:sz="8" w:space="0" w:color="auto"/>
            </w:tcBorders>
            <w:shd w:val="clear" w:color="auto" w:fill="auto"/>
            <w:noWrap/>
            <w:vAlign w:val="bottom"/>
            <w:hideMark/>
          </w:tcPr>
          <w:p w14:paraId="65B2F67E" w14:textId="77777777" w:rsidR="00622722" w:rsidRPr="003B7EE7" w:rsidRDefault="71572631"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39,696 </w:t>
            </w:r>
          </w:p>
        </w:tc>
        <w:tc>
          <w:tcPr>
            <w:tcW w:w="1586" w:type="pct"/>
            <w:tcBorders>
              <w:top w:val="nil"/>
              <w:left w:val="nil"/>
              <w:bottom w:val="single" w:sz="4" w:space="0" w:color="auto"/>
              <w:right w:val="single" w:sz="8" w:space="0" w:color="auto"/>
            </w:tcBorders>
            <w:shd w:val="clear" w:color="auto" w:fill="auto"/>
            <w:noWrap/>
            <w:vAlign w:val="bottom"/>
            <w:hideMark/>
          </w:tcPr>
          <w:p w14:paraId="1DA734F7" w14:textId="77777777" w:rsidR="00622722" w:rsidRPr="003B7EE7" w:rsidRDefault="71572631"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6,605 </w:t>
            </w:r>
          </w:p>
        </w:tc>
      </w:tr>
      <w:tr w:rsidR="00622722" w:rsidRPr="003B7EE7" w14:paraId="07615C35"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63788C3C" w14:textId="77777777" w:rsidR="00622722" w:rsidRPr="003B7EE7" w:rsidRDefault="00622722" w:rsidP="0062272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3B7EE7">
              <w:rPr>
                <w:rFonts w:cs="Arial"/>
                <w:color w:val="000000"/>
                <w:sz w:val="22"/>
                <w:szCs w:val="22"/>
                <w:lang w:eastAsia="en-GB"/>
              </w:rPr>
              <w:t>Loft insulation</w:t>
            </w:r>
          </w:p>
        </w:tc>
        <w:tc>
          <w:tcPr>
            <w:tcW w:w="1534" w:type="pct"/>
            <w:tcBorders>
              <w:top w:val="nil"/>
              <w:left w:val="nil"/>
              <w:bottom w:val="single" w:sz="4" w:space="0" w:color="auto"/>
              <w:right w:val="single" w:sz="8" w:space="0" w:color="auto"/>
            </w:tcBorders>
            <w:shd w:val="clear" w:color="auto" w:fill="auto"/>
            <w:noWrap/>
            <w:vAlign w:val="bottom"/>
            <w:hideMark/>
          </w:tcPr>
          <w:p w14:paraId="22A8BDAE" w14:textId="77777777" w:rsidR="00622722" w:rsidRPr="003B7EE7" w:rsidRDefault="71572631"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111,600 </w:t>
            </w:r>
          </w:p>
        </w:tc>
        <w:tc>
          <w:tcPr>
            <w:tcW w:w="1586" w:type="pct"/>
            <w:tcBorders>
              <w:top w:val="nil"/>
              <w:left w:val="nil"/>
              <w:bottom w:val="single" w:sz="4" w:space="0" w:color="auto"/>
              <w:right w:val="single" w:sz="8" w:space="0" w:color="auto"/>
            </w:tcBorders>
            <w:shd w:val="clear" w:color="auto" w:fill="auto"/>
            <w:noWrap/>
            <w:vAlign w:val="bottom"/>
            <w:hideMark/>
          </w:tcPr>
          <w:p w14:paraId="3E81748F" w14:textId="77777777" w:rsidR="00622722" w:rsidRPr="003B7EE7" w:rsidRDefault="71572631"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14,730 </w:t>
            </w:r>
          </w:p>
        </w:tc>
      </w:tr>
      <w:tr w:rsidR="00622722" w:rsidRPr="003B7EE7" w14:paraId="44CC97DC"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3D1B10F4" w14:textId="77777777" w:rsidR="00622722" w:rsidRPr="003B7EE7" w:rsidRDefault="00622722" w:rsidP="0062272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3B7EE7">
              <w:rPr>
                <w:rFonts w:cs="Arial"/>
                <w:color w:val="000000"/>
                <w:sz w:val="22"/>
                <w:szCs w:val="22"/>
                <w:lang w:eastAsia="en-GB"/>
              </w:rPr>
              <w:t xml:space="preserve">Floor insulation </w:t>
            </w:r>
          </w:p>
        </w:tc>
        <w:tc>
          <w:tcPr>
            <w:tcW w:w="1534" w:type="pct"/>
            <w:tcBorders>
              <w:top w:val="nil"/>
              <w:left w:val="nil"/>
              <w:bottom w:val="single" w:sz="4" w:space="0" w:color="auto"/>
              <w:right w:val="single" w:sz="8" w:space="0" w:color="auto"/>
            </w:tcBorders>
            <w:shd w:val="clear" w:color="auto" w:fill="auto"/>
            <w:noWrap/>
            <w:vAlign w:val="bottom"/>
            <w:hideMark/>
          </w:tcPr>
          <w:p w14:paraId="52664737" w14:textId="77777777" w:rsidR="00622722" w:rsidRPr="003B7EE7" w:rsidRDefault="71572631"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197,985 </w:t>
            </w:r>
          </w:p>
        </w:tc>
        <w:tc>
          <w:tcPr>
            <w:tcW w:w="1586" w:type="pct"/>
            <w:tcBorders>
              <w:top w:val="nil"/>
              <w:left w:val="nil"/>
              <w:bottom w:val="single" w:sz="4" w:space="0" w:color="auto"/>
              <w:right w:val="single" w:sz="8" w:space="0" w:color="auto"/>
            </w:tcBorders>
            <w:shd w:val="clear" w:color="auto" w:fill="auto"/>
            <w:noWrap/>
            <w:vAlign w:val="bottom"/>
            <w:hideMark/>
          </w:tcPr>
          <w:p w14:paraId="38C6FC5F" w14:textId="77777777" w:rsidR="00622722" w:rsidRPr="003B7EE7" w:rsidRDefault="71572631"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25,276 </w:t>
            </w:r>
          </w:p>
        </w:tc>
      </w:tr>
      <w:tr w:rsidR="00622722" w:rsidRPr="003B7EE7" w14:paraId="69042863"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77EABA78" w14:textId="77777777" w:rsidR="00622722" w:rsidRPr="003B7EE7" w:rsidRDefault="00622722" w:rsidP="0062272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3B7EE7">
              <w:rPr>
                <w:rFonts w:cs="Arial"/>
                <w:color w:val="000000"/>
                <w:sz w:val="22"/>
                <w:szCs w:val="22"/>
                <w:lang w:eastAsia="en-GB"/>
              </w:rPr>
              <w:t>Glazing upgrade</w:t>
            </w:r>
          </w:p>
        </w:tc>
        <w:tc>
          <w:tcPr>
            <w:tcW w:w="1534" w:type="pct"/>
            <w:tcBorders>
              <w:top w:val="nil"/>
              <w:left w:val="nil"/>
              <w:bottom w:val="single" w:sz="4" w:space="0" w:color="auto"/>
              <w:right w:val="single" w:sz="8" w:space="0" w:color="auto"/>
            </w:tcBorders>
            <w:shd w:val="clear" w:color="auto" w:fill="auto"/>
            <w:noWrap/>
            <w:vAlign w:val="bottom"/>
            <w:hideMark/>
          </w:tcPr>
          <w:p w14:paraId="03008ED9" w14:textId="77777777" w:rsidR="00622722" w:rsidRPr="003B7EE7" w:rsidRDefault="71572631"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19,010 </w:t>
            </w:r>
          </w:p>
        </w:tc>
        <w:tc>
          <w:tcPr>
            <w:tcW w:w="1586" w:type="pct"/>
            <w:tcBorders>
              <w:top w:val="nil"/>
              <w:left w:val="nil"/>
              <w:bottom w:val="single" w:sz="4" w:space="0" w:color="auto"/>
              <w:right w:val="single" w:sz="8" w:space="0" w:color="auto"/>
            </w:tcBorders>
            <w:shd w:val="clear" w:color="auto" w:fill="auto"/>
            <w:noWrap/>
            <w:vAlign w:val="bottom"/>
            <w:hideMark/>
          </w:tcPr>
          <w:p w14:paraId="4774DB0C" w14:textId="77777777" w:rsidR="00622722" w:rsidRPr="003B7EE7" w:rsidRDefault="71572631"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3,756 </w:t>
            </w:r>
          </w:p>
        </w:tc>
      </w:tr>
      <w:tr w:rsidR="00622722" w:rsidRPr="003B7EE7" w14:paraId="1D1F947D"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5F8E4451" w14:textId="77777777" w:rsidR="00622722" w:rsidRPr="003B7EE7" w:rsidRDefault="00622722" w:rsidP="0062272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3B7EE7">
              <w:rPr>
                <w:rFonts w:cs="Arial"/>
                <w:color w:val="000000"/>
                <w:sz w:val="22"/>
                <w:szCs w:val="22"/>
                <w:lang w:eastAsia="en-GB"/>
              </w:rPr>
              <w:t>Heating upgrade ASHP*</w:t>
            </w:r>
          </w:p>
        </w:tc>
        <w:tc>
          <w:tcPr>
            <w:tcW w:w="1534" w:type="pct"/>
            <w:tcBorders>
              <w:top w:val="nil"/>
              <w:left w:val="nil"/>
              <w:bottom w:val="single" w:sz="4" w:space="0" w:color="auto"/>
              <w:right w:val="single" w:sz="8" w:space="0" w:color="auto"/>
            </w:tcBorders>
            <w:shd w:val="clear" w:color="auto" w:fill="auto"/>
            <w:noWrap/>
            <w:vAlign w:val="bottom"/>
            <w:hideMark/>
          </w:tcPr>
          <w:p w14:paraId="6FDFB5E8" w14:textId="77777777" w:rsidR="00622722" w:rsidRPr="003B7EE7" w:rsidRDefault="71572631"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22,014 </w:t>
            </w:r>
          </w:p>
        </w:tc>
        <w:tc>
          <w:tcPr>
            <w:tcW w:w="1586" w:type="pct"/>
            <w:tcBorders>
              <w:top w:val="nil"/>
              <w:left w:val="nil"/>
              <w:bottom w:val="single" w:sz="4" w:space="0" w:color="auto"/>
              <w:right w:val="single" w:sz="8" w:space="0" w:color="auto"/>
            </w:tcBorders>
            <w:shd w:val="clear" w:color="auto" w:fill="auto"/>
            <w:noWrap/>
            <w:vAlign w:val="bottom"/>
            <w:hideMark/>
          </w:tcPr>
          <w:p w14:paraId="7452875B" w14:textId="77777777" w:rsidR="00622722" w:rsidRPr="003B7EE7" w:rsidRDefault="71572631"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2,424 </w:t>
            </w:r>
          </w:p>
        </w:tc>
      </w:tr>
      <w:tr w:rsidR="00622722" w:rsidRPr="003B7EE7" w14:paraId="735971AA"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5F903E93" w14:textId="77777777" w:rsidR="00622722" w:rsidRPr="003B7EE7" w:rsidRDefault="00622722" w:rsidP="0062272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3B7EE7">
              <w:rPr>
                <w:rFonts w:cs="Arial"/>
                <w:color w:val="000000"/>
                <w:sz w:val="22"/>
                <w:szCs w:val="22"/>
                <w:lang w:eastAsia="en-GB"/>
              </w:rPr>
              <w:t>Solar PV</w:t>
            </w:r>
          </w:p>
        </w:tc>
        <w:tc>
          <w:tcPr>
            <w:tcW w:w="1534" w:type="pct"/>
            <w:tcBorders>
              <w:top w:val="nil"/>
              <w:left w:val="nil"/>
              <w:bottom w:val="single" w:sz="4" w:space="0" w:color="auto"/>
              <w:right w:val="single" w:sz="8" w:space="0" w:color="auto"/>
            </w:tcBorders>
            <w:shd w:val="clear" w:color="auto" w:fill="auto"/>
            <w:noWrap/>
            <w:vAlign w:val="bottom"/>
            <w:hideMark/>
          </w:tcPr>
          <w:p w14:paraId="3BBD6BF6" w14:textId="77777777" w:rsidR="00622722" w:rsidRPr="003B7EE7" w:rsidRDefault="71572631"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132,580 </w:t>
            </w:r>
          </w:p>
        </w:tc>
        <w:tc>
          <w:tcPr>
            <w:tcW w:w="1586" w:type="pct"/>
            <w:tcBorders>
              <w:top w:val="nil"/>
              <w:left w:val="nil"/>
              <w:bottom w:val="single" w:sz="4" w:space="0" w:color="auto"/>
              <w:right w:val="single" w:sz="8" w:space="0" w:color="auto"/>
            </w:tcBorders>
            <w:shd w:val="clear" w:color="auto" w:fill="auto"/>
            <w:noWrap/>
            <w:vAlign w:val="bottom"/>
            <w:hideMark/>
          </w:tcPr>
          <w:p w14:paraId="6CE39F0C" w14:textId="77777777" w:rsidR="00622722" w:rsidRPr="003B7EE7" w:rsidRDefault="71572631"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16,253 </w:t>
            </w:r>
          </w:p>
        </w:tc>
      </w:tr>
      <w:tr w:rsidR="00622722" w:rsidRPr="003B7EE7" w14:paraId="28CC30EC" w14:textId="77777777" w:rsidTr="3B6BD473">
        <w:trPr>
          <w:trHeight w:val="300"/>
        </w:trPr>
        <w:tc>
          <w:tcPr>
            <w:tcW w:w="1879" w:type="pct"/>
            <w:tcBorders>
              <w:top w:val="nil"/>
              <w:left w:val="single" w:sz="8" w:space="0" w:color="auto"/>
              <w:bottom w:val="single" w:sz="8" w:space="0" w:color="auto"/>
              <w:right w:val="single" w:sz="8" w:space="0" w:color="auto"/>
            </w:tcBorders>
            <w:shd w:val="clear" w:color="auto" w:fill="auto"/>
            <w:noWrap/>
            <w:vAlign w:val="center"/>
            <w:hideMark/>
          </w:tcPr>
          <w:p w14:paraId="496A6C96" w14:textId="77777777" w:rsidR="00622722" w:rsidRPr="003B7EE7" w:rsidRDefault="00622722" w:rsidP="0062272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3B7EE7">
              <w:rPr>
                <w:rFonts w:cs="Arial"/>
                <w:color w:val="000000"/>
                <w:sz w:val="22"/>
                <w:szCs w:val="22"/>
                <w:lang w:eastAsia="en-GB"/>
              </w:rPr>
              <w:t>Solar Thermal</w:t>
            </w:r>
          </w:p>
        </w:tc>
        <w:tc>
          <w:tcPr>
            <w:tcW w:w="1534" w:type="pct"/>
            <w:tcBorders>
              <w:top w:val="nil"/>
              <w:left w:val="nil"/>
              <w:bottom w:val="single" w:sz="8" w:space="0" w:color="auto"/>
              <w:right w:val="single" w:sz="8" w:space="0" w:color="auto"/>
            </w:tcBorders>
            <w:shd w:val="clear" w:color="auto" w:fill="auto"/>
            <w:noWrap/>
            <w:vAlign w:val="bottom"/>
            <w:hideMark/>
          </w:tcPr>
          <w:p w14:paraId="12D48AA4" w14:textId="77777777" w:rsidR="00622722" w:rsidRPr="003B7EE7" w:rsidRDefault="71572631"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132,320 </w:t>
            </w:r>
          </w:p>
        </w:tc>
        <w:tc>
          <w:tcPr>
            <w:tcW w:w="1586" w:type="pct"/>
            <w:tcBorders>
              <w:top w:val="nil"/>
              <w:left w:val="nil"/>
              <w:bottom w:val="single" w:sz="8" w:space="0" w:color="auto"/>
              <w:right w:val="single" w:sz="8" w:space="0" w:color="auto"/>
            </w:tcBorders>
            <w:shd w:val="clear" w:color="auto" w:fill="auto"/>
            <w:noWrap/>
            <w:vAlign w:val="bottom"/>
            <w:hideMark/>
          </w:tcPr>
          <w:p w14:paraId="7ED76860" w14:textId="77777777" w:rsidR="00622722" w:rsidRPr="003B7EE7" w:rsidRDefault="71572631"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16,219 </w:t>
            </w:r>
          </w:p>
        </w:tc>
      </w:tr>
    </w:tbl>
    <w:p w14:paraId="52D6B944" w14:textId="77777777" w:rsidR="00E64F4A" w:rsidRDefault="00E64F4A" w:rsidP="0035095A">
      <w:pPr>
        <w:spacing w:line="257" w:lineRule="auto"/>
        <w:rPr>
          <w:rFonts w:ascii="Calibri" w:eastAsia="Calibri" w:hAnsi="Calibri" w:cs="Calibri"/>
          <w:b/>
          <w:bCs/>
          <w:sz w:val="22"/>
          <w:szCs w:val="22"/>
        </w:rPr>
      </w:pPr>
    </w:p>
    <w:p w14:paraId="10606196" w14:textId="77777777" w:rsidR="0035095A" w:rsidRDefault="0035095A" w:rsidP="0035095A">
      <w:pPr>
        <w:spacing w:line="257" w:lineRule="auto"/>
        <w:rPr>
          <w:rFonts w:ascii="Calibri" w:eastAsia="Calibri" w:hAnsi="Calibri" w:cs="Calibri"/>
          <w:sz w:val="22"/>
          <w:szCs w:val="22"/>
        </w:rPr>
      </w:pPr>
      <w:r w:rsidRPr="3439B5AA">
        <w:rPr>
          <w:rFonts w:ascii="Calibri" w:eastAsia="Calibri" w:hAnsi="Calibri" w:cs="Calibri"/>
          <w:sz w:val="22"/>
          <w:szCs w:val="22"/>
        </w:rPr>
        <w:t xml:space="preserve"> </w:t>
      </w:r>
    </w:p>
    <w:p w14:paraId="5C8C79E1" w14:textId="770986C2" w:rsidR="0035095A" w:rsidRPr="003B7EE7" w:rsidRDefault="0035095A" w:rsidP="0035095A">
      <w:pPr>
        <w:spacing w:line="257" w:lineRule="auto"/>
        <w:rPr>
          <w:rFonts w:eastAsia="Calibri" w:cs="Arial"/>
          <w:sz w:val="22"/>
          <w:szCs w:val="22"/>
        </w:rPr>
      </w:pPr>
      <w:r w:rsidRPr="3B6BD473">
        <w:rPr>
          <w:rFonts w:eastAsia="Calibri" w:cs="Arial"/>
          <w:sz w:val="22"/>
          <w:szCs w:val="22"/>
        </w:rPr>
        <w:t xml:space="preserve">*The ASHP opportunity in Table 1 above assumes that the property would not be connected to the gas network in order to be suitable for an Air Source Heat Pump (ASHP). However, this not </w:t>
      </w:r>
      <w:r w:rsidR="7FC2FBDA" w:rsidRPr="3B6BD473">
        <w:rPr>
          <w:rFonts w:eastAsia="Calibri" w:cs="Arial"/>
          <w:sz w:val="22"/>
          <w:szCs w:val="22"/>
        </w:rPr>
        <w:t>a prerequisite</w:t>
      </w:r>
      <w:r w:rsidRPr="3B6BD473">
        <w:rPr>
          <w:rFonts w:eastAsia="Calibri" w:cs="Arial"/>
          <w:sz w:val="22"/>
          <w:szCs w:val="22"/>
        </w:rPr>
        <w:t xml:space="preserve"> for this scheme where fossil fuel heating installations are not eligible. </w:t>
      </w:r>
      <w:r w:rsidRPr="3B6BD473">
        <w:rPr>
          <w:rFonts w:eastAsia="Calibri" w:cs="Arial"/>
          <w:sz w:val="22"/>
          <w:szCs w:val="22"/>
        </w:rPr>
        <w:lastRenderedPageBreak/>
        <w:t xml:space="preserve">On this basis the number of likely eligible properties that might theoretically benefit from an ASHP installation is more </w:t>
      </w:r>
      <w:r w:rsidRPr="3B6BD473">
        <w:rPr>
          <w:rFonts w:eastAsia="Calibri" w:cs="Arial"/>
          <w:color w:val="000000" w:themeColor="text1"/>
          <w:sz w:val="22"/>
          <w:szCs w:val="22"/>
        </w:rPr>
        <w:t xml:space="preserve">like </w:t>
      </w:r>
      <w:r w:rsidR="002F0227" w:rsidRPr="3B6BD473">
        <w:rPr>
          <w:rFonts w:eastAsia="Calibri" w:cs="Arial"/>
          <w:color w:val="000000" w:themeColor="text1"/>
          <w:sz w:val="22"/>
          <w:szCs w:val="22"/>
        </w:rPr>
        <w:t>9,000</w:t>
      </w:r>
      <w:r w:rsidR="00BC49E8" w:rsidRPr="3B6BD473">
        <w:rPr>
          <w:rFonts w:eastAsia="Calibri" w:cs="Arial"/>
          <w:color w:val="000000" w:themeColor="text1"/>
          <w:sz w:val="22"/>
          <w:szCs w:val="22"/>
        </w:rPr>
        <w:t xml:space="preserve"> </w:t>
      </w:r>
      <w:r w:rsidRPr="3B6BD473">
        <w:rPr>
          <w:rFonts w:eastAsia="Calibri" w:cs="Arial"/>
          <w:sz w:val="22"/>
          <w:szCs w:val="22"/>
        </w:rPr>
        <w:t xml:space="preserve">for </w:t>
      </w:r>
      <w:r w:rsidR="00EB2B07" w:rsidRPr="3B6BD473">
        <w:rPr>
          <w:rFonts w:eastAsia="Calibri" w:cs="Arial"/>
          <w:sz w:val="22"/>
          <w:szCs w:val="22"/>
        </w:rPr>
        <w:t>SW LEP area</w:t>
      </w:r>
      <w:r w:rsidRPr="3B6BD473">
        <w:rPr>
          <w:rFonts w:eastAsia="Calibri" w:cs="Arial"/>
          <w:sz w:val="22"/>
          <w:szCs w:val="22"/>
        </w:rPr>
        <w:t>.</w:t>
      </w:r>
    </w:p>
    <w:p w14:paraId="36C53BB4" w14:textId="77777777" w:rsidR="00312A0A" w:rsidRDefault="00312A0A">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r>
        <w:rPr>
          <w:rFonts w:cs="Arial"/>
          <w:sz w:val="22"/>
          <w:szCs w:val="22"/>
        </w:rPr>
        <w:br w:type="page"/>
      </w:r>
    </w:p>
    <w:p w14:paraId="6B4D1306" w14:textId="3480FE64" w:rsidR="00C85EC1" w:rsidRPr="00AC1ECD" w:rsidRDefault="00D344F5" w:rsidP="00312A0A">
      <w:pPr>
        <w:spacing w:after="120"/>
        <w:rPr>
          <w:rFonts w:cs="Arial"/>
          <w:b/>
          <w:sz w:val="22"/>
          <w:szCs w:val="22"/>
        </w:rPr>
      </w:pPr>
      <w:r w:rsidRPr="00AC1ECD">
        <w:rPr>
          <w:rFonts w:cs="Arial"/>
          <w:b/>
          <w:sz w:val="22"/>
          <w:szCs w:val="22"/>
        </w:rPr>
        <w:lastRenderedPageBreak/>
        <w:t>LOT 5: DORSET</w:t>
      </w:r>
    </w:p>
    <w:p w14:paraId="375611E4" w14:textId="7BF92A8C" w:rsidR="00D344F5" w:rsidRDefault="00D344F5" w:rsidP="00312A0A">
      <w:pPr>
        <w:spacing w:after="120"/>
        <w:rPr>
          <w:rFonts w:cs="Arial"/>
          <w:sz w:val="22"/>
          <w:szCs w:val="22"/>
        </w:rPr>
      </w:pPr>
    </w:p>
    <w:p w14:paraId="0CA752D3" w14:textId="5807C09D" w:rsidR="00D344F5" w:rsidRPr="00FF4149" w:rsidRDefault="00D344F5" w:rsidP="00D344F5">
      <w:pPr>
        <w:spacing w:after="120"/>
        <w:rPr>
          <w:rFonts w:cs="Arial"/>
          <w:sz w:val="22"/>
          <w:szCs w:val="22"/>
        </w:rPr>
      </w:pPr>
      <w:r w:rsidRPr="5664A060">
        <w:rPr>
          <w:rFonts w:cs="Arial"/>
          <w:b/>
          <w:bCs/>
          <w:sz w:val="22"/>
          <w:szCs w:val="22"/>
        </w:rPr>
        <w:t>Value of the Lot:</w:t>
      </w:r>
      <w:r w:rsidRPr="5664A060">
        <w:rPr>
          <w:rFonts w:cs="Arial"/>
          <w:sz w:val="22"/>
          <w:szCs w:val="22"/>
        </w:rPr>
        <w:t xml:space="preserve"> </w:t>
      </w:r>
      <w:r>
        <w:tab/>
      </w:r>
      <w:r w:rsidRPr="5664A060">
        <w:rPr>
          <w:rFonts w:cs="Arial"/>
          <w:sz w:val="22"/>
          <w:szCs w:val="22"/>
        </w:rPr>
        <w:t>£</w:t>
      </w:r>
      <w:r w:rsidR="00FF4149" w:rsidRPr="5664A060">
        <w:rPr>
          <w:color w:val="000000" w:themeColor="text1"/>
          <w:sz w:val="22"/>
          <w:szCs w:val="22"/>
          <w:lang w:eastAsia="en-GB"/>
        </w:rPr>
        <w:t>5,286,90</w:t>
      </w:r>
      <w:r w:rsidR="32E2DFFE" w:rsidRPr="5664A060">
        <w:rPr>
          <w:color w:val="000000" w:themeColor="text1"/>
          <w:sz w:val="22"/>
          <w:szCs w:val="22"/>
          <w:lang w:eastAsia="en-GB"/>
        </w:rPr>
        <w:t>2</w:t>
      </w:r>
    </w:p>
    <w:p w14:paraId="353DB8C5" w14:textId="77777777" w:rsidR="00D344F5" w:rsidRPr="00215180" w:rsidRDefault="00D344F5" w:rsidP="00D344F5">
      <w:pPr>
        <w:spacing w:after="120"/>
        <w:rPr>
          <w:rFonts w:cs="Arial"/>
          <w:b/>
          <w:sz w:val="22"/>
          <w:szCs w:val="22"/>
        </w:rPr>
      </w:pPr>
      <w:r w:rsidRPr="00215180">
        <w:rPr>
          <w:rFonts w:cs="Arial"/>
          <w:b/>
          <w:sz w:val="22"/>
          <w:szCs w:val="22"/>
        </w:rPr>
        <w:t xml:space="preserve">Geographic area: </w:t>
      </w:r>
    </w:p>
    <w:p w14:paraId="798274F3" w14:textId="16381ED3" w:rsidR="00D344F5" w:rsidRPr="00EE2702" w:rsidRDefault="00AC1ECD" w:rsidP="00EE2702">
      <w:pPr>
        <w:tabs>
          <w:tab w:val="clear" w:pos="720"/>
          <w:tab w:val="clear" w:pos="2880"/>
          <w:tab w:val="left" w:pos="2552"/>
        </w:tabs>
        <w:spacing w:after="120"/>
        <w:rPr>
          <w:rFonts w:cs="Arial"/>
          <w:sz w:val="22"/>
          <w:szCs w:val="22"/>
        </w:rPr>
      </w:pPr>
      <w:r w:rsidRPr="00EE2702">
        <w:rPr>
          <w:rFonts w:cs="Arial"/>
          <w:sz w:val="22"/>
          <w:szCs w:val="22"/>
        </w:rPr>
        <w:t>Dorset County Council</w:t>
      </w:r>
    </w:p>
    <w:p w14:paraId="02034013" w14:textId="2F9227B6" w:rsidR="00AE44C9" w:rsidRPr="00EE2702" w:rsidRDefault="00AE44C9" w:rsidP="00EE2702">
      <w:pPr>
        <w:tabs>
          <w:tab w:val="clear" w:pos="720"/>
          <w:tab w:val="clear" w:pos="2880"/>
          <w:tab w:val="left" w:pos="2552"/>
        </w:tabs>
        <w:spacing w:after="120"/>
        <w:rPr>
          <w:rFonts w:cs="Arial"/>
          <w:sz w:val="22"/>
          <w:szCs w:val="22"/>
        </w:rPr>
      </w:pPr>
      <w:r w:rsidRPr="00EE2702">
        <w:rPr>
          <w:rFonts w:cs="Arial"/>
          <w:sz w:val="22"/>
          <w:szCs w:val="22"/>
        </w:rPr>
        <w:t>Bournemouth</w:t>
      </w:r>
      <w:r w:rsidR="00107EA5" w:rsidRPr="00EE2702">
        <w:rPr>
          <w:rFonts w:cs="Arial"/>
          <w:sz w:val="22"/>
          <w:szCs w:val="22"/>
        </w:rPr>
        <w:t>, Christchurch and Poole Unitary Authority</w:t>
      </w:r>
    </w:p>
    <w:p w14:paraId="53731CD9" w14:textId="77777777" w:rsidR="00AC1ECD" w:rsidRDefault="00AC1ECD" w:rsidP="00D344F5">
      <w:pPr>
        <w:spacing w:after="120"/>
        <w:rPr>
          <w:rFonts w:cs="Arial"/>
          <w:sz w:val="22"/>
          <w:szCs w:val="22"/>
        </w:rPr>
      </w:pPr>
    </w:p>
    <w:p w14:paraId="1CCD7DFF" w14:textId="69C75091" w:rsidR="00D344F5" w:rsidRPr="00312A0A" w:rsidRDefault="00D344F5" w:rsidP="00D344F5">
      <w:pPr>
        <w:spacing w:after="120"/>
        <w:rPr>
          <w:rFonts w:cs="Arial"/>
          <w:sz w:val="22"/>
          <w:szCs w:val="22"/>
        </w:rPr>
      </w:pPr>
      <w:r w:rsidRPr="00215180">
        <w:rPr>
          <w:rFonts w:cs="Arial"/>
          <w:b/>
          <w:sz w:val="22"/>
          <w:szCs w:val="22"/>
        </w:rPr>
        <w:t>Anticipated number of installations:</w:t>
      </w:r>
      <w:r>
        <w:rPr>
          <w:rFonts w:cs="Arial"/>
          <w:sz w:val="22"/>
          <w:szCs w:val="22"/>
        </w:rPr>
        <w:t xml:space="preserve"> </w:t>
      </w:r>
      <w:r w:rsidR="00FF4149" w:rsidRPr="00B44F39">
        <w:rPr>
          <w:color w:val="000000"/>
          <w:sz w:val="22"/>
          <w:szCs w:val="22"/>
          <w:lang w:eastAsia="en-GB"/>
        </w:rPr>
        <w:t>473</w:t>
      </w:r>
    </w:p>
    <w:p w14:paraId="001C6984" w14:textId="77777777" w:rsidR="003B7EE7" w:rsidRDefault="003B7EE7" w:rsidP="003B7EE7">
      <w:pPr>
        <w:spacing w:line="257" w:lineRule="auto"/>
        <w:rPr>
          <w:rFonts w:cs="Arial"/>
          <w:sz w:val="22"/>
          <w:szCs w:val="22"/>
        </w:rPr>
      </w:pPr>
      <w:r w:rsidRPr="002624DB">
        <w:rPr>
          <w:color w:val="000000"/>
          <w:sz w:val="22"/>
          <w:szCs w:val="22"/>
          <w:lang w:eastAsia="en-GB"/>
        </w:rPr>
        <w:t xml:space="preserve">Number of installations is based on completing only owner occupier properties and with an average total spend of £10,000 per property. </w:t>
      </w:r>
      <w:r>
        <w:rPr>
          <w:color w:val="000000"/>
          <w:sz w:val="22"/>
          <w:szCs w:val="22"/>
          <w:lang w:eastAsia="en-GB"/>
        </w:rPr>
        <w:t>It is likely that the numbers will be made up of a mixture of owner occupier, social and private rental properties and therefore these numbers are at the lower end of the spectrum.</w:t>
      </w:r>
    </w:p>
    <w:p w14:paraId="5D08962A" w14:textId="77777777" w:rsidR="003B7EE7" w:rsidRDefault="003B7EE7" w:rsidP="003B7EE7">
      <w:pPr>
        <w:spacing w:line="257" w:lineRule="auto"/>
        <w:rPr>
          <w:rFonts w:ascii="Calibri" w:eastAsia="Calibri" w:hAnsi="Calibri" w:cs="Calibri"/>
          <w:sz w:val="22"/>
          <w:szCs w:val="22"/>
        </w:rPr>
      </w:pPr>
    </w:p>
    <w:p w14:paraId="2D759F5A" w14:textId="77777777" w:rsidR="003B7EE7" w:rsidRPr="00CD5E4F" w:rsidRDefault="003B7EE7" w:rsidP="003B7EE7">
      <w:pPr>
        <w:spacing w:line="257" w:lineRule="auto"/>
        <w:rPr>
          <w:rFonts w:eastAsia="Calibri" w:cs="Arial"/>
          <w:b/>
          <w:sz w:val="22"/>
          <w:szCs w:val="22"/>
        </w:rPr>
      </w:pPr>
      <w:r w:rsidRPr="00CD5E4F">
        <w:rPr>
          <w:rFonts w:eastAsia="Calibri" w:cs="Arial"/>
          <w:b/>
          <w:sz w:val="22"/>
          <w:szCs w:val="22"/>
        </w:rPr>
        <w:t>Potential Market</w:t>
      </w:r>
    </w:p>
    <w:p w14:paraId="1C01091B" w14:textId="30C4D918" w:rsidR="00EB2B07" w:rsidRPr="003B7EE7" w:rsidRDefault="00EB2B07" w:rsidP="00EB2B07">
      <w:pPr>
        <w:spacing w:line="257" w:lineRule="auto"/>
        <w:rPr>
          <w:rFonts w:eastAsia="Calibri" w:cs="Arial"/>
          <w:sz w:val="22"/>
          <w:szCs w:val="22"/>
        </w:rPr>
      </w:pPr>
      <w:r w:rsidRPr="3B6BD473">
        <w:rPr>
          <w:rFonts w:eastAsia="Calibri" w:cs="Arial"/>
          <w:sz w:val="22"/>
          <w:szCs w:val="22"/>
        </w:rPr>
        <w:t xml:space="preserve">The </w:t>
      </w:r>
      <w:r w:rsidR="0074557D" w:rsidRPr="3B6BD473">
        <w:rPr>
          <w:rFonts w:eastAsia="Calibri" w:cs="Arial"/>
          <w:sz w:val="22"/>
          <w:szCs w:val="22"/>
        </w:rPr>
        <w:t>Dorset</w:t>
      </w:r>
      <w:r w:rsidRPr="3B6BD473">
        <w:rPr>
          <w:rFonts w:eastAsia="Calibri" w:cs="Arial"/>
          <w:sz w:val="22"/>
          <w:szCs w:val="22"/>
        </w:rPr>
        <w:t xml:space="preserve"> LEP contains likely </w:t>
      </w:r>
      <w:r w:rsidR="00CB620F" w:rsidRPr="3B6BD473">
        <w:rPr>
          <w:rFonts w:eastAsia="Calibri" w:cs="Arial"/>
          <w:color w:val="000000" w:themeColor="text1"/>
          <w:sz w:val="22"/>
          <w:szCs w:val="22"/>
        </w:rPr>
        <w:t>23</w:t>
      </w:r>
      <w:r w:rsidR="00C36630" w:rsidRPr="3B6BD473">
        <w:rPr>
          <w:rFonts w:eastAsia="Calibri" w:cs="Arial"/>
          <w:color w:val="000000" w:themeColor="text1"/>
          <w:sz w:val="22"/>
          <w:szCs w:val="22"/>
        </w:rPr>
        <w:t>5</w:t>
      </w:r>
      <w:r w:rsidR="00CB620F" w:rsidRPr="3B6BD473">
        <w:rPr>
          <w:rFonts w:eastAsia="Calibri" w:cs="Arial"/>
          <w:color w:val="000000" w:themeColor="text1"/>
          <w:sz w:val="22"/>
          <w:szCs w:val="22"/>
        </w:rPr>
        <w:t>,000</w:t>
      </w:r>
      <w:r w:rsidRPr="3B6BD473">
        <w:rPr>
          <w:rFonts w:eastAsia="Calibri" w:cs="Arial"/>
          <w:color w:val="000000" w:themeColor="text1"/>
          <w:sz w:val="22"/>
          <w:szCs w:val="22"/>
        </w:rPr>
        <w:t xml:space="preserve"> properties rated EPC ‘D’ or below. Of these in the region of </w:t>
      </w:r>
      <w:r w:rsidR="00C36630" w:rsidRPr="3B6BD473">
        <w:rPr>
          <w:rFonts w:eastAsia="Calibri" w:cs="Arial"/>
          <w:color w:val="000000" w:themeColor="text1"/>
          <w:sz w:val="22"/>
          <w:szCs w:val="22"/>
        </w:rPr>
        <w:t>31</w:t>
      </w:r>
      <w:r w:rsidR="00CB620F" w:rsidRPr="3B6BD473">
        <w:rPr>
          <w:rFonts w:eastAsia="Calibri" w:cs="Arial"/>
          <w:color w:val="000000" w:themeColor="text1"/>
          <w:sz w:val="22"/>
          <w:szCs w:val="22"/>
        </w:rPr>
        <w:t>,000</w:t>
      </w:r>
      <w:r w:rsidRPr="3B6BD473">
        <w:rPr>
          <w:rFonts w:eastAsia="Calibri" w:cs="Arial"/>
          <w:color w:val="000000" w:themeColor="text1"/>
          <w:sz w:val="22"/>
          <w:szCs w:val="22"/>
        </w:rPr>
        <w:t xml:space="preserve"> are in areas where there</w:t>
      </w:r>
      <w:r w:rsidRPr="3B6BD473">
        <w:rPr>
          <w:rFonts w:eastAsia="Calibri" w:cs="Arial"/>
          <w:sz w:val="22"/>
          <w:szCs w:val="22"/>
        </w:rPr>
        <w:t xml:space="preserve"> is a higher likelihood that households will fall within the scheme’s </w:t>
      </w:r>
      <w:r w:rsidR="64E3B648" w:rsidRPr="3B6BD473">
        <w:rPr>
          <w:rFonts w:eastAsia="Calibri" w:cs="Arial"/>
          <w:sz w:val="22"/>
          <w:szCs w:val="22"/>
        </w:rPr>
        <w:t>income-based</w:t>
      </w:r>
      <w:r w:rsidRPr="3B6BD473">
        <w:rPr>
          <w:rFonts w:eastAsia="Calibri" w:cs="Arial"/>
          <w:sz w:val="22"/>
          <w:szCs w:val="22"/>
        </w:rPr>
        <w:t xml:space="preserve"> eligibility criteria. </w:t>
      </w:r>
    </w:p>
    <w:p w14:paraId="6EC71AAF" w14:textId="77777777" w:rsidR="00EB2B07" w:rsidRPr="003B7EE7" w:rsidRDefault="00EB2B07" w:rsidP="00EB2B07">
      <w:pPr>
        <w:spacing w:line="257" w:lineRule="auto"/>
        <w:rPr>
          <w:rFonts w:eastAsia="Calibri" w:cs="Arial"/>
          <w:sz w:val="22"/>
          <w:szCs w:val="22"/>
        </w:rPr>
      </w:pPr>
    </w:p>
    <w:p w14:paraId="6757AF85" w14:textId="40C34E24" w:rsidR="00EB2B07" w:rsidRPr="003B7EE7" w:rsidRDefault="00EB2B07" w:rsidP="00EB2B07">
      <w:pPr>
        <w:spacing w:line="257" w:lineRule="auto"/>
        <w:rPr>
          <w:rFonts w:eastAsia="Calibri" w:cs="Arial"/>
          <w:sz w:val="22"/>
          <w:szCs w:val="22"/>
        </w:rPr>
      </w:pPr>
      <w:proofErr w:type="gramStart"/>
      <w:r w:rsidRPr="003B7EE7">
        <w:rPr>
          <w:rFonts w:eastAsia="Calibri" w:cs="Arial"/>
          <w:sz w:val="22"/>
          <w:szCs w:val="22"/>
        </w:rPr>
        <w:t>By definition of</w:t>
      </w:r>
      <w:proofErr w:type="gramEnd"/>
      <w:r w:rsidRPr="003B7EE7">
        <w:rPr>
          <w:rFonts w:eastAsia="Calibri" w:cs="Arial"/>
          <w:sz w:val="22"/>
          <w:szCs w:val="22"/>
        </w:rPr>
        <w:t xml:space="preserve"> being EPC band ‘D’ or below, many of these properties will benefit from one or more of the eligible measures that can be delivered through the scheme. Table 1 below shows the number of households in the </w:t>
      </w:r>
      <w:r w:rsidR="0074557D" w:rsidRPr="003B7EE7">
        <w:rPr>
          <w:rFonts w:eastAsia="Calibri" w:cs="Arial"/>
          <w:sz w:val="22"/>
          <w:szCs w:val="22"/>
        </w:rPr>
        <w:t>Dorset</w:t>
      </w:r>
      <w:r w:rsidRPr="003B7EE7">
        <w:rPr>
          <w:rFonts w:eastAsia="Calibri" w:cs="Arial"/>
          <w:sz w:val="22"/>
          <w:szCs w:val="22"/>
        </w:rPr>
        <w:t xml:space="preserve"> that would benefit from some of the schemes keys measures that are likely to be EPC band D or below. Additionally, it shows where those households are also in areas more likely to meet the schemes income eligibility criteria:</w:t>
      </w:r>
    </w:p>
    <w:p w14:paraId="29F57C93" w14:textId="77777777" w:rsidR="00EB2B07" w:rsidRPr="003B7EE7" w:rsidRDefault="00EB2B07" w:rsidP="00EB2B07">
      <w:pPr>
        <w:spacing w:line="257" w:lineRule="auto"/>
        <w:rPr>
          <w:rFonts w:eastAsia="Calibri" w:cs="Arial"/>
          <w:sz w:val="22"/>
          <w:szCs w:val="22"/>
        </w:rPr>
      </w:pPr>
    </w:p>
    <w:p w14:paraId="49B8E586" w14:textId="3779CC85" w:rsidR="00EB2B07" w:rsidRPr="003B7EE7" w:rsidRDefault="00EB2B07" w:rsidP="00EB2B07">
      <w:pPr>
        <w:spacing w:line="257" w:lineRule="auto"/>
        <w:rPr>
          <w:rFonts w:eastAsia="Calibri" w:cs="Arial"/>
          <w:b/>
          <w:bCs/>
          <w:sz w:val="22"/>
          <w:szCs w:val="22"/>
        </w:rPr>
      </w:pPr>
      <w:r w:rsidRPr="003B7EE7">
        <w:rPr>
          <w:rFonts w:eastAsia="Calibri" w:cs="Arial"/>
          <w:b/>
          <w:bCs/>
          <w:sz w:val="22"/>
          <w:szCs w:val="22"/>
        </w:rPr>
        <w:t>Table 1 – Likely eligible households appropriate for key scheme measures</w:t>
      </w:r>
    </w:p>
    <w:tbl>
      <w:tblPr>
        <w:tblW w:w="5000" w:type="pct"/>
        <w:tblLook w:val="04A0" w:firstRow="1" w:lastRow="0" w:firstColumn="1" w:lastColumn="0" w:noHBand="0" w:noVBand="1"/>
      </w:tblPr>
      <w:tblGrid>
        <w:gridCol w:w="3474"/>
        <w:gridCol w:w="2835"/>
        <w:gridCol w:w="2933"/>
      </w:tblGrid>
      <w:tr w:rsidR="00840515" w:rsidRPr="003B7EE7" w14:paraId="54DAC69E" w14:textId="77777777" w:rsidTr="3B6BD473">
        <w:trPr>
          <w:trHeight w:val="300"/>
        </w:trPr>
        <w:tc>
          <w:tcPr>
            <w:tcW w:w="5000" w:type="pct"/>
            <w:gridSpan w:val="3"/>
            <w:tcBorders>
              <w:top w:val="single" w:sz="8" w:space="0" w:color="auto"/>
              <w:left w:val="single" w:sz="8" w:space="0" w:color="auto"/>
              <w:bottom w:val="single" w:sz="8" w:space="0" w:color="auto"/>
              <w:right w:val="single" w:sz="8" w:space="0" w:color="000000" w:themeColor="text1"/>
            </w:tcBorders>
            <w:shd w:val="clear" w:color="auto" w:fill="auto"/>
            <w:noWrap/>
            <w:vAlign w:val="bottom"/>
            <w:hideMark/>
          </w:tcPr>
          <w:p w14:paraId="751F8268" w14:textId="77777777" w:rsidR="00840515" w:rsidRPr="003B7EE7" w:rsidRDefault="00840515" w:rsidP="00840515">
            <w:pPr>
              <w:tabs>
                <w:tab w:val="clear" w:pos="720"/>
                <w:tab w:val="clear" w:pos="1440"/>
                <w:tab w:val="clear" w:pos="2160"/>
                <w:tab w:val="clear" w:pos="2880"/>
                <w:tab w:val="clear" w:pos="4680"/>
                <w:tab w:val="clear" w:pos="5400"/>
                <w:tab w:val="clear" w:pos="9000"/>
              </w:tabs>
              <w:spacing w:line="240" w:lineRule="auto"/>
              <w:jc w:val="center"/>
              <w:rPr>
                <w:rFonts w:cs="Arial"/>
                <w:color w:val="000000"/>
                <w:sz w:val="22"/>
                <w:szCs w:val="22"/>
                <w:lang w:eastAsia="en-GB"/>
              </w:rPr>
            </w:pPr>
            <w:r w:rsidRPr="003B7EE7">
              <w:rPr>
                <w:rFonts w:cs="Arial"/>
                <w:color w:val="000000"/>
                <w:sz w:val="22"/>
                <w:szCs w:val="22"/>
                <w:lang w:eastAsia="en-GB"/>
              </w:rPr>
              <w:t>Dorset LEP</w:t>
            </w:r>
          </w:p>
        </w:tc>
      </w:tr>
      <w:tr w:rsidR="00840515" w:rsidRPr="003B7EE7" w14:paraId="5835F6B6" w14:textId="77777777" w:rsidTr="3B6BD473">
        <w:trPr>
          <w:trHeight w:val="1452"/>
        </w:trPr>
        <w:tc>
          <w:tcPr>
            <w:tcW w:w="1879" w:type="pct"/>
            <w:tcBorders>
              <w:top w:val="nil"/>
              <w:left w:val="single" w:sz="8" w:space="0" w:color="auto"/>
              <w:bottom w:val="single" w:sz="8" w:space="0" w:color="auto"/>
              <w:right w:val="single" w:sz="8" w:space="0" w:color="auto"/>
            </w:tcBorders>
            <w:shd w:val="clear" w:color="auto" w:fill="auto"/>
            <w:vAlign w:val="center"/>
            <w:hideMark/>
          </w:tcPr>
          <w:p w14:paraId="68027888" w14:textId="77777777" w:rsidR="00840515" w:rsidRPr="003B7EE7" w:rsidRDefault="00840515" w:rsidP="00840515">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003B7EE7">
              <w:rPr>
                <w:rFonts w:cs="Arial"/>
                <w:b/>
                <w:bCs/>
                <w:color w:val="000000"/>
                <w:sz w:val="22"/>
                <w:szCs w:val="22"/>
                <w:lang w:eastAsia="en-GB"/>
              </w:rPr>
              <w:t xml:space="preserve">Suitable measures </w:t>
            </w:r>
            <w:r w:rsidRPr="003B7EE7">
              <w:rPr>
                <w:rFonts w:cs="Arial"/>
                <w:color w:val="000000"/>
                <w:sz w:val="18"/>
                <w:szCs w:val="18"/>
                <w:lang w:eastAsia="en-GB"/>
              </w:rPr>
              <w:t>i.e. appropriate construction with low carbon measure not yet in place</w:t>
            </w:r>
            <w:r w:rsidRPr="003B7EE7">
              <w:rPr>
                <w:rFonts w:cs="Arial"/>
                <w:b/>
                <w:bCs/>
                <w:color w:val="000000"/>
                <w:sz w:val="22"/>
                <w:szCs w:val="22"/>
                <w:lang w:eastAsia="en-GB"/>
              </w:rPr>
              <w:t xml:space="preserve"> </w:t>
            </w:r>
          </w:p>
        </w:tc>
        <w:tc>
          <w:tcPr>
            <w:tcW w:w="1534" w:type="pct"/>
            <w:tcBorders>
              <w:top w:val="nil"/>
              <w:left w:val="nil"/>
              <w:bottom w:val="single" w:sz="8" w:space="0" w:color="auto"/>
              <w:right w:val="single" w:sz="8" w:space="0" w:color="auto"/>
            </w:tcBorders>
            <w:shd w:val="clear" w:color="auto" w:fill="auto"/>
            <w:vAlign w:val="center"/>
            <w:hideMark/>
          </w:tcPr>
          <w:p w14:paraId="41D6F124" w14:textId="77777777" w:rsidR="00840515" w:rsidRPr="003B7EE7" w:rsidRDefault="00840515" w:rsidP="00840515">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003B7EE7">
              <w:rPr>
                <w:rFonts w:cs="Arial"/>
                <w:b/>
                <w:bCs/>
                <w:color w:val="000000"/>
                <w:sz w:val="22"/>
                <w:szCs w:val="22"/>
                <w:lang w:eastAsia="en-GB"/>
              </w:rPr>
              <w:t xml:space="preserve">Number of likely eligible households - </w:t>
            </w:r>
            <w:r w:rsidRPr="003B7EE7">
              <w:rPr>
                <w:rFonts w:cs="Arial"/>
                <w:color w:val="000000"/>
                <w:sz w:val="22"/>
                <w:szCs w:val="22"/>
                <w:lang w:eastAsia="en-GB"/>
              </w:rPr>
              <w:t>EPC 'D' or below</w:t>
            </w:r>
          </w:p>
        </w:tc>
        <w:tc>
          <w:tcPr>
            <w:tcW w:w="1586" w:type="pct"/>
            <w:tcBorders>
              <w:top w:val="nil"/>
              <w:left w:val="nil"/>
              <w:bottom w:val="single" w:sz="8" w:space="0" w:color="auto"/>
              <w:right w:val="single" w:sz="8" w:space="0" w:color="auto"/>
            </w:tcBorders>
            <w:shd w:val="clear" w:color="auto" w:fill="auto"/>
            <w:vAlign w:val="center"/>
            <w:hideMark/>
          </w:tcPr>
          <w:p w14:paraId="6DEDD5F4" w14:textId="2AB00687" w:rsidR="00840515" w:rsidRPr="003B7EE7" w:rsidRDefault="7C6453AD" w:rsidP="00840515">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3B6BD473">
              <w:rPr>
                <w:rFonts w:cs="Arial"/>
                <w:b/>
                <w:bCs/>
                <w:color w:val="000000" w:themeColor="text1"/>
                <w:sz w:val="22"/>
                <w:szCs w:val="22"/>
                <w:lang w:eastAsia="en-GB"/>
              </w:rPr>
              <w:t xml:space="preserve">Number of likely eligible households - </w:t>
            </w:r>
            <w:r w:rsidRPr="3B6BD473">
              <w:rPr>
                <w:rFonts w:cs="Arial"/>
                <w:color w:val="000000" w:themeColor="text1"/>
                <w:sz w:val="22"/>
                <w:szCs w:val="22"/>
                <w:lang w:eastAsia="en-GB"/>
              </w:rPr>
              <w:t xml:space="preserve">EPC 'D' or below </w:t>
            </w:r>
            <w:r w:rsidRPr="3B6BD473">
              <w:rPr>
                <w:rFonts w:cs="Arial"/>
                <w:b/>
                <w:bCs/>
                <w:color w:val="000000" w:themeColor="text1"/>
                <w:sz w:val="22"/>
                <w:szCs w:val="22"/>
                <w:lang w:eastAsia="en-GB"/>
              </w:rPr>
              <w:t xml:space="preserve">&amp; </w:t>
            </w:r>
            <w:r w:rsidR="7217388A" w:rsidRPr="3B6BD473">
              <w:rPr>
                <w:rFonts w:cs="Arial"/>
                <w:color w:val="000000" w:themeColor="text1"/>
                <w:sz w:val="22"/>
                <w:szCs w:val="22"/>
                <w:lang w:eastAsia="en-GB"/>
              </w:rPr>
              <w:t>low-income</w:t>
            </w:r>
            <w:r w:rsidRPr="3B6BD473">
              <w:rPr>
                <w:rFonts w:cs="Arial"/>
                <w:color w:val="000000" w:themeColor="text1"/>
                <w:sz w:val="22"/>
                <w:szCs w:val="22"/>
                <w:lang w:eastAsia="en-GB"/>
              </w:rPr>
              <w:t xml:space="preserve"> proxy</w:t>
            </w:r>
          </w:p>
        </w:tc>
      </w:tr>
      <w:tr w:rsidR="00840515" w:rsidRPr="003B7EE7" w14:paraId="6E835706"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294694BC" w14:textId="77777777" w:rsidR="00840515" w:rsidRPr="003B7EE7" w:rsidRDefault="00840515" w:rsidP="00840515">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3B7EE7">
              <w:rPr>
                <w:rFonts w:cs="Arial"/>
                <w:color w:val="000000"/>
                <w:sz w:val="22"/>
                <w:szCs w:val="22"/>
                <w:lang w:eastAsia="en-GB"/>
              </w:rPr>
              <w:t xml:space="preserve">Cavity wall insulation </w:t>
            </w:r>
          </w:p>
        </w:tc>
        <w:tc>
          <w:tcPr>
            <w:tcW w:w="1534" w:type="pct"/>
            <w:tcBorders>
              <w:top w:val="nil"/>
              <w:left w:val="nil"/>
              <w:bottom w:val="single" w:sz="4" w:space="0" w:color="auto"/>
              <w:right w:val="single" w:sz="8" w:space="0" w:color="auto"/>
            </w:tcBorders>
            <w:shd w:val="clear" w:color="auto" w:fill="auto"/>
            <w:noWrap/>
            <w:vAlign w:val="bottom"/>
            <w:hideMark/>
          </w:tcPr>
          <w:p w14:paraId="13C4CA5D" w14:textId="77777777" w:rsidR="00840515" w:rsidRPr="003B7EE7" w:rsidRDefault="7C6453A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69,079 </w:t>
            </w:r>
          </w:p>
        </w:tc>
        <w:tc>
          <w:tcPr>
            <w:tcW w:w="1586" w:type="pct"/>
            <w:tcBorders>
              <w:top w:val="nil"/>
              <w:left w:val="nil"/>
              <w:bottom w:val="single" w:sz="4" w:space="0" w:color="auto"/>
              <w:right w:val="single" w:sz="8" w:space="0" w:color="auto"/>
            </w:tcBorders>
            <w:shd w:val="clear" w:color="auto" w:fill="auto"/>
            <w:noWrap/>
            <w:vAlign w:val="bottom"/>
            <w:hideMark/>
          </w:tcPr>
          <w:p w14:paraId="7F9411FF" w14:textId="77777777" w:rsidR="00840515" w:rsidRPr="003B7EE7" w:rsidRDefault="7C6453A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11,734 </w:t>
            </w:r>
          </w:p>
        </w:tc>
      </w:tr>
      <w:tr w:rsidR="00840515" w:rsidRPr="003B7EE7" w14:paraId="45FAE004"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3FAE76E4" w14:textId="77777777" w:rsidR="00840515" w:rsidRPr="003B7EE7" w:rsidRDefault="00840515" w:rsidP="00840515">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3B7EE7">
              <w:rPr>
                <w:rFonts w:cs="Arial"/>
                <w:color w:val="000000"/>
                <w:sz w:val="22"/>
                <w:szCs w:val="22"/>
                <w:lang w:eastAsia="en-GB"/>
              </w:rPr>
              <w:t xml:space="preserve">Solid wall insulation </w:t>
            </w:r>
          </w:p>
        </w:tc>
        <w:tc>
          <w:tcPr>
            <w:tcW w:w="1534" w:type="pct"/>
            <w:tcBorders>
              <w:top w:val="nil"/>
              <w:left w:val="nil"/>
              <w:bottom w:val="single" w:sz="4" w:space="0" w:color="auto"/>
              <w:right w:val="single" w:sz="8" w:space="0" w:color="auto"/>
            </w:tcBorders>
            <w:shd w:val="clear" w:color="auto" w:fill="auto"/>
            <w:noWrap/>
            <w:vAlign w:val="bottom"/>
            <w:hideMark/>
          </w:tcPr>
          <w:p w14:paraId="2313F075" w14:textId="77777777" w:rsidR="00840515" w:rsidRPr="003B7EE7" w:rsidRDefault="7C6453A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23,715 </w:t>
            </w:r>
          </w:p>
        </w:tc>
        <w:tc>
          <w:tcPr>
            <w:tcW w:w="1586" w:type="pct"/>
            <w:tcBorders>
              <w:top w:val="nil"/>
              <w:left w:val="nil"/>
              <w:bottom w:val="single" w:sz="4" w:space="0" w:color="auto"/>
              <w:right w:val="single" w:sz="8" w:space="0" w:color="auto"/>
            </w:tcBorders>
            <w:shd w:val="clear" w:color="auto" w:fill="auto"/>
            <w:noWrap/>
            <w:vAlign w:val="bottom"/>
            <w:hideMark/>
          </w:tcPr>
          <w:p w14:paraId="4EFC73FF" w14:textId="77777777" w:rsidR="00840515" w:rsidRPr="003B7EE7" w:rsidRDefault="7C6453A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4,475 </w:t>
            </w:r>
          </w:p>
        </w:tc>
      </w:tr>
      <w:tr w:rsidR="00840515" w:rsidRPr="003B7EE7" w14:paraId="3EB0375E"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4470E640" w14:textId="77777777" w:rsidR="00840515" w:rsidRPr="003B7EE7" w:rsidRDefault="00840515" w:rsidP="00840515">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3B7EE7">
              <w:rPr>
                <w:rFonts w:cs="Arial"/>
                <w:color w:val="000000"/>
                <w:sz w:val="22"/>
                <w:szCs w:val="22"/>
                <w:lang w:eastAsia="en-GB"/>
              </w:rPr>
              <w:t>Loft insulation</w:t>
            </w:r>
          </w:p>
        </w:tc>
        <w:tc>
          <w:tcPr>
            <w:tcW w:w="1534" w:type="pct"/>
            <w:tcBorders>
              <w:top w:val="nil"/>
              <w:left w:val="nil"/>
              <w:bottom w:val="single" w:sz="4" w:space="0" w:color="auto"/>
              <w:right w:val="single" w:sz="8" w:space="0" w:color="auto"/>
            </w:tcBorders>
            <w:shd w:val="clear" w:color="auto" w:fill="auto"/>
            <w:noWrap/>
            <w:vAlign w:val="bottom"/>
            <w:hideMark/>
          </w:tcPr>
          <w:p w14:paraId="3A3DF533" w14:textId="77777777" w:rsidR="00840515" w:rsidRPr="003B7EE7" w:rsidRDefault="7C6453A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121,618 </w:t>
            </w:r>
          </w:p>
        </w:tc>
        <w:tc>
          <w:tcPr>
            <w:tcW w:w="1586" w:type="pct"/>
            <w:tcBorders>
              <w:top w:val="nil"/>
              <w:left w:val="nil"/>
              <w:bottom w:val="single" w:sz="4" w:space="0" w:color="auto"/>
              <w:right w:val="single" w:sz="8" w:space="0" w:color="auto"/>
            </w:tcBorders>
            <w:shd w:val="clear" w:color="auto" w:fill="auto"/>
            <w:noWrap/>
            <w:vAlign w:val="bottom"/>
            <w:hideMark/>
          </w:tcPr>
          <w:p w14:paraId="75F47818" w14:textId="77777777" w:rsidR="00840515" w:rsidRPr="003B7EE7" w:rsidRDefault="7C6453A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18,097 </w:t>
            </w:r>
          </w:p>
        </w:tc>
      </w:tr>
      <w:tr w:rsidR="00840515" w:rsidRPr="003B7EE7" w14:paraId="22AFDD4F"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0948D45D" w14:textId="77777777" w:rsidR="00840515" w:rsidRPr="003B7EE7" w:rsidRDefault="00840515" w:rsidP="00840515">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3B7EE7">
              <w:rPr>
                <w:rFonts w:cs="Arial"/>
                <w:color w:val="000000"/>
                <w:sz w:val="22"/>
                <w:szCs w:val="22"/>
                <w:lang w:eastAsia="en-GB"/>
              </w:rPr>
              <w:t xml:space="preserve">Floor insulation </w:t>
            </w:r>
          </w:p>
        </w:tc>
        <w:tc>
          <w:tcPr>
            <w:tcW w:w="1534" w:type="pct"/>
            <w:tcBorders>
              <w:top w:val="nil"/>
              <w:left w:val="nil"/>
              <w:bottom w:val="single" w:sz="4" w:space="0" w:color="auto"/>
              <w:right w:val="single" w:sz="8" w:space="0" w:color="auto"/>
            </w:tcBorders>
            <w:shd w:val="clear" w:color="auto" w:fill="auto"/>
            <w:noWrap/>
            <w:vAlign w:val="bottom"/>
            <w:hideMark/>
          </w:tcPr>
          <w:p w14:paraId="4A07A4A3" w14:textId="77777777" w:rsidR="00840515" w:rsidRPr="003B7EE7" w:rsidRDefault="7C6453A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230,599 </w:t>
            </w:r>
          </w:p>
        </w:tc>
        <w:tc>
          <w:tcPr>
            <w:tcW w:w="1586" w:type="pct"/>
            <w:tcBorders>
              <w:top w:val="nil"/>
              <w:left w:val="nil"/>
              <w:bottom w:val="single" w:sz="4" w:space="0" w:color="auto"/>
              <w:right w:val="single" w:sz="8" w:space="0" w:color="auto"/>
            </w:tcBorders>
            <w:shd w:val="clear" w:color="auto" w:fill="auto"/>
            <w:noWrap/>
            <w:vAlign w:val="bottom"/>
            <w:hideMark/>
          </w:tcPr>
          <w:p w14:paraId="2243EB8A" w14:textId="77777777" w:rsidR="00840515" w:rsidRPr="003B7EE7" w:rsidRDefault="7C6453A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30,715 </w:t>
            </w:r>
          </w:p>
        </w:tc>
      </w:tr>
      <w:tr w:rsidR="00840515" w:rsidRPr="003B7EE7" w14:paraId="14718863"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4FC9E0D0" w14:textId="77777777" w:rsidR="00840515" w:rsidRPr="003B7EE7" w:rsidRDefault="00840515" w:rsidP="00840515">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3B7EE7">
              <w:rPr>
                <w:rFonts w:cs="Arial"/>
                <w:color w:val="000000"/>
                <w:sz w:val="22"/>
                <w:szCs w:val="22"/>
                <w:lang w:eastAsia="en-GB"/>
              </w:rPr>
              <w:t>Glazing upgrade</w:t>
            </w:r>
          </w:p>
        </w:tc>
        <w:tc>
          <w:tcPr>
            <w:tcW w:w="1534" w:type="pct"/>
            <w:tcBorders>
              <w:top w:val="nil"/>
              <w:left w:val="nil"/>
              <w:bottom w:val="single" w:sz="4" w:space="0" w:color="auto"/>
              <w:right w:val="single" w:sz="8" w:space="0" w:color="auto"/>
            </w:tcBorders>
            <w:shd w:val="clear" w:color="auto" w:fill="auto"/>
            <w:noWrap/>
            <w:vAlign w:val="bottom"/>
            <w:hideMark/>
          </w:tcPr>
          <w:p w14:paraId="0EC25F7C" w14:textId="77777777" w:rsidR="00840515" w:rsidRPr="003B7EE7" w:rsidRDefault="7C6453A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22,165 </w:t>
            </w:r>
          </w:p>
        </w:tc>
        <w:tc>
          <w:tcPr>
            <w:tcW w:w="1586" w:type="pct"/>
            <w:tcBorders>
              <w:top w:val="nil"/>
              <w:left w:val="nil"/>
              <w:bottom w:val="single" w:sz="4" w:space="0" w:color="auto"/>
              <w:right w:val="single" w:sz="8" w:space="0" w:color="auto"/>
            </w:tcBorders>
            <w:shd w:val="clear" w:color="auto" w:fill="auto"/>
            <w:noWrap/>
            <w:vAlign w:val="bottom"/>
            <w:hideMark/>
          </w:tcPr>
          <w:p w14:paraId="51D5DC4E" w14:textId="77777777" w:rsidR="00840515" w:rsidRPr="003B7EE7" w:rsidRDefault="7C6453A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4,575 </w:t>
            </w:r>
          </w:p>
        </w:tc>
      </w:tr>
      <w:tr w:rsidR="00840515" w:rsidRPr="003B7EE7" w14:paraId="564E531A"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6289EE97" w14:textId="77777777" w:rsidR="00840515" w:rsidRPr="003B7EE7" w:rsidRDefault="00840515" w:rsidP="00840515">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3B7EE7">
              <w:rPr>
                <w:rFonts w:cs="Arial"/>
                <w:color w:val="000000"/>
                <w:sz w:val="22"/>
                <w:szCs w:val="22"/>
                <w:lang w:eastAsia="en-GB"/>
              </w:rPr>
              <w:t>Heating upgrade ASHP*</w:t>
            </w:r>
          </w:p>
        </w:tc>
        <w:tc>
          <w:tcPr>
            <w:tcW w:w="1534" w:type="pct"/>
            <w:tcBorders>
              <w:top w:val="nil"/>
              <w:left w:val="nil"/>
              <w:bottom w:val="single" w:sz="4" w:space="0" w:color="auto"/>
              <w:right w:val="single" w:sz="8" w:space="0" w:color="auto"/>
            </w:tcBorders>
            <w:shd w:val="clear" w:color="auto" w:fill="auto"/>
            <w:noWrap/>
            <w:vAlign w:val="bottom"/>
            <w:hideMark/>
          </w:tcPr>
          <w:p w14:paraId="609312A3" w14:textId="77777777" w:rsidR="00840515" w:rsidRPr="003B7EE7" w:rsidRDefault="7C6453A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11,582 </w:t>
            </w:r>
          </w:p>
        </w:tc>
        <w:tc>
          <w:tcPr>
            <w:tcW w:w="1586" w:type="pct"/>
            <w:tcBorders>
              <w:top w:val="nil"/>
              <w:left w:val="nil"/>
              <w:bottom w:val="single" w:sz="4" w:space="0" w:color="auto"/>
              <w:right w:val="single" w:sz="8" w:space="0" w:color="auto"/>
            </w:tcBorders>
            <w:shd w:val="clear" w:color="auto" w:fill="auto"/>
            <w:noWrap/>
            <w:vAlign w:val="bottom"/>
            <w:hideMark/>
          </w:tcPr>
          <w:p w14:paraId="053ED3C1" w14:textId="77777777" w:rsidR="00840515" w:rsidRPr="003B7EE7" w:rsidRDefault="7C6453A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244 </w:t>
            </w:r>
          </w:p>
        </w:tc>
      </w:tr>
      <w:tr w:rsidR="00840515" w:rsidRPr="003B7EE7" w14:paraId="2DEF2FAC" w14:textId="77777777" w:rsidTr="3B6BD473">
        <w:trPr>
          <w:trHeight w:val="288"/>
        </w:trPr>
        <w:tc>
          <w:tcPr>
            <w:tcW w:w="1879" w:type="pct"/>
            <w:tcBorders>
              <w:top w:val="nil"/>
              <w:left w:val="single" w:sz="8" w:space="0" w:color="auto"/>
              <w:bottom w:val="single" w:sz="4" w:space="0" w:color="auto"/>
              <w:right w:val="single" w:sz="8" w:space="0" w:color="auto"/>
            </w:tcBorders>
            <w:shd w:val="clear" w:color="auto" w:fill="auto"/>
            <w:noWrap/>
            <w:vAlign w:val="center"/>
            <w:hideMark/>
          </w:tcPr>
          <w:p w14:paraId="15D6EAEF" w14:textId="77777777" w:rsidR="00840515" w:rsidRPr="003B7EE7" w:rsidRDefault="00840515" w:rsidP="00840515">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3B7EE7">
              <w:rPr>
                <w:rFonts w:cs="Arial"/>
                <w:color w:val="000000"/>
                <w:sz w:val="22"/>
                <w:szCs w:val="22"/>
                <w:lang w:eastAsia="en-GB"/>
              </w:rPr>
              <w:t>Solar PV</w:t>
            </w:r>
          </w:p>
        </w:tc>
        <w:tc>
          <w:tcPr>
            <w:tcW w:w="1534" w:type="pct"/>
            <w:tcBorders>
              <w:top w:val="nil"/>
              <w:left w:val="nil"/>
              <w:bottom w:val="single" w:sz="4" w:space="0" w:color="auto"/>
              <w:right w:val="single" w:sz="8" w:space="0" w:color="auto"/>
            </w:tcBorders>
            <w:shd w:val="clear" w:color="auto" w:fill="auto"/>
            <w:noWrap/>
            <w:vAlign w:val="bottom"/>
            <w:hideMark/>
          </w:tcPr>
          <w:p w14:paraId="70FF882C" w14:textId="77777777" w:rsidR="00840515" w:rsidRPr="003B7EE7" w:rsidRDefault="7C6453A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140,413 </w:t>
            </w:r>
          </w:p>
        </w:tc>
        <w:tc>
          <w:tcPr>
            <w:tcW w:w="1586" w:type="pct"/>
            <w:tcBorders>
              <w:top w:val="nil"/>
              <w:left w:val="nil"/>
              <w:bottom w:val="single" w:sz="4" w:space="0" w:color="auto"/>
              <w:right w:val="single" w:sz="8" w:space="0" w:color="auto"/>
            </w:tcBorders>
            <w:shd w:val="clear" w:color="auto" w:fill="auto"/>
            <w:noWrap/>
            <w:vAlign w:val="bottom"/>
            <w:hideMark/>
          </w:tcPr>
          <w:p w14:paraId="1617E66A" w14:textId="77777777" w:rsidR="00840515" w:rsidRPr="003B7EE7" w:rsidRDefault="7C6453A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17,300 </w:t>
            </w:r>
          </w:p>
        </w:tc>
      </w:tr>
      <w:tr w:rsidR="00840515" w:rsidRPr="003B7EE7" w14:paraId="7F8E50FE" w14:textId="77777777" w:rsidTr="3B6BD473">
        <w:trPr>
          <w:trHeight w:val="300"/>
        </w:trPr>
        <w:tc>
          <w:tcPr>
            <w:tcW w:w="1879" w:type="pct"/>
            <w:tcBorders>
              <w:top w:val="nil"/>
              <w:left w:val="single" w:sz="8" w:space="0" w:color="auto"/>
              <w:bottom w:val="single" w:sz="8" w:space="0" w:color="auto"/>
              <w:right w:val="single" w:sz="8" w:space="0" w:color="auto"/>
            </w:tcBorders>
            <w:shd w:val="clear" w:color="auto" w:fill="auto"/>
            <w:noWrap/>
            <w:vAlign w:val="center"/>
            <w:hideMark/>
          </w:tcPr>
          <w:p w14:paraId="4C04B80B" w14:textId="77777777" w:rsidR="00840515" w:rsidRPr="003B7EE7" w:rsidRDefault="00840515" w:rsidP="00840515">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3B7EE7">
              <w:rPr>
                <w:rFonts w:cs="Arial"/>
                <w:color w:val="000000"/>
                <w:sz w:val="22"/>
                <w:szCs w:val="22"/>
                <w:lang w:eastAsia="en-GB"/>
              </w:rPr>
              <w:t>Solar Thermal</w:t>
            </w:r>
          </w:p>
        </w:tc>
        <w:tc>
          <w:tcPr>
            <w:tcW w:w="1534" w:type="pct"/>
            <w:tcBorders>
              <w:top w:val="nil"/>
              <w:left w:val="nil"/>
              <w:bottom w:val="single" w:sz="8" w:space="0" w:color="auto"/>
              <w:right w:val="single" w:sz="8" w:space="0" w:color="auto"/>
            </w:tcBorders>
            <w:shd w:val="clear" w:color="auto" w:fill="auto"/>
            <w:noWrap/>
            <w:vAlign w:val="bottom"/>
            <w:hideMark/>
          </w:tcPr>
          <w:p w14:paraId="6C1560AD" w14:textId="77777777" w:rsidR="00840515" w:rsidRPr="003B7EE7" w:rsidRDefault="7C6453A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140,036 </w:t>
            </w:r>
          </w:p>
        </w:tc>
        <w:tc>
          <w:tcPr>
            <w:tcW w:w="1586" w:type="pct"/>
            <w:tcBorders>
              <w:top w:val="nil"/>
              <w:left w:val="nil"/>
              <w:bottom w:val="single" w:sz="8" w:space="0" w:color="auto"/>
              <w:right w:val="single" w:sz="8" w:space="0" w:color="auto"/>
            </w:tcBorders>
            <w:shd w:val="clear" w:color="auto" w:fill="auto"/>
            <w:noWrap/>
            <w:vAlign w:val="bottom"/>
            <w:hideMark/>
          </w:tcPr>
          <w:p w14:paraId="0B2AAF28" w14:textId="77777777" w:rsidR="00840515" w:rsidRPr="003B7EE7" w:rsidRDefault="7C6453A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17,254 </w:t>
            </w:r>
          </w:p>
        </w:tc>
      </w:tr>
    </w:tbl>
    <w:p w14:paraId="56A7E80D" w14:textId="027E1D7B" w:rsidR="00A470E8" w:rsidRDefault="00A470E8" w:rsidP="00EB2B07">
      <w:pPr>
        <w:spacing w:line="257" w:lineRule="auto"/>
        <w:rPr>
          <w:rFonts w:ascii="Calibri" w:eastAsia="Calibri" w:hAnsi="Calibri" w:cs="Calibri"/>
          <w:b/>
          <w:bCs/>
          <w:sz w:val="22"/>
          <w:szCs w:val="22"/>
        </w:rPr>
      </w:pPr>
    </w:p>
    <w:p w14:paraId="554A2284" w14:textId="0B81A898" w:rsidR="00EB2B07" w:rsidRDefault="00EB2B07" w:rsidP="00EB2B07">
      <w:pPr>
        <w:spacing w:line="257" w:lineRule="auto"/>
        <w:rPr>
          <w:rFonts w:ascii="Calibri" w:eastAsia="Calibri" w:hAnsi="Calibri" w:cs="Calibri"/>
          <w:sz w:val="22"/>
          <w:szCs w:val="22"/>
        </w:rPr>
      </w:pPr>
    </w:p>
    <w:p w14:paraId="181AFDD1" w14:textId="0264C60C" w:rsidR="00EB2B07" w:rsidRPr="003B7EE7" w:rsidRDefault="00EB2B07" w:rsidP="00EB2B07">
      <w:pPr>
        <w:spacing w:line="257" w:lineRule="auto"/>
        <w:rPr>
          <w:rFonts w:eastAsia="Calibri" w:cs="Arial"/>
          <w:sz w:val="22"/>
          <w:szCs w:val="22"/>
        </w:rPr>
      </w:pPr>
      <w:r w:rsidRPr="3B6BD473">
        <w:rPr>
          <w:rFonts w:eastAsia="Calibri" w:cs="Arial"/>
          <w:sz w:val="22"/>
          <w:szCs w:val="22"/>
        </w:rPr>
        <w:t xml:space="preserve">*The ASHP opportunity in Table 1 above assumes that the property would not be connected to the gas network in order to be suitable for an Air Source Heat Pump (ASHP). However, this not </w:t>
      </w:r>
      <w:r w:rsidR="21B8FCA4" w:rsidRPr="3B6BD473">
        <w:rPr>
          <w:rFonts w:eastAsia="Calibri" w:cs="Arial"/>
          <w:sz w:val="22"/>
          <w:szCs w:val="22"/>
        </w:rPr>
        <w:t>a prerequisite</w:t>
      </w:r>
      <w:r w:rsidRPr="3B6BD473">
        <w:rPr>
          <w:rFonts w:eastAsia="Calibri" w:cs="Arial"/>
          <w:sz w:val="22"/>
          <w:szCs w:val="22"/>
        </w:rPr>
        <w:t xml:space="preserve"> for this scheme where fossil fuel heating installations are not eligible. On this basis the number of likely eligible properties that might theoretically benefit from an ASHP installation is more </w:t>
      </w:r>
      <w:r w:rsidRPr="3B6BD473">
        <w:rPr>
          <w:rFonts w:eastAsia="Calibri" w:cs="Arial"/>
          <w:color w:val="000000" w:themeColor="text1"/>
          <w:sz w:val="22"/>
          <w:szCs w:val="22"/>
        </w:rPr>
        <w:t xml:space="preserve">like </w:t>
      </w:r>
      <w:r w:rsidR="00443228" w:rsidRPr="3B6BD473">
        <w:rPr>
          <w:rFonts w:eastAsia="Calibri" w:cs="Arial"/>
          <w:color w:val="000000" w:themeColor="text1"/>
          <w:sz w:val="22"/>
          <w:szCs w:val="22"/>
        </w:rPr>
        <w:t>11</w:t>
      </w:r>
      <w:r w:rsidR="0018287F" w:rsidRPr="3B6BD473">
        <w:rPr>
          <w:rFonts w:eastAsia="Calibri" w:cs="Arial"/>
          <w:color w:val="000000" w:themeColor="text1"/>
          <w:sz w:val="22"/>
          <w:szCs w:val="22"/>
        </w:rPr>
        <w:t>,000</w:t>
      </w:r>
      <w:r w:rsidRPr="3B6BD473">
        <w:rPr>
          <w:rFonts w:eastAsia="Calibri" w:cs="Arial"/>
          <w:color w:val="000000" w:themeColor="text1"/>
          <w:sz w:val="22"/>
          <w:szCs w:val="22"/>
        </w:rPr>
        <w:t xml:space="preserve"> for </w:t>
      </w:r>
      <w:r w:rsidR="00620B8E" w:rsidRPr="3B6BD473">
        <w:rPr>
          <w:rFonts w:eastAsia="Calibri" w:cs="Arial"/>
          <w:color w:val="000000" w:themeColor="text1"/>
          <w:sz w:val="22"/>
          <w:szCs w:val="22"/>
        </w:rPr>
        <w:t>Dorset</w:t>
      </w:r>
      <w:r w:rsidRPr="3B6BD473">
        <w:rPr>
          <w:rFonts w:eastAsia="Calibri" w:cs="Arial"/>
          <w:color w:val="000000" w:themeColor="text1"/>
          <w:sz w:val="22"/>
          <w:szCs w:val="22"/>
        </w:rPr>
        <w:t>.</w:t>
      </w:r>
    </w:p>
    <w:p w14:paraId="06DFAEAA" w14:textId="7FD9563E" w:rsidR="00C85EC1" w:rsidRPr="0062189B" w:rsidRDefault="00D344F5" w:rsidP="00312A0A">
      <w:pPr>
        <w:spacing w:after="120"/>
        <w:rPr>
          <w:rFonts w:cs="Arial"/>
          <w:b/>
          <w:sz w:val="22"/>
          <w:szCs w:val="22"/>
        </w:rPr>
      </w:pPr>
      <w:r w:rsidRPr="0062189B">
        <w:rPr>
          <w:rFonts w:cs="Arial"/>
          <w:b/>
          <w:sz w:val="22"/>
          <w:szCs w:val="22"/>
        </w:rPr>
        <w:lastRenderedPageBreak/>
        <w:t>LOT 6: CORNWALL AND ISLES OF SCILLY</w:t>
      </w:r>
    </w:p>
    <w:p w14:paraId="16CF9C50" w14:textId="77777777" w:rsidR="00215180" w:rsidRDefault="00215180" w:rsidP="00215180">
      <w:pPr>
        <w:spacing w:after="120"/>
        <w:rPr>
          <w:rFonts w:cs="Arial"/>
          <w:b/>
          <w:sz w:val="22"/>
          <w:szCs w:val="22"/>
        </w:rPr>
      </w:pPr>
    </w:p>
    <w:p w14:paraId="203ED30E" w14:textId="0F912609" w:rsidR="00215180" w:rsidRPr="00B44F39" w:rsidRDefault="00215180" w:rsidP="00215180">
      <w:pPr>
        <w:spacing w:after="120"/>
        <w:rPr>
          <w:rFonts w:cs="Arial"/>
          <w:sz w:val="22"/>
          <w:szCs w:val="22"/>
        </w:rPr>
      </w:pPr>
      <w:r w:rsidRPr="5664A060">
        <w:rPr>
          <w:rFonts w:cs="Arial"/>
          <w:b/>
          <w:bCs/>
          <w:sz w:val="22"/>
          <w:szCs w:val="22"/>
        </w:rPr>
        <w:t>Value of the Lot:</w:t>
      </w:r>
      <w:r w:rsidRPr="5664A060">
        <w:rPr>
          <w:rFonts w:cs="Arial"/>
          <w:sz w:val="22"/>
          <w:szCs w:val="22"/>
        </w:rPr>
        <w:t xml:space="preserve"> </w:t>
      </w:r>
      <w:r>
        <w:tab/>
      </w:r>
      <w:r w:rsidRPr="5664A060">
        <w:rPr>
          <w:rFonts w:cs="Arial"/>
          <w:sz w:val="22"/>
          <w:szCs w:val="22"/>
        </w:rPr>
        <w:t>£</w:t>
      </w:r>
      <w:r w:rsidR="00B44F39" w:rsidRPr="5664A060">
        <w:rPr>
          <w:color w:val="000000" w:themeColor="text1"/>
          <w:sz w:val="22"/>
          <w:szCs w:val="22"/>
          <w:lang w:eastAsia="en-GB"/>
        </w:rPr>
        <w:t>6,082,1</w:t>
      </w:r>
      <w:r w:rsidR="0E83472F" w:rsidRPr="5664A060">
        <w:rPr>
          <w:color w:val="000000" w:themeColor="text1"/>
          <w:sz w:val="22"/>
          <w:szCs w:val="22"/>
          <w:lang w:eastAsia="en-GB"/>
        </w:rPr>
        <w:t>20</w:t>
      </w:r>
    </w:p>
    <w:p w14:paraId="25338D57" w14:textId="67BDB4B5" w:rsidR="00215180" w:rsidRDefault="00660A78" w:rsidP="003B7C27">
      <w:pPr>
        <w:spacing w:after="120"/>
        <w:ind w:left="2160" w:hanging="2160"/>
        <w:rPr>
          <w:rFonts w:cs="Arial"/>
          <w:sz w:val="22"/>
          <w:szCs w:val="22"/>
        </w:rPr>
      </w:pPr>
      <w:r w:rsidRPr="001527E1">
        <w:rPr>
          <w:rFonts w:cs="Arial"/>
          <w:b/>
          <w:sz w:val="22"/>
          <w:szCs w:val="22"/>
        </w:rPr>
        <w:t>Delivery Fee</w:t>
      </w:r>
      <w:r w:rsidR="008D78CB" w:rsidRPr="001527E1">
        <w:rPr>
          <w:rFonts w:cs="Arial"/>
          <w:b/>
          <w:sz w:val="22"/>
          <w:szCs w:val="22"/>
        </w:rPr>
        <w:t>:</w:t>
      </w:r>
      <w:r w:rsidR="008D78CB" w:rsidRPr="001527E1">
        <w:rPr>
          <w:rFonts w:cs="Arial"/>
          <w:b/>
          <w:sz w:val="22"/>
          <w:szCs w:val="22"/>
        </w:rPr>
        <w:tab/>
      </w:r>
      <w:r w:rsidR="001527E1">
        <w:rPr>
          <w:rFonts w:cs="Arial"/>
          <w:sz w:val="22"/>
          <w:szCs w:val="22"/>
        </w:rPr>
        <w:tab/>
        <w:t xml:space="preserve">Bidders </w:t>
      </w:r>
      <w:r w:rsidR="00B778F1">
        <w:rPr>
          <w:rFonts w:cs="Arial"/>
          <w:sz w:val="22"/>
          <w:szCs w:val="22"/>
        </w:rPr>
        <w:t>can</w:t>
      </w:r>
      <w:r w:rsidR="008D78CB">
        <w:rPr>
          <w:rFonts w:cs="Arial"/>
          <w:sz w:val="22"/>
          <w:szCs w:val="22"/>
        </w:rPr>
        <w:t xml:space="preserve"> provide a delivery fee for installations carried out on the Isles of Scilly only. These fees are not applicable on any installations carried out on the mainland within Cornwall.</w:t>
      </w:r>
    </w:p>
    <w:p w14:paraId="7DE1362F" w14:textId="77777777" w:rsidR="00660A78" w:rsidRDefault="00660A78" w:rsidP="00215180">
      <w:pPr>
        <w:spacing w:after="120"/>
        <w:rPr>
          <w:rFonts w:cs="Arial"/>
          <w:sz w:val="22"/>
          <w:szCs w:val="22"/>
        </w:rPr>
      </w:pPr>
    </w:p>
    <w:p w14:paraId="45C2007F" w14:textId="77777777" w:rsidR="00215180" w:rsidRPr="00215180" w:rsidRDefault="00215180" w:rsidP="00215180">
      <w:pPr>
        <w:spacing w:after="120"/>
        <w:rPr>
          <w:rFonts w:cs="Arial"/>
          <w:b/>
          <w:sz w:val="22"/>
          <w:szCs w:val="22"/>
        </w:rPr>
      </w:pPr>
      <w:r w:rsidRPr="00215180">
        <w:rPr>
          <w:rFonts w:cs="Arial"/>
          <w:b/>
          <w:sz w:val="22"/>
          <w:szCs w:val="22"/>
        </w:rPr>
        <w:t xml:space="preserve">Geographic area: </w:t>
      </w:r>
    </w:p>
    <w:p w14:paraId="3EDBE274" w14:textId="0CEC44F7" w:rsidR="00215180" w:rsidRPr="001527E1" w:rsidRDefault="00215180" w:rsidP="001527E1">
      <w:pPr>
        <w:pStyle w:val="ListParagraph"/>
        <w:numPr>
          <w:ilvl w:val="3"/>
          <w:numId w:val="43"/>
        </w:numPr>
        <w:tabs>
          <w:tab w:val="clear" w:pos="2880"/>
          <w:tab w:val="left" w:pos="2552"/>
        </w:tabs>
        <w:spacing w:after="120"/>
        <w:ind w:hanging="753"/>
        <w:rPr>
          <w:rFonts w:ascii="Arial" w:hAnsi="Arial" w:cs="Arial"/>
          <w:sz w:val="22"/>
          <w:szCs w:val="22"/>
        </w:rPr>
      </w:pPr>
      <w:r w:rsidRPr="001527E1">
        <w:rPr>
          <w:rFonts w:ascii="Arial" w:hAnsi="Arial" w:cs="Arial"/>
          <w:sz w:val="22"/>
          <w:szCs w:val="22"/>
        </w:rPr>
        <w:t>Cornwall C</w:t>
      </w:r>
      <w:r w:rsidR="00D344F5" w:rsidRPr="001527E1">
        <w:rPr>
          <w:rFonts w:ascii="Arial" w:hAnsi="Arial" w:cs="Arial"/>
          <w:sz w:val="22"/>
          <w:szCs w:val="22"/>
        </w:rPr>
        <w:t>ounty</w:t>
      </w:r>
    </w:p>
    <w:p w14:paraId="6E730464" w14:textId="5BEA9725" w:rsidR="00D344F5" w:rsidRPr="001527E1" w:rsidRDefault="00D344F5" w:rsidP="001527E1">
      <w:pPr>
        <w:pStyle w:val="ListParagraph"/>
        <w:numPr>
          <w:ilvl w:val="3"/>
          <w:numId w:val="43"/>
        </w:numPr>
        <w:tabs>
          <w:tab w:val="clear" w:pos="2880"/>
          <w:tab w:val="left" w:pos="2552"/>
        </w:tabs>
        <w:spacing w:after="120"/>
        <w:ind w:hanging="753"/>
        <w:rPr>
          <w:rFonts w:ascii="Arial" w:hAnsi="Arial" w:cs="Arial"/>
          <w:sz w:val="22"/>
          <w:szCs w:val="22"/>
        </w:rPr>
      </w:pPr>
      <w:r w:rsidRPr="001527E1">
        <w:rPr>
          <w:rFonts w:ascii="Arial" w:hAnsi="Arial" w:cs="Arial"/>
          <w:sz w:val="22"/>
          <w:szCs w:val="22"/>
        </w:rPr>
        <w:t>Isles of Scilly</w:t>
      </w:r>
    </w:p>
    <w:p w14:paraId="7C259921" w14:textId="77777777" w:rsidR="00215180" w:rsidRDefault="00215180" w:rsidP="00215180">
      <w:pPr>
        <w:spacing w:after="120"/>
        <w:rPr>
          <w:rFonts w:cs="Arial"/>
          <w:sz w:val="22"/>
          <w:szCs w:val="22"/>
        </w:rPr>
      </w:pPr>
    </w:p>
    <w:p w14:paraId="49708671" w14:textId="17FAD0B7" w:rsidR="00215180" w:rsidRDefault="00215180" w:rsidP="00215180">
      <w:pPr>
        <w:spacing w:after="120"/>
        <w:rPr>
          <w:rFonts w:cs="Arial"/>
          <w:sz w:val="22"/>
          <w:szCs w:val="22"/>
        </w:rPr>
      </w:pPr>
      <w:r w:rsidRPr="00215180">
        <w:rPr>
          <w:rFonts w:cs="Arial"/>
          <w:b/>
          <w:sz w:val="22"/>
          <w:szCs w:val="22"/>
        </w:rPr>
        <w:t>Anticipated number of installations:</w:t>
      </w:r>
      <w:r w:rsidRPr="003B7C27">
        <w:rPr>
          <w:rFonts w:cs="Arial"/>
          <w:sz w:val="22"/>
          <w:szCs w:val="22"/>
        </w:rPr>
        <w:t xml:space="preserve"> </w:t>
      </w:r>
      <w:r w:rsidR="003B7C27" w:rsidRPr="003B7C27">
        <w:rPr>
          <w:color w:val="000000"/>
          <w:sz w:val="22"/>
          <w:szCs w:val="22"/>
          <w:lang w:eastAsia="en-GB"/>
        </w:rPr>
        <w:t>544</w:t>
      </w:r>
    </w:p>
    <w:p w14:paraId="4095C5A7" w14:textId="77777777" w:rsidR="00FF4149" w:rsidRDefault="00FF4149" w:rsidP="00FF4149">
      <w:pPr>
        <w:spacing w:line="257" w:lineRule="auto"/>
        <w:rPr>
          <w:rFonts w:cs="Arial"/>
          <w:sz w:val="22"/>
          <w:szCs w:val="22"/>
        </w:rPr>
      </w:pPr>
      <w:r w:rsidRPr="002624DB">
        <w:rPr>
          <w:color w:val="000000"/>
          <w:sz w:val="22"/>
          <w:szCs w:val="22"/>
          <w:lang w:eastAsia="en-GB"/>
        </w:rPr>
        <w:t xml:space="preserve">Number of installations is based on completing only owner occupier properties and with an average total spend of £10,000 per property. </w:t>
      </w:r>
      <w:r>
        <w:rPr>
          <w:color w:val="000000"/>
          <w:sz w:val="22"/>
          <w:szCs w:val="22"/>
          <w:lang w:eastAsia="en-GB"/>
        </w:rPr>
        <w:t>It is likely that the numbers will be made up of a mixture of owner occupier, social and private rental properties and therefore these numbers are at the lower end of the spectrum.</w:t>
      </w:r>
    </w:p>
    <w:p w14:paraId="4CCC65AB" w14:textId="77777777" w:rsidR="00FF4149" w:rsidRDefault="00FF4149" w:rsidP="00FF4149">
      <w:pPr>
        <w:spacing w:line="257" w:lineRule="auto"/>
        <w:rPr>
          <w:rFonts w:ascii="Calibri" w:eastAsia="Calibri" w:hAnsi="Calibri" w:cs="Calibri"/>
          <w:sz w:val="22"/>
          <w:szCs w:val="22"/>
        </w:rPr>
      </w:pPr>
    </w:p>
    <w:p w14:paraId="58652E55" w14:textId="77777777" w:rsidR="00FF4149" w:rsidRPr="00CD5E4F" w:rsidRDefault="00FF4149" w:rsidP="00FF4149">
      <w:pPr>
        <w:spacing w:line="257" w:lineRule="auto"/>
        <w:rPr>
          <w:rFonts w:eastAsia="Calibri" w:cs="Arial"/>
          <w:b/>
          <w:sz w:val="22"/>
          <w:szCs w:val="22"/>
        </w:rPr>
      </w:pPr>
      <w:r w:rsidRPr="00CD5E4F">
        <w:rPr>
          <w:rFonts w:eastAsia="Calibri" w:cs="Arial"/>
          <w:b/>
          <w:sz w:val="22"/>
          <w:szCs w:val="22"/>
        </w:rPr>
        <w:t>Potential Market</w:t>
      </w:r>
    </w:p>
    <w:p w14:paraId="3284F5D6" w14:textId="29209D7D" w:rsidR="00E71462" w:rsidRPr="00FF4149" w:rsidRDefault="00E71462" w:rsidP="00E71462">
      <w:pPr>
        <w:spacing w:line="257" w:lineRule="auto"/>
        <w:rPr>
          <w:rFonts w:eastAsia="Calibri" w:cs="Arial"/>
          <w:sz w:val="22"/>
          <w:szCs w:val="22"/>
        </w:rPr>
      </w:pPr>
      <w:r w:rsidRPr="3B6BD473">
        <w:rPr>
          <w:rFonts w:eastAsia="Calibri" w:cs="Arial"/>
          <w:sz w:val="22"/>
          <w:szCs w:val="22"/>
        </w:rPr>
        <w:t xml:space="preserve">The </w:t>
      </w:r>
      <w:r w:rsidR="006A71B8" w:rsidRPr="3B6BD473">
        <w:rPr>
          <w:rFonts w:eastAsia="Calibri" w:cs="Arial"/>
          <w:sz w:val="22"/>
          <w:szCs w:val="22"/>
        </w:rPr>
        <w:t>Cornwall and Isles of Scilly</w:t>
      </w:r>
      <w:r w:rsidRPr="3B6BD473">
        <w:rPr>
          <w:rFonts w:eastAsia="Calibri" w:cs="Arial"/>
          <w:sz w:val="22"/>
          <w:szCs w:val="22"/>
        </w:rPr>
        <w:t xml:space="preserve"> (</w:t>
      </w:r>
      <w:proofErr w:type="spellStart"/>
      <w:r w:rsidR="006A71B8" w:rsidRPr="3B6BD473">
        <w:rPr>
          <w:rFonts w:eastAsia="Calibri" w:cs="Arial"/>
          <w:sz w:val="22"/>
          <w:szCs w:val="22"/>
        </w:rPr>
        <w:t>C</w:t>
      </w:r>
      <w:r w:rsidR="00440FB9" w:rsidRPr="3B6BD473">
        <w:rPr>
          <w:rFonts w:eastAsia="Calibri" w:cs="Arial"/>
          <w:sz w:val="22"/>
          <w:szCs w:val="22"/>
        </w:rPr>
        <w:t>loS</w:t>
      </w:r>
      <w:proofErr w:type="spellEnd"/>
      <w:r w:rsidRPr="3B6BD473">
        <w:rPr>
          <w:rFonts w:eastAsia="Calibri" w:cs="Arial"/>
          <w:sz w:val="22"/>
          <w:szCs w:val="22"/>
        </w:rPr>
        <w:t xml:space="preserve">) LEP contains likely </w:t>
      </w:r>
      <w:r w:rsidR="00471ECF" w:rsidRPr="3B6BD473">
        <w:rPr>
          <w:rFonts w:eastAsia="Calibri" w:cs="Arial"/>
          <w:color w:val="000000" w:themeColor="text1"/>
          <w:sz w:val="22"/>
          <w:szCs w:val="22"/>
        </w:rPr>
        <w:t>19</w:t>
      </w:r>
      <w:r w:rsidR="00555DA8" w:rsidRPr="3B6BD473">
        <w:rPr>
          <w:rFonts w:eastAsia="Calibri" w:cs="Arial"/>
          <w:color w:val="000000" w:themeColor="text1"/>
          <w:sz w:val="22"/>
          <w:szCs w:val="22"/>
        </w:rPr>
        <w:t>4</w:t>
      </w:r>
      <w:r w:rsidR="00471ECF" w:rsidRPr="3B6BD473">
        <w:rPr>
          <w:rFonts w:eastAsia="Calibri" w:cs="Arial"/>
          <w:color w:val="000000" w:themeColor="text1"/>
          <w:sz w:val="22"/>
          <w:szCs w:val="22"/>
        </w:rPr>
        <w:t>,000</w:t>
      </w:r>
      <w:r w:rsidRPr="3B6BD473">
        <w:rPr>
          <w:rFonts w:eastAsia="Calibri" w:cs="Arial"/>
          <w:color w:val="000000" w:themeColor="text1"/>
          <w:sz w:val="22"/>
          <w:szCs w:val="22"/>
        </w:rPr>
        <w:t xml:space="preserve"> properties rated EPC ‘D’ or below. Of these in the region of </w:t>
      </w:r>
      <w:r w:rsidR="00555DA8" w:rsidRPr="3B6BD473">
        <w:rPr>
          <w:rFonts w:eastAsia="Calibri" w:cs="Arial"/>
          <w:color w:val="000000" w:themeColor="text1"/>
          <w:sz w:val="22"/>
          <w:szCs w:val="22"/>
        </w:rPr>
        <w:t>36</w:t>
      </w:r>
      <w:r w:rsidRPr="3B6BD473">
        <w:rPr>
          <w:rFonts w:eastAsia="Calibri" w:cs="Arial"/>
          <w:color w:val="000000" w:themeColor="text1"/>
          <w:sz w:val="22"/>
          <w:szCs w:val="22"/>
        </w:rPr>
        <w:t xml:space="preserve">,000 are in areas where there is a </w:t>
      </w:r>
      <w:r w:rsidRPr="3B6BD473">
        <w:rPr>
          <w:rFonts w:eastAsia="Calibri" w:cs="Arial"/>
          <w:sz w:val="22"/>
          <w:szCs w:val="22"/>
        </w:rPr>
        <w:t xml:space="preserve">higher likelihood that households will fall within the scheme’s </w:t>
      </w:r>
      <w:r w:rsidR="56D0FC98" w:rsidRPr="3B6BD473">
        <w:rPr>
          <w:rFonts w:eastAsia="Calibri" w:cs="Arial"/>
          <w:sz w:val="22"/>
          <w:szCs w:val="22"/>
        </w:rPr>
        <w:t>income-based</w:t>
      </w:r>
      <w:r w:rsidRPr="3B6BD473">
        <w:rPr>
          <w:rFonts w:eastAsia="Calibri" w:cs="Arial"/>
          <w:sz w:val="22"/>
          <w:szCs w:val="22"/>
        </w:rPr>
        <w:t xml:space="preserve"> eligibility criteria. </w:t>
      </w:r>
    </w:p>
    <w:p w14:paraId="31D7EEAE" w14:textId="77777777" w:rsidR="00E71462" w:rsidRPr="00FF4149" w:rsidRDefault="00E71462" w:rsidP="00E71462">
      <w:pPr>
        <w:spacing w:line="257" w:lineRule="auto"/>
        <w:rPr>
          <w:rFonts w:eastAsia="Calibri" w:cs="Arial"/>
          <w:sz w:val="22"/>
          <w:szCs w:val="22"/>
        </w:rPr>
      </w:pPr>
    </w:p>
    <w:p w14:paraId="43EC5E2E" w14:textId="159CB289" w:rsidR="00E71462" w:rsidRPr="00FF4149" w:rsidRDefault="00E71462" w:rsidP="00E71462">
      <w:pPr>
        <w:spacing w:line="257" w:lineRule="auto"/>
        <w:rPr>
          <w:rFonts w:eastAsia="Calibri" w:cs="Arial"/>
          <w:sz w:val="22"/>
          <w:szCs w:val="22"/>
        </w:rPr>
      </w:pPr>
      <w:proofErr w:type="gramStart"/>
      <w:r w:rsidRPr="00FF4149">
        <w:rPr>
          <w:rFonts w:eastAsia="Calibri" w:cs="Arial"/>
          <w:sz w:val="22"/>
          <w:szCs w:val="22"/>
        </w:rPr>
        <w:t>By definition of</w:t>
      </w:r>
      <w:proofErr w:type="gramEnd"/>
      <w:r w:rsidRPr="00FF4149">
        <w:rPr>
          <w:rFonts w:eastAsia="Calibri" w:cs="Arial"/>
          <w:sz w:val="22"/>
          <w:szCs w:val="22"/>
        </w:rPr>
        <w:t xml:space="preserve"> being EPC band ‘D’ or below, many of these properties will benefit from one or more of the eligible measures that can be delivered through the scheme. Table 1 below shows the number of households in the </w:t>
      </w:r>
      <w:proofErr w:type="spellStart"/>
      <w:r w:rsidR="00440FB9" w:rsidRPr="00FF4149">
        <w:rPr>
          <w:rFonts w:eastAsia="Calibri" w:cs="Arial"/>
          <w:sz w:val="22"/>
          <w:szCs w:val="22"/>
        </w:rPr>
        <w:t>CloS</w:t>
      </w:r>
      <w:proofErr w:type="spellEnd"/>
      <w:r w:rsidR="00440FB9" w:rsidRPr="00FF4149">
        <w:rPr>
          <w:rFonts w:eastAsia="Calibri" w:cs="Arial"/>
          <w:sz w:val="22"/>
          <w:szCs w:val="22"/>
        </w:rPr>
        <w:t xml:space="preserve"> LEP area</w:t>
      </w:r>
      <w:r w:rsidRPr="00FF4149">
        <w:rPr>
          <w:rFonts w:eastAsia="Calibri" w:cs="Arial"/>
          <w:sz w:val="22"/>
          <w:szCs w:val="22"/>
        </w:rPr>
        <w:t xml:space="preserve"> that would benefit from some of the schemes keys measures that are likely to be EPC band D or below. Additionally, it shows where those households are also in areas more likely to meet the schemes income eligibility criteria:</w:t>
      </w:r>
    </w:p>
    <w:p w14:paraId="5DE5E3CD" w14:textId="77777777" w:rsidR="00E71462" w:rsidRPr="00FF4149" w:rsidRDefault="00E71462" w:rsidP="00E71462">
      <w:pPr>
        <w:spacing w:line="257" w:lineRule="auto"/>
        <w:rPr>
          <w:rFonts w:eastAsia="Calibri" w:cs="Arial"/>
          <w:sz w:val="22"/>
          <w:szCs w:val="22"/>
        </w:rPr>
      </w:pPr>
    </w:p>
    <w:p w14:paraId="57610830" w14:textId="1315594C" w:rsidR="00E71462" w:rsidRPr="00FF4149" w:rsidRDefault="00E71462" w:rsidP="00E71462">
      <w:pPr>
        <w:spacing w:line="257" w:lineRule="auto"/>
        <w:rPr>
          <w:rFonts w:eastAsia="Calibri" w:cs="Arial"/>
          <w:b/>
          <w:bCs/>
          <w:sz w:val="22"/>
          <w:szCs w:val="22"/>
        </w:rPr>
      </w:pPr>
      <w:r w:rsidRPr="00FF4149">
        <w:rPr>
          <w:rFonts w:eastAsia="Calibri" w:cs="Arial"/>
          <w:b/>
          <w:bCs/>
          <w:sz w:val="22"/>
          <w:szCs w:val="22"/>
        </w:rPr>
        <w:t>Table 1 – Likely eligible households appropriate for key scheme measures</w:t>
      </w:r>
    </w:p>
    <w:p w14:paraId="350F6651" w14:textId="2AD503A0" w:rsidR="00463C5A" w:rsidRDefault="00463C5A" w:rsidP="00E71462">
      <w:pPr>
        <w:spacing w:line="257" w:lineRule="auto"/>
        <w:rPr>
          <w:rFonts w:ascii="Calibri" w:eastAsia="Calibri" w:hAnsi="Calibri" w:cs="Calibri"/>
          <w:b/>
          <w:bCs/>
          <w:sz w:val="22"/>
          <w:szCs w:val="22"/>
        </w:rPr>
      </w:pPr>
    </w:p>
    <w:tbl>
      <w:tblPr>
        <w:tblW w:w="5000" w:type="pct"/>
        <w:tblLook w:val="04A0" w:firstRow="1" w:lastRow="0" w:firstColumn="1" w:lastColumn="0" w:noHBand="0" w:noVBand="1"/>
      </w:tblPr>
      <w:tblGrid>
        <w:gridCol w:w="3474"/>
        <w:gridCol w:w="2835"/>
        <w:gridCol w:w="2933"/>
      </w:tblGrid>
      <w:tr w:rsidR="0023775C" w:rsidRPr="00FF4149" w14:paraId="7DB16E32" w14:textId="77777777" w:rsidTr="3B6BD473">
        <w:trPr>
          <w:trHeight w:val="300"/>
        </w:trPr>
        <w:tc>
          <w:tcPr>
            <w:tcW w:w="5000" w:type="pct"/>
            <w:gridSpan w:val="3"/>
            <w:tcBorders>
              <w:top w:val="single" w:sz="8" w:space="0" w:color="auto"/>
              <w:left w:val="single" w:sz="8" w:space="0" w:color="auto"/>
              <w:bottom w:val="single" w:sz="8" w:space="0" w:color="auto"/>
              <w:right w:val="single" w:sz="8" w:space="0" w:color="000000" w:themeColor="text1"/>
            </w:tcBorders>
            <w:shd w:val="clear" w:color="auto" w:fill="auto"/>
            <w:noWrap/>
            <w:vAlign w:val="bottom"/>
            <w:hideMark/>
          </w:tcPr>
          <w:p w14:paraId="11301C11" w14:textId="77777777" w:rsidR="0023775C" w:rsidRPr="00FF4149" w:rsidRDefault="0023775C" w:rsidP="0023775C">
            <w:pPr>
              <w:tabs>
                <w:tab w:val="clear" w:pos="720"/>
                <w:tab w:val="clear" w:pos="1440"/>
                <w:tab w:val="clear" w:pos="2160"/>
                <w:tab w:val="clear" w:pos="2880"/>
                <w:tab w:val="clear" w:pos="4680"/>
                <w:tab w:val="clear" w:pos="5400"/>
                <w:tab w:val="clear" w:pos="9000"/>
              </w:tabs>
              <w:spacing w:line="240" w:lineRule="auto"/>
              <w:jc w:val="center"/>
              <w:rPr>
                <w:rFonts w:cs="Arial"/>
                <w:color w:val="000000"/>
                <w:sz w:val="22"/>
                <w:szCs w:val="22"/>
                <w:lang w:eastAsia="en-GB"/>
              </w:rPr>
            </w:pPr>
            <w:proofErr w:type="spellStart"/>
            <w:r w:rsidRPr="00FF4149">
              <w:rPr>
                <w:rFonts w:cs="Arial"/>
                <w:color w:val="000000"/>
                <w:sz w:val="22"/>
                <w:szCs w:val="22"/>
                <w:lang w:eastAsia="en-GB"/>
              </w:rPr>
              <w:t>CLoS</w:t>
            </w:r>
            <w:proofErr w:type="spellEnd"/>
            <w:r w:rsidRPr="00FF4149">
              <w:rPr>
                <w:rFonts w:cs="Arial"/>
                <w:color w:val="000000"/>
                <w:sz w:val="22"/>
                <w:szCs w:val="22"/>
                <w:lang w:eastAsia="en-GB"/>
              </w:rPr>
              <w:t xml:space="preserve"> LEP</w:t>
            </w:r>
          </w:p>
        </w:tc>
      </w:tr>
      <w:tr w:rsidR="0023775C" w:rsidRPr="00FF4149" w14:paraId="7239FD95" w14:textId="77777777" w:rsidTr="3B6BD473">
        <w:trPr>
          <w:trHeight w:val="1452"/>
        </w:trPr>
        <w:tc>
          <w:tcPr>
            <w:tcW w:w="1879" w:type="pct"/>
            <w:tcBorders>
              <w:top w:val="nil"/>
              <w:left w:val="single" w:sz="8" w:space="0" w:color="auto"/>
              <w:bottom w:val="single" w:sz="8" w:space="0" w:color="auto"/>
              <w:right w:val="nil"/>
            </w:tcBorders>
            <w:shd w:val="clear" w:color="auto" w:fill="auto"/>
            <w:vAlign w:val="center"/>
            <w:hideMark/>
          </w:tcPr>
          <w:p w14:paraId="1ADD72F2" w14:textId="77777777" w:rsidR="0023775C" w:rsidRPr="00FF4149" w:rsidRDefault="0023775C" w:rsidP="0023775C">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00FF4149">
              <w:rPr>
                <w:rFonts w:cs="Arial"/>
                <w:b/>
                <w:bCs/>
                <w:color w:val="000000"/>
                <w:sz w:val="22"/>
                <w:szCs w:val="22"/>
                <w:lang w:eastAsia="en-GB"/>
              </w:rPr>
              <w:t xml:space="preserve">Suitable measures </w:t>
            </w:r>
            <w:r w:rsidRPr="00FF4149">
              <w:rPr>
                <w:rFonts w:cs="Arial"/>
                <w:color w:val="000000"/>
                <w:sz w:val="18"/>
                <w:szCs w:val="18"/>
                <w:lang w:eastAsia="en-GB"/>
              </w:rPr>
              <w:t>i.e. appropriate construction with low carbon measure not yet in place</w:t>
            </w:r>
            <w:r w:rsidRPr="00FF4149">
              <w:rPr>
                <w:rFonts w:cs="Arial"/>
                <w:b/>
                <w:bCs/>
                <w:color w:val="000000"/>
                <w:sz w:val="22"/>
                <w:szCs w:val="22"/>
                <w:lang w:eastAsia="en-GB"/>
              </w:rPr>
              <w:t xml:space="preserve"> </w:t>
            </w:r>
          </w:p>
        </w:tc>
        <w:tc>
          <w:tcPr>
            <w:tcW w:w="1534" w:type="pct"/>
            <w:tcBorders>
              <w:top w:val="nil"/>
              <w:left w:val="single" w:sz="8" w:space="0" w:color="auto"/>
              <w:bottom w:val="single" w:sz="8" w:space="0" w:color="auto"/>
              <w:right w:val="single" w:sz="8" w:space="0" w:color="auto"/>
            </w:tcBorders>
            <w:shd w:val="clear" w:color="auto" w:fill="auto"/>
            <w:vAlign w:val="center"/>
            <w:hideMark/>
          </w:tcPr>
          <w:p w14:paraId="3C8F6E47" w14:textId="77777777" w:rsidR="0023775C" w:rsidRPr="00FF4149" w:rsidRDefault="0023775C" w:rsidP="0023775C">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00FF4149">
              <w:rPr>
                <w:rFonts w:cs="Arial"/>
                <w:b/>
                <w:bCs/>
                <w:color w:val="000000"/>
                <w:sz w:val="22"/>
                <w:szCs w:val="22"/>
                <w:lang w:eastAsia="en-GB"/>
              </w:rPr>
              <w:t xml:space="preserve">Number of likely eligible households - </w:t>
            </w:r>
            <w:r w:rsidRPr="00FF4149">
              <w:rPr>
                <w:rFonts w:cs="Arial"/>
                <w:color w:val="000000"/>
                <w:sz w:val="22"/>
                <w:szCs w:val="22"/>
                <w:lang w:eastAsia="en-GB"/>
              </w:rPr>
              <w:t>EPC 'D' or below</w:t>
            </w:r>
          </w:p>
        </w:tc>
        <w:tc>
          <w:tcPr>
            <w:tcW w:w="1586" w:type="pct"/>
            <w:tcBorders>
              <w:top w:val="nil"/>
              <w:left w:val="nil"/>
              <w:bottom w:val="single" w:sz="8" w:space="0" w:color="auto"/>
              <w:right w:val="single" w:sz="8" w:space="0" w:color="auto"/>
            </w:tcBorders>
            <w:shd w:val="clear" w:color="auto" w:fill="auto"/>
            <w:vAlign w:val="center"/>
            <w:hideMark/>
          </w:tcPr>
          <w:p w14:paraId="658674C1" w14:textId="7B02463F" w:rsidR="0023775C" w:rsidRPr="00FF4149" w:rsidRDefault="1CD80978" w:rsidP="0023775C">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3B6BD473">
              <w:rPr>
                <w:rFonts w:cs="Arial"/>
                <w:b/>
                <w:bCs/>
                <w:color w:val="000000" w:themeColor="text1"/>
                <w:sz w:val="22"/>
                <w:szCs w:val="22"/>
                <w:lang w:eastAsia="en-GB"/>
              </w:rPr>
              <w:t xml:space="preserve">Number of likely eligible households - </w:t>
            </w:r>
            <w:r w:rsidRPr="3B6BD473">
              <w:rPr>
                <w:rFonts w:cs="Arial"/>
                <w:color w:val="000000" w:themeColor="text1"/>
                <w:sz w:val="22"/>
                <w:szCs w:val="22"/>
                <w:lang w:eastAsia="en-GB"/>
              </w:rPr>
              <w:t xml:space="preserve">EPC 'D' or below </w:t>
            </w:r>
            <w:r w:rsidRPr="3B6BD473">
              <w:rPr>
                <w:rFonts w:cs="Arial"/>
                <w:b/>
                <w:bCs/>
                <w:color w:val="000000" w:themeColor="text1"/>
                <w:sz w:val="22"/>
                <w:szCs w:val="22"/>
                <w:lang w:eastAsia="en-GB"/>
              </w:rPr>
              <w:t xml:space="preserve">&amp; </w:t>
            </w:r>
            <w:r w:rsidR="2BEFCCC9" w:rsidRPr="3B6BD473">
              <w:rPr>
                <w:rFonts w:cs="Arial"/>
                <w:color w:val="000000" w:themeColor="text1"/>
                <w:sz w:val="22"/>
                <w:szCs w:val="22"/>
                <w:lang w:eastAsia="en-GB"/>
              </w:rPr>
              <w:t>low-income</w:t>
            </w:r>
            <w:r w:rsidRPr="3B6BD473">
              <w:rPr>
                <w:rFonts w:cs="Arial"/>
                <w:color w:val="000000" w:themeColor="text1"/>
                <w:sz w:val="22"/>
                <w:szCs w:val="22"/>
                <w:lang w:eastAsia="en-GB"/>
              </w:rPr>
              <w:t xml:space="preserve"> proxy</w:t>
            </w:r>
          </w:p>
        </w:tc>
      </w:tr>
      <w:tr w:rsidR="0023775C" w:rsidRPr="00FF4149" w14:paraId="0FD9E5BB" w14:textId="77777777" w:rsidTr="3B6BD473">
        <w:trPr>
          <w:trHeight w:val="288"/>
        </w:trPr>
        <w:tc>
          <w:tcPr>
            <w:tcW w:w="1879" w:type="pct"/>
            <w:tcBorders>
              <w:top w:val="nil"/>
              <w:left w:val="single" w:sz="8" w:space="0" w:color="auto"/>
              <w:bottom w:val="single" w:sz="4" w:space="0" w:color="auto"/>
              <w:right w:val="nil"/>
            </w:tcBorders>
            <w:shd w:val="clear" w:color="auto" w:fill="auto"/>
            <w:noWrap/>
            <w:vAlign w:val="center"/>
            <w:hideMark/>
          </w:tcPr>
          <w:p w14:paraId="35C2256E" w14:textId="77777777" w:rsidR="0023775C" w:rsidRPr="00FF4149" w:rsidRDefault="0023775C" w:rsidP="0023775C">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FF4149">
              <w:rPr>
                <w:rFonts w:cs="Arial"/>
                <w:color w:val="000000"/>
                <w:sz w:val="22"/>
                <w:szCs w:val="22"/>
                <w:lang w:eastAsia="en-GB"/>
              </w:rPr>
              <w:t xml:space="preserve">Cavity wall insulation </w:t>
            </w:r>
          </w:p>
        </w:tc>
        <w:tc>
          <w:tcPr>
            <w:tcW w:w="1534" w:type="pct"/>
            <w:tcBorders>
              <w:top w:val="nil"/>
              <w:left w:val="single" w:sz="8" w:space="0" w:color="auto"/>
              <w:bottom w:val="single" w:sz="4" w:space="0" w:color="auto"/>
              <w:right w:val="single" w:sz="8" w:space="0" w:color="auto"/>
            </w:tcBorders>
            <w:shd w:val="clear" w:color="auto" w:fill="auto"/>
            <w:noWrap/>
            <w:vAlign w:val="bottom"/>
            <w:hideMark/>
          </w:tcPr>
          <w:p w14:paraId="7422C0CE" w14:textId="77777777" w:rsidR="0023775C" w:rsidRPr="00FF4149" w:rsidRDefault="1CD80978"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26,312 </w:t>
            </w:r>
          </w:p>
        </w:tc>
        <w:tc>
          <w:tcPr>
            <w:tcW w:w="1586" w:type="pct"/>
            <w:tcBorders>
              <w:top w:val="nil"/>
              <w:left w:val="nil"/>
              <w:bottom w:val="single" w:sz="4" w:space="0" w:color="auto"/>
              <w:right w:val="single" w:sz="8" w:space="0" w:color="auto"/>
            </w:tcBorders>
            <w:shd w:val="clear" w:color="auto" w:fill="auto"/>
            <w:noWrap/>
            <w:vAlign w:val="bottom"/>
            <w:hideMark/>
          </w:tcPr>
          <w:p w14:paraId="744B827D" w14:textId="77777777" w:rsidR="0023775C" w:rsidRPr="00FF4149" w:rsidRDefault="1CD80978"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5,503 </w:t>
            </w:r>
          </w:p>
        </w:tc>
      </w:tr>
      <w:tr w:rsidR="0023775C" w:rsidRPr="00FF4149" w14:paraId="0351F4DA" w14:textId="77777777" w:rsidTr="3B6BD473">
        <w:trPr>
          <w:trHeight w:val="288"/>
        </w:trPr>
        <w:tc>
          <w:tcPr>
            <w:tcW w:w="1879" w:type="pct"/>
            <w:tcBorders>
              <w:top w:val="nil"/>
              <w:left w:val="single" w:sz="8" w:space="0" w:color="auto"/>
              <w:bottom w:val="single" w:sz="4" w:space="0" w:color="auto"/>
              <w:right w:val="nil"/>
            </w:tcBorders>
            <w:shd w:val="clear" w:color="auto" w:fill="auto"/>
            <w:noWrap/>
            <w:vAlign w:val="center"/>
            <w:hideMark/>
          </w:tcPr>
          <w:p w14:paraId="354EF533" w14:textId="77777777" w:rsidR="0023775C" w:rsidRPr="00FF4149" w:rsidRDefault="0023775C" w:rsidP="0023775C">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FF4149">
              <w:rPr>
                <w:rFonts w:cs="Arial"/>
                <w:color w:val="000000"/>
                <w:sz w:val="22"/>
                <w:szCs w:val="22"/>
                <w:lang w:eastAsia="en-GB"/>
              </w:rPr>
              <w:t xml:space="preserve">Solid wall insulation </w:t>
            </w:r>
          </w:p>
        </w:tc>
        <w:tc>
          <w:tcPr>
            <w:tcW w:w="1534" w:type="pct"/>
            <w:tcBorders>
              <w:top w:val="nil"/>
              <w:left w:val="single" w:sz="8" w:space="0" w:color="auto"/>
              <w:bottom w:val="single" w:sz="4" w:space="0" w:color="auto"/>
              <w:right w:val="single" w:sz="8" w:space="0" w:color="auto"/>
            </w:tcBorders>
            <w:shd w:val="clear" w:color="auto" w:fill="auto"/>
            <w:noWrap/>
            <w:vAlign w:val="bottom"/>
            <w:hideMark/>
          </w:tcPr>
          <w:p w14:paraId="31217D32" w14:textId="77777777" w:rsidR="0023775C" w:rsidRPr="00FF4149" w:rsidRDefault="1CD80978"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69,889 </w:t>
            </w:r>
          </w:p>
        </w:tc>
        <w:tc>
          <w:tcPr>
            <w:tcW w:w="1586" w:type="pct"/>
            <w:tcBorders>
              <w:top w:val="nil"/>
              <w:left w:val="nil"/>
              <w:bottom w:val="single" w:sz="4" w:space="0" w:color="auto"/>
              <w:right w:val="single" w:sz="8" w:space="0" w:color="auto"/>
            </w:tcBorders>
            <w:shd w:val="clear" w:color="auto" w:fill="auto"/>
            <w:noWrap/>
            <w:vAlign w:val="bottom"/>
            <w:hideMark/>
          </w:tcPr>
          <w:p w14:paraId="6CCCAE91" w14:textId="77777777" w:rsidR="0023775C" w:rsidRPr="00FF4149" w:rsidRDefault="1CD80978"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17,119 </w:t>
            </w:r>
          </w:p>
        </w:tc>
      </w:tr>
      <w:tr w:rsidR="0023775C" w:rsidRPr="00FF4149" w14:paraId="55866C1D" w14:textId="77777777" w:rsidTr="3B6BD473">
        <w:trPr>
          <w:trHeight w:val="288"/>
        </w:trPr>
        <w:tc>
          <w:tcPr>
            <w:tcW w:w="1879" w:type="pct"/>
            <w:tcBorders>
              <w:top w:val="nil"/>
              <w:left w:val="single" w:sz="8" w:space="0" w:color="auto"/>
              <w:bottom w:val="single" w:sz="4" w:space="0" w:color="auto"/>
              <w:right w:val="nil"/>
            </w:tcBorders>
            <w:shd w:val="clear" w:color="auto" w:fill="auto"/>
            <w:noWrap/>
            <w:vAlign w:val="center"/>
            <w:hideMark/>
          </w:tcPr>
          <w:p w14:paraId="7A2B128D" w14:textId="77777777" w:rsidR="0023775C" w:rsidRPr="00FF4149" w:rsidRDefault="0023775C" w:rsidP="0023775C">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FF4149">
              <w:rPr>
                <w:rFonts w:cs="Arial"/>
                <w:color w:val="000000"/>
                <w:sz w:val="22"/>
                <w:szCs w:val="22"/>
                <w:lang w:eastAsia="en-GB"/>
              </w:rPr>
              <w:t>Loft insulation</w:t>
            </w:r>
          </w:p>
        </w:tc>
        <w:tc>
          <w:tcPr>
            <w:tcW w:w="1534" w:type="pct"/>
            <w:tcBorders>
              <w:top w:val="nil"/>
              <w:left w:val="single" w:sz="8" w:space="0" w:color="auto"/>
              <w:bottom w:val="single" w:sz="4" w:space="0" w:color="auto"/>
              <w:right w:val="single" w:sz="8" w:space="0" w:color="auto"/>
            </w:tcBorders>
            <w:shd w:val="clear" w:color="auto" w:fill="auto"/>
            <w:noWrap/>
            <w:vAlign w:val="bottom"/>
            <w:hideMark/>
          </w:tcPr>
          <w:p w14:paraId="6173B6BD" w14:textId="77777777" w:rsidR="0023775C" w:rsidRPr="00FF4149" w:rsidRDefault="1CD80978"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90,594 </w:t>
            </w:r>
          </w:p>
        </w:tc>
        <w:tc>
          <w:tcPr>
            <w:tcW w:w="1586" w:type="pct"/>
            <w:tcBorders>
              <w:top w:val="nil"/>
              <w:left w:val="nil"/>
              <w:bottom w:val="single" w:sz="4" w:space="0" w:color="auto"/>
              <w:right w:val="single" w:sz="8" w:space="0" w:color="auto"/>
            </w:tcBorders>
            <w:shd w:val="clear" w:color="auto" w:fill="auto"/>
            <w:noWrap/>
            <w:vAlign w:val="bottom"/>
            <w:hideMark/>
          </w:tcPr>
          <w:p w14:paraId="2F3669D2" w14:textId="77777777" w:rsidR="0023775C" w:rsidRPr="00FF4149" w:rsidRDefault="1CD80978"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19,836 </w:t>
            </w:r>
          </w:p>
        </w:tc>
      </w:tr>
      <w:tr w:rsidR="0023775C" w:rsidRPr="00FF4149" w14:paraId="4B4E2C79" w14:textId="77777777" w:rsidTr="3B6BD473">
        <w:trPr>
          <w:trHeight w:val="288"/>
        </w:trPr>
        <w:tc>
          <w:tcPr>
            <w:tcW w:w="1879" w:type="pct"/>
            <w:tcBorders>
              <w:top w:val="nil"/>
              <w:left w:val="single" w:sz="8" w:space="0" w:color="auto"/>
              <w:bottom w:val="single" w:sz="4" w:space="0" w:color="auto"/>
              <w:right w:val="nil"/>
            </w:tcBorders>
            <w:shd w:val="clear" w:color="auto" w:fill="auto"/>
            <w:noWrap/>
            <w:vAlign w:val="center"/>
            <w:hideMark/>
          </w:tcPr>
          <w:p w14:paraId="20EE71AC" w14:textId="77777777" w:rsidR="0023775C" w:rsidRPr="00FF4149" w:rsidRDefault="0023775C" w:rsidP="0023775C">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FF4149">
              <w:rPr>
                <w:rFonts w:cs="Arial"/>
                <w:color w:val="000000"/>
                <w:sz w:val="22"/>
                <w:szCs w:val="22"/>
                <w:lang w:eastAsia="en-GB"/>
              </w:rPr>
              <w:t xml:space="preserve">Floor insulation </w:t>
            </w:r>
          </w:p>
        </w:tc>
        <w:tc>
          <w:tcPr>
            <w:tcW w:w="1534" w:type="pct"/>
            <w:tcBorders>
              <w:top w:val="nil"/>
              <w:left w:val="single" w:sz="8" w:space="0" w:color="auto"/>
              <w:bottom w:val="single" w:sz="4" w:space="0" w:color="auto"/>
              <w:right w:val="single" w:sz="8" w:space="0" w:color="auto"/>
            </w:tcBorders>
            <w:shd w:val="clear" w:color="auto" w:fill="auto"/>
            <w:noWrap/>
            <w:vAlign w:val="bottom"/>
            <w:hideMark/>
          </w:tcPr>
          <w:p w14:paraId="768BA4DA" w14:textId="77777777" w:rsidR="0023775C" w:rsidRPr="00FF4149" w:rsidRDefault="1CD80978"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188,481 </w:t>
            </w:r>
          </w:p>
        </w:tc>
        <w:tc>
          <w:tcPr>
            <w:tcW w:w="1586" w:type="pct"/>
            <w:tcBorders>
              <w:top w:val="nil"/>
              <w:left w:val="nil"/>
              <w:bottom w:val="single" w:sz="4" w:space="0" w:color="auto"/>
              <w:right w:val="single" w:sz="8" w:space="0" w:color="auto"/>
            </w:tcBorders>
            <w:shd w:val="clear" w:color="auto" w:fill="auto"/>
            <w:noWrap/>
            <w:vAlign w:val="bottom"/>
            <w:hideMark/>
          </w:tcPr>
          <w:p w14:paraId="66404970" w14:textId="77777777" w:rsidR="0023775C" w:rsidRPr="00FF4149" w:rsidRDefault="1CD80978"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35,179 </w:t>
            </w:r>
          </w:p>
        </w:tc>
      </w:tr>
      <w:tr w:rsidR="0023775C" w:rsidRPr="00FF4149" w14:paraId="1EE16B45" w14:textId="77777777" w:rsidTr="3B6BD473">
        <w:trPr>
          <w:trHeight w:val="288"/>
        </w:trPr>
        <w:tc>
          <w:tcPr>
            <w:tcW w:w="1879" w:type="pct"/>
            <w:tcBorders>
              <w:top w:val="nil"/>
              <w:left w:val="single" w:sz="8" w:space="0" w:color="auto"/>
              <w:bottom w:val="single" w:sz="4" w:space="0" w:color="auto"/>
              <w:right w:val="nil"/>
            </w:tcBorders>
            <w:shd w:val="clear" w:color="auto" w:fill="auto"/>
            <w:noWrap/>
            <w:vAlign w:val="center"/>
            <w:hideMark/>
          </w:tcPr>
          <w:p w14:paraId="110CEF2F" w14:textId="77777777" w:rsidR="0023775C" w:rsidRPr="00FF4149" w:rsidRDefault="0023775C" w:rsidP="0023775C">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FF4149">
              <w:rPr>
                <w:rFonts w:cs="Arial"/>
                <w:color w:val="000000"/>
                <w:sz w:val="22"/>
                <w:szCs w:val="22"/>
                <w:lang w:eastAsia="en-GB"/>
              </w:rPr>
              <w:t>Glazing upgrade</w:t>
            </w:r>
          </w:p>
        </w:tc>
        <w:tc>
          <w:tcPr>
            <w:tcW w:w="1534" w:type="pct"/>
            <w:tcBorders>
              <w:top w:val="nil"/>
              <w:left w:val="single" w:sz="8" w:space="0" w:color="auto"/>
              <w:bottom w:val="single" w:sz="4" w:space="0" w:color="auto"/>
              <w:right w:val="single" w:sz="8" w:space="0" w:color="auto"/>
            </w:tcBorders>
            <w:shd w:val="clear" w:color="auto" w:fill="auto"/>
            <w:noWrap/>
            <w:vAlign w:val="bottom"/>
            <w:hideMark/>
          </w:tcPr>
          <w:p w14:paraId="38408DA8" w14:textId="77777777" w:rsidR="0023775C" w:rsidRPr="00FF4149" w:rsidRDefault="1CD80978"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23,339 </w:t>
            </w:r>
          </w:p>
        </w:tc>
        <w:tc>
          <w:tcPr>
            <w:tcW w:w="1586" w:type="pct"/>
            <w:tcBorders>
              <w:top w:val="nil"/>
              <w:left w:val="nil"/>
              <w:bottom w:val="single" w:sz="4" w:space="0" w:color="auto"/>
              <w:right w:val="single" w:sz="8" w:space="0" w:color="auto"/>
            </w:tcBorders>
            <w:shd w:val="clear" w:color="auto" w:fill="auto"/>
            <w:noWrap/>
            <w:vAlign w:val="bottom"/>
            <w:hideMark/>
          </w:tcPr>
          <w:p w14:paraId="1F87269F" w14:textId="77777777" w:rsidR="0023775C" w:rsidRPr="00FF4149" w:rsidRDefault="1CD80978"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6,228 </w:t>
            </w:r>
          </w:p>
        </w:tc>
      </w:tr>
      <w:tr w:rsidR="0023775C" w:rsidRPr="00FF4149" w14:paraId="1A6DC6FC" w14:textId="77777777" w:rsidTr="3B6BD473">
        <w:trPr>
          <w:trHeight w:val="288"/>
        </w:trPr>
        <w:tc>
          <w:tcPr>
            <w:tcW w:w="1879" w:type="pct"/>
            <w:tcBorders>
              <w:top w:val="nil"/>
              <w:left w:val="single" w:sz="8" w:space="0" w:color="auto"/>
              <w:bottom w:val="single" w:sz="4" w:space="0" w:color="auto"/>
              <w:right w:val="nil"/>
            </w:tcBorders>
            <w:shd w:val="clear" w:color="auto" w:fill="auto"/>
            <w:noWrap/>
            <w:vAlign w:val="center"/>
            <w:hideMark/>
          </w:tcPr>
          <w:p w14:paraId="48DCF0CF" w14:textId="77777777" w:rsidR="0023775C" w:rsidRPr="00FF4149" w:rsidRDefault="0023775C" w:rsidP="0023775C">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FF4149">
              <w:rPr>
                <w:rFonts w:cs="Arial"/>
                <w:color w:val="000000"/>
                <w:sz w:val="22"/>
                <w:szCs w:val="22"/>
                <w:lang w:eastAsia="en-GB"/>
              </w:rPr>
              <w:t>Heating upgrade ASHP*</w:t>
            </w:r>
          </w:p>
        </w:tc>
        <w:tc>
          <w:tcPr>
            <w:tcW w:w="1534" w:type="pct"/>
            <w:tcBorders>
              <w:top w:val="nil"/>
              <w:left w:val="single" w:sz="8" w:space="0" w:color="auto"/>
              <w:bottom w:val="single" w:sz="4" w:space="0" w:color="auto"/>
              <w:right w:val="single" w:sz="8" w:space="0" w:color="auto"/>
            </w:tcBorders>
            <w:shd w:val="clear" w:color="auto" w:fill="auto"/>
            <w:noWrap/>
            <w:vAlign w:val="bottom"/>
            <w:hideMark/>
          </w:tcPr>
          <w:p w14:paraId="5F0F1E9F" w14:textId="77777777" w:rsidR="0023775C" w:rsidRPr="00FF4149" w:rsidRDefault="1CD80978"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34,163 </w:t>
            </w:r>
          </w:p>
        </w:tc>
        <w:tc>
          <w:tcPr>
            <w:tcW w:w="1586" w:type="pct"/>
            <w:tcBorders>
              <w:top w:val="nil"/>
              <w:left w:val="nil"/>
              <w:bottom w:val="single" w:sz="4" w:space="0" w:color="auto"/>
              <w:right w:val="single" w:sz="8" w:space="0" w:color="auto"/>
            </w:tcBorders>
            <w:shd w:val="clear" w:color="auto" w:fill="auto"/>
            <w:noWrap/>
            <w:vAlign w:val="bottom"/>
            <w:hideMark/>
          </w:tcPr>
          <w:p w14:paraId="6216A967" w14:textId="77777777" w:rsidR="0023775C" w:rsidRPr="00FF4149" w:rsidRDefault="1CD80978"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4,751 </w:t>
            </w:r>
          </w:p>
        </w:tc>
      </w:tr>
      <w:tr w:rsidR="0023775C" w:rsidRPr="00FF4149" w14:paraId="7991CBD8" w14:textId="77777777" w:rsidTr="3B6BD473">
        <w:trPr>
          <w:trHeight w:val="288"/>
        </w:trPr>
        <w:tc>
          <w:tcPr>
            <w:tcW w:w="1879" w:type="pct"/>
            <w:tcBorders>
              <w:top w:val="nil"/>
              <w:left w:val="single" w:sz="8" w:space="0" w:color="auto"/>
              <w:bottom w:val="single" w:sz="4" w:space="0" w:color="auto"/>
              <w:right w:val="nil"/>
            </w:tcBorders>
            <w:shd w:val="clear" w:color="auto" w:fill="auto"/>
            <w:noWrap/>
            <w:vAlign w:val="center"/>
            <w:hideMark/>
          </w:tcPr>
          <w:p w14:paraId="007780FA" w14:textId="77777777" w:rsidR="0023775C" w:rsidRPr="00FF4149" w:rsidRDefault="0023775C" w:rsidP="0023775C">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FF4149">
              <w:rPr>
                <w:rFonts w:cs="Arial"/>
                <w:color w:val="000000"/>
                <w:sz w:val="22"/>
                <w:szCs w:val="22"/>
                <w:lang w:eastAsia="en-GB"/>
              </w:rPr>
              <w:t>Solar PV</w:t>
            </w:r>
          </w:p>
        </w:tc>
        <w:tc>
          <w:tcPr>
            <w:tcW w:w="1534" w:type="pct"/>
            <w:tcBorders>
              <w:top w:val="nil"/>
              <w:left w:val="single" w:sz="8" w:space="0" w:color="auto"/>
              <w:bottom w:val="single" w:sz="4" w:space="0" w:color="auto"/>
              <w:right w:val="single" w:sz="8" w:space="0" w:color="auto"/>
            </w:tcBorders>
            <w:shd w:val="clear" w:color="auto" w:fill="auto"/>
            <w:noWrap/>
            <w:vAlign w:val="bottom"/>
            <w:hideMark/>
          </w:tcPr>
          <w:p w14:paraId="039B989E" w14:textId="77777777" w:rsidR="0023775C" w:rsidRPr="00FF4149" w:rsidRDefault="1CD80978"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122,447 </w:t>
            </w:r>
          </w:p>
        </w:tc>
        <w:tc>
          <w:tcPr>
            <w:tcW w:w="1586" w:type="pct"/>
            <w:tcBorders>
              <w:top w:val="nil"/>
              <w:left w:val="nil"/>
              <w:bottom w:val="single" w:sz="4" w:space="0" w:color="auto"/>
              <w:right w:val="single" w:sz="8" w:space="0" w:color="auto"/>
            </w:tcBorders>
            <w:shd w:val="clear" w:color="auto" w:fill="auto"/>
            <w:noWrap/>
            <w:vAlign w:val="bottom"/>
            <w:hideMark/>
          </w:tcPr>
          <w:p w14:paraId="033A95CF" w14:textId="77777777" w:rsidR="0023775C" w:rsidRPr="00FF4149" w:rsidRDefault="1CD80978"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22,357 </w:t>
            </w:r>
          </w:p>
        </w:tc>
      </w:tr>
      <w:tr w:rsidR="0023775C" w:rsidRPr="00FF4149" w14:paraId="211BBDF3" w14:textId="77777777" w:rsidTr="3B6BD473">
        <w:trPr>
          <w:trHeight w:val="300"/>
        </w:trPr>
        <w:tc>
          <w:tcPr>
            <w:tcW w:w="1879" w:type="pct"/>
            <w:tcBorders>
              <w:top w:val="nil"/>
              <w:left w:val="single" w:sz="8" w:space="0" w:color="auto"/>
              <w:bottom w:val="single" w:sz="8" w:space="0" w:color="auto"/>
              <w:right w:val="nil"/>
            </w:tcBorders>
            <w:shd w:val="clear" w:color="auto" w:fill="auto"/>
            <w:noWrap/>
            <w:vAlign w:val="center"/>
            <w:hideMark/>
          </w:tcPr>
          <w:p w14:paraId="69460D63" w14:textId="77777777" w:rsidR="0023775C" w:rsidRPr="00FF4149" w:rsidRDefault="0023775C" w:rsidP="0023775C">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FF4149">
              <w:rPr>
                <w:rFonts w:cs="Arial"/>
                <w:color w:val="000000"/>
                <w:sz w:val="22"/>
                <w:szCs w:val="22"/>
                <w:lang w:eastAsia="en-GB"/>
              </w:rPr>
              <w:t>Solar Thermal</w:t>
            </w:r>
          </w:p>
        </w:tc>
        <w:tc>
          <w:tcPr>
            <w:tcW w:w="1534" w:type="pct"/>
            <w:tcBorders>
              <w:top w:val="nil"/>
              <w:left w:val="single" w:sz="8" w:space="0" w:color="auto"/>
              <w:bottom w:val="single" w:sz="8" w:space="0" w:color="auto"/>
              <w:right w:val="single" w:sz="8" w:space="0" w:color="auto"/>
            </w:tcBorders>
            <w:shd w:val="clear" w:color="auto" w:fill="auto"/>
            <w:noWrap/>
            <w:vAlign w:val="bottom"/>
            <w:hideMark/>
          </w:tcPr>
          <w:p w14:paraId="3F7C8E45" w14:textId="77777777" w:rsidR="0023775C" w:rsidRPr="00FF4149" w:rsidRDefault="1CD80978"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122,089 </w:t>
            </w:r>
          </w:p>
        </w:tc>
        <w:tc>
          <w:tcPr>
            <w:tcW w:w="1586" w:type="pct"/>
            <w:tcBorders>
              <w:top w:val="nil"/>
              <w:left w:val="nil"/>
              <w:bottom w:val="single" w:sz="8" w:space="0" w:color="auto"/>
              <w:right w:val="single" w:sz="8" w:space="0" w:color="auto"/>
            </w:tcBorders>
            <w:shd w:val="clear" w:color="auto" w:fill="auto"/>
            <w:noWrap/>
            <w:vAlign w:val="bottom"/>
            <w:hideMark/>
          </w:tcPr>
          <w:p w14:paraId="286AB7D9" w14:textId="77777777" w:rsidR="0023775C" w:rsidRPr="00FF4149" w:rsidRDefault="1CD80978"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22,297 </w:t>
            </w:r>
          </w:p>
        </w:tc>
      </w:tr>
    </w:tbl>
    <w:p w14:paraId="4083F5AD" w14:textId="27434CD8" w:rsidR="00E71462" w:rsidRDefault="00E71462" w:rsidP="00E71462">
      <w:pPr>
        <w:spacing w:line="257" w:lineRule="auto"/>
        <w:rPr>
          <w:rFonts w:ascii="Calibri" w:eastAsia="Calibri" w:hAnsi="Calibri" w:cs="Calibri"/>
          <w:sz w:val="22"/>
          <w:szCs w:val="22"/>
        </w:rPr>
      </w:pPr>
    </w:p>
    <w:p w14:paraId="2174B854" w14:textId="42DC4D56" w:rsidR="00E71462" w:rsidRPr="00FF4149" w:rsidRDefault="00E71462" w:rsidP="00E71462">
      <w:pPr>
        <w:spacing w:line="257" w:lineRule="auto"/>
        <w:rPr>
          <w:rFonts w:eastAsia="Calibri" w:cs="Arial"/>
          <w:sz w:val="22"/>
          <w:szCs w:val="22"/>
        </w:rPr>
      </w:pPr>
      <w:r w:rsidRPr="3B6BD473">
        <w:rPr>
          <w:rFonts w:eastAsia="Calibri" w:cs="Arial"/>
          <w:sz w:val="22"/>
          <w:szCs w:val="22"/>
        </w:rPr>
        <w:lastRenderedPageBreak/>
        <w:t xml:space="preserve">*The ASHP opportunity in Table 1 above assumes that the property would not be connected to the gas network in order to be suitable for an Air Source Heat Pump (ASHP). However, this not </w:t>
      </w:r>
      <w:r w:rsidR="5B14C5A3" w:rsidRPr="3B6BD473">
        <w:rPr>
          <w:rFonts w:eastAsia="Calibri" w:cs="Arial"/>
          <w:sz w:val="22"/>
          <w:szCs w:val="22"/>
        </w:rPr>
        <w:t>a prerequisite</w:t>
      </w:r>
      <w:r w:rsidRPr="3B6BD473">
        <w:rPr>
          <w:rFonts w:eastAsia="Calibri" w:cs="Arial"/>
          <w:sz w:val="22"/>
          <w:szCs w:val="22"/>
        </w:rPr>
        <w:t xml:space="preserve"> for this scheme where fossil fuel heating installations are not eligible. On this basis the number of likely eligible properties that might theoretically benefit from an ASHP installation is more </w:t>
      </w:r>
      <w:r w:rsidRPr="3B6BD473">
        <w:rPr>
          <w:rFonts w:eastAsia="Calibri" w:cs="Arial"/>
          <w:color w:val="000000" w:themeColor="text1"/>
          <w:sz w:val="22"/>
          <w:szCs w:val="22"/>
        </w:rPr>
        <w:t xml:space="preserve">like </w:t>
      </w:r>
      <w:r w:rsidR="00F621E4" w:rsidRPr="3B6BD473">
        <w:rPr>
          <w:rFonts w:eastAsia="Calibri" w:cs="Arial"/>
          <w:color w:val="000000" w:themeColor="text1"/>
          <w:sz w:val="22"/>
          <w:szCs w:val="22"/>
        </w:rPr>
        <w:t>9,000</w:t>
      </w:r>
      <w:r w:rsidRPr="3B6BD473">
        <w:rPr>
          <w:rFonts w:eastAsia="Calibri" w:cs="Arial"/>
          <w:color w:val="000000" w:themeColor="text1"/>
          <w:sz w:val="22"/>
          <w:szCs w:val="22"/>
        </w:rPr>
        <w:t xml:space="preserve"> </w:t>
      </w:r>
      <w:r w:rsidRPr="3B6BD473">
        <w:rPr>
          <w:rFonts w:eastAsia="Calibri" w:cs="Arial"/>
          <w:sz w:val="22"/>
          <w:szCs w:val="22"/>
        </w:rPr>
        <w:t xml:space="preserve">for </w:t>
      </w:r>
      <w:proofErr w:type="spellStart"/>
      <w:r w:rsidR="00F00938" w:rsidRPr="3B6BD473">
        <w:rPr>
          <w:rFonts w:eastAsia="Calibri" w:cs="Arial"/>
          <w:sz w:val="22"/>
          <w:szCs w:val="22"/>
        </w:rPr>
        <w:t>CloS</w:t>
      </w:r>
      <w:proofErr w:type="spellEnd"/>
      <w:r w:rsidR="00F00938" w:rsidRPr="3B6BD473">
        <w:rPr>
          <w:rFonts w:eastAsia="Calibri" w:cs="Arial"/>
          <w:sz w:val="22"/>
          <w:szCs w:val="22"/>
        </w:rPr>
        <w:t xml:space="preserve"> LEP area</w:t>
      </w:r>
      <w:r w:rsidRPr="3B6BD473">
        <w:rPr>
          <w:rFonts w:eastAsia="Calibri" w:cs="Arial"/>
          <w:sz w:val="22"/>
          <w:szCs w:val="22"/>
        </w:rPr>
        <w:t>.</w:t>
      </w:r>
    </w:p>
    <w:p w14:paraId="2ED12E9D" w14:textId="29F60F15" w:rsidR="00312A0A" w:rsidRDefault="00312A0A" w:rsidP="00312A0A">
      <w:pPr>
        <w:spacing w:after="120"/>
        <w:rPr>
          <w:rFonts w:cs="Arial"/>
          <w:sz w:val="22"/>
          <w:szCs w:val="22"/>
        </w:rPr>
      </w:pPr>
    </w:p>
    <w:p w14:paraId="5FAD6E7F" w14:textId="77777777" w:rsidR="00312A0A" w:rsidRPr="00312A0A" w:rsidRDefault="00312A0A" w:rsidP="00312A0A">
      <w:pPr>
        <w:spacing w:after="120"/>
        <w:rPr>
          <w:rFonts w:cs="Arial"/>
          <w:sz w:val="22"/>
          <w:szCs w:val="22"/>
        </w:rPr>
      </w:pPr>
    </w:p>
    <w:p w14:paraId="6D7A18E3" w14:textId="77777777" w:rsidR="00312A0A" w:rsidRDefault="00312A0A">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r>
        <w:rPr>
          <w:rFonts w:cs="Arial"/>
          <w:sz w:val="22"/>
          <w:szCs w:val="22"/>
        </w:rPr>
        <w:br w:type="page"/>
      </w:r>
    </w:p>
    <w:p w14:paraId="4E3C6F5F" w14:textId="03ADBF9F" w:rsidR="00C85EC1" w:rsidRPr="00215180" w:rsidRDefault="0091374C" w:rsidP="00312A0A">
      <w:pPr>
        <w:spacing w:after="120"/>
        <w:rPr>
          <w:rFonts w:cs="Arial"/>
          <w:b/>
          <w:sz w:val="22"/>
          <w:szCs w:val="22"/>
        </w:rPr>
      </w:pPr>
      <w:r w:rsidRPr="00215180">
        <w:rPr>
          <w:rFonts w:cs="Arial"/>
          <w:b/>
          <w:sz w:val="22"/>
          <w:szCs w:val="22"/>
        </w:rPr>
        <w:lastRenderedPageBreak/>
        <w:t>LOT 7: SOLENT LEP</w:t>
      </w:r>
    </w:p>
    <w:p w14:paraId="1C829D58" w14:textId="43794AE0" w:rsidR="00700475" w:rsidRDefault="00700475" w:rsidP="00312A0A">
      <w:pPr>
        <w:spacing w:after="120"/>
        <w:rPr>
          <w:rFonts w:cs="Arial"/>
          <w:sz w:val="22"/>
          <w:szCs w:val="22"/>
        </w:rPr>
      </w:pPr>
    </w:p>
    <w:p w14:paraId="59D12319" w14:textId="1DB54FFA" w:rsidR="002A51D8" w:rsidRDefault="00700475" w:rsidP="002A51D8">
      <w:pPr>
        <w:rPr>
          <w:color w:val="000000"/>
          <w:lang w:eastAsia="en-GB"/>
        </w:rPr>
      </w:pPr>
      <w:r w:rsidRPr="5664A060">
        <w:rPr>
          <w:rFonts w:cs="Arial"/>
          <w:b/>
          <w:bCs/>
          <w:sz w:val="22"/>
          <w:szCs w:val="22"/>
        </w:rPr>
        <w:t>Value of the Lot</w:t>
      </w:r>
      <w:r w:rsidR="004D3BB5" w:rsidRPr="5664A060">
        <w:rPr>
          <w:rFonts w:cs="Arial"/>
          <w:b/>
          <w:bCs/>
          <w:sz w:val="22"/>
          <w:szCs w:val="22"/>
        </w:rPr>
        <w:t>:</w:t>
      </w:r>
      <w:r w:rsidR="004D3BB5" w:rsidRPr="5664A060">
        <w:rPr>
          <w:rFonts w:cs="Arial"/>
          <w:sz w:val="22"/>
          <w:szCs w:val="22"/>
        </w:rPr>
        <w:t xml:space="preserve"> </w:t>
      </w:r>
      <w:r>
        <w:tab/>
      </w:r>
      <w:r w:rsidR="004D3BB5" w:rsidRPr="5664A060">
        <w:rPr>
          <w:rFonts w:cs="Arial"/>
          <w:sz w:val="22"/>
          <w:szCs w:val="22"/>
        </w:rPr>
        <w:t>£</w:t>
      </w:r>
      <w:r w:rsidR="002A51D8" w:rsidRPr="5664A060">
        <w:rPr>
          <w:color w:val="000000" w:themeColor="text1"/>
          <w:sz w:val="22"/>
          <w:szCs w:val="22"/>
          <w:lang w:eastAsia="en-GB"/>
        </w:rPr>
        <w:t>8,615,20</w:t>
      </w:r>
      <w:r w:rsidR="4E380AF6" w:rsidRPr="5664A060">
        <w:rPr>
          <w:color w:val="000000" w:themeColor="text1"/>
          <w:sz w:val="22"/>
          <w:szCs w:val="22"/>
          <w:lang w:eastAsia="en-GB"/>
        </w:rPr>
        <w:t>8</w:t>
      </w:r>
    </w:p>
    <w:p w14:paraId="1F3A456C" w14:textId="039A31C3" w:rsidR="00700475" w:rsidRDefault="00700475" w:rsidP="00312A0A">
      <w:pPr>
        <w:spacing w:after="120"/>
        <w:rPr>
          <w:rFonts w:cs="Arial"/>
          <w:sz w:val="22"/>
          <w:szCs w:val="22"/>
        </w:rPr>
      </w:pPr>
    </w:p>
    <w:p w14:paraId="6182A5E0" w14:textId="1F56B036" w:rsidR="00B778F1" w:rsidRDefault="00B778F1" w:rsidP="00B778F1">
      <w:pPr>
        <w:spacing w:after="120"/>
        <w:ind w:left="2160" w:hanging="2160"/>
        <w:rPr>
          <w:rFonts w:cs="Arial"/>
          <w:sz w:val="22"/>
          <w:szCs w:val="22"/>
        </w:rPr>
      </w:pPr>
      <w:r w:rsidRPr="001527E1">
        <w:rPr>
          <w:rFonts w:cs="Arial"/>
          <w:b/>
          <w:sz w:val="22"/>
          <w:szCs w:val="22"/>
        </w:rPr>
        <w:t>Delivery Fee:</w:t>
      </w:r>
      <w:r w:rsidRPr="001527E1">
        <w:rPr>
          <w:rFonts w:cs="Arial"/>
          <w:b/>
          <w:sz w:val="22"/>
          <w:szCs w:val="22"/>
        </w:rPr>
        <w:tab/>
      </w:r>
      <w:r>
        <w:rPr>
          <w:rFonts w:cs="Arial"/>
          <w:sz w:val="22"/>
          <w:szCs w:val="22"/>
        </w:rPr>
        <w:tab/>
        <w:t>Bidders can provide a delivery fee for installations carried out on the Isle of Wight. These fees are not applicable on any installations carried out on the mainland.</w:t>
      </w:r>
    </w:p>
    <w:p w14:paraId="4117A748" w14:textId="77777777" w:rsidR="00700475" w:rsidRDefault="00700475" w:rsidP="00312A0A">
      <w:pPr>
        <w:spacing w:after="120"/>
        <w:rPr>
          <w:rFonts w:cs="Arial"/>
          <w:sz w:val="22"/>
          <w:szCs w:val="22"/>
        </w:rPr>
      </w:pPr>
    </w:p>
    <w:p w14:paraId="464FC67B" w14:textId="640E87F5" w:rsidR="007206EC" w:rsidRPr="00215180" w:rsidRDefault="007206EC" w:rsidP="00312A0A">
      <w:pPr>
        <w:spacing w:after="120"/>
        <w:rPr>
          <w:rFonts w:cs="Arial"/>
          <w:b/>
          <w:sz w:val="22"/>
          <w:szCs w:val="22"/>
        </w:rPr>
      </w:pPr>
      <w:r w:rsidRPr="00215180">
        <w:rPr>
          <w:rFonts w:cs="Arial"/>
          <w:b/>
          <w:sz w:val="22"/>
          <w:szCs w:val="22"/>
        </w:rPr>
        <w:t xml:space="preserve">Geographic area: </w:t>
      </w:r>
    </w:p>
    <w:p w14:paraId="2436DF9B" w14:textId="5B1C757D" w:rsidR="006E51DA" w:rsidRDefault="006E51DA" w:rsidP="00312A0A">
      <w:pPr>
        <w:spacing w:after="120"/>
        <w:rPr>
          <w:rFonts w:cs="Arial"/>
          <w:sz w:val="22"/>
          <w:szCs w:val="22"/>
        </w:rPr>
      </w:pPr>
      <w:r>
        <w:rPr>
          <w:rFonts w:cs="Arial"/>
          <w:sz w:val="22"/>
          <w:szCs w:val="22"/>
        </w:rPr>
        <w:t>Eastleigh District Council</w:t>
      </w:r>
    </w:p>
    <w:p w14:paraId="2F628183" w14:textId="560457B0" w:rsidR="006E51DA" w:rsidRDefault="006E51DA" w:rsidP="00312A0A">
      <w:pPr>
        <w:spacing w:after="120"/>
        <w:rPr>
          <w:rFonts w:cs="Arial"/>
          <w:sz w:val="22"/>
          <w:szCs w:val="22"/>
        </w:rPr>
      </w:pPr>
      <w:r>
        <w:rPr>
          <w:rFonts w:cs="Arial"/>
          <w:sz w:val="22"/>
          <w:szCs w:val="22"/>
        </w:rPr>
        <w:t>Fareham District Council</w:t>
      </w:r>
    </w:p>
    <w:p w14:paraId="7FA4E4F5" w14:textId="6D1C9FA0" w:rsidR="006E51DA" w:rsidRDefault="00E82896" w:rsidP="00312A0A">
      <w:pPr>
        <w:spacing w:after="120"/>
        <w:rPr>
          <w:rFonts w:cs="Arial"/>
          <w:sz w:val="22"/>
          <w:szCs w:val="22"/>
        </w:rPr>
      </w:pPr>
      <w:r>
        <w:rPr>
          <w:rFonts w:cs="Arial"/>
          <w:sz w:val="22"/>
          <w:szCs w:val="22"/>
        </w:rPr>
        <w:t xml:space="preserve">Havant </w:t>
      </w:r>
      <w:r w:rsidR="004E38C9">
        <w:rPr>
          <w:rFonts w:cs="Arial"/>
          <w:sz w:val="22"/>
          <w:szCs w:val="22"/>
        </w:rPr>
        <w:t>District Council</w:t>
      </w:r>
    </w:p>
    <w:p w14:paraId="370FE77E" w14:textId="77777777" w:rsidR="00E82896" w:rsidRDefault="00E82896" w:rsidP="00E82896">
      <w:pPr>
        <w:spacing w:after="120"/>
        <w:rPr>
          <w:rFonts w:cs="Arial"/>
          <w:sz w:val="22"/>
          <w:szCs w:val="22"/>
        </w:rPr>
      </w:pPr>
      <w:r>
        <w:rPr>
          <w:rFonts w:cs="Arial"/>
          <w:sz w:val="22"/>
          <w:szCs w:val="22"/>
        </w:rPr>
        <w:t>Isle of Wight Unitary Authority</w:t>
      </w:r>
    </w:p>
    <w:p w14:paraId="4E5AF7DF" w14:textId="77777777" w:rsidR="00E82896" w:rsidRDefault="00E82896" w:rsidP="00E82896">
      <w:pPr>
        <w:spacing w:after="120"/>
        <w:rPr>
          <w:rFonts w:cs="Arial"/>
          <w:sz w:val="22"/>
          <w:szCs w:val="22"/>
        </w:rPr>
      </w:pPr>
      <w:r>
        <w:rPr>
          <w:rFonts w:cs="Arial"/>
          <w:sz w:val="22"/>
          <w:szCs w:val="22"/>
        </w:rPr>
        <w:t>New Forest District Council</w:t>
      </w:r>
      <w:r w:rsidRPr="00E82896">
        <w:rPr>
          <w:rFonts w:cs="Arial"/>
          <w:sz w:val="22"/>
          <w:szCs w:val="22"/>
        </w:rPr>
        <w:t xml:space="preserve"> </w:t>
      </w:r>
    </w:p>
    <w:p w14:paraId="40B0853C" w14:textId="69110E35" w:rsidR="00E82896" w:rsidRDefault="00E82896" w:rsidP="00E82896">
      <w:pPr>
        <w:spacing w:after="120"/>
        <w:rPr>
          <w:rFonts w:cs="Arial"/>
          <w:sz w:val="22"/>
          <w:szCs w:val="22"/>
        </w:rPr>
      </w:pPr>
      <w:r>
        <w:rPr>
          <w:rFonts w:cs="Arial"/>
          <w:sz w:val="22"/>
          <w:szCs w:val="22"/>
        </w:rPr>
        <w:t>Portsmouth Unitary Authority</w:t>
      </w:r>
    </w:p>
    <w:p w14:paraId="61B91EAE" w14:textId="3FBE13AC" w:rsidR="00E82896" w:rsidRDefault="00E82896" w:rsidP="00312A0A">
      <w:pPr>
        <w:spacing w:after="120"/>
        <w:rPr>
          <w:rFonts w:cs="Arial"/>
          <w:sz w:val="22"/>
          <w:szCs w:val="22"/>
        </w:rPr>
      </w:pPr>
      <w:r>
        <w:rPr>
          <w:rFonts w:cs="Arial"/>
          <w:sz w:val="22"/>
          <w:szCs w:val="22"/>
        </w:rPr>
        <w:t>Southampton Unitary Authority</w:t>
      </w:r>
    </w:p>
    <w:p w14:paraId="5FBC8410" w14:textId="4B292F30" w:rsidR="0091374C" w:rsidRDefault="0091374C" w:rsidP="00312A0A">
      <w:pPr>
        <w:spacing w:after="120"/>
        <w:rPr>
          <w:rFonts w:cs="Arial"/>
          <w:sz w:val="22"/>
          <w:szCs w:val="22"/>
        </w:rPr>
      </w:pPr>
    </w:p>
    <w:p w14:paraId="06040FD2" w14:textId="65D3A8CC" w:rsidR="002343AB" w:rsidRDefault="00EA2B39" w:rsidP="00312A0A">
      <w:pPr>
        <w:spacing w:after="120"/>
        <w:rPr>
          <w:rFonts w:cs="Arial"/>
          <w:sz w:val="22"/>
          <w:szCs w:val="22"/>
        </w:rPr>
      </w:pPr>
      <w:r w:rsidRPr="00215180">
        <w:rPr>
          <w:rFonts w:cs="Arial"/>
          <w:b/>
          <w:sz w:val="22"/>
          <w:szCs w:val="22"/>
        </w:rPr>
        <w:t>Anticipated number of installations</w:t>
      </w:r>
      <w:r w:rsidR="00215180" w:rsidRPr="00215180">
        <w:rPr>
          <w:rFonts w:cs="Arial"/>
          <w:b/>
          <w:sz w:val="22"/>
          <w:szCs w:val="22"/>
        </w:rPr>
        <w:t>:</w:t>
      </w:r>
      <w:r w:rsidR="00215180">
        <w:rPr>
          <w:rFonts w:cs="Arial"/>
          <w:sz w:val="22"/>
          <w:szCs w:val="22"/>
        </w:rPr>
        <w:t xml:space="preserve"> </w:t>
      </w:r>
      <w:r w:rsidR="002A51D8" w:rsidRPr="002A51D8">
        <w:rPr>
          <w:color w:val="000000"/>
          <w:sz w:val="22"/>
          <w:szCs w:val="22"/>
          <w:lang w:eastAsia="en-GB"/>
        </w:rPr>
        <w:t>771</w:t>
      </w:r>
    </w:p>
    <w:p w14:paraId="1EE35B88" w14:textId="77777777" w:rsidR="00FF4149" w:rsidRDefault="00FF4149" w:rsidP="00FF4149">
      <w:pPr>
        <w:spacing w:line="257" w:lineRule="auto"/>
        <w:rPr>
          <w:rFonts w:cs="Arial"/>
          <w:sz w:val="22"/>
          <w:szCs w:val="22"/>
        </w:rPr>
      </w:pPr>
      <w:r w:rsidRPr="002624DB">
        <w:rPr>
          <w:color w:val="000000"/>
          <w:sz w:val="22"/>
          <w:szCs w:val="22"/>
          <w:lang w:eastAsia="en-GB"/>
        </w:rPr>
        <w:t xml:space="preserve">Number of installations is based on completing only owner occupier properties and with an average total spend of £10,000 per property. </w:t>
      </w:r>
      <w:r>
        <w:rPr>
          <w:color w:val="000000"/>
          <w:sz w:val="22"/>
          <w:szCs w:val="22"/>
          <w:lang w:eastAsia="en-GB"/>
        </w:rPr>
        <w:t>It is likely that the numbers will be made up of a mixture of owner occupier, social and private rental properties and therefore these numbers are at the lower end of the spectrum.</w:t>
      </w:r>
    </w:p>
    <w:p w14:paraId="133B3724" w14:textId="77777777" w:rsidR="00FF4149" w:rsidRDefault="00FF4149" w:rsidP="00FF4149">
      <w:pPr>
        <w:spacing w:line="257" w:lineRule="auto"/>
        <w:rPr>
          <w:rFonts w:ascii="Calibri" w:eastAsia="Calibri" w:hAnsi="Calibri" w:cs="Calibri"/>
          <w:sz w:val="22"/>
          <w:szCs w:val="22"/>
        </w:rPr>
      </w:pPr>
    </w:p>
    <w:p w14:paraId="61BF2589" w14:textId="77777777" w:rsidR="00FF4149" w:rsidRPr="00CD5E4F" w:rsidRDefault="00FF4149" w:rsidP="00FF4149">
      <w:pPr>
        <w:spacing w:line="257" w:lineRule="auto"/>
        <w:rPr>
          <w:rFonts w:eastAsia="Calibri" w:cs="Arial"/>
          <w:b/>
          <w:sz w:val="22"/>
          <w:szCs w:val="22"/>
        </w:rPr>
      </w:pPr>
      <w:r w:rsidRPr="00CD5E4F">
        <w:rPr>
          <w:rFonts w:eastAsia="Calibri" w:cs="Arial"/>
          <w:b/>
          <w:sz w:val="22"/>
          <w:szCs w:val="22"/>
        </w:rPr>
        <w:t>Potential Market</w:t>
      </w:r>
    </w:p>
    <w:p w14:paraId="1C2BFDD3" w14:textId="7C2D9B35" w:rsidR="00F00938" w:rsidRPr="00FF4149" w:rsidRDefault="00F00938" w:rsidP="00F00938">
      <w:pPr>
        <w:spacing w:line="257" w:lineRule="auto"/>
        <w:rPr>
          <w:rFonts w:eastAsia="Calibri" w:cs="Arial"/>
          <w:sz w:val="22"/>
          <w:szCs w:val="22"/>
        </w:rPr>
      </w:pPr>
      <w:r w:rsidRPr="3B6BD473">
        <w:rPr>
          <w:rFonts w:eastAsia="Calibri" w:cs="Arial"/>
          <w:sz w:val="22"/>
          <w:szCs w:val="22"/>
        </w:rPr>
        <w:t xml:space="preserve">The Solent LEP contains likely </w:t>
      </w:r>
      <w:r w:rsidR="006230A7" w:rsidRPr="3B6BD473">
        <w:rPr>
          <w:rFonts w:eastAsia="Calibri" w:cs="Arial"/>
          <w:color w:val="000000" w:themeColor="text1"/>
          <w:sz w:val="22"/>
          <w:szCs w:val="22"/>
        </w:rPr>
        <w:t>355,000</w:t>
      </w:r>
      <w:r w:rsidRPr="3B6BD473">
        <w:rPr>
          <w:rFonts w:eastAsia="Calibri" w:cs="Arial"/>
          <w:color w:val="000000" w:themeColor="text1"/>
          <w:sz w:val="22"/>
          <w:szCs w:val="22"/>
        </w:rPr>
        <w:t xml:space="preserve"> properties rated EPC ‘D’ or below. Of these in the region of </w:t>
      </w:r>
      <w:r w:rsidR="00E5630E" w:rsidRPr="3B6BD473">
        <w:rPr>
          <w:rFonts w:eastAsia="Calibri" w:cs="Arial"/>
          <w:color w:val="000000" w:themeColor="text1"/>
          <w:sz w:val="22"/>
          <w:szCs w:val="22"/>
        </w:rPr>
        <w:t>51,000</w:t>
      </w:r>
      <w:r w:rsidRPr="3B6BD473">
        <w:rPr>
          <w:rFonts w:eastAsia="Calibri" w:cs="Arial"/>
          <w:color w:val="000000" w:themeColor="text1"/>
          <w:sz w:val="22"/>
          <w:szCs w:val="22"/>
        </w:rPr>
        <w:t xml:space="preserve"> are in areas where there </w:t>
      </w:r>
      <w:r w:rsidRPr="3B6BD473">
        <w:rPr>
          <w:rFonts w:eastAsia="Calibri" w:cs="Arial"/>
          <w:sz w:val="22"/>
          <w:szCs w:val="22"/>
        </w:rPr>
        <w:t xml:space="preserve">is a higher likelihood that households will fall within the scheme’s </w:t>
      </w:r>
      <w:r w:rsidR="10A3B54F" w:rsidRPr="3B6BD473">
        <w:rPr>
          <w:rFonts w:eastAsia="Calibri" w:cs="Arial"/>
          <w:sz w:val="22"/>
          <w:szCs w:val="22"/>
        </w:rPr>
        <w:t>income-based</w:t>
      </w:r>
      <w:r w:rsidRPr="3B6BD473">
        <w:rPr>
          <w:rFonts w:eastAsia="Calibri" w:cs="Arial"/>
          <w:sz w:val="22"/>
          <w:szCs w:val="22"/>
        </w:rPr>
        <w:t xml:space="preserve"> eligibility criteria. </w:t>
      </w:r>
    </w:p>
    <w:p w14:paraId="5EB54FF5" w14:textId="77777777" w:rsidR="00F00938" w:rsidRPr="00FF4149" w:rsidRDefault="00F00938" w:rsidP="00F00938">
      <w:pPr>
        <w:spacing w:line="257" w:lineRule="auto"/>
        <w:rPr>
          <w:rFonts w:eastAsia="Calibri" w:cs="Arial"/>
          <w:sz w:val="22"/>
          <w:szCs w:val="22"/>
        </w:rPr>
      </w:pPr>
    </w:p>
    <w:p w14:paraId="6CC94EB5" w14:textId="1C24699E" w:rsidR="00F00938" w:rsidRPr="00FF4149" w:rsidRDefault="00F00938" w:rsidP="00F00938">
      <w:pPr>
        <w:spacing w:line="257" w:lineRule="auto"/>
        <w:rPr>
          <w:rFonts w:eastAsia="Calibri" w:cs="Arial"/>
          <w:sz w:val="22"/>
          <w:szCs w:val="22"/>
        </w:rPr>
      </w:pPr>
      <w:proofErr w:type="gramStart"/>
      <w:r w:rsidRPr="00FF4149">
        <w:rPr>
          <w:rFonts w:eastAsia="Calibri" w:cs="Arial"/>
          <w:sz w:val="22"/>
          <w:szCs w:val="22"/>
        </w:rPr>
        <w:t>By definition of</w:t>
      </w:r>
      <w:proofErr w:type="gramEnd"/>
      <w:r w:rsidRPr="00FF4149">
        <w:rPr>
          <w:rFonts w:eastAsia="Calibri" w:cs="Arial"/>
          <w:sz w:val="22"/>
          <w:szCs w:val="22"/>
        </w:rPr>
        <w:t xml:space="preserve"> being EPC band ‘D’ or below, many of these properties will benefit from one or more of the eligible measures that can be delivered through the scheme. Table 1 below shows the number of households in the Solent LEP area that would benefit from some of the schemes keys measures that are likely to be EPC band D or below. Additionally, it shows where those households are also in areas more likely to meet the schemes income eligibility criteria:</w:t>
      </w:r>
    </w:p>
    <w:p w14:paraId="01DD5464" w14:textId="77777777" w:rsidR="00F00938" w:rsidRPr="00FF4149" w:rsidRDefault="00F00938" w:rsidP="00F00938">
      <w:pPr>
        <w:spacing w:line="257" w:lineRule="auto"/>
        <w:rPr>
          <w:rFonts w:eastAsia="Calibri" w:cs="Arial"/>
          <w:sz w:val="22"/>
          <w:szCs w:val="22"/>
        </w:rPr>
      </w:pPr>
    </w:p>
    <w:p w14:paraId="22FB43B1" w14:textId="77777777" w:rsidR="00F00938" w:rsidRPr="00FF4149" w:rsidRDefault="00F00938" w:rsidP="00F00938">
      <w:pPr>
        <w:spacing w:line="257" w:lineRule="auto"/>
        <w:rPr>
          <w:rFonts w:eastAsia="Calibri" w:cs="Arial"/>
          <w:b/>
          <w:bCs/>
          <w:sz w:val="22"/>
          <w:szCs w:val="22"/>
        </w:rPr>
      </w:pPr>
      <w:r w:rsidRPr="00FF4149">
        <w:rPr>
          <w:rFonts w:eastAsia="Calibri" w:cs="Arial"/>
          <w:b/>
          <w:bCs/>
          <w:sz w:val="22"/>
          <w:szCs w:val="22"/>
        </w:rPr>
        <w:t>Table 1 – Likely eligible households appropriate for key scheme measures</w:t>
      </w:r>
    </w:p>
    <w:p w14:paraId="1C9AD161" w14:textId="77777777" w:rsidR="00F14342" w:rsidRDefault="00F00938" w:rsidP="00F00938">
      <w:pPr>
        <w:spacing w:line="257" w:lineRule="auto"/>
        <w:rPr>
          <w:rFonts w:ascii="Calibri" w:eastAsia="Calibri" w:hAnsi="Calibri" w:cs="Calibri"/>
          <w:sz w:val="22"/>
          <w:szCs w:val="22"/>
        </w:rPr>
      </w:pPr>
      <w:r w:rsidRPr="3439B5AA">
        <w:rPr>
          <w:rFonts w:ascii="Calibri" w:eastAsia="Calibri" w:hAnsi="Calibri" w:cs="Calibri"/>
          <w:sz w:val="22"/>
          <w:szCs w:val="22"/>
        </w:rPr>
        <w:t xml:space="preserve"> </w:t>
      </w:r>
    </w:p>
    <w:tbl>
      <w:tblPr>
        <w:tblW w:w="5000" w:type="pct"/>
        <w:tblLook w:val="04A0" w:firstRow="1" w:lastRow="0" w:firstColumn="1" w:lastColumn="0" w:noHBand="0" w:noVBand="1"/>
      </w:tblPr>
      <w:tblGrid>
        <w:gridCol w:w="4708"/>
        <w:gridCol w:w="2229"/>
        <w:gridCol w:w="2305"/>
      </w:tblGrid>
      <w:tr w:rsidR="00F14342" w:rsidRPr="00FF4149" w14:paraId="34147202" w14:textId="77777777" w:rsidTr="3B6BD473">
        <w:trPr>
          <w:trHeight w:val="300"/>
        </w:trPr>
        <w:tc>
          <w:tcPr>
            <w:tcW w:w="5000" w:type="pct"/>
            <w:gridSpan w:val="3"/>
            <w:tcBorders>
              <w:top w:val="single" w:sz="8" w:space="0" w:color="auto"/>
              <w:left w:val="single" w:sz="8" w:space="0" w:color="auto"/>
              <w:bottom w:val="single" w:sz="8" w:space="0" w:color="auto"/>
              <w:right w:val="single" w:sz="8" w:space="0" w:color="000000" w:themeColor="text1"/>
            </w:tcBorders>
            <w:shd w:val="clear" w:color="auto" w:fill="auto"/>
            <w:noWrap/>
            <w:hideMark/>
          </w:tcPr>
          <w:p w14:paraId="7A5F462F" w14:textId="77777777" w:rsidR="00F14342" w:rsidRPr="00FF4149" w:rsidRDefault="3568769D" w:rsidP="3B6BD473">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3B6BD473">
              <w:rPr>
                <w:rFonts w:cs="Arial"/>
                <w:color w:val="000000" w:themeColor="text1"/>
                <w:sz w:val="22"/>
                <w:szCs w:val="22"/>
                <w:lang w:eastAsia="en-GB"/>
              </w:rPr>
              <w:t>Solent LEP</w:t>
            </w:r>
          </w:p>
        </w:tc>
      </w:tr>
      <w:tr w:rsidR="00F14342" w:rsidRPr="00FF4149" w14:paraId="59DDE859" w14:textId="77777777" w:rsidTr="3B6BD473">
        <w:trPr>
          <w:trHeight w:val="1452"/>
        </w:trPr>
        <w:tc>
          <w:tcPr>
            <w:tcW w:w="2547" w:type="pct"/>
            <w:tcBorders>
              <w:top w:val="nil"/>
              <w:left w:val="single" w:sz="8" w:space="0" w:color="auto"/>
              <w:bottom w:val="single" w:sz="8" w:space="0" w:color="auto"/>
              <w:right w:val="single" w:sz="8" w:space="0" w:color="auto"/>
            </w:tcBorders>
            <w:shd w:val="clear" w:color="auto" w:fill="auto"/>
            <w:hideMark/>
          </w:tcPr>
          <w:p w14:paraId="0F66972A" w14:textId="77777777" w:rsidR="00F14342" w:rsidRPr="00FF4149" w:rsidRDefault="00F14342" w:rsidP="00F14342">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00FF4149">
              <w:rPr>
                <w:rFonts w:cs="Arial"/>
                <w:b/>
                <w:bCs/>
                <w:color w:val="000000"/>
                <w:sz w:val="22"/>
                <w:szCs w:val="22"/>
                <w:lang w:eastAsia="en-GB"/>
              </w:rPr>
              <w:t xml:space="preserve">Suitable measures </w:t>
            </w:r>
            <w:r w:rsidRPr="00FF4149">
              <w:rPr>
                <w:rFonts w:cs="Arial"/>
                <w:color w:val="000000"/>
                <w:sz w:val="18"/>
                <w:szCs w:val="18"/>
                <w:lang w:eastAsia="en-GB"/>
              </w:rPr>
              <w:t>i.e. appropriate construction with low carbon measure not yet in place</w:t>
            </w:r>
            <w:r w:rsidRPr="00FF4149">
              <w:rPr>
                <w:rFonts w:cs="Arial"/>
                <w:b/>
                <w:bCs/>
                <w:color w:val="000000"/>
                <w:sz w:val="22"/>
                <w:szCs w:val="22"/>
                <w:lang w:eastAsia="en-GB"/>
              </w:rPr>
              <w:t xml:space="preserve"> </w:t>
            </w:r>
          </w:p>
        </w:tc>
        <w:tc>
          <w:tcPr>
            <w:tcW w:w="1206" w:type="pct"/>
            <w:tcBorders>
              <w:top w:val="nil"/>
              <w:left w:val="nil"/>
              <w:bottom w:val="single" w:sz="8" w:space="0" w:color="auto"/>
              <w:right w:val="single" w:sz="4" w:space="0" w:color="auto"/>
            </w:tcBorders>
            <w:shd w:val="clear" w:color="auto" w:fill="auto"/>
            <w:hideMark/>
          </w:tcPr>
          <w:p w14:paraId="6DC1D0F7" w14:textId="77777777" w:rsidR="00F14342" w:rsidRPr="00FF4149" w:rsidRDefault="00F14342" w:rsidP="00F14342">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00FF4149">
              <w:rPr>
                <w:rFonts w:cs="Arial"/>
                <w:b/>
                <w:bCs/>
                <w:color w:val="000000"/>
                <w:sz w:val="22"/>
                <w:szCs w:val="22"/>
                <w:lang w:eastAsia="en-GB"/>
              </w:rPr>
              <w:t xml:space="preserve">Number of likely eligible households - </w:t>
            </w:r>
            <w:r w:rsidRPr="00FF4149">
              <w:rPr>
                <w:rFonts w:cs="Arial"/>
                <w:color w:val="000000"/>
                <w:sz w:val="22"/>
                <w:szCs w:val="22"/>
                <w:lang w:eastAsia="en-GB"/>
              </w:rPr>
              <w:t>EPC 'D' or below</w:t>
            </w:r>
          </w:p>
        </w:tc>
        <w:tc>
          <w:tcPr>
            <w:tcW w:w="1247" w:type="pct"/>
            <w:tcBorders>
              <w:top w:val="nil"/>
              <w:left w:val="nil"/>
              <w:bottom w:val="single" w:sz="8" w:space="0" w:color="auto"/>
              <w:right w:val="single" w:sz="8" w:space="0" w:color="auto"/>
            </w:tcBorders>
            <w:shd w:val="clear" w:color="auto" w:fill="auto"/>
            <w:hideMark/>
          </w:tcPr>
          <w:p w14:paraId="3F7A821A" w14:textId="78A4473F" w:rsidR="00F14342" w:rsidRPr="00FF4149" w:rsidRDefault="3568769D" w:rsidP="00F14342">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2"/>
                <w:szCs w:val="22"/>
                <w:lang w:eastAsia="en-GB"/>
              </w:rPr>
            </w:pPr>
            <w:r w:rsidRPr="3B6BD473">
              <w:rPr>
                <w:rFonts w:cs="Arial"/>
                <w:b/>
                <w:bCs/>
                <w:color w:val="000000" w:themeColor="text1"/>
                <w:sz w:val="22"/>
                <w:szCs w:val="22"/>
                <w:lang w:eastAsia="en-GB"/>
              </w:rPr>
              <w:t xml:space="preserve">Number of likely eligible households - </w:t>
            </w:r>
            <w:r w:rsidRPr="3B6BD473">
              <w:rPr>
                <w:rFonts w:cs="Arial"/>
                <w:color w:val="000000" w:themeColor="text1"/>
                <w:sz w:val="22"/>
                <w:szCs w:val="22"/>
                <w:lang w:eastAsia="en-GB"/>
              </w:rPr>
              <w:t xml:space="preserve">EPC 'D' or below </w:t>
            </w:r>
            <w:r w:rsidRPr="3B6BD473">
              <w:rPr>
                <w:rFonts w:cs="Arial"/>
                <w:b/>
                <w:bCs/>
                <w:color w:val="000000" w:themeColor="text1"/>
                <w:sz w:val="22"/>
                <w:szCs w:val="22"/>
                <w:lang w:eastAsia="en-GB"/>
              </w:rPr>
              <w:t xml:space="preserve">&amp; </w:t>
            </w:r>
            <w:r w:rsidR="1DB55BBD" w:rsidRPr="3B6BD473">
              <w:rPr>
                <w:rFonts w:cs="Arial"/>
                <w:color w:val="000000" w:themeColor="text1"/>
                <w:sz w:val="22"/>
                <w:szCs w:val="22"/>
                <w:lang w:eastAsia="en-GB"/>
              </w:rPr>
              <w:t>low-income</w:t>
            </w:r>
            <w:r w:rsidRPr="3B6BD473">
              <w:rPr>
                <w:rFonts w:cs="Arial"/>
                <w:color w:val="000000" w:themeColor="text1"/>
                <w:sz w:val="22"/>
                <w:szCs w:val="22"/>
                <w:lang w:eastAsia="en-GB"/>
              </w:rPr>
              <w:t xml:space="preserve"> proxy</w:t>
            </w:r>
          </w:p>
        </w:tc>
      </w:tr>
      <w:tr w:rsidR="00F14342" w:rsidRPr="00FF4149" w14:paraId="197B10E8" w14:textId="77777777" w:rsidTr="3B6BD473">
        <w:trPr>
          <w:trHeight w:val="288"/>
        </w:trPr>
        <w:tc>
          <w:tcPr>
            <w:tcW w:w="2547" w:type="pct"/>
            <w:tcBorders>
              <w:top w:val="nil"/>
              <w:left w:val="single" w:sz="8" w:space="0" w:color="auto"/>
              <w:bottom w:val="single" w:sz="4" w:space="0" w:color="auto"/>
              <w:right w:val="single" w:sz="8" w:space="0" w:color="auto"/>
            </w:tcBorders>
            <w:shd w:val="clear" w:color="auto" w:fill="auto"/>
            <w:noWrap/>
            <w:hideMark/>
          </w:tcPr>
          <w:p w14:paraId="3127946C" w14:textId="77777777" w:rsidR="00F14342" w:rsidRPr="00FF4149" w:rsidRDefault="00F14342" w:rsidP="00F1434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FF4149">
              <w:rPr>
                <w:rFonts w:cs="Arial"/>
                <w:color w:val="000000"/>
                <w:sz w:val="22"/>
                <w:szCs w:val="22"/>
                <w:lang w:eastAsia="en-GB"/>
              </w:rPr>
              <w:t xml:space="preserve">Cavity wall insulation </w:t>
            </w:r>
          </w:p>
        </w:tc>
        <w:tc>
          <w:tcPr>
            <w:tcW w:w="1206" w:type="pct"/>
            <w:tcBorders>
              <w:top w:val="nil"/>
              <w:left w:val="nil"/>
              <w:bottom w:val="single" w:sz="4" w:space="0" w:color="auto"/>
              <w:right w:val="single" w:sz="4" w:space="0" w:color="auto"/>
            </w:tcBorders>
            <w:shd w:val="clear" w:color="auto" w:fill="auto"/>
            <w:noWrap/>
            <w:vAlign w:val="bottom"/>
            <w:hideMark/>
          </w:tcPr>
          <w:p w14:paraId="5675B0E6" w14:textId="28B4F125" w:rsidR="00F14342" w:rsidRPr="00FF4149" w:rsidRDefault="3568769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140,252 </w:t>
            </w:r>
          </w:p>
        </w:tc>
        <w:tc>
          <w:tcPr>
            <w:tcW w:w="1247" w:type="pct"/>
            <w:tcBorders>
              <w:top w:val="nil"/>
              <w:left w:val="nil"/>
              <w:bottom w:val="single" w:sz="4" w:space="0" w:color="auto"/>
              <w:right w:val="single" w:sz="8" w:space="0" w:color="auto"/>
            </w:tcBorders>
            <w:shd w:val="clear" w:color="auto" w:fill="auto"/>
            <w:noWrap/>
            <w:vAlign w:val="bottom"/>
            <w:hideMark/>
          </w:tcPr>
          <w:p w14:paraId="7C105433" w14:textId="1E4085B9" w:rsidR="00F14342" w:rsidRPr="00FF4149" w:rsidRDefault="3568769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22,495 </w:t>
            </w:r>
          </w:p>
        </w:tc>
      </w:tr>
      <w:tr w:rsidR="00F14342" w:rsidRPr="00FF4149" w14:paraId="3FA4953A" w14:textId="77777777" w:rsidTr="3B6BD473">
        <w:trPr>
          <w:trHeight w:val="288"/>
        </w:trPr>
        <w:tc>
          <w:tcPr>
            <w:tcW w:w="2547" w:type="pct"/>
            <w:tcBorders>
              <w:top w:val="nil"/>
              <w:left w:val="single" w:sz="8" w:space="0" w:color="auto"/>
              <w:bottom w:val="single" w:sz="4" w:space="0" w:color="auto"/>
              <w:right w:val="single" w:sz="8" w:space="0" w:color="auto"/>
            </w:tcBorders>
            <w:shd w:val="clear" w:color="auto" w:fill="auto"/>
            <w:noWrap/>
            <w:hideMark/>
          </w:tcPr>
          <w:p w14:paraId="214448CF" w14:textId="77777777" w:rsidR="00F14342" w:rsidRPr="00FF4149" w:rsidRDefault="00F14342" w:rsidP="00F1434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FF4149">
              <w:rPr>
                <w:rFonts w:cs="Arial"/>
                <w:color w:val="000000"/>
                <w:sz w:val="22"/>
                <w:szCs w:val="22"/>
                <w:lang w:eastAsia="en-GB"/>
              </w:rPr>
              <w:lastRenderedPageBreak/>
              <w:t xml:space="preserve">Solid wall insulation </w:t>
            </w:r>
          </w:p>
        </w:tc>
        <w:tc>
          <w:tcPr>
            <w:tcW w:w="1206" w:type="pct"/>
            <w:tcBorders>
              <w:top w:val="nil"/>
              <w:left w:val="nil"/>
              <w:bottom w:val="single" w:sz="4" w:space="0" w:color="auto"/>
              <w:right w:val="single" w:sz="4" w:space="0" w:color="auto"/>
            </w:tcBorders>
            <w:shd w:val="clear" w:color="auto" w:fill="auto"/>
            <w:noWrap/>
            <w:vAlign w:val="bottom"/>
            <w:hideMark/>
          </w:tcPr>
          <w:p w14:paraId="53A9ED56" w14:textId="4AFA10FF" w:rsidR="00F14342" w:rsidRPr="00FF4149" w:rsidRDefault="322E0EDE"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w:t>
            </w:r>
            <w:r w:rsidR="535FCE67" w:rsidRPr="3B6BD473">
              <w:rPr>
                <w:rFonts w:cs="Arial"/>
                <w:color w:val="000000" w:themeColor="text1"/>
                <w:sz w:val="22"/>
                <w:szCs w:val="22"/>
                <w:lang w:eastAsia="en-GB"/>
              </w:rPr>
              <w:t xml:space="preserve"> </w:t>
            </w:r>
            <w:r w:rsidR="3568769D" w:rsidRPr="3B6BD473">
              <w:rPr>
                <w:rFonts w:cs="Arial"/>
                <w:color w:val="000000" w:themeColor="text1"/>
                <w:sz w:val="22"/>
                <w:szCs w:val="22"/>
                <w:lang w:eastAsia="en-GB"/>
              </w:rPr>
              <w:t xml:space="preserve">17,626 </w:t>
            </w:r>
          </w:p>
        </w:tc>
        <w:tc>
          <w:tcPr>
            <w:tcW w:w="1247" w:type="pct"/>
            <w:tcBorders>
              <w:top w:val="nil"/>
              <w:left w:val="nil"/>
              <w:bottom w:val="single" w:sz="4" w:space="0" w:color="auto"/>
              <w:right w:val="single" w:sz="8" w:space="0" w:color="auto"/>
            </w:tcBorders>
            <w:shd w:val="clear" w:color="auto" w:fill="auto"/>
            <w:noWrap/>
            <w:vAlign w:val="bottom"/>
            <w:hideMark/>
          </w:tcPr>
          <w:p w14:paraId="3902E8AA" w14:textId="2BA6C0EE" w:rsidR="00F14342" w:rsidRPr="00FF4149" w:rsidRDefault="3568769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3,776 </w:t>
            </w:r>
          </w:p>
        </w:tc>
      </w:tr>
      <w:tr w:rsidR="00F14342" w:rsidRPr="00FF4149" w14:paraId="348A633F" w14:textId="77777777" w:rsidTr="3B6BD473">
        <w:trPr>
          <w:trHeight w:val="288"/>
        </w:trPr>
        <w:tc>
          <w:tcPr>
            <w:tcW w:w="2547" w:type="pct"/>
            <w:tcBorders>
              <w:top w:val="nil"/>
              <w:left w:val="single" w:sz="8" w:space="0" w:color="auto"/>
              <w:bottom w:val="single" w:sz="4" w:space="0" w:color="auto"/>
              <w:right w:val="single" w:sz="8" w:space="0" w:color="auto"/>
            </w:tcBorders>
            <w:shd w:val="clear" w:color="auto" w:fill="auto"/>
            <w:noWrap/>
            <w:hideMark/>
          </w:tcPr>
          <w:p w14:paraId="27FDB940" w14:textId="77777777" w:rsidR="00F14342" w:rsidRPr="00FF4149" w:rsidRDefault="00F14342" w:rsidP="00F1434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FF4149">
              <w:rPr>
                <w:rFonts w:cs="Arial"/>
                <w:color w:val="000000"/>
                <w:sz w:val="22"/>
                <w:szCs w:val="22"/>
                <w:lang w:eastAsia="en-GB"/>
              </w:rPr>
              <w:t>Loft insulation</w:t>
            </w:r>
          </w:p>
        </w:tc>
        <w:tc>
          <w:tcPr>
            <w:tcW w:w="1206" w:type="pct"/>
            <w:tcBorders>
              <w:top w:val="nil"/>
              <w:left w:val="nil"/>
              <w:bottom w:val="single" w:sz="4" w:space="0" w:color="auto"/>
              <w:right w:val="single" w:sz="4" w:space="0" w:color="auto"/>
            </w:tcBorders>
            <w:shd w:val="clear" w:color="auto" w:fill="auto"/>
            <w:noWrap/>
            <w:vAlign w:val="bottom"/>
            <w:hideMark/>
          </w:tcPr>
          <w:p w14:paraId="4BB8844C" w14:textId="7E76FA8D" w:rsidR="00F14342" w:rsidRPr="00FF4149" w:rsidRDefault="3568769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209,218 </w:t>
            </w:r>
          </w:p>
        </w:tc>
        <w:tc>
          <w:tcPr>
            <w:tcW w:w="1247" w:type="pct"/>
            <w:tcBorders>
              <w:top w:val="nil"/>
              <w:left w:val="nil"/>
              <w:bottom w:val="single" w:sz="4" w:space="0" w:color="auto"/>
              <w:right w:val="single" w:sz="8" w:space="0" w:color="auto"/>
            </w:tcBorders>
            <w:shd w:val="clear" w:color="auto" w:fill="auto"/>
            <w:noWrap/>
            <w:vAlign w:val="bottom"/>
            <w:hideMark/>
          </w:tcPr>
          <w:p w14:paraId="00B82C5C" w14:textId="5167308A" w:rsidR="00F14342" w:rsidRPr="00FF4149" w:rsidRDefault="3568769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32,631 </w:t>
            </w:r>
          </w:p>
        </w:tc>
      </w:tr>
      <w:tr w:rsidR="00F14342" w:rsidRPr="00FF4149" w14:paraId="7F69791C" w14:textId="77777777" w:rsidTr="3B6BD473">
        <w:trPr>
          <w:trHeight w:val="288"/>
        </w:trPr>
        <w:tc>
          <w:tcPr>
            <w:tcW w:w="2547" w:type="pct"/>
            <w:tcBorders>
              <w:top w:val="nil"/>
              <w:left w:val="single" w:sz="8" w:space="0" w:color="auto"/>
              <w:bottom w:val="single" w:sz="4" w:space="0" w:color="auto"/>
              <w:right w:val="single" w:sz="8" w:space="0" w:color="auto"/>
            </w:tcBorders>
            <w:shd w:val="clear" w:color="auto" w:fill="auto"/>
            <w:noWrap/>
            <w:hideMark/>
          </w:tcPr>
          <w:p w14:paraId="3C0E269A" w14:textId="77777777" w:rsidR="00F14342" w:rsidRPr="00FF4149" w:rsidRDefault="00F14342" w:rsidP="00F1434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FF4149">
              <w:rPr>
                <w:rFonts w:cs="Arial"/>
                <w:color w:val="000000"/>
                <w:sz w:val="22"/>
                <w:szCs w:val="22"/>
                <w:lang w:eastAsia="en-GB"/>
              </w:rPr>
              <w:t xml:space="preserve">Floor insulation </w:t>
            </w:r>
          </w:p>
        </w:tc>
        <w:tc>
          <w:tcPr>
            <w:tcW w:w="1206" w:type="pct"/>
            <w:tcBorders>
              <w:top w:val="nil"/>
              <w:left w:val="nil"/>
              <w:bottom w:val="single" w:sz="4" w:space="0" w:color="auto"/>
              <w:right w:val="single" w:sz="4" w:space="0" w:color="auto"/>
            </w:tcBorders>
            <w:shd w:val="clear" w:color="auto" w:fill="auto"/>
            <w:noWrap/>
            <w:vAlign w:val="bottom"/>
            <w:hideMark/>
          </w:tcPr>
          <w:p w14:paraId="05EBC890" w14:textId="260AD25B" w:rsidR="00F14342" w:rsidRPr="00FF4149" w:rsidRDefault="3568769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350,547 </w:t>
            </w:r>
          </w:p>
        </w:tc>
        <w:tc>
          <w:tcPr>
            <w:tcW w:w="1247" w:type="pct"/>
            <w:tcBorders>
              <w:top w:val="nil"/>
              <w:left w:val="nil"/>
              <w:bottom w:val="single" w:sz="4" w:space="0" w:color="auto"/>
              <w:right w:val="single" w:sz="8" w:space="0" w:color="auto"/>
            </w:tcBorders>
            <w:shd w:val="clear" w:color="auto" w:fill="auto"/>
            <w:noWrap/>
            <w:vAlign w:val="bottom"/>
            <w:hideMark/>
          </w:tcPr>
          <w:p w14:paraId="4179F99B" w14:textId="30BACA1D" w:rsidR="00F14342" w:rsidRPr="00FF4149" w:rsidRDefault="3568769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50,396 </w:t>
            </w:r>
          </w:p>
        </w:tc>
      </w:tr>
      <w:tr w:rsidR="00F14342" w:rsidRPr="00FF4149" w14:paraId="58F787C1" w14:textId="77777777" w:rsidTr="3B6BD473">
        <w:trPr>
          <w:trHeight w:val="288"/>
        </w:trPr>
        <w:tc>
          <w:tcPr>
            <w:tcW w:w="2547" w:type="pct"/>
            <w:tcBorders>
              <w:top w:val="nil"/>
              <w:left w:val="single" w:sz="8" w:space="0" w:color="auto"/>
              <w:bottom w:val="single" w:sz="4" w:space="0" w:color="auto"/>
              <w:right w:val="single" w:sz="8" w:space="0" w:color="auto"/>
            </w:tcBorders>
            <w:shd w:val="clear" w:color="auto" w:fill="auto"/>
            <w:noWrap/>
            <w:hideMark/>
          </w:tcPr>
          <w:p w14:paraId="0C582428" w14:textId="77777777" w:rsidR="00F14342" w:rsidRPr="00FF4149" w:rsidRDefault="00F14342" w:rsidP="00F1434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FF4149">
              <w:rPr>
                <w:rFonts w:cs="Arial"/>
                <w:color w:val="000000"/>
                <w:sz w:val="22"/>
                <w:szCs w:val="22"/>
                <w:lang w:eastAsia="en-GB"/>
              </w:rPr>
              <w:t>Glazing upgrade</w:t>
            </w:r>
          </w:p>
        </w:tc>
        <w:tc>
          <w:tcPr>
            <w:tcW w:w="1206" w:type="pct"/>
            <w:tcBorders>
              <w:top w:val="nil"/>
              <w:left w:val="nil"/>
              <w:bottom w:val="single" w:sz="4" w:space="0" w:color="auto"/>
              <w:right w:val="single" w:sz="4" w:space="0" w:color="auto"/>
            </w:tcBorders>
            <w:shd w:val="clear" w:color="auto" w:fill="auto"/>
            <w:noWrap/>
            <w:vAlign w:val="bottom"/>
            <w:hideMark/>
          </w:tcPr>
          <w:p w14:paraId="2C6FC51C" w14:textId="30F58585" w:rsidR="00F14342" w:rsidRPr="00FF4149" w:rsidRDefault="730C27E8"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w:t>
            </w:r>
            <w:r w:rsidR="63BA6646" w:rsidRPr="3B6BD473">
              <w:rPr>
                <w:rFonts w:cs="Arial"/>
                <w:color w:val="000000" w:themeColor="text1"/>
                <w:sz w:val="22"/>
                <w:szCs w:val="22"/>
                <w:lang w:eastAsia="en-GB"/>
              </w:rPr>
              <w:t xml:space="preserve"> </w:t>
            </w:r>
            <w:r w:rsidR="3568769D" w:rsidRPr="3B6BD473">
              <w:rPr>
                <w:rFonts w:cs="Arial"/>
                <w:color w:val="000000" w:themeColor="text1"/>
                <w:sz w:val="22"/>
                <w:szCs w:val="22"/>
                <w:lang w:eastAsia="en-GB"/>
              </w:rPr>
              <w:t xml:space="preserve">26,761 </w:t>
            </w:r>
          </w:p>
        </w:tc>
        <w:tc>
          <w:tcPr>
            <w:tcW w:w="1247" w:type="pct"/>
            <w:tcBorders>
              <w:top w:val="nil"/>
              <w:left w:val="nil"/>
              <w:bottom w:val="single" w:sz="4" w:space="0" w:color="auto"/>
              <w:right w:val="single" w:sz="8" w:space="0" w:color="auto"/>
            </w:tcBorders>
            <w:shd w:val="clear" w:color="auto" w:fill="auto"/>
            <w:noWrap/>
            <w:vAlign w:val="bottom"/>
            <w:hideMark/>
          </w:tcPr>
          <w:p w14:paraId="56E98DF3" w14:textId="11A5D5DF" w:rsidR="00F14342" w:rsidRPr="00FF4149" w:rsidRDefault="3568769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4,727 </w:t>
            </w:r>
          </w:p>
        </w:tc>
      </w:tr>
      <w:tr w:rsidR="00F14342" w:rsidRPr="00FF4149" w14:paraId="05AFFC98" w14:textId="77777777" w:rsidTr="3B6BD473">
        <w:trPr>
          <w:trHeight w:val="288"/>
        </w:trPr>
        <w:tc>
          <w:tcPr>
            <w:tcW w:w="2547" w:type="pct"/>
            <w:tcBorders>
              <w:top w:val="nil"/>
              <w:left w:val="single" w:sz="8" w:space="0" w:color="auto"/>
              <w:bottom w:val="single" w:sz="4" w:space="0" w:color="auto"/>
              <w:right w:val="single" w:sz="8" w:space="0" w:color="auto"/>
            </w:tcBorders>
            <w:shd w:val="clear" w:color="auto" w:fill="auto"/>
            <w:noWrap/>
            <w:hideMark/>
          </w:tcPr>
          <w:p w14:paraId="2B1FE735" w14:textId="77777777" w:rsidR="00F14342" w:rsidRPr="00FF4149" w:rsidRDefault="00F14342" w:rsidP="00F1434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FF4149">
              <w:rPr>
                <w:rFonts w:cs="Arial"/>
                <w:color w:val="000000"/>
                <w:sz w:val="22"/>
                <w:szCs w:val="22"/>
                <w:lang w:eastAsia="en-GB"/>
              </w:rPr>
              <w:t>Heating upgrade ASHP*</w:t>
            </w:r>
          </w:p>
        </w:tc>
        <w:tc>
          <w:tcPr>
            <w:tcW w:w="1206" w:type="pct"/>
            <w:tcBorders>
              <w:top w:val="nil"/>
              <w:left w:val="nil"/>
              <w:bottom w:val="single" w:sz="4" w:space="0" w:color="auto"/>
              <w:right w:val="single" w:sz="4" w:space="0" w:color="auto"/>
            </w:tcBorders>
            <w:shd w:val="clear" w:color="auto" w:fill="auto"/>
            <w:noWrap/>
            <w:vAlign w:val="bottom"/>
            <w:hideMark/>
          </w:tcPr>
          <w:p w14:paraId="01F5ABE8" w14:textId="602B99EF" w:rsidR="00F14342" w:rsidRPr="00FF4149" w:rsidRDefault="76FC6F7C"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w:t>
            </w:r>
            <w:r w:rsidR="66D44CCB" w:rsidRPr="3B6BD473">
              <w:rPr>
                <w:rFonts w:cs="Arial"/>
                <w:color w:val="000000" w:themeColor="text1"/>
                <w:sz w:val="22"/>
                <w:szCs w:val="22"/>
                <w:lang w:eastAsia="en-GB"/>
              </w:rPr>
              <w:t xml:space="preserve"> </w:t>
            </w:r>
            <w:r w:rsidR="7C7B93D0" w:rsidRPr="3B6BD473">
              <w:rPr>
                <w:rFonts w:cs="Arial"/>
                <w:color w:val="000000" w:themeColor="text1"/>
                <w:sz w:val="22"/>
                <w:szCs w:val="22"/>
                <w:lang w:eastAsia="en-GB"/>
              </w:rPr>
              <w:t xml:space="preserve"> </w:t>
            </w:r>
            <w:r w:rsidR="5CDAA101" w:rsidRPr="3B6BD473">
              <w:rPr>
                <w:rFonts w:cs="Arial"/>
                <w:color w:val="000000" w:themeColor="text1"/>
                <w:sz w:val="22"/>
                <w:szCs w:val="22"/>
                <w:lang w:eastAsia="en-GB"/>
              </w:rPr>
              <w:t xml:space="preserve"> </w:t>
            </w:r>
            <w:r w:rsidR="3568769D" w:rsidRPr="3B6BD473">
              <w:rPr>
                <w:rFonts w:cs="Arial"/>
                <w:color w:val="000000" w:themeColor="text1"/>
                <w:sz w:val="22"/>
                <w:szCs w:val="22"/>
                <w:lang w:eastAsia="en-GB"/>
              </w:rPr>
              <w:t xml:space="preserve">5,577 </w:t>
            </w:r>
          </w:p>
        </w:tc>
        <w:tc>
          <w:tcPr>
            <w:tcW w:w="1247" w:type="pct"/>
            <w:tcBorders>
              <w:top w:val="nil"/>
              <w:left w:val="nil"/>
              <w:bottom w:val="single" w:sz="4" w:space="0" w:color="auto"/>
              <w:right w:val="single" w:sz="8" w:space="0" w:color="auto"/>
            </w:tcBorders>
            <w:shd w:val="clear" w:color="auto" w:fill="auto"/>
            <w:noWrap/>
            <w:vAlign w:val="bottom"/>
            <w:hideMark/>
          </w:tcPr>
          <w:p w14:paraId="48D099FB" w14:textId="28DD636A" w:rsidR="00F14342" w:rsidRPr="00FF4149" w:rsidRDefault="3568769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     460 </w:t>
            </w:r>
          </w:p>
        </w:tc>
      </w:tr>
      <w:tr w:rsidR="00F14342" w:rsidRPr="00FF4149" w14:paraId="4CBB69D5" w14:textId="77777777" w:rsidTr="3B6BD473">
        <w:trPr>
          <w:trHeight w:val="288"/>
        </w:trPr>
        <w:tc>
          <w:tcPr>
            <w:tcW w:w="2547" w:type="pct"/>
            <w:tcBorders>
              <w:top w:val="nil"/>
              <w:left w:val="single" w:sz="8" w:space="0" w:color="auto"/>
              <w:bottom w:val="single" w:sz="4" w:space="0" w:color="auto"/>
              <w:right w:val="single" w:sz="8" w:space="0" w:color="auto"/>
            </w:tcBorders>
            <w:shd w:val="clear" w:color="auto" w:fill="auto"/>
            <w:noWrap/>
            <w:hideMark/>
          </w:tcPr>
          <w:p w14:paraId="4B7A057F" w14:textId="77777777" w:rsidR="00F14342" w:rsidRPr="00FF4149" w:rsidRDefault="00F14342" w:rsidP="00F1434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FF4149">
              <w:rPr>
                <w:rFonts w:cs="Arial"/>
                <w:color w:val="000000"/>
                <w:sz w:val="22"/>
                <w:szCs w:val="22"/>
                <w:lang w:eastAsia="en-GB"/>
              </w:rPr>
              <w:t>Solar PV</w:t>
            </w:r>
          </w:p>
        </w:tc>
        <w:tc>
          <w:tcPr>
            <w:tcW w:w="1206" w:type="pct"/>
            <w:tcBorders>
              <w:top w:val="nil"/>
              <w:left w:val="nil"/>
              <w:bottom w:val="single" w:sz="4" w:space="0" w:color="auto"/>
              <w:right w:val="single" w:sz="4" w:space="0" w:color="auto"/>
            </w:tcBorders>
            <w:shd w:val="clear" w:color="auto" w:fill="auto"/>
            <w:noWrap/>
            <w:vAlign w:val="bottom"/>
            <w:hideMark/>
          </w:tcPr>
          <w:p w14:paraId="2331AE68" w14:textId="6AE777F0" w:rsidR="00F14342" w:rsidRPr="00FF4149" w:rsidRDefault="3568769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203,319 </w:t>
            </w:r>
          </w:p>
        </w:tc>
        <w:tc>
          <w:tcPr>
            <w:tcW w:w="1247" w:type="pct"/>
            <w:tcBorders>
              <w:top w:val="nil"/>
              <w:left w:val="nil"/>
              <w:bottom w:val="single" w:sz="4" w:space="0" w:color="auto"/>
              <w:right w:val="single" w:sz="8" w:space="0" w:color="auto"/>
            </w:tcBorders>
            <w:shd w:val="clear" w:color="auto" w:fill="auto"/>
            <w:noWrap/>
            <w:vAlign w:val="bottom"/>
            <w:hideMark/>
          </w:tcPr>
          <w:p w14:paraId="43FC9A62" w14:textId="78C04880" w:rsidR="00F14342" w:rsidRPr="00FF4149" w:rsidRDefault="3568769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28,840 </w:t>
            </w:r>
          </w:p>
        </w:tc>
      </w:tr>
      <w:tr w:rsidR="00F14342" w:rsidRPr="00FF4149" w14:paraId="5D08D93C" w14:textId="77777777" w:rsidTr="3B6BD473">
        <w:trPr>
          <w:trHeight w:val="300"/>
        </w:trPr>
        <w:tc>
          <w:tcPr>
            <w:tcW w:w="2547" w:type="pct"/>
            <w:tcBorders>
              <w:top w:val="nil"/>
              <w:left w:val="single" w:sz="8" w:space="0" w:color="auto"/>
              <w:bottom w:val="single" w:sz="8" w:space="0" w:color="auto"/>
              <w:right w:val="single" w:sz="8" w:space="0" w:color="auto"/>
            </w:tcBorders>
            <w:shd w:val="clear" w:color="auto" w:fill="auto"/>
            <w:noWrap/>
            <w:hideMark/>
          </w:tcPr>
          <w:p w14:paraId="4CD7EE1D" w14:textId="77777777" w:rsidR="00F14342" w:rsidRPr="00FF4149" w:rsidRDefault="00F14342" w:rsidP="00F1434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2"/>
                <w:szCs w:val="22"/>
                <w:lang w:eastAsia="en-GB"/>
              </w:rPr>
            </w:pPr>
            <w:r w:rsidRPr="00FF4149">
              <w:rPr>
                <w:rFonts w:cs="Arial"/>
                <w:color w:val="000000"/>
                <w:sz w:val="22"/>
                <w:szCs w:val="22"/>
                <w:lang w:eastAsia="en-GB"/>
              </w:rPr>
              <w:t>Solar Thermal</w:t>
            </w:r>
          </w:p>
        </w:tc>
        <w:tc>
          <w:tcPr>
            <w:tcW w:w="1206" w:type="pct"/>
            <w:tcBorders>
              <w:top w:val="nil"/>
              <w:left w:val="nil"/>
              <w:bottom w:val="single" w:sz="8" w:space="0" w:color="auto"/>
              <w:right w:val="single" w:sz="4" w:space="0" w:color="auto"/>
            </w:tcBorders>
            <w:shd w:val="clear" w:color="auto" w:fill="auto"/>
            <w:noWrap/>
            <w:vAlign w:val="bottom"/>
            <w:hideMark/>
          </w:tcPr>
          <w:p w14:paraId="12D6B14B" w14:textId="3B10967F" w:rsidR="00F14342" w:rsidRPr="00FF4149" w:rsidRDefault="3568769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203,193 </w:t>
            </w:r>
          </w:p>
        </w:tc>
        <w:tc>
          <w:tcPr>
            <w:tcW w:w="1247" w:type="pct"/>
            <w:tcBorders>
              <w:top w:val="nil"/>
              <w:left w:val="nil"/>
              <w:bottom w:val="single" w:sz="8" w:space="0" w:color="auto"/>
              <w:right w:val="single" w:sz="8" w:space="0" w:color="auto"/>
            </w:tcBorders>
            <w:shd w:val="clear" w:color="auto" w:fill="auto"/>
            <w:noWrap/>
            <w:vAlign w:val="bottom"/>
            <w:hideMark/>
          </w:tcPr>
          <w:p w14:paraId="515C4D28" w14:textId="57FEB029" w:rsidR="00F14342" w:rsidRPr="00FF4149" w:rsidRDefault="3568769D" w:rsidP="3B6BD473">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2"/>
                <w:szCs w:val="22"/>
                <w:lang w:eastAsia="en-GB"/>
              </w:rPr>
            </w:pPr>
            <w:r w:rsidRPr="3B6BD473">
              <w:rPr>
                <w:rFonts w:cs="Arial"/>
                <w:color w:val="000000" w:themeColor="text1"/>
                <w:sz w:val="22"/>
                <w:szCs w:val="22"/>
                <w:lang w:eastAsia="en-GB"/>
              </w:rPr>
              <w:t xml:space="preserve">28,892 </w:t>
            </w:r>
          </w:p>
        </w:tc>
      </w:tr>
    </w:tbl>
    <w:p w14:paraId="1A706666" w14:textId="3115639A" w:rsidR="00520105" w:rsidRDefault="00520105" w:rsidP="00F00938">
      <w:pPr>
        <w:spacing w:line="257" w:lineRule="auto"/>
        <w:rPr>
          <w:rFonts w:ascii="Calibri" w:eastAsia="Calibri" w:hAnsi="Calibri" w:cs="Calibri"/>
          <w:sz w:val="22"/>
          <w:szCs w:val="22"/>
        </w:rPr>
      </w:pPr>
    </w:p>
    <w:p w14:paraId="1C609C18" w14:textId="743117F1" w:rsidR="00F00938" w:rsidRDefault="00F00938" w:rsidP="00F00938">
      <w:pPr>
        <w:spacing w:line="257" w:lineRule="auto"/>
        <w:rPr>
          <w:rFonts w:ascii="Calibri" w:eastAsia="Calibri" w:hAnsi="Calibri" w:cs="Calibri"/>
          <w:sz w:val="22"/>
          <w:szCs w:val="22"/>
        </w:rPr>
      </w:pPr>
    </w:p>
    <w:p w14:paraId="41511771" w14:textId="7BC37995" w:rsidR="00F00938" w:rsidRPr="00FF4149" w:rsidRDefault="00F00938" w:rsidP="00F00938">
      <w:pPr>
        <w:spacing w:line="257" w:lineRule="auto"/>
        <w:rPr>
          <w:rFonts w:eastAsia="Calibri" w:cs="Arial"/>
          <w:sz w:val="22"/>
          <w:szCs w:val="22"/>
        </w:rPr>
      </w:pPr>
      <w:r w:rsidRPr="3B6BD473">
        <w:rPr>
          <w:rFonts w:eastAsia="Calibri" w:cs="Arial"/>
          <w:sz w:val="22"/>
          <w:szCs w:val="22"/>
        </w:rPr>
        <w:t xml:space="preserve">*The ASHP opportunity in Table 1 above assumes that the property would not be connected to the gas network in order to be suitable for an Air Source Heat Pump (ASHP). However, this not </w:t>
      </w:r>
      <w:r w:rsidR="00A21AC4" w:rsidRPr="3B6BD473">
        <w:rPr>
          <w:rFonts w:eastAsia="Calibri" w:cs="Arial"/>
          <w:sz w:val="22"/>
          <w:szCs w:val="22"/>
        </w:rPr>
        <w:t>a prerequisite</w:t>
      </w:r>
      <w:r w:rsidRPr="3B6BD473">
        <w:rPr>
          <w:rFonts w:eastAsia="Calibri" w:cs="Arial"/>
          <w:sz w:val="22"/>
          <w:szCs w:val="22"/>
        </w:rPr>
        <w:t xml:space="preserve"> for this scheme where fossil fuel heating installations are not eligible. On this basis the number of likely eligible properties that might theoretically benefit from an ASHP installation is more like </w:t>
      </w:r>
      <w:r w:rsidR="006E6B00" w:rsidRPr="3B6BD473">
        <w:rPr>
          <w:rFonts w:eastAsia="Calibri" w:cs="Arial"/>
          <w:color w:val="000000" w:themeColor="text1"/>
          <w:sz w:val="22"/>
          <w:szCs w:val="22"/>
        </w:rPr>
        <w:t>16</w:t>
      </w:r>
      <w:r w:rsidR="004460DB" w:rsidRPr="3B6BD473">
        <w:rPr>
          <w:rFonts w:eastAsia="Calibri" w:cs="Arial"/>
          <w:color w:val="000000" w:themeColor="text1"/>
          <w:sz w:val="22"/>
          <w:szCs w:val="22"/>
        </w:rPr>
        <w:t>,000</w:t>
      </w:r>
      <w:r w:rsidRPr="3B6BD473">
        <w:rPr>
          <w:rFonts w:eastAsia="Calibri" w:cs="Arial"/>
          <w:color w:val="000000" w:themeColor="text1"/>
          <w:sz w:val="22"/>
          <w:szCs w:val="22"/>
        </w:rPr>
        <w:t xml:space="preserve"> </w:t>
      </w:r>
      <w:r w:rsidRPr="3B6BD473">
        <w:rPr>
          <w:rFonts w:eastAsia="Calibri" w:cs="Arial"/>
          <w:sz w:val="22"/>
          <w:szCs w:val="22"/>
        </w:rPr>
        <w:t>for Solent.</w:t>
      </w:r>
    </w:p>
    <w:p w14:paraId="7AB5668C" w14:textId="77777777" w:rsidR="00F00938" w:rsidRDefault="00F00938" w:rsidP="00312A0A">
      <w:pPr>
        <w:spacing w:after="120"/>
        <w:rPr>
          <w:rFonts w:cs="Arial"/>
          <w:b/>
          <w:szCs w:val="24"/>
          <w:lang w:eastAsia="en-GB"/>
        </w:rPr>
      </w:pPr>
    </w:p>
    <w:sectPr w:rsidR="00F00938"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22AD4" w14:textId="77777777" w:rsidR="007407CC" w:rsidRDefault="007407CC">
      <w:pPr>
        <w:spacing w:line="240" w:lineRule="auto"/>
      </w:pPr>
      <w:r>
        <w:separator/>
      </w:r>
    </w:p>
  </w:endnote>
  <w:endnote w:type="continuationSeparator" w:id="0">
    <w:p w14:paraId="28119336" w14:textId="77777777" w:rsidR="007407CC" w:rsidRDefault="007407CC">
      <w:pPr>
        <w:spacing w:line="240" w:lineRule="auto"/>
      </w:pPr>
      <w:r>
        <w:continuationSeparator/>
      </w:r>
    </w:p>
  </w:endnote>
  <w:endnote w:type="continuationNotice" w:id="1">
    <w:p w14:paraId="28EA7CA7" w14:textId="77777777" w:rsidR="007407CC" w:rsidRDefault="007407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4A0" w:firstRow="1" w:lastRow="0" w:firstColumn="1" w:lastColumn="0" w:noHBand="0" w:noVBand="1"/>
    </w:tblPr>
    <w:tblGrid>
      <w:gridCol w:w="3080"/>
      <w:gridCol w:w="3081"/>
      <w:gridCol w:w="3081"/>
    </w:tblGrid>
    <w:tr w:rsidR="00C92B94" w:rsidRPr="006C2EE3" w14:paraId="3D2B7AAF" w14:textId="77777777" w:rsidTr="008D711B">
      <w:tc>
        <w:tcPr>
          <w:tcW w:w="1666" w:type="pct"/>
          <w:shd w:val="clear" w:color="auto" w:fill="auto"/>
        </w:tcPr>
        <w:p w14:paraId="3D2B7AAC" w14:textId="77777777" w:rsidR="00C92B94" w:rsidRPr="006C2EE3" w:rsidRDefault="00C92B94" w:rsidP="008D711B">
          <w:pPr>
            <w:pStyle w:val="Footer"/>
            <w:jc w:val="right"/>
            <w:rPr>
              <w:rFonts w:cs="Arial"/>
              <w:sz w:val="20"/>
            </w:rPr>
          </w:pPr>
        </w:p>
      </w:tc>
      <w:tc>
        <w:tcPr>
          <w:tcW w:w="1667" w:type="pct"/>
          <w:shd w:val="clear" w:color="auto" w:fill="auto"/>
        </w:tcPr>
        <w:p w14:paraId="3D2B7AAD" w14:textId="77777777" w:rsidR="00C92B94" w:rsidRPr="006C2EE3" w:rsidRDefault="00C92B94" w:rsidP="008D711B">
          <w:pPr>
            <w:pStyle w:val="Footer"/>
            <w:jc w:val="right"/>
            <w:rPr>
              <w:rFonts w:cs="Arial"/>
              <w:sz w:val="20"/>
            </w:rPr>
          </w:pPr>
        </w:p>
      </w:tc>
      <w:tc>
        <w:tcPr>
          <w:tcW w:w="1667" w:type="pct"/>
          <w:shd w:val="clear" w:color="auto" w:fill="auto"/>
        </w:tcPr>
        <w:p w14:paraId="3D2B7AAE" w14:textId="77777777" w:rsidR="00C92B94" w:rsidRPr="006C2EE3" w:rsidRDefault="00C92B94" w:rsidP="008D711B">
          <w:pPr>
            <w:pStyle w:val="Footer"/>
            <w:jc w:val="right"/>
            <w:rPr>
              <w:rFonts w:cs="Arial"/>
              <w:sz w:val="20"/>
            </w:rPr>
          </w:pPr>
        </w:p>
      </w:tc>
    </w:tr>
    <w:tr w:rsidR="00C92B94" w:rsidRPr="006C2EE3" w14:paraId="3D2B7AB3" w14:textId="77777777" w:rsidTr="008D711B">
      <w:tc>
        <w:tcPr>
          <w:tcW w:w="1666" w:type="pct"/>
          <w:shd w:val="clear" w:color="auto" w:fill="auto"/>
        </w:tcPr>
        <w:p w14:paraId="3D2B7AB0" w14:textId="77777777" w:rsidR="00C92B94" w:rsidRPr="006C2EE3" w:rsidRDefault="00C92B94" w:rsidP="008D711B">
          <w:pPr>
            <w:pStyle w:val="Footer"/>
            <w:tabs>
              <w:tab w:val="left" w:pos="705"/>
            </w:tabs>
            <w:rPr>
              <w:rFonts w:cs="Arial"/>
              <w:sz w:val="20"/>
            </w:rPr>
          </w:pPr>
        </w:p>
      </w:tc>
      <w:tc>
        <w:tcPr>
          <w:tcW w:w="1667" w:type="pct"/>
          <w:shd w:val="clear" w:color="auto" w:fill="auto"/>
        </w:tcPr>
        <w:p w14:paraId="3D2B7AB1" w14:textId="77777777" w:rsidR="00C92B94" w:rsidRPr="006C2EE3" w:rsidRDefault="00C92B94" w:rsidP="008D711B">
          <w:pPr>
            <w:pStyle w:val="Footer"/>
            <w:jc w:val="center"/>
            <w:rPr>
              <w:rFonts w:cs="Arial"/>
              <w:sz w:val="20"/>
            </w:rPr>
          </w:pPr>
          <w:r w:rsidRPr="006C2EE3">
            <w:rPr>
              <w:rFonts w:cs="Arial"/>
              <w:sz w:val="20"/>
            </w:rPr>
            <w:fldChar w:fldCharType="begin"/>
          </w:r>
          <w:r w:rsidRPr="006C2EE3">
            <w:rPr>
              <w:rFonts w:cs="Arial"/>
              <w:sz w:val="20"/>
            </w:rPr>
            <w:instrText xml:space="preserve"> PAGE  \* Arabic  \* MERGEFORMAT </w:instrText>
          </w:r>
          <w:r w:rsidRPr="006C2EE3">
            <w:rPr>
              <w:rFonts w:cs="Arial"/>
              <w:sz w:val="20"/>
            </w:rPr>
            <w:fldChar w:fldCharType="separate"/>
          </w:r>
          <w:r w:rsidR="007C4CF8">
            <w:rPr>
              <w:rFonts w:cs="Arial"/>
              <w:noProof/>
              <w:sz w:val="20"/>
            </w:rPr>
            <w:t>1</w:t>
          </w:r>
          <w:r w:rsidRPr="006C2EE3">
            <w:rPr>
              <w:rFonts w:cs="Arial"/>
              <w:sz w:val="20"/>
            </w:rPr>
            <w:fldChar w:fldCharType="end"/>
          </w:r>
          <w:r w:rsidRPr="006C2EE3">
            <w:rPr>
              <w:rFonts w:cs="Arial"/>
              <w:sz w:val="20"/>
            </w:rPr>
            <w:t xml:space="preserve"> of </w:t>
          </w:r>
          <w:r w:rsidRPr="006C2EE3">
            <w:rPr>
              <w:rFonts w:cs="Arial"/>
              <w:sz w:val="20"/>
            </w:rPr>
            <w:fldChar w:fldCharType="begin"/>
          </w:r>
          <w:r w:rsidRPr="006C2EE3">
            <w:rPr>
              <w:rFonts w:cs="Arial"/>
              <w:sz w:val="20"/>
            </w:rPr>
            <w:instrText xml:space="preserve"> NUMPAGES  \* Arabic  \* MERGEFORMAT </w:instrText>
          </w:r>
          <w:r w:rsidRPr="006C2EE3">
            <w:rPr>
              <w:rFonts w:cs="Arial"/>
              <w:sz w:val="20"/>
            </w:rPr>
            <w:fldChar w:fldCharType="separate"/>
          </w:r>
          <w:r w:rsidR="007C4CF8">
            <w:rPr>
              <w:rFonts w:cs="Arial"/>
              <w:noProof/>
              <w:sz w:val="20"/>
            </w:rPr>
            <w:t>1</w:t>
          </w:r>
          <w:r w:rsidRPr="006C2EE3">
            <w:rPr>
              <w:rFonts w:cs="Arial"/>
              <w:sz w:val="20"/>
            </w:rPr>
            <w:fldChar w:fldCharType="end"/>
          </w:r>
        </w:p>
      </w:tc>
      <w:tc>
        <w:tcPr>
          <w:tcW w:w="1667" w:type="pct"/>
          <w:shd w:val="clear" w:color="auto" w:fill="auto"/>
        </w:tcPr>
        <w:p w14:paraId="3D2B7AB2" w14:textId="77777777" w:rsidR="00C92B94" w:rsidRPr="006C2EE3" w:rsidRDefault="00C92B94" w:rsidP="008D711B">
          <w:pPr>
            <w:pStyle w:val="Footer"/>
            <w:jc w:val="right"/>
            <w:rPr>
              <w:rFonts w:cs="Arial"/>
              <w:sz w:val="20"/>
            </w:rPr>
          </w:pPr>
          <w:r>
            <w:rPr>
              <w:rFonts w:cs="Arial"/>
              <w:sz w:val="20"/>
            </w:rPr>
            <w:t>Introduction</w:t>
          </w:r>
        </w:p>
      </w:tc>
    </w:tr>
  </w:tbl>
  <w:p w14:paraId="3D2B7AB4" w14:textId="77777777" w:rsidR="00C92B94" w:rsidRPr="0067486A" w:rsidRDefault="00C92B9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251B2" w14:textId="77777777" w:rsidR="007407CC" w:rsidRDefault="007407CC">
      <w:pPr>
        <w:spacing w:line="240" w:lineRule="auto"/>
      </w:pPr>
      <w:r>
        <w:separator/>
      </w:r>
    </w:p>
  </w:footnote>
  <w:footnote w:type="continuationSeparator" w:id="0">
    <w:p w14:paraId="3A06E1A3" w14:textId="77777777" w:rsidR="007407CC" w:rsidRDefault="007407CC">
      <w:pPr>
        <w:spacing w:line="240" w:lineRule="auto"/>
      </w:pPr>
      <w:r>
        <w:continuationSeparator/>
      </w:r>
    </w:p>
  </w:footnote>
  <w:footnote w:type="continuationNotice" w:id="1">
    <w:p w14:paraId="034297C7" w14:textId="77777777" w:rsidR="007407CC" w:rsidRDefault="007407C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5022"/>
      <w:gridCol w:w="4220"/>
    </w:tblGrid>
    <w:tr w:rsidR="00C92B94" w:rsidRPr="006C2EE3" w14:paraId="3D2B7AA6" w14:textId="77777777" w:rsidTr="00267725">
      <w:tc>
        <w:tcPr>
          <w:tcW w:w="2717" w:type="pct"/>
          <w:shd w:val="clear" w:color="auto" w:fill="auto"/>
        </w:tcPr>
        <w:p w14:paraId="3D2B7AA4" w14:textId="7195075A" w:rsidR="00C92B94" w:rsidRPr="006C2EE3" w:rsidRDefault="00033295" w:rsidP="008D711B">
          <w:pPr>
            <w:pStyle w:val="Header"/>
            <w:tabs>
              <w:tab w:val="center" w:pos="4500"/>
            </w:tabs>
            <w:jc w:val="left"/>
            <w:rPr>
              <w:rFonts w:cs="Arial"/>
              <w:sz w:val="20"/>
            </w:rPr>
          </w:pPr>
          <w:r>
            <w:rPr>
              <w:rFonts w:cs="Arial"/>
              <w:sz w:val="20"/>
            </w:rPr>
            <w:t>LADs2 – South West Energy Hub</w:t>
          </w:r>
        </w:p>
      </w:tc>
      <w:tc>
        <w:tcPr>
          <w:tcW w:w="2283" w:type="pct"/>
          <w:shd w:val="clear" w:color="auto" w:fill="auto"/>
        </w:tcPr>
        <w:p w14:paraId="3D2B7AA5" w14:textId="066DA192" w:rsidR="00C92B94" w:rsidRPr="006C2EE3" w:rsidRDefault="00C92B94" w:rsidP="00413035">
          <w:pPr>
            <w:pStyle w:val="Header"/>
            <w:tabs>
              <w:tab w:val="center" w:pos="4500"/>
            </w:tabs>
            <w:jc w:val="right"/>
            <w:rPr>
              <w:rFonts w:cs="Arial"/>
              <w:sz w:val="20"/>
            </w:rPr>
          </w:pPr>
        </w:p>
      </w:tc>
    </w:tr>
    <w:tr w:rsidR="00C92B94" w:rsidRPr="006C2EE3" w14:paraId="3D2B7AA9" w14:textId="77777777" w:rsidTr="00267725">
      <w:tc>
        <w:tcPr>
          <w:tcW w:w="2717" w:type="pct"/>
          <w:tcBorders>
            <w:bottom w:val="single" w:sz="4" w:space="0" w:color="auto"/>
          </w:tcBorders>
          <w:shd w:val="clear" w:color="auto" w:fill="auto"/>
        </w:tcPr>
        <w:p w14:paraId="3D2B7AA7" w14:textId="77777777" w:rsidR="00C92B94" w:rsidRPr="001035AF" w:rsidRDefault="00C92B94" w:rsidP="008D711B">
          <w:pPr>
            <w:pStyle w:val="Header"/>
            <w:tabs>
              <w:tab w:val="center" w:pos="4500"/>
            </w:tabs>
            <w:jc w:val="left"/>
            <w:rPr>
              <w:rFonts w:cs="Arial"/>
              <w:b/>
              <w:sz w:val="20"/>
            </w:rPr>
          </w:pPr>
        </w:p>
      </w:tc>
      <w:tc>
        <w:tcPr>
          <w:tcW w:w="2283" w:type="pct"/>
          <w:tcBorders>
            <w:bottom w:val="single" w:sz="4" w:space="0" w:color="auto"/>
          </w:tcBorders>
          <w:shd w:val="clear" w:color="auto" w:fill="auto"/>
        </w:tcPr>
        <w:p w14:paraId="3D2B7AA8" w14:textId="532F3E3C" w:rsidR="00C92B94" w:rsidRPr="006C2EE3" w:rsidRDefault="00C92B94" w:rsidP="00413035">
          <w:pPr>
            <w:pStyle w:val="Header"/>
            <w:tabs>
              <w:tab w:val="left" w:pos="3435"/>
              <w:tab w:val="right" w:pos="4405"/>
              <w:tab w:val="center" w:pos="4500"/>
            </w:tabs>
            <w:jc w:val="right"/>
            <w:rPr>
              <w:rFonts w:cs="Arial"/>
              <w:sz w:val="20"/>
            </w:rPr>
          </w:pPr>
          <w:r>
            <w:rPr>
              <w:rFonts w:cs="Arial"/>
              <w:sz w:val="20"/>
            </w:rPr>
            <w:fldChar w:fldCharType="begin"/>
          </w:r>
          <w:r>
            <w:rPr>
              <w:rFonts w:cs="Arial"/>
              <w:sz w:val="20"/>
            </w:rPr>
            <w:instrText xml:space="preserve"> DATE   \* MERGEFORMAT </w:instrText>
          </w:r>
          <w:r>
            <w:rPr>
              <w:rFonts w:cs="Arial"/>
              <w:sz w:val="20"/>
            </w:rPr>
            <w:fldChar w:fldCharType="separate"/>
          </w:r>
          <w:r w:rsidR="008D29B4">
            <w:rPr>
              <w:rFonts w:cs="Arial"/>
              <w:noProof/>
              <w:sz w:val="20"/>
            </w:rPr>
            <w:t>04/03/2021</w:t>
          </w:r>
          <w:r>
            <w:rPr>
              <w:rFonts w:cs="Arial"/>
              <w:sz w:val="20"/>
            </w:rPr>
            <w:fldChar w:fldCharType="end"/>
          </w:r>
        </w:p>
      </w:tc>
    </w:tr>
  </w:tbl>
  <w:p w14:paraId="3D2B7AAA" w14:textId="77777777" w:rsidR="00C92B94" w:rsidRPr="00413035" w:rsidRDefault="00C92B94" w:rsidP="00413035">
    <w:pPr>
      <w:pStyle w:val="Header"/>
      <w:rPr>
        <w:sz w:val="20"/>
      </w:rPr>
    </w:pPr>
  </w:p>
</w:hdr>
</file>

<file path=word/intelligence.xml><?xml version="1.0" encoding="utf-8"?>
<int:Intelligence xmlns:int="http://schemas.microsoft.com/office/intelligence/2019/intelligence">
  <int:IntelligenceSettings/>
  <int:Manifest>
    <int:WordHash hashCode="O/T20x4OM8b/J3" id="toXjzBdD"/>
    <int:WordHash hashCode="3n5n6b4bLLjh7c" id="4gnpsETD"/>
    <int:WordHash hashCode="z2uG87MxFHU9nK" id="Gawuzwnd"/>
    <int:WordHash hashCode="N3Drq9vn3LV9qC" id="aLnixlld"/>
    <int:WordHash hashCode="SMAqQdWzJxUn1U" id="i5GEWxeo"/>
    <int:WordHash hashCode="e0dMsLOcF3PXGS" id="gdf898HG"/>
    <int:WordHash hashCode="ep+ZcBSkKZQQvz" id="QCODmhs6"/>
    <int:WordHash hashCode="A/RfA7zOdx3iNa" id="+qtk/Gte"/>
    <int:WordHash hashCode="G+11aU3u3l5EgF" id="Gjpx1XEA"/>
    <int:WordHash hashCode="++hjkJP5t0vjX9" id="qSQm7LNI"/>
    <int:WordHash hashCode="mnzljDnvzSAC0q" id="R550dJMz"/>
    <int:WordHash hashCode="WoqWc97zVviShV" id="sTnulhw7"/>
  </int:Manifest>
  <int:Observations>
    <int:Content id="toXjzBdD">
      <int:Rejection type="AugLoop_Text_Critique"/>
    </int:Content>
    <int:Content id="4gnpsETD">
      <int:Rejection type="AugLoop_Text_Critique"/>
    </int:Content>
    <int:Content id="Gawuzwnd">
      <int:Rejection type="AugLoop_Text_Critique"/>
    </int:Content>
    <int:Content id="aLnixlld">
      <int:Rejection type="AugLoop_Text_Critique"/>
    </int:Content>
    <int:Content id="i5GEWxeo">
      <int:Rejection type="AugLoop_Text_Critique"/>
    </int:Content>
    <int:Content id="gdf898HG">
      <int:Rejection type="AugLoop_Text_Critique"/>
    </int:Content>
    <int:Content id="QCODmhs6">
      <int:Rejection type="AugLoop_Text_Critique"/>
    </int:Content>
    <int:Content id="+qtk/Gte">
      <int:Rejection type="AugLoop_Text_Critique"/>
    </int:Content>
    <int:Content id="Gjpx1XEA">
      <int:Rejection type="AugLoop_Text_Critique"/>
    </int:Content>
    <int:Content id="qSQm7LNI">
      <int:Rejection type="AugLoop_Text_Critique"/>
    </int:Content>
    <int:Content id="R550dJMz">
      <int:Rejection type="AugLoop_Text_Critique"/>
    </int:Content>
    <int:Content id="sTnulhw7">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15BBD"/>
    <w:multiLevelType w:val="hybridMultilevel"/>
    <w:tmpl w:val="FFFFFFFF"/>
    <w:lvl w:ilvl="0" w:tplc="49F810CE">
      <w:start w:val="1"/>
      <w:numFmt w:val="bullet"/>
      <w:lvlText w:val=""/>
      <w:lvlJc w:val="left"/>
      <w:pPr>
        <w:ind w:left="720" w:hanging="360"/>
      </w:pPr>
      <w:rPr>
        <w:rFonts w:ascii="Symbol" w:hAnsi="Symbol" w:hint="default"/>
      </w:rPr>
    </w:lvl>
    <w:lvl w:ilvl="1" w:tplc="0F12AAF8">
      <w:start w:val="1"/>
      <w:numFmt w:val="bullet"/>
      <w:lvlText w:val=""/>
      <w:lvlJc w:val="left"/>
      <w:pPr>
        <w:ind w:left="1440" w:hanging="360"/>
      </w:pPr>
      <w:rPr>
        <w:rFonts w:ascii="Symbol" w:hAnsi="Symbol" w:hint="default"/>
      </w:rPr>
    </w:lvl>
    <w:lvl w:ilvl="2" w:tplc="97FE6128">
      <w:start w:val="1"/>
      <w:numFmt w:val="bullet"/>
      <w:lvlText w:val=""/>
      <w:lvlJc w:val="left"/>
      <w:pPr>
        <w:ind w:left="2160" w:hanging="360"/>
      </w:pPr>
      <w:rPr>
        <w:rFonts w:ascii="Wingdings" w:hAnsi="Wingdings" w:hint="default"/>
      </w:rPr>
    </w:lvl>
    <w:lvl w:ilvl="3" w:tplc="DAC68E88">
      <w:start w:val="1"/>
      <w:numFmt w:val="bullet"/>
      <w:lvlText w:val=""/>
      <w:lvlJc w:val="left"/>
      <w:pPr>
        <w:ind w:left="2880" w:hanging="360"/>
      </w:pPr>
      <w:rPr>
        <w:rFonts w:ascii="Symbol" w:hAnsi="Symbol" w:hint="default"/>
      </w:rPr>
    </w:lvl>
    <w:lvl w:ilvl="4" w:tplc="737CBCEE">
      <w:start w:val="1"/>
      <w:numFmt w:val="bullet"/>
      <w:lvlText w:val="o"/>
      <w:lvlJc w:val="left"/>
      <w:pPr>
        <w:ind w:left="3600" w:hanging="360"/>
      </w:pPr>
      <w:rPr>
        <w:rFonts w:ascii="Courier New" w:hAnsi="Courier New" w:hint="default"/>
      </w:rPr>
    </w:lvl>
    <w:lvl w:ilvl="5" w:tplc="72663ECE">
      <w:start w:val="1"/>
      <w:numFmt w:val="bullet"/>
      <w:lvlText w:val=""/>
      <w:lvlJc w:val="left"/>
      <w:pPr>
        <w:ind w:left="4320" w:hanging="360"/>
      </w:pPr>
      <w:rPr>
        <w:rFonts w:ascii="Wingdings" w:hAnsi="Wingdings" w:hint="default"/>
      </w:rPr>
    </w:lvl>
    <w:lvl w:ilvl="6" w:tplc="D58ABEA8">
      <w:start w:val="1"/>
      <w:numFmt w:val="bullet"/>
      <w:lvlText w:val=""/>
      <w:lvlJc w:val="left"/>
      <w:pPr>
        <w:ind w:left="5040" w:hanging="360"/>
      </w:pPr>
      <w:rPr>
        <w:rFonts w:ascii="Symbol" w:hAnsi="Symbol" w:hint="default"/>
      </w:rPr>
    </w:lvl>
    <w:lvl w:ilvl="7" w:tplc="EAD0CF36">
      <w:start w:val="1"/>
      <w:numFmt w:val="bullet"/>
      <w:lvlText w:val="o"/>
      <w:lvlJc w:val="left"/>
      <w:pPr>
        <w:ind w:left="5760" w:hanging="360"/>
      </w:pPr>
      <w:rPr>
        <w:rFonts w:ascii="Courier New" w:hAnsi="Courier New" w:hint="default"/>
      </w:rPr>
    </w:lvl>
    <w:lvl w:ilvl="8" w:tplc="EBE694E2">
      <w:start w:val="1"/>
      <w:numFmt w:val="bullet"/>
      <w:lvlText w:val=""/>
      <w:lvlJc w:val="left"/>
      <w:pPr>
        <w:ind w:left="6480" w:hanging="360"/>
      </w:pPr>
      <w:rPr>
        <w:rFonts w:ascii="Wingdings" w:hAnsi="Wingdings" w:hint="default"/>
      </w:rPr>
    </w:lvl>
  </w:abstractNum>
  <w:abstractNum w:abstractNumId="2" w15:restartNumberingAfterBreak="0">
    <w:nsid w:val="00172A0F"/>
    <w:multiLevelType w:val="hybridMultilevel"/>
    <w:tmpl w:val="53BE1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18567D6"/>
    <w:multiLevelType w:val="hybridMultilevel"/>
    <w:tmpl w:val="095AFB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91392C"/>
    <w:multiLevelType w:val="hybridMultilevel"/>
    <w:tmpl w:val="1F8A3E4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05B63FC2"/>
    <w:multiLevelType w:val="hybridMultilevel"/>
    <w:tmpl w:val="7B64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31640"/>
    <w:multiLevelType w:val="hybridMultilevel"/>
    <w:tmpl w:val="8D7C3F94"/>
    <w:lvl w:ilvl="0" w:tplc="08090017">
      <w:start w:val="1"/>
      <w:numFmt w:val="lowerLetter"/>
      <w:lvlText w:val="%1)"/>
      <w:lvlJc w:val="lef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0EA17AAE"/>
    <w:multiLevelType w:val="hybridMultilevel"/>
    <w:tmpl w:val="7E68D2F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151740CB"/>
    <w:multiLevelType w:val="multilevel"/>
    <w:tmpl w:val="ECC4C06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170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3527D7"/>
    <w:multiLevelType w:val="hybridMultilevel"/>
    <w:tmpl w:val="2FBE0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000C1C"/>
    <w:multiLevelType w:val="hybridMultilevel"/>
    <w:tmpl w:val="6E96FF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78A36C9"/>
    <w:multiLevelType w:val="multilevel"/>
    <w:tmpl w:val="3DEE554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2" w15:restartNumberingAfterBreak="0">
    <w:nsid w:val="1A805155"/>
    <w:multiLevelType w:val="multilevel"/>
    <w:tmpl w:val="E55EF36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bullet"/>
      <w:lvlText w:val=""/>
      <w:lvlJc w:val="left"/>
      <w:pPr>
        <w:ind w:left="1021" w:hanging="1021"/>
      </w:pPr>
      <w:rPr>
        <w:rFonts w:ascii="Symbol" w:hAnsi="Symbol"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1ADC0DCA"/>
    <w:multiLevelType w:val="hybridMultilevel"/>
    <w:tmpl w:val="860870CE"/>
    <w:lvl w:ilvl="0" w:tplc="D6622680">
      <w:start w:val="1"/>
      <w:numFmt w:val="lowerLetter"/>
      <w:lvlText w:val="(%1.)"/>
      <w:lvlJc w:val="right"/>
      <w:pPr>
        <w:tabs>
          <w:tab w:val="num" w:pos="1307"/>
        </w:tabs>
        <w:ind w:left="1707" w:hanging="400"/>
      </w:pPr>
      <w:rPr>
        <w:rFonts w:hint="default"/>
        <w:b w:val="0"/>
        <w:color w:val="auto"/>
      </w:rPr>
    </w:lvl>
    <w:lvl w:ilvl="1" w:tplc="08090019" w:tentative="1">
      <w:start w:val="1"/>
      <w:numFmt w:val="lowerLetter"/>
      <w:lvlText w:val="%2."/>
      <w:lvlJc w:val="left"/>
      <w:pPr>
        <w:tabs>
          <w:tab w:val="num" w:pos="2067"/>
        </w:tabs>
        <w:ind w:left="2067" w:hanging="360"/>
      </w:pPr>
    </w:lvl>
    <w:lvl w:ilvl="2" w:tplc="0809001B" w:tentative="1">
      <w:start w:val="1"/>
      <w:numFmt w:val="lowerRoman"/>
      <w:lvlText w:val="%3."/>
      <w:lvlJc w:val="right"/>
      <w:pPr>
        <w:tabs>
          <w:tab w:val="num" w:pos="2787"/>
        </w:tabs>
        <w:ind w:left="2787" w:hanging="180"/>
      </w:pPr>
    </w:lvl>
    <w:lvl w:ilvl="3" w:tplc="0809000F" w:tentative="1">
      <w:start w:val="1"/>
      <w:numFmt w:val="decimal"/>
      <w:lvlText w:val="%4."/>
      <w:lvlJc w:val="left"/>
      <w:pPr>
        <w:tabs>
          <w:tab w:val="num" w:pos="3507"/>
        </w:tabs>
        <w:ind w:left="3507" w:hanging="360"/>
      </w:pPr>
    </w:lvl>
    <w:lvl w:ilvl="4" w:tplc="08090019" w:tentative="1">
      <w:start w:val="1"/>
      <w:numFmt w:val="lowerLetter"/>
      <w:lvlText w:val="%5."/>
      <w:lvlJc w:val="left"/>
      <w:pPr>
        <w:tabs>
          <w:tab w:val="num" w:pos="4227"/>
        </w:tabs>
        <w:ind w:left="4227" w:hanging="360"/>
      </w:pPr>
    </w:lvl>
    <w:lvl w:ilvl="5" w:tplc="0809001B" w:tentative="1">
      <w:start w:val="1"/>
      <w:numFmt w:val="lowerRoman"/>
      <w:lvlText w:val="%6."/>
      <w:lvlJc w:val="right"/>
      <w:pPr>
        <w:tabs>
          <w:tab w:val="num" w:pos="4947"/>
        </w:tabs>
        <w:ind w:left="4947" w:hanging="180"/>
      </w:pPr>
    </w:lvl>
    <w:lvl w:ilvl="6" w:tplc="0809000F" w:tentative="1">
      <w:start w:val="1"/>
      <w:numFmt w:val="decimal"/>
      <w:lvlText w:val="%7."/>
      <w:lvlJc w:val="left"/>
      <w:pPr>
        <w:tabs>
          <w:tab w:val="num" w:pos="5667"/>
        </w:tabs>
        <w:ind w:left="5667" w:hanging="360"/>
      </w:pPr>
    </w:lvl>
    <w:lvl w:ilvl="7" w:tplc="08090019" w:tentative="1">
      <w:start w:val="1"/>
      <w:numFmt w:val="lowerLetter"/>
      <w:lvlText w:val="%8."/>
      <w:lvlJc w:val="left"/>
      <w:pPr>
        <w:tabs>
          <w:tab w:val="num" w:pos="6387"/>
        </w:tabs>
        <w:ind w:left="6387" w:hanging="360"/>
      </w:pPr>
    </w:lvl>
    <w:lvl w:ilvl="8" w:tplc="0809001B" w:tentative="1">
      <w:start w:val="1"/>
      <w:numFmt w:val="lowerRoman"/>
      <w:lvlText w:val="%9."/>
      <w:lvlJc w:val="right"/>
      <w:pPr>
        <w:tabs>
          <w:tab w:val="num" w:pos="7107"/>
        </w:tabs>
        <w:ind w:left="7107" w:hanging="180"/>
      </w:pPr>
    </w:lvl>
  </w:abstractNum>
  <w:abstractNum w:abstractNumId="14" w15:restartNumberingAfterBreak="0">
    <w:nsid w:val="260F4DE3"/>
    <w:multiLevelType w:val="hybridMultilevel"/>
    <w:tmpl w:val="693483D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28EB6E86"/>
    <w:multiLevelType w:val="hybridMultilevel"/>
    <w:tmpl w:val="095AFB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F50432"/>
    <w:multiLevelType w:val="hybridMultilevel"/>
    <w:tmpl w:val="345612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0BF3EF7"/>
    <w:multiLevelType w:val="hybridMultilevel"/>
    <w:tmpl w:val="F012A32E"/>
    <w:lvl w:ilvl="0" w:tplc="08090001">
      <w:start w:val="1"/>
      <w:numFmt w:val="bullet"/>
      <w:lvlText w:val=""/>
      <w:lvlJc w:val="left"/>
      <w:pPr>
        <w:ind w:left="1854" w:hanging="360"/>
      </w:pPr>
      <w:rPr>
        <w:rFonts w:ascii="Symbol" w:hAnsi="Symbol"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2866BB2"/>
    <w:multiLevelType w:val="hybridMultilevel"/>
    <w:tmpl w:val="EA9051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4194FD2"/>
    <w:multiLevelType w:val="hybridMultilevel"/>
    <w:tmpl w:val="002857CA"/>
    <w:lvl w:ilvl="0" w:tplc="99EEB07C">
      <w:start w:val="1"/>
      <w:numFmt w:val="lowerLetter"/>
      <w:lvlText w:val="(%1.)"/>
      <w:lvlJc w:val="righ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7A56D6C"/>
    <w:multiLevelType w:val="hybridMultilevel"/>
    <w:tmpl w:val="3540292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3CD7559E"/>
    <w:multiLevelType w:val="multilevel"/>
    <w:tmpl w:val="7312064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2" w15:restartNumberingAfterBreak="0">
    <w:nsid w:val="3DAB1AFB"/>
    <w:multiLevelType w:val="hybridMultilevel"/>
    <w:tmpl w:val="705606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E191169"/>
    <w:multiLevelType w:val="hybridMultilevel"/>
    <w:tmpl w:val="141832F0"/>
    <w:lvl w:ilvl="0" w:tplc="7BAC1CF0">
      <w:start w:val="1"/>
      <w:numFmt w:val="bullet"/>
      <w:lvlText w:val=""/>
      <w:lvlJc w:val="left"/>
      <w:pPr>
        <w:ind w:left="720" w:hanging="360"/>
      </w:pPr>
      <w:rPr>
        <w:rFonts w:ascii="Symbol" w:hAnsi="Symbol" w:hint="default"/>
      </w:rPr>
    </w:lvl>
    <w:lvl w:ilvl="1" w:tplc="A44A50F4">
      <w:start w:val="1"/>
      <w:numFmt w:val="bullet"/>
      <w:lvlText w:val=""/>
      <w:lvlJc w:val="left"/>
      <w:pPr>
        <w:ind w:left="1440" w:hanging="360"/>
      </w:pPr>
      <w:rPr>
        <w:rFonts w:ascii="Symbol" w:hAnsi="Symbol" w:hint="default"/>
      </w:rPr>
    </w:lvl>
    <w:lvl w:ilvl="2" w:tplc="300A4396">
      <w:start w:val="1"/>
      <w:numFmt w:val="bullet"/>
      <w:lvlText w:val=""/>
      <w:lvlJc w:val="left"/>
      <w:pPr>
        <w:ind w:left="2160" w:hanging="360"/>
      </w:pPr>
      <w:rPr>
        <w:rFonts w:ascii="Wingdings" w:hAnsi="Wingdings" w:hint="default"/>
      </w:rPr>
    </w:lvl>
    <w:lvl w:ilvl="3" w:tplc="62DE63E0">
      <w:start w:val="1"/>
      <w:numFmt w:val="bullet"/>
      <w:lvlText w:val=""/>
      <w:lvlJc w:val="left"/>
      <w:pPr>
        <w:ind w:left="2880" w:hanging="360"/>
      </w:pPr>
      <w:rPr>
        <w:rFonts w:ascii="Symbol" w:hAnsi="Symbol" w:hint="default"/>
      </w:rPr>
    </w:lvl>
    <w:lvl w:ilvl="4" w:tplc="170CA964">
      <w:start w:val="1"/>
      <w:numFmt w:val="bullet"/>
      <w:lvlText w:val="o"/>
      <w:lvlJc w:val="left"/>
      <w:pPr>
        <w:ind w:left="3600" w:hanging="360"/>
      </w:pPr>
      <w:rPr>
        <w:rFonts w:ascii="Courier New" w:hAnsi="Courier New" w:hint="default"/>
      </w:rPr>
    </w:lvl>
    <w:lvl w:ilvl="5" w:tplc="F13E8BBC">
      <w:start w:val="1"/>
      <w:numFmt w:val="bullet"/>
      <w:lvlText w:val=""/>
      <w:lvlJc w:val="left"/>
      <w:pPr>
        <w:ind w:left="4320" w:hanging="360"/>
      </w:pPr>
      <w:rPr>
        <w:rFonts w:ascii="Wingdings" w:hAnsi="Wingdings" w:hint="default"/>
      </w:rPr>
    </w:lvl>
    <w:lvl w:ilvl="6" w:tplc="49A24ED0">
      <w:start w:val="1"/>
      <w:numFmt w:val="bullet"/>
      <w:lvlText w:val=""/>
      <w:lvlJc w:val="left"/>
      <w:pPr>
        <w:ind w:left="5040" w:hanging="360"/>
      </w:pPr>
      <w:rPr>
        <w:rFonts w:ascii="Symbol" w:hAnsi="Symbol" w:hint="default"/>
      </w:rPr>
    </w:lvl>
    <w:lvl w:ilvl="7" w:tplc="FD08CBA0">
      <w:start w:val="1"/>
      <w:numFmt w:val="bullet"/>
      <w:lvlText w:val="o"/>
      <w:lvlJc w:val="left"/>
      <w:pPr>
        <w:ind w:left="5760" w:hanging="360"/>
      </w:pPr>
      <w:rPr>
        <w:rFonts w:ascii="Courier New" w:hAnsi="Courier New" w:hint="default"/>
      </w:rPr>
    </w:lvl>
    <w:lvl w:ilvl="8" w:tplc="76980B34">
      <w:start w:val="1"/>
      <w:numFmt w:val="bullet"/>
      <w:lvlText w:val=""/>
      <w:lvlJc w:val="left"/>
      <w:pPr>
        <w:ind w:left="6480" w:hanging="360"/>
      </w:pPr>
      <w:rPr>
        <w:rFonts w:ascii="Wingdings" w:hAnsi="Wingdings" w:hint="default"/>
      </w:rPr>
    </w:lvl>
  </w:abstractNum>
  <w:abstractNum w:abstractNumId="24" w15:restartNumberingAfterBreak="0">
    <w:nsid w:val="3E5C0F96"/>
    <w:multiLevelType w:val="hybridMultilevel"/>
    <w:tmpl w:val="2F48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A12628"/>
    <w:multiLevelType w:val="hybridMultilevel"/>
    <w:tmpl w:val="1FDEE8F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44A12476"/>
    <w:multiLevelType w:val="multilevel"/>
    <w:tmpl w:val="444A2CBC"/>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7" w15:restartNumberingAfterBreak="0">
    <w:nsid w:val="457431D5"/>
    <w:multiLevelType w:val="hybridMultilevel"/>
    <w:tmpl w:val="8678405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56E30F60"/>
    <w:multiLevelType w:val="hybridMultilevel"/>
    <w:tmpl w:val="002857CA"/>
    <w:lvl w:ilvl="0" w:tplc="99EEB07C">
      <w:start w:val="1"/>
      <w:numFmt w:val="lowerLetter"/>
      <w:lvlText w:val="(%1.)"/>
      <w:lvlJc w:val="righ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94E3E5D"/>
    <w:multiLevelType w:val="hybridMultilevel"/>
    <w:tmpl w:val="002857CA"/>
    <w:lvl w:ilvl="0" w:tplc="99EEB07C">
      <w:start w:val="1"/>
      <w:numFmt w:val="lowerLetter"/>
      <w:lvlText w:val="(%1.)"/>
      <w:lvlJc w:val="righ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9B240A1"/>
    <w:multiLevelType w:val="hybridMultilevel"/>
    <w:tmpl w:val="860870CE"/>
    <w:lvl w:ilvl="0" w:tplc="D6622680">
      <w:start w:val="1"/>
      <w:numFmt w:val="lowerLetter"/>
      <w:lvlText w:val="(%1.)"/>
      <w:lvlJc w:val="right"/>
      <w:pPr>
        <w:tabs>
          <w:tab w:val="num" w:pos="1307"/>
        </w:tabs>
        <w:ind w:left="1707" w:hanging="400"/>
      </w:pPr>
      <w:rPr>
        <w:rFonts w:hint="default"/>
        <w:b w:val="0"/>
        <w:color w:val="auto"/>
      </w:rPr>
    </w:lvl>
    <w:lvl w:ilvl="1" w:tplc="08090019" w:tentative="1">
      <w:start w:val="1"/>
      <w:numFmt w:val="lowerLetter"/>
      <w:lvlText w:val="%2."/>
      <w:lvlJc w:val="left"/>
      <w:pPr>
        <w:tabs>
          <w:tab w:val="num" w:pos="2067"/>
        </w:tabs>
        <w:ind w:left="2067" w:hanging="360"/>
      </w:pPr>
    </w:lvl>
    <w:lvl w:ilvl="2" w:tplc="0809001B" w:tentative="1">
      <w:start w:val="1"/>
      <w:numFmt w:val="lowerRoman"/>
      <w:lvlText w:val="%3."/>
      <w:lvlJc w:val="right"/>
      <w:pPr>
        <w:tabs>
          <w:tab w:val="num" w:pos="2787"/>
        </w:tabs>
        <w:ind w:left="2787" w:hanging="180"/>
      </w:pPr>
    </w:lvl>
    <w:lvl w:ilvl="3" w:tplc="0809000F" w:tentative="1">
      <w:start w:val="1"/>
      <w:numFmt w:val="decimal"/>
      <w:lvlText w:val="%4."/>
      <w:lvlJc w:val="left"/>
      <w:pPr>
        <w:tabs>
          <w:tab w:val="num" w:pos="3507"/>
        </w:tabs>
        <w:ind w:left="3507" w:hanging="360"/>
      </w:pPr>
    </w:lvl>
    <w:lvl w:ilvl="4" w:tplc="08090019" w:tentative="1">
      <w:start w:val="1"/>
      <w:numFmt w:val="lowerLetter"/>
      <w:lvlText w:val="%5."/>
      <w:lvlJc w:val="left"/>
      <w:pPr>
        <w:tabs>
          <w:tab w:val="num" w:pos="4227"/>
        </w:tabs>
        <w:ind w:left="4227" w:hanging="360"/>
      </w:pPr>
    </w:lvl>
    <w:lvl w:ilvl="5" w:tplc="0809001B" w:tentative="1">
      <w:start w:val="1"/>
      <w:numFmt w:val="lowerRoman"/>
      <w:lvlText w:val="%6."/>
      <w:lvlJc w:val="right"/>
      <w:pPr>
        <w:tabs>
          <w:tab w:val="num" w:pos="4947"/>
        </w:tabs>
        <w:ind w:left="4947" w:hanging="180"/>
      </w:pPr>
    </w:lvl>
    <w:lvl w:ilvl="6" w:tplc="0809000F" w:tentative="1">
      <w:start w:val="1"/>
      <w:numFmt w:val="decimal"/>
      <w:lvlText w:val="%7."/>
      <w:lvlJc w:val="left"/>
      <w:pPr>
        <w:tabs>
          <w:tab w:val="num" w:pos="5667"/>
        </w:tabs>
        <w:ind w:left="5667" w:hanging="360"/>
      </w:pPr>
    </w:lvl>
    <w:lvl w:ilvl="7" w:tplc="08090019" w:tentative="1">
      <w:start w:val="1"/>
      <w:numFmt w:val="lowerLetter"/>
      <w:lvlText w:val="%8."/>
      <w:lvlJc w:val="left"/>
      <w:pPr>
        <w:tabs>
          <w:tab w:val="num" w:pos="6387"/>
        </w:tabs>
        <w:ind w:left="6387" w:hanging="360"/>
      </w:pPr>
    </w:lvl>
    <w:lvl w:ilvl="8" w:tplc="0809001B" w:tentative="1">
      <w:start w:val="1"/>
      <w:numFmt w:val="lowerRoman"/>
      <w:lvlText w:val="%9."/>
      <w:lvlJc w:val="right"/>
      <w:pPr>
        <w:tabs>
          <w:tab w:val="num" w:pos="7107"/>
        </w:tabs>
        <w:ind w:left="7107" w:hanging="180"/>
      </w:pPr>
    </w:lvl>
  </w:abstractNum>
  <w:abstractNum w:abstractNumId="31" w15:restartNumberingAfterBreak="0">
    <w:nsid w:val="5B341FAA"/>
    <w:multiLevelType w:val="hybridMultilevel"/>
    <w:tmpl w:val="CB8E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7B1821"/>
    <w:multiLevelType w:val="hybridMultilevel"/>
    <w:tmpl w:val="002857CA"/>
    <w:lvl w:ilvl="0" w:tplc="99EEB07C">
      <w:start w:val="1"/>
      <w:numFmt w:val="lowerLetter"/>
      <w:lvlText w:val="(%1.)"/>
      <w:lvlJc w:val="righ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45F656A"/>
    <w:multiLevelType w:val="hybridMultilevel"/>
    <w:tmpl w:val="BF98B91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4" w15:restartNumberingAfterBreak="0">
    <w:nsid w:val="652C1161"/>
    <w:multiLevelType w:val="hybridMultilevel"/>
    <w:tmpl w:val="8946CF6E"/>
    <w:lvl w:ilvl="0" w:tplc="27180C0C">
      <w:start w:val="1"/>
      <w:numFmt w:val="bullet"/>
      <w:pStyle w:val="Bulletted"/>
      <w:lvlText w:val=""/>
      <w:lvlJc w:val="left"/>
      <w:pPr>
        <w:tabs>
          <w:tab w:val="num" w:pos="360"/>
        </w:tabs>
        <w:ind w:left="360" w:hanging="360"/>
      </w:pPr>
      <w:rPr>
        <w:rFonts w:ascii="Symbol" w:hAnsi="Symbol" w:hint="default"/>
      </w:rPr>
    </w:lvl>
    <w:lvl w:ilvl="1" w:tplc="70FCD5AE">
      <w:numFmt w:val="decimal"/>
      <w:lvlText w:val=""/>
      <w:lvlJc w:val="left"/>
    </w:lvl>
    <w:lvl w:ilvl="2" w:tplc="2040C3AA">
      <w:numFmt w:val="decimal"/>
      <w:lvlText w:val=""/>
      <w:lvlJc w:val="left"/>
    </w:lvl>
    <w:lvl w:ilvl="3" w:tplc="D71CF734">
      <w:numFmt w:val="decimal"/>
      <w:lvlText w:val=""/>
      <w:lvlJc w:val="left"/>
    </w:lvl>
    <w:lvl w:ilvl="4" w:tplc="3EDE43D6">
      <w:numFmt w:val="decimal"/>
      <w:lvlText w:val=""/>
      <w:lvlJc w:val="left"/>
    </w:lvl>
    <w:lvl w:ilvl="5" w:tplc="EA0EA1AA">
      <w:numFmt w:val="decimal"/>
      <w:lvlText w:val=""/>
      <w:lvlJc w:val="left"/>
    </w:lvl>
    <w:lvl w:ilvl="6" w:tplc="A180558E">
      <w:numFmt w:val="decimal"/>
      <w:lvlText w:val=""/>
      <w:lvlJc w:val="left"/>
    </w:lvl>
    <w:lvl w:ilvl="7" w:tplc="7CF07954">
      <w:numFmt w:val="decimal"/>
      <w:lvlText w:val=""/>
      <w:lvlJc w:val="left"/>
    </w:lvl>
    <w:lvl w:ilvl="8" w:tplc="2A964A44">
      <w:numFmt w:val="decimal"/>
      <w:lvlText w:val=""/>
      <w:lvlJc w:val="left"/>
    </w:lvl>
  </w:abstractNum>
  <w:abstractNum w:abstractNumId="35" w15:restartNumberingAfterBreak="0">
    <w:nsid w:val="65AC35DB"/>
    <w:multiLevelType w:val="hybridMultilevel"/>
    <w:tmpl w:val="AC6C3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22A52"/>
    <w:multiLevelType w:val="multilevel"/>
    <w:tmpl w:val="AD960426"/>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021" w:hanging="1021"/>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7" w15:restartNumberingAfterBreak="0">
    <w:nsid w:val="695C336E"/>
    <w:multiLevelType w:val="hybridMultilevel"/>
    <w:tmpl w:val="79C28CF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634EB2"/>
    <w:multiLevelType w:val="hybridMultilevel"/>
    <w:tmpl w:val="AC5E454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9" w15:restartNumberingAfterBreak="0">
    <w:nsid w:val="71A10097"/>
    <w:multiLevelType w:val="hybridMultilevel"/>
    <w:tmpl w:val="002857CA"/>
    <w:lvl w:ilvl="0" w:tplc="99EEB07C">
      <w:start w:val="1"/>
      <w:numFmt w:val="lowerLetter"/>
      <w:lvlText w:val="(%1.)"/>
      <w:lvlJc w:val="righ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2C36F29"/>
    <w:multiLevelType w:val="hybridMultilevel"/>
    <w:tmpl w:val="9018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F91156"/>
    <w:multiLevelType w:val="hybridMultilevel"/>
    <w:tmpl w:val="80F488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170E0F"/>
    <w:multiLevelType w:val="hybridMultilevel"/>
    <w:tmpl w:val="A70E41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13087D"/>
    <w:multiLevelType w:val="hybridMultilevel"/>
    <w:tmpl w:val="889C6F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DD640B6"/>
    <w:multiLevelType w:val="hybridMultilevel"/>
    <w:tmpl w:val="760ADB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D30B11"/>
    <w:multiLevelType w:val="hybridMultilevel"/>
    <w:tmpl w:val="002857CA"/>
    <w:lvl w:ilvl="0" w:tplc="99EEB07C">
      <w:start w:val="1"/>
      <w:numFmt w:val="lowerLetter"/>
      <w:lvlText w:val="(%1.)"/>
      <w:lvlJc w:val="righ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3"/>
  </w:num>
  <w:num w:numId="2">
    <w:abstractNumId w:val="34"/>
  </w:num>
  <w:num w:numId="3">
    <w:abstractNumId w:val="0"/>
  </w:num>
  <w:num w:numId="4">
    <w:abstractNumId w:val="12"/>
  </w:num>
  <w:num w:numId="5">
    <w:abstractNumId w:val="13"/>
  </w:num>
  <w:num w:numId="6">
    <w:abstractNumId w:val="30"/>
  </w:num>
  <w:num w:numId="7">
    <w:abstractNumId w:val="41"/>
  </w:num>
  <w:num w:numId="8">
    <w:abstractNumId w:val="40"/>
  </w:num>
  <w:num w:numId="9">
    <w:abstractNumId w:val="44"/>
  </w:num>
  <w:num w:numId="10">
    <w:abstractNumId w:val="37"/>
  </w:num>
  <w:num w:numId="11">
    <w:abstractNumId w:val="35"/>
  </w:num>
  <w:num w:numId="12">
    <w:abstractNumId w:val="43"/>
  </w:num>
  <w:num w:numId="13">
    <w:abstractNumId w:val="19"/>
  </w:num>
  <w:num w:numId="14">
    <w:abstractNumId w:val="29"/>
  </w:num>
  <w:num w:numId="15">
    <w:abstractNumId w:val="7"/>
  </w:num>
  <w:num w:numId="16">
    <w:abstractNumId w:val="17"/>
  </w:num>
  <w:num w:numId="17">
    <w:abstractNumId w:val="20"/>
  </w:num>
  <w:num w:numId="18">
    <w:abstractNumId w:val="4"/>
  </w:num>
  <w:num w:numId="19">
    <w:abstractNumId w:val="45"/>
  </w:num>
  <w:num w:numId="20">
    <w:abstractNumId w:val="33"/>
  </w:num>
  <w:num w:numId="21">
    <w:abstractNumId w:val="28"/>
  </w:num>
  <w:num w:numId="22">
    <w:abstractNumId w:val="25"/>
  </w:num>
  <w:num w:numId="23">
    <w:abstractNumId w:val="38"/>
  </w:num>
  <w:num w:numId="24">
    <w:abstractNumId w:val="32"/>
  </w:num>
  <w:num w:numId="25">
    <w:abstractNumId w:val="39"/>
  </w:num>
  <w:num w:numId="26">
    <w:abstractNumId w:val="8"/>
  </w:num>
  <w:num w:numId="27">
    <w:abstractNumId w:val="14"/>
  </w:num>
  <w:num w:numId="28">
    <w:abstractNumId w:val="6"/>
  </w:num>
  <w:num w:numId="29">
    <w:abstractNumId w:val="10"/>
  </w:num>
  <w:num w:numId="30">
    <w:abstractNumId w:val="2"/>
  </w:num>
  <w:num w:numId="31">
    <w:abstractNumId w:val="36"/>
  </w:num>
  <w:num w:numId="32">
    <w:abstractNumId w:val="27"/>
  </w:num>
  <w:num w:numId="33">
    <w:abstractNumId w:val="26"/>
  </w:num>
  <w:num w:numId="34">
    <w:abstractNumId w:val="16"/>
  </w:num>
  <w:num w:numId="35">
    <w:abstractNumId w:val="18"/>
  </w:num>
  <w:num w:numId="36">
    <w:abstractNumId w:val="11"/>
  </w:num>
  <w:num w:numId="37">
    <w:abstractNumId w:val="21"/>
  </w:num>
  <w:num w:numId="38">
    <w:abstractNumId w:val="22"/>
  </w:num>
  <w:num w:numId="39">
    <w:abstractNumId w:val="42"/>
  </w:num>
  <w:num w:numId="40">
    <w:abstractNumId w:val="3"/>
  </w:num>
  <w:num w:numId="41">
    <w:abstractNumId w:val="15"/>
  </w:num>
  <w:num w:numId="42">
    <w:abstractNumId w:val="1"/>
  </w:num>
  <w:num w:numId="43">
    <w:abstractNumId w:val="5"/>
  </w:num>
  <w:num w:numId="44">
    <w:abstractNumId w:val="31"/>
  </w:num>
  <w:num w:numId="45">
    <w:abstractNumId w:val="9"/>
  </w:num>
  <w:num w:numId="4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03A"/>
    <w:rsid w:val="00000516"/>
    <w:rsid w:val="00001DAC"/>
    <w:rsid w:val="00002DB8"/>
    <w:rsid w:val="00002E71"/>
    <w:rsid w:val="00002FDD"/>
    <w:rsid w:val="00003ED0"/>
    <w:rsid w:val="00007760"/>
    <w:rsid w:val="0001368B"/>
    <w:rsid w:val="000144AA"/>
    <w:rsid w:val="00017832"/>
    <w:rsid w:val="00017CF9"/>
    <w:rsid w:val="0002210B"/>
    <w:rsid w:val="0002323C"/>
    <w:rsid w:val="00027357"/>
    <w:rsid w:val="00032519"/>
    <w:rsid w:val="000328A8"/>
    <w:rsid w:val="00032AF7"/>
    <w:rsid w:val="00032DAD"/>
    <w:rsid w:val="0003303A"/>
    <w:rsid w:val="00033295"/>
    <w:rsid w:val="00033D4C"/>
    <w:rsid w:val="000342B0"/>
    <w:rsid w:val="00035EE9"/>
    <w:rsid w:val="0004239F"/>
    <w:rsid w:val="000444E4"/>
    <w:rsid w:val="00045888"/>
    <w:rsid w:val="000473A2"/>
    <w:rsid w:val="00047C3F"/>
    <w:rsid w:val="00050D86"/>
    <w:rsid w:val="00055608"/>
    <w:rsid w:val="000556B4"/>
    <w:rsid w:val="00055B44"/>
    <w:rsid w:val="00056A28"/>
    <w:rsid w:val="00057984"/>
    <w:rsid w:val="00063397"/>
    <w:rsid w:val="000642E1"/>
    <w:rsid w:val="00066DD8"/>
    <w:rsid w:val="000723E3"/>
    <w:rsid w:val="000729A2"/>
    <w:rsid w:val="000732EA"/>
    <w:rsid w:val="00074020"/>
    <w:rsid w:val="00075FB4"/>
    <w:rsid w:val="00077425"/>
    <w:rsid w:val="000774B5"/>
    <w:rsid w:val="000774D8"/>
    <w:rsid w:val="000776D1"/>
    <w:rsid w:val="000816AF"/>
    <w:rsid w:val="00081B98"/>
    <w:rsid w:val="00083772"/>
    <w:rsid w:val="00084456"/>
    <w:rsid w:val="000863C5"/>
    <w:rsid w:val="00086785"/>
    <w:rsid w:val="00092E74"/>
    <w:rsid w:val="0009335E"/>
    <w:rsid w:val="00094780"/>
    <w:rsid w:val="00094F2E"/>
    <w:rsid w:val="0009586D"/>
    <w:rsid w:val="000A071C"/>
    <w:rsid w:val="000A52BA"/>
    <w:rsid w:val="000A5C85"/>
    <w:rsid w:val="000A5D2F"/>
    <w:rsid w:val="000A66CA"/>
    <w:rsid w:val="000A6754"/>
    <w:rsid w:val="000A6A97"/>
    <w:rsid w:val="000A7F45"/>
    <w:rsid w:val="000B394F"/>
    <w:rsid w:val="000B6C10"/>
    <w:rsid w:val="000C0FA1"/>
    <w:rsid w:val="000C43D8"/>
    <w:rsid w:val="000C4C3F"/>
    <w:rsid w:val="000C7D7E"/>
    <w:rsid w:val="000D0436"/>
    <w:rsid w:val="000D0497"/>
    <w:rsid w:val="000D7D49"/>
    <w:rsid w:val="000E1826"/>
    <w:rsid w:val="000E29C6"/>
    <w:rsid w:val="000E5A4E"/>
    <w:rsid w:val="000E617B"/>
    <w:rsid w:val="000E6FC7"/>
    <w:rsid w:val="000F04E0"/>
    <w:rsid w:val="000F39EC"/>
    <w:rsid w:val="000F3E33"/>
    <w:rsid w:val="00100021"/>
    <w:rsid w:val="0010253F"/>
    <w:rsid w:val="00102B39"/>
    <w:rsid w:val="00102BC7"/>
    <w:rsid w:val="001040B2"/>
    <w:rsid w:val="001047E4"/>
    <w:rsid w:val="001074C0"/>
    <w:rsid w:val="00107EA5"/>
    <w:rsid w:val="00110321"/>
    <w:rsid w:val="00110643"/>
    <w:rsid w:val="00112A8A"/>
    <w:rsid w:val="001136F7"/>
    <w:rsid w:val="00113F67"/>
    <w:rsid w:val="001152F5"/>
    <w:rsid w:val="00115888"/>
    <w:rsid w:val="00116A21"/>
    <w:rsid w:val="00116AE6"/>
    <w:rsid w:val="00117D9B"/>
    <w:rsid w:val="00121369"/>
    <w:rsid w:val="001222FB"/>
    <w:rsid w:val="001267F7"/>
    <w:rsid w:val="00126EF6"/>
    <w:rsid w:val="00131F9E"/>
    <w:rsid w:val="001347BE"/>
    <w:rsid w:val="00135418"/>
    <w:rsid w:val="0013701F"/>
    <w:rsid w:val="001370F7"/>
    <w:rsid w:val="00137CBF"/>
    <w:rsid w:val="00143035"/>
    <w:rsid w:val="0014378E"/>
    <w:rsid w:val="0014665B"/>
    <w:rsid w:val="00150A27"/>
    <w:rsid w:val="00150DCC"/>
    <w:rsid w:val="001527E1"/>
    <w:rsid w:val="00155DE7"/>
    <w:rsid w:val="00157346"/>
    <w:rsid w:val="00157A95"/>
    <w:rsid w:val="001608B2"/>
    <w:rsid w:val="00160B97"/>
    <w:rsid w:val="00161C57"/>
    <w:rsid w:val="00161E1C"/>
    <w:rsid w:val="0016202E"/>
    <w:rsid w:val="00162A34"/>
    <w:rsid w:val="001635F5"/>
    <w:rsid w:val="00163FD8"/>
    <w:rsid w:val="0016537A"/>
    <w:rsid w:val="00165EC4"/>
    <w:rsid w:val="001661CC"/>
    <w:rsid w:val="00167869"/>
    <w:rsid w:val="00170109"/>
    <w:rsid w:val="00171ACB"/>
    <w:rsid w:val="001735DD"/>
    <w:rsid w:val="00173DA6"/>
    <w:rsid w:val="00181A84"/>
    <w:rsid w:val="0018287F"/>
    <w:rsid w:val="001838B3"/>
    <w:rsid w:val="00186973"/>
    <w:rsid w:val="00190001"/>
    <w:rsid w:val="00192DC7"/>
    <w:rsid w:val="001955DA"/>
    <w:rsid w:val="001A2761"/>
    <w:rsid w:val="001A2A96"/>
    <w:rsid w:val="001A4A04"/>
    <w:rsid w:val="001A6FCC"/>
    <w:rsid w:val="001B4549"/>
    <w:rsid w:val="001B4608"/>
    <w:rsid w:val="001B50D0"/>
    <w:rsid w:val="001C1902"/>
    <w:rsid w:val="001C2DC7"/>
    <w:rsid w:val="001C6A87"/>
    <w:rsid w:val="001D251F"/>
    <w:rsid w:val="001D36BC"/>
    <w:rsid w:val="001E0226"/>
    <w:rsid w:val="001E09EE"/>
    <w:rsid w:val="001E0CB1"/>
    <w:rsid w:val="001E5201"/>
    <w:rsid w:val="001E7FCC"/>
    <w:rsid w:val="001F1663"/>
    <w:rsid w:val="001F20D2"/>
    <w:rsid w:val="001F45E0"/>
    <w:rsid w:val="002022F0"/>
    <w:rsid w:val="002032B3"/>
    <w:rsid w:val="00204A7E"/>
    <w:rsid w:val="002077F6"/>
    <w:rsid w:val="0021443E"/>
    <w:rsid w:val="00215180"/>
    <w:rsid w:val="002159C6"/>
    <w:rsid w:val="00216F15"/>
    <w:rsid w:val="00216F2D"/>
    <w:rsid w:val="00217028"/>
    <w:rsid w:val="002179F4"/>
    <w:rsid w:val="00220336"/>
    <w:rsid w:val="00222E24"/>
    <w:rsid w:val="002266F0"/>
    <w:rsid w:val="0023186D"/>
    <w:rsid w:val="00232247"/>
    <w:rsid w:val="00232CCE"/>
    <w:rsid w:val="002343AB"/>
    <w:rsid w:val="00234C9C"/>
    <w:rsid w:val="00234F44"/>
    <w:rsid w:val="0023775C"/>
    <w:rsid w:val="00241E6A"/>
    <w:rsid w:val="00245237"/>
    <w:rsid w:val="0024545B"/>
    <w:rsid w:val="00246AB3"/>
    <w:rsid w:val="0025035E"/>
    <w:rsid w:val="00254116"/>
    <w:rsid w:val="00254477"/>
    <w:rsid w:val="002555B6"/>
    <w:rsid w:val="0025725F"/>
    <w:rsid w:val="002613E1"/>
    <w:rsid w:val="002624DB"/>
    <w:rsid w:val="00262501"/>
    <w:rsid w:val="00262913"/>
    <w:rsid w:val="00265DA6"/>
    <w:rsid w:val="00267467"/>
    <w:rsid w:val="00267725"/>
    <w:rsid w:val="002677BD"/>
    <w:rsid w:val="0027098C"/>
    <w:rsid w:val="002723A8"/>
    <w:rsid w:val="00277C5F"/>
    <w:rsid w:val="002824D0"/>
    <w:rsid w:val="00283A3E"/>
    <w:rsid w:val="0028772F"/>
    <w:rsid w:val="00291F4F"/>
    <w:rsid w:val="002946DA"/>
    <w:rsid w:val="002A14B0"/>
    <w:rsid w:val="002A4D6E"/>
    <w:rsid w:val="002A51D8"/>
    <w:rsid w:val="002A754B"/>
    <w:rsid w:val="002B123B"/>
    <w:rsid w:val="002B5FAA"/>
    <w:rsid w:val="002C023C"/>
    <w:rsid w:val="002C0882"/>
    <w:rsid w:val="002C1711"/>
    <w:rsid w:val="002C4467"/>
    <w:rsid w:val="002C583B"/>
    <w:rsid w:val="002C6EEA"/>
    <w:rsid w:val="002C7BE9"/>
    <w:rsid w:val="002D0410"/>
    <w:rsid w:val="002D1970"/>
    <w:rsid w:val="002D3794"/>
    <w:rsid w:val="002E10C8"/>
    <w:rsid w:val="002E1817"/>
    <w:rsid w:val="002E193D"/>
    <w:rsid w:val="002E68DD"/>
    <w:rsid w:val="002F0227"/>
    <w:rsid w:val="002F20E1"/>
    <w:rsid w:val="002F3688"/>
    <w:rsid w:val="002F7128"/>
    <w:rsid w:val="00303B64"/>
    <w:rsid w:val="00303C01"/>
    <w:rsid w:val="00306E5D"/>
    <w:rsid w:val="00307B17"/>
    <w:rsid w:val="00312106"/>
    <w:rsid w:val="00312A0A"/>
    <w:rsid w:val="00315998"/>
    <w:rsid w:val="0031711B"/>
    <w:rsid w:val="00317E95"/>
    <w:rsid w:val="00321AAB"/>
    <w:rsid w:val="00322F1C"/>
    <w:rsid w:val="00323523"/>
    <w:rsid w:val="00324EFA"/>
    <w:rsid w:val="00326324"/>
    <w:rsid w:val="00326429"/>
    <w:rsid w:val="0032691B"/>
    <w:rsid w:val="00330B91"/>
    <w:rsid w:val="00331038"/>
    <w:rsid w:val="003316CD"/>
    <w:rsid w:val="00332D5C"/>
    <w:rsid w:val="00333603"/>
    <w:rsid w:val="003359AE"/>
    <w:rsid w:val="00341517"/>
    <w:rsid w:val="0034292F"/>
    <w:rsid w:val="003452F2"/>
    <w:rsid w:val="00347877"/>
    <w:rsid w:val="003479E6"/>
    <w:rsid w:val="0035095A"/>
    <w:rsid w:val="00351156"/>
    <w:rsid w:val="0035238E"/>
    <w:rsid w:val="003525E1"/>
    <w:rsid w:val="0035637D"/>
    <w:rsid w:val="00360FDC"/>
    <w:rsid w:val="00364312"/>
    <w:rsid w:val="00364C6C"/>
    <w:rsid w:val="00366F5C"/>
    <w:rsid w:val="003701B6"/>
    <w:rsid w:val="003710BD"/>
    <w:rsid w:val="00372058"/>
    <w:rsid w:val="00372BDC"/>
    <w:rsid w:val="00372C7F"/>
    <w:rsid w:val="00375548"/>
    <w:rsid w:val="00377F8F"/>
    <w:rsid w:val="0038007B"/>
    <w:rsid w:val="0038112F"/>
    <w:rsid w:val="0038172A"/>
    <w:rsid w:val="00383148"/>
    <w:rsid w:val="00386C3E"/>
    <w:rsid w:val="003917EA"/>
    <w:rsid w:val="00394CC9"/>
    <w:rsid w:val="003976C3"/>
    <w:rsid w:val="003A48A3"/>
    <w:rsid w:val="003A4A40"/>
    <w:rsid w:val="003B331B"/>
    <w:rsid w:val="003B3508"/>
    <w:rsid w:val="003B5214"/>
    <w:rsid w:val="003B616E"/>
    <w:rsid w:val="003B7085"/>
    <w:rsid w:val="003B7C27"/>
    <w:rsid w:val="003B7EE7"/>
    <w:rsid w:val="003C5035"/>
    <w:rsid w:val="003C5A61"/>
    <w:rsid w:val="003C61A2"/>
    <w:rsid w:val="003D1713"/>
    <w:rsid w:val="003D311C"/>
    <w:rsid w:val="003D3724"/>
    <w:rsid w:val="003D7AAB"/>
    <w:rsid w:val="003E660E"/>
    <w:rsid w:val="003E68E4"/>
    <w:rsid w:val="003E6AA5"/>
    <w:rsid w:val="003E70B4"/>
    <w:rsid w:val="003F04A3"/>
    <w:rsid w:val="003F0F36"/>
    <w:rsid w:val="003F1177"/>
    <w:rsid w:val="003F1445"/>
    <w:rsid w:val="003F2479"/>
    <w:rsid w:val="003F2ED4"/>
    <w:rsid w:val="003F2F4F"/>
    <w:rsid w:val="003F54D0"/>
    <w:rsid w:val="003F79E3"/>
    <w:rsid w:val="00401395"/>
    <w:rsid w:val="00404B1A"/>
    <w:rsid w:val="004052AA"/>
    <w:rsid w:val="00405A50"/>
    <w:rsid w:val="00410388"/>
    <w:rsid w:val="004105A0"/>
    <w:rsid w:val="00410BC3"/>
    <w:rsid w:val="00411368"/>
    <w:rsid w:val="00411B0A"/>
    <w:rsid w:val="00411D54"/>
    <w:rsid w:val="00411FC4"/>
    <w:rsid w:val="00413035"/>
    <w:rsid w:val="00415C14"/>
    <w:rsid w:val="00416F4C"/>
    <w:rsid w:val="0041747E"/>
    <w:rsid w:val="0042217D"/>
    <w:rsid w:val="004259B6"/>
    <w:rsid w:val="00433500"/>
    <w:rsid w:val="00433DDD"/>
    <w:rsid w:val="004352F3"/>
    <w:rsid w:val="0043790C"/>
    <w:rsid w:val="00440FB9"/>
    <w:rsid w:val="00443228"/>
    <w:rsid w:val="004460DB"/>
    <w:rsid w:val="0044758C"/>
    <w:rsid w:val="00447C7D"/>
    <w:rsid w:val="00450B66"/>
    <w:rsid w:val="004530BF"/>
    <w:rsid w:val="00454435"/>
    <w:rsid w:val="00456B1B"/>
    <w:rsid w:val="00461291"/>
    <w:rsid w:val="0046282A"/>
    <w:rsid w:val="00463C5A"/>
    <w:rsid w:val="004664A3"/>
    <w:rsid w:val="0047012A"/>
    <w:rsid w:val="00471ECF"/>
    <w:rsid w:val="00472A88"/>
    <w:rsid w:val="00472BAA"/>
    <w:rsid w:val="00472BAB"/>
    <w:rsid w:val="00473A67"/>
    <w:rsid w:val="00482572"/>
    <w:rsid w:val="004830C8"/>
    <w:rsid w:val="00490754"/>
    <w:rsid w:val="00492C0C"/>
    <w:rsid w:val="0049347B"/>
    <w:rsid w:val="00495206"/>
    <w:rsid w:val="004A0519"/>
    <w:rsid w:val="004A1F82"/>
    <w:rsid w:val="004A2298"/>
    <w:rsid w:val="004A25D0"/>
    <w:rsid w:val="004A4081"/>
    <w:rsid w:val="004B04AB"/>
    <w:rsid w:val="004B1C67"/>
    <w:rsid w:val="004B21F1"/>
    <w:rsid w:val="004B39E8"/>
    <w:rsid w:val="004B40CC"/>
    <w:rsid w:val="004C0B2D"/>
    <w:rsid w:val="004C1787"/>
    <w:rsid w:val="004C20CD"/>
    <w:rsid w:val="004C4CB4"/>
    <w:rsid w:val="004C53D7"/>
    <w:rsid w:val="004C64A2"/>
    <w:rsid w:val="004D2266"/>
    <w:rsid w:val="004D3BB5"/>
    <w:rsid w:val="004D41C4"/>
    <w:rsid w:val="004D5818"/>
    <w:rsid w:val="004D5CCE"/>
    <w:rsid w:val="004D5D8A"/>
    <w:rsid w:val="004D66E8"/>
    <w:rsid w:val="004D6FC2"/>
    <w:rsid w:val="004E0B9D"/>
    <w:rsid w:val="004E1053"/>
    <w:rsid w:val="004E38C9"/>
    <w:rsid w:val="004E3CF4"/>
    <w:rsid w:val="004E60B2"/>
    <w:rsid w:val="004E7770"/>
    <w:rsid w:val="004F15F5"/>
    <w:rsid w:val="004F4093"/>
    <w:rsid w:val="004F6764"/>
    <w:rsid w:val="004F6821"/>
    <w:rsid w:val="004F6E3B"/>
    <w:rsid w:val="005015F4"/>
    <w:rsid w:val="00504E26"/>
    <w:rsid w:val="0051025C"/>
    <w:rsid w:val="00511E48"/>
    <w:rsid w:val="005131E3"/>
    <w:rsid w:val="00513E7A"/>
    <w:rsid w:val="00514AF5"/>
    <w:rsid w:val="00515075"/>
    <w:rsid w:val="0051760A"/>
    <w:rsid w:val="00520105"/>
    <w:rsid w:val="005203C0"/>
    <w:rsid w:val="0052045C"/>
    <w:rsid w:val="00520539"/>
    <w:rsid w:val="0052223D"/>
    <w:rsid w:val="0052237C"/>
    <w:rsid w:val="00523EAA"/>
    <w:rsid w:val="00525F70"/>
    <w:rsid w:val="00526C66"/>
    <w:rsid w:val="0052746A"/>
    <w:rsid w:val="005279AC"/>
    <w:rsid w:val="005328C8"/>
    <w:rsid w:val="00532DEB"/>
    <w:rsid w:val="00533CF9"/>
    <w:rsid w:val="00533D91"/>
    <w:rsid w:val="00534318"/>
    <w:rsid w:val="00535A31"/>
    <w:rsid w:val="005433D3"/>
    <w:rsid w:val="00543E75"/>
    <w:rsid w:val="00543F34"/>
    <w:rsid w:val="0054534B"/>
    <w:rsid w:val="00547CB8"/>
    <w:rsid w:val="00551E03"/>
    <w:rsid w:val="00553942"/>
    <w:rsid w:val="00554ECB"/>
    <w:rsid w:val="0055585A"/>
    <w:rsid w:val="00555DA8"/>
    <w:rsid w:val="00556D4D"/>
    <w:rsid w:val="005612EA"/>
    <w:rsid w:val="00562C92"/>
    <w:rsid w:val="005641D4"/>
    <w:rsid w:val="00565F1B"/>
    <w:rsid w:val="00566690"/>
    <w:rsid w:val="00567C2D"/>
    <w:rsid w:val="00571ED3"/>
    <w:rsid w:val="005735F6"/>
    <w:rsid w:val="005822A9"/>
    <w:rsid w:val="00582FF8"/>
    <w:rsid w:val="0058416C"/>
    <w:rsid w:val="00584761"/>
    <w:rsid w:val="00586795"/>
    <w:rsid w:val="0058705A"/>
    <w:rsid w:val="005922A8"/>
    <w:rsid w:val="0059314E"/>
    <w:rsid w:val="005934AD"/>
    <w:rsid w:val="00595C7E"/>
    <w:rsid w:val="005A03AA"/>
    <w:rsid w:val="005A1978"/>
    <w:rsid w:val="005A3880"/>
    <w:rsid w:val="005A3CF4"/>
    <w:rsid w:val="005A3CFD"/>
    <w:rsid w:val="005A5D6C"/>
    <w:rsid w:val="005A7464"/>
    <w:rsid w:val="005B191A"/>
    <w:rsid w:val="005B3756"/>
    <w:rsid w:val="005B6224"/>
    <w:rsid w:val="005B779C"/>
    <w:rsid w:val="005B7CA7"/>
    <w:rsid w:val="005C4573"/>
    <w:rsid w:val="005C60EF"/>
    <w:rsid w:val="005C7ACC"/>
    <w:rsid w:val="005C7EBF"/>
    <w:rsid w:val="005D12E9"/>
    <w:rsid w:val="005D2105"/>
    <w:rsid w:val="005D4154"/>
    <w:rsid w:val="005D5F27"/>
    <w:rsid w:val="005E0394"/>
    <w:rsid w:val="005E17CC"/>
    <w:rsid w:val="005E237F"/>
    <w:rsid w:val="005E55D0"/>
    <w:rsid w:val="005E64DF"/>
    <w:rsid w:val="005E7935"/>
    <w:rsid w:val="005F22E2"/>
    <w:rsid w:val="005F2FB1"/>
    <w:rsid w:val="005F306F"/>
    <w:rsid w:val="005F3C42"/>
    <w:rsid w:val="005F43DA"/>
    <w:rsid w:val="005F50A7"/>
    <w:rsid w:val="005F61BF"/>
    <w:rsid w:val="005F7822"/>
    <w:rsid w:val="005F7B64"/>
    <w:rsid w:val="00600925"/>
    <w:rsid w:val="00601EBA"/>
    <w:rsid w:val="0060322D"/>
    <w:rsid w:val="00604DB6"/>
    <w:rsid w:val="00606234"/>
    <w:rsid w:val="00606A4B"/>
    <w:rsid w:val="0060710E"/>
    <w:rsid w:val="00610E68"/>
    <w:rsid w:val="00611467"/>
    <w:rsid w:val="00613E9F"/>
    <w:rsid w:val="00615FB2"/>
    <w:rsid w:val="00617EEB"/>
    <w:rsid w:val="00620B8E"/>
    <w:rsid w:val="0062189B"/>
    <w:rsid w:val="006225EB"/>
    <w:rsid w:val="00622722"/>
    <w:rsid w:val="006230A7"/>
    <w:rsid w:val="00625444"/>
    <w:rsid w:val="006308E5"/>
    <w:rsid w:val="00630AFD"/>
    <w:rsid w:val="0063203B"/>
    <w:rsid w:val="00636920"/>
    <w:rsid w:val="00642807"/>
    <w:rsid w:val="00645FDF"/>
    <w:rsid w:val="00646217"/>
    <w:rsid w:val="00646461"/>
    <w:rsid w:val="00646DA5"/>
    <w:rsid w:val="006473D2"/>
    <w:rsid w:val="00651A85"/>
    <w:rsid w:val="006531A3"/>
    <w:rsid w:val="00654866"/>
    <w:rsid w:val="006571C3"/>
    <w:rsid w:val="00660193"/>
    <w:rsid w:val="00660A78"/>
    <w:rsid w:val="00660F8D"/>
    <w:rsid w:val="006622EC"/>
    <w:rsid w:val="00665468"/>
    <w:rsid w:val="00665CBE"/>
    <w:rsid w:val="006712EF"/>
    <w:rsid w:val="00671D63"/>
    <w:rsid w:val="00674788"/>
    <w:rsid w:val="0067486A"/>
    <w:rsid w:val="0067784F"/>
    <w:rsid w:val="006805E1"/>
    <w:rsid w:val="0068193C"/>
    <w:rsid w:val="00683CEA"/>
    <w:rsid w:val="00683D38"/>
    <w:rsid w:val="006842D1"/>
    <w:rsid w:val="00691216"/>
    <w:rsid w:val="00691485"/>
    <w:rsid w:val="006925E5"/>
    <w:rsid w:val="00693A60"/>
    <w:rsid w:val="00696140"/>
    <w:rsid w:val="0069743B"/>
    <w:rsid w:val="006A1470"/>
    <w:rsid w:val="006A2D84"/>
    <w:rsid w:val="006A3A6E"/>
    <w:rsid w:val="006A65B3"/>
    <w:rsid w:val="006A65BE"/>
    <w:rsid w:val="006A71B8"/>
    <w:rsid w:val="006B0154"/>
    <w:rsid w:val="006B1AA3"/>
    <w:rsid w:val="006B2D77"/>
    <w:rsid w:val="006B3C43"/>
    <w:rsid w:val="006B3E50"/>
    <w:rsid w:val="006B7378"/>
    <w:rsid w:val="006B77C6"/>
    <w:rsid w:val="006C0EDA"/>
    <w:rsid w:val="006C1EC0"/>
    <w:rsid w:val="006C2B40"/>
    <w:rsid w:val="006C4767"/>
    <w:rsid w:val="006D0DFF"/>
    <w:rsid w:val="006D1089"/>
    <w:rsid w:val="006D258F"/>
    <w:rsid w:val="006D26F7"/>
    <w:rsid w:val="006D3D7D"/>
    <w:rsid w:val="006E0617"/>
    <w:rsid w:val="006E0749"/>
    <w:rsid w:val="006E0756"/>
    <w:rsid w:val="006E2FA9"/>
    <w:rsid w:val="006E381E"/>
    <w:rsid w:val="006E51DA"/>
    <w:rsid w:val="006E591C"/>
    <w:rsid w:val="006E6B00"/>
    <w:rsid w:val="006E6DD8"/>
    <w:rsid w:val="006E7D82"/>
    <w:rsid w:val="006F04A5"/>
    <w:rsid w:val="006F33FE"/>
    <w:rsid w:val="006F3644"/>
    <w:rsid w:val="006F614A"/>
    <w:rsid w:val="00700475"/>
    <w:rsid w:val="00703E19"/>
    <w:rsid w:val="007054E6"/>
    <w:rsid w:val="00705C84"/>
    <w:rsid w:val="0071044E"/>
    <w:rsid w:val="00714CED"/>
    <w:rsid w:val="0071568B"/>
    <w:rsid w:val="007177EE"/>
    <w:rsid w:val="007206EC"/>
    <w:rsid w:val="00721D88"/>
    <w:rsid w:val="007223D5"/>
    <w:rsid w:val="0072276C"/>
    <w:rsid w:val="00723699"/>
    <w:rsid w:val="00726E1E"/>
    <w:rsid w:val="00726E85"/>
    <w:rsid w:val="00731B0D"/>
    <w:rsid w:val="00732332"/>
    <w:rsid w:val="007406E6"/>
    <w:rsid w:val="007407CC"/>
    <w:rsid w:val="00741693"/>
    <w:rsid w:val="0074557D"/>
    <w:rsid w:val="00756D19"/>
    <w:rsid w:val="007606CA"/>
    <w:rsid w:val="00761317"/>
    <w:rsid w:val="00767DD4"/>
    <w:rsid w:val="00770499"/>
    <w:rsid w:val="007709C9"/>
    <w:rsid w:val="007726EE"/>
    <w:rsid w:val="00774112"/>
    <w:rsid w:val="0077764E"/>
    <w:rsid w:val="007800C6"/>
    <w:rsid w:val="007816B1"/>
    <w:rsid w:val="00781EC2"/>
    <w:rsid w:val="007826F8"/>
    <w:rsid w:val="00782E31"/>
    <w:rsid w:val="0078374A"/>
    <w:rsid w:val="0078570C"/>
    <w:rsid w:val="00786D86"/>
    <w:rsid w:val="00792D41"/>
    <w:rsid w:val="00792E91"/>
    <w:rsid w:val="007950D5"/>
    <w:rsid w:val="00795877"/>
    <w:rsid w:val="007969B3"/>
    <w:rsid w:val="007972E8"/>
    <w:rsid w:val="00797FB5"/>
    <w:rsid w:val="007A120D"/>
    <w:rsid w:val="007A127E"/>
    <w:rsid w:val="007A130B"/>
    <w:rsid w:val="007A2267"/>
    <w:rsid w:val="007A4274"/>
    <w:rsid w:val="007A4F3E"/>
    <w:rsid w:val="007A7041"/>
    <w:rsid w:val="007B389D"/>
    <w:rsid w:val="007B394D"/>
    <w:rsid w:val="007B6673"/>
    <w:rsid w:val="007B7920"/>
    <w:rsid w:val="007C4CF8"/>
    <w:rsid w:val="007C4E43"/>
    <w:rsid w:val="007C57CF"/>
    <w:rsid w:val="007C7760"/>
    <w:rsid w:val="007C7FDF"/>
    <w:rsid w:val="007D0949"/>
    <w:rsid w:val="007D4042"/>
    <w:rsid w:val="007D43DE"/>
    <w:rsid w:val="007D51E9"/>
    <w:rsid w:val="007D6108"/>
    <w:rsid w:val="007D6D20"/>
    <w:rsid w:val="007D6DA9"/>
    <w:rsid w:val="007D6EB8"/>
    <w:rsid w:val="007E01B7"/>
    <w:rsid w:val="007E2155"/>
    <w:rsid w:val="007E2F24"/>
    <w:rsid w:val="007E3C05"/>
    <w:rsid w:val="007E4999"/>
    <w:rsid w:val="007E5761"/>
    <w:rsid w:val="007E703D"/>
    <w:rsid w:val="007E71DB"/>
    <w:rsid w:val="007F24F4"/>
    <w:rsid w:val="007F78D8"/>
    <w:rsid w:val="0080482B"/>
    <w:rsid w:val="0080489D"/>
    <w:rsid w:val="008050DD"/>
    <w:rsid w:val="00805710"/>
    <w:rsid w:val="008125E0"/>
    <w:rsid w:val="00813FF8"/>
    <w:rsid w:val="00814266"/>
    <w:rsid w:val="00815653"/>
    <w:rsid w:val="00820745"/>
    <w:rsid w:val="00821A9E"/>
    <w:rsid w:val="008223EB"/>
    <w:rsid w:val="00822DD7"/>
    <w:rsid w:val="00826CE0"/>
    <w:rsid w:val="008301F0"/>
    <w:rsid w:val="008303A8"/>
    <w:rsid w:val="00832E0B"/>
    <w:rsid w:val="008367D1"/>
    <w:rsid w:val="00840515"/>
    <w:rsid w:val="00840C2C"/>
    <w:rsid w:val="0084499F"/>
    <w:rsid w:val="0084715B"/>
    <w:rsid w:val="0084785F"/>
    <w:rsid w:val="00850509"/>
    <w:rsid w:val="00854409"/>
    <w:rsid w:val="00861F17"/>
    <w:rsid w:val="00862F1F"/>
    <w:rsid w:val="00873670"/>
    <w:rsid w:val="008800BB"/>
    <w:rsid w:val="008828AC"/>
    <w:rsid w:val="008846BB"/>
    <w:rsid w:val="008856D4"/>
    <w:rsid w:val="00886D33"/>
    <w:rsid w:val="0088738C"/>
    <w:rsid w:val="00887AA1"/>
    <w:rsid w:val="00890624"/>
    <w:rsid w:val="00891C61"/>
    <w:rsid w:val="00892BFF"/>
    <w:rsid w:val="00892ECF"/>
    <w:rsid w:val="00896A4D"/>
    <w:rsid w:val="008A00EB"/>
    <w:rsid w:val="008A06AE"/>
    <w:rsid w:val="008A25D1"/>
    <w:rsid w:val="008A4942"/>
    <w:rsid w:val="008A71A5"/>
    <w:rsid w:val="008B3A2E"/>
    <w:rsid w:val="008C0A6E"/>
    <w:rsid w:val="008C1EC7"/>
    <w:rsid w:val="008C4EBE"/>
    <w:rsid w:val="008C5A24"/>
    <w:rsid w:val="008C7719"/>
    <w:rsid w:val="008C7A8A"/>
    <w:rsid w:val="008C7B17"/>
    <w:rsid w:val="008C7ECE"/>
    <w:rsid w:val="008D0302"/>
    <w:rsid w:val="008D1C99"/>
    <w:rsid w:val="008D29B4"/>
    <w:rsid w:val="008D526B"/>
    <w:rsid w:val="008D711B"/>
    <w:rsid w:val="008D78CB"/>
    <w:rsid w:val="008D7BA7"/>
    <w:rsid w:val="008E0014"/>
    <w:rsid w:val="008E2C08"/>
    <w:rsid w:val="008F0ED2"/>
    <w:rsid w:val="008F1945"/>
    <w:rsid w:val="008F3FA5"/>
    <w:rsid w:val="008F43FF"/>
    <w:rsid w:val="008F6BE8"/>
    <w:rsid w:val="00900449"/>
    <w:rsid w:val="009025B8"/>
    <w:rsid w:val="0090358E"/>
    <w:rsid w:val="009048EF"/>
    <w:rsid w:val="009066D3"/>
    <w:rsid w:val="009073D2"/>
    <w:rsid w:val="00910B76"/>
    <w:rsid w:val="009110CF"/>
    <w:rsid w:val="0091175D"/>
    <w:rsid w:val="009117EB"/>
    <w:rsid w:val="00911F01"/>
    <w:rsid w:val="00912479"/>
    <w:rsid w:val="0091374C"/>
    <w:rsid w:val="00920C79"/>
    <w:rsid w:val="00920D86"/>
    <w:rsid w:val="00925BE2"/>
    <w:rsid w:val="00926371"/>
    <w:rsid w:val="00926845"/>
    <w:rsid w:val="00930189"/>
    <w:rsid w:val="00930D7B"/>
    <w:rsid w:val="00936A02"/>
    <w:rsid w:val="0093710D"/>
    <w:rsid w:val="009412E8"/>
    <w:rsid w:val="0094140F"/>
    <w:rsid w:val="0094145D"/>
    <w:rsid w:val="009419A2"/>
    <w:rsid w:val="009421DF"/>
    <w:rsid w:val="00942EF5"/>
    <w:rsid w:val="0094367A"/>
    <w:rsid w:val="00944F10"/>
    <w:rsid w:val="0094503D"/>
    <w:rsid w:val="00947EE4"/>
    <w:rsid w:val="009506A4"/>
    <w:rsid w:val="009511FA"/>
    <w:rsid w:val="009523E0"/>
    <w:rsid w:val="00952710"/>
    <w:rsid w:val="0095648B"/>
    <w:rsid w:val="0096099E"/>
    <w:rsid w:val="00967230"/>
    <w:rsid w:val="00970DAB"/>
    <w:rsid w:val="0097255B"/>
    <w:rsid w:val="00973336"/>
    <w:rsid w:val="009758F2"/>
    <w:rsid w:val="0097751F"/>
    <w:rsid w:val="00977946"/>
    <w:rsid w:val="00977D0E"/>
    <w:rsid w:val="00980614"/>
    <w:rsid w:val="00983F26"/>
    <w:rsid w:val="00985AD0"/>
    <w:rsid w:val="0098675F"/>
    <w:rsid w:val="00987E06"/>
    <w:rsid w:val="00991ED6"/>
    <w:rsid w:val="00993872"/>
    <w:rsid w:val="00994E77"/>
    <w:rsid w:val="009A1261"/>
    <w:rsid w:val="009A2827"/>
    <w:rsid w:val="009A306C"/>
    <w:rsid w:val="009A35BC"/>
    <w:rsid w:val="009A406E"/>
    <w:rsid w:val="009A443B"/>
    <w:rsid w:val="009A4ECB"/>
    <w:rsid w:val="009B2233"/>
    <w:rsid w:val="009B319B"/>
    <w:rsid w:val="009B3B05"/>
    <w:rsid w:val="009B4C8F"/>
    <w:rsid w:val="009B681C"/>
    <w:rsid w:val="009C0454"/>
    <w:rsid w:val="009C39BB"/>
    <w:rsid w:val="009C3B66"/>
    <w:rsid w:val="009C53E4"/>
    <w:rsid w:val="009D1B34"/>
    <w:rsid w:val="009D4B9D"/>
    <w:rsid w:val="009D4C81"/>
    <w:rsid w:val="009D511A"/>
    <w:rsid w:val="009D7057"/>
    <w:rsid w:val="009D765B"/>
    <w:rsid w:val="009E7B0D"/>
    <w:rsid w:val="009F14B0"/>
    <w:rsid w:val="009F3354"/>
    <w:rsid w:val="009F341C"/>
    <w:rsid w:val="009F4DBD"/>
    <w:rsid w:val="009F54F3"/>
    <w:rsid w:val="009F71B8"/>
    <w:rsid w:val="00A00ED6"/>
    <w:rsid w:val="00A02F89"/>
    <w:rsid w:val="00A039C8"/>
    <w:rsid w:val="00A049AC"/>
    <w:rsid w:val="00A04BD0"/>
    <w:rsid w:val="00A076D5"/>
    <w:rsid w:val="00A10399"/>
    <w:rsid w:val="00A10921"/>
    <w:rsid w:val="00A10922"/>
    <w:rsid w:val="00A111A1"/>
    <w:rsid w:val="00A122D3"/>
    <w:rsid w:val="00A13145"/>
    <w:rsid w:val="00A134C6"/>
    <w:rsid w:val="00A212AD"/>
    <w:rsid w:val="00A21AC4"/>
    <w:rsid w:val="00A22036"/>
    <w:rsid w:val="00A234FC"/>
    <w:rsid w:val="00A3069E"/>
    <w:rsid w:val="00A32DCA"/>
    <w:rsid w:val="00A357AD"/>
    <w:rsid w:val="00A3682B"/>
    <w:rsid w:val="00A4234D"/>
    <w:rsid w:val="00A42B41"/>
    <w:rsid w:val="00A4508C"/>
    <w:rsid w:val="00A470E8"/>
    <w:rsid w:val="00A56EBA"/>
    <w:rsid w:val="00A5BCDE"/>
    <w:rsid w:val="00A61F3E"/>
    <w:rsid w:val="00A65EC9"/>
    <w:rsid w:val="00A65FA7"/>
    <w:rsid w:val="00A66010"/>
    <w:rsid w:val="00A6786F"/>
    <w:rsid w:val="00A711AF"/>
    <w:rsid w:val="00A713F0"/>
    <w:rsid w:val="00A7386A"/>
    <w:rsid w:val="00A73DE8"/>
    <w:rsid w:val="00A75F5F"/>
    <w:rsid w:val="00A76ECF"/>
    <w:rsid w:val="00A77695"/>
    <w:rsid w:val="00A817D0"/>
    <w:rsid w:val="00A832DE"/>
    <w:rsid w:val="00A83E20"/>
    <w:rsid w:val="00A8671D"/>
    <w:rsid w:val="00A86E77"/>
    <w:rsid w:val="00A879FA"/>
    <w:rsid w:val="00A90A53"/>
    <w:rsid w:val="00A90A8F"/>
    <w:rsid w:val="00A91E37"/>
    <w:rsid w:val="00A97FDD"/>
    <w:rsid w:val="00AA0070"/>
    <w:rsid w:val="00AA007D"/>
    <w:rsid w:val="00AA0779"/>
    <w:rsid w:val="00AA1CB4"/>
    <w:rsid w:val="00AA1FBB"/>
    <w:rsid w:val="00AA5FC0"/>
    <w:rsid w:val="00AA6F62"/>
    <w:rsid w:val="00AB3012"/>
    <w:rsid w:val="00AB54FF"/>
    <w:rsid w:val="00AB7180"/>
    <w:rsid w:val="00AB77D3"/>
    <w:rsid w:val="00AC0302"/>
    <w:rsid w:val="00AC0A88"/>
    <w:rsid w:val="00AC1ECD"/>
    <w:rsid w:val="00AC1F0D"/>
    <w:rsid w:val="00AC2913"/>
    <w:rsid w:val="00AC310B"/>
    <w:rsid w:val="00AC5164"/>
    <w:rsid w:val="00AC770D"/>
    <w:rsid w:val="00AD23F8"/>
    <w:rsid w:val="00AD391D"/>
    <w:rsid w:val="00AD4C5C"/>
    <w:rsid w:val="00AD4F09"/>
    <w:rsid w:val="00AD5517"/>
    <w:rsid w:val="00AD630F"/>
    <w:rsid w:val="00AD6B8A"/>
    <w:rsid w:val="00AE01CB"/>
    <w:rsid w:val="00AE44C9"/>
    <w:rsid w:val="00AE5423"/>
    <w:rsid w:val="00AE5BC0"/>
    <w:rsid w:val="00AE7DD8"/>
    <w:rsid w:val="00AF03E7"/>
    <w:rsid w:val="00AF14DA"/>
    <w:rsid w:val="00AF2CF1"/>
    <w:rsid w:val="00AF46BD"/>
    <w:rsid w:val="00AF51EA"/>
    <w:rsid w:val="00AF7730"/>
    <w:rsid w:val="00B01C10"/>
    <w:rsid w:val="00B01DFB"/>
    <w:rsid w:val="00B0209B"/>
    <w:rsid w:val="00B0246E"/>
    <w:rsid w:val="00B065AD"/>
    <w:rsid w:val="00B0755B"/>
    <w:rsid w:val="00B07765"/>
    <w:rsid w:val="00B079D5"/>
    <w:rsid w:val="00B10DA3"/>
    <w:rsid w:val="00B1265A"/>
    <w:rsid w:val="00B13A81"/>
    <w:rsid w:val="00B155DB"/>
    <w:rsid w:val="00B21A74"/>
    <w:rsid w:val="00B23088"/>
    <w:rsid w:val="00B24749"/>
    <w:rsid w:val="00B25368"/>
    <w:rsid w:val="00B265F5"/>
    <w:rsid w:val="00B314B1"/>
    <w:rsid w:val="00B32B73"/>
    <w:rsid w:val="00B35E33"/>
    <w:rsid w:val="00B37840"/>
    <w:rsid w:val="00B41CC7"/>
    <w:rsid w:val="00B42014"/>
    <w:rsid w:val="00B44F39"/>
    <w:rsid w:val="00B45745"/>
    <w:rsid w:val="00B50F2F"/>
    <w:rsid w:val="00B524AA"/>
    <w:rsid w:val="00B52A14"/>
    <w:rsid w:val="00B5399C"/>
    <w:rsid w:val="00B53A9F"/>
    <w:rsid w:val="00B55481"/>
    <w:rsid w:val="00B559BC"/>
    <w:rsid w:val="00B64AC7"/>
    <w:rsid w:val="00B666F8"/>
    <w:rsid w:val="00B668D6"/>
    <w:rsid w:val="00B77754"/>
    <w:rsid w:val="00B778F1"/>
    <w:rsid w:val="00B838C3"/>
    <w:rsid w:val="00B8445B"/>
    <w:rsid w:val="00B846CE"/>
    <w:rsid w:val="00B8758A"/>
    <w:rsid w:val="00B95FB9"/>
    <w:rsid w:val="00B96321"/>
    <w:rsid w:val="00B97444"/>
    <w:rsid w:val="00B9789B"/>
    <w:rsid w:val="00BA2708"/>
    <w:rsid w:val="00BA277B"/>
    <w:rsid w:val="00BA3A23"/>
    <w:rsid w:val="00BA56E3"/>
    <w:rsid w:val="00BA6FE8"/>
    <w:rsid w:val="00BB2DBC"/>
    <w:rsid w:val="00BB4CC6"/>
    <w:rsid w:val="00BB61FC"/>
    <w:rsid w:val="00BB6E6D"/>
    <w:rsid w:val="00BC193D"/>
    <w:rsid w:val="00BC26BA"/>
    <w:rsid w:val="00BC49E8"/>
    <w:rsid w:val="00BD2EAC"/>
    <w:rsid w:val="00BD3E01"/>
    <w:rsid w:val="00BD4E44"/>
    <w:rsid w:val="00BD5415"/>
    <w:rsid w:val="00BD6574"/>
    <w:rsid w:val="00BD6DF3"/>
    <w:rsid w:val="00BE219D"/>
    <w:rsid w:val="00BE4A98"/>
    <w:rsid w:val="00BE6A16"/>
    <w:rsid w:val="00BF6D73"/>
    <w:rsid w:val="00BF7D30"/>
    <w:rsid w:val="00C0279F"/>
    <w:rsid w:val="00C06D68"/>
    <w:rsid w:val="00C106A5"/>
    <w:rsid w:val="00C12367"/>
    <w:rsid w:val="00C1665F"/>
    <w:rsid w:val="00C16FDC"/>
    <w:rsid w:val="00C22D17"/>
    <w:rsid w:val="00C30274"/>
    <w:rsid w:val="00C31917"/>
    <w:rsid w:val="00C321BF"/>
    <w:rsid w:val="00C345B1"/>
    <w:rsid w:val="00C3521E"/>
    <w:rsid w:val="00C36630"/>
    <w:rsid w:val="00C403FF"/>
    <w:rsid w:val="00C46D31"/>
    <w:rsid w:val="00C5411C"/>
    <w:rsid w:val="00C5568A"/>
    <w:rsid w:val="00C56DDE"/>
    <w:rsid w:val="00C56EEB"/>
    <w:rsid w:val="00C613DF"/>
    <w:rsid w:val="00C62202"/>
    <w:rsid w:val="00C62CE0"/>
    <w:rsid w:val="00C67189"/>
    <w:rsid w:val="00C715E5"/>
    <w:rsid w:val="00C7192C"/>
    <w:rsid w:val="00C72F12"/>
    <w:rsid w:val="00C740CA"/>
    <w:rsid w:val="00C757F8"/>
    <w:rsid w:val="00C769F0"/>
    <w:rsid w:val="00C80DDB"/>
    <w:rsid w:val="00C81E78"/>
    <w:rsid w:val="00C82CC4"/>
    <w:rsid w:val="00C8308A"/>
    <w:rsid w:val="00C85EC1"/>
    <w:rsid w:val="00C86FBA"/>
    <w:rsid w:val="00C873F2"/>
    <w:rsid w:val="00C906F7"/>
    <w:rsid w:val="00C92B94"/>
    <w:rsid w:val="00C94F4F"/>
    <w:rsid w:val="00C959E4"/>
    <w:rsid w:val="00C96200"/>
    <w:rsid w:val="00C96575"/>
    <w:rsid w:val="00C965CF"/>
    <w:rsid w:val="00C96612"/>
    <w:rsid w:val="00CA2CCC"/>
    <w:rsid w:val="00CB1200"/>
    <w:rsid w:val="00CB620F"/>
    <w:rsid w:val="00CC045C"/>
    <w:rsid w:val="00CC2464"/>
    <w:rsid w:val="00CC5942"/>
    <w:rsid w:val="00CC62D8"/>
    <w:rsid w:val="00CD25EF"/>
    <w:rsid w:val="00CD3D32"/>
    <w:rsid w:val="00CD41A0"/>
    <w:rsid w:val="00CD5E4F"/>
    <w:rsid w:val="00CE1EC5"/>
    <w:rsid w:val="00CE6576"/>
    <w:rsid w:val="00CF1E0A"/>
    <w:rsid w:val="00CF5422"/>
    <w:rsid w:val="00CF69A5"/>
    <w:rsid w:val="00D00C7E"/>
    <w:rsid w:val="00D00E41"/>
    <w:rsid w:val="00D01009"/>
    <w:rsid w:val="00D02D6C"/>
    <w:rsid w:val="00D03223"/>
    <w:rsid w:val="00D035F2"/>
    <w:rsid w:val="00D03BB7"/>
    <w:rsid w:val="00D0440A"/>
    <w:rsid w:val="00D05079"/>
    <w:rsid w:val="00D1536E"/>
    <w:rsid w:val="00D16125"/>
    <w:rsid w:val="00D20D1E"/>
    <w:rsid w:val="00D214BF"/>
    <w:rsid w:val="00D219FF"/>
    <w:rsid w:val="00D241C0"/>
    <w:rsid w:val="00D25E32"/>
    <w:rsid w:val="00D265DF"/>
    <w:rsid w:val="00D302C3"/>
    <w:rsid w:val="00D344F5"/>
    <w:rsid w:val="00D34B2F"/>
    <w:rsid w:val="00D373F1"/>
    <w:rsid w:val="00D41A23"/>
    <w:rsid w:val="00D4392B"/>
    <w:rsid w:val="00D43EBC"/>
    <w:rsid w:val="00D4567C"/>
    <w:rsid w:val="00D461DD"/>
    <w:rsid w:val="00D5066A"/>
    <w:rsid w:val="00D5588D"/>
    <w:rsid w:val="00D577EA"/>
    <w:rsid w:val="00D60DC0"/>
    <w:rsid w:val="00D61F08"/>
    <w:rsid w:val="00D6396E"/>
    <w:rsid w:val="00D64056"/>
    <w:rsid w:val="00D65280"/>
    <w:rsid w:val="00D66262"/>
    <w:rsid w:val="00D665D1"/>
    <w:rsid w:val="00D70DBD"/>
    <w:rsid w:val="00D71120"/>
    <w:rsid w:val="00D73498"/>
    <w:rsid w:val="00D76C11"/>
    <w:rsid w:val="00D82333"/>
    <w:rsid w:val="00D82500"/>
    <w:rsid w:val="00D82D88"/>
    <w:rsid w:val="00D841CA"/>
    <w:rsid w:val="00D84F21"/>
    <w:rsid w:val="00D8530B"/>
    <w:rsid w:val="00D879FA"/>
    <w:rsid w:val="00D908E3"/>
    <w:rsid w:val="00D90DFD"/>
    <w:rsid w:val="00D958BC"/>
    <w:rsid w:val="00DA1EED"/>
    <w:rsid w:val="00DA2733"/>
    <w:rsid w:val="00DA2F70"/>
    <w:rsid w:val="00DA37AC"/>
    <w:rsid w:val="00DA43EA"/>
    <w:rsid w:val="00DA59E3"/>
    <w:rsid w:val="00DA64FA"/>
    <w:rsid w:val="00DA737C"/>
    <w:rsid w:val="00DA7907"/>
    <w:rsid w:val="00DA7A89"/>
    <w:rsid w:val="00DB2778"/>
    <w:rsid w:val="00DB3A89"/>
    <w:rsid w:val="00DB5245"/>
    <w:rsid w:val="00DB6742"/>
    <w:rsid w:val="00DB69FC"/>
    <w:rsid w:val="00DB7B7D"/>
    <w:rsid w:val="00DC076D"/>
    <w:rsid w:val="00DC109A"/>
    <w:rsid w:val="00DC1787"/>
    <w:rsid w:val="00DC4230"/>
    <w:rsid w:val="00DC4BD3"/>
    <w:rsid w:val="00DC570A"/>
    <w:rsid w:val="00DC77EC"/>
    <w:rsid w:val="00DD667E"/>
    <w:rsid w:val="00DD78C8"/>
    <w:rsid w:val="00DE1642"/>
    <w:rsid w:val="00DE2EF6"/>
    <w:rsid w:val="00DE37A0"/>
    <w:rsid w:val="00DE3844"/>
    <w:rsid w:val="00DE3E3A"/>
    <w:rsid w:val="00DE3E7C"/>
    <w:rsid w:val="00DE6222"/>
    <w:rsid w:val="00DE64D9"/>
    <w:rsid w:val="00DE7899"/>
    <w:rsid w:val="00DF02E8"/>
    <w:rsid w:val="00DF05C0"/>
    <w:rsid w:val="00DF089D"/>
    <w:rsid w:val="00DF2027"/>
    <w:rsid w:val="00DF3280"/>
    <w:rsid w:val="00DF5940"/>
    <w:rsid w:val="00DF6F9C"/>
    <w:rsid w:val="00E00C73"/>
    <w:rsid w:val="00E01221"/>
    <w:rsid w:val="00E013B2"/>
    <w:rsid w:val="00E02054"/>
    <w:rsid w:val="00E04805"/>
    <w:rsid w:val="00E0520B"/>
    <w:rsid w:val="00E057CB"/>
    <w:rsid w:val="00E05960"/>
    <w:rsid w:val="00E06952"/>
    <w:rsid w:val="00E0727D"/>
    <w:rsid w:val="00E10861"/>
    <w:rsid w:val="00E10F37"/>
    <w:rsid w:val="00E11611"/>
    <w:rsid w:val="00E1430E"/>
    <w:rsid w:val="00E177F4"/>
    <w:rsid w:val="00E20DF7"/>
    <w:rsid w:val="00E234C8"/>
    <w:rsid w:val="00E241C3"/>
    <w:rsid w:val="00E24207"/>
    <w:rsid w:val="00E2796C"/>
    <w:rsid w:val="00E30301"/>
    <w:rsid w:val="00E3118F"/>
    <w:rsid w:val="00E32FBC"/>
    <w:rsid w:val="00E339FE"/>
    <w:rsid w:val="00E35425"/>
    <w:rsid w:val="00E3599D"/>
    <w:rsid w:val="00E36759"/>
    <w:rsid w:val="00E36FC7"/>
    <w:rsid w:val="00E37521"/>
    <w:rsid w:val="00E404A0"/>
    <w:rsid w:val="00E42A26"/>
    <w:rsid w:val="00E42F60"/>
    <w:rsid w:val="00E4342C"/>
    <w:rsid w:val="00E4351C"/>
    <w:rsid w:val="00E44BAE"/>
    <w:rsid w:val="00E44F45"/>
    <w:rsid w:val="00E45254"/>
    <w:rsid w:val="00E45656"/>
    <w:rsid w:val="00E47A74"/>
    <w:rsid w:val="00E50C3D"/>
    <w:rsid w:val="00E51156"/>
    <w:rsid w:val="00E557BF"/>
    <w:rsid w:val="00E557D3"/>
    <w:rsid w:val="00E5630E"/>
    <w:rsid w:val="00E56A7B"/>
    <w:rsid w:val="00E6016B"/>
    <w:rsid w:val="00E6049D"/>
    <w:rsid w:val="00E606B3"/>
    <w:rsid w:val="00E64F4A"/>
    <w:rsid w:val="00E65200"/>
    <w:rsid w:val="00E65393"/>
    <w:rsid w:val="00E663C5"/>
    <w:rsid w:val="00E67B4E"/>
    <w:rsid w:val="00E67EDC"/>
    <w:rsid w:val="00E71462"/>
    <w:rsid w:val="00E82896"/>
    <w:rsid w:val="00E86292"/>
    <w:rsid w:val="00E86AFA"/>
    <w:rsid w:val="00E91221"/>
    <w:rsid w:val="00E92671"/>
    <w:rsid w:val="00E9357E"/>
    <w:rsid w:val="00E9461E"/>
    <w:rsid w:val="00E95B3F"/>
    <w:rsid w:val="00E973E1"/>
    <w:rsid w:val="00EA049E"/>
    <w:rsid w:val="00EA08E4"/>
    <w:rsid w:val="00EA0AC4"/>
    <w:rsid w:val="00EA10D2"/>
    <w:rsid w:val="00EA2B39"/>
    <w:rsid w:val="00EA31FC"/>
    <w:rsid w:val="00EA3701"/>
    <w:rsid w:val="00EA5013"/>
    <w:rsid w:val="00EA59CE"/>
    <w:rsid w:val="00EB2B07"/>
    <w:rsid w:val="00EB3377"/>
    <w:rsid w:val="00EB3B59"/>
    <w:rsid w:val="00EB3C0C"/>
    <w:rsid w:val="00EB5544"/>
    <w:rsid w:val="00EB6EAD"/>
    <w:rsid w:val="00EB7F77"/>
    <w:rsid w:val="00EC0442"/>
    <w:rsid w:val="00EC0525"/>
    <w:rsid w:val="00EC1B45"/>
    <w:rsid w:val="00EC2607"/>
    <w:rsid w:val="00EC3279"/>
    <w:rsid w:val="00EC3C0A"/>
    <w:rsid w:val="00EC60AB"/>
    <w:rsid w:val="00ED0111"/>
    <w:rsid w:val="00ED1970"/>
    <w:rsid w:val="00ED1C38"/>
    <w:rsid w:val="00ED2B49"/>
    <w:rsid w:val="00ED2E92"/>
    <w:rsid w:val="00ED35D9"/>
    <w:rsid w:val="00EE0BAB"/>
    <w:rsid w:val="00EE15C8"/>
    <w:rsid w:val="00EE2680"/>
    <w:rsid w:val="00EE2702"/>
    <w:rsid w:val="00EE386C"/>
    <w:rsid w:val="00EE5901"/>
    <w:rsid w:val="00EE5B67"/>
    <w:rsid w:val="00EE5C23"/>
    <w:rsid w:val="00EE77A5"/>
    <w:rsid w:val="00EF09DF"/>
    <w:rsid w:val="00EF280C"/>
    <w:rsid w:val="00EF33C4"/>
    <w:rsid w:val="00EF3D10"/>
    <w:rsid w:val="00EF78B3"/>
    <w:rsid w:val="00F00938"/>
    <w:rsid w:val="00F017E3"/>
    <w:rsid w:val="00F02AED"/>
    <w:rsid w:val="00F05175"/>
    <w:rsid w:val="00F057DD"/>
    <w:rsid w:val="00F068AE"/>
    <w:rsid w:val="00F06C3D"/>
    <w:rsid w:val="00F07210"/>
    <w:rsid w:val="00F079A7"/>
    <w:rsid w:val="00F10389"/>
    <w:rsid w:val="00F113BF"/>
    <w:rsid w:val="00F115FB"/>
    <w:rsid w:val="00F141F4"/>
    <w:rsid w:val="00F14342"/>
    <w:rsid w:val="00F15524"/>
    <w:rsid w:val="00F16533"/>
    <w:rsid w:val="00F16E9F"/>
    <w:rsid w:val="00F2018B"/>
    <w:rsid w:val="00F20F3B"/>
    <w:rsid w:val="00F21459"/>
    <w:rsid w:val="00F23D2C"/>
    <w:rsid w:val="00F257B3"/>
    <w:rsid w:val="00F25C6E"/>
    <w:rsid w:val="00F25C7E"/>
    <w:rsid w:val="00F26BFF"/>
    <w:rsid w:val="00F428E3"/>
    <w:rsid w:val="00F44F1D"/>
    <w:rsid w:val="00F52E04"/>
    <w:rsid w:val="00F544AB"/>
    <w:rsid w:val="00F56019"/>
    <w:rsid w:val="00F56DE5"/>
    <w:rsid w:val="00F56E2F"/>
    <w:rsid w:val="00F5709E"/>
    <w:rsid w:val="00F61081"/>
    <w:rsid w:val="00F621E4"/>
    <w:rsid w:val="00F62C10"/>
    <w:rsid w:val="00F63617"/>
    <w:rsid w:val="00F63A06"/>
    <w:rsid w:val="00F6556F"/>
    <w:rsid w:val="00F6641F"/>
    <w:rsid w:val="00F771DD"/>
    <w:rsid w:val="00F805C5"/>
    <w:rsid w:val="00F808D7"/>
    <w:rsid w:val="00F85195"/>
    <w:rsid w:val="00F85D04"/>
    <w:rsid w:val="00F8650E"/>
    <w:rsid w:val="00F91AC8"/>
    <w:rsid w:val="00F921DB"/>
    <w:rsid w:val="00F92F7E"/>
    <w:rsid w:val="00F94A57"/>
    <w:rsid w:val="00F96DA6"/>
    <w:rsid w:val="00FA0D05"/>
    <w:rsid w:val="00FA2E54"/>
    <w:rsid w:val="00FA4AFA"/>
    <w:rsid w:val="00FA4D10"/>
    <w:rsid w:val="00FA56AF"/>
    <w:rsid w:val="00FA71B1"/>
    <w:rsid w:val="00FA79D2"/>
    <w:rsid w:val="00FA7FE5"/>
    <w:rsid w:val="00FB1B8D"/>
    <w:rsid w:val="00FB22BF"/>
    <w:rsid w:val="00FB398D"/>
    <w:rsid w:val="00FB3F58"/>
    <w:rsid w:val="00FB4B83"/>
    <w:rsid w:val="00FC01DC"/>
    <w:rsid w:val="00FC77E5"/>
    <w:rsid w:val="00FD0514"/>
    <w:rsid w:val="00FD132E"/>
    <w:rsid w:val="00FD455B"/>
    <w:rsid w:val="00FE022D"/>
    <w:rsid w:val="00FE21AF"/>
    <w:rsid w:val="00FE2331"/>
    <w:rsid w:val="00FE428D"/>
    <w:rsid w:val="00FE4B1E"/>
    <w:rsid w:val="00FE65FE"/>
    <w:rsid w:val="00FE7CFC"/>
    <w:rsid w:val="00FF4149"/>
    <w:rsid w:val="00FF6525"/>
    <w:rsid w:val="01027DBA"/>
    <w:rsid w:val="02F7887D"/>
    <w:rsid w:val="034A2B1F"/>
    <w:rsid w:val="03717C7C"/>
    <w:rsid w:val="04083BA6"/>
    <w:rsid w:val="04C7896F"/>
    <w:rsid w:val="054374F3"/>
    <w:rsid w:val="063EDDFF"/>
    <w:rsid w:val="06539A76"/>
    <w:rsid w:val="0667CA41"/>
    <w:rsid w:val="069BB0E8"/>
    <w:rsid w:val="06E44CD2"/>
    <w:rsid w:val="0781B0B2"/>
    <w:rsid w:val="07CD561B"/>
    <w:rsid w:val="08AF8D9D"/>
    <w:rsid w:val="08D5136C"/>
    <w:rsid w:val="09B1E6A9"/>
    <w:rsid w:val="0A07D710"/>
    <w:rsid w:val="0A5C18D1"/>
    <w:rsid w:val="0A856BCE"/>
    <w:rsid w:val="0B04F6DD"/>
    <w:rsid w:val="0B2D0993"/>
    <w:rsid w:val="0B538809"/>
    <w:rsid w:val="0B643752"/>
    <w:rsid w:val="0B648187"/>
    <w:rsid w:val="0BC5DA2C"/>
    <w:rsid w:val="0C134D8B"/>
    <w:rsid w:val="0C14E7C4"/>
    <w:rsid w:val="0C1F1CFF"/>
    <w:rsid w:val="0C5CFF3F"/>
    <w:rsid w:val="0C6A313B"/>
    <w:rsid w:val="0DB17E86"/>
    <w:rsid w:val="0DE33318"/>
    <w:rsid w:val="0E054873"/>
    <w:rsid w:val="0E34AA19"/>
    <w:rsid w:val="0E83472F"/>
    <w:rsid w:val="0F458936"/>
    <w:rsid w:val="0FBAD40C"/>
    <w:rsid w:val="0FC5BCDA"/>
    <w:rsid w:val="0FF1D708"/>
    <w:rsid w:val="10A3B54F"/>
    <w:rsid w:val="10B683D3"/>
    <w:rsid w:val="10BF223E"/>
    <w:rsid w:val="1194DDD9"/>
    <w:rsid w:val="11BE84DE"/>
    <w:rsid w:val="138F3BFB"/>
    <w:rsid w:val="14180710"/>
    <w:rsid w:val="145C5347"/>
    <w:rsid w:val="14938C8A"/>
    <w:rsid w:val="14F4862C"/>
    <w:rsid w:val="15007279"/>
    <w:rsid w:val="1533DBCA"/>
    <w:rsid w:val="15376FAB"/>
    <w:rsid w:val="154907B2"/>
    <w:rsid w:val="15F40EA5"/>
    <w:rsid w:val="162C18AF"/>
    <w:rsid w:val="16AB8F8C"/>
    <w:rsid w:val="16E5D776"/>
    <w:rsid w:val="17CDF449"/>
    <w:rsid w:val="17E379E5"/>
    <w:rsid w:val="190CE99E"/>
    <w:rsid w:val="193B8247"/>
    <w:rsid w:val="1998A1B1"/>
    <w:rsid w:val="1A39FEE4"/>
    <w:rsid w:val="1A9EFE5D"/>
    <w:rsid w:val="1AB3AA2F"/>
    <w:rsid w:val="1B0B394F"/>
    <w:rsid w:val="1C09F1E2"/>
    <w:rsid w:val="1CC043EC"/>
    <w:rsid w:val="1CD80978"/>
    <w:rsid w:val="1D5AEF9B"/>
    <w:rsid w:val="1DAC1959"/>
    <w:rsid w:val="1DAEA1C8"/>
    <w:rsid w:val="1DB55BBD"/>
    <w:rsid w:val="1EF4D3C0"/>
    <w:rsid w:val="1EFCF0C2"/>
    <w:rsid w:val="2033E760"/>
    <w:rsid w:val="20477C21"/>
    <w:rsid w:val="207C3458"/>
    <w:rsid w:val="20DEAA89"/>
    <w:rsid w:val="20F49DAC"/>
    <w:rsid w:val="2152A404"/>
    <w:rsid w:val="21A0342C"/>
    <w:rsid w:val="21A7648A"/>
    <w:rsid w:val="21B8FCA4"/>
    <w:rsid w:val="220722F8"/>
    <w:rsid w:val="229B3B48"/>
    <w:rsid w:val="22F90984"/>
    <w:rsid w:val="23320DDF"/>
    <w:rsid w:val="25821292"/>
    <w:rsid w:val="259C9783"/>
    <w:rsid w:val="25AA0A09"/>
    <w:rsid w:val="261DE029"/>
    <w:rsid w:val="2641E9AE"/>
    <w:rsid w:val="264A29FF"/>
    <w:rsid w:val="26C77E9E"/>
    <w:rsid w:val="2797A859"/>
    <w:rsid w:val="27F99DAF"/>
    <w:rsid w:val="280EC607"/>
    <w:rsid w:val="282F7430"/>
    <w:rsid w:val="28736D91"/>
    <w:rsid w:val="28808EEE"/>
    <w:rsid w:val="28A875D9"/>
    <w:rsid w:val="28B28684"/>
    <w:rsid w:val="2972F5FE"/>
    <w:rsid w:val="29F95331"/>
    <w:rsid w:val="2A79618A"/>
    <w:rsid w:val="2ADB91A7"/>
    <w:rsid w:val="2B11EE3A"/>
    <w:rsid w:val="2BEFCCC9"/>
    <w:rsid w:val="2C7DF1BB"/>
    <w:rsid w:val="2D25FF29"/>
    <w:rsid w:val="2D5E02FA"/>
    <w:rsid w:val="2E98B082"/>
    <w:rsid w:val="2F688379"/>
    <w:rsid w:val="302B2BE9"/>
    <w:rsid w:val="307B04BB"/>
    <w:rsid w:val="30E5C021"/>
    <w:rsid w:val="31875798"/>
    <w:rsid w:val="31925F3B"/>
    <w:rsid w:val="31E5DB8B"/>
    <w:rsid w:val="322E0EDE"/>
    <w:rsid w:val="324C21A4"/>
    <w:rsid w:val="3270E3DB"/>
    <w:rsid w:val="32A407E6"/>
    <w:rsid w:val="32E2BD4A"/>
    <w:rsid w:val="32E2DFFE"/>
    <w:rsid w:val="33018781"/>
    <w:rsid w:val="336C7506"/>
    <w:rsid w:val="33F74555"/>
    <w:rsid w:val="342C1344"/>
    <w:rsid w:val="3439B5AA"/>
    <w:rsid w:val="347F03FE"/>
    <w:rsid w:val="34D45B88"/>
    <w:rsid w:val="3518D5FF"/>
    <w:rsid w:val="3568769D"/>
    <w:rsid w:val="35AD31F3"/>
    <w:rsid w:val="35D7C4FD"/>
    <w:rsid w:val="3633B1A7"/>
    <w:rsid w:val="363EA6A6"/>
    <w:rsid w:val="36CF9F57"/>
    <w:rsid w:val="36FD14AD"/>
    <w:rsid w:val="37813604"/>
    <w:rsid w:val="37A09D60"/>
    <w:rsid w:val="37C2091E"/>
    <w:rsid w:val="37E6DB42"/>
    <w:rsid w:val="381C9B9A"/>
    <w:rsid w:val="38CD7133"/>
    <w:rsid w:val="398A75AB"/>
    <w:rsid w:val="39E777E6"/>
    <w:rsid w:val="3A93683D"/>
    <w:rsid w:val="3AA4858B"/>
    <w:rsid w:val="3B6BD473"/>
    <w:rsid w:val="3BCAF234"/>
    <w:rsid w:val="3BF35454"/>
    <w:rsid w:val="3CB3FF42"/>
    <w:rsid w:val="3CC448C3"/>
    <w:rsid w:val="3D1B40DC"/>
    <w:rsid w:val="3E1E0873"/>
    <w:rsid w:val="3E6EC9B9"/>
    <w:rsid w:val="3F320311"/>
    <w:rsid w:val="3F8C2ABB"/>
    <w:rsid w:val="400FDDCE"/>
    <w:rsid w:val="401FA40E"/>
    <w:rsid w:val="414BDD23"/>
    <w:rsid w:val="417357E9"/>
    <w:rsid w:val="42621DF5"/>
    <w:rsid w:val="42FA673E"/>
    <w:rsid w:val="435B81E1"/>
    <w:rsid w:val="455398F0"/>
    <w:rsid w:val="461EC771"/>
    <w:rsid w:val="46CB6D90"/>
    <w:rsid w:val="46EA8CC5"/>
    <w:rsid w:val="47510C29"/>
    <w:rsid w:val="47DEF278"/>
    <w:rsid w:val="47EA36BE"/>
    <w:rsid w:val="47FB820F"/>
    <w:rsid w:val="483AAD2A"/>
    <w:rsid w:val="4868905F"/>
    <w:rsid w:val="486CA88E"/>
    <w:rsid w:val="49076D34"/>
    <w:rsid w:val="499168BB"/>
    <w:rsid w:val="49E0E2C5"/>
    <w:rsid w:val="49E47353"/>
    <w:rsid w:val="4A1B606C"/>
    <w:rsid w:val="4A48FE0C"/>
    <w:rsid w:val="4B75A3E8"/>
    <w:rsid w:val="4BCF43AF"/>
    <w:rsid w:val="4C6E1980"/>
    <w:rsid w:val="4D6B1410"/>
    <w:rsid w:val="4DC2B625"/>
    <w:rsid w:val="4E380AF6"/>
    <w:rsid w:val="4E56648B"/>
    <w:rsid w:val="4E5D1491"/>
    <w:rsid w:val="4F7C9B7E"/>
    <w:rsid w:val="4FADCD11"/>
    <w:rsid w:val="506F65A3"/>
    <w:rsid w:val="50A8DFE6"/>
    <w:rsid w:val="50F2CAF7"/>
    <w:rsid w:val="513ABDA0"/>
    <w:rsid w:val="5178CBB9"/>
    <w:rsid w:val="5272CF41"/>
    <w:rsid w:val="52CF3518"/>
    <w:rsid w:val="52E78A67"/>
    <w:rsid w:val="52F57925"/>
    <w:rsid w:val="530D284B"/>
    <w:rsid w:val="533871BB"/>
    <w:rsid w:val="533A2BDB"/>
    <w:rsid w:val="5343F0E4"/>
    <w:rsid w:val="535FCE67"/>
    <w:rsid w:val="5365F1AF"/>
    <w:rsid w:val="53F19441"/>
    <w:rsid w:val="542C0DF4"/>
    <w:rsid w:val="5452FCBD"/>
    <w:rsid w:val="547F188C"/>
    <w:rsid w:val="54AE3593"/>
    <w:rsid w:val="558F3428"/>
    <w:rsid w:val="55F04D69"/>
    <w:rsid w:val="5639667D"/>
    <w:rsid w:val="5653A311"/>
    <w:rsid w:val="5664A060"/>
    <w:rsid w:val="56D0FC98"/>
    <w:rsid w:val="5859B72A"/>
    <w:rsid w:val="585D5B5E"/>
    <w:rsid w:val="58614F2B"/>
    <w:rsid w:val="5878845C"/>
    <w:rsid w:val="58CE3C60"/>
    <w:rsid w:val="58D6C04F"/>
    <w:rsid w:val="58E9D7F7"/>
    <w:rsid w:val="595289AF"/>
    <w:rsid w:val="5A08072D"/>
    <w:rsid w:val="5AC642DD"/>
    <w:rsid w:val="5AEE5A10"/>
    <w:rsid w:val="5B11D847"/>
    <w:rsid w:val="5B14C5A3"/>
    <w:rsid w:val="5B217418"/>
    <w:rsid w:val="5B25FF5D"/>
    <w:rsid w:val="5B42C56E"/>
    <w:rsid w:val="5B8189CA"/>
    <w:rsid w:val="5BB70B21"/>
    <w:rsid w:val="5CDAA101"/>
    <w:rsid w:val="5D34C04E"/>
    <w:rsid w:val="5E0B6717"/>
    <w:rsid w:val="5E4007EA"/>
    <w:rsid w:val="60B7F10D"/>
    <w:rsid w:val="60D05216"/>
    <w:rsid w:val="617F0A8B"/>
    <w:rsid w:val="61B8FBE3"/>
    <w:rsid w:val="61D88190"/>
    <w:rsid w:val="62083171"/>
    <w:rsid w:val="62139879"/>
    <w:rsid w:val="629322B5"/>
    <w:rsid w:val="62A0E2B2"/>
    <w:rsid w:val="62F0CC7E"/>
    <w:rsid w:val="63151CC1"/>
    <w:rsid w:val="63263040"/>
    <w:rsid w:val="63333C51"/>
    <w:rsid w:val="63490368"/>
    <w:rsid w:val="63BA6646"/>
    <w:rsid w:val="63D8DCBD"/>
    <w:rsid w:val="63F2243B"/>
    <w:rsid w:val="64E3B648"/>
    <w:rsid w:val="65D6AD0C"/>
    <w:rsid w:val="666D0F69"/>
    <w:rsid w:val="66741162"/>
    <w:rsid w:val="66D44CCB"/>
    <w:rsid w:val="66FBC07F"/>
    <w:rsid w:val="6789DE67"/>
    <w:rsid w:val="67B6280E"/>
    <w:rsid w:val="680E3C16"/>
    <w:rsid w:val="685A56CB"/>
    <w:rsid w:val="688346F4"/>
    <w:rsid w:val="689E1ECA"/>
    <w:rsid w:val="698DF046"/>
    <w:rsid w:val="6AA3B9A8"/>
    <w:rsid w:val="6B44065F"/>
    <w:rsid w:val="6BBFB939"/>
    <w:rsid w:val="6C3F8A09"/>
    <w:rsid w:val="6C7B8230"/>
    <w:rsid w:val="6CFF1F71"/>
    <w:rsid w:val="6E62C39B"/>
    <w:rsid w:val="6E987780"/>
    <w:rsid w:val="6E9AEFD2"/>
    <w:rsid w:val="6F2688AB"/>
    <w:rsid w:val="7036C033"/>
    <w:rsid w:val="703A757B"/>
    <w:rsid w:val="708223ED"/>
    <w:rsid w:val="713A5269"/>
    <w:rsid w:val="71400346"/>
    <w:rsid w:val="71572631"/>
    <w:rsid w:val="718212B2"/>
    <w:rsid w:val="7191D9DB"/>
    <w:rsid w:val="7217388A"/>
    <w:rsid w:val="72A21D02"/>
    <w:rsid w:val="72D1D37F"/>
    <w:rsid w:val="730C27E8"/>
    <w:rsid w:val="7347CC87"/>
    <w:rsid w:val="73E5FF22"/>
    <w:rsid w:val="7404376D"/>
    <w:rsid w:val="740B10D6"/>
    <w:rsid w:val="744D538D"/>
    <w:rsid w:val="74F108F9"/>
    <w:rsid w:val="750121AC"/>
    <w:rsid w:val="76042315"/>
    <w:rsid w:val="76FC6F7C"/>
    <w:rsid w:val="773338A4"/>
    <w:rsid w:val="777F3F39"/>
    <w:rsid w:val="78646EA3"/>
    <w:rsid w:val="78C83CE4"/>
    <w:rsid w:val="79A459DF"/>
    <w:rsid w:val="79F8A7A7"/>
    <w:rsid w:val="7A05D5B6"/>
    <w:rsid w:val="7A3154A6"/>
    <w:rsid w:val="7AE6E4E6"/>
    <w:rsid w:val="7B091224"/>
    <w:rsid w:val="7B5CD731"/>
    <w:rsid w:val="7B96E080"/>
    <w:rsid w:val="7C6453AD"/>
    <w:rsid w:val="7C649888"/>
    <w:rsid w:val="7C7B93D0"/>
    <w:rsid w:val="7C9EECF1"/>
    <w:rsid w:val="7CD1F747"/>
    <w:rsid w:val="7CF2D600"/>
    <w:rsid w:val="7D9CDC0F"/>
    <w:rsid w:val="7DC65BFE"/>
    <w:rsid w:val="7DF3E6AC"/>
    <w:rsid w:val="7E9892D4"/>
    <w:rsid w:val="7EB972EB"/>
    <w:rsid w:val="7F2CDCFC"/>
    <w:rsid w:val="7F53D888"/>
    <w:rsid w:val="7F53EDD6"/>
    <w:rsid w:val="7F624E92"/>
    <w:rsid w:val="7FC2FB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B7990"/>
  <w15:docId w15:val="{5A5F8CE7-C48C-4474-9455-06C845AB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3"/>
      </w:numPr>
      <w:outlineLvl w:val="0"/>
    </w:pPr>
    <w:rPr>
      <w:kern w:val="24"/>
    </w:rPr>
  </w:style>
  <w:style w:type="paragraph" w:styleId="Heading2">
    <w:name w:val="heading 2"/>
    <w:aliases w:val="Outline2"/>
    <w:basedOn w:val="Normal"/>
    <w:next w:val="Normal"/>
    <w:qFormat/>
    <w:rsid w:val="00157346"/>
    <w:pPr>
      <w:numPr>
        <w:ilvl w:val="1"/>
        <w:numId w:val="3"/>
      </w:numPr>
      <w:ind w:left="720"/>
      <w:outlineLvl w:val="1"/>
    </w:pPr>
    <w:rPr>
      <w:kern w:val="24"/>
    </w:rPr>
  </w:style>
  <w:style w:type="paragraph" w:styleId="Heading3">
    <w:name w:val="heading 3"/>
    <w:aliases w:val="Outline3"/>
    <w:basedOn w:val="Normal"/>
    <w:next w:val="Normal"/>
    <w:qFormat/>
    <w:rsid w:val="00157346"/>
    <w:pPr>
      <w:numPr>
        <w:ilvl w:val="2"/>
        <w:numId w:val="3"/>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2"/>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noteText">
    <w:name w:val="footnote text"/>
    <w:basedOn w:val="Normal"/>
    <w:link w:val="FootnoteTextChar"/>
    <w:rsid w:val="00CD41A0"/>
    <w:rPr>
      <w:rFonts w:ascii="Times New Roman" w:hAnsi="Times New Roman"/>
      <w:sz w:val="20"/>
      <w:lang w:eastAsia="en-GB"/>
    </w:rPr>
  </w:style>
  <w:style w:type="character" w:customStyle="1" w:styleId="FootnoteTextChar">
    <w:name w:val="Footnote Text Char"/>
    <w:basedOn w:val="DefaultParagraphFont"/>
    <w:link w:val="FootnoteText"/>
    <w:rsid w:val="00CD41A0"/>
    <w:rPr>
      <w:rFonts w:ascii="Times New Roman" w:hAnsi="Times New Roman"/>
      <w:sz w:val="20"/>
    </w:rPr>
  </w:style>
  <w:style w:type="character" w:styleId="FootnoteReference">
    <w:name w:val="footnote reference"/>
    <w:uiPriority w:val="99"/>
    <w:rsid w:val="00CD41A0"/>
    <w:rPr>
      <w:vertAlign w:val="superscript"/>
    </w:rPr>
  </w:style>
  <w:style w:type="paragraph" w:styleId="ListParagraph">
    <w:name w:val="List Paragraph"/>
    <w:aliases w:val="Dot pt,No Spacing1,List Paragraph Char Char Char,Indicator Text,Numbered Para 1,Bullet 1,List Paragraph1,Bullet Points,MAIN CONTENT,List Paragraph12,F5 List Paragraph,OBC Bullet,Colorful List - Accent 11,Normal numbered,List Paragraph11"/>
    <w:basedOn w:val="Normal"/>
    <w:link w:val="ListParagraphChar"/>
    <w:uiPriority w:val="34"/>
    <w:qFormat/>
    <w:rsid w:val="00CD41A0"/>
    <w:pPr>
      <w:ind w:left="720"/>
    </w:pPr>
    <w:rPr>
      <w:rFonts w:ascii="Times New Roman" w:hAnsi="Times New Roman"/>
      <w:lang w:eastAsia="en-GB"/>
    </w:rPr>
  </w:style>
  <w:style w:type="character" w:customStyle="1" w:styleId="ListParagraphChar">
    <w:name w:val="List Paragraph Char"/>
    <w:aliases w:val="Dot pt Char,No Spacing1 Char,List Paragraph Char Char Char Char,Indicator Text Char,Numbered Para 1 Char,Bullet 1 Char,List Paragraph1 Char,Bullet Points Char,MAIN CONTENT Char,List Paragraph12 Char,F5 List Paragraph Char"/>
    <w:link w:val="ListParagraph"/>
    <w:uiPriority w:val="99"/>
    <w:qFormat/>
    <w:locked/>
    <w:rsid w:val="00CD41A0"/>
    <w:rPr>
      <w:rFonts w:ascii="Times New Roman" w:hAnsi="Times New Roman"/>
    </w:rPr>
  </w:style>
  <w:style w:type="paragraph" w:customStyle="1" w:styleId="Body">
    <w:name w:val="Body"/>
    <w:basedOn w:val="Normal"/>
    <w:rsid w:val="00CD41A0"/>
    <w:pPr>
      <w:tabs>
        <w:tab w:val="clear" w:pos="720"/>
        <w:tab w:val="clear" w:pos="1440"/>
        <w:tab w:val="clear" w:pos="2160"/>
        <w:tab w:val="clear" w:pos="2880"/>
        <w:tab w:val="clear" w:pos="4680"/>
        <w:tab w:val="clear" w:pos="5400"/>
        <w:tab w:val="clear" w:pos="9000"/>
        <w:tab w:val="left" w:pos="851"/>
        <w:tab w:val="left" w:pos="1701"/>
        <w:tab w:val="left" w:pos="2835"/>
        <w:tab w:val="left" w:pos="4253"/>
      </w:tabs>
      <w:spacing w:after="240" w:line="312" w:lineRule="auto"/>
    </w:pPr>
    <w:rPr>
      <w:rFonts w:ascii="Times New Roman" w:hAnsi="Times New Roman"/>
      <w:lang w:eastAsia="en-GB"/>
    </w:rPr>
  </w:style>
  <w:style w:type="table" w:styleId="TableGrid">
    <w:name w:val="Table Grid"/>
    <w:basedOn w:val="TableNormal"/>
    <w:uiPriority w:val="39"/>
    <w:rsid w:val="00E0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3756"/>
    <w:pPr>
      <w:autoSpaceDE w:val="0"/>
      <w:autoSpaceDN w:val="0"/>
      <w:adjustRightInd w:val="0"/>
    </w:pPr>
    <w:rPr>
      <w:rFonts w:ascii="Calibri" w:hAnsi="Calibri" w:cs="Calibri"/>
      <w:color w:val="000000"/>
      <w:szCs w:val="24"/>
    </w:rPr>
  </w:style>
  <w:style w:type="character" w:customStyle="1" w:styleId="FooterChar">
    <w:name w:val="Footer Char"/>
    <w:basedOn w:val="DefaultParagraphFont"/>
    <w:link w:val="Footer"/>
    <w:uiPriority w:val="99"/>
    <w:rsid w:val="005A3CFD"/>
    <w:rPr>
      <w:lang w:eastAsia="en-US"/>
    </w:rPr>
  </w:style>
  <w:style w:type="character" w:customStyle="1" w:styleId="HeaderChar">
    <w:name w:val="Header Char"/>
    <w:link w:val="Header"/>
    <w:locked/>
    <w:rsid w:val="00413035"/>
    <w:rPr>
      <w:lang w:eastAsia="en-US"/>
    </w:rPr>
  </w:style>
  <w:style w:type="paragraph" w:styleId="BalloonText">
    <w:name w:val="Balloon Text"/>
    <w:basedOn w:val="Normal"/>
    <w:link w:val="BalloonTextChar"/>
    <w:uiPriority w:val="99"/>
    <w:semiHidden/>
    <w:unhideWhenUsed/>
    <w:rsid w:val="004130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035"/>
    <w:rPr>
      <w:rFonts w:ascii="Tahoma" w:hAnsi="Tahoma" w:cs="Tahoma"/>
      <w:sz w:val="16"/>
      <w:szCs w:val="16"/>
      <w:lang w:eastAsia="en-US"/>
    </w:rPr>
  </w:style>
  <w:style w:type="character" w:styleId="Hyperlink">
    <w:name w:val="Hyperlink"/>
    <w:rsid w:val="008D711B"/>
    <w:rPr>
      <w:color w:val="0000FF"/>
      <w:u w:val="single"/>
    </w:rPr>
  </w:style>
  <w:style w:type="character" w:styleId="CommentReference">
    <w:name w:val="annotation reference"/>
    <w:basedOn w:val="DefaultParagraphFont"/>
    <w:uiPriority w:val="99"/>
    <w:semiHidden/>
    <w:unhideWhenUsed/>
    <w:rsid w:val="003F2F4F"/>
    <w:rPr>
      <w:sz w:val="16"/>
      <w:szCs w:val="16"/>
    </w:rPr>
  </w:style>
  <w:style w:type="paragraph" w:styleId="CommentText">
    <w:name w:val="annotation text"/>
    <w:basedOn w:val="Normal"/>
    <w:link w:val="CommentTextChar"/>
    <w:uiPriority w:val="99"/>
    <w:semiHidden/>
    <w:unhideWhenUsed/>
    <w:rsid w:val="003F2F4F"/>
    <w:pPr>
      <w:spacing w:line="240" w:lineRule="auto"/>
    </w:pPr>
    <w:rPr>
      <w:sz w:val="20"/>
    </w:rPr>
  </w:style>
  <w:style w:type="character" w:customStyle="1" w:styleId="CommentTextChar">
    <w:name w:val="Comment Text Char"/>
    <w:basedOn w:val="DefaultParagraphFont"/>
    <w:link w:val="CommentText"/>
    <w:uiPriority w:val="99"/>
    <w:semiHidden/>
    <w:rsid w:val="003F2F4F"/>
    <w:rPr>
      <w:sz w:val="20"/>
      <w:lang w:eastAsia="en-US"/>
    </w:rPr>
  </w:style>
  <w:style w:type="paragraph" w:styleId="CommentSubject">
    <w:name w:val="annotation subject"/>
    <w:basedOn w:val="CommentText"/>
    <w:next w:val="CommentText"/>
    <w:link w:val="CommentSubjectChar"/>
    <w:uiPriority w:val="99"/>
    <w:semiHidden/>
    <w:unhideWhenUsed/>
    <w:rsid w:val="003F2F4F"/>
    <w:rPr>
      <w:b/>
      <w:bCs/>
    </w:rPr>
  </w:style>
  <w:style w:type="character" w:customStyle="1" w:styleId="CommentSubjectChar">
    <w:name w:val="Comment Subject Char"/>
    <w:basedOn w:val="CommentTextChar"/>
    <w:link w:val="CommentSubject"/>
    <w:uiPriority w:val="99"/>
    <w:semiHidden/>
    <w:rsid w:val="003F2F4F"/>
    <w:rPr>
      <w:b/>
      <w:bCs/>
      <w:sz w:val="20"/>
      <w:lang w:eastAsia="en-US"/>
    </w:rPr>
  </w:style>
  <w:style w:type="paragraph" w:styleId="Revision">
    <w:name w:val="Revision"/>
    <w:hidden/>
    <w:uiPriority w:val="99"/>
    <w:semiHidden/>
    <w:rsid w:val="00EA59CE"/>
    <w:rPr>
      <w:lang w:eastAsia="en-US"/>
    </w:rPr>
  </w:style>
  <w:style w:type="character" w:styleId="Emphasis">
    <w:name w:val="Emphasis"/>
    <w:basedOn w:val="DefaultParagraphFont"/>
    <w:uiPriority w:val="20"/>
    <w:qFormat/>
    <w:rsid w:val="0052223D"/>
    <w:rPr>
      <w:b/>
      <w:bCs/>
      <w:i w:val="0"/>
      <w:iCs w:val="0"/>
    </w:rPr>
  </w:style>
  <w:style w:type="paragraph" w:styleId="EndnoteText">
    <w:name w:val="endnote text"/>
    <w:basedOn w:val="Normal"/>
    <w:link w:val="EndnoteTextChar"/>
    <w:uiPriority w:val="99"/>
    <w:semiHidden/>
    <w:unhideWhenUsed/>
    <w:rsid w:val="004664A3"/>
    <w:pPr>
      <w:spacing w:line="240" w:lineRule="auto"/>
    </w:pPr>
    <w:rPr>
      <w:sz w:val="20"/>
    </w:rPr>
  </w:style>
  <w:style w:type="character" w:customStyle="1" w:styleId="EndnoteTextChar">
    <w:name w:val="Endnote Text Char"/>
    <w:basedOn w:val="DefaultParagraphFont"/>
    <w:link w:val="EndnoteText"/>
    <w:uiPriority w:val="99"/>
    <w:semiHidden/>
    <w:rsid w:val="004664A3"/>
    <w:rPr>
      <w:sz w:val="20"/>
      <w:lang w:eastAsia="en-US"/>
    </w:rPr>
  </w:style>
  <w:style w:type="character" w:styleId="EndnoteReference">
    <w:name w:val="endnote reference"/>
    <w:basedOn w:val="DefaultParagraphFont"/>
    <w:uiPriority w:val="99"/>
    <w:semiHidden/>
    <w:unhideWhenUsed/>
    <w:rsid w:val="004664A3"/>
    <w:rPr>
      <w:vertAlign w:val="superscript"/>
    </w:rPr>
  </w:style>
  <w:style w:type="character" w:customStyle="1" w:styleId="normaltextrun">
    <w:name w:val="normaltextrun"/>
    <w:basedOn w:val="DefaultParagraphFont"/>
    <w:rsid w:val="00B37840"/>
  </w:style>
  <w:style w:type="character" w:customStyle="1" w:styleId="eop">
    <w:name w:val="eop"/>
    <w:basedOn w:val="DefaultParagraphFont"/>
    <w:rsid w:val="00DC109A"/>
  </w:style>
  <w:style w:type="paragraph" w:customStyle="1" w:styleId="paragraph">
    <w:name w:val="paragraph"/>
    <w:basedOn w:val="Normal"/>
    <w:rsid w:val="00DC109A"/>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7839">
      <w:bodyDiv w:val="1"/>
      <w:marLeft w:val="0"/>
      <w:marRight w:val="0"/>
      <w:marTop w:val="0"/>
      <w:marBottom w:val="0"/>
      <w:divBdr>
        <w:top w:val="none" w:sz="0" w:space="0" w:color="auto"/>
        <w:left w:val="none" w:sz="0" w:space="0" w:color="auto"/>
        <w:bottom w:val="none" w:sz="0" w:space="0" w:color="auto"/>
        <w:right w:val="none" w:sz="0" w:space="0" w:color="auto"/>
      </w:divBdr>
    </w:div>
    <w:div w:id="138042319">
      <w:bodyDiv w:val="1"/>
      <w:marLeft w:val="0"/>
      <w:marRight w:val="0"/>
      <w:marTop w:val="0"/>
      <w:marBottom w:val="0"/>
      <w:divBdr>
        <w:top w:val="none" w:sz="0" w:space="0" w:color="auto"/>
        <w:left w:val="none" w:sz="0" w:space="0" w:color="auto"/>
        <w:bottom w:val="none" w:sz="0" w:space="0" w:color="auto"/>
        <w:right w:val="none" w:sz="0" w:space="0" w:color="auto"/>
      </w:divBdr>
    </w:div>
    <w:div w:id="149753991">
      <w:bodyDiv w:val="1"/>
      <w:marLeft w:val="0"/>
      <w:marRight w:val="0"/>
      <w:marTop w:val="0"/>
      <w:marBottom w:val="0"/>
      <w:divBdr>
        <w:top w:val="none" w:sz="0" w:space="0" w:color="auto"/>
        <w:left w:val="none" w:sz="0" w:space="0" w:color="auto"/>
        <w:bottom w:val="none" w:sz="0" w:space="0" w:color="auto"/>
        <w:right w:val="none" w:sz="0" w:space="0" w:color="auto"/>
      </w:divBdr>
    </w:div>
    <w:div w:id="183252441">
      <w:bodyDiv w:val="1"/>
      <w:marLeft w:val="0"/>
      <w:marRight w:val="0"/>
      <w:marTop w:val="0"/>
      <w:marBottom w:val="0"/>
      <w:divBdr>
        <w:top w:val="none" w:sz="0" w:space="0" w:color="auto"/>
        <w:left w:val="none" w:sz="0" w:space="0" w:color="auto"/>
        <w:bottom w:val="none" w:sz="0" w:space="0" w:color="auto"/>
        <w:right w:val="none" w:sz="0" w:space="0" w:color="auto"/>
      </w:divBdr>
    </w:div>
    <w:div w:id="191770258">
      <w:bodyDiv w:val="1"/>
      <w:marLeft w:val="0"/>
      <w:marRight w:val="0"/>
      <w:marTop w:val="0"/>
      <w:marBottom w:val="0"/>
      <w:divBdr>
        <w:top w:val="none" w:sz="0" w:space="0" w:color="auto"/>
        <w:left w:val="none" w:sz="0" w:space="0" w:color="auto"/>
        <w:bottom w:val="none" w:sz="0" w:space="0" w:color="auto"/>
        <w:right w:val="none" w:sz="0" w:space="0" w:color="auto"/>
      </w:divBdr>
    </w:div>
    <w:div w:id="382483069">
      <w:bodyDiv w:val="1"/>
      <w:marLeft w:val="0"/>
      <w:marRight w:val="0"/>
      <w:marTop w:val="0"/>
      <w:marBottom w:val="0"/>
      <w:divBdr>
        <w:top w:val="none" w:sz="0" w:space="0" w:color="auto"/>
        <w:left w:val="none" w:sz="0" w:space="0" w:color="auto"/>
        <w:bottom w:val="none" w:sz="0" w:space="0" w:color="auto"/>
        <w:right w:val="none" w:sz="0" w:space="0" w:color="auto"/>
      </w:divBdr>
    </w:div>
    <w:div w:id="394664554">
      <w:bodyDiv w:val="1"/>
      <w:marLeft w:val="0"/>
      <w:marRight w:val="0"/>
      <w:marTop w:val="0"/>
      <w:marBottom w:val="0"/>
      <w:divBdr>
        <w:top w:val="none" w:sz="0" w:space="0" w:color="auto"/>
        <w:left w:val="none" w:sz="0" w:space="0" w:color="auto"/>
        <w:bottom w:val="none" w:sz="0" w:space="0" w:color="auto"/>
        <w:right w:val="none" w:sz="0" w:space="0" w:color="auto"/>
      </w:divBdr>
    </w:div>
    <w:div w:id="473257965">
      <w:bodyDiv w:val="1"/>
      <w:marLeft w:val="0"/>
      <w:marRight w:val="0"/>
      <w:marTop w:val="0"/>
      <w:marBottom w:val="0"/>
      <w:divBdr>
        <w:top w:val="none" w:sz="0" w:space="0" w:color="auto"/>
        <w:left w:val="none" w:sz="0" w:space="0" w:color="auto"/>
        <w:bottom w:val="none" w:sz="0" w:space="0" w:color="auto"/>
        <w:right w:val="none" w:sz="0" w:space="0" w:color="auto"/>
      </w:divBdr>
    </w:div>
    <w:div w:id="611864833">
      <w:bodyDiv w:val="1"/>
      <w:marLeft w:val="0"/>
      <w:marRight w:val="0"/>
      <w:marTop w:val="0"/>
      <w:marBottom w:val="0"/>
      <w:divBdr>
        <w:top w:val="none" w:sz="0" w:space="0" w:color="auto"/>
        <w:left w:val="none" w:sz="0" w:space="0" w:color="auto"/>
        <w:bottom w:val="none" w:sz="0" w:space="0" w:color="auto"/>
        <w:right w:val="none" w:sz="0" w:space="0" w:color="auto"/>
      </w:divBdr>
    </w:div>
    <w:div w:id="669059614">
      <w:bodyDiv w:val="1"/>
      <w:marLeft w:val="0"/>
      <w:marRight w:val="0"/>
      <w:marTop w:val="0"/>
      <w:marBottom w:val="0"/>
      <w:divBdr>
        <w:top w:val="none" w:sz="0" w:space="0" w:color="auto"/>
        <w:left w:val="none" w:sz="0" w:space="0" w:color="auto"/>
        <w:bottom w:val="none" w:sz="0" w:space="0" w:color="auto"/>
        <w:right w:val="none" w:sz="0" w:space="0" w:color="auto"/>
      </w:divBdr>
    </w:div>
    <w:div w:id="727072024">
      <w:bodyDiv w:val="1"/>
      <w:marLeft w:val="0"/>
      <w:marRight w:val="0"/>
      <w:marTop w:val="0"/>
      <w:marBottom w:val="0"/>
      <w:divBdr>
        <w:top w:val="none" w:sz="0" w:space="0" w:color="auto"/>
        <w:left w:val="none" w:sz="0" w:space="0" w:color="auto"/>
        <w:bottom w:val="none" w:sz="0" w:space="0" w:color="auto"/>
        <w:right w:val="none" w:sz="0" w:space="0" w:color="auto"/>
      </w:divBdr>
    </w:div>
    <w:div w:id="732387306">
      <w:bodyDiv w:val="1"/>
      <w:marLeft w:val="0"/>
      <w:marRight w:val="0"/>
      <w:marTop w:val="0"/>
      <w:marBottom w:val="0"/>
      <w:divBdr>
        <w:top w:val="none" w:sz="0" w:space="0" w:color="auto"/>
        <w:left w:val="none" w:sz="0" w:space="0" w:color="auto"/>
        <w:bottom w:val="none" w:sz="0" w:space="0" w:color="auto"/>
        <w:right w:val="none" w:sz="0" w:space="0" w:color="auto"/>
      </w:divBdr>
    </w:div>
    <w:div w:id="742682929">
      <w:bodyDiv w:val="1"/>
      <w:marLeft w:val="0"/>
      <w:marRight w:val="0"/>
      <w:marTop w:val="0"/>
      <w:marBottom w:val="0"/>
      <w:divBdr>
        <w:top w:val="none" w:sz="0" w:space="0" w:color="auto"/>
        <w:left w:val="none" w:sz="0" w:space="0" w:color="auto"/>
        <w:bottom w:val="none" w:sz="0" w:space="0" w:color="auto"/>
        <w:right w:val="none" w:sz="0" w:space="0" w:color="auto"/>
      </w:divBdr>
    </w:div>
    <w:div w:id="778330868">
      <w:bodyDiv w:val="1"/>
      <w:marLeft w:val="0"/>
      <w:marRight w:val="0"/>
      <w:marTop w:val="0"/>
      <w:marBottom w:val="0"/>
      <w:divBdr>
        <w:top w:val="none" w:sz="0" w:space="0" w:color="auto"/>
        <w:left w:val="none" w:sz="0" w:space="0" w:color="auto"/>
        <w:bottom w:val="none" w:sz="0" w:space="0" w:color="auto"/>
        <w:right w:val="none" w:sz="0" w:space="0" w:color="auto"/>
      </w:divBdr>
    </w:div>
    <w:div w:id="798692373">
      <w:bodyDiv w:val="1"/>
      <w:marLeft w:val="0"/>
      <w:marRight w:val="0"/>
      <w:marTop w:val="0"/>
      <w:marBottom w:val="0"/>
      <w:divBdr>
        <w:top w:val="none" w:sz="0" w:space="0" w:color="auto"/>
        <w:left w:val="none" w:sz="0" w:space="0" w:color="auto"/>
        <w:bottom w:val="none" w:sz="0" w:space="0" w:color="auto"/>
        <w:right w:val="none" w:sz="0" w:space="0" w:color="auto"/>
      </w:divBdr>
    </w:div>
    <w:div w:id="860314550">
      <w:bodyDiv w:val="1"/>
      <w:marLeft w:val="0"/>
      <w:marRight w:val="0"/>
      <w:marTop w:val="0"/>
      <w:marBottom w:val="0"/>
      <w:divBdr>
        <w:top w:val="none" w:sz="0" w:space="0" w:color="auto"/>
        <w:left w:val="none" w:sz="0" w:space="0" w:color="auto"/>
        <w:bottom w:val="none" w:sz="0" w:space="0" w:color="auto"/>
        <w:right w:val="none" w:sz="0" w:space="0" w:color="auto"/>
      </w:divBdr>
    </w:div>
    <w:div w:id="902377577">
      <w:bodyDiv w:val="1"/>
      <w:marLeft w:val="0"/>
      <w:marRight w:val="0"/>
      <w:marTop w:val="0"/>
      <w:marBottom w:val="0"/>
      <w:divBdr>
        <w:top w:val="none" w:sz="0" w:space="0" w:color="auto"/>
        <w:left w:val="none" w:sz="0" w:space="0" w:color="auto"/>
        <w:bottom w:val="none" w:sz="0" w:space="0" w:color="auto"/>
        <w:right w:val="none" w:sz="0" w:space="0" w:color="auto"/>
      </w:divBdr>
    </w:div>
    <w:div w:id="954752132">
      <w:bodyDiv w:val="1"/>
      <w:marLeft w:val="0"/>
      <w:marRight w:val="0"/>
      <w:marTop w:val="0"/>
      <w:marBottom w:val="0"/>
      <w:divBdr>
        <w:top w:val="none" w:sz="0" w:space="0" w:color="auto"/>
        <w:left w:val="none" w:sz="0" w:space="0" w:color="auto"/>
        <w:bottom w:val="none" w:sz="0" w:space="0" w:color="auto"/>
        <w:right w:val="none" w:sz="0" w:space="0" w:color="auto"/>
      </w:divBdr>
    </w:div>
    <w:div w:id="1102385559">
      <w:bodyDiv w:val="1"/>
      <w:marLeft w:val="0"/>
      <w:marRight w:val="0"/>
      <w:marTop w:val="0"/>
      <w:marBottom w:val="0"/>
      <w:divBdr>
        <w:top w:val="none" w:sz="0" w:space="0" w:color="auto"/>
        <w:left w:val="none" w:sz="0" w:space="0" w:color="auto"/>
        <w:bottom w:val="none" w:sz="0" w:space="0" w:color="auto"/>
        <w:right w:val="none" w:sz="0" w:space="0" w:color="auto"/>
      </w:divBdr>
    </w:div>
    <w:div w:id="1102803870">
      <w:bodyDiv w:val="1"/>
      <w:marLeft w:val="0"/>
      <w:marRight w:val="0"/>
      <w:marTop w:val="0"/>
      <w:marBottom w:val="0"/>
      <w:divBdr>
        <w:top w:val="none" w:sz="0" w:space="0" w:color="auto"/>
        <w:left w:val="none" w:sz="0" w:space="0" w:color="auto"/>
        <w:bottom w:val="none" w:sz="0" w:space="0" w:color="auto"/>
        <w:right w:val="none" w:sz="0" w:space="0" w:color="auto"/>
      </w:divBdr>
    </w:div>
    <w:div w:id="1257402400">
      <w:bodyDiv w:val="1"/>
      <w:marLeft w:val="0"/>
      <w:marRight w:val="0"/>
      <w:marTop w:val="0"/>
      <w:marBottom w:val="0"/>
      <w:divBdr>
        <w:top w:val="none" w:sz="0" w:space="0" w:color="auto"/>
        <w:left w:val="none" w:sz="0" w:space="0" w:color="auto"/>
        <w:bottom w:val="none" w:sz="0" w:space="0" w:color="auto"/>
        <w:right w:val="none" w:sz="0" w:space="0" w:color="auto"/>
      </w:divBdr>
      <w:divsChild>
        <w:div w:id="1540507585">
          <w:marLeft w:val="0"/>
          <w:marRight w:val="0"/>
          <w:marTop w:val="0"/>
          <w:marBottom w:val="0"/>
          <w:divBdr>
            <w:top w:val="none" w:sz="0" w:space="0" w:color="auto"/>
            <w:left w:val="none" w:sz="0" w:space="0" w:color="auto"/>
            <w:bottom w:val="none" w:sz="0" w:space="0" w:color="auto"/>
            <w:right w:val="none" w:sz="0" w:space="0" w:color="auto"/>
          </w:divBdr>
          <w:divsChild>
            <w:div w:id="1980576841">
              <w:marLeft w:val="0"/>
              <w:marRight w:val="0"/>
              <w:marTop w:val="0"/>
              <w:marBottom w:val="0"/>
              <w:divBdr>
                <w:top w:val="none" w:sz="0" w:space="0" w:color="auto"/>
                <w:left w:val="none" w:sz="0" w:space="0" w:color="auto"/>
                <w:bottom w:val="none" w:sz="0" w:space="0" w:color="auto"/>
                <w:right w:val="none" w:sz="0" w:space="0" w:color="auto"/>
              </w:divBdr>
              <w:divsChild>
                <w:div w:id="1959337832">
                  <w:marLeft w:val="2835"/>
                  <w:marRight w:val="0"/>
                  <w:marTop w:val="0"/>
                  <w:marBottom w:val="0"/>
                  <w:divBdr>
                    <w:top w:val="none" w:sz="0" w:space="0" w:color="auto"/>
                    <w:left w:val="none" w:sz="0" w:space="0" w:color="auto"/>
                    <w:bottom w:val="none" w:sz="0" w:space="0" w:color="auto"/>
                    <w:right w:val="none" w:sz="0" w:space="0" w:color="auto"/>
                  </w:divBdr>
                  <w:divsChild>
                    <w:div w:id="1880894003">
                      <w:marLeft w:val="0"/>
                      <w:marRight w:val="0"/>
                      <w:marTop w:val="0"/>
                      <w:marBottom w:val="264"/>
                      <w:divBdr>
                        <w:top w:val="none" w:sz="0" w:space="0" w:color="auto"/>
                        <w:left w:val="none" w:sz="0" w:space="0" w:color="auto"/>
                        <w:bottom w:val="none" w:sz="0" w:space="0" w:color="auto"/>
                        <w:right w:val="none" w:sz="0" w:space="0" w:color="auto"/>
                      </w:divBdr>
                      <w:divsChild>
                        <w:div w:id="1203591891">
                          <w:marLeft w:val="0"/>
                          <w:marRight w:val="0"/>
                          <w:marTop w:val="0"/>
                          <w:marBottom w:val="0"/>
                          <w:divBdr>
                            <w:top w:val="none" w:sz="0" w:space="0" w:color="auto"/>
                            <w:left w:val="none" w:sz="0" w:space="0" w:color="auto"/>
                            <w:bottom w:val="none" w:sz="0" w:space="0" w:color="auto"/>
                            <w:right w:val="none" w:sz="0" w:space="0" w:color="auto"/>
                          </w:divBdr>
                          <w:divsChild>
                            <w:div w:id="16675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86426">
      <w:bodyDiv w:val="1"/>
      <w:marLeft w:val="0"/>
      <w:marRight w:val="0"/>
      <w:marTop w:val="0"/>
      <w:marBottom w:val="0"/>
      <w:divBdr>
        <w:top w:val="none" w:sz="0" w:space="0" w:color="auto"/>
        <w:left w:val="none" w:sz="0" w:space="0" w:color="auto"/>
        <w:bottom w:val="none" w:sz="0" w:space="0" w:color="auto"/>
        <w:right w:val="none" w:sz="0" w:space="0" w:color="auto"/>
      </w:divBdr>
    </w:div>
    <w:div w:id="1476798324">
      <w:bodyDiv w:val="1"/>
      <w:marLeft w:val="0"/>
      <w:marRight w:val="0"/>
      <w:marTop w:val="0"/>
      <w:marBottom w:val="0"/>
      <w:divBdr>
        <w:top w:val="none" w:sz="0" w:space="0" w:color="auto"/>
        <w:left w:val="none" w:sz="0" w:space="0" w:color="auto"/>
        <w:bottom w:val="none" w:sz="0" w:space="0" w:color="auto"/>
        <w:right w:val="none" w:sz="0" w:space="0" w:color="auto"/>
      </w:divBdr>
    </w:div>
    <w:div w:id="1486818853">
      <w:bodyDiv w:val="1"/>
      <w:marLeft w:val="0"/>
      <w:marRight w:val="0"/>
      <w:marTop w:val="0"/>
      <w:marBottom w:val="0"/>
      <w:divBdr>
        <w:top w:val="none" w:sz="0" w:space="0" w:color="auto"/>
        <w:left w:val="none" w:sz="0" w:space="0" w:color="auto"/>
        <w:bottom w:val="none" w:sz="0" w:space="0" w:color="auto"/>
        <w:right w:val="none" w:sz="0" w:space="0" w:color="auto"/>
      </w:divBdr>
    </w:div>
    <w:div w:id="1833568702">
      <w:bodyDiv w:val="1"/>
      <w:marLeft w:val="0"/>
      <w:marRight w:val="0"/>
      <w:marTop w:val="0"/>
      <w:marBottom w:val="0"/>
      <w:divBdr>
        <w:top w:val="none" w:sz="0" w:space="0" w:color="auto"/>
        <w:left w:val="none" w:sz="0" w:space="0" w:color="auto"/>
        <w:bottom w:val="none" w:sz="0" w:space="0" w:color="auto"/>
        <w:right w:val="none" w:sz="0" w:space="0" w:color="auto"/>
      </w:divBdr>
    </w:div>
    <w:div w:id="2106799368">
      <w:bodyDiv w:val="1"/>
      <w:marLeft w:val="0"/>
      <w:marRight w:val="0"/>
      <w:marTop w:val="0"/>
      <w:marBottom w:val="0"/>
      <w:divBdr>
        <w:top w:val="none" w:sz="0" w:space="0" w:color="auto"/>
        <w:left w:val="none" w:sz="0" w:space="0" w:color="auto"/>
        <w:bottom w:val="none" w:sz="0" w:space="0" w:color="auto"/>
        <w:right w:val="none" w:sz="0" w:space="0" w:color="auto"/>
      </w:divBdr>
      <w:divsChild>
        <w:div w:id="424229728">
          <w:marLeft w:val="0"/>
          <w:marRight w:val="0"/>
          <w:marTop w:val="0"/>
          <w:marBottom w:val="0"/>
          <w:divBdr>
            <w:top w:val="none" w:sz="0" w:space="0" w:color="auto"/>
            <w:left w:val="none" w:sz="0" w:space="0" w:color="auto"/>
            <w:bottom w:val="none" w:sz="0" w:space="0" w:color="auto"/>
            <w:right w:val="none" w:sz="0" w:space="0" w:color="auto"/>
          </w:divBdr>
        </w:div>
      </w:divsChild>
    </w:div>
    <w:div w:id="21222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5c0a7ce6e255497c"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67AE13FBD584ABEFCF026840CED6F" ma:contentTypeVersion="12" ma:contentTypeDescription="Create a new document." ma:contentTypeScope="" ma:versionID="ce1b19aeef6afbb2cc3f53b3ecc97212">
  <xsd:schema xmlns:xsd="http://www.w3.org/2001/XMLSchema" xmlns:xs="http://www.w3.org/2001/XMLSchema" xmlns:p="http://schemas.microsoft.com/office/2006/metadata/properties" xmlns:ns2="d56b9130-d22a-480d-bb83-f34040f04d96" xmlns:ns3="dd8606a3-d959-45f7-996e-3c98d970357c" targetNamespace="http://schemas.microsoft.com/office/2006/metadata/properties" ma:root="true" ma:fieldsID="56eb57938ebbdcbfca925926715647c6" ns2:_="" ns3:_="">
    <xsd:import namespace="d56b9130-d22a-480d-bb83-f34040f04d96"/>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b9130-d22a-480d-bb83-f34040f04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8606a3-d959-45f7-996e-3c98d970357c">
      <UserInfo>
        <DisplayName>Jon Rattenbury</DisplayName>
        <AccountId>45</AccountId>
        <AccountType/>
      </UserInfo>
      <UserInfo>
        <DisplayName>John Calwell</DisplayName>
        <AccountId>79</AccountId>
        <AccountType/>
      </UserInfo>
      <UserInfo>
        <DisplayName>Phillip Morris</DisplayName>
        <AccountId>314</AccountId>
        <AccountType/>
      </UserInfo>
      <UserInfo>
        <DisplayName>Chris Grainger</DisplayName>
        <AccountId>55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0EAA-C673-477A-A276-6C2789CEE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b9130-d22a-480d-bb83-f34040f04d96"/>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B5493-B74A-4908-B671-9AAC48A6A3DB}">
  <ds:schemaRefs>
    <ds:schemaRef ds:uri="http://schemas.microsoft.com/sharepoint/v3/contenttype/forms"/>
  </ds:schemaRefs>
</ds:datastoreItem>
</file>

<file path=customXml/itemProps3.xml><?xml version="1.0" encoding="utf-8"?>
<ds:datastoreItem xmlns:ds="http://schemas.openxmlformats.org/officeDocument/2006/customXml" ds:itemID="{85C55A65-64DB-4A53-B441-E2E3D3821383}">
  <ds:schemaRefs>
    <ds:schemaRef ds:uri="http://schemas.microsoft.com/office/2006/metadata/properties"/>
    <ds:schemaRef ds:uri="http://schemas.microsoft.com/office/infopath/2007/PartnerControls"/>
    <ds:schemaRef ds:uri="dd8606a3-d959-45f7-996e-3c98d970357c"/>
  </ds:schemaRefs>
</ds:datastoreItem>
</file>

<file path=customXml/itemProps4.xml><?xml version="1.0" encoding="utf-8"?>
<ds:datastoreItem xmlns:ds="http://schemas.openxmlformats.org/officeDocument/2006/customXml" ds:itemID="{F2F55AB8-8A5B-4562-A449-ECEC62A2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3252</Words>
  <Characters>18543</Characters>
  <Application>Microsoft Office Word</Application>
  <DocSecurity>0</DocSecurity>
  <Lines>154</Lines>
  <Paragraphs>43</Paragraphs>
  <ScaleCrop>false</ScaleCrop>
  <Company>Scottish Government</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u204232</dc:creator>
  <cp:keywords/>
  <cp:lastModifiedBy>Kate Watson</cp:lastModifiedBy>
  <cp:revision>133</cp:revision>
  <cp:lastPrinted>2014-10-09T21:27:00Z</cp:lastPrinted>
  <dcterms:created xsi:type="dcterms:W3CDTF">2021-02-08T07:21:00Z</dcterms:created>
  <dcterms:modified xsi:type="dcterms:W3CDTF">2021-03-04T14:17:00Z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A8479346</vt:lpwstr>
  </property>
  <property fmtid="{D5CDD505-2E9C-101B-9397-08002B2CF9AE}" pid="4" name="Objective-Title">
    <vt:lpwstr>HEEPS2 - National Scheme - ITT - Part 02 - Schedule 01 - Specification (Section A: Introduction) - 15 October 2014</vt:lpwstr>
  </property>
  <property fmtid="{D5CDD505-2E9C-101B-9397-08002B2CF9AE}" pid="5" name="Objective-Comment">
    <vt:lpwstr>
    </vt:lpwstr>
  </property>
  <property fmtid="{D5CDD505-2E9C-101B-9397-08002B2CF9AE}" pid="6" name="Objective-CreationStamp">
    <vt:filetime>2014-05-22T10:17:10Z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2014-11-05T10:38:21Z</vt:filetime>
  </property>
  <property fmtid="{D5CDD505-2E9C-101B-9397-08002B2CF9AE}" pid="11" name="Objective-Owner">
    <vt:lpwstr>Mott, Andrew A (u204232)</vt:lpwstr>
  </property>
  <property fmtid="{D5CDD505-2E9C-101B-9397-08002B2CF9AE}" pid="12" name="Objective-Path">
    <vt:lpwstr>Objective Global Folder:SG File Plan:Business and industry:Energy and fuel:General:Advice and policy: Energy and fuel - general:Home Energy Efficiency Programmes for Scotland 2: National Schemes Development: 2013-2018:</vt:lpwstr>
  </property>
  <property fmtid="{D5CDD505-2E9C-101B-9397-08002B2CF9AE}" pid="13" name="Objective-Parent">
    <vt:lpwstr>Home Energy Efficiency Programmes for Scotland 2: National Schemes Development: 2013-2018</vt:lpwstr>
  </property>
  <property fmtid="{D5CDD505-2E9C-101B-9397-08002B2CF9AE}" pid="14" name="Objective-State">
    <vt:lpwstr>Being Edited</vt:lpwstr>
  </property>
  <property fmtid="{D5CDD505-2E9C-101B-9397-08002B2CF9AE}" pid="15" name="Objective-Version">
    <vt:lpwstr>20.1</vt:lpwstr>
  </property>
  <property fmtid="{D5CDD505-2E9C-101B-9397-08002B2CF9AE}" pid="16" name="Objective-VersionNumber">
    <vt:i4>41</vt:i4>
  </property>
  <property fmtid="{D5CDD505-2E9C-101B-9397-08002B2CF9AE}" pid="17" name="Objective-VersionComment">
    <vt:lpwstr>
    </vt:lpwstr>
  </property>
  <property fmtid="{D5CDD505-2E9C-101B-9397-08002B2CF9AE}" pid="18" name="Objective-FileNumber">
    <vt:lpwstr>POL/19688</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ContentTypeId">
    <vt:lpwstr>0x01010026B67AE13FBD584ABEFCF026840CED6F</vt:lpwstr>
  </property>
</Properties>
</file>