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color w:val="5F497A" w:themeColor="accent4" w:themeShade="BF"/>
          <w:lang w:val="en-GB" w:eastAsia="en-US"/>
        </w:rPr>
        <w:id w:val="671766109"/>
        <w:docPartObj>
          <w:docPartGallery w:val="Cover Pages"/>
          <w:docPartUnique/>
        </w:docPartObj>
      </w:sdtPr>
      <w:sdtEndPr>
        <w:rPr>
          <w:rFonts w:ascii="Arial" w:eastAsiaTheme="minorHAnsi" w:hAnsi="Arial" w:cs="Arial"/>
          <w:b/>
          <w:color w:val="auto"/>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2"/>
          </w:tblGrid>
          <w:tr w:rsidR="00303463" w:rsidRPr="00303463" w:rsidTr="00F632FB">
            <w:sdt>
              <w:sdtPr>
                <w:rPr>
                  <w:rFonts w:asciiTheme="majorHAnsi" w:eastAsiaTheme="majorEastAsia" w:hAnsiTheme="majorHAnsi" w:cstheme="majorBidi"/>
                  <w:color w:val="5F497A" w:themeColor="accent4" w:themeShade="BF"/>
                  <w:lang w:val="en-GB" w:eastAsia="en-US"/>
                </w:rPr>
                <w:alias w:val="Company"/>
                <w:id w:val="13406915"/>
                <w:dataBinding w:prefixMappings="xmlns:ns0='http://schemas.openxmlformats.org/officeDocument/2006/extended-properties'" w:xpath="/ns0:Properties[1]/ns0:Company[1]" w:storeItemID="{6668398D-A668-4E3E-A5EB-62B293D839F1}"/>
                <w:text/>
              </w:sdtPr>
              <w:sdtEndPr>
                <w:rPr>
                  <w:rFonts w:ascii="Arial" w:hAnsi="Arial" w:cs="Arial"/>
                  <w:sz w:val="24"/>
                  <w:szCs w:val="24"/>
                  <w:lang w:val="en-US" w:eastAsia="ja-JP"/>
                </w:rPr>
              </w:sdtEndPr>
              <w:sdtContent>
                <w:tc>
                  <w:tcPr>
                    <w:tcW w:w="7405" w:type="dxa"/>
                    <w:tcMar>
                      <w:top w:w="216" w:type="dxa"/>
                      <w:left w:w="115" w:type="dxa"/>
                      <w:bottom w:w="216" w:type="dxa"/>
                      <w:right w:w="115" w:type="dxa"/>
                    </w:tcMar>
                  </w:tcPr>
                  <w:p w:rsidR="007033C0" w:rsidRPr="00303463" w:rsidRDefault="00D03EC7" w:rsidP="007033C0">
                    <w:pPr>
                      <w:pStyle w:val="NoSpacing"/>
                      <w:rPr>
                        <w:rFonts w:asciiTheme="majorHAnsi" w:eastAsiaTheme="majorEastAsia" w:hAnsiTheme="majorHAnsi" w:cstheme="majorBidi"/>
                        <w:color w:val="5F497A" w:themeColor="accent4" w:themeShade="BF"/>
                      </w:rPr>
                    </w:pPr>
                    <w:r w:rsidRPr="00303463">
                      <w:rPr>
                        <w:rFonts w:asciiTheme="majorHAnsi" w:eastAsiaTheme="majorEastAsia" w:hAnsiTheme="majorHAnsi" w:cstheme="majorBidi"/>
                        <w:color w:val="5F497A" w:themeColor="accent4" w:themeShade="BF"/>
                        <w:lang w:val="en-GB" w:eastAsia="en-US"/>
                      </w:rPr>
                      <w:t>Somerset County Council</w:t>
                    </w:r>
                    <w:r w:rsidR="00046782">
                      <w:rPr>
                        <w:rFonts w:asciiTheme="majorHAnsi" w:eastAsiaTheme="majorEastAsia" w:hAnsiTheme="majorHAnsi" w:cstheme="majorBidi"/>
                        <w:color w:val="5F497A" w:themeColor="accent4" w:themeShade="BF"/>
                        <w:lang w:val="en-GB" w:eastAsia="en-US"/>
                      </w:rPr>
                      <w:t xml:space="preserve"> and Somerset Clinical Commissioning Group</w:t>
                    </w:r>
                  </w:p>
                </w:tc>
              </w:sdtContent>
            </w:sdt>
          </w:tr>
          <w:tr w:rsidR="00303463" w:rsidRPr="00303463" w:rsidTr="00F632FB">
            <w:tc>
              <w:tcPr>
                <w:tcW w:w="7405" w:type="dxa"/>
              </w:tcPr>
              <w:sdt>
                <w:sdtPr>
                  <w:rPr>
                    <w:rFonts w:ascii="Arial" w:eastAsiaTheme="majorEastAsia" w:hAnsi="Arial" w:cs="Arial"/>
                    <w:color w:val="5F497A" w:themeColor="accent4" w:themeShade="BF"/>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7033C0" w:rsidRPr="00303463" w:rsidRDefault="00046782" w:rsidP="003343B6">
                    <w:pPr>
                      <w:pStyle w:val="NoSpacing"/>
                      <w:rPr>
                        <w:rFonts w:asciiTheme="majorHAnsi" w:eastAsiaTheme="majorEastAsia" w:hAnsiTheme="majorHAnsi" w:cstheme="majorBidi"/>
                        <w:color w:val="5F497A" w:themeColor="accent4" w:themeShade="BF"/>
                        <w:sz w:val="80"/>
                        <w:szCs w:val="80"/>
                      </w:rPr>
                    </w:pPr>
                    <w:r>
                      <w:rPr>
                        <w:rFonts w:ascii="Arial" w:eastAsiaTheme="majorEastAsia" w:hAnsi="Arial" w:cs="Arial"/>
                        <w:color w:val="5F497A" w:themeColor="accent4" w:themeShade="BF"/>
                        <w:sz w:val="80"/>
                        <w:szCs w:val="80"/>
                        <w:lang w:val="en-GB"/>
                      </w:rPr>
                      <w:t>Disabled Children and Young People with Complex Health and Social Care Needs</w:t>
                    </w:r>
                  </w:p>
                </w:sdtContent>
              </w:sdt>
            </w:tc>
          </w:tr>
          <w:tr w:rsidR="00303463" w:rsidRPr="00303463" w:rsidTr="00F632FB">
            <w:sdt>
              <w:sdtPr>
                <w:rPr>
                  <w:rFonts w:ascii="Arial" w:eastAsiaTheme="majorEastAsia" w:hAnsi="Arial" w:cs="Arial"/>
                  <w:b/>
                  <w:color w:val="5F497A" w:themeColor="accent4" w:themeShade="BF"/>
                  <w:sz w:val="40"/>
                  <w:szCs w:val="40"/>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7033C0" w:rsidRPr="00303463" w:rsidRDefault="00B25D4C" w:rsidP="007033C0">
                    <w:pPr>
                      <w:pStyle w:val="NoSpacing"/>
                      <w:rPr>
                        <w:rFonts w:asciiTheme="majorHAnsi" w:eastAsiaTheme="majorEastAsia" w:hAnsiTheme="majorHAnsi" w:cstheme="majorBidi"/>
                        <w:color w:val="5F497A" w:themeColor="accent4" w:themeShade="BF"/>
                      </w:rPr>
                    </w:pPr>
                    <w:r>
                      <w:rPr>
                        <w:rFonts w:ascii="Arial" w:eastAsiaTheme="majorEastAsia" w:hAnsi="Arial" w:cs="Arial"/>
                        <w:b/>
                        <w:color w:val="5F497A" w:themeColor="accent4" w:themeShade="BF"/>
                        <w:sz w:val="40"/>
                        <w:szCs w:val="40"/>
                        <w:lang w:val="en-GB"/>
                      </w:rPr>
                      <w:t>Homecare Framework Lot 5 -     Service Specification</w:t>
                    </w:r>
                  </w:p>
                </w:tc>
              </w:sdtContent>
            </w:sdt>
          </w:tr>
        </w:tbl>
        <w:p w:rsidR="007033C0" w:rsidRDefault="007033C0" w:rsidP="00F632FB">
          <w:pPr>
            <w:jc w:val="right"/>
          </w:pPr>
        </w:p>
        <w:p w:rsidR="007033C0" w:rsidRDefault="007033C0"/>
        <w:tbl>
          <w:tblPr>
            <w:tblpPr w:leftFromText="187" w:rightFromText="187" w:horzAnchor="margin" w:tblpXSpec="center" w:tblpYSpec="bottom"/>
            <w:tblW w:w="4000" w:type="pct"/>
            <w:tblLook w:val="04A0" w:firstRow="1" w:lastRow="0" w:firstColumn="1" w:lastColumn="0" w:noHBand="0" w:noVBand="1"/>
          </w:tblPr>
          <w:tblGrid>
            <w:gridCol w:w="7221"/>
          </w:tblGrid>
          <w:tr w:rsidR="007033C0">
            <w:tc>
              <w:tcPr>
                <w:tcW w:w="7672" w:type="dxa"/>
                <w:tcMar>
                  <w:top w:w="216" w:type="dxa"/>
                  <w:left w:w="115" w:type="dxa"/>
                  <w:bottom w:w="216" w:type="dxa"/>
                  <w:right w:w="115" w:type="dxa"/>
                </w:tcMar>
              </w:tcPr>
              <w:sdt>
                <w:sdtPr>
                  <w:rPr>
                    <w:color w:val="5F497A" w:themeColor="accent4" w:themeShade="BF"/>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7033C0" w:rsidRPr="00303463" w:rsidRDefault="00046782">
                    <w:pPr>
                      <w:pStyle w:val="NoSpacing"/>
                      <w:rPr>
                        <w:color w:val="5F497A" w:themeColor="accent4" w:themeShade="BF"/>
                      </w:rPr>
                    </w:pPr>
                    <w:r>
                      <w:rPr>
                        <w:color w:val="5F497A" w:themeColor="accent4" w:themeShade="BF"/>
                        <w:lang w:val="en-GB"/>
                      </w:rPr>
                      <w:t>Somerset County Council</w:t>
                    </w:r>
                  </w:p>
                </w:sdtContent>
              </w:sdt>
              <w:p w:rsidR="007033C0" w:rsidRPr="00303463" w:rsidRDefault="00046782">
                <w:pPr>
                  <w:pStyle w:val="NoSpacing"/>
                  <w:rPr>
                    <w:color w:val="5F497A" w:themeColor="accent4" w:themeShade="BF"/>
                  </w:rPr>
                </w:pPr>
                <w:r>
                  <w:rPr>
                    <w:color w:val="5F497A" w:themeColor="accent4" w:themeShade="BF"/>
                  </w:rPr>
                  <w:t>June</w:t>
                </w:r>
                <w:r w:rsidR="003343B6">
                  <w:rPr>
                    <w:color w:val="5F497A" w:themeColor="accent4" w:themeShade="BF"/>
                  </w:rPr>
                  <w:t xml:space="preserve"> </w:t>
                </w:r>
                <w:r w:rsidR="00C174E6">
                  <w:rPr>
                    <w:color w:val="5F497A" w:themeColor="accent4" w:themeShade="BF"/>
                  </w:rPr>
                  <w:t>2018</w:t>
                </w:r>
                <w:r w:rsidR="00666C3B">
                  <w:rPr>
                    <w:color w:val="5F497A" w:themeColor="accent4" w:themeShade="BF"/>
                  </w:rPr>
                  <w:t xml:space="preserve"> </w:t>
                </w:r>
              </w:p>
              <w:p w:rsidR="007033C0" w:rsidRPr="00303463" w:rsidRDefault="007033C0">
                <w:pPr>
                  <w:pStyle w:val="NoSpacing"/>
                  <w:rPr>
                    <w:color w:val="5F497A" w:themeColor="accent4" w:themeShade="BF"/>
                  </w:rPr>
                </w:pPr>
              </w:p>
            </w:tc>
          </w:tr>
        </w:tbl>
        <w:p w:rsidR="007033C0" w:rsidRDefault="00D006A2" w:rsidP="00D006A2">
          <w:pPr>
            <w:tabs>
              <w:tab w:val="left" w:pos="5674"/>
            </w:tabs>
          </w:pPr>
          <w:r>
            <w:tab/>
          </w:r>
        </w:p>
        <w:p w:rsidR="00602713" w:rsidRDefault="007033C0" w:rsidP="00303463">
          <w:pPr>
            <w:tabs>
              <w:tab w:val="left" w:pos="7230"/>
            </w:tabs>
            <w:jc w:val="center"/>
            <w:rPr>
              <w:rFonts w:ascii="Arial" w:hAnsi="Arial" w:cs="Arial"/>
              <w:b/>
              <w:sz w:val="24"/>
              <w:szCs w:val="24"/>
            </w:rPr>
          </w:pPr>
          <w:r>
            <w:rPr>
              <w:rFonts w:ascii="Arial" w:hAnsi="Arial" w:cs="Arial"/>
              <w:b/>
              <w:sz w:val="24"/>
              <w:szCs w:val="24"/>
            </w:rPr>
            <w:br w:type="page"/>
          </w:r>
        </w:p>
      </w:sdtContent>
    </w:sdt>
    <w:p w:rsidR="00716674" w:rsidRDefault="00716674" w:rsidP="0039485F">
      <w:pPr>
        <w:jc w:val="center"/>
        <w:rPr>
          <w:rFonts w:ascii="Arial" w:hAnsi="Arial" w:cs="Arial"/>
          <w:b/>
          <w:sz w:val="28"/>
          <w:szCs w:val="28"/>
        </w:rPr>
      </w:pPr>
    </w:p>
    <w:p w:rsidR="00716674" w:rsidRDefault="00716674" w:rsidP="0039485F">
      <w:pPr>
        <w:jc w:val="center"/>
        <w:rPr>
          <w:rFonts w:ascii="Arial" w:hAnsi="Arial" w:cs="Arial"/>
          <w:b/>
          <w:sz w:val="28"/>
          <w:szCs w:val="28"/>
        </w:rPr>
      </w:pPr>
    </w:p>
    <w:p w:rsidR="004B7A04" w:rsidRDefault="004B7A04" w:rsidP="0039485F">
      <w:pPr>
        <w:jc w:val="center"/>
        <w:rPr>
          <w:rFonts w:ascii="Arial" w:hAnsi="Arial" w:cs="Arial"/>
          <w:b/>
          <w:sz w:val="28"/>
          <w:szCs w:val="28"/>
        </w:rPr>
      </w:pPr>
      <w:r w:rsidRPr="004B7A04">
        <w:rPr>
          <w:rFonts w:ascii="Arial" w:hAnsi="Arial" w:cs="Arial"/>
          <w:b/>
          <w:sz w:val="28"/>
          <w:szCs w:val="28"/>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6478"/>
        <w:gridCol w:w="759"/>
      </w:tblGrid>
      <w:tr w:rsidR="00EF6BE4" w:rsidTr="00831774">
        <w:tc>
          <w:tcPr>
            <w:tcW w:w="1809" w:type="dxa"/>
          </w:tcPr>
          <w:p w:rsidR="00EF6BE4" w:rsidRDefault="00EF6BE4" w:rsidP="007645F7">
            <w:pPr>
              <w:rPr>
                <w:rFonts w:ascii="Arial" w:hAnsi="Arial" w:cs="Arial"/>
                <w:b/>
                <w:sz w:val="24"/>
                <w:szCs w:val="24"/>
              </w:rPr>
            </w:pPr>
          </w:p>
        </w:tc>
        <w:tc>
          <w:tcPr>
            <w:tcW w:w="6663" w:type="dxa"/>
          </w:tcPr>
          <w:p w:rsidR="001D61D6" w:rsidRDefault="001D61D6" w:rsidP="0074601B">
            <w:pPr>
              <w:rPr>
                <w:rFonts w:ascii="Arial" w:hAnsi="Arial" w:cs="Arial"/>
                <w:b/>
                <w:sz w:val="24"/>
                <w:szCs w:val="24"/>
              </w:rPr>
            </w:pPr>
          </w:p>
        </w:tc>
        <w:tc>
          <w:tcPr>
            <w:tcW w:w="770" w:type="dxa"/>
          </w:tcPr>
          <w:p w:rsidR="00EF6BE4" w:rsidRPr="001D61D6" w:rsidRDefault="00EF6BE4" w:rsidP="00EF6BE4">
            <w:pPr>
              <w:jc w:val="center"/>
              <w:rPr>
                <w:rFonts w:ascii="Arial" w:hAnsi="Arial" w:cs="Arial"/>
                <w:sz w:val="24"/>
                <w:szCs w:val="24"/>
              </w:rPr>
            </w:pPr>
          </w:p>
        </w:tc>
      </w:tr>
      <w:tr w:rsidR="00EF6BE4" w:rsidTr="00831774">
        <w:tc>
          <w:tcPr>
            <w:tcW w:w="1809" w:type="dxa"/>
          </w:tcPr>
          <w:p w:rsidR="00EF6BE4" w:rsidRDefault="00EF6BE4" w:rsidP="007645F7">
            <w:pPr>
              <w:rPr>
                <w:rFonts w:ascii="Arial" w:hAnsi="Arial" w:cs="Arial"/>
                <w:b/>
                <w:sz w:val="24"/>
                <w:szCs w:val="24"/>
              </w:rPr>
            </w:pPr>
            <w:r>
              <w:rPr>
                <w:rFonts w:ascii="Arial" w:hAnsi="Arial" w:cs="Arial"/>
                <w:b/>
                <w:sz w:val="24"/>
                <w:szCs w:val="24"/>
              </w:rPr>
              <w:t>Section 1</w:t>
            </w:r>
          </w:p>
        </w:tc>
        <w:tc>
          <w:tcPr>
            <w:tcW w:w="6663" w:type="dxa"/>
          </w:tcPr>
          <w:p w:rsidR="00EF6BE4" w:rsidRDefault="00716674" w:rsidP="00716674">
            <w:pPr>
              <w:rPr>
                <w:rFonts w:ascii="Arial" w:hAnsi="Arial" w:cs="Arial"/>
                <w:b/>
                <w:sz w:val="24"/>
                <w:szCs w:val="24"/>
              </w:rPr>
            </w:pPr>
            <w:r>
              <w:rPr>
                <w:rFonts w:ascii="Arial" w:hAnsi="Arial" w:cs="Arial"/>
                <w:b/>
                <w:sz w:val="24"/>
                <w:szCs w:val="24"/>
              </w:rPr>
              <w:t>Background</w:t>
            </w:r>
            <w:r>
              <w:rPr>
                <w:rFonts w:ascii="Arial" w:hAnsi="Arial" w:cs="Arial"/>
                <w:b/>
                <w:sz w:val="24"/>
                <w:szCs w:val="24"/>
              </w:rPr>
              <w:tab/>
            </w:r>
          </w:p>
        </w:tc>
        <w:tc>
          <w:tcPr>
            <w:tcW w:w="770" w:type="dxa"/>
          </w:tcPr>
          <w:p w:rsidR="00EF6BE4" w:rsidRPr="001D61D6" w:rsidRDefault="0011019B" w:rsidP="00EF6BE4">
            <w:pPr>
              <w:jc w:val="center"/>
              <w:rPr>
                <w:rFonts w:ascii="Arial" w:hAnsi="Arial" w:cs="Arial"/>
                <w:sz w:val="24"/>
                <w:szCs w:val="24"/>
              </w:rPr>
            </w:pPr>
            <w:r>
              <w:rPr>
                <w:rFonts w:ascii="Arial" w:hAnsi="Arial" w:cs="Arial"/>
                <w:sz w:val="24"/>
                <w:szCs w:val="24"/>
              </w:rPr>
              <w:t>2</w:t>
            </w:r>
          </w:p>
        </w:tc>
      </w:tr>
      <w:tr w:rsidR="00EF6BE4" w:rsidTr="00831774">
        <w:tc>
          <w:tcPr>
            <w:tcW w:w="1809" w:type="dxa"/>
          </w:tcPr>
          <w:p w:rsidR="00537931" w:rsidRPr="00EF6BE4" w:rsidRDefault="00EF6BE4" w:rsidP="007645F7">
            <w:pPr>
              <w:rPr>
                <w:rFonts w:ascii="Arial" w:hAnsi="Arial" w:cs="Arial"/>
                <w:sz w:val="24"/>
                <w:szCs w:val="24"/>
              </w:rPr>
            </w:pPr>
            <w:r w:rsidRPr="00EF6BE4">
              <w:rPr>
                <w:rFonts w:ascii="Arial" w:hAnsi="Arial" w:cs="Arial"/>
                <w:sz w:val="24"/>
                <w:szCs w:val="24"/>
              </w:rPr>
              <w:t>1.1</w:t>
            </w:r>
          </w:p>
        </w:tc>
        <w:tc>
          <w:tcPr>
            <w:tcW w:w="6663" w:type="dxa"/>
          </w:tcPr>
          <w:p w:rsidR="00EF6BE4" w:rsidRPr="00537931" w:rsidRDefault="00537931" w:rsidP="007645F7">
            <w:pPr>
              <w:rPr>
                <w:rFonts w:ascii="Arial" w:hAnsi="Arial" w:cs="Arial"/>
                <w:sz w:val="24"/>
                <w:szCs w:val="24"/>
              </w:rPr>
            </w:pPr>
            <w:r>
              <w:rPr>
                <w:rFonts w:ascii="Arial" w:hAnsi="Arial" w:cs="Arial"/>
                <w:sz w:val="24"/>
                <w:szCs w:val="24"/>
              </w:rPr>
              <w:t>Introduction</w:t>
            </w:r>
          </w:p>
        </w:tc>
        <w:tc>
          <w:tcPr>
            <w:tcW w:w="770" w:type="dxa"/>
          </w:tcPr>
          <w:p w:rsidR="00EF6BE4" w:rsidRPr="001D61D6" w:rsidRDefault="0011019B" w:rsidP="001D61D6">
            <w:pPr>
              <w:jc w:val="center"/>
              <w:rPr>
                <w:rFonts w:ascii="Arial" w:hAnsi="Arial" w:cs="Arial"/>
                <w:sz w:val="24"/>
                <w:szCs w:val="24"/>
              </w:rPr>
            </w:pPr>
            <w:r>
              <w:rPr>
                <w:rFonts w:ascii="Arial" w:hAnsi="Arial" w:cs="Arial"/>
                <w:sz w:val="24"/>
                <w:szCs w:val="24"/>
              </w:rPr>
              <w:t>2</w:t>
            </w:r>
          </w:p>
        </w:tc>
      </w:tr>
      <w:tr w:rsidR="00537931" w:rsidTr="00716674">
        <w:trPr>
          <w:trHeight w:val="431"/>
        </w:trPr>
        <w:tc>
          <w:tcPr>
            <w:tcW w:w="1809" w:type="dxa"/>
          </w:tcPr>
          <w:p w:rsidR="00537931" w:rsidRPr="00EF6BE4" w:rsidRDefault="00537931" w:rsidP="007645F7">
            <w:pPr>
              <w:rPr>
                <w:rFonts w:ascii="Arial" w:hAnsi="Arial" w:cs="Arial"/>
                <w:sz w:val="24"/>
                <w:szCs w:val="24"/>
              </w:rPr>
            </w:pPr>
            <w:r>
              <w:rPr>
                <w:rFonts w:ascii="Arial" w:hAnsi="Arial" w:cs="Arial"/>
                <w:sz w:val="24"/>
                <w:szCs w:val="24"/>
              </w:rPr>
              <w:t>1.2</w:t>
            </w:r>
          </w:p>
        </w:tc>
        <w:tc>
          <w:tcPr>
            <w:tcW w:w="6663" w:type="dxa"/>
          </w:tcPr>
          <w:p w:rsidR="00537931" w:rsidRDefault="00537931" w:rsidP="007645F7">
            <w:pPr>
              <w:rPr>
                <w:rFonts w:ascii="Arial" w:hAnsi="Arial" w:cs="Arial"/>
                <w:sz w:val="24"/>
                <w:szCs w:val="24"/>
              </w:rPr>
            </w:pPr>
            <w:r>
              <w:rPr>
                <w:rFonts w:ascii="Arial" w:hAnsi="Arial" w:cs="Arial"/>
                <w:sz w:val="24"/>
                <w:szCs w:val="24"/>
              </w:rPr>
              <w:t>B</w:t>
            </w:r>
            <w:r w:rsidR="00651E31">
              <w:rPr>
                <w:rFonts w:ascii="Arial" w:hAnsi="Arial" w:cs="Arial"/>
                <w:sz w:val="24"/>
                <w:szCs w:val="24"/>
              </w:rPr>
              <w:t xml:space="preserve">ackground </w:t>
            </w:r>
          </w:p>
          <w:p w:rsidR="00716674" w:rsidRDefault="00716674" w:rsidP="007645F7">
            <w:pPr>
              <w:rPr>
                <w:rFonts w:ascii="Arial" w:hAnsi="Arial" w:cs="Arial"/>
                <w:sz w:val="24"/>
                <w:szCs w:val="24"/>
              </w:rPr>
            </w:pPr>
          </w:p>
          <w:p w:rsidR="00716674" w:rsidRDefault="00716674" w:rsidP="007645F7">
            <w:pPr>
              <w:rPr>
                <w:rFonts w:ascii="Arial" w:hAnsi="Arial" w:cs="Arial"/>
                <w:sz w:val="24"/>
                <w:szCs w:val="24"/>
              </w:rPr>
            </w:pPr>
          </w:p>
        </w:tc>
        <w:tc>
          <w:tcPr>
            <w:tcW w:w="770" w:type="dxa"/>
          </w:tcPr>
          <w:p w:rsidR="00537931" w:rsidRPr="001D61D6" w:rsidRDefault="0011019B" w:rsidP="001D61D6">
            <w:pPr>
              <w:jc w:val="center"/>
              <w:rPr>
                <w:rFonts w:ascii="Arial" w:hAnsi="Arial" w:cs="Arial"/>
                <w:sz w:val="24"/>
                <w:szCs w:val="24"/>
              </w:rPr>
            </w:pPr>
            <w:r>
              <w:rPr>
                <w:rFonts w:ascii="Arial" w:hAnsi="Arial" w:cs="Arial"/>
                <w:sz w:val="24"/>
                <w:szCs w:val="24"/>
              </w:rPr>
              <w:t>2</w:t>
            </w:r>
          </w:p>
        </w:tc>
      </w:tr>
      <w:tr w:rsidR="00EF6BE4" w:rsidTr="00831774">
        <w:tc>
          <w:tcPr>
            <w:tcW w:w="1809" w:type="dxa"/>
          </w:tcPr>
          <w:p w:rsidR="00EF6BE4" w:rsidRDefault="00EF6BE4" w:rsidP="007645F7">
            <w:pPr>
              <w:rPr>
                <w:rFonts w:ascii="Arial" w:hAnsi="Arial" w:cs="Arial"/>
                <w:b/>
                <w:sz w:val="24"/>
                <w:szCs w:val="24"/>
              </w:rPr>
            </w:pPr>
            <w:r>
              <w:rPr>
                <w:rFonts w:ascii="Arial" w:hAnsi="Arial" w:cs="Arial"/>
                <w:b/>
                <w:sz w:val="24"/>
                <w:szCs w:val="24"/>
              </w:rPr>
              <w:t>Section 2</w:t>
            </w:r>
          </w:p>
        </w:tc>
        <w:tc>
          <w:tcPr>
            <w:tcW w:w="6663" w:type="dxa"/>
          </w:tcPr>
          <w:p w:rsidR="00EF6BE4" w:rsidRDefault="0011019B" w:rsidP="007645F7">
            <w:pPr>
              <w:rPr>
                <w:rFonts w:ascii="Arial" w:hAnsi="Arial" w:cs="Arial"/>
                <w:b/>
                <w:sz w:val="24"/>
                <w:szCs w:val="24"/>
              </w:rPr>
            </w:pPr>
            <w:r>
              <w:rPr>
                <w:rFonts w:ascii="Arial" w:hAnsi="Arial" w:cs="Arial"/>
                <w:b/>
                <w:sz w:val="24"/>
                <w:szCs w:val="24"/>
              </w:rPr>
              <w:t>Service</w:t>
            </w:r>
            <w:r w:rsidR="00EF6BE4">
              <w:rPr>
                <w:rFonts w:ascii="Arial" w:hAnsi="Arial" w:cs="Arial"/>
                <w:b/>
                <w:sz w:val="24"/>
                <w:szCs w:val="24"/>
              </w:rPr>
              <w:t xml:space="preserve"> Scope</w:t>
            </w:r>
          </w:p>
        </w:tc>
        <w:tc>
          <w:tcPr>
            <w:tcW w:w="770" w:type="dxa"/>
          </w:tcPr>
          <w:p w:rsidR="00EF6BE4" w:rsidRPr="001D61D6" w:rsidRDefault="0011019B" w:rsidP="001D61D6">
            <w:pPr>
              <w:jc w:val="center"/>
              <w:rPr>
                <w:rFonts w:ascii="Arial" w:hAnsi="Arial" w:cs="Arial"/>
                <w:sz w:val="24"/>
                <w:szCs w:val="24"/>
              </w:rPr>
            </w:pPr>
            <w:r>
              <w:rPr>
                <w:rFonts w:ascii="Arial" w:hAnsi="Arial" w:cs="Arial"/>
                <w:sz w:val="24"/>
                <w:szCs w:val="24"/>
              </w:rPr>
              <w:t>4</w:t>
            </w:r>
          </w:p>
        </w:tc>
      </w:tr>
      <w:tr w:rsidR="00EF6BE4" w:rsidTr="00831774">
        <w:tc>
          <w:tcPr>
            <w:tcW w:w="1809" w:type="dxa"/>
          </w:tcPr>
          <w:p w:rsidR="00EF6BE4" w:rsidRPr="00EF6BE4" w:rsidRDefault="00EF6BE4" w:rsidP="007645F7">
            <w:pPr>
              <w:rPr>
                <w:rFonts w:ascii="Arial" w:hAnsi="Arial" w:cs="Arial"/>
                <w:sz w:val="24"/>
                <w:szCs w:val="24"/>
              </w:rPr>
            </w:pPr>
            <w:r w:rsidRPr="00EF6BE4">
              <w:rPr>
                <w:rFonts w:ascii="Arial" w:hAnsi="Arial" w:cs="Arial"/>
                <w:sz w:val="24"/>
                <w:szCs w:val="24"/>
              </w:rPr>
              <w:t>2.1</w:t>
            </w:r>
          </w:p>
        </w:tc>
        <w:tc>
          <w:tcPr>
            <w:tcW w:w="6663" w:type="dxa"/>
          </w:tcPr>
          <w:p w:rsidR="00EF6BE4" w:rsidRPr="00EF6BE4" w:rsidRDefault="0011019B" w:rsidP="007645F7">
            <w:pPr>
              <w:rPr>
                <w:rFonts w:ascii="Arial" w:hAnsi="Arial" w:cs="Arial"/>
                <w:sz w:val="24"/>
                <w:szCs w:val="24"/>
              </w:rPr>
            </w:pPr>
            <w:r>
              <w:rPr>
                <w:rFonts w:ascii="Arial" w:hAnsi="Arial" w:cs="Arial"/>
                <w:sz w:val="24"/>
                <w:szCs w:val="24"/>
              </w:rPr>
              <w:t>Key Aims and Objectives</w:t>
            </w:r>
          </w:p>
        </w:tc>
        <w:tc>
          <w:tcPr>
            <w:tcW w:w="770" w:type="dxa"/>
          </w:tcPr>
          <w:p w:rsidR="00EF6BE4" w:rsidRPr="001D61D6" w:rsidRDefault="0011019B" w:rsidP="001D61D6">
            <w:pPr>
              <w:jc w:val="center"/>
              <w:rPr>
                <w:rFonts w:ascii="Arial" w:hAnsi="Arial" w:cs="Arial"/>
                <w:sz w:val="24"/>
                <w:szCs w:val="24"/>
              </w:rPr>
            </w:pPr>
            <w:r>
              <w:rPr>
                <w:rFonts w:ascii="Arial" w:hAnsi="Arial" w:cs="Arial"/>
                <w:sz w:val="24"/>
                <w:szCs w:val="24"/>
              </w:rPr>
              <w:t>4</w:t>
            </w:r>
          </w:p>
        </w:tc>
      </w:tr>
      <w:tr w:rsidR="00EF6BE4" w:rsidTr="00831774">
        <w:tc>
          <w:tcPr>
            <w:tcW w:w="1809" w:type="dxa"/>
          </w:tcPr>
          <w:p w:rsidR="00EF6BE4" w:rsidRPr="00EF6BE4" w:rsidRDefault="00EF6BE4" w:rsidP="007645F7">
            <w:pPr>
              <w:rPr>
                <w:rFonts w:ascii="Arial" w:hAnsi="Arial" w:cs="Arial"/>
                <w:sz w:val="24"/>
                <w:szCs w:val="24"/>
              </w:rPr>
            </w:pPr>
            <w:r w:rsidRPr="00EF6BE4">
              <w:rPr>
                <w:rFonts w:ascii="Arial" w:hAnsi="Arial" w:cs="Arial"/>
                <w:sz w:val="24"/>
                <w:szCs w:val="24"/>
              </w:rPr>
              <w:t>2.2</w:t>
            </w:r>
          </w:p>
        </w:tc>
        <w:tc>
          <w:tcPr>
            <w:tcW w:w="6663" w:type="dxa"/>
          </w:tcPr>
          <w:p w:rsidR="00EF6BE4" w:rsidRPr="00EF6BE4" w:rsidRDefault="0011019B" w:rsidP="007645F7">
            <w:pPr>
              <w:rPr>
                <w:rFonts w:ascii="Arial" w:hAnsi="Arial" w:cs="Arial"/>
                <w:sz w:val="24"/>
                <w:szCs w:val="24"/>
              </w:rPr>
            </w:pPr>
            <w:r>
              <w:rPr>
                <w:rFonts w:ascii="Arial" w:hAnsi="Arial" w:cs="Arial"/>
                <w:sz w:val="24"/>
                <w:szCs w:val="24"/>
              </w:rPr>
              <w:t>Service Requirements</w:t>
            </w:r>
          </w:p>
        </w:tc>
        <w:tc>
          <w:tcPr>
            <w:tcW w:w="770" w:type="dxa"/>
          </w:tcPr>
          <w:p w:rsidR="00EF6BE4" w:rsidRPr="001D61D6" w:rsidRDefault="0011019B" w:rsidP="001D61D6">
            <w:pPr>
              <w:jc w:val="center"/>
              <w:rPr>
                <w:rFonts w:ascii="Arial" w:hAnsi="Arial" w:cs="Arial"/>
                <w:sz w:val="24"/>
                <w:szCs w:val="24"/>
              </w:rPr>
            </w:pPr>
            <w:r>
              <w:rPr>
                <w:rFonts w:ascii="Arial" w:hAnsi="Arial" w:cs="Arial"/>
                <w:sz w:val="24"/>
                <w:szCs w:val="24"/>
              </w:rPr>
              <w:t>4</w:t>
            </w:r>
          </w:p>
        </w:tc>
      </w:tr>
      <w:tr w:rsidR="00EF6BE4" w:rsidTr="00831774">
        <w:tc>
          <w:tcPr>
            <w:tcW w:w="1809" w:type="dxa"/>
          </w:tcPr>
          <w:p w:rsidR="00EF6BE4" w:rsidRPr="00EF6BE4" w:rsidRDefault="00EF6BE4" w:rsidP="007645F7">
            <w:pPr>
              <w:rPr>
                <w:rFonts w:ascii="Arial" w:hAnsi="Arial" w:cs="Arial"/>
                <w:sz w:val="24"/>
                <w:szCs w:val="24"/>
              </w:rPr>
            </w:pPr>
            <w:r w:rsidRPr="00EF6BE4">
              <w:rPr>
                <w:rFonts w:ascii="Arial" w:hAnsi="Arial" w:cs="Arial"/>
                <w:sz w:val="24"/>
                <w:szCs w:val="24"/>
              </w:rPr>
              <w:t>2.3</w:t>
            </w:r>
          </w:p>
        </w:tc>
        <w:tc>
          <w:tcPr>
            <w:tcW w:w="6663" w:type="dxa"/>
          </w:tcPr>
          <w:p w:rsidR="00EF6BE4" w:rsidRPr="00EF6BE4" w:rsidRDefault="0011019B" w:rsidP="007645F7">
            <w:pPr>
              <w:rPr>
                <w:rFonts w:ascii="Arial" w:hAnsi="Arial" w:cs="Arial"/>
                <w:sz w:val="24"/>
                <w:szCs w:val="24"/>
              </w:rPr>
            </w:pPr>
            <w:r>
              <w:rPr>
                <w:rFonts w:ascii="Arial" w:hAnsi="Arial" w:cs="Arial"/>
                <w:sz w:val="24"/>
                <w:szCs w:val="24"/>
              </w:rPr>
              <w:t>Service Scope</w:t>
            </w:r>
          </w:p>
        </w:tc>
        <w:tc>
          <w:tcPr>
            <w:tcW w:w="770" w:type="dxa"/>
          </w:tcPr>
          <w:p w:rsidR="00EF6BE4" w:rsidRPr="001D61D6" w:rsidRDefault="0011019B" w:rsidP="001D61D6">
            <w:pPr>
              <w:jc w:val="center"/>
              <w:rPr>
                <w:rFonts w:ascii="Arial" w:hAnsi="Arial" w:cs="Arial"/>
                <w:sz w:val="24"/>
                <w:szCs w:val="24"/>
              </w:rPr>
            </w:pPr>
            <w:r>
              <w:rPr>
                <w:rFonts w:ascii="Arial" w:hAnsi="Arial" w:cs="Arial"/>
                <w:sz w:val="24"/>
                <w:szCs w:val="24"/>
              </w:rPr>
              <w:t>4</w:t>
            </w:r>
          </w:p>
        </w:tc>
      </w:tr>
      <w:tr w:rsidR="00EF6BE4" w:rsidTr="00831774">
        <w:tc>
          <w:tcPr>
            <w:tcW w:w="1809" w:type="dxa"/>
          </w:tcPr>
          <w:p w:rsidR="00EF6BE4" w:rsidRPr="00EF6BE4" w:rsidRDefault="00EF6BE4" w:rsidP="007645F7">
            <w:pPr>
              <w:rPr>
                <w:rFonts w:ascii="Arial" w:hAnsi="Arial" w:cs="Arial"/>
                <w:sz w:val="24"/>
                <w:szCs w:val="24"/>
              </w:rPr>
            </w:pPr>
            <w:r w:rsidRPr="00EF6BE4">
              <w:rPr>
                <w:rFonts w:ascii="Arial" w:hAnsi="Arial" w:cs="Arial"/>
                <w:sz w:val="24"/>
                <w:szCs w:val="24"/>
              </w:rPr>
              <w:t>2.4</w:t>
            </w:r>
          </w:p>
        </w:tc>
        <w:tc>
          <w:tcPr>
            <w:tcW w:w="6663" w:type="dxa"/>
          </w:tcPr>
          <w:p w:rsidR="00EF6BE4" w:rsidRPr="00EF6BE4" w:rsidRDefault="0011019B" w:rsidP="007645F7">
            <w:pPr>
              <w:rPr>
                <w:rFonts w:ascii="Arial" w:hAnsi="Arial" w:cs="Arial"/>
                <w:sz w:val="24"/>
                <w:szCs w:val="24"/>
              </w:rPr>
            </w:pPr>
            <w:r>
              <w:rPr>
                <w:rFonts w:ascii="Arial" w:hAnsi="Arial" w:cs="Arial"/>
                <w:sz w:val="24"/>
                <w:szCs w:val="24"/>
              </w:rPr>
              <w:t>Example Care Needs</w:t>
            </w:r>
          </w:p>
        </w:tc>
        <w:tc>
          <w:tcPr>
            <w:tcW w:w="770" w:type="dxa"/>
          </w:tcPr>
          <w:p w:rsidR="00EF6BE4" w:rsidRPr="001D61D6" w:rsidRDefault="0011019B" w:rsidP="001D61D6">
            <w:pPr>
              <w:jc w:val="center"/>
              <w:rPr>
                <w:rFonts w:ascii="Arial" w:hAnsi="Arial" w:cs="Arial"/>
                <w:sz w:val="24"/>
                <w:szCs w:val="24"/>
              </w:rPr>
            </w:pPr>
            <w:r>
              <w:rPr>
                <w:rFonts w:ascii="Arial" w:hAnsi="Arial" w:cs="Arial"/>
                <w:sz w:val="24"/>
                <w:szCs w:val="24"/>
              </w:rPr>
              <w:t>5</w:t>
            </w:r>
          </w:p>
        </w:tc>
      </w:tr>
      <w:tr w:rsidR="00EF6BE4" w:rsidTr="00831774">
        <w:tc>
          <w:tcPr>
            <w:tcW w:w="1809" w:type="dxa"/>
          </w:tcPr>
          <w:p w:rsidR="00EF6BE4" w:rsidRPr="00EF6BE4" w:rsidRDefault="00EF6BE4" w:rsidP="007645F7">
            <w:pPr>
              <w:rPr>
                <w:rFonts w:ascii="Arial" w:hAnsi="Arial" w:cs="Arial"/>
                <w:sz w:val="24"/>
                <w:szCs w:val="24"/>
              </w:rPr>
            </w:pPr>
            <w:r w:rsidRPr="00EF6BE4">
              <w:rPr>
                <w:rFonts w:ascii="Arial" w:hAnsi="Arial" w:cs="Arial"/>
                <w:sz w:val="24"/>
                <w:szCs w:val="24"/>
              </w:rPr>
              <w:t>2.5</w:t>
            </w:r>
          </w:p>
        </w:tc>
        <w:tc>
          <w:tcPr>
            <w:tcW w:w="6663" w:type="dxa"/>
          </w:tcPr>
          <w:p w:rsidR="00EF6BE4" w:rsidRPr="00EF6BE4" w:rsidRDefault="0011019B" w:rsidP="007645F7">
            <w:pPr>
              <w:rPr>
                <w:rFonts w:ascii="Arial" w:hAnsi="Arial" w:cs="Arial"/>
                <w:sz w:val="24"/>
                <w:szCs w:val="24"/>
              </w:rPr>
            </w:pPr>
            <w:r>
              <w:rPr>
                <w:rFonts w:ascii="Arial" w:hAnsi="Arial" w:cs="Arial"/>
                <w:sz w:val="24"/>
                <w:szCs w:val="24"/>
              </w:rPr>
              <w:t>Service Exclusions</w:t>
            </w:r>
          </w:p>
        </w:tc>
        <w:tc>
          <w:tcPr>
            <w:tcW w:w="770" w:type="dxa"/>
          </w:tcPr>
          <w:p w:rsidR="00EF6BE4" w:rsidRPr="001D61D6" w:rsidRDefault="0011019B" w:rsidP="001D61D6">
            <w:pPr>
              <w:jc w:val="center"/>
              <w:rPr>
                <w:rFonts w:ascii="Arial" w:hAnsi="Arial" w:cs="Arial"/>
                <w:sz w:val="24"/>
                <w:szCs w:val="24"/>
              </w:rPr>
            </w:pPr>
            <w:r>
              <w:rPr>
                <w:rFonts w:ascii="Arial" w:hAnsi="Arial" w:cs="Arial"/>
                <w:sz w:val="24"/>
                <w:szCs w:val="24"/>
              </w:rPr>
              <w:t>6</w:t>
            </w:r>
          </w:p>
        </w:tc>
      </w:tr>
      <w:tr w:rsidR="00EF6BE4" w:rsidTr="00831774">
        <w:tc>
          <w:tcPr>
            <w:tcW w:w="1809" w:type="dxa"/>
          </w:tcPr>
          <w:p w:rsidR="00EF6BE4" w:rsidRPr="00EF6BE4" w:rsidRDefault="00EF6BE4" w:rsidP="007645F7">
            <w:pPr>
              <w:rPr>
                <w:rFonts w:ascii="Arial" w:hAnsi="Arial" w:cs="Arial"/>
                <w:sz w:val="24"/>
                <w:szCs w:val="24"/>
              </w:rPr>
            </w:pPr>
            <w:r w:rsidRPr="00EF6BE4">
              <w:rPr>
                <w:rFonts w:ascii="Arial" w:hAnsi="Arial" w:cs="Arial"/>
                <w:sz w:val="24"/>
                <w:szCs w:val="24"/>
              </w:rPr>
              <w:t>2.6</w:t>
            </w:r>
          </w:p>
        </w:tc>
        <w:tc>
          <w:tcPr>
            <w:tcW w:w="6663" w:type="dxa"/>
          </w:tcPr>
          <w:p w:rsidR="00EF6BE4" w:rsidRPr="00EF6BE4" w:rsidRDefault="0011019B" w:rsidP="007645F7">
            <w:pPr>
              <w:rPr>
                <w:rFonts w:ascii="Arial" w:hAnsi="Arial" w:cs="Arial"/>
                <w:sz w:val="24"/>
                <w:szCs w:val="24"/>
              </w:rPr>
            </w:pPr>
            <w:r>
              <w:rPr>
                <w:rFonts w:ascii="Arial" w:hAnsi="Arial" w:cs="Arial"/>
                <w:sz w:val="24"/>
                <w:szCs w:val="24"/>
              </w:rPr>
              <w:t>Target Groups</w:t>
            </w:r>
          </w:p>
        </w:tc>
        <w:tc>
          <w:tcPr>
            <w:tcW w:w="770" w:type="dxa"/>
          </w:tcPr>
          <w:p w:rsidR="00EF6BE4" w:rsidRPr="001D61D6" w:rsidRDefault="0011019B" w:rsidP="001D61D6">
            <w:pPr>
              <w:jc w:val="center"/>
              <w:rPr>
                <w:rFonts w:ascii="Arial" w:hAnsi="Arial" w:cs="Arial"/>
                <w:sz w:val="24"/>
                <w:szCs w:val="24"/>
              </w:rPr>
            </w:pPr>
            <w:r>
              <w:rPr>
                <w:rFonts w:ascii="Arial" w:hAnsi="Arial" w:cs="Arial"/>
                <w:sz w:val="24"/>
                <w:szCs w:val="24"/>
              </w:rPr>
              <w:t>6</w:t>
            </w:r>
          </w:p>
        </w:tc>
      </w:tr>
      <w:tr w:rsidR="00EF6BE4" w:rsidTr="00831774">
        <w:tc>
          <w:tcPr>
            <w:tcW w:w="1809" w:type="dxa"/>
          </w:tcPr>
          <w:p w:rsidR="00EF6BE4" w:rsidRDefault="00EF6BE4" w:rsidP="007645F7">
            <w:pPr>
              <w:rPr>
                <w:rFonts w:ascii="Arial" w:hAnsi="Arial" w:cs="Arial"/>
                <w:sz w:val="24"/>
                <w:szCs w:val="24"/>
              </w:rPr>
            </w:pPr>
            <w:r w:rsidRPr="00EF6BE4">
              <w:rPr>
                <w:rFonts w:ascii="Arial" w:hAnsi="Arial" w:cs="Arial"/>
                <w:sz w:val="24"/>
                <w:szCs w:val="24"/>
              </w:rPr>
              <w:t>2.7</w:t>
            </w:r>
          </w:p>
          <w:p w:rsidR="0011019B" w:rsidRDefault="0011019B" w:rsidP="007645F7">
            <w:pPr>
              <w:rPr>
                <w:rFonts w:ascii="Arial" w:hAnsi="Arial" w:cs="Arial"/>
                <w:sz w:val="24"/>
                <w:szCs w:val="24"/>
              </w:rPr>
            </w:pPr>
            <w:r>
              <w:rPr>
                <w:rFonts w:ascii="Arial" w:hAnsi="Arial" w:cs="Arial"/>
                <w:sz w:val="24"/>
                <w:szCs w:val="24"/>
              </w:rPr>
              <w:t>2.8</w:t>
            </w:r>
          </w:p>
          <w:p w:rsidR="00904828" w:rsidRPr="00EF6BE4" w:rsidRDefault="00904828" w:rsidP="007645F7">
            <w:pPr>
              <w:rPr>
                <w:rFonts w:ascii="Arial" w:hAnsi="Arial" w:cs="Arial"/>
                <w:sz w:val="24"/>
                <w:szCs w:val="24"/>
              </w:rPr>
            </w:pPr>
            <w:r>
              <w:rPr>
                <w:rFonts w:ascii="Arial" w:hAnsi="Arial" w:cs="Arial"/>
                <w:sz w:val="24"/>
                <w:szCs w:val="24"/>
              </w:rPr>
              <w:t>2.9</w:t>
            </w:r>
          </w:p>
        </w:tc>
        <w:tc>
          <w:tcPr>
            <w:tcW w:w="6663" w:type="dxa"/>
          </w:tcPr>
          <w:p w:rsidR="00EF6BE4" w:rsidRDefault="0011019B" w:rsidP="007645F7">
            <w:pPr>
              <w:rPr>
                <w:rFonts w:ascii="Arial" w:hAnsi="Arial" w:cs="Arial"/>
                <w:sz w:val="24"/>
                <w:szCs w:val="24"/>
              </w:rPr>
            </w:pPr>
            <w:r>
              <w:rPr>
                <w:rFonts w:ascii="Arial" w:hAnsi="Arial" w:cs="Arial"/>
                <w:sz w:val="24"/>
                <w:szCs w:val="24"/>
              </w:rPr>
              <w:t>Eligibility</w:t>
            </w:r>
          </w:p>
          <w:p w:rsidR="0011019B" w:rsidRDefault="0011019B" w:rsidP="007645F7">
            <w:pPr>
              <w:rPr>
                <w:rFonts w:ascii="Arial" w:hAnsi="Arial" w:cs="Arial"/>
                <w:sz w:val="24"/>
                <w:szCs w:val="24"/>
              </w:rPr>
            </w:pPr>
            <w:r>
              <w:rPr>
                <w:rFonts w:ascii="Arial" w:hAnsi="Arial" w:cs="Arial"/>
                <w:sz w:val="24"/>
                <w:szCs w:val="24"/>
              </w:rPr>
              <w:t>Service Volume</w:t>
            </w:r>
          </w:p>
          <w:p w:rsidR="00904828" w:rsidRPr="00EF6BE4" w:rsidRDefault="00904828" w:rsidP="007645F7">
            <w:pPr>
              <w:rPr>
                <w:rFonts w:ascii="Arial" w:hAnsi="Arial" w:cs="Arial"/>
                <w:sz w:val="24"/>
                <w:szCs w:val="24"/>
              </w:rPr>
            </w:pPr>
            <w:r>
              <w:rPr>
                <w:rFonts w:ascii="Arial" w:hAnsi="Arial" w:cs="Arial"/>
                <w:sz w:val="24"/>
                <w:szCs w:val="24"/>
              </w:rPr>
              <w:t>Service Rates</w:t>
            </w:r>
          </w:p>
        </w:tc>
        <w:tc>
          <w:tcPr>
            <w:tcW w:w="770" w:type="dxa"/>
          </w:tcPr>
          <w:p w:rsidR="00EF6BE4" w:rsidRDefault="0011019B" w:rsidP="001D61D6">
            <w:pPr>
              <w:jc w:val="center"/>
              <w:rPr>
                <w:rFonts w:ascii="Arial" w:hAnsi="Arial" w:cs="Arial"/>
                <w:sz w:val="24"/>
                <w:szCs w:val="24"/>
              </w:rPr>
            </w:pPr>
            <w:r>
              <w:rPr>
                <w:rFonts w:ascii="Arial" w:hAnsi="Arial" w:cs="Arial"/>
                <w:sz w:val="24"/>
                <w:szCs w:val="24"/>
              </w:rPr>
              <w:t>7</w:t>
            </w:r>
          </w:p>
          <w:p w:rsidR="0011019B" w:rsidRDefault="0011019B" w:rsidP="001D61D6">
            <w:pPr>
              <w:jc w:val="center"/>
              <w:rPr>
                <w:rFonts w:ascii="Arial" w:hAnsi="Arial" w:cs="Arial"/>
                <w:sz w:val="24"/>
                <w:szCs w:val="24"/>
              </w:rPr>
            </w:pPr>
            <w:r>
              <w:rPr>
                <w:rFonts w:ascii="Arial" w:hAnsi="Arial" w:cs="Arial"/>
                <w:sz w:val="24"/>
                <w:szCs w:val="24"/>
              </w:rPr>
              <w:t>7</w:t>
            </w:r>
          </w:p>
          <w:p w:rsidR="008E15D9" w:rsidRPr="001D61D6" w:rsidRDefault="008E15D9" w:rsidP="001D61D6">
            <w:pPr>
              <w:jc w:val="center"/>
              <w:rPr>
                <w:rFonts w:ascii="Arial" w:hAnsi="Arial" w:cs="Arial"/>
                <w:sz w:val="24"/>
                <w:szCs w:val="24"/>
              </w:rPr>
            </w:pPr>
            <w:r>
              <w:rPr>
                <w:rFonts w:ascii="Arial" w:hAnsi="Arial" w:cs="Arial"/>
                <w:sz w:val="24"/>
                <w:szCs w:val="24"/>
              </w:rPr>
              <w:t>7</w:t>
            </w:r>
          </w:p>
        </w:tc>
      </w:tr>
      <w:tr w:rsidR="00EF6BE4" w:rsidTr="00831774">
        <w:tc>
          <w:tcPr>
            <w:tcW w:w="1809" w:type="dxa"/>
          </w:tcPr>
          <w:p w:rsidR="00EF6BE4" w:rsidRPr="00EF6BE4" w:rsidRDefault="00EF6BE4" w:rsidP="007645F7">
            <w:pPr>
              <w:rPr>
                <w:rFonts w:ascii="Arial" w:hAnsi="Arial" w:cs="Arial"/>
                <w:sz w:val="24"/>
                <w:szCs w:val="24"/>
              </w:rPr>
            </w:pPr>
          </w:p>
        </w:tc>
        <w:tc>
          <w:tcPr>
            <w:tcW w:w="6663" w:type="dxa"/>
          </w:tcPr>
          <w:p w:rsidR="0088765E" w:rsidRDefault="0088765E" w:rsidP="007645F7">
            <w:pPr>
              <w:rPr>
                <w:rFonts w:ascii="Arial" w:hAnsi="Arial" w:cs="Arial"/>
                <w:sz w:val="24"/>
                <w:szCs w:val="24"/>
              </w:rPr>
            </w:pPr>
          </w:p>
          <w:p w:rsidR="00716674" w:rsidRDefault="00716674" w:rsidP="007645F7">
            <w:pPr>
              <w:rPr>
                <w:rFonts w:ascii="Arial" w:hAnsi="Arial" w:cs="Arial"/>
                <w:sz w:val="24"/>
                <w:szCs w:val="24"/>
              </w:rPr>
            </w:pPr>
          </w:p>
          <w:p w:rsidR="00716674" w:rsidRPr="00EF6BE4" w:rsidRDefault="00716674" w:rsidP="007645F7">
            <w:pPr>
              <w:rPr>
                <w:rFonts w:ascii="Arial" w:hAnsi="Arial" w:cs="Arial"/>
                <w:sz w:val="24"/>
                <w:szCs w:val="24"/>
              </w:rPr>
            </w:pPr>
          </w:p>
        </w:tc>
        <w:tc>
          <w:tcPr>
            <w:tcW w:w="770" w:type="dxa"/>
          </w:tcPr>
          <w:p w:rsidR="00EF6BE4" w:rsidRPr="001D61D6" w:rsidRDefault="00EF6BE4" w:rsidP="001D61D6">
            <w:pPr>
              <w:jc w:val="center"/>
              <w:rPr>
                <w:rFonts w:ascii="Arial" w:hAnsi="Arial" w:cs="Arial"/>
                <w:sz w:val="24"/>
                <w:szCs w:val="24"/>
              </w:rPr>
            </w:pPr>
          </w:p>
        </w:tc>
      </w:tr>
      <w:tr w:rsidR="00EF6BE4" w:rsidTr="00831774">
        <w:tc>
          <w:tcPr>
            <w:tcW w:w="1809" w:type="dxa"/>
          </w:tcPr>
          <w:p w:rsidR="00EF6BE4" w:rsidRDefault="00EF6BE4" w:rsidP="007645F7">
            <w:pPr>
              <w:rPr>
                <w:rFonts w:ascii="Arial" w:hAnsi="Arial" w:cs="Arial"/>
                <w:b/>
                <w:sz w:val="24"/>
                <w:szCs w:val="24"/>
              </w:rPr>
            </w:pPr>
            <w:r>
              <w:rPr>
                <w:rFonts w:ascii="Arial" w:hAnsi="Arial" w:cs="Arial"/>
                <w:b/>
                <w:sz w:val="24"/>
                <w:szCs w:val="24"/>
              </w:rPr>
              <w:t>Section 3</w:t>
            </w:r>
          </w:p>
        </w:tc>
        <w:tc>
          <w:tcPr>
            <w:tcW w:w="6663" w:type="dxa"/>
          </w:tcPr>
          <w:p w:rsidR="00EF6BE4" w:rsidRPr="00EF6BE4" w:rsidRDefault="00EF6BE4" w:rsidP="007645F7">
            <w:pPr>
              <w:rPr>
                <w:rFonts w:ascii="Arial" w:hAnsi="Arial" w:cs="Arial"/>
                <w:sz w:val="24"/>
                <w:szCs w:val="24"/>
              </w:rPr>
            </w:pPr>
            <w:r>
              <w:rPr>
                <w:rFonts w:ascii="Arial" w:hAnsi="Arial" w:cs="Arial"/>
                <w:b/>
                <w:sz w:val="24"/>
                <w:szCs w:val="24"/>
              </w:rPr>
              <w:t>Service D</w:t>
            </w:r>
            <w:r w:rsidRPr="007033C0">
              <w:rPr>
                <w:rFonts w:ascii="Arial" w:hAnsi="Arial" w:cs="Arial"/>
                <w:b/>
                <w:sz w:val="24"/>
                <w:szCs w:val="24"/>
              </w:rPr>
              <w:t>escription</w:t>
            </w:r>
          </w:p>
        </w:tc>
        <w:tc>
          <w:tcPr>
            <w:tcW w:w="770" w:type="dxa"/>
          </w:tcPr>
          <w:p w:rsidR="00EF6BE4" w:rsidRPr="001D61D6" w:rsidRDefault="005A6CBD" w:rsidP="001D61D6">
            <w:pPr>
              <w:jc w:val="center"/>
              <w:rPr>
                <w:rFonts w:ascii="Arial" w:hAnsi="Arial" w:cs="Arial"/>
                <w:sz w:val="24"/>
                <w:szCs w:val="24"/>
              </w:rPr>
            </w:pPr>
            <w:r>
              <w:rPr>
                <w:rFonts w:ascii="Arial" w:hAnsi="Arial" w:cs="Arial"/>
                <w:sz w:val="24"/>
                <w:szCs w:val="24"/>
              </w:rPr>
              <w:t>8</w:t>
            </w:r>
          </w:p>
        </w:tc>
      </w:tr>
      <w:tr w:rsidR="00EF6BE4" w:rsidTr="00831774">
        <w:tc>
          <w:tcPr>
            <w:tcW w:w="1809" w:type="dxa"/>
          </w:tcPr>
          <w:p w:rsidR="00EF6BE4" w:rsidRPr="00905DCA" w:rsidRDefault="00EF6BE4" w:rsidP="007645F7">
            <w:pPr>
              <w:rPr>
                <w:rFonts w:ascii="Arial" w:hAnsi="Arial" w:cs="Arial"/>
                <w:sz w:val="24"/>
                <w:szCs w:val="24"/>
              </w:rPr>
            </w:pPr>
            <w:r w:rsidRPr="00905DCA">
              <w:rPr>
                <w:rFonts w:ascii="Arial" w:hAnsi="Arial" w:cs="Arial"/>
                <w:sz w:val="24"/>
                <w:szCs w:val="24"/>
              </w:rPr>
              <w:t>3.1</w:t>
            </w:r>
          </w:p>
        </w:tc>
        <w:tc>
          <w:tcPr>
            <w:tcW w:w="6663" w:type="dxa"/>
          </w:tcPr>
          <w:p w:rsidR="00EF6BE4" w:rsidRPr="00EF6BE4" w:rsidRDefault="005A6CBD" w:rsidP="007645F7">
            <w:pPr>
              <w:rPr>
                <w:rFonts w:ascii="Arial" w:hAnsi="Arial" w:cs="Arial"/>
                <w:sz w:val="24"/>
                <w:szCs w:val="24"/>
              </w:rPr>
            </w:pPr>
            <w:r>
              <w:rPr>
                <w:rFonts w:ascii="Arial" w:hAnsi="Arial" w:cs="Arial"/>
                <w:sz w:val="24"/>
                <w:szCs w:val="24"/>
              </w:rPr>
              <w:t>Service Standards</w:t>
            </w:r>
          </w:p>
        </w:tc>
        <w:tc>
          <w:tcPr>
            <w:tcW w:w="770" w:type="dxa"/>
          </w:tcPr>
          <w:p w:rsidR="00EF6BE4" w:rsidRPr="001D61D6" w:rsidRDefault="005A6CBD" w:rsidP="001D61D6">
            <w:pPr>
              <w:jc w:val="center"/>
              <w:rPr>
                <w:rFonts w:ascii="Arial" w:hAnsi="Arial" w:cs="Arial"/>
                <w:sz w:val="24"/>
                <w:szCs w:val="24"/>
              </w:rPr>
            </w:pPr>
            <w:r>
              <w:rPr>
                <w:rFonts w:ascii="Arial" w:hAnsi="Arial" w:cs="Arial"/>
                <w:sz w:val="24"/>
                <w:szCs w:val="24"/>
              </w:rPr>
              <w:t>8</w:t>
            </w:r>
          </w:p>
        </w:tc>
      </w:tr>
      <w:tr w:rsidR="00EF6BE4" w:rsidTr="00831774">
        <w:tc>
          <w:tcPr>
            <w:tcW w:w="1809" w:type="dxa"/>
          </w:tcPr>
          <w:p w:rsidR="00EF6BE4" w:rsidRPr="00905DCA" w:rsidRDefault="00EF6BE4" w:rsidP="007645F7">
            <w:pPr>
              <w:rPr>
                <w:rFonts w:ascii="Arial" w:hAnsi="Arial" w:cs="Arial"/>
                <w:sz w:val="24"/>
                <w:szCs w:val="24"/>
              </w:rPr>
            </w:pPr>
            <w:r w:rsidRPr="00905DCA">
              <w:rPr>
                <w:rFonts w:ascii="Arial" w:hAnsi="Arial" w:cs="Arial"/>
                <w:sz w:val="24"/>
                <w:szCs w:val="24"/>
              </w:rPr>
              <w:t>3.2</w:t>
            </w:r>
          </w:p>
        </w:tc>
        <w:tc>
          <w:tcPr>
            <w:tcW w:w="6663" w:type="dxa"/>
          </w:tcPr>
          <w:p w:rsidR="00EF6BE4" w:rsidRPr="00EF6BE4" w:rsidRDefault="005A6CBD" w:rsidP="007645F7">
            <w:pPr>
              <w:rPr>
                <w:rFonts w:ascii="Arial" w:hAnsi="Arial" w:cs="Arial"/>
                <w:sz w:val="24"/>
                <w:szCs w:val="24"/>
              </w:rPr>
            </w:pPr>
            <w:r>
              <w:rPr>
                <w:rFonts w:ascii="Arial" w:hAnsi="Arial" w:cs="Arial"/>
                <w:sz w:val="24"/>
                <w:szCs w:val="24"/>
              </w:rPr>
              <w:t>Service Response</w:t>
            </w:r>
          </w:p>
        </w:tc>
        <w:tc>
          <w:tcPr>
            <w:tcW w:w="770" w:type="dxa"/>
          </w:tcPr>
          <w:p w:rsidR="00EF6BE4" w:rsidRPr="001D61D6" w:rsidRDefault="005A6CBD" w:rsidP="001D61D6">
            <w:pPr>
              <w:jc w:val="center"/>
              <w:rPr>
                <w:rFonts w:ascii="Arial" w:hAnsi="Arial" w:cs="Arial"/>
                <w:sz w:val="24"/>
                <w:szCs w:val="24"/>
              </w:rPr>
            </w:pPr>
            <w:r>
              <w:rPr>
                <w:rFonts w:ascii="Arial" w:hAnsi="Arial" w:cs="Arial"/>
                <w:sz w:val="24"/>
                <w:szCs w:val="24"/>
              </w:rPr>
              <w:t>9</w:t>
            </w:r>
          </w:p>
        </w:tc>
      </w:tr>
      <w:tr w:rsidR="00EF6BE4" w:rsidTr="00831774">
        <w:tc>
          <w:tcPr>
            <w:tcW w:w="1809" w:type="dxa"/>
          </w:tcPr>
          <w:p w:rsidR="00EF6BE4" w:rsidRPr="00905DCA" w:rsidRDefault="00EF6BE4" w:rsidP="007645F7">
            <w:pPr>
              <w:rPr>
                <w:rFonts w:ascii="Arial" w:hAnsi="Arial" w:cs="Arial"/>
                <w:sz w:val="24"/>
                <w:szCs w:val="24"/>
              </w:rPr>
            </w:pPr>
            <w:r w:rsidRPr="00905DCA">
              <w:rPr>
                <w:rFonts w:ascii="Arial" w:hAnsi="Arial" w:cs="Arial"/>
                <w:sz w:val="24"/>
                <w:szCs w:val="24"/>
              </w:rPr>
              <w:t>3.3</w:t>
            </w:r>
          </w:p>
        </w:tc>
        <w:tc>
          <w:tcPr>
            <w:tcW w:w="6663" w:type="dxa"/>
          </w:tcPr>
          <w:p w:rsidR="00EF6BE4" w:rsidRPr="00EF6BE4" w:rsidRDefault="0023131B" w:rsidP="007645F7">
            <w:pPr>
              <w:rPr>
                <w:rFonts w:ascii="Arial" w:hAnsi="Arial" w:cs="Arial"/>
                <w:sz w:val="24"/>
                <w:szCs w:val="24"/>
              </w:rPr>
            </w:pPr>
            <w:r>
              <w:rPr>
                <w:rFonts w:ascii="Arial" w:hAnsi="Arial" w:cs="Arial"/>
                <w:sz w:val="24"/>
                <w:szCs w:val="24"/>
              </w:rPr>
              <w:t>Referral Route</w:t>
            </w:r>
          </w:p>
        </w:tc>
        <w:tc>
          <w:tcPr>
            <w:tcW w:w="770" w:type="dxa"/>
          </w:tcPr>
          <w:p w:rsidR="00EF6BE4" w:rsidRPr="001D61D6" w:rsidRDefault="00FF33C3" w:rsidP="001D61D6">
            <w:pPr>
              <w:jc w:val="center"/>
              <w:rPr>
                <w:rFonts w:ascii="Arial" w:hAnsi="Arial" w:cs="Arial"/>
                <w:sz w:val="24"/>
                <w:szCs w:val="24"/>
              </w:rPr>
            </w:pPr>
            <w:r>
              <w:rPr>
                <w:rFonts w:ascii="Arial" w:hAnsi="Arial" w:cs="Arial"/>
                <w:sz w:val="24"/>
                <w:szCs w:val="24"/>
              </w:rPr>
              <w:t>10</w:t>
            </w:r>
          </w:p>
        </w:tc>
      </w:tr>
      <w:tr w:rsidR="00EF6BE4" w:rsidTr="00831774">
        <w:tc>
          <w:tcPr>
            <w:tcW w:w="1809" w:type="dxa"/>
          </w:tcPr>
          <w:p w:rsidR="00EF6BE4" w:rsidRDefault="00EF6BE4" w:rsidP="007645F7">
            <w:pPr>
              <w:rPr>
                <w:rFonts w:ascii="Arial" w:hAnsi="Arial" w:cs="Arial"/>
                <w:sz w:val="24"/>
                <w:szCs w:val="24"/>
              </w:rPr>
            </w:pPr>
            <w:r w:rsidRPr="00905DCA">
              <w:rPr>
                <w:rFonts w:ascii="Arial" w:hAnsi="Arial" w:cs="Arial"/>
                <w:sz w:val="24"/>
                <w:szCs w:val="24"/>
              </w:rPr>
              <w:t>3.4</w:t>
            </w:r>
          </w:p>
          <w:p w:rsidR="0023131B" w:rsidRDefault="0023131B" w:rsidP="007645F7">
            <w:pPr>
              <w:rPr>
                <w:rFonts w:ascii="Arial" w:hAnsi="Arial" w:cs="Arial"/>
                <w:sz w:val="24"/>
                <w:szCs w:val="24"/>
              </w:rPr>
            </w:pPr>
            <w:r>
              <w:rPr>
                <w:rFonts w:ascii="Arial" w:hAnsi="Arial" w:cs="Arial"/>
                <w:sz w:val="24"/>
                <w:szCs w:val="24"/>
              </w:rPr>
              <w:t>3.5</w:t>
            </w:r>
          </w:p>
          <w:p w:rsidR="0023131B" w:rsidRDefault="0023131B" w:rsidP="007645F7">
            <w:pPr>
              <w:rPr>
                <w:rFonts w:ascii="Arial" w:hAnsi="Arial" w:cs="Arial"/>
                <w:sz w:val="24"/>
                <w:szCs w:val="24"/>
              </w:rPr>
            </w:pPr>
            <w:r>
              <w:rPr>
                <w:rFonts w:ascii="Arial" w:hAnsi="Arial" w:cs="Arial"/>
                <w:sz w:val="24"/>
                <w:szCs w:val="24"/>
              </w:rPr>
              <w:t>3.6</w:t>
            </w:r>
          </w:p>
          <w:p w:rsidR="003A6542" w:rsidRPr="00905DCA" w:rsidRDefault="00FD4036" w:rsidP="007645F7">
            <w:pPr>
              <w:rPr>
                <w:rFonts w:ascii="Arial" w:hAnsi="Arial" w:cs="Arial"/>
                <w:sz w:val="24"/>
                <w:szCs w:val="24"/>
              </w:rPr>
            </w:pPr>
            <w:r>
              <w:rPr>
                <w:rFonts w:ascii="Arial" w:hAnsi="Arial" w:cs="Arial"/>
                <w:sz w:val="24"/>
                <w:szCs w:val="24"/>
              </w:rPr>
              <w:t>3.7</w:t>
            </w:r>
          </w:p>
        </w:tc>
        <w:tc>
          <w:tcPr>
            <w:tcW w:w="6663" w:type="dxa"/>
          </w:tcPr>
          <w:p w:rsidR="00FD4036" w:rsidRDefault="00FD4036" w:rsidP="005946B4">
            <w:pPr>
              <w:rPr>
                <w:rFonts w:ascii="Arial" w:hAnsi="Arial" w:cs="Arial"/>
                <w:sz w:val="24"/>
                <w:szCs w:val="24"/>
              </w:rPr>
            </w:pPr>
            <w:r w:rsidRPr="00FD4036">
              <w:rPr>
                <w:rFonts w:ascii="Arial" w:hAnsi="Arial" w:cs="Arial"/>
                <w:sz w:val="24"/>
                <w:szCs w:val="24"/>
              </w:rPr>
              <w:t>How will individual care pack</w:t>
            </w:r>
            <w:r>
              <w:rPr>
                <w:rFonts w:ascii="Arial" w:hAnsi="Arial" w:cs="Arial"/>
                <w:sz w:val="24"/>
                <w:szCs w:val="24"/>
              </w:rPr>
              <w:t>ages be commissioned?</w:t>
            </w:r>
          </w:p>
          <w:p w:rsidR="00EF6BE4" w:rsidRDefault="005A6CBD" w:rsidP="005946B4">
            <w:pPr>
              <w:rPr>
                <w:rFonts w:ascii="Arial" w:hAnsi="Arial" w:cs="Arial"/>
                <w:sz w:val="24"/>
                <w:szCs w:val="24"/>
              </w:rPr>
            </w:pPr>
            <w:r>
              <w:rPr>
                <w:rFonts w:ascii="Arial" w:hAnsi="Arial" w:cs="Arial"/>
                <w:sz w:val="24"/>
                <w:szCs w:val="24"/>
              </w:rPr>
              <w:t>Safeguarding</w:t>
            </w:r>
          </w:p>
          <w:p w:rsidR="003A6542" w:rsidRDefault="005A6CBD" w:rsidP="005946B4">
            <w:pPr>
              <w:rPr>
                <w:rFonts w:ascii="Arial" w:hAnsi="Arial" w:cs="Arial"/>
                <w:sz w:val="24"/>
                <w:szCs w:val="24"/>
              </w:rPr>
            </w:pPr>
            <w:r w:rsidRPr="005A6CBD">
              <w:rPr>
                <w:rFonts w:ascii="Arial" w:hAnsi="Arial" w:cs="Arial"/>
                <w:sz w:val="24"/>
                <w:szCs w:val="24"/>
              </w:rPr>
              <w:t>Quality and Performance Measures</w:t>
            </w:r>
          </w:p>
          <w:p w:rsidR="0023131B" w:rsidRDefault="005A6CBD" w:rsidP="005946B4">
            <w:pPr>
              <w:rPr>
                <w:rFonts w:ascii="Arial" w:hAnsi="Arial" w:cs="Arial"/>
                <w:sz w:val="24"/>
                <w:szCs w:val="24"/>
              </w:rPr>
            </w:pPr>
            <w:r w:rsidRPr="005A6CBD">
              <w:rPr>
                <w:rFonts w:ascii="Arial" w:hAnsi="Arial" w:cs="Arial"/>
                <w:sz w:val="24"/>
                <w:szCs w:val="24"/>
              </w:rPr>
              <w:t>Contract Monitoring</w:t>
            </w:r>
          </w:p>
          <w:p w:rsidR="0023131B" w:rsidRPr="00EF6BE4" w:rsidRDefault="0023131B" w:rsidP="005946B4">
            <w:pPr>
              <w:rPr>
                <w:rFonts w:ascii="Arial" w:hAnsi="Arial" w:cs="Arial"/>
                <w:sz w:val="24"/>
                <w:szCs w:val="24"/>
              </w:rPr>
            </w:pPr>
          </w:p>
        </w:tc>
        <w:tc>
          <w:tcPr>
            <w:tcW w:w="770" w:type="dxa"/>
          </w:tcPr>
          <w:p w:rsidR="00EF6BE4" w:rsidRDefault="005A6CBD" w:rsidP="001D61D6">
            <w:pPr>
              <w:jc w:val="center"/>
              <w:rPr>
                <w:rFonts w:ascii="Arial" w:hAnsi="Arial" w:cs="Arial"/>
                <w:sz w:val="24"/>
                <w:szCs w:val="24"/>
              </w:rPr>
            </w:pPr>
            <w:r>
              <w:rPr>
                <w:rFonts w:ascii="Arial" w:hAnsi="Arial" w:cs="Arial"/>
                <w:sz w:val="24"/>
                <w:szCs w:val="24"/>
              </w:rPr>
              <w:t>10</w:t>
            </w:r>
          </w:p>
          <w:p w:rsidR="0023131B" w:rsidRDefault="005A6CBD" w:rsidP="001D61D6">
            <w:pPr>
              <w:jc w:val="center"/>
              <w:rPr>
                <w:rFonts w:ascii="Arial" w:hAnsi="Arial" w:cs="Arial"/>
                <w:sz w:val="24"/>
                <w:szCs w:val="24"/>
              </w:rPr>
            </w:pPr>
            <w:r>
              <w:rPr>
                <w:rFonts w:ascii="Arial" w:hAnsi="Arial" w:cs="Arial"/>
                <w:sz w:val="24"/>
                <w:szCs w:val="24"/>
              </w:rPr>
              <w:t>11</w:t>
            </w:r>
          </w:p>
          <w:p w:rsidR="0023131B" w:rsidRDefault="005A6CBD" w:rsidP="001D61D6">
            <w:pPr>
              <w:jc w:val="center"/>
              <w:rPr>
                <w:rFonts w:ascii="Arial" w:hAnsi="Arial" w:cs="Arial"/>
                <w:sz w:val="24"/>
                <w:szCs w:val="24"/>
              </w:rPr>
            </w:pPr>
            <w:r>
              <w:rPr>
                <w:rFonts w:ascii="Arial" w:hAnsi="Arial" w:cs="Arial"/>
                <w:sz w:val="24"/>
                <w:szCs w:val="24"/>
              </w:rPr>
              <w:t>12</w:t>
            </w:r>
          </w:p>
          <w:p w:rsidR="003A6542" w:rsidRPr="001D61D6" w:rsidRDefault="00FD4036" w:rsidP="001D61D6">
            <w:pPr>
              <w:jc w:val="center"/>
              <w:rPr>
                <w:rFonts w:ascii="Arial" w:hAnsi="Arial" w:cs="Arial"/>
                <w:sz w:val="24"/>
                <w:szCs w:val="24"/>
              </w:rPr>
            </w:pPr>
            <w:r>
              <w:rPr>
                <w:rFonts w:ascii="Arial" w:hAnsi="Arial" w:cs="Arial"/>
                <w:sz w:val="24"/>
                <w:szCs w:val="24"/>
              </w:rPr>
              <w:t>13</w:t>
            </w:r>
          </w:p>
        </w:tc>
      </w:tr>
      <w:tr w:rsidR="0023131B" w:rsidTr="00831774">
        <w:tc>
          <w:tcPr>
            <w:tcW w:w="1809" w:type="dxa"/>
          </w:tcPr>
          <w:p w:rsidR="0023131B" w:rsidRPr="00905DCA" w:rsidRDefault="0023131B" w:rsidP="007645F7">
            <w:pPr>
              <w:rPr>
                <w:rFonts w:ascii="Arial" w:hAnsi="Arial" w:cs="Arial"/>
                <w:sz w:val="24"/>
                <w:szCs w:val="24"/>
              </w:rPr>
            </w:pPr>
          </w:p>
        </w:tc>
        <w:tc>
          <w:tcPr>
            <w:tcW w:w="6663" w:type="dxa"/>
          </w:tcPr>
          <w:p w:rsidR="0023131B" w:rsidRDefault="0023131B" w:rsidP="005946B4">
            <w:pPr>
              <w:rPr>
                <w:rFonts w:ascii="Arial" w:hAnsi="Arial" w:cs="Arial"/>
                <w:sz w:val="24"/>
                <w:szCs w:val="24"/>
              </w:rPr>
            </w:pPr>
          </w:p>
        </w:tc>
        <w:tc>
          <w:tcPr>
            <w:tcW w:w="770" w:type="dxa"/>
          </w:tcPr>
          <w:p w:rsidR="0023131B" w:rsidRDefault="0023131B" w:rsidP="001D61D6">
            <w:pPr>
              <w:jc w:val="center"/>
              <w:rPr>
                <w:rFonts w:ascii="Arial" w:hAnsi="Arial" w:cs="Arial"/>
                <w:sz w:val="24"/>
                <w:szCs w:val="24"/>
              </w:rPr>
            </w:pPr>
          </w:p>
        </w:tc>
      </w:tr>
      <w:tr w:rsidR="0023131B" w:rsidTr="00831774">
        <w:tc>
          <w:tcPr>
            <w:tcW w:w="1809" w:type="dxa"/>
          </w:tcPr>
          <w:p w:rsidR="0023131B" w:rsidRPr="005A6CBD" w:rsidRDefault="005A6CBD" w:rsidP="007645F7">
            <w:pPr>
              <w:rPr>
                <w:rFonts w:ascii="Arial" w:hAnsi="Arial" w:cs="Arial"/>
                <w:b/>
                <w:sz w:val="24"/>
                <w:szCs w:val="24"/>
              </w:rPr>
            </w:pPr>
            <w:r w:rsidRPr="005A6CBD">
              <w:rPr>
                <w:rFonts w:ascii="Arial" w:hAnsi="Arial" w:cs="Arial"/>
                <w:b/>
                <w:sz w:val="24"/>
                <w:szCs w:val="24"/>
              </w:rPr>
              <w:t xml:space="preserve">Appendix 1: </w:t>
            </w:r>
          </w:p>
        </w:tc>
        <w:tc>
          <w:tcPr>
            <w:tcW w:w="6663" w:type="dxa"/>
          </w:tcPr>
          <w:p w:rsidR="0023131B" w:rsidRDefault="005A6CBD" w:rsidP="005946B4">
            <w:pPr>
              <w:rPr>
                <w:rFonts w:ascii="Arial" w:hAnsi="Arial" w:cs="Arial"/>
                <w:sz w:val="24"/>
                <w:szCs w:val="24"/>
              </w:rPr>
            </w:pPr>
            <w:r w:rsidRPr="005A6CBD">
              <w:rPr>
                <w:rFonts w:ascii="Arial" w:hAnsi="Arial" w:cs="Arial"/>
                <w:sz w:val="24"/>
                <w:szCs w:val="24"/>
              </w:rPr>
              <w:t>Framework Disabled Children and Young People with Complex Health and Social Care Needs Package Request Form</w:t>
            </w:r>
          </w:p>
        </w:tc>
        <w:tc>
          <w:tcPr>
            <w:tcW w:w="770" w:type="dxa"/>
          </w:tcPr>
          <w:p w:rsidR="0023131B" w:rsidRDefault="00FD4036" w:rsidP="001D61D6">
            <w:pPr>
              <w:jc w:val="center"/>
              <w:rPr>
                <w:rFonts w:ascii="Arial" w:hAnsi="Arial" w:cs="Arial"/>
                <w:sz w:val="24"/>
                <w:szCs w:val="24"/>
              </w:rPr>
            </w:pPr>
            <w:r>
              <w:rPr>
                <w:rFonts w:ascii="Arial" w:hAnsi="Arial" w:cs="Arial"/>
                <w:sz w:val="24"/>
                <w:szCs w:val="24"/>
              </w:rPr>
              <w:t>14</w:t>
            </w:r>
          </w:p>
        </w:tc>
      </w:tr>
      <w:tr w:rsidR="00716674" w:rsidTr="00831774">
        <w:tc>
          <w:tcPr>
            <w:tcW w:w="1809" w:type="dxa"/>
          </w:tcPr>
          <w:p w:rsidR="00716674" w:rsidRPr="00905DCA" w:rsidRDefault="00716674" w:rsidP="007645F7">
            <w:pPr>
              <w:rPr>
                <w:rFonts w:ascii="Arial" w:hAnsi="Arial" w:cs="Arial"/>
                <w:sz w:val="24"/>
                <w:szCs w:val="24"/>
              </w:rPr>
            </w:pPr>
          </w:p>
        </w:tc>
        <w:tc>
          <w:tcPr>
            <w:tcW w:w="6663" w:type="dxa"/>
          </w:tcPr>
          <w:p w:rsidR="00716674" w:rsidRDefault="00716674" w:rsidP="005946B4">
            <w:pPr>
              <w:rPr>
                <w:rFonts w:ascii="Arial" w:hAnsi="Arial" w:cs="Arial"/>
                <w:sz w:val="24"/>
                <w:szCs w:val="24"/>
              </w:rPr>
            </w:pPr>
          </w:p>
        </w:tc>
        <w:tc>
          <w:tcPr>
            <w:tcW w:w="770" w:type="dxa"/>
          </w:tcPr>
          <w:p w:rsidR="00716674" w:rsidRDefault="00716674" w:rsidP="001D61D6">
            <w:pPr>
              <w:jc w:val="center"/>
              <w:rPr>
                <w:rFonts w:ascii="Arial" w:hAnsi="Arial" w:cs="Arial"/>
                <w:sz w:val="24"/>
                <w:szCs w:val="24"/>
              </w:rPr>
            </w:pPr>
          </w:p>
        </w:tc>
      </w:tr>
      <w:tr w:rsidR="00EF6BE4" w:rsidTr="00831774">
        <w:tc>
          <w:tcPr>
            <w:tcW w:w="1809" w:type="dxa"/>
          </w:tcPr>
          <w:p w:rsidR="00EF6BE4" w:rsidRDefault="00EF6BE4" w:rsidP="007645F7">
            <w:pPr>
              <w:rPr>
                <w:rFonts w:ascii="Arial" w:hAnsi="Arial" w:cs="Arial"/>
                <w:b/>
                <w:sz w:val="24"/>
                <w:szCs w:val="24"/>
              </w:rPr>
            </w:pPr>
          </w:p>
        </w:tc>
        <w:tc>
          <w:tcPr>
            <w:tcW w:w="6663" w:type="dxa"/>
          </w:tcPr>
          <w:p w:rsidR="00EF6BE4" w:rsidRPr="00EF6BE4" w:rsidRDefault="00EF6BE4" w:rsidP="007645F7">
            <w:pPr>
              <w:rPr>
                <w:rFonts w:ascii="Arial" w:hAnsi="Arial" w:cs="Arial"/>
                <w:sz w:val="24"/>
                <w:szCs w:val="24"/>
              </w:rPr>
            </w:pPr>
          </w:p>
        </w:tc>
        <w:tc>
          <w:tcPr>
            <w:tcW w:w="770" w:type="dxa"/>
          </w:tcPr>
          <w:p w:rsidR="00EF6BE4" w:rsidRPr="001D61D6" w:rsidRDefault="00EF6BE4" w:rsidP="001D61D6">
            <w:pPr>
              <w:jc w:val="center"/>
              <w:rPr>
                <w:rFonts w:ascii="Arial" w:hAnsi="Arial" w:cs="Arial"/>
                <w:sz w:val="24"/>
                <w:szCs w:val="24"/>
              </w:rPr>
            </w:pPr>
          </w:p>
        </w:tc>
      </w:tr>
      <w:tr w:rsidR="00EF6BE4" w:rsidTr="00831774">
        <w:tc>
          <w:tcPr>
            <w:tcW w:w="1809" w:type="dxa"/>
          </w:tcPr>
          <w:p w:rsidR="00EF6BE4" w:rsidRPr="00905DCA" w:rsidRDefault="00EF6BE4" w:rsidP="007645F7">
            <w:pPr>
              <w:rPr>
                <w:rFonts w:ascii="Arial" w:hAnsi="Arial" w:cs="Arial"/>
                <w:sz w:val="24"/>
                <w:szCs w:val="24"/>
              </w:rPr>
            </w:pPr>
          </w:p>
        </w:tc>
        <w:tc>
          <w:tcPr>
            <w:tcW w:w="6663" w:type="dxa"/>
          </w:tcPr>
          <w:p w:rsidR="00EF6BE4" w:rsidRPr="00EF6BE4" w:rsidRDefault="00EF6BE4" w:rsidP="007645F7">
            <w:pPr>
              <w:rPr>
                <w:rFonts w:ascii="Arial" w:hAnsi="Arial" w:cs="Arial"/>
                <w:sz w:val="24"/>
                <w:szCs w:val="24"/>
              </w:rPr>
            </w:pPr>
          </w:p>
        </w:tc>
        <w:tc>
          <w:tcPr>
            <w:tcW w:w="770" w:type="dxa"/>
          </w:tcPr>
          <w:p w:rsidR="00EF6BE4" w:rsidRPr="001D61D6" w:rsidRDefault="00EF6BE4" w:rsidP="001D61D6">
            <w:pPr>
              <w:jc w:val="center"/>
              <w:rPr>
                <w:rFonts w:ascii="Arial" w:hAnsi="Arial" w:cs="Arial"/>
                <w:sz w:val="24"/>
                <w:szCs w:val="24"/>
              </w:rPr>
            </w:pPr>
          </w:p>
        </w:tc>
      </w:tr>
      <w:tr w:rsidR="00716674" w:rsidTr="00831774">
        <w:tc>
          <w:tcPr>
            <w:tcW w:w="1809" w:type="dxa"/>
          </w:tcPr>
          <w:p w:rsidR="00716674" w:rsidRPr="00905DCA" w:rsidRDefault="00716674" w:rsidP="007645F7">
            <w:pPr>
              <w:rPr>
                <w:rFonts w:ascii="Arial" w:hAnsi="Arial" w:cs="Arial"/>
                <w:sz w:val="24"/>
                <w:szCs w:val="24"/>
              </w:rPr>
            </w:pPr>
          </w:p>
        </w:tc>
        <w:tc>
          <w:tcPr>
            <w:tcW w:w="6663" w:type="dxa"/>
          </w:tcPr>
          <w:p w:rsidR="00716674" w:rsidRDefault="00716674" w:rsidP="007645F7">
            <w:pPr>
              <w:rPr>
                <w:rFonts w:ascii="Arial" w:hAnsi="Arial" w:cs="Arial"/>
                <w:sz w:val="24"/>
                <w:szCs w:val="24"/>
              </w:rPr>
            </w:pPr>
          </w:p>
        </w:tc>
        <w:tc>
          <w:tcPr>
            <w:tcW w:w="770" w:type="dxa"/>
          </w:tcPr>
          <w:p w:rsidR="00716674" w:rsidRDefault="00716674" w:rsidP="001D61D6">
            <w:pPr>
              <w:jc w:val="center"/>
              <w:rPr>
                <w:rFonts w:ascii="Arial" w:hAnsi="Arial" w:cs="Arial"/>
                <w:sz w:val="24"/>
                <w:szCs w:val="24"/>
              </w:rPr>
            </w:pPr>
          </w:p>
        </w:tc>
      </w:tr>
    </w:tbl>
    <w:p w:rsidR="002E5B5A" w:rsidRDefault="002E5B5A" w:rsidP="002E5B5A">
      <w:pPr>
        <w:ind w:left="1440" w:hanging="1440"/>
        <w:rPr>
          <w:rFonts w:ascii="Arial" w:hAnsi="Arial" w:cs="Arial"/>
          <w:b/>
          <w:sz w:val="24"/>
          <w:szCs w:val="24"/>
        </w:rPr>
      </w:pPr>
      <w:r>
        <w:rPr>
          <w:rFonts w:ascii="Arial" w:hAnsi="Arial" w:cs="Arial"/>
          <w:b/>
          <w:sz w:val="24"/>
          <w:szCs w:val="24"/>
        </w:rPr>
        <w:tab/>
      </w:r>
      <w:r w:rsidR="005D0972">
        <w:rPr>
          <w:rFonts w:ascii="Arial" w:hAnsi="Arial" w:cs="Arial"/>
          <w:b/>
          <w:sz w:val="24"/>
          <w:szCs w:val="24"/>
        </w:rPr>
        <w:t xml:space="preserve"> </w:t>
      </w:r>
    </w:p>
    <w:p w:rsidR="005D0972" w:rsidRDefault="002E5B5A" w:rsidP="002E5B5A">
      <w:pPr>
        <w:ind w:left="1440" w:hanging="1440"/>
        <w:rPr>
          <w:rFonts w:ascii="Arial" w:hAnsi="Arial" w:cs="Arial"/>
          <w:b/>
          <w:sz w:val="24"/>
          <w:szCs w:val="24"/>
        </w:rPr>
      </w:pPr>
      <w:r>
        <w:rPr>
          <w:rFonts w:ascii="Arial" w:hAnsi="Arial" w:cs="Arial"/>
          <w:b/>
          <w:sz w:val="24"/>
          <w:szCs w:val="24"/>
        </w:rPr>
        <w:tab/>
      </w:r>
      <w:r w:rsidR="005D0972">
        <w:rPr>
          <w:rFonts w:ascii="Arial" w:hAnsi="Arial" w:cs="Arial"/>
          <w:b/>
          <w:sz w:val="24"/>
          <w:szCs w:val="24"/>
        </w:rPr>
        <w:t xml:space="preserve"> </w:t>
      </w:r>
    </w:p>
    <w:p w:rsidR="00567223" w:rsidRPr="00567223" w:rsidRDefault="00567223" w:rsidP="00046782">
      <w:pPr>
        <w:pStyle w:val="ListParagraph"/>
        <w:numPr>
          <w:ilvl w:val="0"/>
          <w:numId w:val="2"/>
        </w:numPr>
        <w:rPr>
          <w:rFonts w:ascii="Arial" w:hAnsi="Arial" w:cs="Arial"/>
          <w:vanish/>
          <w:sz w:val="24"/>
          <w:szCs w:val="24"/>
        </w:rPr>
      </w:pPr>
    </w:p>
    <w:p w:rsidR="00716674" w:rsidRDefault="00B878E9" w:rsidP="007D1EC9">
      <w:pPr>
        <w:rPr>
          <w:rFonts w:ascii="Arial" w:hAnsi="Arial" w:cs="Arial"/>
          <w:b/>
          <w:sz w:val="28"/>
          <w:szCs w:val="28"/>
          <w:u w:val="single"/>
        </w:rPr>
      </w:pPr>
      <w:r>
        <w:rPr>
          <w:rFonts w:ascii="Arial" w:hAnsi="Arial" w:cs="Arial"/>
          <w:b/>
          <w:sz w:val="28"/>
          <w:szCs w:val="28"/>
          <w:u w:val="single"/>
        </w:rPr>
        <w:br w:type="page"/>
      </w:r>
    </w:p>
    <w:p w:rsidR="00392428" w:rsidRPr="0052470A" w:rsidRDefault="00392428" w:rsidP="00392428">
      <w:pPr>
        <w:jc w:val="center"/>
        <w:rPr>
          <w:rFonts w:ascii="Arial" w:hAnsi="Arial" w:cs="Arial"/>
          <w:b/>
          <w:sz w:val="28"/>
          <w:szCs w:val="28"/>
          <w:u w:val="single"/>
        </w:rPr>
      </w:pPr>
      <w:r w:rsidRPr="0052470A">
        <w:rPr>
          <w:rFonts w:ascii="Arial" w:hAnsi="Arial" w:cs="Arial"/>
          <w:b/>
          <w:sz w:val="28"/>
          <w:szCs w:val="28"/>
          <w:u w:val="single"/>
        </w:rPr>
        <w:lastRenderedPageBreak/>
        <w:t>Section 1</w:t>
      </w:r>
    </w:p>
    <w:p w:rsidR="00325D0A" w:rsidRPr="0052470A" w:rsidRDefault="00325D0A" w:rsidP="00392428">
      <w:pPr>
        <w:jc w:val="center"/>
        <w:rPr>
          <w:rFonts w:ascii="Arial" w:hAnsi="Arial" w:cs="Arial"/>
          <w:b/>
          <w:sz w:val="28"/>
          <w:szCs w:val="28"/>
          <w:u w:val="single"/>
        </w:rPr>
      </w:pPr>
      <w:r w:rsidRPr="0052470A">
        <w:rPr>
          <w:rFonts w:ascii="Arial" w:hAnsi="Arial" w:cs="Arial"/>
          <w:b/>
          <w:sz w:val="28"/>
          <w:szCs w:val="28"/>
          <w:u w:val="single"/>
        </w:rPr>
        <w:t>Background</w:t>
      </w:r>
    </w:p>
    <w:p w:rsidR="00F12F85" w:rsidRPr="00C174E6" w:rsidRDefault="00F12F85" w:rsidP="00046782">
      <w:pPr>
        <w:pStyle w:val="ListParagraph"/>
        <w:numPr>
          <w:ilvl w:val="1"/>
          <w:numId w:val="3"/>
        </w:numPr>
        <w:rPr>
          <w:rFonts w:ascii="Arial" w:hAnsi="Arial" w:cs="Arial"/>
          <w:b/>
          <w:sz w:val="24"/>
          <w:szCs w:val="24"/>
        </w:rPr>
      </w:pPr>
      <w:r w:rsidRPr="00C174E6">
        <w:rPr>
          <w:rFonts w:ascii="Arial" w:hAnsi="Arial" w:cs="Arial"/>
          <w:b/>
          <w:sz w:val="24"/>
          <w:szCs w:val="24"/>
        </w:rPr>
        <w:t>Introduction</w:t>
      </w:r>
    </w:p>
    <w:p w:rsidR="001A79A9" w:rsidRDefault="001A79A9" w:rsidP="00C174E6">
      <w:pPr>
        <w:pStyle w:val="ListParagraph"/>
        <w:jc w:val="both"/>
      </w:pPr>
    </w:p>
    <w:p w:rsidR="00046782" w:rsidRDefault="00046782" w:rsidP="00046782">
      <w:pPr>
        <w:pStyle w:val="ListParagraph"/>
        <w:tabs>
          <w:tab w:val="left" w:pos="1678"/>
        </w:tabs>
        <w:ind w:left="360"/>
        <w:jc w:val="both"/>
      </w:pPr>
      <w:r w:rsidRPr="00046782">
        <w:t xml:space="preserve">This document sets out the service specification and standards which apply to the provision of family-centred specialist Homecare services for children and young people with disabilities who have complex health and social care needs in Somerset via this </w:t>
      </w:r>
      <w:r>
        <w:t xml:space="preserve">initial </w:t>
      </w:r>
      <w:r w:rsidRPr="00046782">
        <w:t>3-year Somerset County Council Homecare Framework, Lot 5.</w:t>
      </w:r>
    </w:p>
    <w:p w:rsidR="00046782" w:rsidRDefault="00046782" w:rsidP="00046782">
      <w:pPr>
        <w:pStyle w:val="ListParagraph"/>
        <w:tabs>
          <w:tab w:val="left" w:pos="1678"/>
        </w:tabs>
        <w:ind w:left="360"/>
        <w:jc w:val="both"/>
      </w:pPr>
    </w:p>
    <w:p w:rsidR="00046782" w:rsidRDefault="00046782" w:rsidP="00046782">
      <w:pPr>
        <w:pStyle w:val="ListParagraph"/>
        <w:tabs>
          <w:tab w:val="left" w:pos="1678"/>
        </w:tabs>
        <w:ind w:left="360"/>
        <w:jc w:val="both"/>
      </w:pPr>
      <w:r w:rsidRPr="00046782">
        <w:t>The provision of Homecare supports children and young people with disabilities with complex health and social care needs within their own homes and local communities who might not otherwise be able to do so safely. It allows children and young people with disabilities and their families to be given personalised care and support that promotes choice and control in all aspects of daily living, and also helps give families a short break from their caring responsibilities. This provision enables children and young people with disabilities with complex health and social care needs to stay inclusively within their local communities and family networks, and it also helps to keep them out of high cost care placements.</w:t>
      </w:r>
    </w:p>
    <w:p w:rsidR="00046782" w:rsidRDefault="00046782" w:rsidP="00046782">
      <w:pPr>
        <w:pStyle w:val="ListParagraph"/>
        <w:tabs>
          <w:tab w:val="left" w:pos="1678"/>
        </w:tabs>
        <w:ind w:left="360"/>
        <w:jc w:val="both"/>
      </w:pPr>
    </w:p>
    <w:p w:rsidR="00046782" w:rsidRPr="00046782" w:rsidRDefault="00046782" w:rsidP="00046782">
      <w:pPr>
        <w:pStyle w:val="ListParagraph"/>
        <w:tabs>
          <w:tab w:val="left" w:pos="1678"/>
        </w:tabs>
        <w:ind w:left="360"/>
        <w:jc w:val="both"/>
      </w:pPr>
      <w:r w:rsidRPr="00046782">
        <w:t>This service is for;</w:t>
      </w:r>
    </w:p>
    <w:p w:rsidR="00046782" w:rsidRPr="00046782" w:rsidRDefault="00046782" w:rsidP="00046782">
      <w:pPr>
        <w:pStyle w:val="ListParagraph"/>
        <w:tabs>
          <w:tab w:val="left" w:pos="1678"/>
        </w:tabs>
        <w:ind w:left="360"/>
        <w:jc w:val="both"/>
      </w:pPr>
    </w:p>
    <w:p w:rsidR="00046782" w:rsidRDefault="00046782" w:rsidP="00046782">
      <w:pPr>
        <w:pStyle w:val="ListParagraph"/>
        <w:numPr>
          <w:ilvl w:val="0"/>
          <w:numId w:val="6"/>
        </w:numPr>
        <w:tabs>
          <w:tab w:val="left" w:pos="1678"/>
        </w:tabs>
      </w:pPr>
      <w:r w:rsidRPr="00046782">
        <w:t>Children and young people with disabilities with assessed complex health and social care needs, who are living in Somerset and registered with a Somerset GP, aged 0-18 requiring specialist care and support.</w:t>
      </w:r>
    </w:p>
    <w:p w:rsidR="00046782" w:rsidRDefault="00046782" w:rsidP="00046782">
      <w:pPr>
        <w:pStyle w:val="ListParagraph"/>
        <w:tabs>
          <w:tab w:val="left" w:pos="1678"/>
        </w:tabs>
        <w:ind w:left="1429"/>
      </w:pPr>
    </w:p>
    <w:p w:rsidR="00046782" w:rsidRPr="00046782" w:rsidRDefault="00046782" w:rsidP="005B20CD">
      <w:pPr>
        <w:tabs>
          <w:tab w:val="left" w:pos="1678"/>
        </w:tabs>
        <w:ind w:left="426"/>
        <w:jc w:val="both"/>
      </w:pPr>
      <w:r w:rsidRPr="00046782">
        <w:t>This service will provide;</w:t>
      </w:r>
    </w:p>
    <w:p w:rsidR="00046782" w:rsidRPr="00046782" w:rsidRDefault="00046782" w:rsidP="005B20CD">
      <w:pPr>
        <w:pStyle w:val="ListParagraph"/>
        <w:tabs>
          <w:tab w:val="left" w:pos="1678"/>
        </w:tabs>
        <w:ind w:left="360"/>
        <w:jc w:val="both"/>
      </w:pPr>
    </w:p>
    <w:p w:rsidR="00046782" w:rsidRPr="00046782" w:rsidRDefault="00046782" w:rsidP="005B20CD">
      <w:pPr>
        <w:pStyle w:val="ListParagraph"/>
        <w:numPr>
          <w:ilvl w:val="0"/>
          <w:numId w:val="6"/>
        </w:numPr>
        <w:tabs>
          <w:tab w:val="left" w:pos="1678"/>
        </w:tabs>
        <w:jc w:val="both"/>
      </w:pPr>
      <w:r w:rsidRPr="00046782">
        <w:t xml:space="preserve">Children and young people with disabilities and their parents/carers with care and support that is personalised to their individual needs (as specified in their individual care and support plans, ranging from providing personal care in their </w:t>
      </w:r>
      <w:r w:rsidR="001458D9" w:rsidRPr="00046782">
        <w:t>own homes</w:t>
      </w:r>
      <w:r w:rsidRPr="00046782">
        <w:t xml:space="preserve"> to supporting them to access local community and leisure opportunities.</w:t>
      </w:r>
    </w:p>
    <w:p w:rsidR="00046782" w:rsidRPr="00046782" w:rsidRDefault="00046782" w:rsidP="005B20CD">
      <w:pPr>
        <w:pStyle w:val="ListParagraph"/>
        <w:tabs>
          <w:tab w:val="left" w:pos="1678"/>
        </w:tabs>
        <w:ind w:left="360"/>
        <w:jc w:val="both"/>
      </w:pPr>
    </w:p>
    <w:p w:rsidR="007B75D7" w:rsidRDefault="007B75D7" w:rsidP="005B20CD">
      <w:pPr>
        <w:pStyle w:val="ListParagraph"/>
        <w:tabs>
          <w:tab w:val="left" w:pos="1678"/>
        </w:tabs>
        <w:jc w:val="both"/>
      </w:pPr>
    </w:p>
    <w:p w:rsidR="007B75D7" w:rsidRDefault="007B75D7" w:rsidP="005B20CD">
      <w:pPr>
        <w:pStyle w:val="ListParagraph"/>
        <w:tabs>
          <w:tab w:val="left" w:pos="1678"/>
        </w:tabs>
        <w:jc w:val="both"/>
      </w:pPr>
    </w:p>
    <w:p w:rsidR="00325D0A" w:rsidRDefault="00F12F85" w:rsidP="005B20CD">
      <w:pPr>
        <w:jc w:val="both"/>
        <w:rPr>
          <w:rFonts w:ascii="Arial" w:hAnsi="Arial" w:cs="Arial"/>
          <w:b/>
          <w:sz w:val="24"/>
          <w:szCs w:val="24"/>
        </w:rPr>
      </w:pPr>
      <w:r>
        <w:rPr>
          <w:rFonts w:ascii="Arial" w:hAnsi="Arial" w:cs="Arial"/>
          <w:b/>
          <w:sz w:val="24"/>
          <w:szCs w:val="24"/>
        </w:rPr>
        <w:t>1.2</w:t>
      </w:r>
      <w:r>
        <w:rPr>
          <w:rFonts w:ascii="Arial" w:hAnsi="Arial" w:cs="Arial"/>
          <w:b/>
          <w:sz w:val="24"/>
          <w:szCs w:val="24"/>
        </w:rPr>
        <w:tab/>
      </w:r>
      <w:r w:rsidR="00FC271E">
        <w:rPr>
          <w:rFonts w:ascii="Arial" w:hAnsi="Arial" w:cs="Arial"/>
          <w:b/>
          <w:sz w:val="24"/>
          <w:szCs w:val="24"/>
        </w:rPr>
        <w:t>Background</w:t>
      </w:r>
    </w:p>
    <w:p w:rsidR="00636074" w:rsidRDefault="00636074" w:rsidP="005B20CD">
      <w:pPr>
        <w:tabs>
          <w:tab w:val="left" w:pos="701"/>
        </w:tabs>
        <w:ind w:left="701"/>
        <w:jc w:val="both"/>
      </w:pPr>
      <w:r>
        <w:tab/>
      </w:r>
      <w:r w:rsidRPr="00636074">
        <w:t xml:space="preserve">There are an increasing number of children and young people who live with conditions described as ‘complex and continuing health care’. The reasons for this include: the number of babies who can now survive premature birth; lower gestational age at which survival is possible, and through biomedical and technical advances. </w:t>
      </w:r>
    </w:p>
    <w:p w:rsidR="00636074" w:rsidRDefault="00636074" w:rsidP="005B20CD">
      <w:pPr>
        <w:tabs>
          <w:tab w:val="left" w:pos="701"/>
        </w:tabs>
        <w:ind w:left="701"/>
        <w:jc w:val="both"/>
      </w:pPr>
      <w:r w:rsidRPr="00636074">
        <w:lastRenderedPageBreak/>
        <w:t>Although infants and children can survive life-threatening events and situations in ways which were previously not possible, this can mean that they require medical and technical treatment or intervention for many years and sometimes for their entire life.</w:t>
      </w:r>
    </w:p>
    <w:p w:rsidR="00636074" w:rsidRPr="00636074" w:rsidRDefault="00636074" w:rsidP="005B20CD">
      <w:pPr>
        <w:tabs>
          <w:tab w:val="left" w:pos="701"/>
        </w:tabs>
        <w:ind w:left="701"/>
        <w:jc w:val="both"/>
      </w:pPr>
      <w:r w:rsidRPr="00636074">
        <w:t>There are developments in medical practice that are leading to an increase in severe childhood disability, in particular:</w:t>
      </w:r>
    </w:p>
    <w:p w:rsidR="00636074" w:rsidRPr="00636074" w:rsidRDefault="00636074" w:rsidP="005B20CD">
      <w:pPr>
        <w:numPr>
          <w:ilvl w:val="0"/>
          <w:numId w:val="6"/>
        </w:numPr>
        <w:tabs>
          <w:tab w:val="left" w:pos="701"/>
        </w:tabs>
        <w:jc w:val="both"/>
      </w:pPr>
      <w:r w:rsidRPr="00636074">
        <w:t xml:space="preserve">The increase in the prevalence of cerebral palsy; cerebral palsy is the commonest cause of severe multiple disabilities in children. </w:t>
      </w:r>
    </w:p>
    <w:p w:rsidR="00636074" w:rsidRPr="00636074" w:rsidRDefault="00636074" w:rsidP="005B20CD">
      <w:pPr>
        <w:numPr>
          <w:ilvl w:val="0"/>
          <w:numId w:val="6"/>
        </w:numPr>
        <w:tabs>
          <w:tab w:val="left" w:pos="701"/>
        </w:tabs>
        <w:jc w:val="both"/>
      </w:pPr>
      <w:r w:rsidRPr="00636074">
        <w:t>The increase in survival rates associated with advancing medical techniques.</w:t>
      </w:r>
    </w:p>
    <w:p w:rsidR="00636074" w:rsidRPr="00636074" w:rsidRDefault="00636074" w:rsidP="005B20CD">
      <w:pPr>
        <w:numPr>
          <w:ilvl w:val="0"/>
          <w:numId w:val="6"/>
        </w:numPr>
        <w:tabs>
          <w:tab w:val="left" w:pos="701"/>
        </w:tabs>
        <w:jc w:val="both"/>
      </w:pPr>
      <w:r w:rsidRPr="00636074">
        <w:t xml:space="preserve">The increase in the prevalence of Downs Syndrome. </w:t>
      </w:r>
    </w:p>
    <w:p w:rsidR="00636074" w:rsidRPr="00636074" w:rsidRDefault="00636074" w:rsidP="005B20CD">
      <w:pPr>
        <w:numPr>
          <w:ilvl w:val="0"/>
          <w:numId w:val="6"/>
        </w:numPr>
        <w:tabs>
          <w:tab w:val="left" w:pos="701"/>
        </w:tabs>
        <w:jc w:val="both"/>
      </w:pPr>
      <w:r w:rsidRPr="00636074">
        <w:t xml:space="preserve">The increase in the diagnosis of Autism. </w:t>
      </w:r>
    </w:p>
    <w:p w:rsidR="00636074" w:rsidRDefault="00636074" w:rsidP="005B20CD">
      <w:pPr>
        <w:tabs>
          <w:tab w:val="left" w:pos="701"/>
        </w:tabs>
        <w:ind w:left="701"/>
        <w:jc w:val="both"/>
      </w:pPr>
      <w:r>
        <w:tab/>
      </w:r>
      <w:r w:rsidRPr="00636074">
        <w:t>The provision o</w:t>
      </w:r>
      <w:r w:rsidR="00AD3B8A">
        <w:t xml:space="preserve">f these services </w:t>
      </w:r>
      <w:r w:rsidRPr="00636074">
        <w:t>in part,</w:t>
      </w:r>
      <w:r w:rsidR="00AD3B8A">
        <w:t xml:space="preserve"> help</w:t>
      </w:r>
      <w:r w:rsidRPr="00636074">
        <w:t xml:space="preserve"> SCC and the CCG to meet their statutory responsibilities, as required by the Children’s Act (1989), Children and Young Person’s Act (2008), The Breaks for Carers of Disabled Children Regulations (2011) and Children and Families Act (2014).</w:t>
      </w:r>
    </w:p>
    <w:p w:rsidR="00B27A01" w:rsidRDefault="00B27A01" w:rsidP="005B20CD">
      <w:pPr>
        <w:tabs>
          <w:tab w:val="left" w:pos="701"/>
        </w:tabs>
        <w:ind w:left="701"/>
        <w:jc w:val="both"/>
      </w:pPr>
    </w:p>
    <w:p w:rsidR="005B20CD" w:rsidRPr="005B20CD" w:rsidRDefault="005B20CD" w:rsidP="005B20CD">
      <w:pPr>
        <w:tabs>
          <w:tab w:val="left" w:pos="701"/>
        </w:tabs>
        <w:ind w:left="701"/>
        <w:jc w:val="both"/>
        <w:rPr>
          <w:b/>
        </w:rPr>
      </w:pPr>
      <w:r w:rsidRPr="005B20CD">
        <w:rPr>
          <w:b/>
        </w:rPr>
        <w:t>National Definition of Short Breaks;</w:t>
      </w:r>
    </w:p>
    <w:p w:rsidR="005B20CD" w:rsidRPr="005B20CD" w:rsidRDefault="005B20CD" w:rsidP="005B20CD">
      <w:pPr>
        <w:tabs>
          <w:tab w:val="left" w:pos="701"/>
        </w:tabs>
        <w:ind w:left="701"/>
        <w:jc w:val="both"/>
      </w:pPr>
      <w:r w:rsidRPr="005B20CD">
        <w:t>“Short breaks are part of a broad continuum of services which support children and young people in need and their families. They include the provision of day, evening, overnight and weekend activities for the child or young person and can take place in the child’s or young person’s own home, the home of an approved carer, or in residential or community settings.”</w:t>
      </w:r>
    </w:p>
    <w:p w:rsidR="005B20CD" w:rsidRDefault="005B20CD" w:rsidP="00636074">
      <w:pPr>
        <w:tabs>
          <w:tab w:val="left" w:pos="701"/>
        </w:tabs>
        <w:ind w:left="701"/>
      </w:pPr>
    </w:p>
    <w:p w:rsidR="00B27A01" w:rsidRDefault="00B27A01" w:rsidP="00636074">
      <w:pPr>
        <w:tabs>
          <w:tab w:val="left" w:pos="701"/>
        </w:tabs>
        <w:ind w:left="701"/>
      </w:pPr>
    </w:p>
    <w:p w:rsidR="00B27A01" w:rsidRDefault="00B27A01" w:rsidP="00636074">
      <w:pPr>
        <w:tabs>
          <w:tab w:val="left" w:pos="701"/>
        </w:tabs>
        <w:ind w:left="701"/>
      </w:pPr>
    </w:p>
    <w:p w:rsidR="00B27A01" w:rsidRDefault="00B27A01" w:rsidP="002101C6">
      <w:pPr>
        <w:tabs>
          <w:tab w:val="left" w:pos="701"/>
        </w:tabs>
      </w:pPr>
    </w:p>
    <w:p w:rsidR="00B27A01" w:rsidRDefault="00B27A01" w:rsidP="00636074">
      <w:pPr>
        <w:tabs>
          <w:tab w:val="left" w:pos="701"/>
        </w:tabs>
        <w:ind w:left="701"/>
      </w:pPr>
    </w:p>
    <w:p w:rsidR="00B27A01" w:rsidRDefault="00B27A01" w:rsidP="00636074">
      <w:pPr>
        <w:tabs>
          <w:tab w:val="left" w:pos="701"/>
        </w:tabs>
        <w:ind w:left="701"/>
      </w:pPr>
    </w:p>
    <w:p w:rsidR="00B27A01" w:rsidRDefault="00B27A01" w:rsidP="00636074">
      <w:pPr>
        <w:tabs>
          <w:tab w:val="left" w:pos="701"/>
        </w:tabs>
        <w:ind w:left="701"/>
      </w:pPr>
    </w:p>
    <w:p w:rsidR="004D0DBC" w:rsidRDefault="004D0DBC" w:rsidP="004D0DBC"/>
    <w:p w:rsidR="004D0DBC" w:rsidRDefault="004D0DBC" w:rsidP="004D0DBC">
      <w:pPr>
        <w:jc w:val="center"/>
        <w:rPr>
          <w:rFonts w:ascii="Arial" w:hAnsi="Arial" w:cs="Arial"/>
          <w:b/>
          <w:sz w:val="28"/>
          <w:szCs w:val="28"/>
          <w:u w:val="single"/>
        </w:rPr>
      </w:pPr>
    </w:p>
    <w:p w:rsidR="004D0DBC" w:rsidRDefault="004D0DBC" w:rsidP="004D0DBC">
      <w:pPr>
        <w:jc w:val="center"/>
        <w:rPr>
          <w:rFonts w:ascii="Arial" w:hAnsi="Arial" w:cs="Arial"/>
          <w:b/>
          <w:sz w:val="28"/>
          <w:szCs w:val="28"/>
          <w:u w:val="single"/>
        </w:rPr>
      </w:pPr>
    </w:p>
    <w:p w:rsidR="00801D6B" w:rsidRDefault="00801D6B" w:rsidP="004D0DBC">
      <w:pPr>
        <w:jc w:val="center"/>
        <w:rPr>
          <w:rFonts w:ascii="Arial" w:hAnsi="Arial" w:cs="Arial"/>
          <w:b/>
          <w:sz w:val="28"/>
          <w:szCs w:val="28"/>
          <w:u w:val="single"/>
        </w:rPr>
      </w:pPr>
    </w:p>
    <w:p w:rsidR="00374AE0" w:rsidRPr="0052470A" w:rsidRDefault="00325D0A" w:rsidP="004D0DBC">
      <w:pPr>
        <w:jc w:val="center"/>
        <w:rPr>
          <w:rFonts w:ascii="Arial" w:hAnsi="Arial" w:cs="Arial"/>
          <w:b/>
          <w:sz w:val="28"/>
          <w:szCs w:val="28"/>
          <w:u w:val="single"/>
        </w:rPr>
      </w:pPr>
      <w:r w:rsidRPr="0052470A">
        <w:rPr>
          <w:rFonts w:ascii="Arial" w:hAnsi="Arial" w:cs="Arial"/>
          <w:b/>
          <w:sz w:val="28"/>
          <w:szCs w:val="28"/>
          <w:u w:val="single"/>
        </w:rPr>
        <w:lastRenderedPageBreak/>
        <w:t>Section 2</w:t>
      </w:r>
    </w:p>
    <w:p w:rsidR="00325D0A" w:rsidRPr="00710BF6" w:rsidRDefault="0052470A" w:rsidP="00710BF6">
      <w:pPr>
        <w:jc w:val="center"/>
        <w:rPr>
          <w:rFonts w:ascii="Arial" w:hAnsi="Arial" w:cs="Arial"/>
          <w:b/>
          <w:sz w:val="28"/>
          <w:szCs w:val="28"/>
          <w:u w:val="single"/>
        </w:rPr>
      </w:pPr>
      <w:r>
        <w:rPr>
          <w:rFonts w:ascii="Arial" w:hAnsi="Arial" w:cs="Arial"/>
          <w:b/>
          <w:sz w:val="28"/>
          <w:szCs w:val="28"/>
          <w:u w:val="single"/>
        </w:rPr>
        <w:t xml:space="preserve">Service </w:t>
      </w:r>
      <w:r w:rsidR="00325D0A" w:rsidRPr="0052470A">
        <w:rPr>
          <w:rFonts w:ascii="Arial" w:hAnsi="Arial" w:cs="Arial"/>
          <w:b/>
          <w:sz w:val="28"/>
          <w:szCs w:val="28"/>
          <w:u w:val="single"/>
        </w:rPr>
        <w:t>Scope</w:t>
      </w:r>
    </w:p>
    <w:p w:rsidR="00FC271E" w:rsidRPr="00B27A01" w:rsidRDefault="00FC271E" w:rsidP="00B27A01">
      <w:pPr>
        <w:pStyle w:val="ListParagraph"/>
        <w:numPr>
          <w:ilvl w:val="1"/>
          <w:numId w:val="9"/>
        </w:numPr>
        <w:ind w:left="709" w:hanging="709"/>
        <w:rPr>
          <w:rFonts w:ascii="Arial" w:hAnsi="Arial" w:cs="Arial"/>
          <w:sz w:val="24"/>
          <w:szCs w:val="24"/>
        </w:rPr>
      </w:pPr>
      <w:r w:rsidRPr="00B27A01">
        <w:rPr>
          <w:rFonts w:ascii="Arial" w:hAnsi="Arial" w:cs="Arial"/>
          <w:b/>
          <w:sz w:val="24"/>
          <w:szCs w:val="24"/>
        </w:rPr>
        <w:t xml:space="preserve">Key </w:t>
      </w:r>
      <w:r w:rsidR="00DD7BF1" w:rsidRPr="00B27A01">
        <w:rPr>
          <w:rFonts w:ascii="Arial" w:hAnsi="Arial" w:cs="Arial"/>
          <w:b/>
          <w:sz w:val="24"/>
          <w:szCs w:val="24"/>
        </w:rPr>
        <w:t xml:space="preserve">Aims and </w:t>
      </w:r>
      <w:r w:rsidRPr="00B27A01">
        <w:rPr>
          <w:rFonts w:ascii="Arial" w:hAnsi="Arial" w:cs="Arial"/>
          <w:b/>
          <w:sz w:val="24"/>
          <w:szCs w:val="24"/>
        </w:rPr>
        <w:t>Objectives</w:t>
      </w:r>
    </w:p>
    <w:p w:rsidR="00B27A01" w:rsidRDefault="00B27A01" w:rsidP="00B27A01">
      <w:pPr>
        <w:ind w:left="720"/>
        <w:jc w:val="both"/>
      </w:pPr>
      <w:r w:rsidRPr="00B27A01">
        <w:t>Somerset County Council (SCC) and the Somerset Clinical Commissioning Group (CCG) continue to raise the participation and inclusion of, alongside the choices available to disabled children and young people and their families, and are looking to commission via the SCC Homecare Framework Lot 5, a range of homecare services that offer choice and accessibility in order to meet the on-going needs of disabled children, young people with complex health and social care needs and their families in Somerset.</w:t>
      </w:r>
    </w:p>
    <w:p w:rsidR="00B27A01" w:rsidRDefault="00B27A01" w:rsidP="00B27A01">
      <w:pPr>
        <w:ind w:left="720"/>
        <w:jc w:val="both"/>
      </w:pPr>
      <w:r w:rsidRPr="00B27A01">
        <w:t xml:space="preserve">Services may be delivered to the child/ young people in their own home </w:t>
      </w:r>
      <w:r w:rsidR="00906C4C">
        <w:t xml:space="preserve">or short break residential setting </w:t>
      </w:r>
      <w:r w:rsidRPr="00B27A01">
        <w:t>to support the family, for example with a sitting service or bedtime routine etc. and/or in their local community to support access to universal and specialist activities.</w:t>
      </w:r>
    </w:p>
    <w:p w:rsidR="00B27A01" w:rsidRPr="00B27A01" w:rsidRDefault="00B27A01" w:rsidP="00B27A01">
      <w:pPr>
        <w:ind w:left="720"/>
        <w:jc w:val="both"/>
      </w:pPr>
      <w:r w:rsidRPr="00B27A01">
        <w:t>Alongside the need to deliver high quality outcomes and demonstrating value for money, all service provision will need to make a significant contribution to prevention, increased choice, control and independence as well as enhancing the quality of life for the whole family.</w:t>
      </w:r>
    </w:p>
    <w:p w:rsidR="00E6394A" w:rsidRPr="00E6394A" w:rsidRDefault="00E6394A" w:rsidP="00BB3688">
      <w:pPr>
        <w:rPr>
          <w:rFonts w:ascii="Arial" w:hAnsi="Arial" w:cs="Arial"/>
          <w:sz w:val="24"/>
          <w:szCs w:val="24"/>
        </w:rPr>
      </w:pPr>
    </w:p>
    <w:p w:rsidR="00FC271E" w:rsidRPr="00030C62" w:rsidRDefault="00B27A01" w:rsidP="00030C62">
      <w:pPr>
        <w:pStyle w:val="ListParagraph"/>
        <w:numPr>
          <w:ilvl w:val="1"/>
          <w:numId w:val="9"/>
        </w:numPr>
        <w:ind w:left="709" w:hanging="709"/>
        <w:rPr>
          <w:rFonts w:ascii="Arial" w:hAnsi="Arial" w:cs="Arial"/>
          <w:b/>
          <w:sz w:val="24"/>
          <w:szCs w:val="24"/>
        </w:rPr>
      </w:pPr>
      <w:r w:rsidRPr="00030C62">
        <w:rPr>
          <w:rFonts w:ascii="Arial" w:hAnsi="Arial" w:cs="Arial"/>
          <w:b/>
          <w:sz w:val="24"/>
          <w:szCs w:val="24"/>
        </w:rPr>
        <w:t>Service Requirements</w:t>
      </w:r>
    </w:p>
    <w:p w:rsidR="00030C62" w:rsidRDefault="00B27A01" w:rsidP="004D0DBC">
      <w:pPr>
        <w:ind w:left="720"/>
        <w:jc w:val="both"/>
      </w:pPr>
      <w:r w:rsidRPr="00B27A01">
        <w:t>This service operates within a clear outcomes focused framework. Referrals for the provision will be made with clarity about what the service is expected to achieve for that child or young person with disabilities and complex health and social care needs and their family and how it will measure those individual outcomes. This will be</w:t>
      </w:r>
      <w:r>
        <w:t xml:space="preserve"> set out</w:t>
      </w:r>
      <w:r w:rsidR="00AD044B">
        <w:t xml:space="preserve"> in the Package Request </w:t>
      </w:r>
      <w:r w:rsidRPr="00B27A01">
        <w:t xml:space="preserve">Form (please see Appendix 1). </w:t>
      </w:r>
    </w:p>
    <w:p w:rsidR="00B27A01" w:rsidRPr="00B27A01" w:rsidRDefault="00B27A01" w:rsidP="004D0DBC">
      <w:pPr>
        <w:ind w:left="720"/>
        <w:jc w:val="both"/>
      </w:pPr>
      <w:r w:rsidRPr="00B27A01">
        <w:t xml:space="preserve">Services are to be provided, wherever possible, at times which meet the needs of the children and young people, their carers or family members. Service Providers will need to work in a flexible way and consider the family’s choice of venue, </w:t>
      </w:r>
      <w:r w:rsidR="005412F1" w:rsidRPr="00B27A01">
        <w:t>considering</w:t>
      </w:r>
      <w:r w:rsidRPr="00B27A01">
        <w:t xml:space="preserve"> the families’ personal circumstances.</w:t>
      </w:r>
    </w:p>
    <w:p w:rsidR="00BB2217" w:rsidRDefault="00BB2217" w:rsidP="00EE7219"/>
    <w:p w:rsidR="00325D0A" w:rsidRDefault="002101C6" w:rsidP="00EE7219">
      <w:pPr>
        <w:rPr>
          <w:rFonts w:ascii="Arial" w:hAnsi="Arial" w:cs="Arial"/>
          <w:b/>
          <w:sz w:val="24"/>
          <w:szCs w:val="24"/>
        </w:rPr>
      </w:pPr>
      <w:r>
        <w:rPr>
          <w:rFonts w:ascii="Arial" w:hAnsi="Arial" w:cs="Arial"/>
          <w:b/>
          <w:sz w:val="24"/>
          <w:szCs w:val="24"/>
        </w:rPr>
        <w:t>2.3</w:t>
      </w:r>
      <w:r w:rsidR="00BE20FE">
        <w:rPr>
          <w:rFonts w:ascii="Arial" w:hAnsi="Arial" w:cs="Arial"/>
          <w:b/>
          <w:sz w:val="24"/>
          <w:szCs w:val="24"/>
        </w:rPr>
        <w:tab/>
      </w:r>
      <w:r w:rsidR="004D0DBC">
        <w:rPr>
          <w:rFonts w:ascii="Arial" w:hAnsi="Arial" w:cs="Arial"/>
          <w:b/>
          <w:sz w:val="24"/>
          <w:szCs w:val="24"/>
        </w:rPr>
        <w:t>Service scope</w:t>
      </w:r>
    </w:p>
    <w:p w:rsidR="004D0DBC" w:rsidRPr="004D0DBC" w:rsidRDefault="004D0DBC" w:rsidP="004D0DBC">
      <w:pPr>
        <w:numPr>
          <w:ilvl w:val="0"/>
          <w:numId w:val="10"/>
        </w:numPr>
      </w:pPr>
      <w:r w:rsidRPr="004D0DBC">
        <w:t>Day (7:00am – 10:00pm), evening, overnight (10:00pm – 7:00am) and weekend care and support that takes place in the child or young person’s home and/or community setting. Available 365 days of the year.</w:t>
      </w:r>
    </w:p>
    <w:p w:rsidR="004D0DBC" w:rsidRPr="004D0DBC" w:rsidRDefault="004D0DBC" w:rsidP="004D0DBC">
      <w:pPr>
        <w:numPr>
          <w:ilvl w:val="0"/>
          <w:numId w:val="10"/>
        </w:numPr>
        <w:jc w:val="both"/>
      </w:pPr>
      <w:r w:rsidRPr="004D0DBC">
        <w:t>Provision that can last for up to a few hours, either on a consistent daily, weekly or monthly or ad-hoc basis depending on individual need.</w:t>
      </w:r>
    </w:p>
    <w:p w:rsidR="004D0DBC" w:rsidRPr="004D0DBC" w:rsidRDefault="004D0DBC" w:rsidP="004D0DBC">
      <w:pPr>
        <w:ind w:left="720"/>
        <w:jc w:val="both"/>
      </w:pPr>
      <w:r w:rsidRPr="004D0DBC">
        <w:t xml:space="preserve">Care provision includes a range of standard procedures within the </w:t>
      </w:r>
      <w:hyperlink r:id="rId9" w:history="1">
        <w:r w:rsidRPr="004D0DBC">
          <w:rPr>
            <w:rStyle w:val="Hyperlink"/>
          </w:rPr>
          <w:t>National Framework for Children and Young People’s Continuing Care Domains,</w:t>
        </w:r>
      </w:hyperlink>
      <w:r w:rsidRPr="004D0DBC">
        <w:t xml:space="preserve"> but not limited to;</w:t>
      </w:r>
    </w:p>
    <w:p w:rsidR="004D0DBC" w:rsidRPr="004D0DBC" w:rsidRDefault="004D0DBC" w:rsidP="004D0DBC">
      <w:pPr>
        <w:ind w:left="720"/>
      </w:pPr>
    </w:p>
    <w:p w:rsidR="004D0DBC" w:rsidRPr="004D0DBC" w:rsidRDefault="004D0DBC" w:rsidP="004D0DBC">
      <w:pPr>
        <w:numPr>
          <w:ilvl w:val="0"/>
          <w:numId w:val="11"/>
        </w:numPr>
        <w:rPr>
          <w:b/>
        </w:rPr>
      </w:pPr>
      <w:r w:rsidRPr="004D0DBC">
        <w:rPr>
          <w:b/>
        </w:rPr>
        <w:t>Breathing</w:t>
      </w:r>
      <w:r w:rsidR="00026DB9">
        <w:rPr>
          <w:b/>
        </w:rPr>
        <w:t xml:space="preserve"> </w:t>
      </w:r>
    </w:p>
    <w:p w:rsidR="004D0DBC" w:rsidRPr="004D0DBC" w:rsidRDefault="004D0DBC" w:rsidP="004D0DBC">
      <w:pPr>
        <w:numPr>
          <w:ilvl w:val="0"/>
          <w:numId w:val="11"/>
        </w:numPr>
        <w:rPr>
          <w:b/>
        </w:rPr>
      </w:pPr>
      <w:r w:rsidRPr="004D0DBC">
        <w:rPr>
          <w:b/>
        </w:rPr>
        <w:t>Eating and Drinking</w:t>
      </w:r>
    </w:p>
    <w:p w:rsidR="004D0DBC" w:rsidRPr="004D0DBC" w:rsidRDefault="004D0DBC" w:rsidP="004D0DBC">
      <w:pPr>
        <w:numPr>
          <w:ilvl w:val="0"/>
          <w:numId w:val="11"/>
        </w:numPr>
        <w:rPr>
          <w:b/>
        </w:rPr>
      </w:pPr>
      <w:r w:rsidRPr="004D0DBC">
        <w:rPr>
          <w:b/>
        </w:rPr>
        <w:t>Mobility</w:t>
      </w:r>
    </w:p>
    <w:p w:rsidR="004D0DBC" w:rsidRPr="004D0DBC" w:rsidRDefault="004D0DBC" w:rsidP="004D0DBC">
      <w:pPr>
        <w:numPr>
          <w:ilvl w:val="0"/>
          <w:numId w:val="11"/>
        </w:numPr>
        <w:rPr>
          <w:b/>
        </w:rPr>
      </w:pPr>
      <w:r w:rsidRPr="004D0DBC">
        <w:rPr>
          <w:b/>
        </w:rPr>
        <w:t>Continence or Elimination</w:t>
      </w:r>
    </w:p>
    <w:p w:rsidR="004D0DBC" w:rsidRPr="004D0DBC" w:rsidRDefault="004D0DBC" w:rsidP="004D0DBC">
      <w:pPr>
        <w:numPr>
          <w:ilvl w:val="0"/>
          <w:numId w:val="11"/>
        </w:numPr>
        <w:rPr>
          <w:b/>
        </w:rPr>
      </w:pPr>
      <w:r w:rsidRPr="004D0DBC">
        <w:rPr>
          <w:b/>
        </w:rPr>
        <w:t>Skin and Tissue Viability</w:t>
      </w:r>
    </w:p>
    <w:p w:rsidR="004D0DBC" w:rsidRPr="004D0DBC" w:rsidRDefault="004D0DBC" w:rsidP="004D0DBC">
      <w:pPr>
        <w:numPr>
          <w:ilvl w:val="0"/>
          <w:numId w:val="11"/>
        </w:numPr>
        <w:rPr>
          <w:b/>
        </w:rPr>
      </w:pPr>
      <w:r w:rsidRPr="004D0DBC">
        <w:rPr>
          <w:b/>
        </w:rPr>
        <w:t>Communication</w:t>
      </w:r>
    </w:p>
    <w:p w:rsidR="004D0DBC" w:rsidRPr="004D0DBC" w:rsidRDefault="004D0DBC" w:rsidP="004D0DBC">
      <w:pPr>
        <w:numPr>
          <w:ilvl w:val="0"/>
          <w:numId w:val="11"/>
        </w:numPr>
        <w:rPr>
          <w:b/>
        </w:rPr>
      </w:pPr>
      <w:r w:rsidRPr="004D0DBC">
        <w:rPr>
          <w:b/>
        </w:rPr>
        <w:t>Drug Therapies and Medication</w:t>
      </w:r>
    </w:p>
    <w:p w:rsidR="004D0DBC" w:rsidRPr="004D0DBC" w:rsidRDefault="004D0DBC" w:rsidP="004D0DBC">
      <w:pPr>
        <w:numPr>
          <w:ilvl w:val="0"/>
          <w:numId w:val="11"/>
        </w:numPr>
        <w:rPr>
          <w:b/>
        </w:rPr>
      </w:pPr>
      <w:r w:rsidRPr="004D0DBC">
        <w:rPr>
          <w:b/>
        </w:rPr>
        <w:t xml:space="preserve">Psychological and Emotional </w:t>
      </w:r>
      <w:r w:rsidRPr="004D0DBC">
        <w:t>(beyond what would be typically expected from a child or young person of their age)</w:t>
      </w:r>
    </w:p>
    <w:p w:rsidR="004D0DBC" w:rsidRPr="004D0DBC" w:rsidRDefault="004D0DBC" w:rsidP="004D0DBC">
      <w:pPr>
        <w:numPr>
          <w:ilvl w:val="0"/>
          <w:numId w:val="11"/>
        </w:numPr>
        <w:rPr>
          <w:b/>
        </w:rPr>
      </w:pPr>
      <w:r w:rsidRPr="004D0DBC">
        <w:rPr>
          <w:b/>
        </w:rPr>
        <w:t>Seizures</w:t>
      </w:r>
    </w:p>
    <w:p w:rsidR="004D0DBC" w:rsidRPr="004D0DBC" w:rsidRDefault="004D0DBC" w:rsidP="004D0DBC">
      <w:pPr>
        <w:numPr>
          <w:ilvl w:val="0"/>
          <w:numId w:val="11"/>
        </w:numPr>
        <w:rPr>
          <w:b/>
        </w:rPr>
      </w:pPr>
      <w:r w:rsidRPr="004D0DBC">
        <w:rPr>
          <w:b/>
        </w:rPr>
        <w:t>Challenging Behaviour</w:t>
      </w:r>
    </w:p>
    <w:p w:rsidR="004D0DBC" w:rsidRPr="004D0DBC" w:rsidRDefault="004D0DBC" w:rsidP="004D0DBC">
      <w:pPr>
        <w:ind w:left="720"/>
      </w:pPr>
    </w:p>
    <w:p w:rsidR="004D0DBC" w:rsidRPr="004D0DBC" w:rsidRDefault="002101C6" w:rsidP="004D0DBC">
      <w:pPr>
        <w:ind w:left="720" w:hanging="720"/>
        <w:rPr>
          <w:rFonts w:ascii="Arial" w:hAnsi="Arial" w:cs="Arial"/>
          <w:b/>
          <w:sz w:val="24"/>
        </w:rPr>
      </w:pPr>
      <w:r>
        <w:rPr>
          <w:rFonts w:ascii="Arial" w:hAnsi="Arial" w:cs="Arial"/>
          <w:b/>
          <w:sz w:val="24"/>
        </w:rPr>
        <w:t>2.4</w:t>
      </w:r>
      <w:r w:rsidR="004D0DBC">
        <w:rPr>
          <w:rFonts w:ascii="Arial" w:hAnsi="Arial" w:cs="Arial"/>
          <w:b/>
          <w:sz w:val="24"/>
        </w:rPr>
        <w:tab/>
      </w:r>
      <w:r w:rsidR="004D0DBC" w:rsidRPr="004D0DBC">
        <w:rPr>
          <w:rFonts w:ascii="Arial" w:hAnsi="Arial" w:cs="Arial"/>
          <w:b/>
          <w:sz w:val="24"/>
        </w:rPr>
        <w:t>Example Care Needs (please note this list is not exhaustive):</w:t>
      </w:r>
    </w:p>
    <w:p w:rsidR="004D0DBC" w:rsidRPr="004D0DBC" w:rsidRDefault="004D0DBC" w:rsidP="004D0DBC">
      <w:pPr>
        <w:ind w:left="720"/>
      </w:pPr>
    </w:p>
    <w:p w:rsidR="004D0DBC" w:rsidRPr="00FD29E3" w:rsidRDefault="004D0DBC" w:rsidP="004D0DBC">
      <w:pPr>
        <w:numPr>
          <w:ilvl w:val="0"/>
          <w:numId w:val="10"/>
        </w:numPr>
        <w:rPr>
          <w:b/>
        </w:rPr>
      </w:pPr>
      <w:r w:rsidRPr="00FD29E3">
        <w:rPr>
          <w:b/>
        </w:rPr>
        <w:t>Apnoea</w:t>
      </w:r>
    </w:p>
    <w:p w:rsidR="004D0DBC" w:rsidRPr="00FD29E3" w:rsidRDefault="004D0DBC" w:rsidP="004D0DBC">
      <w:pPr>
        <w:numPr>
          <w:ilvl w:val="0"/>
          <w:numId w:val="10"/>
        </w:numPr>
        <w:rPr>
          <w:b/>
        </w:rPr>
      </w:pPr>
      <w:r w:rsidRPr="00FD29E3">
        <w:rPr>
          <w:b/>
        </w:rPr>
        <w:t>Administration of medication (excluding intravenous drug therapy)</w:t>
      </w:r>
    </w:p>
    <w:p w:rsidR="004D0DBC" w:rsidRPr="00FD29E3" w:rsidRDefault="004D0DBC" w:rsidP="004D0DBC">
      <w:pPr>
        <w:numPr>
          <w:ilvl w:val="0"/>
          <w:numId w:val="10"/>
        </w:numPr>
        <w:rPr>
          <w:b/>
        </w:rPr>
      </w:pPr>
      <w:r w:rsidRPr="00FD29E3">
        <w:rPr>
          <w:b/>
        </w:rPr>
        <w:t>Care and maintenance of Naso-gastric / Gastrostomy tubes</w:t>
      </w:r>
    </w:p>
    <w:p w:rsidR="004D0DBC" w:rsidRPr="00FD29E3" w:rsidRDefault="004D0DBC" w:rsidP="004D0DBC">
      <w:pPr>
        <w:numPr>
          <w:ilvl w:val="0"/>
          <w:numId w:val="10"/>
        </w:numPr>
        <w:rPr>
          <w:b/>
        </w:rPr>
      </w:pPr>
      <w:r w:rsidRPr="00FD29E3">
        <w:rPr>
          <w:b/>
        </w:rPr>
        <w:t>Choking episodes</w:t>
      </w:r>
    </w:p>
    <w:p w:rsidR="004D0DBC" w:rsidRPr="00FD29E3" w:rsidRDefault="004D0DBC" w:rsidP="004D0DBC">
      <w:pPr>
        <w:numPr>
          <w:ilvl w:val="0"/>
          <w:numId w:val="10"/>
        </w:numPr>
        <w:rPr>
          <w:b/>
        </w:rPr>
      </w:pPr>
      <w:r w:rsidRPr="00FD29E3">
        <w:rPr>
          <w:b/>
        </w:rPr>
        <w:t xml:space="preserve">Continence care (excluding Peritoneal / Haemodialysis) </w:t>
      </w:r>
    </w:p>
    <w:p w:rsidR="004D0DBC" w:rsidRPr="00FD29E3" w:rsidRDefault="004D0DBC" w:rsidP="004D0DBC">
      <w:pPr>
        <w:numPr>
          <w:ilvl w:val="0"/>
          <w:numId w:val="10"/>
        </w:numPr>
        <w:rPr>
          <w:b/>
        </w:rPr>
      </w:pPr>
      <w:r w:rsidRPr="00FD29E3">
        <w:rPr>
          <w:b/>
        </w:rPr>
        <w:t xml:space="preserve">Diabetes care and monitoring </w:t>
      </w:r>
    </w:p>
    <w:p w:rsidR="004D0DBC" w:rsidRPr="00FD29E3" w:rsidRDefault="004D0DBC" w:rsidP="004D0DBC">
      <w:pPr>
        <w:numPr>
          <w:ilvl w:val="0"/>
          <w:numId w:val="10"/>
        </w:numPr>
        <w:rPr>
          <w:b/>
        </w:rPr>
      </w:pPr>
      <w:r w:rsidRPr="00FD29E3">
        <w:rPr>
          <w:b/>
        </w:rPr>
        <w:t>Management of seizures</w:t>
      </w:r>
    </w:p>
    <w:p w:rsidR="004D0DBC" w:rsidRPr="00FD29E3" w:rsidRDefault="004D0DBC" w:rsidP="004D0DBC">
      <w:pPr>
        <w:numPr>
          <w:ilvl w:val="0"/>
          <w:numId w:val="10"/>
        </w:numPr>
        <w:rPr>
          <w:b/>
        </w:rPr>
      </w:pPr>
      <w:r w:rsidRPr="00FD29E3">
        <w:rPr>
          <w:b/>
        </w:rPr>
        <w:t>Manual handling</w:t>
      </w:r>
    </w:p>
    <w:p w:rsidR="004D0DBC" w:rsidRPr="00FD29E3" w:rsidRDefault="004D0DBC" w:rsidP="004D0DBC">
      <w:pPr>
        <w:numPr>
          <w:ilvl w:val="0"/>
          <w:numId w:val="10"/>
        </w:numPr>
        <w:rPr>
          <w:b/>
        </w:rPr>
      </w:pPr>
      <w:r w:rsidRPr="00FD29E3">
        <w:rPr>
          <w:b/>
        </w:rPr>
        <w:t>Oxygen therapy (</w:t>
      </w:r>
      <w:r w:rsidR="00026DB9">
        <w:rPr>
          <w:b/>
        </w:rPr>
        <w:t>including Life E</w:t>
      </w:r>
      <w:r w:rsidR="00F33916">
        <w:rPr>
          <w:b/>
        </w:rPr>
        <w:t xml:space="preserve">nhancing </w:t>
      </w:r>
      <w:r w:rsidRPr="00FD29E3">
        <w:rPr>
          <w:b/>
        </w:rPr>
        <w:t>Ventilated patients)</w:t>
      </w:r>
    </w:p>
    <w:p w:rsidR="004D0DBC" w:rsidRPr="00FD29E3" w:rsidRDefault="004D0DBC" w:rsidP="004D0DBC">
      <w:pPr>
        <w:numPr>
          <w:ilvl w:val="0"/>
          <w:numId w:val="10"/>
        </w:numPr>
        <w:rPr>
          <w:b/>
        </w:rPr>
      </w:pPr>
      <w:r w:rsidRPr="00FD29E3">
        <w:rPr>
          <w:b/>
        </w:rPr>
        <w:t>Support of nutrition and hydration, including PEG feeding (excluding Total Parental Nutrition)</w:t>
      </w:r>
    </w:p>
    <w:p w:rsidR="004D0DBC" w:rsidRPr="00FD29E3" w:rsidRDefault="004D0DBC" w:rsidP="004D0DBC">
      <w:pPr>
        <w:numPr>
          <w:ilvl w:val="0"/>
          <w:numId w:val="10"/>
        </w:numPr>
        <w:rPr>
          <w:b/>
        </w:rPr>
      </w:pPr>
      <w:r w:rsidRPr="00FD29E3">
        <w:rPr>
          <w:b/>
        </w:rPr>
        <w:t>Tracheotomy care</w:t>
      </w:r>
      <w:r w:rsidR="00D6642E">
        <w:rPr>
          <w:b/>
        </w:rPr>
        <w:t xml:space="preserve"> and management</w:t>
      </w:r>
    </w:p>
    <w:p w:rsidR="004D0DBC" w:rsidRDefault="004D0DBC" w:rsidP="004D0DBC">
      <w:pPr>
        <w:numPr>
          <w:ilvl w:val="0"/>
          <w:numId w:val="10"/>
        </w:numPr>
        <w:rPr>
          <w:b/>
        </w:rPr>
      </w:pPr>
      <w:r w:rsidRPr="00FD29E3">
        <w:rPr>
          <w:b/>
        </w:rPr>
        <w:t>Oral suction</w:t>
      </w:r>
    </w:p>
    <w:p w:rsidR="000D6FDD" w:rsidRDefault="000D6FDD" w:rsidP="004D0DBC">
      <w:pPr>
        <w:numPr>
          <w:ilvl w:val="0"/>
          <w:numId w:val="10"/>
        </w:numPr>
        <w:rPr>
          <w:b/>
        </w:rPr>
      </w:pPr>
      <w:r>
        <w:rPr>
          <w:b/>
        </w:rPr>
        <w:lastRenderedPageBreak/>
        <w:t>Care and support during transportation, assessed on a case by case basis</w:t>
      </w:r>
    </w:p>
    <w:p w:rsidR="00D6642E" w:rsidRPr="00FD29E3" w:rsidRDefault="00D6642E" w:rsidP="004D0DBC">
      <w:pPr>
        <w:numPr>
          <w:ilvl w:val="0"/>
          <w:numId w:val="10"/>
        </w:numPr>
        <w:rPr>
          <w:b/>
        </w:rPr>
      </w:pPr>
      <w:r>
        <w:rPr>
          <w:b/>
        </w:rPr>
        <w:t>Ostomy care</w:t>
      </w:r>
    </w:p>
    <w:p w:rsidR="004D0DBC" w:rsidRDefault="004D0DBC" w:rsidP="004D0DBC">
      <w:pPr>
        <w:rPr>
          <w:rFonts w:ascii="Arial" w:hAnsi="Arial" w:cs="Arial"/>
          <w:b/>
          <w:sz w:val="24"/>
          <w:szCs w:val="24"/>
        </w:rPr>
      </w:pPr>
    </w:p>
    <w:p w:rsidR="00325D0A" w:rsidRDefault="002101C6" w:rsidP="00BE20FE">
      <w:pPr>
        <w:rPr>
          <w:rFonts w:ascii="Arial" w:hAnsi="Arial" w:cs="Arial"/>
          <w:b/>
          <w:sz w:val="24"/>
          <w:szCs w:val="24"/>
        </w:rPr>
      </w:pPr>
      <w:r>
        <w:rPr>
          <w:rFonts w:ascii="Arial" w:hAnsi="Arial" w:cs="Arial"/>
          <w:b/>
          <w:sz w:val="24"/>
          <w:szCs w:val="24"/>
        </w:rPr>
        <w:t>2.5</w:t>
      </w:r>
      <w:r w:rsidR="00BE20FE" w:rsidRPr="00BE20FE">
        <w:rPr>
          <w:rFonts w:ascii="Arial" w:hAnsi="Arial" w:cs="Arial"/>
          <w:b/>
          <w:sz w:val="24"/>
          <w:szCs w:val="24"/>
        </w:rPr>
        <w:tab/>
      </w:r>
      <w:r w:rsidR="00325D0A" w:rsidRPr="00BE20FE">
        <w:rPr>
          <w:rFonts w:ascii="Arial" w:hAnsi="Arial" w:cs="Arial"/>
          <w:b/>
          <w:sz w:val="24"/>
          <w:szCs w:val="24"/>
        </w:rPr>
        <w:t xml:space="preserve">Service </w:t>
      </w:r>
      <w:r w:rsidR="004D0DBC">
        <w:rPr>
          <w:rFonts w:ascii="Arial" w:hAnsi="Arial" w:cs="Arial"/>
          <w:b/>
          <w:sz w:val="24"/>
          <w:szCs w:val="24"/>
        </w:rPr>
        <w:t>Exclusions</w:t>
      </w:r>
    </w:p>
    <w:p w:rsidR="004D0DBC" w:rsidRPr="004D0DBC" w:rsidRDefault="004D0DBC" w:rsidP="004D0DBC">
      <w:pPr>
        <w:ind w:left="720"/>
        <w:jc w:val="both"/>
      </w:pPr>
      <w:r w:rsidRPr="004D0DBC">
        <w:t xml:space="preserve">The service is not available to Service Users whose needs are assessed as sitting outside of the scope of the service or whose health care needs present complications or risks which require more specialised services or expertise, </w:t>
      </w:r>
      <w:r w:rsidR="00BF0F5F">
        <w:t>including those services users with the following needs</w:t>
      </w:r>
      <w:r w:rsidRPr="004D0DBC">
        <w:t xml:space="preserve">: </w:t>
      </w:r>
    </w:p>
    <w:p w:rsidR="004D0DBC" w:rsidRPr="004D0DBC" w:rsidRDefault="004D0DBC" w:rsidP="004D0DBC">
      <w:pPr>
        <w:ind w:left="720"/>
        <w:jc w:val="both"/>
      </w:pPr>
      <w:r w:rsidRPr="004D0DBC">
        <w:t>(Please note, this list is not exhaustive)</w:t>
      </w:r>
    </w:p>
    <w:p w:rsidR="004D0DBC" w:rsidRPr="00FD29E3" w:rsidRDefault="004D0DBC" w:rsidP="004D0DBC">
      <w:pPr>
        <w:numPr>
          <w:ilvl w:val="0"/>
          <w:numId w:val="12"/>
        </w:numPr>
        <w:jc w:val="both"/>
        <w:rPr>
          <w:b/>
        </w:rPr>
      </w:pPr>
      <w:r w:rsidRPr="00FD29E3">
        <w:rPr>
          <w:b/>
        </w:rPr>
        <w:t>Intravenous drug therapy</w:t>
      </w:r>
    </w:p>
    <w:p w:rsidR="004D0DBC" w:rsidRPr="00FD29E3" w:rsidRDefault="004D0DBC" w:rsidP="004D0DBC">
      <w:pPr>
        <w:numPr>
          <w:ilvl w:val="0"/>
          <w:numId w:val="12"/>
        </w:numPr>
        <w:jc w:val="both"/>
        <w:rPr>
          <w:b/>
        </w:rPr>
      </w:pPr>
      <w:r w:rsidRPr="00FD29E3">
        <w:rPr>
          <w:b/>
        </w:rPr>
        <w:t>Newly diagnosed diabetics with syringe pumps</w:t>
      </w:r>
    </w:p>
    <w:p w:rsidR="004D0DBC" w:rsidRPr="00FD29E3" w:rsidRDefault="004D0DBC" w:rsidP="004D0DBC">
      <w:pPr>
        <w:numPr>
          <w:ilvl w:val="0"/>
          <w:numId w:val="12"/>
        </w:numPr>
        <w:jc w:val="both"/>
        <w:rPr>
          <w:b/>
        </w:rPr>
      </w:pPr>
      <w:r w:rsidRPr="00FD29E3">
        <w:rPr>
          <w:b/>
        </w:rPr>
        <w:t>Total Parental Nutrition</w:t>
      </w:r>
    </w:p>
    <w:p w:rsidR="004D0DBC" w:rsidRPr="00FD29E3" w:rsidRDefault="004D0DBC" w:rsidP="004D0DBC">
      <w:pPr>
        <w:numPr>
          <w:ilvl w:val="0"/>
          <w:numId w:val="12"/>
        </w:numPr>
        <w:jc w:val="both"/>
        <w:rPr>
          <w:b/>
        </w:rPr>
      </w:pPr>
      <w:r w:rsidRPr="00FD29E3">
        <w:rPr>
          <w:b/>
        </w:rPr>
        <w:t>Peritoneal / Haemodialysis</w:t>
      </w:r>
    </w:p>
    <w:p w:rsidR="004D0DBC" w:rsidRPr="00D6642E" w:rsidRDefault="00026DB9" w:rsidP="00D6642E">
      <w:pPr>
        <w:numPr>
          <w:ilvl w:val="0"/>
          <w:numId w:val="12"/>
        </w:numPr>
        <w:jc w:val="both"/>
        <w:rPr>
          <w:b/>
        </w:rPr>
      </w:pPr>
      <w:r>
        <w:rPr>
          <w:b/>
        </w:rPr>
        <w:t xml:space="preserve">Life Supporting </w:t>
      </w:r>
      <w:r w:rsidR="004D0DBC" w:rsidRPr="00FD29E3">
        <w:rPr>
          <w:b/>
        </w:rPr>
        <w:t>Ventilated patients</w:t>
      </w:r>
    </w:p>
    <w:p w:rsidR="004D0DBC" w:rsidRPr="00FD29E3" w:rsidRDefault="004D0DBC" w:rsidP="004D0DBC">
      <w:pPr>
        <w:numPr>
          <w:ilvl w:val="0"/>
          <w:numId w:val="12"/>
        </w:numPr>
        <w:jc w:val="both"/>
        <w:rPr>
          <w:b/>
        </w:rPr>
      </w:pPr>
      <w:r w:rsidRPr="00FD29E3">
        <w:rPr>
          <w:b/>
        </w:rPr>
        <w:t>Children, young people and their families that are not living in Somerset and registered wi</w:t>
      </w:r>
      <w:r w:rsidR="00D6642E">
        <w:rPr>
          <w:b/>
        </w:rPr>
        <w:t>th a general practitioner outside</w:t>
      </w:r>
      <w:r w:rsidRPr="00FD29E3">
        <w:rPr>
          <w:b/>
        </w:rPr>
        <w:t xml:space="preserve"> Somerset</w:t>
      </w:r>
    </w:p>
    <w:p w:rsidR="004D0DBC" w:rsidRPr="00FD29E3" w:rsidRDefault="004D0DBC" w:rsidP="004D0DBC">
      <w:pPr>
        <w:numPr>
          <w:ilvl w:val="0"/>
          <w:numId w:val="12"/>
        </w:numPr>
        <w:jc w:val="both"/>
        <w:rPr>
          <w:b/>
        </w:rPr>
      </w:pPr>
      <w:r w:rsidRPr="00FD29E3">
        <w:rPr>
          <w:b/>
        </w:rPr>
        <w:t>The service does not provide support for attendance of children and young people at medical appointments</w:t>
      </w:r>
    </w:p>
    <w:p w:rsidR="002101C6" w:rsidRPr="00774A35" w:rsidRDefault="004D0DBC" w:rsidP="002101C6">
      <w:pPr>
        <w:numPr>
          <w:ilvl w:val="0"/>
          <w:numId w:val="12"/>
        </w:numPr>
        <w:jc w:val="both"/>
        <w:rPr>
          <w:b/>
        </w:rPr>
      </w:pPr>
      <w:r w:rsidRPr="00FD29E3">
        <w:rPr>
          <w:b/>
        </w:rPr>
        <w:t>The service does not</w:t>
      </w:r>
      <w:r w:rsidR="0053029B">
        <w:rPr>
          <w:b/>
        </w:rPr>
        <w:t xml:space="preserve"> normally </w:t>
      </w:r>
      <w:r w:rsidRPr="00FD29E3">
        <w:rPr>
          <w:b/>
        </w:rPr>
        <w:t>provide carers for family holidays</w:t>
      </w:r>
      <w:r w:rsidR="00B15D12">
        <w:rPr>
          <w:b/>
        </w:rPr>
        <w:t xml:space="preserve"> (assessed on a case by case basis, limitations/exclusions apply)</w:t>
      </w:r>
    </w:p>
    <w:p w:rsidR="00325D0A" w:rsidRDefault="002101C6" w:rsidP="00BE20FE">
      <w:pPr>
        <w:rPr>
          <w:rFonts w:ascii="Arial" w:hAnsi="Arial" w:cs="Arial"/>
          <w:b/>
          <w:sz w:val="24"/>
          <w:szCs w:val="24"/>
        </w:rPr>
      </w:pPr>
      <w:r>
        <w:rPr>
          <w:rFonts w:ascii="Arial" w:hAnsi="Arial" w:cs="Arial"/>
          <w:b/>
          <w:sz w:val="24"/>
          <w:szCs w:val="24"/>
        </w:rPr>
        <w:t>2.6</w:t>
      </w:r>
      <w:r w:rsidR="00BE20FE" w:rsidRPr="00BE20FE">
        <w:rPr>
          <w:rFonts w:ascii="Arial" w:hAnsi="Arial" w:cs="Arial"/>
          <w:b/>
          <w:sz w:val="24"/>
          <w:szCs w:val="24"/>
        </w:rPr>
        <w:tab/>
      </w:r>
      <w:r w:rsidR="00896EDD">
        <w:rPr>
          <w:rFonts w:ascii="Arial" w:hAnsi="Arial" w:cs="Arial"/>
          <w:b/>
          <w:sz w:val="24"/>
          <w:szCs w:val="24"/>
        </w:rPr>
        <w:t>Target groups</w:t>
      </w:r>
    </w:p>
    <w:p w:rsidR="00896EDD" w:rsidRPr="00896EDD" w:rsidRDefault="00896EDD" w:rsidP="00896EDD">
      <w:pPr>
        <w:ind w:left="720"/>
        <w:jc w:val="both"/>
        <w:rPr>
          <w:rFonts w:cs="Arial"/>
        </w:rPr>
      </w:pPr>
      <w:r w:rsidRPr="00896EDD">
        <w:rPr>
          <w:rFonts w:cs="Arial"/>
        </w:rPr>
        <w:t xml:space="preserve">Service Providers will work with children and young people with disabilities with complex health </w:t>
      </w:r>
      <w:r w:rsidR="00026DB9">
        <w:rPr>
          <w:rFonts w:cs="Arial"/>
        </w:rPr>
        <w:t xml:space="preserve">and social care </w:t>
      </w:r>
      <w:r w:rsidRPr="00896EDD">
        <w:rPr>
          <w:rFonts w:cs="Arial"/>
        </w:rPr>
        <w:t>needs who have one or more of the following conditions:</w:t>
      </w:r>
    </w:p>
    <w:p w:rsidR="00896EDD" w:rsidRPr="00FD29E3" w:rsidRDefault="00896EDD" w:rsidP="00896EDD">
      <w:pPr>
        <w:numPr>
          <w:ilvl w:val="0"/>
          <w:numId w:val="13"/>
        </w:numPr>
        <w:spacing w:after="0" w:line="240" w:lineRule="auto"/>
        <w:contextualSpacing/>
        <w:jc w:val="both"/>
        <w:rPr>
          <w:rFonts w:cs="Arial"/>
          <w:b/>
        </w:rPr>
      </w:pPr>
      <w:r w:rsidRPr="00FD29E3">
        <w:rPr>
          <w:rFonts w:cs="Arial"/>
          <w:b/>
        </w:rPr>
        <w:t>Communication, Behavioural, Emotional and Social Needs</w:t>
      </w:r>
    </w:p>
    <w:p w:rsidR="00896EDD" w:rsidRPr="00FD29E3" w:rsidRDefault="00896EDD" w:rsidP="00896EDD">
      <w:pPr>
        <w:numPr>
          <w:ilvl w:val="0"/>
          <w:numId w:val="13"/>
        </w:numPr>
        <w:spacing w:after="0" w:line="240" w:lineRule="auto"/>
        <w:contextualSpacing/>
        <w:jc w:val="both"/>
        <w:rPr>
          <w:rFonts w:cs="Arial"/>
          <w:b/>
        </w:rPr>
      </w:pPr>
      <w:r w:rsidRPr="00FD29E3">
        <w:rPr>
          <w:rFonts w:cs="Arial"/>
          <w:b/>
        </w:rPr>
        <w:t>Learning Disabilities</w:t>
      </w:r>
    </w:p>
    <w:p w:rsidR="00896EDD" w:rsidRPr="00FD29E3" w:rsidRDefault="00896EDD" w:rsidP="00896EDD">
      <w:pPr>
        <w:numPr>
          <w:ilvl w:val="0"/>
          <w:numId w:val="13"/>
        </w:numPr>
        <w:spacing w:after="0" w:line="240" w:lineRule="auto"/>
        <w:contextualSpacing/>
        <w:jc w:val="both"/>
        <w:rPr>
          <w:rFonts w:cs="Arial"/>
          <w:b/>
        </w:rPr>
      </w:pPr>
      <w:r w:rsidRPr="00FD29E3">
        <w:rPr>
          <w:rFonts w:cs="Arial"/>
          <w:b/>
        </w:rPr>
        <w:t>Autistic Spectrum Disorders (ASD)</w:t>
      </w:r>
    </w:p>
    <w:p w:rsidR="00896EDD" w:rsidRPr="00FD29E3" w:rsidRDefault="00896EDD" w:rsidP="00896EDD">
      <w:pPr>
        <w:numPr>
          <w:ilvl w:val="0"/>
          <w:numId w:val="13"/>
        </w:numPr>
        <w:spacing w:after="0" w:line="240" w:lineRule="auto"/>
        <w:contextualSpacing/>
        <w:jc w:val="both"/>
        <w:rPr>
          <w:rFonts w:cs="Arial"/>
          <w:b/>
        </w:rPr>
      </w:pPr>
      <w:r w:rsidRPr="00FD29E3">
        <w:rPr>
          <w:rFonts w:cs="Arial"/>
          <w:b/>
        </w:rPr>
        <w:t>Challenging Behaviour</w:t>
      </w:r>
    </w:p>
    <w:p w:rsidR="00896EDD" w:rsidRPr="00FD29E3" w:rsidRDefault="00896EDD" w:rsidP="00896EDD">
      <w:pPr>
        <w:numPr>
          <w:ilvl w:val="0"/>
          <w:numId w:val="13"/>
        </w:numPr>
        <w:spacing w:after="0" w:line="240" w:lineRule="auto"/>
        <w:contextualSpacing/>
        <w:jc w:val="both"/>
        <w:rPr>
          <w:rFonts w:cs="Arial"/>
          <w:b/>
        </w:rPr>
      </w:pPr>
      <w:r w:rsidRPr="00FD29E3">
        <w:rPr>
          <w:rFonts w:cs="Arial"/>
          <w:b/>
        </w:rPr>
        <w:t>Sensory Impairment</w:t>
      </w:r>
    </w:p>
    <w:p w:rsidR="00896EDD" w:rsidRPr="00FD29E3" w:rsidRDefault="00896EDD" w:rsidP="00896EDD">
      <w:pPr>
        <w:numPr>
          <w:ilvl w:val="0"/>
          <w:numId w:val="13"/>
        </w:numPr>
        <w:spacing w:after="0" w:line="240" w:lineRule="auto"/>
        <w:contextualSpacing/>
        <w:jc w:val="both"/>
        <w:rPr>
          <w:rFonts w:cs="Arial"/>
          <w:b/>
        </w:rPr>
      </w:pPr>
      <w:r w:rsidRPr="00FD29E3">
        <w:rPr>
          <w:rFonts w:cs="Arial"/>
          <w:b/>
        </w:rPr>
        <w:t>Physical Disabilities</w:t>
      </w:r>
    </w:p>
    <w:p w:rsidR="00896EDD" w:rsidRPr="00FD29E3" w:rsidRDefault="00896EDD" w:rsidP="00896EDD">
      <w:pPr>
        <w:numPr>
          <w:ilvl w:val="0"/>
          <w:numId w:val="13"/>
        </w:numPr>
        <w:spacing w:after="0" w:line="240" w:lineRule="auto"/>
        <w:contextualSpacing/>
        <w:jc w:val="both"/>
        <w:rPr>
          <w:rFonts w:cs="Arial"/>
          <w:b/>
        </w:rPr>
      </w:pPr>
      <w:r w:rsidRPr="00FD29E3">
        <w:rPr>
          <w:rFonts w:cs="Arial"/>
          <w:b/>
        </w:rPr>
        <w:t>Other long-term medical conditions</w:t>
      </w:r>
    </w:p>
    <w:p w:rsidR="00896EDD" w:rsidRPr="00774A35" w:rsidRDefault="00896EDD" w:rsidP="00896EDD">
      <w:pPr>
        <w:numPr>
          <w:ilvl w:val="0"/>
          <w:numId w:val="13"/>
        </w:numPr>
        <w:spacing w:after="0" w:line="240" w:lineRule="auto"/>
        <w:contextualSpacing/>
        <w:jc w:val="both"/>
        <w:rPr>
          <w:rFonts w:cs="Arial"/>
          <w:b/>
        </w:rPr>
      </w:pPr>
      <w:r w:rsidRPr="00FD29E3">
        <w:rPr>
          <w:rFonts w:cs="Arial"/>
          <w:b/>
        </w:rPr>
        <w:t>Multiple Disabilities</w:t>
      </w:r>
    </w:p>
    <w:p w:rsidR="002101C6" w:rsidRPr="00896EDD" w:rsidRDefault="00896EDD" w:rsidP="00B55632">
      <w:pPr>
        <w:ind w:left="709"/>
        <w:jc w:val="both"/>
        <w:rPr>
          <w:rFonts w:cs="Arial"/>
        </w:rPr>
      </w:pPr>
      <w:r w:rsidRPr="00896EDD">
        <w:rPr>
          <w:rFonts w:cs="Arial"/>
        </w:rPr>
        <w:t>Service Providers must ensure equality of access to this service for children and young people who are most likely to be disadvantaged; this will include those with a wide range of disabilities, those who are from minority groups and those living in rural locations.</w:t>
      </w:r>
    </w:p>
    <w:p w:rsidR="00BE51BB" w:rsidRPr="00D40CE6" w:rsidRDefault="002101C6" w:rsidP="00D40CE6">
      <w:pPr>
        <w:rPr>
          <w:rFonts w:ascii="Arial" w:hAnsi="Arial" w:cs="Arial"/>
          <w:b/>
          <w:sz w:val="24"/>
          <w:szCs w:val="28"/>
        </w:rPr>
      </w:pPr>
      <w:r>
        <w:rPr>
          <w:rFonts w:ascii="Arial" w:hAnsi="Arial" w:cs="Arial"/>
          <w:b/>
          <w:sz w:val="24"/>
          <w:szCs w:val="28"/>
        </w:rPr>
        <w:t>2.7</w:t>
      </w:r>
      <w:r w:rsidR="00D40CE6" w:rsidRPr="00D40CE6">
        <w:rPr>
          <w:rFonts w:ascii="Arial" w:hAnsi="Arial" w:cs="Arial"/>
          <w:b/>
          <w:sz w:val="24"/>
          <w:szCs w:val="28"/>
        </w:rPr>
        <w:tab/>
        <w:t>Eligibility</w:t>
      </w:r>
    </w:p>
    <w:p w:rsidR="00D40CE6" w:rsidRPr="002101C6" w:rsidRDefault="00D40CE6" w:rsidP="00D40CE6">
      <w:pPr>
        <w:ind w:left="720"/>
        <w:contextualSpacing/>
        <w:jc w:val="both"/>
        <w:rPr>
          <w:rFonts w:cs="Arial"/>
        </w:rPr>
      </w:pPr>
      <w:r w:rsidRPr="00D40CE6">
        <w:rPr>
          <w:rFonts w:cs="Arial"/>
        </w:rPr>
        <w:lastRenderedPageBreak/>
        <w:t>The service is available to children and young people, aged 0 – 18 years and their parents/carers who are living in and registered with a General Practice in Somerset. The service is only to be provided for children and young people referred via the Somerset Children’s Co</w:t>
      </w:r>
      <w:r w:rsidR="00026DB9">
        <w:rPr>
          <w:rFonts w:cs="Arial"/>
        </w:rPr>
        <w:t xml:space="preserve">ntinuing Care </w:t>
      </w:r>
      <w:r w:rsidRPr="00D40CE6">
        <w:rPr>
          <w:rFonts w:cs="Arial"/>
        </w:rPr>
        <w:t xml:space="preserve">  </w:t>
      </w:r>
      <w:r w:rsidR="00026DB9">
        <w:rPr>
          <w:rFonts w:cs="Arial"/>
        </w:rPr>
        <w:t>P</w:t>
      </w:r>
      <w:r w:rsidRPr="00D40CE6">
        <w:rPr>
          <w:rFonts w:cs="Arial"/>
        </w:rPr>
        <w:t xml:space="preserve">anel which meets </w:t>
      </w:r>
      <w:r w:rsidR="001458D9" w:rsidRPr="00D40CE6">
        <w:rPr>
          <w:rFonts w:cs="Arial"/>
        </w:rPr>
        <w:t>monthly</w:t>
      </w:r>
      <w:r w:rsidRPr="00D40CE6">
        <w:rPr>
          <w:rFonts w:cs="Arial"/>
        </w:rPr>
        <w:t>.</w:t>
      </w:r>
    </w:p>
    <w:p w:rsidR="00D40CE6" w:rsidRDefault="00D40CE6" w:rsidP="00D40CE6">
      <w:pPr>
        <w:ind w:left="720"/>
        <w:contextualSpacing/>
        <w:jc w:val="both"/>
        <w:rPr>
          <w:rFonts w:cs="Arial"/>
          <w:sz w:val="24"/>
        </w:rPr>
      </w:pPr>
    </w:p>
    <w:p w:rsidR="00D40CE6" w:rsidRDefault="00D40CE6" w:rsidP="00D40CE6">
      <w:pPr>
        <w:ind w:left="720"/>
        <w:contextualSpacing/>
        <w:jc w:val="both"/>
        <w:rPr>
          <w:rFonts w:cs="Arial"/>
          <w:sz w:val="24"/>
        </w:rPr>
      </w:pPr>
      <w:r w:rsidRPr="002101C6">
        <w:rPr>
          <w:rFonts w:cs="Arial"/>
        </w:rPr>
        <w:t>Currently there are 42 families in Somerset who meet the eligibility</w:t>
      </w:r>
      <w:r w:rsidR="00815EA2">
        <w:rPr>
          <w:rFonts w:cs="Arial"/>
        </w:rPr>
        <w:t xml:space="preserve"> criteria</w:t>
      </w:r>
      <w:r w:rsidRPr="002101C6">
        <w:rPr>
          <w:rFonts w:cs="Arial"/>
        </w:rPr>
        <w:t xml:space="preserve"> for this service.</w:t>
      </w:r>
    </w:p>
    <w:p w:rsidR="002101C6" w:rsidRDefault="002101C6" w:rsidP="00D40CE6">
      <w:pPr>
        <w:ind w:left="720"/>
        <w:contextualSpacing/>
        <w:jc w:val="both"/>
        <w:rPr>
          <w:rFonts w:cs="Arial"/>
          <w:sz w:val="24"/>
        </w:rPr>
      </w:pPr>
    </w:p>
    <w:p w:rsidR="002101C6" w:rsidRPr="002101C6" w:rsidRDefault="002101C6" w:rsidP="002101C6">
      <w:pPr>
        <w:ind w:left="720" w:hanging="720"/>
        <w:contextualSpacing/>
        <w:jc w:val="both"/>
        <w:rPr>
          <w:rFonts w:ascii="Arial" w:hAnsi="Arial" w:cs="Arial"/>
          <w:b/>
          <w:sz w:val="24"/>
        </w:rPr>
      </w:pPr>
      <w:r>
        <w:rPr>
          <w:rFonts w:ascii="Arial" w:hAnsi="Arial" w:cs="Arial"/>
          <w:b/>
          <w:sz w:val="24"/>
        </w:rPr>
        <w:t>2.8</w:t>
      </w:r>
      <w:r>
        <w:rPr>
          <w:rFonts w:ascii="Arial" w:hAnsi="Arial" w:cs="Arial"/>
          <w:b/>
          <w:sz w:val="24"/>
        </w:rPr>
        <w:tab/>
      </w:r>
      <w:r w:rsidRPr="002101C6">
        <w:rPr>
          <w:rFonts w:ascii="Arial" w:hAnsi="Arial" w:cs="Arial"/>
          <w:b/>
          <w:sz w:val="24"/>
        </w:rPr>
        <w:t>Service volume</w:t>
      </w:r>
    </w:p>
    <w:p w:rsidR="002101C6" w:rsidRDefault="002101C6" w:rsidP="00D40CE6">
      <w:pPr>
        <w:ind w:left="720"/>
        <w:contextualSpacing/>
        <w:jc w:val="both"/>
        <w:rPr>
          <w:rFonts w:cs="Arial"/>
          <w:sz w:val="24"/>
        </w:rPr>
      </w:pPr>
    </w:p>
    <w:p w:rsidR="002101C6" w:rsidRPr="002101C6" w:rsidRDefault="002101C6" w:rsidP="002101C6">
      <w:pPr>
        <w:ind w:left="720"/>
        <w:contextualSpacing/>
        <w:jc w:val="both"/>
        <w:rPr>
          <w:rFonts w:cs="Arial"/>
        </w:rPr>
      </w:pPr>
      <w:r w:rsidRPr="002101C6">
        <w:rPr>
          <w:rFonts w:cs="Arial"/>
        </w:rPr>
        <w:t xml:space="preserve">The maximum anticipated number of Care Packages to be annually tendered via this Framework is 20. </w:t>
      </w:r>
    </w:p>
    <w:p w:rsidR="002101C6" w:rsidRPr="002101C6" w:rsidRDefault="002101C6" w:rsidP="002101C6">
      <w:pPr>
        <w:ind w:left="720"/>
        <w:contextualSpacing/>
        <w:jc w:val="both"/>
        <w:rPr>
          <w:rFonts w:cs="Arial"/>
        </w:rPr>
      </w:pPr>
    </w:p>
    <w:p w:rsidR="002101C6" w:rsidRPr="002101C6" w:rsidRDefault="002101C6" w:rsidP="002101C6">
      <w:pPr>
        <w:ind w:left="720"/>
        <w:contextualSpacing/>
        <w:jc w:val="both"/>
        <w:rPr>
          <w:rFonts w:cs="Arial"/>
        </w:rPr>
      </w:pPr>
      <w:r w:rsidRPr="002101C6">
        <w:rPr>
          <w:rFonts w:cs="Arial"/>
        </w:rPr>
        <w:t>In 2016/17, a total of 1,778 Day Care hours were delivered and 324 Waking Nights hours.</w:t>
      </w:r>
    </w:p>
    <w:p w:rsidR="002101C6" w:rsidRPr="002101C6" w:rsidRDefault="002101C6" w:rsidP="002101C6">
      <w:pPr>
        <w:ind w:left="720"/>
        <w:contextualSpacing/>
        <w:jc w:val="both"/>
        <w:rPr>
          <w:rFonts w:cs="Arial"/>
        </w:rPr>
      </w:pPr>
    </w:p>
    <w:p w:rsidR="002101C6" w:rsidRPr="002101C6" w:rsidRDefault="002101C6" w:rsidP="002101C6">
      <w:pPr>
        <w:ind w:left="720"/>
        <w:contextualSpacing/>
        <w:jc w:val="both"/>
        <w:rPr>
          <w:rFonts w:cs="Arial"/>
        </w:rPr>
      </w:pPr>
      <w:r w:rsidRPr="002101C6">
        <w:rPr>
          <w:rFonts w:cs="Arial"/>
        </w:rPr>
        <w:t>The above numbers should not be relied upon as a guaranteed future level or volume.</w:t>
      </w:r>
    </w:p>
    <w:p w:rsidR="002101C6" w:rsidRPr="00D40CE6" w:rsidRDefault="002101C6" w:rsidP="00D40CE6">
      <w:pPr>
        <w:ind w:left="720"/>
        <w:contextualSpacing/>
        <w:jc w:val="both"/>
        <w:rPr>
          <w:rFonts w:cs="Arial"/>
          <w:sz w:val="24"/>
        </w:rPr>
      </w:pPr>
    </w:p>
    <w:p w:rsidR="002101C6" w:rsidRPr="002101C6" w:rsidRDefault="002101C6" w:rsidP="003C0943">
      <w:pPr>
        <w:rPr>
          <w:rFonts w:ascii="Arial" w:hAnsi="Arial" w:cs="Arial"/>
          <w:b/>
          <w:sz w:val="24"/>
          <w:szCs w:val="28"/>
        </w:rPr>
      </w:pPr>
      <w:r w:rsidRPr="002101C6">
        <w:rPr>
          <w:rFonts w:ascii="Arial" w:hAnsi="Arial" w:cs="Arial"/>
          <w:b/>
          <w:sz w:val="24"/>
          <w:szCs w:val="28"/>
        </w:rPr>
        <w:t>2.9</w:t>
      </w:r>
      <w:r w:rsidRPr="002101C6">
        <w:rPr>
          <w:rFonts w:ascii="Arial" w:hAnsi="Arial" w:cs="Arial"/>
          <w:b/>
          <w:sz w:val="24"/>
          <w:szCs w:val="28"/>
        </w:rPr>
        <w:tab/>
        <w:t>Service rates</w:t>
      </w:r>
    </w:p>
    <w:p w:rsidR="002101C6" w:rsidRDefault="002101C6" w:rsidP="0055080B">
      <w:pPr>
        <w:ind w:left="720"/>
        <w:contextualSpacing/>
        <w:jc w:val="both"/>
        <w:rPr>
          <w:rFonts w:cs="Arial"/>
        </w:rPr>
      </w:pPr>
      <w:r w:rsidRPr="002101C6">
        <w:rPr>
          <w:rFonts w:cs="Arial"/>
        </w:rPr>
        <w:t>This Framework Lot 5 Specification operates within SCC’s Framework Terms and Conditions for Domiciliary Care</w:t>
      </w:r>
      <w:r w:rsidR="00B55632">
        <w:rPr>
          <w:rFonts w:cs="Arial"/>
        </w:rPr>
        <w:t>,</w:t>
      </w:r>
      <w:r w:rsidRPr="002101C6">
        <w:rPr>
          <w:rFonts w:cs="Arial"/>
        </w:rPr>
        <w:t xml:space="preserve"> and therefore the </w:t>
      </w:r>
      <w:r w:rsidRPr="008F651C">
        <w:rPr>
          <w:rFonts w:cs="Arial"/>
        </w:rPr>
        <w:t xml:space="preserve">inclusive </w:t>
      </w:r>
      <w:r w:rsidR="0055080B" w:rsidRPr="008F651C">
        <w:rPr>
          <w:rFonts w:cs="Arial"/>
        </w:rPr>
        <w:t xml:space="preserve">normal </w:t>
      </w:r>
      <w:r w:rsidRPr="008F651C">
        <w:rPr>
          <w:rFonts w:cs="Arial"/>
        </w:rPr>
        <w:t>hourly</w:t>
      </w:r>
      <w:r w:rsidRPr="002101C6">
        <w:rPr>
          <w:rFonts w:cs="Arial"/>
        </w:rPr>
        <w:t xml:space="preserve"> rates (which are also benchmarked against national and local pricing indicators for domiciliary care) are as follows;</w:t>
      </w:r>
    </w:p>
    <w:p w:rsidR="0055080B" w:rsidRPr="0055080B" w:rsidRDefault="0055080B" w:rsidP="0055080B">
      <w:pPr>
        <w:ind w:left="720"/>
        <w:contextualSpacing/>
        <w:jc w:val="both"/>
        <w:rPr>
          <w:rFonts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2786"/>
        <w:gridCol w:w="2811"/>
        <w:gridCol w:w="1134"/>
        <w:gridCol w:w="1043"/>
        <w:gridCol w:w="7"/>
      </w:tblGrid>
      <w:tr w:rsidR="002101C6" w:rsidRPr="002101C6" w:rsidTr="00733721">
        <w:trPr>
          <w:gridBefore w:val="3"/>
          <w:wBefore w:w="6345" w:type="dxa"/>
          <w:trHeight w:val="270"/>
          <w:jc w:val="right"/>
        </w:trPr>
        <w:tc>
          <w:tcPr>
            <w:tcW w:w="1134" w:type="dxa"/>
            <w:tcBorders>
              <w:bottom w:val="single" w:sz="4" w:space="0" w:color="auto"/>
            </w:tcBorders>
          </w:tcPr>
          <w:p w:rsidR="002101C6" w:rsidRPr="002101C6" w:rsidRDefault="002101C6" w:rsidP="00733721">
            <w:pPr>
              <w:spacing w:after="0" w:line="240" w:lineRule="auto"/>
              <w:jc w:val="center"/>
              <w:rPr>
                <w:rFonts w:eastAsia="Times New Roman" w:cs="Arial"/>
                <w:lang w:eastAsia="en-GB"/>
              </w:rPr>
            </w:pPr>
            <w:r w:rsidRPr="002101C6">
              <w:rPr>
                <w:rFonts w:eastAsia="Times New Roman" w:cs="Arial"/>
                <w:lang w:eastAsia="en-GB"/>
              </w:rPr>
              <w:t>Min</w:t>
            </w:r>
          </w:p>
        </w:tc>
        <w:tc>
          <w:tcPr>
            <w:tcW w:w="1050" w:type="dxa"/>
            <w:gridSpan w:val="2"/>
            <w:shd w:val="clear" w:color="auto" w:fill="auto"/>
          </w:tcPr>
          <w:p w:rsidR="002101C6" w:rsidRPr="002101C6" w:rsidRDefault="002101C6" w:rsidP="00733721">
            <w:pPr>
              <w:rPr>
                <w:rFonts w:eastAsia="Times New Roman" w:cs="Arial"/>
                <w:lang w:eastAsia="en-GB"/>
              </w:rPr>
            </w:pPr>
            <w:r w:rsidRPr="002101C6">
              <w:rPr>
                <w:rFonts w:eastAsia="Times New Roman" w:cs="Arial"/>
                <w:lang w:eastAsia="en-GB"/>
              </w:rPr>
              <w:t xml:space="preserve">Max </w:t>
            </w:r>
          </w:p>
        </w:tc>
      </w:tr>
      <w:tr w:rsidR="002101C6" w:rsidRPr="002101C6" w:rsidTr="00733721">
        <w:tblPrEx>
          <w:tblLook w:val="04A0" w:firstRow="1" w:lastRow="0" w:firstColumn="1" w:lastColumn="0" w:noHBand="0" w:noVBand="1"/>
        </w:tblPrEx>
        <w:trPr>
          <w:gridAfter w:val="1"/>
          <w:wAfter w:w="7" w:type="dxa"/>
          <w:jc w:val="right"/>
        </w:trPr>
        <w:tc>
          <w:tcPr>
            <w:tcW w:w="748" w:type="dxa"/>
            <w:vMerge w:val="restart"/>
            <w:shd w:val="clear" w:color="auto" w:fill="auto"/>
            <w:vAlign w:val="center"/>
          </w:tcPr>
          <w:p w:rsidR="002101C6" w:rsidRPr="002101C6" w:rsidRDefault="002101C6" w:rsidP="00733721">
            <w:pPr>
              <w:spacing w:after="0" w:line="240" w:lineRule="auto"/>
              <w:jc w:val="center"/>
              <w:rPr>
                <w:rFonts w:eastAsia="Times New Roman" w:cs="Arial"/>
                <w:lang w:eastAsia="en-GB"/>
              </w:rPr>
            </w:pPr>
            <w:r w:rsidRPr="002101C6">
              <w:rPr>
                <w:rFonts w:eastAsia="Times New Roman" w:cs="Arial"/>
                <w:lang w:eastAsia="en-GB"/>
              </w:rPr>
              <w:t>5</w:t>
            </w:r>
          </w:p>
        </w:tc>
        <w:tc>
          <w:tcPr>
            <w:tcW w:w="2786" w:type="dxa"/>
            <w:vMerge w:val="restart"/>
            <w:shd w:val="clear" w:color="auto" w:fill="auto"/>
            <w:vAlign w:val="center"/>
          </w:tcPr>
          <w:p w:rsidR="002101C6" w:rsidRPr="002101C6" w:rsidRDefault="002101C6" w:rsidP="00733721">
            <w:pPr>
              <w:spacing w:after="0" w:line="240" w:lineRule="auto"/>
              <w:jc w:val="center"/>
              <w:rPr>
                <w:rFonts w:eastAsia="Times New Roman" w:cs="Arial"/>
                <w:lang w:eastAsia="en-GB"/>
              </w:rPr>
            </w:pPr>
            <w:r w:rsidRPr="002101C6">
              <w:rPr>
                <w:rFonts w:eastAsia="Times New Roman" w:cs="Arial"/>
                <w:sz w:val="24"/>
                <w:szCs w:val="24"/>
                <w:lang w:eastAsia="en-GB"/>
              </w:rPr>
              <w:t>Homecare: Children’s Services</w:t>
            </w:r>
          </w:p>
        </w:tc>
        <w:tc>
          <w:tcPr>
            <w:tcW w:w="2811" w:type="dxa"/>
            <w:shd w:val="clear" w:color="auto" w:fill="auto"/>
            <w:vAlign w:val="center"/>
          </w:tcPr>
          <w:p w:rsidR="002101C6" w:rsidRPr="002101C6" w:rsidRDefault="002101C6" w:rsidP="00733721">
            <w:pPr>
              <w:spacing w:after="0" w:line="240" w:lineRule="auto"/>
              <w:jc w:val="center"/>
              <w:rPr>
                <w:rFonts w:eastAsia="Times New Roman" w:cs="Arial"/>
                <w:lang w:eastAsia="en-GB"/>
              </w:rPr>
            </w:pPr>
            <w:r w:rsidRPr="002101C6">
              <w:rPr>
                <w:rFonts w:eastAsia="Times New Roman" w:cs="Arial"/>
                <w:lang w:eastAsia="en-GB"/>
              </w:rPr>
              <w:t xml:space="preserve">Mon – Fri Day: Between 07:00 – 22:00 </w:t>
            </w:r>
          </w:p>
        </w:tc>
        <w:tc>
          <w:tcPr>
            <w:tcW w:w="1134" w:type="dxa"/>
            <w:shd w:val="clear" w:color="auto" w:fill="auto"/>
            <w:vAlign w:val="center"/>
          </w:tcPr>
          <w:p w:rsidR="002101C6" w:rsidRPr="005267B6" w:rsidRDefault="00E61399" w:rsidP="00733721">
            <w:pPr>
              <w:spacing w:after="0" w:line="240" w:lineRule="auto"/>
              <w:jc w:val="center"/>
              <w:rPr>
                <w:rFonts w:eastAsia="Times New Roman" w:cs="Arial"/>
                <w:lang w:eastAsia="en-GB"/>
              </w:rPr>
            </w:pPr>
            <w:r w:rsidRPr="005267B6">
              <w:rPr>
                <w:rFonts w:eastAsia="Times New Roman" w:cs="Arial"/>
                <w:lang w:eastAsia="en-GB"/>
              </w:rPr>
              <w:t>£15</w:t>
            </w:r>
          </w:p>
        </w:tc>
        <w:tc>
          <w:tcPr>
            <w:tcW w:w="1043" w:type="dxa"/>
            <w:shd w:val="clear" w:color="auto" w:fill="auto"/>
            <w:vAlign w:val="center"/>
          </w:tcPr>
          <w:p w:rsidR="002101C6" w:rsidRPr="005267B6" w:rsidRDefault="002101C6" w:rsidP="00733721">
            <w:pPr>
              <w:spacing w:after="0" w:line="240" w:lineRule="auto"/>
              <w:jc w:val="center"/>
              <w:rPr>
                <w:rFonts w:eastAsia="Times New Roman" w:cs="Arial"/>
                <w:lang w:eastAsia="en-GB"/>
              </w:rPr>
            </w:pPr>
            <w:r w:rsidRPr="005267B6">
              <w:rPr>
                <w:rFonts w:eastAsia="Times New Roman" w:cs="Arial"/>
                <w:lang w:eastAsia="en-GB"/>
              </w:rPr>
              <w:t>£29</w:t>
            </w:r>
          </w:p>
        </w:tc>
      </w:tr>
      <w:tr w:rsidR="002101C6" w:rsidRPr="002101C6" w:rsidTr="00733721">
        <w:tblPrEx>
          <w:tblLook w:val="04A0" w:firstRow="1" w:lastRow="0" w:firstColumn="1" w:lastColumn="0" w:noHBand="0" w:noVBand="1"/>
        </w:tblPrEx>
        <w:trPr>
          <w:gridAfter w:val="1"/>
          <w:wAfter w:w="7" w:type="dxa"/>
          <w:trHeight w:val="668"/>
          <w:jc w:val="right"/>
        </w:trPr>
        <w:tc>
          <w:tcPr>
            <w:tcW w:w="748" w:type="dxa"/>
            <w:vMerge/>
            <w:shd w:val="clear" w:color="auto" w:fill="auto"/>
          </w:tcPr>
          <w:p w:rsidR="002101C6" w:rsidRPr="002101C6" w:rsidRDefault="002101C6" w:rsidP="00733721">
            <w:pPr>
              <w:spacing w:after="0" w:line="240" w:lineRule="auto"/>
              <w:rPr>
                <w:rFonts w:eastAsia="Times New Roman" w:cs="Arial"/>
                <w:lang w:eastAsia="en-GB"/>
              </w:rPr>
            </w:pPr>
          </w:p>
        </w:tc>
        <w:tc>
          <w:tcPr>
            <w:tcW w:w="2786" w:type="dxa"/>
            <w:vMerge/>
            <w:shd w:val="clear" w:color="auto" w:fill="auto"/>
          </w:tcPr>
          <w:p w:rsidR="002101C6" w:rsidRPr="002101C6" w:rsidRDefault="002101C6" w:rsidP="00733721">
            <w:pPr>
              <w:spacing w:after="0" w:line="240" w:lineRule="auto"/>
              <w:rPr>
                <w:rFonts w:eastAsia="Times New Roman" w:cs="Arial"/>
                <w:lang w:eastAsia="en-GB"/>
              </w:rPr>
            </w:pPr>
          </w:p>
        </w:tc>
        <w:tc>
          <w:tcPr>
            <w:tcW w:w="2811" w:type="dxa"/>
            <w:shd w:val="clear" w:color="auto" w:fill="auto"/>
            <w:vAlign w:val="center"/>
          </w:tcPr>
          <w:p w:rsidR="002101C6" w:rsidRPr="002101C6" w:rsidRDefault="002101C6" w:rsidP="00733721">
            <w:pPr>
              <w:spacing w:after="0" w:line="240" w:lineRule="auto"/>
              <w:jc w:val="center"/>
              <w:rPr>
                <w:rFonts w:eastAsia="Times New Roman" w:cs="Arial"/>
                <w:lang w:eastAsia="en-GB"/>
              </w:rPr>
            </w:pPr>
            <w:r w:rsidRPr="002101C6">
              <w:rPr>
                <w:rFonts w:eastAsia="Times New Roman" w:cs="Arial"/>
                <w:lang w:eastAsia="en-GB"/>
              </w:rPr>
              <w:t>Mon – Fri Evening: Between 22:00 – 07:00</w:t>
            </w:r>
          </w:p>
        </w:tc>
        <w:tc>
          <w:tcPr>
            <w:tcW w:w="1134" w:type="dxa"/>
            <w:shd w:val="clear" w:color="auto" w:fill="auto"/>
            <w:vAlign w:val="center"/>
          </w:tcPr>
          <w:p w:rsidR="00A22E79" w:rsidRDefault="00A22E79" w:rsidP="00733721">
            <w:pPr>
              <w:spacing w:after="0" w:line="240" w:lineRule="auto"/>
              <w:jc w:val="center"/>
              <w:rPr>
                <w:rFonts w:eastAsia="Times New Roman" w:cs="Arial"/>
                <w:lang w:eastAsia="en-GB"/>
              </w:rPr>
            </w:pPr>
          </w:p>
          <w:p w:rsidR="00E61399" w:rsidRDefault="00E61399" w:rsidP="00733721">
            <w:pPr>
              <w:spacing w:after="0" w:line="240" w:lineRule="auto"/>
              <w:jc w:val="center"/>
              <w:rPr>
                <w:rFonts w:eastAsia="Times New Roman" w:cs="Arial"/>
                <w:lang w:eastAsia="en-GB"/>
              </w:rPr>
            </w:pPr>
            <w:r w:rsidRPr="005267B6">
              <w:rPr>
                <w:rFonts w:eastAsia="Times New Roman" w:cs="Arial"/>
                <w:lang w:eastAsia="en-GB"/>
              </w:rPr>
              <w:t>£15</w:t>
            </w:r>
          </w:p>
          <w:p w:rsidR="00A22E79" w:rsidRPr="005267B6" w:rsidRDefault="00A22E79" w:rsidP="00733721">
            <w:pPr>
              <w:spacing w:after="0" w:line="240" w:lineRule="auto"/>
              <w:rPr>
                <w:rFonts w:eastAsia="Times New Roman" w:cs="Arial"/>
                <w:lang w:eastAsia="en-GB"/>
              </w:rPr>
            </w:pPr>
          </w:p>
        </w:tc>
        <w:tc>
          <w:tcPr>
            <w:tcW w:w="1043" w:type="dxa"/>
            <w:shd w:val="clear" w:color="auto" w:fill="auto"/>
            <w:vAlign w:val="center"/>
          </w:tcPr>
          <w:p w:rsidR="002101C6" w:rsidRPr="005267B6" w:rsidRDefault="002101C6" w:rsidP="00733721">
            <w:pPr>
              <w:spacing w:after="0" w:line="240" w:lineRule="auto"/>
              <w:jc w:val="center"/>
              <w:rPr>
                <w:rFonts w:eastAsia="Times New Roman" w:cs="Arial"/>
                <w:lang w:eastAsia="en-GB"/>
              </w:rPr>
            </w:pPr>
            <w:r w:rsidRPr="005267B6">
              <w:rPr>
                <w:rFonts w:eastAsia="Times New Roman" w:cs="Arial"/>
                <w:lang w:eastAsia="en-GB"/>
              </w:rPr>
              <w:t>£29</w:t>
            </w:r>
          </w:p>
        </w:tc>
      </w:tr>
      <w:tr w:rsidR="002101C6" w:rsidRPr="002101C6" w:rsidTr="00733721">
        <w:tblPrEx>
          <w:tblLook w:val="04A0" w:firstRow="1" w:lastRow="0" w:firstColumn="1" w:lastColumn="0" w:noHBand="0" w:noVBand="1"/>
        </w:tblPrEx>
        <w:trPr>
          <w:gridAfter w:val="1"/>
          <w:wAfter w:w="7" w:type="dxa"/>
          <w:jc w:val="right"/>
        </w:trPr>
        <w:tc>
          <w:tcPr>
            <w:tcW w:w="748" w:type="dxa"/>
            <w:vMerge/>
            <w:shd w:val="clear" w:color="auto" w:fill="auto"/>
          </w:tcPr>
          <w:p w:rsidR="002101C6" w:rsidRPr="002101C6" w:rsidRDefault="002101C6" w:rsidP="00733721">
            <w:pPr>
              <w:spacing w:after="0" w:line="240" w:lineRule="auto"/>
              <w:rPr>
                <w:rFonts w:eastAsia="Times New Roman" w:cs="Arial"/>
                <w:lang w:eastAsia="en-GB"/>
              </w:rPr>
            </w:pPr>
          </w:p>
        </w:tc>
        <w:tc>
          <w:tcPr>
            <w:tcW w:w="2786" w:type="dxa"/>
            <w:vMerge/>
            <w:shd w:val="clear" w:color="auto" w:fill="auto"/>
          </w:tcPr>
          <w:p w:rsidR="002101C6" w:rsidRPr="002101C6" w:rsidRDefault="002101C6" w:rsidP="00733721">
            <w:pPr>
              <w:spacing w:after="0" w:line="240" w:lineRule="auto"/>
              <w:rPr>
                <w:rFonts w:eastAsia="Times New Roman" w:cs="Arial"/>
                <w:lang w:eastAsia="en-GB"/>
              </w:rPr>
            </w:pPr>
          </w:p>
        </w:tc>
        <w:tc>
          <w:tcPr>
            <w:tcW w:w="2811" w:type="dxa"/>
            <w:shd w:val="clear" w:color="auto" w:fill="auto"/>
            <w:vAlign w:val="center"/>
          </w:tcPr>
          <w:p w:rsidR="002101C6" w:rsidRPr="002101C6" w:rsidRDefault="002101C6" w:rsidP="00733721">
            <w:pPr>
              <w:spacing w:after="0" w:line="240" w:lineRule="auto"/>
              <w:jc w:val="center"/>
              <w:rPr>
                <w:rFonts w:eastAsia="Times New Roman" w:cs="Arial"/>
                <w:lang w:eastAsia="en-GB"/>
              </w:rPr>
            </w:pPr>
            <w:r w:rsidRPr="002101C6">
              <w:rPr>
                <w:rFonts w:eastAsia="Times New Roman" w:cs="Arial"/>
                <w:lang w:eastAsia="en-GB"/>
              </w:rPr>
              <w:t>Sat – Sun Day: Between 07:00 – 22:00</w:t>
            </w:r>
          </w:p>
        </w:tc>
        <w:tc>
          <w:tcPr>
            <w:tcW w:w="1134" w:type="dxa"/>
            <w:shd w:val="clear" w:color="auto" w:fill="auto"/>
            <w:vAlign w:val="center"/>
          </w:tcPr>
          <w:p w:rsidR="002101C6" w:rsidRPr="005267B6" w:rsidRDefault="00E61399" w:rsidP="00733721">
            <w:pPr>
              <w:spacing w:after="0" w:line="240" w:lineRule="auto"/>
              <w:jc w:val="center"/>
              <w:rPr>
                <w:rFonts w:eastAsia="Times New Roman" w:cs="Arial"/>
                <w:lang w:eastAsia="en-GB"/>
              </w:rPr>
            </w:pPr>
            <w:r w:rsidRPr="005267B6">
              <w:rPr>
                <w:rFonts w:eastAsia="Times New Roman" w:cs="Arial"/>
                <w:lang w:eastAsia="en-GB"/>
              </w:rPr>
              <w:t>£15</w:t>
            </w:r>
          </w:p>
        </w:tc>
        <w:tc>
          <w:tcPr>
            <w:tcW w:w="1043" w:type="dxa"/>
            <w:shd w:val="clear" w:color="auto" w:fill="auto"/>
            <w:vAlign w:val="center"/>
          </w:tcPr>
          <w:p w:rsidR="002101C6" w:rsidRPr="005267B6" w:rsidRDefault="002101C6" w:rsidP="00733721">
            <w:pPr>
              <w:spacing w:after="0" w:line="240" w:lineRule="auto"/>
              <w:jc w:val="center"/>
              <w:rPr>
                <w:rFonts w:eastAsia="Times New Roman" w:cs="Arial"/>
                <w:lang w:eastAsia="en-GB"/>
              </w:rPr>
            </w:pPr>
            <w:r w:rsidRPr="005267B6">
              <w:rPr>
                <w:rFonts w:eastAsia="Times New Roman" w:cs="Arial"/>
                <w:lang w:eastAsia="en-GB"/>
              </w:rPr>
              <w:t>£29</w:t>
            </w:r>
          </w:p>
        </w:tc>
      </w:tr>
      <w:tr w:rsidR="002101C6" w:rsidRPr="002101C6" w:rsidTr="00733721">
        <w:tblPrEx>
          <w:tblLook w:val="04A0" w:firstRow="1" w:lastRow="0" w:firstColumn="1" w:lastColumn="0" w:noHBand="0" w:noVBand="1"/>
        </w:tblPrEx>
        <w:trPr>
          <w:gridAfter w:val="1"/>
          <w:wAfter w:w="7" w:type="dxa"/>
          <w:jc w:val="right"/>
        </w:trPr>
        <w:tc>
          <w:tcPr>
            <w:tcW w:w="748" w:type="dxa"/>
            <w:vMerge/>
            <w:shd w:val="clear" w:color="auto" w:fill="auto"/>
          </w:tcPr>
          <w:p w:rsidR="002101C6" w:rsidRPr="002101C6" w:rsidRDefault="002101C6" w:rsidP="00733721">
            <w:pPr>
              <w:spacing w:after="0" w:line="240" w:lineRule="auto"/>
              <w:rPr>
                <w:rFonts w:eastAsia="Times New Roman" w:cs="Arial"/>
                <w:lang w:eastAsia="en-GB"/>
              </w:rPr>
            </w:pPr>
          </w:p>
        </w:tc>
        <w:tc>
          <w:tcPr>
            <w:tcW w:w="2786" w:type="dxa"/>
            <w:vMerge/>
            <w:shd w:val="clear" w:color="auto" w:fill="auto"/>
          </w:tcPr>
          <w:p w:rsidR="002101C6" w:rsidRPr="002101C6" w:rsidRDefault="002101C6" w:rsidP="00733721">
            <w:pPr>
              <w:spacing w:after="0" w:line="240" w:lineRule="auto"/>
              <w:rPr>
                <w:rFonts w:eastAsia="Times New Roman" w:cs="Arial"/>
                <w:lang w:eastAsia="en-GB"/>
              </w:rPr>
            </w:pPr>
          </w:p>
        </w:tc>
        <w:tc>
          <w:tcPr>
            <w:tcW w:w="2811" w:type="dxa"/>
            <w:shd w:val="clear" w:color="auto" w:fill="auto"/>
            <w:vAlign w:val="center"/>
          </w:tcPr>
          <w:p w:rsidR="002101C6" w:rsidRPr="002101C6" w:rsidRDefault="002101C6" w:rsidP="00733721">
            <w:pPr>
              <w:spacing w:after="0" w:line="240" w:lineRule="auto"/>
              <w:jc w:val="center"/>
              <w:rPr>
                <w:rFonts w:eastAsia="Times New Roman" w:cs="Arial"/>
                <w:lang w:eastAsia="en-GB"/>
              </w:rPr>
            </w:pPr>
            <w:r w:rsidRPr="002101C6">
              <w:rPr>
                <w:rFonts w:eastAsia="Times New Roman" w:cs="Arial"/>
                <w:lang w:eastAsia="en-GB"/>
              </w:rPr>
              <w:t>Sat – Sun Evening: Between 22:00 – 07:00</w:t>
            </w:r>
          </w:p>
        </w:tc>
        <w:tc>
          <w:tcPr>
            <w:tcW w:w="1134" w:type="dxa"/>
            <w:shd w:val="clear" w:color="auto" w:fill="auto"/>
            <w:vAlign w:val="center"/>
          </w:tcPr>
          <w:p w:rsidR="002101C6" w:rsidRPr="005267B6" w:rsidRDefault="00E61399" w:rsidP="00733721">
            <w:pPr>
              <w:spacing w:after="0" w:line="240" w:lineRule="auto"/>
              <w:jc w:val="center"/>
              <w:rPr>
                <w:rFonts w:eastAsia="Times New Roman" w:cs="Arial"/>
                <w:lang w:eastAsia="en-GB"/>
              </w:rPr>
            </w:pPr>
            <w:r w:rsidRPr="005267B6">
              <w:rPr>
                <w:rFonts w:eastAsia="Times New Roman" w:cs="Arial"/>
                <w:lang w:eastAsia="en-GB"/>
              </w:rPr>
              <w:t>£15</w:t>
            </w:r>
          </w:p>
        </w:tc>
        <w:tc>
          <w:tcPr>
            <w:tcW w:w="1043" w:type="dxa"/>
            <w:shd w:val="clear" w:color="auto" w:fill="auto"/>
            <w:vAlign w:val="center"/>
          </w:tcPr>
          <w:p w:rsidR="002101C6" w:rsidRPr="005267B6" w:rsidRDefault="002101C6" w:rsidP="00733721">
            <w:pPr>
              <w:spacing w:after="0" w:line="240" w:lineRule="auto"/>
              <w:jc w:val="center"/>
              <w:rPr>
                <w:rFonts w:eastAsia="Times New Roman" w:cs="Arial"/>
                <w:lang w:eastAsia="en-GB"/>
              </w:rPr>
            </w:pPr>
            <w:r w:rsidRPr="005267B6">
              <w:rPr>
                <w:rFonts w:eastAsia="Times New Roman" w:cs="Arial"/>
                <w:lang w:eastAsia="en-GB"/>
              </w:rPr>
              <w:t>£29</w:t>
            </w:r>
          </w:p>
        </w:tc>
      </w:tr>
      <w:tr w:rsidR="002101C6" w:rsidRPr="002101C6" w:rsidTr="00733721">
        <w:tblPrEx>
          <w:tblLook w:val="04A0" w:firstRow="1" w:lastRow="0" w:firstColumn="1" w:lastColumn="0" w:noHBand="0" w:noVBand="1"/>
        </w:tblPrEx>
        <w:trPr>
          <w:gridAfter w:val="1"/>
          <w:wAfter w:w="7" w:type="dxa"/>
          <w:jc w:val="right"/>
        </w:trPr>
        <w:tc>
          <w:tcPr>
            <w:tcW w:w="748" w:type="dxa"/>
            <w:vMerge/>
            <w:shd w:val="clear" w:color="auto" w:fill="auto"/>
          </w:tcPr>
          <w:p w:rsidR="002101C6" w:rsidRPr="002101C6" w:rsidRDefault="002101C6" w:rsidP="00733721">
            <w:pPr>
              <w:spacing w:after="0" w:line="240" w:lineRule="auto"/>
              <w:rPr>
                <w:rFonts w:eastAsia="Times New Roman" w:cs="Arial"/>
                <w:lang w:eastAsia="en-GB"/>
              </w:rPr>
            </w:pPr>
          </w:p>
        </w:tc>
        <w:tc>
          <w:tcPr>
            <w:tcW w:w="2786" w:type="dxa"/>
            <w:vMerge/>
            <w:shd w:val="clear" w:color="auto" w:fill="auto"/>
          </w:tcPr>
          <w:p w:rsidR="002101C6" w:rsidRPr="002101C6" w:rsidRDefault="002101C6" w:rsidP="00733721">
            <w:pPr>
              <w:spacing w:after="0" w:line="240" w:lineRule="auto"/>
              <w:rPr>
                <w:rFonts w:eastAsia="Times New Roman" w:cs="Arial"/>
                <w:lang w:eastAsia="en-GB"/>
              </w:rPr>
            </w:pPr>
          </w:p>
        </w:tc>
        <w:tc>
          <w:tcPr>
            <w:tcW w:w="2811" w:type="dxa"/>
            <w:tcBorders>
              <w:bottom w:val="single" w:sz="4" w:space="0" w:color="auto"/>
            </w:tcBorders>
            <w:shd w:val="clear" w:color="auto" w:fill="auto"/>
            <w:vAlign w:val="center"/>
          </w:tcPr>
          <w:p w:rsidR="002101C6" w:rsidRPr="002101C6" w:rsidRDefault="002101C6" w:rsidP="00733721">
            <w:pPr>
              <w:spacing w:after="0" w:line="240" w:lineRule="auto"/>
              <w:jc w:val="center"/>
              <w:rPr>
                <w:rFonts w:eastAsia="Times New Roman" w:cs="Arial"/>
                <w:lang w:eastAsia="en-GB"/>
              </w:rPr>
            </w:pPr>
            <w:r w:rsidRPr="002101C6">
              <w:rPr>
                <w:rFonts w:eastAsia="Times New Roman" w:cs="Arial"/>
                <w:lang w:eastAsia="en-GB"/>
              </w:rPr>
              <w:t>Waking Nights: 22:00 – 07:00</w:t>
            </w:r>
          </w:p>
        </w:tc>
        <w:tc>
          <w:tcPr>
            <w:tcW w:w="1134" w:type="dxa"/>
            <w:tcBorders>
              <w:bottom w:val="single" w:sz="4" w:space="0" w:color="auto"/>
            </w:tcBorders>
            <w:shd w:val="clear" w:color="auto" w:fill="auto"/>
            <w:vAlign w:val="center"/>
          </w:tcPr>
          <w:p w:rsidR="002101C6" w:rsidRPr="005267B6" w:rsidRDefault="00E61399" w:rsidP="00733721">
            <w:pPr>
              <w:spacing w:after="0" w:line="240" w:lineRule="auto"/>
              <w:jc w:val="center"/>
              <w:rPr>
                <w:rFonts w:eastAsia="Times New Roman" w:cs="Arial"/>
                <w:lang w:eastAsia="en-GB"/>
              </w:rPr>
            </w:pPr>
            <w:r w:rsidRPr="005267B6">
              <w:rPr>
                <w:rFonts w:eastAsia="Times New Roman" w:cs="Arial"/>
                <w:lang w:eastAsia="en-GB"/>
              </w:rPr>
              <w:t>£15</w:t>
            </w:r>
          </w:p>
        </w:tc>
        <w:tc>
          <w:tcPr>
            <w:tcW w:w="1043" w:type="dxa"/>
            <w:tcBorders>
              <w:bottom w:val="single" w:sz="4" w:space="0" w:color="auto"/>
            </w:tcBorders>
            <w:shd w:val="clear" w:color="auto" w:fill="auto"/>
            <w:vAlign w:val="center"/>
          </w:tcPr>
          <w:p w:rsidR="002101C6" w:rsidRPr="005267B6" w:rsidRDefault="002101C6" w:rsidP="00733721">
            <w:pPr>
              <w:spacing w:after="0" w:line="240" w:lineRule="auto"/>
              <w:jc w:val="center"/>
              <w:rPr>
                <w:rFonts w:eastAsia="Times New Roman" w:cs="Arial"/>
                <w:lang w:eastAsia="en-GB"/>
              </w:rPr>
            </w:pPr>
            <w:r w:rsidRPr="005267B6">
              <w:rPr>
                <w:rFonts w:eastAsia="Times New Roman" w:cs="Arial"/>
                <w:lang w:eastAsia="en-GB"/>
              </w:rPr>
              <w:t>£29</w:t>
            </w:r>
          </w:p>
        </w:tc>
      </w:tr>
      <w:tr w:rsidR="00733721" w:rsidTr="00733721">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1"/>
          <w:wBefore w:w="3534" w:type="dxa"/>
          <w:wAfter w:w="7" w:type="dxa"/>
          <w:trHeight w:val="100"/>
          <w:jc w:val="right"/>
        </w:trPr>
        <w:tc>
          <w:tcPr>
            <w:tcW w:w="4988" w:type="dxa"/>
            <w:gridSpan w:val="3"/>
            <w:tcBorders>
              <w:top w:val="single" w:sz="4" w:space="0" w:color="auto"/>
              <w:left w:val="single" w:sz="4" w:space="0" w:color="auto"/>
              <w:bottom w:val="single" w:sz="4" w:space="0" w:color="auto"/>
              <w:right w:val="single" w:sz="4" w:space="0" w:color="auto"/>
            </w:tcBorders>
          </w:tcPr>
          <w:p w:rsidR="00733721" w:rsidRPr="00393D56" w:rsidRDefault="00393D56" w:rsidP="00733721">
            <w:pPr>
              <w:tabs>
                <w:tab w:val="left" w:pos="900"/>
              </w:tabs>
              <w:jc w:val="both"/>
              <w:rPr>
                <w:rFonts w:cs="Arial"/>
                <w:sz w:val="28"/>
                <w:szCs w:val="28"/>
                <w:highlight w:val="yellow"/>
              </w:rPr>
            </w:pPr>
            <w:r w:rsidRPr="008F651C">
              <w:rPr>
                <w:rFonts w:cs="Arial"/>
                <w:szCs w:val="28"/>
              </w:rPr>
              <w:t xml:space="preserve">       </w:t>
            </w:r>
            <w:r w:rsidR="00733721" w:rsidRPr="008F651C">
              <w:rPr>
                <w:rFonts w:cs="Arial"/>
                <w:szCs w:val="28"/>
              </w:rPr>
              <w:t>Bank Holiday Rate:</w:t>
            </w:r>
            <w:r w:rsidRPr="008F651C">
              <w:rPr>
                <w:rFonts w:cs="Arial"/>
                <w:szCs w:val="28"/>
              </w:rPr>
              <w:t xml:space="preserve">                             up to £35</w:t>
            </w:r>
          </w:p>
        </w:tc>
      </w:tr>
    </w:tbl>
    <w:p w:rsidR="002101C6" w:rsidRDefault="00A93C0B" w:rsidP="00393D56">
      <w:pPr>
        <w:tabs>
          <w:tab w:val="left" w:pos="900"/>
        </w:tabs>
        <w:ind w:left="720"/>
        <w:jc w:val="both"/>
        <w:rPr>
          <w:rFonts w:cs="Arial"/>
          <w:szCs w:val="28"/>
        </w:rPr>
      </w:pPr>
      <w:r w:rsidRPr="005267B6">
        <w:rPr>
          <w:rFonts w:cs="Arial"/>
          <w:szCs w:val="28"/>
        </w:rPr>
        <w:t>Please note that every package</w:t>
      </w:r>
      <w:r w:rsidR="004E4CC5" w:rsidRPr="005267B6">
        <w:rPr>
          <w:rFonts w:cs="Arial"/>
          <w:szCs w:val="28"/>
        </w:rPr>
        <w:t xml:space="preserve"> will have bespoke needs and </w:t>
      </w:r>
      <w:r w:rsidR="006A0F2A" w:rsidRPr="005267B6">
        <w:rPr>
          <w:rFonts w:cs="Arial"/>
          <w:szCs w:val="28"/>
        </w:rPr>
        <w:t>will vary in complexity and therefore pricing will be individualised. Framework Providers bidding for work will be expected to justify all quotations and demonstrate value for money.</w:t>
      </w:r>
    </w:p>
    <w:p w:rsidR="00132CE7" w:rsidRDefault="00132CE7" w:rsidP="00393D56">
      <w:pPr>
        <w:tabs>
          <w:tab w:val="left" w:pos="900"/>
        </w:tabs>
        <w:ind w:left="720"/>
        <w:jc w:val="both"/>
        <w:rPr>
          <w:rFonts w:cs="Arial"/>
          <w:szCs w:val="28"/>
        </w:rPr>
      </w:pPr>
    </w:p>
    <w:p w:rsidR="00132CE7" w:rsidRDefault="00132CE7" w:rsidP="00393D56">
      <w:pPr>
        <w:tabs>
          <w:tab w:val="left" w:pos="900"/>
        </w:tabs>
        <w:ind w:left="720"/>
        <w:jc w:val="both"/>
        <w:rPr>
          <w:rFonts w:cs="Arial"/>
          <w:szCs w:val="28"/>
        </w:rPr>
      </w:pPr>
    </w:p>
    <w:p w:rsidR="00132CE7" w:rsidRDefault="00132CE7" w:rsidP="00393D56">
      <w:pPr>
        <w:tabs>
          <w:tab w:val="left" w:pos="900"/>
        </w:tabs>
        <w:ind w:left="720"/>
        <w:jc w:val="both"/>
        <w:rPr>
          <w:rFonts w:cs="Arial"/>
          <w:szCs w:val="28"/>
        </w:rPr>
      </w:pPr>
    </w:p>
    <w:p w:rsidR="00132CE7" w:rsidRPr="004D5690" w:rsidRDefault="00132CE7" w:rsidP="00393D56">
      <w:pPr>
        <w:tabs>
          <w:tab w:val="left" w:pos="900"/>
        </w:tabs>
        <w:ind w:left="720"/>
        <w:jc w:val="both"/>
        <w:rPr>
          <w:rFonts w:cs="Arial"/>
          <w:szCs w:val="28"/>
        </w:rPr>
      </w:pPr>
    </w:p>
    <w:p w:rsidR="00BE20FE" w:rsidRPr="0052470A" w:rsidRDefault="00BE20FE" w:rsidP="00BE20FE">
      <w:pPr>
        <w:jc w:val="center"/>
        <w:rPr>
          <w:rFonts w:ascii="Arial" w:hAnsi="Arial" w:cs="Arial"/>
          <w:b/>
          <w:sz w:val="28"/>
          <w:szCs w:val="28"/>
          <w:u w:val="single"/>
        </w:rPr>
      </w:pPr>
      <w:r w:rsidRPr="0052470A">
        <w:rPr>
          <w:rFonts w:ascii="Arial" w:hAnsi="Arial" w:cs="Arial"/>
          <w:b/>
          <w:sz w:val="28"/>
          <w:szCs w:val="28"/>
          <w:u w:val="single"/>
        </w:rPr>
        <w:lastRenderedPageBreak/>
        <w:t>Section 3</w:t>
      </w:r>
    </w:p>
    <w:p w:rsidR="00325D0A" w:rsidRPr="00132CE7" w:rsidRDefault="004D5690" w:rsidP="00132CE7">
      <w:pPr>
        <w:jc w:val="center"/>
        <w:rPr>
          <w:rFonts w:ascii="Arial" w:hAnsi="Arial" w:cs="Arial"/>
          <w:b/>
          <w:sz w:val="28"/>
          <w:szCs w:val="28"/>
          <w:u w:val="single"/>
        </w:rPr>
      </w:pPr>
      <w:r>
        <w:rPr>
          <w:rFonts w:ascii="Arial" w:hAnsi="Arial" w:cs="Arial"/>
          <w:b/>
          <w:sz w:val="28"/>
          <w:szCs w:val="28"/>
          <w:u w:val="single"/>
        </w:rPr>
        <w:t>Service Standards</w:t>
      </w:r>
    </w:p>
    <w:p w:rsidR="0052470A" w:rsidRDefault="00BE20FE" w:rsidP="00392428">
      <w:pPr>
        <w:rPr>
          <w:rFonts w:ascii="Arial" w:hAnsi="Arial" w:cs="Arial"/>
          <w:b/>
          <w:sz w:val="24"/>
          <w:szCs w:val="24"/>
        </w:rPr>
      </w:pPr>
      <w:r w:rsidRPr="00BE20FE">
        <w:rPr>
          <w:rFonts w:ascii="Arial" w:hAnsi="Arial" w:cs="Arial"/>
          <w:b/>
          <w:sz w:val="24"/>
          <w:szCs w:val="24"/>
        </w:rPr>
        <w:t>3.1</w:t>
      </w:r>
      <w:r w:rsidRPr="00BE20FE">
        <w:rPr>
          <w:rFonts w:ascii="Arial" w:hAnsi="Arial" w:cs="Arial"/>
          <w:b/>
          <w:sz w:val="24"/>
          <w:szCs w:val="24"/>
        </w:rPr>
        <w:tab/>
      </w:r>
      <w:r w:rsidR="004D5690">
        <w:rPr>
          <w:rFonts w:ascii="Arial" w:hAnsi="Arial" w:cs="Arial"/>
          <w:b/>
          <w:sz w:val="24"/>
          <w:szCs w:val="24"/>
        </w:rPr>
        <w:t>Service Standards</w:t>
      </w:r>
    </w:p>
    <w:p w:rsidR="003C0943" w:rsidRDefault="00571D3E" w:rsidP="002D42E4">
      <w:pPr>
        <w:pStyle w:val="ListParagraph"/>
        <w:spacing w:after="0"/>
        <w:jc w:val="both"/>
      </w:pPr>
      <w:r>
        <w:t xml:space="preserve">The </w:t>
      </w:r>
      <w:r w:rsidR="004D5690">
        <w:t xml:space="preserve">Supplier shall provide </w:t>
      </w:r>
      <w:r w:rsidR="00433807">
        <w:t>these services with</w:t>
      </w:r>
      <w:r w:rsidR="003C0943">
        <w:t xml:space="preserve"> the skill, care and diligence to be expec</w:t>
      </w:r>
      <w:r w:rsidR="004D5690">
        <w:t>ted of a competent Supplier of s</w:t>
      </w:r>
      <w:r w:rsidR="003C0943">
        <w:t>ervices of this type.</w:t>
      </w:r>
    </w:p>
    <w:p w:rsidR="003C0943" w:rsidRDefault="003C0943" w:rsidP="002D42E4">
      <w:pPr>
        <w:pStyle w:val="ListParagraph"/>
        <w:spacing w:after="0"/>
        <w:jc w:val="both"/>
      </w:pPr>
    </w:p>
    <w:p w:rsidR="004D5690" w:rsidRDefault="003C0943" w:rsidP="002D42E4">
      <w:pPr>
        <w:pStyle w:val="ListParagraph"/>
        <w:spacing w:after="0"/>
        <w:jc w:val="both"/>
      </w:pPr>
      <w:r>
        <w:t xml:space="preserve">The Supplier shall ensure that sufficient numbers of people of appropriate ability, skill, knowledge, training or experience, are available so as to properly provide and to </w:t>
      </w:r>
      <w:r w:rsidR="001710F7">
        <w:t>supervise the</w:t>
      </w:r>
      <w:r w:rsidR="004D5690">
        <w:t xml:space="preserve"> proper provision of the s</w:t>
      </w:r>
      <w:r>
        <w:t>ervice and to meet the assessed needs of Service Users.</w:t>
      </w:r>
    </w:p>
    <w:p w:rsidR="004D5690" w:rsidRDefault="004D5690" w:rsidP="002D42E4">
      <w:pPr>
        <w:pStyle w:val="ListParagraph"/>
        <w:spacing w:after="0"/>
        <w:jc w:val="both"/>
      </w:pPr>
    </w:p>
    <w:p w:rsidR="004D5690" w:rsidRPr="004D5690" w:rsidRDefault="004D5690" w:rsidP="002D42E4">
      <w:pPr>
        <w:pStyle w:val="ListParagraph"/>
        <w:spacing w:after="0"/>
        <w:jc w:val="both"/>
      </w:pPr>
      <w:r w:rsidRPr="004D5690">
        <w:t>The Service Provider will be registered with the Care Quality Commission (CQC)</w:t>
      </w:r>
      <w:r>
        <w:t>.</w:t>
      </w:r>
    </w:p>
    <w:p w:rsidR="004D5690" w:rsidRDefault="004D5690" w:rsidP="002D42E4">
      <w:pPr>
        <w:spacing w:after="0"/>
        <w:jc w:val="both"/>
      </w:pPr>
    </w:p>
    <w:p w:rsidR="004D5690" w:rsidRDefault="004D5690" w:rsidP="002D42E4">
      <w:pPr>
        <w:spacing w:after="0"/>
        <w:ind w:left="720"/>
        <w:jc w:val="both"/>
      </w:pPr>
      <w:r w:rsidRPr="004D5690">
        <w:t xml:space="preserve">The Service Provider must comply with the regulations made under the Care Standards Act (2000). </w:t>
      </w:r>
    </w:p>
    <w:p w:rsidR="004D5690" w:rsidRDefault="004D5690" w:rsidP="002D42E4">
      <w:pPr>
        <w:spacing w:after="0"/>
        <w:ind w:left="720"/>
        <w:jc w:val="both"/>
      </w:pPr>
    </w:p>
    <w:p w:rsidR="004D5690" w:rsidRPr="004D5690" w:rsidRDefault="004D5690" w:rsidP="002D42E4">
      <w:pPr>
        <w:spacing w:after="0"/>
        <w:ind w:left="720"/>
        <w:jc w:val="both"/>
      </w:pPr>
      <w:r w:rsidRPr="004D5690">
        <w:t xml:space="preserve">The Service Provider must safeguard and promote the welfare of children and young people in accordance with the Children Act </w:t>
      </w:r>
      <w:r w:rsidR="00433807">
        <w:t>(</w:t>
      </w:r>
      <w:r w:rsidRPr="004D5690">
        <w:t>1989</w:t>
      </w:r>
      <w:r w:rsidR="00433807">
        <w:t>)</w:t>
      </w:r>
      <w:r w:rsidRPr="004D5690">
        <w:t xml:space="preserve">; the Children Act </w:t>
      </w:r>
      <w:r w:rsidR="00433807">
        <w:t>(</w:t>
      </w:r>
      <w:r w:rsidR="001F372F">
        <w:t>2008</w:t>
      </w:r>
      <w:r w:rsidR="00433807">
        <w:t>)</w:t>
      </w:r>
      <w:r w:rsidRPr="004D5690">
        <w:t>; Working Together to Safeguard Children statutory guidance (DCSF, 2010); and the Somerset Safeguarding Children’s Board (LSCB) Policies and Procedures.</w:t>
      </w:r>
    </w:p>
    <w:p w:rsidR="004D5690" w:rsidRDefault="004D5690" w:rsidP="002D42E4">
      <w:pPr>
        <w:pStyle w:val="ListParagraph"/>
        <w:spacing w:after="0"/>
        <w:jc w:val="both"/>
      </w:pPr>
    </w:p>
    <w:p w:rsidR="003D4A3D" w:rsidRPr="003D4A3D" w:rsidRDefault="003D4A3D" w:rsidP="002D42E4">
      <w:pPr>
        <w:pStyle w:val="ListParagraph"/>
        <w:spacing w:after="0"/>
        <w:jc w:val="both"/>
      </w:pPr>
      <w:r w:rsidRPr="003D4A3D">
        <w:t>Services will be delivered</w:t>
      </w:r>
      <w:r w:rsidR="00D6642E">
        <w:t xml:space="preserve"> in line with the key principles of the National Framework for Children and </w:t>
      </w:r>
      <w:r w:rsidRPr="003D4A3D">
        <w:t>Young People</w:t>
      </w:r>
      <w:r w:rsidR="00D6642E">
        <w:t>’s Continuing Care (2016</w:t>
      </w:r>
      <w:r w:rsidRPr="003D4A3D">
        <w:t>) and the vision of Better Care: Better Lives for improving outcomes and experiences for children, young people and their families with life-limiting and life-threatening conditions (2008).</w:t>
      </w:r>
    </w:p>
    <w:p w:rsidR="003D4A3D" w:rsidRPr="003D4A3D" w:rsidRDefault="003D4A3D" w:rsidP="002D42E4">
      <w:pPr>
        <w:pStyle w:val="ListParagraph"/>
        <w:spacing w:after="0"/>
        <w:jc w:val="both"/>
      </w:pPr>
    </w:p>
    <w:p w:rsidR="003D4A3D" w:rsidRPr="003D4A3D" w:rsidRDefault="003D4A3D" w:rsidP="002D42E4">
      <w:pPr>
        <w:pStyle w:val="ListParagraph"/>
        <w:spacing w:after="0"/>
        <w:jc w:val="both"/>
      </w:pPr>
      <w:r w:rsidRPr="003D4A3D">
        <w:t>Service Providers will need to meet a diverse range of needs and are required to be culturally appropriate and reflect the needs of children within minority ethnic communities with disabilities and complex health and social care needs.</w:t>
      </w:r>
    </w:p>
    <w:p w:rsidR="003D4A3D" w:rsidRPr="003D4A3D" w:rsidRDefault="003D4A3D" w:rsidP="002D42E4">
      <w:pPr>
        <w:pStyle w:val="ListParagraph"/>
        <w:spacing w:after="0"/>
        <w:jc w:val="both"/>
      </w:pPr>
    </w:p>
    <w:p w:rsidR="003D4A3D" w:rsidRPr="003D4A3D" w:rsidRDefault="003D4A3D" w:rsidP="002D42E4">
      <w:pPr>
        <w:pStyle w:val="ListParagraph"/>
        <w:spacing w:after="0"/>
        <w:jc w:val="both"/>
      </w:pPr>
      <w:r w:rsidRPr="003D4A3D">
        <w:t>All Service Providers must be competent in working with children and young people with complex health and social care needs / communication difficulties. The workforce will have the skills and knowledge to;</w:t>
      </w:r>
    </w:p>
    <w:p w:rsidR="003D4A3D" w:rsidRPr="003D4A3D" w:rsidRDefault="003D4A3D" w:rsidP="002D42E4">
      <w:pPr>
        <w:pStyle w:val="ListParagraph"/>
        <w:spacing w:after="0"/>
        <w:jc w:val="both"/>
      </w:pPr>
    </w:p>
    <w:p w:rsidR="003D4A3D" w:rsidRPr="003D4A3D" w:rsidRDefault="003D4A3D" w:rsidP="002D42E4">
      <w:pPr>
        <w:pStyle w:val="ListParagraph"/>
        <w:numPr>
          <w:ilvl w:val="0"/>
          <w:numId w:val="15"/>
        </w:numPr>
        <w:spacing w:after="0"/>
        <w:jc w:val="both"/>
      </w:pPr>
      <w:r w:rsidRPr="003D4A3D">
        <w:t xml:space="preserve">Effectively communicate and engage with children and young people with complex needs (and their </w:t>
      </w:r>
      <w:r w:rsidR="001710F7" w:rsidRPr="003D4A3D">
        <w:t>families) including</w:t>
      </w:r>
      <w:r w:rsidRPr="003D4A3D">
        <w:t xml:space="preserve"> those with non-verbal communication;</w:t>
      </w:r>
    </w:p>
    <w:p w:rsidR="003D4A3D" w:rsidRPr="003D4A3D" w:rsidRDefault="003D4A3D" w:rsidP="002D42E4">
      <w:pPr>
        <w:pStyle w:val="ListParagraph"/>
        <w:numPr>
          <w:ilvl w:val="0"/>
          <w:numId w:val="15"/>
        </w:numPr>
        <w:spacing w:after="0"/>
        <w:jc w:val="both"/>
      </w:pPr>
      <w:r w:rsidRPr="003D4A3D">
        <w:t>Understand the safeguarding and welfare needs of children and young people with disabilities;</w:t>
      </w:r>
    </w:p>
    <w:p w:rsidR="003D4A3D" w:rsidRPr="003D4A3D" w:rsidRDefault="003D4A3D" w:rsidP="002D42E4">
      <w:pPr>
        <w:pStyle w:val="ListParagraph"/>
        <w:numPr>
          <w:ilvl w:val="0"/>
          <w:numId w:val="15"/>
        </w:numPr>
        <w:spacing w:after="0"/>
        <w:jc w:val="both"/>
      </w:pPr>
      <w:r w:rsidRPr="003D4A3D">
        <w:t>Support children and young people with disabilities with life-limiting illnesses or receiving palliative care or who are technology dependent and have moving and handling needs;</w:t>
      </w:r>
    </w:p>
    <w:p w:rsidR="003D4A3D" w:rsidRPr="003D4A3D" w:rsidRDefault="003D4A3D" w:rsidP="002D42E4">
      <w:pPr>
        <w:pStyle w:val="ListParagraph"/>
        <w:numPr>
          <w:ilvl w:val="0"/>
          <w:numId w:val="15"/>
        </w:numPr>
        <w:spacing w:after="0"/>
        <w:jc w:val="both"/>
      </w:pPr>
      <w:r w:rsidRPr="003D4A3D">
        <w:lastRenderedPageBreak/>
        <w:t>Safely support children and young people with disabilities who may have challenging behaviours associated with other impairments which could cause injury to themselves and others;</w:t>
      </w:r>
    </w:p>
    <w:p w:rsidR="003D4A3D" w:rsidRPr="003D4A3D" w:rsidRDefault="003D4A3D" w:rsidP="002D42E4">
      <w:pPr>
        <w:pStyle w:val="ListParagraph"/>
        <w:numPr>
          <w:ilvl w:val="0"/>
          <w:numId w:val="15"/>
        </w:numPr>
        <w:spacing w:after="0"/>
        <w:jc w:val="both"/>
      </w:pPr>
      <w:r w:rsidRPr="003D4A3D">
        <w:t>Support the development needs children and young people with disabilities</w:t>
      </w:r>
    </w:p>
    <w:p w:rsidR="003D4A3D" w:rsidRPr="003D4A3D" w:rsidRDefault="003D4A3D" w:rsidP="002D42E4">
      <w:pPr>
        <w:pStyle w:val="ListParagraph"/>
        <w:numPr>
          <w:ilvl w:val="0"/>
          <w:numId w:val="15"/>
        </w:numPr>
        <w:spacing w:after="0"/>
        <w:jc w:val="both"/>
      </w:pPr>
      <w:r w:rsidRPr="003D4A3D">
        <w:t xml:space="preserve">Support children and young people with disabilities through transitions e.g. changes of school </w:t>
      </w:r>
    </w:p>
    <w:p w:rsidR="003D4A3D" w:rsidRPr="003D4A3D" w:rsidRDefault="003D4A3D" w:rsidP="002D42E4">
      <w:pPr>
        <w:pStyle w:val="ListParagraph"/>
        <w:numPr>
          <w:ilvl w:val="0"/>
          <w:numId w:val="15"/>
        </w:numPr>
        <w:spacing w:after="0"/>
        <w:jc w:val="both"/>
      </w:pPr>
      <w:r w:rsidRPr="003D4A3D">
        <w:t xml:space="preserve">Work in an open and flexible multi-agency way, sharing information clearly and transparently.  </w:t>
      </w:r>
    </w:p>
    <w:p w:rsidR="003D4A3D" w:rsidRDefault="003D4A3D" w:rsidP="002D42E4">
      <w:pPr>
        <w:pStyle w:val="ListParagraph"/>
        <w:spacing w:after="0"/>
        <w:ind w:left="1500"/>
        <w:jc w:val="both"/>
        <w:rPr>
          <w:b/>
        </w:rPr>
      </w:pPr>
    </w:p>
    <w:p w:rsidR="00F106A3" w:rsidRPr="00774A35" w:rsidRDefault="00F106A3" w:rsidP="00774A35">
      <w:pPr>
        <w:ind w:left="720"/>
        <w:jc w:val="both"/>
      </w:pPr>
      <w:r w:rsidRPr="007D1EC9">
        <w:t xml:space="preserve">The Supplier will have their own complaints system for managing complaints regarding the </w:t>
      </w:r>
      <w:r>
        <w:t>S</w:t>
      </w:r>
      <w:r w:rsidR="00D6642E">
        <w:t>ervice they deliver and will share the contents of any complaints including responses, with SCC and CCG Commissioners.</w:t>
      </w:r>
    </w:p>
    <w:p w:rsidR="00F106A3" w:rsidRPr="003D4A3D" w:rsidRDefault="00F106A3" w:rsidP="002D42E4">
      <w:pPr>
        <w:pStyle w:val="ListParagraph"/>
        <w:spacing w:after="0"/>
        <w:jc w:val="both"/>
        <w:rPr>
          <w:b/>
        </w:rPr>
      </w:pPr>
    </w:p>
    <w:p w:rsidR="004D5690" w:rsidRPr="003D4A3D" w:rsidRDefault="003D4A3D" w:rsidP="002D42E4">
      <w:pPr>
        <w:pStyle w:val="ListParagraph"/>
        <w:spacing w:after="0"/>
        <w:ind w:hanging="720"/>
        <w:jc w:val="both"/>
        <w:rPr>
          <w:rFonts w:ascii="Arial" w:hAnsi="Arial" w:cs="Arial"/>
          <w:b/>
          <w:sz w:val="24"/>
        </w:rPr>
      </w:pPr>
      <w:r w:rsidRPr="003D4A3D">
        <w:rPr>
          <w:rFonts w:ascii="Arial" w:hAnsi="Arial" w:cs="Arial"/>
          <w:b/>
          <w:sz w:val="24"/>
        </w:rPr>
        <w:t>3.2</w:t>
      </w:r>
      <w:r w:rsidRPr="003D4A3D">
        <w:rPr>
          <w:rFonts w:ascii="Arial" w:hAnsi="Arial" w:cs="Arial"/>
          <w:b/>
          <w:sz w:val="24"/>
        </w:rPr>
        <w:tab/>
        <w:t>Service Response</w:t>
      </w:r>
    </w:p>
    <w:p w:rsidR="003D4A3D" w:rsidRDefault="003D4A3D" w:rsidP="002D42E4">
      <w:pPr>
        <w:pStyle w:val="ListParagraph"/>
        <w:spacing w:after="0"/>
        <w:jc w:val="both"/>
      </w:pPr>
    </w:p>
    <w:p w:rsidR="003D4A3D" w:rsidRPr="003D4A3D" w:rsidRDefault="003D4A3D" w:rsidP="002D42E4">
      <w:pPr>
        <w:spacing w:after="0"/>
        <w:ind w:left="709"/>
        <w:jc w:val="both"/>
      </w:pPr>
      <w:r w:rsidRPr="003D4A3D">
        <w:t>Following Contract Award, the required response times are:</w:t>
      </w:r>
    </w:p>
    <w:p w:rsidR="003D4A3D" w:rsidRPr="003D4A3D" w:rsidRDefault="003D4A3D" w:rsidP="002D42E4">
      <w:pPr>
        <w:pStyle w:val="ListParagraph"/>
        <w:spacing w:after="0"/>
        <w:ind w:firstLine="720"/>
        <w:jc w:val="both"/>
      </w:pPr>
    </w:p>
    <w:p w:rsidR="003D4A3D" w:rsidRPr="003D4A3D" w:rsidRDefault="003D4A3D" w:rsidP="002D42E4">
      <w:pPr>
        <w:pStyle w:val="ListParagraph"/>
        <w:numPr>
          <w:ilvl w:val="0"/>
          <w:numId w:val="16"/>
        </w:numPr>
        <w:spacing w:after="0"/>
        <w:jc w:val="both"/>
      </w:pPr>
      <w:r w:rsidRPr="003D4A3D">
        <w:t>The Service Provide</w:t>
      </w:r>
      <w:r w:rsidR="00D9053E">
        <w:t xml:space="preserve">r will acknowledge the package award </w:t>
      </w:r>
      <w:r w:rsidRPr="003D4A3D">
        <w:t>within 1 workin</w:t>
      </w:r>
      <w:r w:rsidR="00D9053E">
        <w:t>g day</w:t>
      </w:r>
    </w:p>
    <w:p w:rsidR="003D4A3D" w:rsidRPr="003D4A3D" w:rsidRDefault="003D4A3D" w:rsidP="002D42E4">
      <w:pPr>
        <w:pStyle w:val="ListParagraph"/>
        <w:numPr>
          <w:ilvl w:val="0"/>
          <w:numId w:val="16"/>
        </w:numPr>
        <w:spacing w:after="0"/>
        <w:jc w:val="both"/>
      </w:pPr>
      <w:r w:rsidRPr="003D4A3D">
        <w:t xml:space="preserve">The Service Provider will </w:t>
      </w:r>
      <w:r w:rsidR="003563E7" w:rsidRPr="003D4A3D">
        <w:t>contact</w:t>
      </w:r>
      <w:r w:rsidRPr="003D4A3D">
        <w:t xml:space="preserve"> the family within 2 working days</w:t>
      </w:r>
    </w:p>
    <w:p w:rsidR="003D4A3D" w:rsidRPr="003D4A3D" w:rsidRDefault="003D4A3D" w:rsidP="002D42E4">
      <w:pPr>
        <w:pStyle w:val="ListParagraph"/>
        <w:numPr>
          <w:ilvl w:val="0"/>
          <w:numId w:val="16"/>
        </w:numPr>
        <w:spacing w:after="0"/>
        <w:jc w:val="both"/>
      </w:pPr>
      <w:r w:rsidRPr="003D4A3D">
        <w:t>If the agreed package of care cannot be put in place immediately, an interim care plan will be agreed with the commissioner and family together with a time table to move to the agreed care package</w:t>
      </w:r>
    </w:p>
    <w:p w:rsidR="003D4A3D" w:rsidRPr="003D4A3D" w:rsidRDefault="003D4A3D" w:rsidP="002D42E4">
      <w:pPr>
        <w:pStyle w:val="ListParagraph"/>
        <w:numPr>
          <w:ilvl w:val="0"/>
          <w:numId w:val="16"/>
        </w:numPr>
        <w:spacing w:after="0"/>
        <w:jc w:val="both"/>
      </w:pPr>
      <w:r w:rsidRPr="003D4A3D">
        <w:t>The agreed care package will be in place within three calendar months from the date of decision by the Somerset Children’s Complex Health and Social Care Needs panel</w:t>
      </w:r>
    </w:p>
    <w:p w:rsidR="003D4A3D" w:rsidRPr="003D4A3D" w:rsidRDefault="003D4A3D" w:rsidP="002D42E4">
      <w:pPr>
        <w:pStyle w:val="ListParagraph"/>
        <w:spacing w:after="0"/>
        <w:ind w:firstLine="720"/>
        <w:jc w:val="both"/>
      </w:pPr>
    </w:p>
    <w:p w:rsidR="003D4A3D" w:rsidRPr="003D4A3D" w:rsidRDefault="003D4A3D" w:rsidP="002D42E4">
      <w:pPr>
        <w:pStyle w:val="ListParagraph"/>
        <w:spacing w:after="0"/>
        <w:ind w:left="360"/>
        <w:jc w:val="both"/>
      </w:pPr>
      <w:r w:rsidRPr="003D4A3D">
        <w:t>It is the responsibility of all Providers t</w:t>
      </w:r>
      <w:r w:rsidR="001458D9">
        <w:t xml:space="preserve">o ensure that there </w:t>
      </w:r>
      <w:r w:rsidR="00916A58">
        <w:t>are</w:t>
      </w:r>
      <w:r w:rsidR="001458D9">
        <w:t xml:space="preserve"> always </w:t>
      </w:r>
      <w:r w:rsidRPr="003D4A3D">
        <w:t>sufficient number</w:t>
      </w:r>
      <w:r w:rsidR="001458D9">
        <w:t>s</w:t>
      </w:r>
      <w:r w:rsidRPr="003D4A3D">
        <w:t xml:space="preserve"> of suitably qualified staff available </w:t>
      </w:r>
      <w:r w:rsidR="00916A58" w:rsidRPr="003D4A3D">
        <w:t>to</w:t>
      </w:r>
      <w:r w:rsidRPr="003D4A3D">
        <w:t xml:space="preserve"> meet the needs of the Service User as detailed in their indivi</w:t>
      </w:r>
      <w:r w:rsidR="00AD044B">
        <w:t>dual support agreement (Package Request</w:t>
      </w:r>
      <w:r w:rsidRPr="003D4A3D">
        <w:t xml:space="preserve"> Form).</w:t>
      </w:r>
    </w:p>
    <w:p w:rsidR="003D4A3D" w:rsidRPr="003D4A3D" w:rsidRDefault="003D4A3D" w:rsidP="002D42E4">
      <w:pPr>
        <w:pStyle w:val="ListParagraph"/>
        <w:spacing w:after="0"/>
        <w:ind w:firstLine="720"/>
        <w:jc w:val="both"/>
      </w:pPr>
    </w:p>
    <w:p w:rsidR="003D4A3D" w:rsidRPr="003D4A3D" w:rsidRDefault="003D4A3D" w:rsidP="002D42E4">
      <w:pPr>
        <w:pStyle w:val="ListParagraph"/>
        <w:spacing w:after="0"/>
        <w:ind w:left="360"/>
        <w:jc w:val="both"/>
      </w:pPr>
      <w:r w:rsidRPr="003D4A3D">
        <w:t>All Providers will ensure that there is a consistent staff member/team allocated to the service user where possible to support the continuity of care to the service user and families.</w:t>
      </w:r>
    </w:p>
    <w:p w:rsidR="003D4A3D" w:rsidRPr="003D4A3D" w:rsidRDefault="003D4A3D" w:rsidP="002D42E4">
      <w:pPr>
        <w:pStyle w:val="ListParagraph"/>
        <w:spacing w:after="0"/>
        <w:ind w:firstLine="720"/>
        <w:jc w:val="both"/>
      </w:pPr>
    </w:p>
    <w:p w:rsidR="0044131A" w:rsidRDefault="003D4A3D" w:rsidP="00774A35">
      <w:pPr>
        <w:pStyle w:val="ListParagraph"/>
        <w:spacing w:after="0"/>
        <w:ind w:left="360"/>
        <w:jc w:val="both"/>
      </w:pPr>
      <w:r w:rsidRPr="003D4A3D">
        <w:t>There is a general expectation that there will no more than 3</w:t>
      </w:r>
      <w:r w:rsidR="00F106A3">
        <w:t xml:space="preserve"> members of staff </w:t>
      </w:r>
      <w:r w:rsidRPr="003D4A3D">
        <w:t>allocated</w:t>
      </w:r>
      <w:r w:rsidR="00F106A3">
        <w:t xml:space="preserve"> by the Service Provider</w:t>
      </w:r>
      <w:r w:rsidRPr="003D4A3D">
        <w:t xml:space="preserve"> to a family </w:t>
      </w:r>
      <w:r>
        <w:t>(</w:t>
      </w:r>
      <w:r w:rsidRPr="003D4A3D">
        <w:t>for 1:1 support</w:t>
      </w:r>
      <w:r w:rsidR="00F106A3">
        <w:t xml:space="preserve"> packages</w:t>
      </w:r>
      <w:r>
        <w:t>)</w:t>
      </w:r>
      <w:r w:rsidRPr="003D4A3D">
        <w:t>, and that</w:t>
      </w:r>
      <w:r w:rsidR="00F106A3">
        <w:t xml:space="preserve"> where</w:t>
      </w:r>
      <w:r w:rsidRPr="003D4A3D">
        <w:t xml:space="preserve"> not possible</w:t>
      </w:r>
      <w:r w:rsidR="00F106A3">
        <w:t xml:space="preserve"> e.g. due to</w:t>
      </w:r>
      <w:r w:rsidRPr="003D4A3D">
        <w:t xml:space="preserve"> staff sickness, both the commissioner and family concerned will receive notification in advance of any service delivery.</w:t>
      </w:r>
    </w:p>
    <w:p w:rsidR="00774A35" w:rsidRDefault="00774A35" w:rsidP="00774A35">
      <w:pPr>
        <w:pStyle w:val="ListParagraph"/>
        <w:spacing w:after="0"/>
        <w:ind w:left="360"/>
        <w:jc w:val="both"/>
      </w:pPr>
    </w:p>
    <w:p w:rsidR="00774A35" w:rsidRDefault="00774A35" w:rsidP="00774A35">
      <w:pPr>
        <w:pStyle w:val="ListParagraph"/>
        <w:spacing w:after="0"/>
        <w:ind w:left="360"/>
        <w:jc w:val="both"/>
      </w:pPr>
    </w:p>
    <w:p w:rsidR="00801D6B" w:rsidRDefault="00801D6B" w:rsidP="00774A35">
      <w:pPr>
        <w:pStyle w:val="ListParagraph"/>
        <w:spacing w:after="0"/>
        <w:ind w:left="360"/>
        <w:jc w:val="both"/>
      </w:pPr>
    </w:p>
    <w:p w:rsidR="00801D6B" w:rsidRDefault="00801D6B" w:rsidP="00774A35">
      <w:pPr>
        <w:pStyle w:val="ListParagraph"/>
        <w:spacing w:after="0"/>
        <w:ind w:left="360"/>
        <w:jc w:val="both"/>
      </w:pPr>
    </w:p>
    <w:p w:rsidR="00801D6B" w:rsidRDefault="00801D6B" w:rsidP="00774A35">
      <w:pPr>
        <w:pStyle w:val="ListParagraph"/>
        <w:spacing w:after="0"/>
        <w:ind w:left="360"/>
        <w:jc w:val="both"/>
      </w:pPr>
    </w:p>
    <w:p w:rsidR="00801D6B" w:rsidRDefault="00801D6B" w:rsidP="00774A35">
      <w:pPr>
        <w:pStyle w:val="ListParagraph"/>
        <w:spacing w:after="0"/>
        <w:ind w:left="360"/>
        <w:jc w:val="both"/>
      </w:pPr>
    </w:p>
    <w:p w:rsidR="0044131A" w:rsidRPr="00E65E0C" w:rsidRDefault="0044131A" w:rsidP="00E65E0C">
      <w:pPr>
        <w:pStyle w:val="ListParagraph"/>
        <w:spacing w:after="0"/>
        <w:ind w:left="360"/>
        <w:jc w:val="both"/>
      </w:pPr>
    </w:p>
    <w:p w:rsidR="003229DF" w:rsidRDefault="00A31D77" w:rsidP="002D42E4">
      <w:pPr>
        <w:jc w:val="both"/>
        <w:rPr>
          <w:rFonts w:ascii="Arial" w:eastAsia="Times New Roman" w:hAnsi="Arial" w:cs="Arial"/>
          <w:b/>
          <w:bCs/>
          <w:sz w:val="24"/>
          <w:szCs w:val="24"/>
          <w:u w:val="single"/>
        </w:rPr>
      </w:pPr>
      <w:r>
        <w:rPr>
          <w:rFonts w:ascii="Arial" w:hAnsi="Arial" w:cs="Arial"/>
          <w:b/>
          <w:sz w:val="24"/>
          <w:szCs w:val="24"/>
        </w:rPr>
        <w:t>3.3</w:t>
      </w:r>
      <w:r w:rsidR="007D1EC9">
        <w:rPr>
          <w:rFonts w:ascii="Arial" w:hAnsi="Arial" w:cs="Arial"/>
          <w:b/>
          <w:sz w:val="24"/>
          <w:szCs w:val="24"/>
        </w:rPr>
        <w:tab/>
        <w:t>Referral Route</w:t>
      </w:r>
      <w:r w:rsidR="003229DF" w:rsidRPr="003229DF">
        <w:rPr>
          <w:rFonts w:ascii="Arial" w:eastAsia="Times New Roman" w:hAnsi="Arial" w:cs="Arial"/>
          <w:b/>
          <w:bCs/>
          <w:sz w:val="24"/>
          <w:szCs w:val="24"/>
          <w:u w:val="single"/>
        </w:rPr>
        <w:t xml:space="preserve"> </w:t>
      </w:r>
    </w:p>
    <w:p w:rsidR="007D1EC9" w:rsidRDefault="007D1EC9" w:rsidP="002D42E4">
      <w:pPr>
        <w:ind w:left="720"/>
        <w:jc w:val="both"/>
      </w:pPr>
      <w:r>
        <w:lastRenderedPageBreak/>
        <w:t>Referrals to the S</w:t>
      </w:r>
      <w:r w:rsidRPr="007D1EC9">
        <w:t>er</w:t>
      </w:r>
      <w:r>
        <w:t>vice will be made via Somerset County Co</w:t>
      </w:r>
      <w:r w:rsidR="00F106A3">
        <w:t>uncil’s Homecare Framework Lot 5 (Proactis)</w:t>
      </w:r>
      <w:r w:rsidR="00AE1B06">
        <w:t xml:space="preserve"> and all referrals will have a completed Package Request Form (Appendix 1) detailing the requirement</w:t>
      </w:r>
      <w:r>
        <w:t xml:space="preserve">. </w:t>
      </w:r>
      <w:r w:rsidRPr="007D1EC9">
        <w:t xml:space="preserve">Service users may </w:t>
      </w:r>
      <w:r w:rsidR="00F106A3">
        <w:t xml:space="preserve">not self-refer to the Service. </w:t>
      </w:r>
    </w:p>
    <w:p w:rsidR="006C03FC" w:rsidRPr="008F651C" w:rsidRDefault="006C03FC" w:rsidP="006C03FC">
      <w:pPr>
        <w:jc w:val="both"/>
        <w:rPr>
          <w:rFonts w:ascii="Arial" w:hAnsi="Arial" w:cs="Arial"/>
          <w:b/>
          <w:bCs/>
          <w:sz w:val="24"/>
        </w:rPr>
      </w:pPr>
      <w:r w:rsidRPr="008F651C">
        <w:rPr>
          <w:rFonts w:ascii="Arial" w:hAnsi="Arial" w:cs="Arial"/>
          <w:b/>
          <w:sz w:val="24"/>
        </w:rPr>
        <w:t>3.4</w:t>
      </w:r>
      <w:r w:rsidRPr="008F651C">
        <w:rPr>
          <w:rFonts w:ascii="Arial" w:hAnsi="Arial" w:cs="Arial"/>
          <w:b/>
          <w:sz w:val="24"/>
        </w:rPr>
        <w:tab/>
      </w:r>
      <w:r w:rsidRPr="008F651C">
        <w:rPr>
          <w:rFonts w:ascii="Arial" w:hAnsi="Arial" w:cs="Arial"/>
          <w:b/>
          <w:bCs/>
          <w:sz w:val="24"/>
        </w:rPr>
        <w:t>How will individual care packages be commissioned (call-off)?</w:t>
      </w:r>
    </w:p>
    <w:p w:rsidR="006C03FC" w:rsidRPr="008F651C" w:rsidRDefault="006C03FC" w:rsidP="006C03FC">
      <w:pPr>
        <w:ind w:left="720"/>
        <w:jc w:val="both"/>
        <w:rPr>
          <w:rFonts w:cstheme="minorHAnsi"/>
        </w:rPr>
      </w:pPr>
      <w:r w:rsidRPr="008F651C">
        <w:rPr>
          <w:rFonts w:cstheme="minorHAnsi"/>
        </w:rPr>
        <w:t xml:space="preserve">Individual care package requirements will be sent via SCC’s Placements Team to all providers registered for Lot 5. These requirements </w:t>
      </w:r>
      <w:r w:rsidRPr="008F651C">
        <w:rPr>
          <w:rFonts w:cstheme="minorHAnsi"/>
          <w:b/>
          <w:bCs/>
        </w:rPr>
        <w:t>will only go</w:t>
      </w:r>
      <w:r w:rsidRPr="008F651C">
        <w:rPr>
          <w:rFonts w:cstheme="minorHAnsi"/>
        </w:rPr>
        <w:t xml:space="preserve"> to successful providers who have joined SCC’s Homecare Framework Lot 5. Providers already registered for Lots 1-4 and/or 6, </w:t>
      </w:r>
      <w:r w:rsidRPr="008F651C">
        <w:rPr>
          <w:rFonts w:cstheme="minorHAnsi"/>
          <w:b/>
          <w:bCs/>
        </w:rPr>
        <w:t xml:space="preserve">must </w:t>
      </w:r>
      <w:r w:rsidRPr="008F651C">
        <w:rPr>
          <w:rFonts w:cstheme="minorHAnsi"/>
        </w:rPr>
        <w:t xml:space="preserve">register for Lot 5* </w:t>
      </w:r>
      <w:r w:rsidR="00401180" w:rsidRPr="008F651C">
        <w:rPr>
          <w:rFonts w:cstheme="minorHAnsi"/>
        </w:rPr>
        <w:t>to</w:t>
      </w:r>
      <w:r w:rsidRPr="008F651C">
        <w:rPr>
          <w:rFonts w:cstheme="minorHAnsi"/>
        </w:rPr>
        <w:t xml:space="preserve"> receive notifications for package opportunities. </w:t>
      </w:r>
    </w:p>
    <w:p w:rsidR="006C03FC" w:rsidRPr="008F651C" w:rsidRDefault="006C03FC" w:rsidP="006C03FC">
      <w:pPr>
        <w:ind w:left="720"/>
        <w:jc w:val="both"/>
        <w:rPr>
          <w:rFonts w:cstheme="minorHAnsi"/>
        </w:rPr>
      </w:pPr>
      <w:r w:rsidRPr="008F651C">
        <w:rPr>
          <w:rFonts w:cstheme="minorHAnsi"/>
        </w:rPr>
        <w:t xml:space="preserve">Lot 5 will operate on a county-wide basis and will not be restricted by geographical areas. </w:t>
      </w:r>
    </w:p>
    <w:p w:rsidR="006C03FC" w:rsidRPr="008F651C" w:rsidRDefault="006C03FC" w:rsidP="006C03FC">
      <w:pPr>
        <w:ind w:left="720"/>
        <w:jc w:val="both"/>
        <w:rPr>
          <w:rFonts w:cstheme="minorHAnsi"/>
        </w:rPr>
      </w:pPr>
      <w:r w:rsidRPr="008F651C">
        <w:rPr>
          <w:rFonts w:cstheme="minorHAnsi"/>
        </w:rPr>
        <w:t xml:space="preserve">All registered providers will receive notification for </w:t>
      </w:r>
      <w:r w:rsidRPr="008F651C">
        <w:rPr>
          <w:rFonts w:cstheme="minorHAnsi"/>
          <w:b/>
          <w:bCs/>
        </w:rPr>
        <w:t>all</w:t>
      </w:r>
      <w:r w:rsidRPr="008F651C">
        <w:rPr>
          <w:rFonts w:cstheme="minorHAnsi"/>
        </w:rPr>
        <w:t xml:space="preserve"> packages electronically (via Proactis) and will be invited to bid if they are able to meet the needs and outcomes as set out in the Framework Referral Form.</w:t>
      </w:r>
    </w:p>
    <w:p w:rsidR="006C03FC" w:rsidRPr="008F651C" w:rsidRDefault="006C03FC" w:rsidP="006C03FC">
      <w:pPr>
        <w:ind w:left="720"/>
        <w:jc w:val="both"/>
        <w:rPr>
          <w:rFonts w:cstheme="minorHAnsi"/>
        </w:rPr>
      </w:pPr>
      <w:r w:rsidRPr="008F651C">
        <w:rPr>
          <w:rFonts w:cstheme="minorHAnsi"/>
        </w:rPr>
        <w:t>The award of packages will be based on a quality determination in accordance with the Evaluation Methodology; ability to meet start date required, ability to meet stated needs and outcomes and pricing (best value).</w:t>
      </w:r>
    </w:p>
    <w:p w:rsidR="006C03FC" w:rsidRPr="008F651C" w:rsidRDefault="006C03FC" w:rsidP="006C03FC">
      <w:pPr>
        <w:ind w:left="720"/>
        <w:jc w:val="both"/>
        <w:rPr>
          <w:rFonts w:cstheme="minorHAnsi"/>
        </w:rPr>
      </w:pPr>
      <w:r w:rsidRPr="008F651C">
        <w:rPr>
          <w:rFonts w:cstheme="minorHAnsi"/>
        </w:rPr>
        <w:t>In the event of a tie between providers, packages will be awarded as based upon current inspection rating (where applicable) and/or historical customer feedback.</w:t>
      </w:r>
    </w:p>
    <w:p w:rsidR="006C03FC" w:rsidRPr="008F651C" w:rsidRDefault="006C03FC" w:rsidP="006C03FC">
      <w:pPr>
        <w:ind w:left="720"/>
        <w:jc w:val="both"/>
        <w:rPr>
          <w:rFonts w:cstheme="minorHAnsi"/>
        </w:rPr>
      </w:pPr>
      <w:r w:rsidRPr="008F651C">
        <w:rPr>
          <w:rFonts w:cstheme="minorHAnsi"/>
        </w:rPr>
        <w:t>SCC reserves the right to alter the criteria for awarding packages via this Framework in line with service requir</w:t>
      </w:r>
      <w:r w:rsidR="00401180" w:rsidRPr="008F651C">
        <w:rPr>
          <w:rFonts w:cstheme="minorHAnsi"/>
        </w:rPr>
        <w:t>ements. However, any changes to</w:t>
      </w:r>
      <w:r w:rsidRPr="008F651C">
        <w:rPr>
          <w:rFonts w:cstheme="minorHAnsi"/>
        </w:rPr>
        <w:t xml:space="preserve"> this system will be communicated to all providers in line with fairness, openness and transparency, 28 days in advance of any bid being evaluated in line with any updated evaluation criteria.</w:t>
      </w:r>
    </w:p>
    <w:p w:rsidR="006C03FC" w:rsidRPr="006C03FC" w:rsidRDefault="006C03FC" w:rsidP="006C03FC">
      <w:pPr>
        <w:ind w:firstLine="720"/>
        <w:jc w:val="both"/>
        <w:rPr>
          <w:rFonts w:cstheme="minorHAnsi"/>
        </w:rPr>
      </w:pPr>
      <w:r w:rsidRPr="008F651C">
        <w:rPr>
          <w:rFonts w:cstheme="minorHAnsi"/>
        </w:rPr>
        <w:t xml:space="preserve">*Any provider registered for Lot 5 prior to August 2018 </w:t>
      </w:r>
      <w:r w:rsidRPr="008F651C">
        <w:rPr>
          <w:rFonts w:cstheme="minorHAnsi"/>
          <w:b/>
        </w:rPr>
        <w:t xml:space="preserve">must </w:t>
      </w:r>
      <w:r w:rsidRPr="008F651C">
        <w:rPr>
          <w:rFonts w:cstheme="minorHAnsi"/>
        </w:rPr>
        <w:t>also re-register</w:t>
      </w:r>
    </w:p>
    <w:p w:rsidR="005F3EBD" w:rsidRDefault="006C03FC" w:rsidP="002D42E4">
      <w:pPr>
        <w:jc w:val="both"/>
        <w:rPr>
          <w:rFonts w:ascii="Arial" w:hAnsi="Arial" w:cs="Arial"/>
          <w:b/>
          <w:sz w:val="24"/>
          <w:szCs w:val="24"/>
        </w:rPr>
      </w:pPr>
      <w:r>
        <w:rPr>
          <w:rFonts w:ascii="Arial" w:hAnsi="Arial" w:cs="Arial"/>
          <w:b/>
          <w:sz w:val="24"/>
          <w:szCs w:val="24"/>
        </w:rPr>
        <w:t>3.5</w:t>
      </w:r>
      <w:r w:rsidR="003229DF">
        <w:rPr>
          <w:rFonts w:ascii="Arial" w:hAnsi="Arial" w:cs="Arial"/>
          <w:b/>
          <w:sz w:val="24"/>
          <w:szCs w:val="24"/>
        </w:rPr>
        <w:tab/>
      </w:r>
      <w:r w:rsidR="00747205">
        <w:rPr>
          <w:rFonts w:ascii="Arial" w:hAnsi="Arial" w:cs="Arial"/>
          <w:b/>
          <w:sz w:val="24"/>
          <w:szCs w:val="24"/>
        </w:rPr>
        <w:t>Safeguarding</w:t>
      </w:r>
    </w:p>
    <w:p w:rsidR="00747205" w:rsidRPr="00747205" w:rsidRDefault="00747205" w:rsidP="002D42E4">
      <w:pPr>
        <w:ind w:left="720"/>
        <w:jc w:val="both"/>
        <w:rPr>
          <w:rFonts w:cs="Arial"/>
          <w:szCs w:val="24"/>
        </w:rPr>
      </w:pPr>
      <w:r w:rsidRPr="00747205">
        <w:rPr>
          <w:rFonts w:cs="Arial"/>
          <w:szCs w:val="24"/>
        </w:rPr>
        <w:t xml:space="preserve">It is recognised that the vulnerability of disabled children can lead to: </w:t>
      </w:r>
    </w:p>
    <w:p w:rsidR="00747205" w:rsidRPr="00747205" w:rsidRDefault="00747205" w:rsidP="002D42E4">
      <w:pPr>
        <w:numPr>
          <w:ilvl w:val="1"/>
          <w:numId w:val="18"/>
        </w:numPr>
        <w:jc w:val="both"/>
        <w:rPr>
          <w:rFonts w:cs="Arial"/>
          <w:szCs w:val="24"/>
        </w:rPr>
      </w:pPr>
      <w:r w:rsidRPr="00747205">
        <w:rPr>
          <w:rFonts w:cs="Arial"/>
          <w:szCs w:val="24"/>
        </w:rPr>
        <w:t>Increased likelihood of being abused</w:t>
      </w:r>
    </w:p>
    <w:p w:rsidR="00747205" w:rsidRPr="00747205" w:rsidRDefault="00747205" w:rsidP="002D42E4">
      <w:pPr>
        <w:numPr>
          <w:ilvl w:val="1"/>
          <w:numId w:val="18"/>
        </w:numPr>
        <w:jc w:val="both"/>
        <w:rPr>
          <w:rFonts w:cs="Arial"/>
          <w:szCs w:val="24"/>
        </w:rPr>
      </w:pPr>
      <w:r w:rsidRPr="00747205">
        <w:rPr>
          <w:rFonts w:cs="Arial"/>
          <w:szCs w:val="24"/>
        </w:rPr>
        <w:t>Increased susceptibility to mental health disorders</w:t>
      </w:r>
    </w:p>
    <w:p w:rsidR="00747205" w:rsidRPr="00747205" w:rsidRDefault="00747205" w:rsidP="002D42E4">
      <w:pPr>
        <w:numPr>
          <w:ilvl w:val="1"/>
          <w:numId w:val="18"/>
        </w:numPr>
        <w:jc w:val="both"/>
        <w:rPr>
          <w:rFonts w:cs="Arial"/>
          <w:szCs w:val="24"/>
        </w:rPr>
      </w:pPr>
      <w:r w:rsidRPr="00747205">
        <w:rPr>
          <w:rFonts w:cs="Arial"/>
          <w:szCs w:val="24"/>
        </w:rPr>
        <w:t>Increased risk of being bullied</w:t>
      </w:r>
    </w:p>
    <w:p w:rsidR="00747205" w:rsidRPr="00747205" w:rsidRDefault="00747205" w:rsidP="002D42E4">
      <w:pPr>
        <w:numPr>
          <w:ilvl w:val="1"/>
          <w:numId w:val="18"/>
        </w:numPr>
        <w:jc w:val="both"/>
        <w:rPr>
          <w:rFonts w:cs="Arial"/>
          <w:szCs w:val="24"/>
        </w:rPr>
      </w:pPr>
      <w:r w:rsidRPr="00747205">
        <w:rPr>
          <w:rFonts w:cs="Arial"/>
          <w:szCs w:val="24"/>
        </w:rPr>
        <w:t>Higher family stress levels</w:t>
      </w:r>
    </w:p>
    <w:p w:rsidR="00747205" w:rsidRPr="00747205" w:rsidRDefault="00747205" w:rsidP="002D42E4">
      <w:pPr>
        <w:numPr>
          <w:ilvl w:val="1"/>
          <w:numId w:val="18"/>
        </w:numPr>
        <w:jc w:val="both"/>
        <w:rPr>
          <w:rFonts w:cs="Arial"/>
          <w:szCs w:val="24"/>
        </w:rPr>
      </w:pPr>
      <w:r w:rsidRPr="00747205">
        <w:rPr>
          <w:rFonts w:cs="Arial"/>
          <w:szCs w:val="24"/>
        </w:rPr>
        <w:t>Lower levels of parental wellbeing</w:t>
      </w:r>
    </w:p>
    <w:p w:rsidR="00747205" w:rsidRPr="00747205" w:rsidRDefault="00747205" w:rsidP="002D42E4">
      <w:pPr>
        <w:numPr>
          <w:ilvl w:val="1"/>
          <w:numId w:val="18"/>
        </w:numPr>
        <w:jc w:val="both"/>
        <w:rPr>
          <w:rFonts w:cs="Arial"/>
          <w:szCs w:val="24"/>
        </w:rPr>
      </w:pPr>
      <w:r w:rsidRPr="00747205">
        <w:rPr>
          <w:rFonts w:cs="Arial"/>
          <w:szCs w:val="24"/>
        </w:rPr>
        <w:t>More family poverty</w:t>
      </w:r>
    </w:p>
    <w:p w:rsidR="00747205" w:rsidRPr="00747205" w:rsidRDefault="00747205" w:rsidP="002D42E4">
      <w:pPr>
        <w:ind w:left="720"/>
        <w:jc w:val="both"/>
        <w:rPr>
          <w:rFonts w:cs="Arial"/>
          <w:szCs w:val="24"/>
        </w:rPr>
      </w:pPr>
      <w:r w:rsidRPr="00747205">
        <w:rPr>
          <w:rFonts w:cs="Arial"/>
          <w:szCs w:val="24"/>
        </w:rPr>
        <w:t xml:space="preserve">All Providers will have a robust policy and procedure in place to ensure that the welfare of children and young people is promoted and that they are protected from harm, in accordance with the South West Child Protection Policies and Procedures. In addition, the provider will have a lead professional for safeguarding children who will ensure that there is </w:t>
      </w:r>
      <w:r w:rsidR="00AD3B8A" w:rsidRPr="00747205">
        <w:rPr>
          <w:rFonts w:cs="Arial"/>
          <w:szCs w:val="24"/>
        </w:rPr>
        <w:t xml:space="preserve">representation </w:t>
      </w:r>
      <w:r w:rsidR="00AD3B8A" w:rsidRPr="00747205">
        <w:rPr>
          <w:rFonts w:cs="Arial"/>
          <w:szCs w:val="24"/>
        </w:rPr>
        <w:lastRenderedPageBreak/>
        <w:t>and</w:t>
      </w:r>
      <w:r w:rsidRPr="00747205">
        <w:rPr>
          <w:rFonts w:cs="Arial"/>
          <w:szCs w:val="24"/>
        </w:rPr>
        <w:t>/or clear links to the Somerset Safeguarding Children Board, and will participate in serious case reviews as set out in Chapter 8 of Working Together to Safeguard Children 2010, as required.  Providers will ensure that all their staff are trained in their safeguarding children policy and practice as detailed below.</w:t>
      </w:r>
    </w:p>
    <w:p w:rsidR="00747205" w:rsidRPr="00747205" w:rsidRDefault="00747205" w:rsidP="002D42E4">
      <w:pPr>
        <w:ind w:left="720"/>
        <w:jc w:val="both"/>
        <w:rPr>
          <w:rFonts w:cs="Arial"/>
          <w:szCs w:val="24"/>
        </w:rPr>
      </w:pPr>
      <w:r w:rsidRPr="00747205">
        <w:rPr>
          <w:rFonts w:cs="Arial"/>
          <w:szCs w:val="24"/>
        </w:rPr>
        <w:t>Providers will ensure that all staff working directly with children and young people, parents/carers and families are:</w:t>
      </w:r>
    </w:p>
    <w:p w:rsidR="00747205" w:rsidRPr="00747205" w:rsidRDefault="00747205" w:rsidP="002D42E4">
      <w:pPr>
        <w:numPr>
          <w:ilvl w:val="0"/>
          <w:numId w:val="19"/>
        </w:numPr>
        <w:jc w:val="both"/>
        <w:rPr>
          <w:rFonts w:cs="Arial"/>
          <w:szCs w:val="24"/>
        </w:rPr>
      </w:pPr>
      <w:r w:rsidRPr="00747205">
        <w:rPr>
          <w:rFonts w:cs="Arial"/>
          <w:szCs w:val="24"/>
        </w:rPr>
        <w:t>Subject to enhanced DBS checks (including Protection of Children Act and Protection of Adults list checks);</w:t>
      </w:r>
    </w:p>
    <w:p w:rsidR="00747205" w:rsidRPr="00747205" w:rsidRDefault="00747205" w:rsidP="002D42E4">
      <w:pPr>
        <w:numPr>
          <w:ilvl w:val="0"/>
          <w:numId w:val="19"/>
        </w:numPr>
        <w:jc w:val="both"/>
        <w:rPr>
          <w:rFonts w:cs="Arial"/>
          <w:szCs w:val="24"/>
        </w:rPr>
      </w:pPr>
      <w:r w:rsidRPr="00747205">
        <w:rPr>
          <w:rFonts w:cs="Arial"/>
          <w:szCs w:val="24"/>
        </w:rPr>
        <w:t>Asked to disclose any convictions exempt under the Rehabilitation of Offenders Act (1974)</w:t>
      </w:r>
    </w:p>
    <w:p w:rsidR="00747205" w:rsidRPr="00747205" w:rsidRDefault="00747205" w:rsidP="002D42E4">
      <w:pPr>
        <w:numPr>
          <w:ilvl w:val="0"/>
          <w:numId w:val="19"/>
        </w:numPr>
        <w:jc w:val="both"/>
        <w:rPr>
          <w:rFonts w:cs="Arial"/>
          <w:szCs w:val="24"/>
        </w:rPr>
      </w:pPr>
      <w:r w:rsidRPr="00747205">
        <w:rPr>
          <w:rFonts w:cs="Arial"/>
          <w:szCs w:val="24"/>
        </w:rPr>
        <w:t>Required to provide confirmation of their identity;</w:t>
      </w:r>
    </w:p>
    <w:p w:rsidR="00747205" w:rsidRPr="00747205" w:rsidRDefault="00747205" w:rsidP="002D42E4">
      <w:pPr>
        <w:numPr>
          <w:ilvl w:val="0"/>
          <w:numId w:val="19"/>
        </w:numPr>
        <w:jc w:val="both"/>
        <w:rPr>
          <w:rFonts w:cs="Arial"/>
          <w:szCs w:val="24"/>
        </w:rPr>
      </w:pPr>
      <w:r w:rsidRPr="00747205">
        <w:rPr>
          <w:rFonts w:cs="Arial"/>
          <w:szCs w:val="24"/>
        </w:rPr>
        <w:t>Required to provide proof of any qualification they hold.</w:t>
      </w:r>
    </w:p>
    <w:p w:rsidR="00747205" w:rsidRPr="00747205" w:rsidRDefault="00747205" w:rsidP="002D42E4">
      <w:pPr>
        <w:ind w:left="720"/>
        <w:jc w:val="both"/>
        <w:rPr>
          <w:rFonts w:cs="Arial"/>
          <w:szCs w:val="24"/>
        </w:rPr>
      </w:pPr>
      <w:r w:rsidRPr="00747205">
        <w:rPr>
          <w:rFonts w:cs="Arial"/>
          <w:szCs w:val="24"/>
        </w:rPr>
        <w:t xml:space="preserve">Providers will ensure there are systems in place, which are known and understood by all staff, to promote the safety and welfare of children or young people and to ensure that children and young people are protected from abuse. All staff must know what action to take if they observe, or have reported to them, possible evidence of abuse. </w:t>
      </w:r>
    </w:p>
    <w:p w:rsidR="00747205" w:rsidRPr="00747205" w:rsidRDefault="00747205" w:rsidP="002D42E4">
      <w:pPr>
        <w:ind w:left="720"/>
        <w:jc w:val="both"/>
        <w:rPr>
          <w:rFonts w:cs="Arial"/>
          <w:szCs w:val="24"/>
        </w:rPr>
      </w:pPr>
      <w:r w:rsidRPr="00747205">
        <w:rPr>
          <w:rFonts w:cs="Arial"/>
          <w:szCs w:val="24"/>
        </w:rPr>
        <w:t>Providers shall ensure that all staff and any volunteers are aware of and familiar with the organisation’s child protection policies and know what to do if they observe or suspect that a child is being abused.</w:t>
      </w:r>
    </w:p>
    <w:p w:rsidR="00747205" w:rsidRPr="00747205" w:rsidRDefault="00747205" w:rsidP="002D42E4">
      <w:pPr>
        <w:ind w:left="720"/>
        <w:jc w:val="both"/>
        <w:rPr>
          <w:rFonts w:cs="Arial"/>
          <w:szCs w:val="24"/>
        </w:rPr>
      </w:pPr>
      <w:r w:rsidRPr="00747205">
        <w:rPr>
          <w:rFonts w:cs="Arial"/>
          <w:szCs w:val="24"/>
        </w:rPr>
        <w:t xml:space="preserve">All Provider policies and procedures for responding to any concern for the welfare and safety of children and young people must be compliant with the Somerset Safeguarding Children Board Procedures. </w:t>
      </w:r>
    </w:p>
    <w:p w:rsidR="00747205" w:rsidRPr="00747205" w:rsidRDefault="00747205" w:rsidP="002D42E4">
      <w:pPr>
        <w:ind w:left="360"/>
        <w:jc w:val="both"/>
        <w:rPr>
          <w:rFonts w:cs="Arial"/>
          <w:szCs w:val="24"/>
          <w:lang w:val="en-US"/>
        </w:rPr>
      </w:pPr>
      <w:r w:rsidRPr="00747205">
        <w:rPr>
          <w:rFonts w:cs="Arial"/>
          <w:szCs w:val="24"/>
          <w:lang w:val="en-US"/>
        </w:rPr>
        <w:t>Providers will have in place an incident reporting policy in line with the National Patient Safety Agency National Framework for reporting and learning from serious untoward incidents 2010. All serious untoward incidents (including child protection concerns) should be reported to the service commissioner with 24 hours or the within the next working day. A full investigation will then be agreed and timescales for this.</w:t>
      </w:r>
    </w:p>
    <w:p w:rsidR="00747205" w:rsidRPr="00747205" w:rsidRDefault="00747205" w:rsidP="002D42E4">
      <w:pPr>
        <w:ind w:left="360"/>
        <w:jc w:val="both"/>
        <w:rPr>
          <w:rFonts w:cs="Arial"/>
          <w:szCs w:val="24"/>
        </w:rPr>
      </w:pPr>
      <w:r w:rsidRPr="00747205">
        <w:rPr>
          <w:rFonts w:cs="Arial"/>
          <w:szCs w:val="24"/>
        </w:rPr>
        <w:t xml:space="preserve">Confidentiality will be maintained at all times, providing this is consistent with maintaining the welfare of the child or young person, compatible with the management of any identified child protection issues and does not place the child or young person at risk, in accordance with Caldicott principles / Data Protection requirements. The Service Provider will sign up to the Somerset Children’s Information Sharing Protocol to ensure that information about children and young people is shared appropriately and in a timely way. </w:t>
      </w:r>
    </w:p>
    <w:p w:rsidR="00747205" w:rsidRPr="00747205" w:rsidRDefault="00747205" w:rsidP="002D42E4">
      <w:pPr>
        <w:ind w:left="360"/>
        <w:jc w:val="both"/>
        <w:rPr>
          <w:rFonts w:cs="Arial"/>
          <w:szCs w:val="24"/>
        </w:rPr>
      </w:pPr>
      <w:r w:rsidRPr="00747205">
        <w:rPr>
          <w:rFonts w:cs="Arial"/>
          <w:szCs w:val="24"/>
        </w:rPr>
        <w:t>Providers must ensure that the processing of personal data will have adequate data protection procedures in operation as outlined in the General Data Protection Regulation (</w:t>
      </w:r>
      <w:r w:rsidRPr="00747205">
        <w:rPr>
          <w:rFonts w:cs="Arial"/>
          <w:i/>
          <w:szCs w:val="24"/>
        </w:rPr>
        <w:t>(EU) 2016/679</w:t>
      </w:r>
      <w:r w:rsidRPr="00747205">
        <w:rPr>
          <w:rFonts w:cs="Arial"/>
          <w:szCs w:val="24"/>
        </w:rPr>
        <w:t>) (unless and until the GDPR is no longer directly applicable in the UK) and any national implementing laws, regulations and secondary legislation, as amended or updated from time to time, in the UK and then any successor legislation to the GDPR or the Data Protection Act 1998.</w:t>
      </w:r>
    </w:p>
    <w:p w:rsidR="00747205" w:rsidRPr="00747205" w:rsidRDefault="00747205" w:rsidP="002D42E4">
      <w:pPr>
        <w:ind w:left="360"/>
        <w:jc w:val="both"/>
        <w:rPr>
          <w:rFonts w:cs="Arial"/>
          <w:szCs w:val="24"/>
        </w:rPr>
      </w:pPr>
      <w:r w:rsidRPr="00747205">
        <w:rPr>
          <w:rFonts w:cs="Arial"/>
          <w:szCs w:val="24"/>
        </w:rPr>
        <w:lastRenderedPageBreak/>
        <w:t>Furthermore, the Service Provider policies and procedures must take into account:</w:t>
      </w:r>
    </w:p>
    <w:p w:rsidR="00747205" w:rsidRPr="00747205" w:rsidRDefault="00747205" w:rsidP="002D42E4">
      <w:pPr>
        <w:numPr>
          <w:ilvl w:val="0"/>
          <w:numId w:val="20"/>
        </w:numPr>
        <w:jc w:val="both"/>
        <w:rPr>
          <w:rFonts w:cs="Arial"/>
          <w:szCs w:val="24"/>
        </w:rPr>
      </w:pPr>
      <w:r w:rsidRPr="00747205">
        <w:rPr>
          <w:rFonts w:cs="Arial"/>
          <w:szCs w:val="24"/>
        </w:rPr>
        <w:t xml:space="preserve">Working Together to Safeguard Children A guide to integrated working to safeguard and promote the welfare of children (March 2010); </w:t>
      </w:r>
    </w:p>
    <w:p w:rsidR="00747205" w:rsidRPr="00747205" w:rsidRDefault="00F26768" w:rsidP="002D42E4">
      <w:pPr>
        <w:jc w:val="both"/>
        <w:rPr>
          <w:rFonts w:cs="Arial"/>
          <w:szCs w:val="24"/>
        </w:rPr>
      </w:pPr>
      <w:hyperlink r:id="rId10" w:history="1">
        <w:r w:rsidR="00747205" w:rsidRPr="00747205">
          <w:rPr>
            <w:rStyle w:val="Hyperlink"/>
            <w:rFonts w:cs="Arial"/>
            <w:szCs w:val="24"/>
          </w:rPr>
          <w:t>https://www.education.gov.uk/publications/</w:t>
        </w:r>
      </w:hyperlink>
      <w:r w:rsidR="00747205" w:rsidRPr="00747205">
        <w:rPr>
          <w:rFonts w:cs="Arial"/>
          <w:szCs w:val="24"/>
        </w:rPr>
        <w:t xml:space="preserve"> </w:t>
      </w:r>
    </w:p>
    <w:p w:rsidR="00747205" w:rsidRPr="00747205" w:rsidRDefault="00747205" w:rsidP="002D42E4">
      <w:pPr>
        <w:numPr>
          <w:ilvl w:val="0"/>
          <w:numId w:val="20"/>
        </w:numPr>
        <w:jc w:val="both"/>
        <w:rPr>
          <w:rFonts w:cs="Arial"/>
          <w:szCs w:val="24"/>
        </w:rPr>
      </w:pPr>
      <w:r w:rsidRPr="00747205">
        <w:rPr>
          <w:rFonts w:cs="Arial"/>
          <w:szCs w:val="24"/>
        </w:rPr>
        <w:t>The local information sharing protocol ‘What To Do If You’re Worried A Child Is Being Abused – best practice guidance’ (2006)</w:t>
      </w:r>
    </w:p>
    <w:p w:rsidR="00747205" w:rsidRPr="00747205" w:rsidRDefault="00F26768" w:rsidP="002D42E4">
      <w:pPr>
        <w:jc w:val="both"/>
        <w:rPr>
          <w:rFonts w:cs="Arial"/>
          <w:szCs w:val="24"/>
        </w:rPr>
      </w:pPr>
      <w:hyperlink r:id="rId11" w:history="1">
        <w:r w:rsidR="00747205" w:rsidRPr="00747205">
          <w:rPr>
            <w:rStyle w:val="Hyperlink"/>
            <w:rFonts w:cs="Arial"/>
            <w:szCs w:val="24"/>
          </w:rPr>
          <w:t>http://www.somersetsafeguardingchildrenboard.org.uk/</w:t>
        </w:r>
      </w:hyperlink>
      <w:r w:rsidR="00747205" w:rsidRPr="00747205">
        <w:rPr>
          <w:rFonts w:cs="Arial"/>
          <w:szCs w:val="24"/>
        </w:rPr>
        <w:t xml:space="preserve"> </w:t>
      </w:r>
    </w:p>
    <w:p w:rsidR="00747205" w:rsidRPr="00747205" w:rsidRDefault="00747205" w:rsidP="002D42E4">
      <w:pPr>
        <w:numPr>
          <w:ilvl w:val="0"/>
          <w:numId w:val="20"/>
        </w:numPr>
        <w:jc w:val="both"/>
        <w:rPr>
          <w:rFonts w:cs="Arial"/>
          <w:szCs w:val="24"/>
        </w:rPr>
      </w:pPr>
      <w:r w:rsidRPr="00747205">
        <w:rPr>
          <w:rFonts w:cs="Arial"/>
          <w:szCs w:val="24"/>
        </w:rPr>
        <w:t>Domiciliary Care National Minimum Standards (2000) - Record Keeping</w:t>
      </w:r>
    </w:p>
    <w:p w:rsidR="00747205" w:rsidRPr="00EA42CC" w:rsidRDefault="00F26768" w:rsidP="002D42E4">
      <w:pPr>
        <w:jc w:val="both"/>
        <w:rPr>
          <w:rFonts w:cstheme="minorHAnsi"/>
        </w:rPr>
      </w:pPr>
      <w:hyperlink r:id="rId12" w:history="1">
        <w:r w:rsidR="00747205" w:rsidRPr="00EA42CC">
          <w:rPr>
            <w:rStyle w:val="Hyperlink"/>
            <w:rFonts w:cstheme="minorHAnsi"/>
          </w:rPr>
          <w:t>http://www.age-platform.eu/images/stories/uk_minimumcarestandarts_athome.pdf</w:t>
        </w:r>
      </w:hyperlink>
      <w:r w:rsidR="00747205" w:rsidRPr="00EA42CC">
        <w:rPr>
          <w:rFonts w:cstheme="minorHAnsi"/>
        </w:rPr>
        <w:t xml:space="preserve"> </w:t>
      </w:r>
    </w:p>
    <w:p w:rsidR="00502F19" w:rsidRDefault="00502F19" w:rsidP="002D42E4">
      <w:pPr>
        <w:jc w:val="both"/>
      </w:pPr>
    </w:p>
    <w:p w:rsidR="00A31D77" w:rsidRPr="00D35DE7" w:rsidRDefault="006C03FC" w:rsidP="002D42E4">
      <w:pPr>
        <w:jc w:val="both"/>
        <w:rPr>
          <w:rFonts w:ascii="Arial" w:hAnsi="Arial" w:cs="Arial"/>
          <w:b/>
          <w:sz w:val="24"/>
        </w:rPr>
      </w:pPr>
      <w:r>
        <w:rPr>
          <w:rFonts w:ascii="Arial" w:hAnsi="Arial" w:cs="Arial"/>
          <w:b/>
          <w:sz w:val="24"/>
        </w:rPr>
        <w:t>3.6</w:t>
      </w:r>
      <w:r w:rsidR="00D35DE7" w:rsidRPr="00D35DE7">
        <w:rPr>
          <w:rFonts w:ascii="Arial" w:hAnsi="Arial" w:cs="Arial"/>
          <w:b/>
          <w:sz w:val="24"/>
        </w:rPr>
        <w:tab/>
        <w:t>Quality and Performance Measures</w:t>
      </w:r>
    </w:p>
    <w:p w:rsidR="00D35DE7" w:rsidRDefault="00D35DE7" w:rsidP="002D42E4">
      <w:pPr>
        <w:ind w:left="709" w:firstLine="11"/>
        <w:jc w:val="both"/>
      </w:pPr>
      <w:r w:rsidRPr="00D35DE7">
        <w:t>The Supplier will be required to evidence how the service objectives and outcomes</w:t>
      </w:r>
      <w:r w:rsidR="00747205">
        <w:t xml:space="preserve"> as stated within the Referral Form</w:t>
      </w:r>
      <w:r w:rsidRPr="00D35DE7">
        <w:t xml:space="preserve"> are met.  Specific information will be required as detailed below:</w:t>
      </w:r>
    </w:p>
    <w:p w:rsidR="00D35DE7" w:rsidRDefault="00F77A94" w:rsidP="002D42E4">
      <w:pPr>
        <w:ind w:left="709" w:firstLine="11"/>
        <w:jc w:val="both"/>
        <w:rPr>
          <w:b/>
        </w:rPr>
      </w:pPr>
      <w:r>
        <w:rPr>
          <w:b/>
        </w:rPr>
        <w:t>Activity Measures</w:t>
      </w:r>
    </w:p>
    <w:tbl>
      <w:tblPr>
        <w:tblW w:w="7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1276"/>
        <w:gridCol w:w="1275"/>
        <w:gridCol w:w="1349"/>
        <w:gridCol w:w="1374"/>
      </w:tblGrid>
      <w:tr w:rsidR="00747205" w:rsidRPr="005A36EE" w:rsidTr="00904828">
        <w:trPr>
          <w:jc w:val="center"/>
        </w:trPr>
        <w:tc>
          <w:tcPr>
            <w:tcW w:w="2660" w:type="dxa"/>
          </w:tcPr>
          <w:p w:rsidR="00747205" w:rsidRPr="005A36EE" w:rsidRDefault="00747205" w:rsidP="002D42E4">
            <w:pPr>
              <w:spacing w:after="0" w:line="240" w:lineRule="auto"/>
              <w:jc w:val="both"/>
              <w:rPr>
                <w:rFonts w:eastAsia="Times New Roman" w:cs="Arial"/>
              </w:rPr>
            </w:pPr>
            <w:r w:rsidRPr="005A36EE">
              <w:rPr>
                <w:rFonts w:eastAsia="Times New Roman" w:cs="Arial"/>
              </w:rPr>
              <w:t>Baseline activity</w:t>
            </w:r>
          </w:p>
        </w:tc>
        <w:tc>
          <w:tcPr>
            <w:tcW w:w="1276" w:type="dxa"/>
          </w:tcPr>
          <w:p w:rsidR="00747205" w:rsidRPr="005A36EE" w:rsidRDefault="00747205" w:rsidP="002D42E4">
            <w:pPr>
              <w:spacing w:after="0" w:line="240" w:lineRule="auto"/>
              <w:jc w:val="both"/>
              <w:rPr>
                <w:rFonts w:eastAsia="Times New Roman" w:cs="Arial"/>
              </w:rPr>
            </w:pPr>
            <w:r w:rsidRPr="005A36EE">
              <w:rPr>
                <w:rFonts w:eastAsia="Times New Roman" w:cs="Arial"/>
              </w:rPr>
              <w:t>Quarter 1</w:t>
            </w:r>
          </w:p>
        </w:tc>
        <w:tc>
          <w:tcPr>
            <w:tcW w:w="1275" w:type="dxa"/>
          </w:tcPr>
          <w:p w:rsidR="00747205" w:rsidRPr="005A36EE" w:rsidRDefault="00747205" w:rsidP="002D42E4">
            <w:pPr>
              <w:spacing w:after="0" w:line="240" w:lineRule="auto"/>
              <w:jc w:val="both"/>
              <w:rPr>
                <w:rFonts w:eastAsia="Times New Roman" w:cs="Arial"/>
              </w:rPr>
            </w:pPr>
            <w:r w:rsidRPr="005A36EE">
              <w:rPr>
                <w:rFonts w:eastAsia="Times New Roman" w:cs="Arial"/>
              </w:rPr>
              <w:t xml:space="preserve">Quarter 1 </w:t>
            </w:r>
          </w:p>
        </w:tc>
        <w:tc>
          <w:tcPr>
            <w:tcW w:w="1349" w:type="dxa"/>
          </w:tcPr>
          <w:p w:rsidR="00747205" w:rsidRPr="005A36EE" w:rsidRDefault="00747205" w:rsidP="002D42E4">
            <w:pPr>
              <w:spacing w:after="0" w:line="240" w:lineRule="auto"/>
              <w:jc w:val="both"/>
              <w:rPr>
                <w:rFonts w:eastAsia="Times New Roman" w:cs="Arial"/>
              </w:rPr>
            </w:pPr>
            <w:r w:rsidRPr="005A36EE">
              <w:rPr>
                <w:rFonts w:eastAsia="Times New Roman" w:cs="Arial"/>
              </w:rPr>
              <w:t>Quarter 3</w:t>
            </w:r>
          </w:p>
        </w:tc>
        <w:tc>
          <w:tcPr>
            <w:tcW w:w="1374" w:type="dxa"/>
          </w:tcPr>
          <w:p w:rsidR="00747205" w:rsidRPr="005A36EE" w:rsidRDefault="00747205" w:rsidP="002D42E4">
            <w:pPr>
              <w:spacing w:after="0" w:line="240" w:lineRule="auto"/>
              <w:jc w:val="both"/>
              <w:rPr>
                <w:rFonts w:eastAsia="Times New Roman" w:cs="Arial"/>
              </w:rPr>
            </w:pPr>
            <w:r w:rsidRPr="005A36EE">
              <w:rPr>
                <w:rFonts w:eastAsia="Times New Roman" w:cs="Arial"/>
              </w:rPr>
              <w:t>Quarter 4</w:t>
            </w:r>
          </w:p>
        </w:tc>
      </w:tr>
      <w:tr w:rsidR="00747205" w:rsidRPr="005A36EE" w:rsidTr="00904828">
        <w:trPr>
          <w:jc w:val="center"/>
        </w:trPr>
        <w:tc>
          <w:tcPr>
            <w:tcW w:w="2660" w:type="dxa"/>
          </w:tcPr>
          <w:p w:rsidR="00747205" w:rsidRPr="005A36EE" w:rsidRDefault="00747205" w:rsidP="00C962B2">
            <w:pPr>
              <w:spacing w:after="0" w:line="240" w:lineRule="auto"/>
              <w:rPr>
                <w:rFonts w:eastAsia="Times New Roman" w:cs="Arial"/>
              </w:rPr>
            </w:pPr>
            <w:r w:rsidRPr="005A36EE">
              <w:rPr>
                <w:rFonts w:eastAsia="Times New Roman" w:cs="Arial"/>
              </w:rPr>
              <w:t>Sessions attended</w:t>
            </w:r>
          </w:p>
        </w:tc>
        <w:tc>
          <w:tcPr>
            <w:tcW w:w="1276" w:type="dxa"/>
          </w:tcPr>
          <w:p w:rsidR="00747205" w:rsidRPr="005A36EE" w:rsidRDefault="00747205" w:rsidP="002D42E4">
            <w:pPr>
              <w:spacing w:after="0" w:line="240" w:lineRule="auto"/>
              <w:jc w:val="both"/>
              <w:rPr>
                <w:rFonts w:eastAsia="Times New Roman" w:cs="Arial"/>
              </w:rPr>
            </w:pPr>
          </w:p>
        </w:tc>
        <w:tc>
          <w:tcPr>
            <w:tcW w:w="1275" w:type="dxa"/>
          </w:tcPr>
          <w:p w:rsidR="00747205" w:rsidRPr="005A36EE" w:rsidRDefault="00747205" w:rsidP="002D42E4">
            <w:pPr>
              <w:spacing w:after="0" w:line="240" w:lineRule="auto"/>
              <w:jc w:val="both"/>
              <w:rPr>
                <w:rFonts w:eastAsia="Times New Roman" w:cs="Arial"/>
              </w:rPr>
            </w:pPr>
          </w:p>
        </w:tc>
        <w:tc>
          <w:tcPr>
            <w:tcW w:w="1349" w:type="dxa"/>
          </w:tcPr>
          <w:p w:rsidR="00747205" w:rsidRPr="005A36EE" w:rsidRDefault="00747205" w:rsidP="002D42E4">
            <w:pPr>
              <w:spacing w:after="0" w:line="240" w:lineRule="auto"/>
              <w:jc w:val="both"/>
              <w:rPr>
                <w:rFonts w:eastAsia="Times New Roman" w:cs="Arial"/>
              </w:rPr>
            </w:pPr>
          </w:p>
        </w:tc>
        <w:tc>
          <w:tcPr>
            <w:tcW w:w="1374" w:type="dxa"/>
          </w:tcPr>
          <w:p w:rsidR="00747205" w:rsidRPr="005A36EE" w:rsidRDefault="00747205" w:rsidP="002D42E4">
            <w:pPr>
              <w:spacing w:after="0" w:line="240" w:lineRule="auto"/>
              <w:jc w:val="both"/>
              <w:rPr>
                <w:rFonts w:eastAsia="Times New Roman" w:cs="Arial"/>
              </w:rPr>
            </w:pPr>
          </w:p>
        </w:tc>
      </w:tr>
      <w:tr w:rsidR="00747205" w:rsidRPr="005A36EE" w:rsidTr="00904828">
        <w:trPr>
          <w:jc w:val="center"/>
        </w:trPr>
        <w:tc>
          <w:tcPr>
            <w:tcW w:w="2660" w:type="dxa"/>
          </w:tcPr>
          <w:p w:rsidR="00747205" w:rsidRPr="005A36EE" w:rsidRDefault="00747205" w:rsidP="00C962B2">
            <w:pPr>
              <w:spacing w:after="0" w:line="240" w:lineRule="auto"/>
              <w:rPr>
                <w:rFonts w:eastAsia="Times New Roman" w:cs="Arial"/>
              </w:rPr>
            </w:pPr>
            <w:r w:rsidRPr="005A36EE">
              <w:rPr>
                <w:rFonts w:eastAsia="Times New Roman" w:cs="Arial"/>
              </w:rPr>
              <w:t>Sessions cancelled</w:t>
            </w:r>
          </w:p>
        </w:tc>
        <w:tc>
          <w:tcPr>
            <w:tcW w:w="1276" w:type="dxa"/>
          </w:tcPr>
          <w:p w:rsidR="00747205" w:rsidRPr="005A36EE" w:rsidRDefault="00747205" w:rsidP="002D42E4">
            <w:pPr>
              <w:spacing w:after="0" w:line="240" w:lineRule="auto"/>
              <w:jc w:val="both"/>
              <w:rPr>
                <w:rFonts w:eastAsia="Times New Roman" w:cs="Arial"/>
              </w:rPr>
            </w:pPr>
          </w:p>
        </w:tc>
        <w:tc>
          <w:tcPr>
            <w:tcW w:w="1275" w:type="dxa"/>
          </w:tcPr>
          <w:p w:rsidR="00747205" w:rsidRPr="005A36EE" w:rsidRDefault="00747205" w:rsidP="002D42E4">
            <w:pPr>
              <w:spacing w:after="0" w:line="240" w:lineRule="auto"/>
              <w:jc w:val="both"/>
              <w:rPr>
                <w:rFonts w:eastAsia="Times New Roman" w:cs="Arial"/>
              </w:rPr>
            </w:pPr>
          </w:p>
        </w:tc>
        <w:tc>
          <w:tcPr>
            <w:tcW w:w="1349" w:type="dxa"/>
          </w:tcPr>
          <w:p w:rsidR="00747205" w:rsidRPr="005A36EE" w:rsidRDefault="00747205" w:rsidP="002D42E4">
            <w:pPr>
              <w:spacing w:after="0" w:line="240" w:lineRule="auto"/>
              <w:jc w:val="both"/>
              <w:rPr>
                <w:rFonts w:eastAsia="Times New Roman" w:cs="Arial"/>
              </w:rPr>
            </w:pPr>
          </w:p>
        </w:tc>
        <w:tc>
          <w:tcPr>
            <w:tcW w:w="1374" w:type="dxa"/>
          </w:tcPr>
          <w:p w:rsidR="00747205" w:rsidRPr="005A36EE" w:rsidRDefault="00747205" w:rsidP="002D42E4">
            <w:pPr>
              <w:spacing w:after="0" w:line="240" w:lineRule="auto"/>
              <w:jc w:val="both"/>
              <w:rPr>
                <w:rFonts w:eastAsia="Times New Roman" w:cs="Arial"/>
              </w:rPr>
            </w:pPr>
          </w:p>
        </w:tc>
      </w:tr>
      <w:tr w:rsidR="00747205" w:rsidRPr="005A36EE" w:rsidTr="00904828">
        <w:trPr>
          <w:jc w:val="center"/>
        </w:trPr>
        <w:tc>
          <w:tcPr>
            <w:tcW w:w="2660" w:type="dxa"/>
          </w:tcPr>
          <w:p w:rsidR="00747205" w:rsidRPr="005A36EE" w:rsidRDefault="00F77A94" w:rsidP="00C962B2">
            <w:pPr>
              <w:spacing w:after="0" w:line="240" w:lineRule="auto"/>
              <w:rPr>
                <w:rFonts w:eastAsia="Times New Roman" w:cs="Arial"/>
              </w:rPr>
            </w:pPr>
            <w:r w:rsidRPr="005A36EE">
              <w:rPr>
                <w:rFonts w:eastAsia="Times New Roman" w:cs="Arial"/>
              </w:rPr>
              <w:t>Hours delivered</w:t>
            </w:r>
          </w:p>
        </w:tc>
        <w:tc>
          <w:tcPr>
            <w:tcW w:w="1276" w:type="dxa"/>
          </w:tcPr>
          <w:p w:rsidR="00747205" w:rsidRPr="005A36EE" w:rsidRDefault="00747205" w:rsidP="002D42E4">
            <w:pPr>
              <w:spacing w:after="0" w:line="240" w:lineRule="auto"/>
              <w:jc w:val="both"/>
              <w:rPr>
                <w:rFonts w:eastAsia="Times New Roman" w:cs="Arial"/>
              </w:rPr>
            </w:pPr>
          </w:p>
        </w:tc>
        <w:tc>
          <w:tcPr>
            <w:tcW w:w="1275" w:type="dxa"/>
          </w:tcPr>
          <w:p w:rsidR="00747205" w:rsidRPr="005A36EE" w:rsidRDefault="00747205" w:rsidP="002D42E4">
            <w:pPr>
              <w:spacing w:after="0" w:line="240" w:lineRule="auto"/>
              <w:jc w:val="both"/>
              <w:rPr>
                <w:rFonts w:eastAsia="Times New Roman" w:cs="Arial"/>
              </w:rPr>
            </w:pPr>
          </w:p>
        </w:tc>
        <w:tc>
          <w:tcPr>
            <w:tcW w:w="1349" w:type="dxa"/>
          </w:tcPr>
          <w:p w:rsidR="00747205" w:rsidRPr="005A36EE" w:rsidRDefault="00747205" w:rsidP="002D42E4">
            <w:pPr>
              <w:spacing w:after="0" w:line="240" w:lineRule="auto"/>
              <w:jc w:val="both"/>
              <w:rPr>
                <w:rFonts w:eastAsia="Times New Roman" w:cs="Arial"/>
              </w:rPr>
            </w:pPr>
          </w:p>
        </w:tc>
        <w:tc>
          <w:tcPr>
            <w:tcW w:w="1374" w:type="dxa"/>
          </w:tcPr>
          <w:p w:rsidR="00747205" w:rsidRPr="005A36EE" w:rsidRDefault="00747205" w:rsidP="002D42E4">
            <w:pPr>
              <w:spacing w:after="0" w:line="240" w:lineRule="auto"/>
              <w:jc w:val="both"/>
              <w:rPr>
                <w:rFonts w:eastAsia="Times New Roman" w:cs="Arial"/>
              </w:rPr>
            </w:pPr>
          </w:p>
        </w:tc>
      </w:tr>
      <w:tr w:rsidR="00747205" w:rsidRPr="005A36EE" w:rsidTr="00904828">
        <w:trPr>
          <w:jc w:val="center"/>
        </w:trPr>
        <w:tc>
          <w:tcPr>
            <w:tcW w:w="2660" w:type="dxa"/>
          </w:tcPr>
          <w:p w:rsidR="00747205" w:rsidRPr="005A36EE" w:rsidRDefault="00747205" w:rsidP="00C962B2">
            <w:pPr>
              <w:spacing w:after="0" w:line="240" w:lineRule="auto"/>
              <w:rPr>
                <w:rFonts w:eastAsia="Times New Roman" w:cs="Arial"/>
              </w:rPr>
            </w:pPr>
            <w:r w:rsidRPr="005A36EE">
              <w:rPr>
                <w:rFonts w:eastAsia="Times New Roman" w:cs="Arial"/>
              </w:rPr>
              <w:t>Number of active cases at end of reporting period</w:t>
            </w:r>
          </w:p>
        </w:tc>
        <w:tc>
          <w:tcPr>
            <w:tcW w:w="1276" w:type="dxa"/>
          </w:tcPr>
          <w:p w:rsidR="00747205" w:rsidRPr="005A36EE" w:rsidRDefault="00747205" w:rsidP="002D42E4">
            <w:pPr>
              <w:spacing w:after="0" w:line="240" w:lineRule="auto"/>
              <w:jc w:val="both"/>
              <w:rPr>
                <w:rFonts w:eastAsia="Times New Roman" w:cs="Arial"/>
              </w:rPr>
            </w:pPr>
          </w:p>
        </w:tc>
        <w:tc>
          <w:tcPr>
            <w:tcW w:w="1275" w:type="dxa"/>
          </w:tcPr>
          <w:p w:rsidR="00747205" w:rsidRPr="005A36EE" w:rsidRDefault="00747205" w:rsidP="002D42E4">
            <w:pPr>
              <w:spacing w:after="0" w:line="240" w:lineRule="auto"/>
              <w:jc w:val="both"/>
              <w:rPr>
                <w:rFonts w:eastAsia="Times New Roman" w:cs="Arial"/>
              </w:rPr>
            </w:pPr>
          </w:p>
        </w:tc>
        <w:tc>
          <w:tcPr>
            <w:tcW w:w="1349" w:type="dxa"/>
          </w:tcPr>
          <w:p w:rsidR="00747205" w:rsidRPr="005A36EE" w:rsidRDefault="00747205" w:rsidP="002D42E4">
            <w:pPr>
              <w:spacing w:after="0" w:line="240" w:lineRule="auto"/>
              <w:jc w:val="both"/>
              <w:rPr>
                <w:rFonts w:eastAsia="Times New Roman" w:cs="Arial"/>
              </w:rPr>
            </w:pPr>
          </w:p>
        </w:tc>
        <w:tc>
          <w:tcPr>
            <w:tcW w:w="1374" w:type="dxa"/>
          </w:tcPr>
          <w:p w:rsidR="00747205" w:rsidRPr="005A36EE" w:rsidRDefault="00747205" w:rsidP="002D42E4">
            <w:pPr>
              <w:spacing w:after="0" w:line="240" w:lineRule="auto"/>
              <w:jc w:val="both"/>
              <w:rPr>
                <w:rFonts w:eastAsia="Times New Roman" w:cs="Arial"/>
              </w:rPr>
            </w:pPr>
          </w:p>
        </w:tc>
      </w:tr>
      <w:tr w:rsidR="00747205" w:rsidRPr="005A36EE" w:rsidTr="00904828">
        <w:trPr>
          <w:jc w:val="center"/>
        </w:trPr>
        <w:tc>
          <w:tcPr>
            <w:tcW w:w="2660" w:type="dxa"/>
          </w:tcPr>
          <w:p w:rsidR="00747205" w:rsidRPr="005A36EE" w:rsidRDefault="00747205" w:rsidP="00C962B2">
            <w:pPr>
              <w:spacing w:after="0" w:line="240" w:lineRule="auto"/>
              <w:rPr>
                <w:rFonts w:eastAsia="Times New Roman" w:cs="Arial"/>
              </w:rPr>
            </w:pPr>
            <w:r w:rsidRPr="005A36EE">
              <w:rPr>
                <w:rFonts w:eastAsia="Times New Roman" w:cs="Arial"/>
              </w:rPr>
              <w:t>Numbers ceasing Service and reason</w:t>
            </w:r>
          </w:p>
        </w:tc>
        <w:tc>
          <w:tcPr>
            <w:tcW w:w="1276" w:type="dxa"/>
          </w:tcPr>
          <w:p w:rsidR="00747205" w:rsidRPr="005A36EE" w:rsidRDefault="00747205" w:rsidP="002D42E4">
            <w:pPr>
              <w:spacing w:after="0" w:line="240" w:lineRule="auto"/>
              <w:jc w:val="both"/>
              <w:rPr>
                <w:rFonts w:eastAsia="Times New Roman" w:cs="Arial"/>
              </w:rPr>
            </w:pPr>
          </w:p>
        </w:tc>
        <w:tc>
          <w:tcPr>
            <w:tcW w:w="1275" w:type="dxa"/>
          </w:tcPr>
          <w:p w:rsidR="00747205" w:rsidRPr="005A36EE" w:rsidRDefault="00747205" w:rsidP="002D42E4">
            <w:pPr>
              <w:spacing w:after="0" w:line="240" w:lineRule="auto"/>
              <w:jc w:val="both"/>
              <w:rPr>
                <w:rFonts w:eastAsia="Times New Roman" w:cs="Arial"/>
              </w:rPr>
            </w:pPr>
          </w:p>
        </w:tc>
        <w:tc>
          <w:tcPr>
            <w:tcW w:w="1349" w:type="dxa"/>
          </w:tcPr>
          <w:p w:rsidR="00747205" w:rsidRPr="005A36EE" w:rsidRDefault="00747205" w:rsidP="002D42E4">
            <w:pPr>
              <w:spacing w:after="0" w:line="240" w:lineRule="auto"/>
              <w:jc w:val="both"/>
              <w:rPr>
                <w:rFonts w:eastAsia="Times New Roman" w:cs="Arial"/>
              </w:rPr>
            </w:pPr>
          </w:p>
        </w:tc>
        <w:tc>
          <w:tcPr>
            <w:tcW w:w="1374" w:type="dxa"/>
          </w:tcPr>
          <w:p w:rsidR="00747205" w:rsidRPr="005A36EE" w:rsidRDefault="00747205" w:rsidP="002D42E4">
            <w:pPr>
              <w:spacing w:after="0" w:line="240" w:lineRule="auto"/>
              <w:jc w:val="both"/>
              <w:rPr>
                <w:rFonts w:eastAsia="Times New Roman" w:cs="Arial"/>
              </w:rPr>
            </w:pPr>
          </w:p>
        </w:tc>
      </w:tr>
      <w:tr w:rsidR="00747205" w:rsidRPr="005A36EE" w:rsidTr="00904828">
        <w:trPr>
          <w:jc w:val="center"/>
        </w:trPr>
        <w:tc>
          <w:tcPr>
            <w:tcW w:w="2660" w:type="dxa"/>
          </w:tcPr>
          <w:p w:rsidR="00747205" w:rsidRPr="005A36EE" w:rsidRDefault="00C962B2" w:rsidP="00C962B2">
            <w:pPr>
              <w:spacing w:after="0" w:line="240" w:lineRule="auto"/>
              <w:rPr>
                <w:rFonts w:eastAsia="Times New Roman" w:cs="Arial"/>
              </w:rPr>
            </w:pPr>
            <w:r w:rsidRPr="005A36EE">
              <w:rPr>
                <w:rFonts w:eastAsia="Times New Roman" w:cs="Arial"/>
              </w:rPr>
              <w:t>Any serious/</w:t>
            </w:r>
            <w:r w:rsidR="00747205" w:rsidRPr="005A36EE">
              <w:rPr>
                <w:rFonts w:eastAsia="Times New Roman" w:cs="Arial"/>
              </w:rPr>
              <w:t xml:space="preserve"> untoward incidents, including child protection incidents</w:t>
            </w:r>
          </w:p>
        </w:tc>
        <w:tc>
          <w:tcPr>
            <w:tcW w:w="1276" w:type="dxa"/>
          </w:tcPr>
          <w:p w:rsidR="00747205" w:rsidRPr="005A36EE" w:rsidRDefault="00747205" w:rsidP="002D42E4">
            <w:pPr>
              <w:spacing w:after="0" w:line="240" w:lineRule="auto"/>
              <w:jc w:val="both"/>
              <w:rPr>
                <w:rFonts w:eastAsia="Times New Roman" w:cs="Arial"/>
                <w:color w:val="FF0000"/>
              </w:rPr>
            </w:pPr>
          </w:p>
        </w:tc>
        <w:tc>
          <w:tcPr>
            <w:tcW w:w="1275" w:type="dxa"/>
          </w:tcPr>
          <w:p w:rsidR="00747205" w:rsidRPr="005A36EE" w:rsidRDefault="00747205" w:rsidP="002D42E4">
            <w:pPr>
              <w:spacing w:after="0" w:line="240" w:lineRule="auto"/>
              <w:jc w:val="both"/>
              <w:rPr>
                <w:rFonts w:eastAsia="Times New Roman" w:cs="Arial"/>
                <w:color w:val="FF0000"/>
              </w:rPr>
            </w:pPr>
          </w:p>
        </w:tc>
        <w:tc>
          <w:tcPr>
            <w:tcW w:w="1349" w:type="dxa"/>
          </w:tcPr>
          <w:p w:rsidR="00747205" w:rsidRPr="005A36EE" w:rsidRDefault="00747205" w:rsidP="002D42E4">
            <w:pPr>
              <w:spacing w:after="0" w:line="240" w:lineRule="auto"/>
              <w:jc w:val="both"/>
              <w:rPr>
                <w:rFonts w:eastAsia="Times New Roman" w:cs="Arial"/>
                <w:color w:val="FF0000"/>
              </w:rPr>
            </w:pPr>
          </w:p>
        </w:tc>
        <w:tc>
          <w:tcPr>
            <w:tcW w:w="1374" w:type="dxa"/>
          </w:tcPr>
          <w:p w:rsidR="00747205" w:rsidRPr="005A36EE" w:rsidRDefault="00747205" w:rsidP="002D42E4">
            <w:pPr>
              <w:spacing w:after="0" w:line="240" w:lineRule="auto"/>
              <w:jc w:val="both"/>
              <w:rPr>
                <w:rFonts w:eastAsia="Times New Roman" w:cs="Arial"/>
                <w:color w:val="FF0000"/>
              </w:rPr>
            </w:pPr>
          </w:p>
        </w:tc>
      </w:tr>
      <w:tr w:rsidR="00747205" w:rsidRPr="005A36EE" w:rsidTr="00904828">
        <w:trPr>
          <w:jc w:val="center"/>
        </w:trPr>
        <w:tc>
          <w:tcPr>
            <w:tcW w:w="2660" w:type="dxa"/>
          </w:tcPr>
          <w:p w:rsidR="00747205" w:rsidRPr="005A36EE" w:rsidRDefault="00C962B2" w:rsidP="00C962B2">
            <w:pPr>
              <w:spacing w:after="0" w:line="240" w:lineRule="auto"/>
              <w:rPr>
                <w:rFonts w:eastAsia="Times New Roman" w:cs="Arial"/>
              </w:rPr>
            </w:pPr>
            <w:r w:rsidRPr="005A36EE">
              <w:rPr>
                <w:rFonts w:eastAsia="Times New Roman" w:cs="Arial"/>
              </w:rPr>
              <w:t xml:space="preserve">All </w:t>
            </w:r>
            <w:r w:rsidR="00747205" w:rsidRPr="005A36EE">
              <w:rPr>
                <w:rFonts w:eastAsia="Times New Roman" w:cs="Arial"/>
              </w:rPr>
              <w:t>Complaints and lessons learned for improvement</w:t>
            </w:r>
            <w:r w:rsidR="005548AE">
              <w:rPr>
                <w:rStyle w:val="FootnoteReference"/>
                <w:rFonts w:eastAsia="Times New Roman" w:cs="Arial"/>
              </w:rPr>
              <w:footnoteReference w:id="1"/>
            </w:r>
          </w:p>
        </w:tc>
        <w:tc>
          <w:tcPr>
            <w:tcW w:w="1276" w:type="dxa"/>
          </w:tcPr>
          <w:p w:rsidR="00747205" w:rsidRPr="005A36EE" w:rsidRDefault="00747205" w:rsidP="002D42E4">
            <w:pPr>
              <w:spacing w:after="0" w:line="240" w:lineRule="auto"/>
              <w:jc w:val="both"/>
              <w:rPr>
                <w:rFonts w:eastAsia="Times New Roman" w:cs="Arial"/>
                <w:color w:val="FF0000"/>
              </w:rPr>
            </w:pPr>
          </w:p>
        </w:tc>
        <w:tc>
          <w:tcPr>
            <w:tcW w:w="1275" w:type="dxa"/>
          </w:tcPr>
          <w:p w:rsidR="00747205" w:rsidRPr="005A36EE" w:rsidRDefault="00747205" w:rsidP="002D42E4">
            <w:pPr>
              <w:spacing w:after="0" w:line="240" w:lineRule="auto"/>
              <w:jc w:val="both"/>
              <w:rPr>
                <w:rFonts w:eastAsia="Times New Roman" w:cs="Arial"/>
                <w:color w:val="FF0000"/>
              </w:rPr>
            </w:pPr>
          </w:p>
        </w:tc>
        <w:tc>
          <w:tcPr>
            <w:tcW w:w="1349" w:type="dxa"/>
          </w:tcPr>
          <w:p w:rsidR="00747205" w:rsidRPr="005A36EE" w:rsidRDefault="00747205" w:rsidP="002D42E4">
            <w:pPr>
              <w:spacing w:after="0" w:line="240" w:lineRule="auto"/>
              <w:jc w:val="both"/>
              <w:rPr>
                <w:rFonts w:eastAsia="Times New Roman" w:cs="Arial"/>
                <w:color w:val="FF0000"/>
              </w:rPr>
            </w:pPr>
          </w:p>
        </w:tc>
        <w:tc>
          <w:tcPr>
            <w:tcW w:w="1374" w:type="dxa"/>
          </w:tcPr>
          <w:p w:rsidR="00747205" w:rsidRPr="005A36EE" w:rsidRDefault="00747205" w:rsidP="002D42E4">
            <w:pPr>
              <w:spacing w:after="0" w:line="240" w:lineRule="auto"/>
              <w:jc w:val="both"/>
              <w:rPr>
                <w:rFonts w:eastAsia="Times New Roman" w:cs="Arial"/>
                <w:color w:val="FF0000"/>
              </w:rPr>
            </w:pPr>
          </w:p>
        </w:tc>
      </w:tr>
    </w:tbl>
    <w:p w:rsidR="00041612" w:rsidRPr="005A36EE" w:rsidRDefault="00041612" w:rsidP="002D42E4">
      <w:pPr>
        <w:jc w:val="both"/>
      </w:pPr>
    </w:p>
    <w:p w:rsidR="00A31D77" w:rsidRPr="005A36EE" w:rsidRDefault="00B023F3" w:rsidP="002D42E4">
      <w:pPr>
        <w:ind w:left="709" w:firstLine="11"/>
        <w:jc w:val="both"/>
        <w:rPr>
          <w:b/>
        </w:rPr>
      </w:pPr>
      <w:r w:rsidRPr="005A36EE">
        <w:rPr>
          <w:b/>
        </w:rPr>
        <w:t xml:space="preserve">Evidence of the </w:t>
      </w:r>
      <w:r w:rsidR="00D4177F" w:rsidRPr="005A36EE">
        <w:rPr>
          <w:b/>
        </w:rPr>
        <w:t>Delivery of Outcomes</w:t>
      </w:r>
    </w:p>
    <w:tbl>
      <w:tblPr>
        <w:tblW w:w="789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3"/>
      </w:tblGrid>
      <w:tr w:rsidR="00B023F3" w:rsidRPr="005A36EE" w:rsidTr="00B023F3">
        <w:trPr>
          <w:cantSplit/>
        </w:trPr>
        <w:tc>
          <w:tcPr>
            <w:tcW w:w="7893" w:type="dxa"/>
            <w:tcBorders>
              <w:left w:val="single" w:sz="4" w:space="0" w:color="auto"/>
            </w:tcBorders>
          </w:tcPr>
          <w:p w:rsidR="00B023F3" w:rsidRPr="005A36EE" w:rsidRDefault="00B023F3" w:rsidP="004C75CD">
            <w:pPr>
              <w:ind w:firstLine="11"/>
              <w:jc w:val="both"/>
            </w:pPr>
            <w:r w:rsidRPr="005A36EE">
              <w:t>How care and support delivered demonstrate</w:t>
            </w:r>
            <w:r w:rsidR="00E2138C" w:rsidRPr="005A36EE">
              <w:t>s</w:t>
            </w:r>
            <w:r w:rsidRPr="005A36EE">
              <w:t xml:space="preserve"> </w:t>
            </w:r>
            <w:r w:rsidR="004C75CD" w:rsidRPr="005A36EE">
              <w:t>that the assessed health and social care needs are adequately met.</w:t>
            </w:r>
          </w:p>
        </w:tc>
      </w:tr>
      <w:tr w:rsidR="00B023F3" w:rsidRPr="005A36EE" w:rsidTr="00B023F3">
        <w:trPr>
          <w:cantSplit/>
        </w:trPr>
        <w:tc>
          <w:tcPr>
            <w:tcW w:w="7893" w:type="dxa"/>
            <w:tcBorders>
              <w:left w:val="single" w:sz="4" w:space="0" w:color="auto"/>
            </w:tcBorders>
          </w:tcPr>
          <w:p w:rsidR="00B023F3" w:rsidRPr="005A36EE" w:rsidRDefault="00B023F3" w:rsidP="002D42E4">
            <w:pPr>
              <w:ind w:firstLine="11"/>
              <w:jc w:val="both"/>
            </w:pPr>
            <w:r w:rsidRPr="005A36EE">
              <w:lastRenderedPageBreak/>
              <w:t xml:space="preserve">Recorded logs and information (including observations) detailing how service users have had their care and support needs met, and what improvements/difference this has made to the child/young person and their families. </w:t>
            </w:r>
          </w:p>
        </w:tc>
      </w:tr>
      <w:tr w:rsidR="00B023F3" w:rsidRPr="00D4177F" w:rsidTr="00B023F3">
        <w:trPr>
          <w:cantSplit/>
        </w:trPr>
        <w:tc>
          <w:tcPr>
            <w:tcW w:w="7893" w:type="dxa"/>
            <w:tcBorders>
              <w:left w:val="single" w:sz="4" w:space="0" w:color="auto"/>
            </w:tcBorders>
          </w:tcPr>
          <w:p w:rsidR="00B023F3" w:rsidRPr="00D4177F" w:rsidRDefault="00E2138C" w:rsidP="002D42E4">
            <w:pPr>
              <w:ind w:firstLine="11"/>
              <w:jc w:val="both"/>
            </w:pPr>
            <w:r w:rsidRPr="005A36EE">
              <w:t>All training and development undertaken by staff involved in the direct delivery of care and support packages.</w:t>
            </w:r>
          </w:p>
        </w:tc>
      </w:tr>
    </w:tbl>
    <w:p w:rsidR="00A31D77" w:rsidRDefault="00A31D77" w:rsidP="002D42E4">
      <w:pPr>
        <w:jc w:val="both"/>
      </w:pPr>
    </w:p>
    <w:p w:rsidR="0074601B" w:rsidRPr="0074601B" w:rsidRDefault="006C03FC" w:rsidP="002D42E4">
      <w:pPr>
        <w:jc w:val="both"/>
        <w:rPr>
          <w:rFonts w:ascii="Arial" w:hAnsi="Arial" w:cs="Arial"/>
          <w:b/>
          <w:sz w:val="24"/>
          <w:szCs w:val="24"/>
        </w:rPr>
      </w:pPr>
      <w:r>
        <w:rPr>
          <w:rFonts w:ascii="Arial" w:hAnsi="Arial" w:cs="Arial"/>
          <w:b/>
          <w:sz w:val="24"/>
          <w:szCs w:val="24"/>
        </w:rPr>
        <w:t>3.7</w:t>
      </w:r>
      <w:r w:rsidR="0023131B">
        <w:rPr>
          <w:rFonts w:ascii="Arial" w:hAnsi="Arial" w:cs="Arial"/>
          <w:b/>
          <w:sz w:val="24"/>
          <w:szCs w:val="24"/>
        </w:rPr>
        <w:tab/>
      </w:r>
      <w:r w:rsidR="007A1DEB" w:rsidRPr="0074601B">
        <w:rPr>
          <w:rFonts w:ascii="Arial" w:hAnsi="Arial" w:cs="Arial"/>
          <w:b/>
          <w:sz w:val="24"/>
          <w:szCs w:val="24"/>
        </w:rPr>
        <w:t>Contract Monitoring</w:t>
      </w:r>
    </w:p>
    <w:p w:rsidR="00C34A81" w:rsidRDefault="00AD044B" w:rsidP="002D42E4">
      <w:pPr>
        <w:ind w:left="720"/>
        <w:jc w:val="both"/>
      </w:pPr>
      <w:r>
        <w:t>All Individual Care Package</w:t>
      </w:r>
      <w:r w:rsidR="00F51FA9" w:rsidRPr="00F51FA9">
        <w:t xml:space="preserve"> contract</w:t>
      </w:r>
      <w:r>
        <w:t>s</w:t>
      </w:r>
      <w:r w:rsidR="00F51FA9" w:rsidRPr="00F51FA9">
        <w:t xml:space="preserve"> </w:t>
      </w:r>
      <w:r w:rsidR="00F51FA9" w:rsidRPr="005A36EE">
        <w:t xml:space="preserve">will be monitored </w:t>
      </w:r>
      <w:r w:rsidR="001A3419" w:rsidRPr="005A36EE">
        <w:t xml:space="preserve">by the child or young person’s Social Worker </w:t>
      </w:r>
      <w:r w:rsidR="00F51FA9" w:rsidRPr="005A36EE">
        <w:t xml:space="preserve">on a </w:t>
      </w:r>
      <w:r w:rsidR="00D4177F" w:rsidRPr="005A36EE">
        <w:t>quarterly basis</w:t>
      </w:r>
      <w:r>
        <w:t xml:space="preserve"> and monitoring will be based on the information submitted against the criteria above and out</w:t>
      </w:r>
      <w:r w:rsidR="00AE1B06">
        <w:t>comes identified in the Package Request Form</w:t>
      </w:r>
      <w:r w:rsidR="00D4177F">
        <w:t xml:space="preserve">. </w:t>
      </w:r>
      <w:r w:rsidR="00C34A81">
        <w:t xml:space="preserve">Any concerns or issues will be reported to the monthly </w:t>
      </w:r>
      <w:r w:rsidR="00C34A81" w:rsidRPr="00C34A81">
        <w:t>Somerset Children’s C</w:t>
      </w:r>
      <w:r w:rsidR="00026DB9">
        <w:t>ontinuing</w:t>
      </w:r>
      <w:r w:rsidR="00C34A81" w:rsidRPr="00C34A81">
        <w:t xml:space="preserve"> Care  </w:t>
      </w:r>
      <w:r w:rsidR="00026DB9">
        <w:t>P</w:t>
      </w:r>
      <w:r w:rsidR="00C34A81" w:rsidRPr="00C34A81">
        <w:t>anel</w:t>
      </w:r>
      <w:r w:rsidR="00C34A81">
        <w:t xml:space="preserve"> or Operational Leads sooner if urgent.</w:t>
      </w:r>
      <w:r w:rsidR="004C75CD">
        <w:t xml:space="preserve"> Any care provision that is also funded by the CCG through Lot 5 will have the oversight of a Community Children’s Nurse (CCN).</w:t>
      </w:r>
    </w:p>
    <w:p w:rsidR="007A1DEB" w:rsidRDefault="00E65E0C" w:rsidP="002D42E4">
      <w:pPr>
        <w:ind w:left="720"/>
        <w:jc w:val="both"/>
      </w:pPr>
      <w:r>
        <w:t>Additionally,</w:t>
      </w:r>
      <w:r w:rsidR="00D4177F">
        <w:t xml:space="preserve"> the Supplier is expected to</w:t>
      </w:r>
      <w:r w:rsidR="00F77A94">
        <w:t xml:space="preserve"> respond to any request for information by Somerset County Council and/or Somerset Clinical Commissioning Group as required. </w:t>
      </w:r>
    </w:p>
    <w:p w:rsidR="0023131B" w:rsidRDefault="0023131B" w:rsidP="002D42E4">
      <w:pPr>
        <w:ind w:left="720"/>
        <w:jc w:val="both"/>
      </w:pPr>
      <w:r w:rsidRPr="0023131B">
        <w:t>Robust monitoring of the delivery of both the service objectives and outcomes will be used to evaluate the</w:t>
      </w:r>
      <w:r w:rsidR="00F77A94">
        <w:t xml:space="preserve"> effectiveness of the Services delivered</w:t>
      </w:r>
      <w:r w:rsidRPr="0023131B">
        <w:t>.  The views of the Service Us</w:t>
      </w:r>
      <w:r w:rsidR="00F77A94">
        <w:t>ers, Social Workers and Professionals working with the families</w:t>
      </w:r>
      <w:r w:rsidRPr="0023131B">
        <w:t xml:space="preserve"> will be sought.</w:t>
      </w:r>
      <w:r w:rsidR="00C34A81">
        <w:t xml:space="preserve"> Commissioners will review the utilisation and efficacy of Lot 5 on an annual basis.</w:t>
      </w:r>
    </w:p>
    <w:p w:rsidR="003506C4" w:rsidRDefault="003506C4" w:rsidP="00AE1B06"/>
    <w:p w:rsidR="00774A35" w:rsidRDefault="00774A35" w:rsidP="00AE1B06"/>
    <w:p w:rsidR="00393D56" w:rsidRDefault="00393D56" w:rsidP="00AE1B06"/>
    <w:p w:rsidR="00393D56" w:rsidRDefault="00393D56" w:rsidP="00AE1B06"/>
    <w:p w:rsidR="00393D56" w:rsidRDefault="00393D56" w:rsidP="00AE1B06"/>
    <w:p w:rsidR="00393D56" w:rsidRDefault="00393D56" w:rsidP="00AE1B06"/>
    <w:p w:rsidR="00393D56" w:rsidRDefault="00393D56" w:rsidP="00AE1B06"/>
    <w:p w:rsidR="00393D56" w:rsidRDefault="00393D56" w:rsidP="00AE1B06"/>
    <w:p w:rsidR="00393D56" w:rsidRDefault="00393D56" w:rsidP="00AE1B06"/>
    <w:p w:rsidR="00393D56" w:rsidRDefault="00393D56" w:rsidP="00AE1B06"/>
    <w:p w:rsidR="00393D56" w:rsidRDefault="00393D56" w:rsidP="00AE1B06"/>
    <w:p w:rsidR="00393D56" w:rsidRDefault="00393D56" w:rsidP="00AE1B06"/>
    <w:p w:rsidR="0023131B" w:rsidRDefault="0087128D" w:rsidP="009553BB">
      <w:pPr>
        <w:ind w:left="720"/>
        <w:rPr>
          <w:rFonts w:ascii="Arial" w:hAnsi="Arial" w:cs="Arial"/>
          <w:b/>
          <w:sz w:val="24"/>
        </w:rPr>
      </w:pPr>
      <w:r w:rsidRPr="008F651C">
        <w:rPr>
          <w:rFonts w:ascii="Arial" w:hAnsi="Arial" w:cs="Arial"/>
          <w:b/>
          <w:sz w:val="24"/>
        </w:rPr>
        <w:lastRenderedPageBreak/>
        <w:t>Appendix 1: Framework</w:t>
      </w:r>
      <w:r w:rsidR="008A58F2" w:rsidRPr="008F651C">
        <w:rPr>
          <w:rFonts w:ascii="Arial" w:hAnsi="Arial" w:cs="Arial"/>
          <w:b/>
          <w:sz w:val="24"/>
        </w:rPr>
        <w:t xml:space="preserve"> Disabled Children and Young People with Complex Health and Social Care Needs</w:t>
      </w:r>
      <w:r w:rsidRPr="008F651C">
        <w:rPr>
          <w:rFonts w:ascii="Arial" w:hAnsi="Arial" w:cs="Arial"/>
          <w:b/>
          <w:sz w:val="24"/>
        </w:rPr>
        <w:t xml:space="preserve"> Package Request Form</w:t>
      </w:r>
      <w:r w:rsidRPr="008A58F2">
        <w:rPr>
          <w:rFonts w:ascii="Arial" w:hAnsi="Arial" w:cs="Arial"/>
          <w:b/>
          <w:sz w:val="24"/>
        </w:rPr>
        <w:t xml:space="preserve"> </w:t>
      </w:r>
    </w:p>
    <w:p w:rsidR="008A58F2" w:rsidRPr="008A58F2" w:rsidRDefault="008A58F2" w:rsidP="009553BB">
      <w:pPr>
        <w:ind w:left="720"/>
        <w:rPr>
          <w:rFonts w:ascii="Arial" w:hAnsi="Arial" w:cs="Arial"/>
          <w:b/>
          <w:sz w:val="24"/>
        </w:rPr>
      </w:pPr>
    </w:p>
    <w:bookmarkStart w:id="1" w:name="_MON_1595400621"/>
    <w:bookmarkEnd w:id="1"/>
    <w:p w:rsidR="0023131B" w:rsidRDefault="00393D56" w:rsidP="009553BB">
      <w:pPr>
        <w:ind w:left="720"/>
      </w:pPr>
      <w:r>
        <w:object w:dxaOrig="1485"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13" o:title=""/>
          </v:shape>
          <o:OLEObject Type="Embed" ProgID="Word.Document.12" ShapeID="_x0000_i1025" DrawAspect="Icon" ObjectID="_1598960933" r:id="rId14">
            <o:FieldCodes>\s</o:FieldCodes>
          </o:OLEObject>
        </w:object>
      </w:r>
    </w:p>
    <w:p w:rsidR="0023131B" w:rsidRDefault="0023131B" w:rsidP="009553BB">
      <w:pPr>
        <w:ind w:left="720"/>
      </w:pPr>
    </w:p>
    <w:p w:rsidR="0023131B" w:rsidRPr="00F51FA9" w:rsidRDefault="0023131B" w:rsidP="009553BB">
      <w:pPr>
        <w:ind w:left="720"/>
      </w:pPr>
    </w:p>
    <w:sectPr w:rsidR="0023131B" w:rsidRPr="00F51FA9" w:rsidSect="00733721">
      <w:headerReference w:type="default" r:id="rId15"/>
      <w:footerReference w:type="default" r:id="rId16"/>
      <w:head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8D9" w:rsidRDefault="001458D9" w:rsidP="004B7A04">
      <w:pPr>
        <w:spacing w:after="0" w:line="240" w:lineRule="auto"/>
      </w:pPr>
      <w:r>
        <w:separator/>
      </w:r>
    </w:p>
  </w:endnote>
  <w:endnote w:type="continuationSeparator" w:id="0">
    <w:p w:rsidR="001458D9" w:rsidRDefault="001458D9" w:rsidP="004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00097"/>
      <w:docPartObj>
        <w:docPartGallery w:val="Page Numbers (Bottom of Page)"/>
        <w:docPartUnique/>
      </w:docPartObj>
    </w:sdtPr>
    <w:sdtEndPr>
      <w:rPr>
        <w:noProof/>
      </w:rPr>
    </w:sdtEndPr>
    <w:sdtContent>
      <w:p w:rsidR="001458D9" w:rsidRDefault="001458D9">
        <w:pPr>
          <w:pStyle w:val="Footer"/>
          <w:jc w:val="right"/>
        </w:pPr>
        <w:r>
          <w:fldChar w:fldCharType="begin"/>
        </w:r>
        <w:r>
          <w:instrText xml:space="preserve"> PAGE   \* MERGEFORMAT </w:instrText>
        </w:r>
        <w:r>
          <w:fldChar w:fldCharType="separate"/>
        </w:r>
        <w:r w:rsidR="00F33916">
          <w:rPr>
            <w:noProof/>
          </w:rPr>
          <w:t>6</w:t>
        </w:r>
        <w:r>
          <w:rPr>
            <w:noProof/>
          </w:rPr>
          <w:fldChar w:fldCharType="end"/>
        </w:r>
      </w:p>
    </w:sdtContent>
  </w:sdt>
  <w:p w:rsidR="001458D9" w:rsidRDefault="00145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8D9" w:rsidRDefault="001458D9" w:rsidP="004B7A04">
      <w:pPr>
        <w:spacing w:after="0" w:line="240" w:lineRule="auto"/>
      </w:pPr>
      <w:r>
        <w:separator/>
      </w:r>
    </w:p>
  </w:footnote>
  <w:footnote w:type="continuationSeparator" w:id="0">
    <w:p w:rsidR="001458D9" w:rsidRDefault="001458D9" w:rsidP="004B7A04">
      <w:pPr>
        <w:spacing w:after="0" w:line="240" w:lineRule="auto"/>
      </w:pPr>
      <w:r>
        <w:continuationSeparator/>
      </w:r>
    </w:p>
  </w:footnote>
  <w:footnote w:id="1">
    <w:p w:rsidR="001458D9" w:rsidRDefault="001458D9">
      <w:pPr>
        <w:pStyle w:val="FootnoteText"/>
      </w:pPr>
      <w:r>
        <w:rPr>
          <w:rStyle w:val="FootnoteReference"/>
        </w:rPr>
        <w:footnoteRef/>
      </w:r>
      <w:r>
        <w:t xml:space="preserve"> All providers will be expected to provide summary (anonymised) information to Somerset County Council and Somerset Clinical Commissioning Group about any organisational complaints and incidents, not just those relating to clients in receipt of services purchased via this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D9" w:rsidRPr="004B7A04" w:rsidRDefault="001458D9" w:rsidP="004B7A04">
    <w:pPr>
      <w:pStyle w:val="Header"/>
      <w:jc w:val="center"/>
      <w:rPr>
        <w:rFonts w:ascii="Arial" w:hAnsi="Arial" w:cs="Arial"/>
        <w:b/>
        <w:sz w:val="28"/>
        <w:szCs w:val="28"/>
      </w:rPr>
    </w:pPr>
    <w:r w:rsidRPr="004B7A04">
      <w:rPr>
        <w:rFonts w:ascii="Arial" w:hAnsi="Arial" w:cs="Arial"/>
        <w:b/>
        <w:sz w:val="28"/>
        <w:szCs w:val="28"/>
      </w:rPr>
      <w:t>Service Specification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D9" w:rsidRDefault="001458D9" w:rsidP="00D006A2">
    <w:pPr>
      <w:pStyle w:val="Header"/>
      <w:jc w:val="right"/>
    </w:pPr>
    <w:r>
      <w:rPr>
        <w:noProof/>
        <w:lang w:eastAsia="en-GB"/>
      </w:rPr>
      <w:drawing>
        <wp:inline distT="0" distB="0" distL="0" distR="0" wp14:anchorId="24B6F5D6">
          <wp:extent cx="1426845" cy="7073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707390"/>
                  </a:xfrm>
                  <a:prstGeom prst="rect">
                    <a:avLst/>
                  </a:prstGeom>
                  <a:noFill/>
                </pic:spPr>
              </pic:pic>
            </a:graphicData>
          </a:graphic>
        </wp:inline>
      </w:drawing>
    </w:r>
    <w:r>
      <w:rPr>
        <w:noProof/>
        <w:lang w:eastAsia="en-GB"/>
      </w:rPr>
      <w:t xml:space="preserve">      </w:t>
    </w:r>
    <w:r>
      <w:rPr>
        <w:noProof/>
        <w:lang w:eastAsia="en-GB"/>
      </w:rPr>
      <w:drawing>
        <wp:inline distT="0" distB="0" distL="0" distR="0" wp14:anchorId="770098D2" wp14:editId="6CF39930">
          <wp:extent cx="846455" cy="1426210"/>
          <wp:effectExtent l="0" t="0" r="0" b="2540"/>
          <wp:docPr id="5" name="Picture 5" descr="C:\Users\vhearn\AppData\Local\Microsoft\Windows\Temporary Internet Files\Content.IE5\ZI4AXSD3\SCC Logo Strapless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earn\AppData\Local\Microsoft\Windows\Temporary Internet Files\Content.IE5\ZI4AXSD3\SCC Logo Strapless Mediu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6455" cy="1426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1681"/>
    <w:multiLevelType w:val="hybridMultilevel"/>
    <w:tmpl w:val="F768E42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0B9347F2"/>
    <w:multiLevelType w:val="multilevel"/>
    <w:tmpl w:val="0F4E6D0E"/>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C40F98"/>
    <w:multiLevelType w:val="hybridMultilevel"/>
    <w:tmpl w:val="B546B5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74B40"/>
    <w:multiLevelType w:val="hybridMultilevel"/>
    <w:tmpl w:val="28CC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3586A"/>
    <w:multiLevelType w:val="multilevel"/>
    <w:tmpl w:val="410E214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4B7B82"/>
    <w:multiLevelType w:val="hybridMultilevel"/>
    <w:tmpl w:val="105E6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7C1655"/>
    <w:multiLevelType w:val="hybridMultilevel"/>
    <w:tmpl w:val="DF5C65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3430BD"/>
    <w:multiLevelType w:val="multilevel"/>
    <w:tmpl w:val="39EA1B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7A11144"/>
    <w:multiLevelType w:val="hybridMultilevel"/>
    <w:tmpl w:val="1CA06810"/>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8811DFC"/>
    <w:multiLevelType w:val="hybridMultilevel"/>
    <w:tmpl w:val="C3726F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BBB6C14"/>
    <w:multiLevelType w:val="hybridMultilevel"/>
    <w:tmpl w:val="21F61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406FD8"/>
    <w:multiLevelType w:val="hybridMultilevel"/>
    <w:tmpl w:val="16668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FCC6CBD"/>
    <w:multiLevelType w:val="multilevel"/>
    <w:tmpl w:val="04265EC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15:restartNumberingAfterBreak="0">
    <w:nsid w:val="60BD7879"/>
    <w:multiLevelType w:val="multilevel"/>
    <w:tmpl w:val="FD94D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68986E93"/>
    <w:multiLevelType w:val="multilevel"/>
    <w:tmpl w:val="9E384F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EF02D2"/>
    <w:multiLevelType w:val="multilevel"/>
    <w:tmpl w:val="D6E8089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6FFF6811"/>
    <w:multiLevelType w:val="multilevel"/>
    <w:tmpl w:val="294EF0B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8C1C8B"/>
    <w:multiLevelType w:val="multilevel"/>
    <w:tmpl w:val="7910F3E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77211062"/>
    <w:multiLevelType w:val="multilevel"/>
    <w:tmpl w:val="83D03EC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C651176"/>
    <w:multiLevelType w:val="hybridMultilevel"/>
    <w:tmpl w:val="1840B020"/>
    <w:lvl w:ilvl="0" w:tplc="78583FB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D113A1B"/>
    <w:multiLevelType w:val="hybridMultilevel"/>
    <w:tmpl w:val="F7E6F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14"/>
  </w:num>
  <w:num w:numId="4">
    <w:abstractNumId w:val="8"/>
  </w:num>
  <w:num w:numId="5">
    <w:abstractNumId w:val="19"/>
  </w:num>
  <w:num w:numId="6">
    <w:abstractNumId w:val="9"/>
  </w:num>
  <w:num w:numId="7">
    <w:abstractNumId w:val="7"/>
  </w:num>
  <w:num w:numId="8">
    <w:abstractNumId w:val="15"/>
  </w:num>
  <w:num w:numId="9">
    <w:abstractNumId w:val="17"/>
  </w:num>
  <w:num w:numId="10">
    <w:abstractNumId w:val="20"/>
  </w:num>
  <w:num w:numId="11">
    <w:abstractNumId w:val="6"/>
  </w:num>
  <w:num w:numId="12">
    <w:abstractNumId w:val="3"/>
  </w:num>
  <w:num w:numId="13">
    <w:abstractNumId w:val="5"/>
  </w:num>
  <w:num w:numId="14">
    <w:abstractNumId w:val="18"/>
  </w:num>
  <w:num w:numId="15">
    <w:abstractNumId w:val="0"/>
  </w:num>
  <w:num w:numId="16">
    <w:abstractNumId w:val="2"/>
  </w:num>
  <w:num w:numId="17">
    <w:abstractNumId w:val="4"/>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F3"/>
    <w:rsid w:val="00000363"/>
    <w:rsid w:val="00013E63"/>
    <w:rsid w:val="000178F7"/>
    <w:rsid w:val="00026DB9"/>
    <w:rsid w:val="00030C62"/>
    <w:rsid w:val="000334AA"/>
    <w:rsid w:val="00041612"/>
    <w:rsid w:val="00046782"/>
    <w:rsid w:val="00061146"/>
    <w:rsid w:val="000615EF"/>
    <w:rsid w:val="000658DB"/>
    <w:rsid w:val="00072425"/>
    <w:rsid w:val="00072AE9"/>
    <w:rsid w:val="00077640"/>
    <w:rsid w:val="00081DC6"/>
    <w:rsid w:val="00081DFF"/>
    <w:rsid w:val="000873E9"/>
    <w:rsid w:val="000A1B13"/>
    <w:rsid w:val="000A3615"/>
    <w:rsid w:val="000B4459"/>
    <w:rsid w:val="000B5E8F"/>
    <w:rsid w:val="000B6CA6"/>
    <w:rsid w:val="000C0176"/>
    <w:rsid w:val="000C39DD"/>
    <w:rsid w:val="000C65C7"/>
    <w:rsid w:val="000C7854"/>
    <w:rsid w:val="000D5430"/>
    <w:rsid w:val="000D6FDD"/>
    <w:rsid w:val="000D71DD"/>
    <w:rsid w:val="000E10D1"/>
    <w:rsid w:val="000F18D3"/>
    <w:rsid w:val="00107C35"/>
    <w:rsid w:val="00107D3B"/>
    <w:rsid w:val="0011019B"/>
    <w:rsid w:val="001110D5"/>
    <w:rsid w:val="00111DC8"/>
    <w:rsid w:val="001121ED"/>
    <w:rsid w:val="00115416"/>
    <w:rsid w:val="0011767D"/>
    <w:rsid w:val="0012192C"/>
    <w:rsid w:val="00122248"/>
    <w:rsid w:val="00132CE7"/>
    <w:rsid w:val="00142C04"/>
    <w:rsid w:val="0014466E"/>
    <w:rsid w:val="001458D9"/>
    <w:rsid w:val="00156606"/>
    <w:rsid w:val="00164A94"/>
    <w:rsid w:val="00166EAD"/>
    <w:rsid w:val="001710F7"/>
    <w:rsid w:val="001712B5"/>
    <w:rsid w:val="00173DA9"/>
    <w:rsid w:val="00176B9B"/>
    <w:rsid w:val="00181F4C"/>
    <w:rsid w:val="00186475"/>
    <w:rsid w:val="00194CF0"/>
    <w:rsid w:val="001963B6"/>
    <w:rsid w:val="001A3419"/>
    <w:rsid w:val="001A79A9"/>
    <w:rsid w:val="001B3C35"/>
    <w:rsid w:val="001B5633"/>
    <w:rsid w:val="001C0315"/>
    <w:rsid w:val="001D25F3"/>
    <w:rsid w:val="001D61D6"/>
    <w:rsid w:val="001E0A6D"/>
    <w:rsid w:val="001F13FA"/>
    <w:rsid w:val="001F1EFC"/>
    <w:rsid w:val="001F2156"/>
    <w:rsid w:val="001F372F"/>
    <w:rsid w:val="001F7E2A"/>
    <w:rsid w:val="00206A3E"/>
    <w:rsid w:val="002101C6"/>
    <w:rsid w:val="00212758"/>
    <w:rsid w:val="002127AF"/>
    <w:rsid w:val="00215004"/>
    <w:rsid w:val="0023131B"/>
    <w:rsid w:val="0023267E"/>
    <w:rsid w:val="00260DA9"/>
    <w:rsid w:val="00262E9F"/>
    <w:rsid w:val="002823E3"/>
    <w:rsid w:val="00284585"/>
    <w:rsid w:val="002859A9"/>
    <w:rsid w:val="00286FDC"/>
    <w:rsid w:val="0029609C"/>
    <w:rsid w:val="002A7B03"/>
    <w:rsid w:val="002B0DDA"/>
    <w:rsid w:val="002B1ACB"/>
    <w:rsid w:val="002B31C1"/>
    <w:rsid w:val="002B6E42"/>
    <w:rsid w:val="002B796B"/>
    <w:rsid w:val="002C326A"/>
    <w:rsid w:val="002C4FE2"/>
    <w:rsid w:val="002C6495"/>
    <w:rsid w:val="002D42E4"/>
    <w:rsid w:val="002D4FD1"/>
    <w:rsid w:val="002E10DE"/>
    <w:rsid w:val="002E5B5A"/>
    <w:rsid w:val="002F7DA0"/>
    <w:rsid w:val="00300812"/>
    <w:rsid w:val="00303463"/>
    <w:rsid w:val="00306803"/>
    <w:rsid w:val="0031714B"/>
    <w:rsid w:val="003226E7"/>
    <w:rsid w:val="003229DF"/>
    <w:rsid w:val="00325D0A"/>
    <w:rsid w:val="00331938"/>
    <w:rsid w:val="003343B6"/>
    <w:rsid w:val="003506C4"/>
    <w:rsid w:val="003563E7"/>
    <w:rsid w:val="00356E80"/>
    <w:rsid w:val="00356E88"/>
    <w:rsid w:val="00357737"/>
    <w:rsid w:val="0037107E"/>
    <w:rsid w:val="00374AE0"/>
    <w:rsid w:val="00392428"/>
    <w:rsid w:val="00393D56"/>
    <w:rsid w:val="0039485F"/>
    <w:rsid w:val="003A5341"/>
    <w:rsid w:val="003A6542"/>
    <w:rsid w:val="003B0BDC"/>
    <w:rsid w:val="003B5167"/>
    <w:rsid w:val="003B7EF3"/>
    <w:rsid w:val="003C0943"/>
    <w:rsid w:val="003C120A"/>
    <w:rsid w:val="003C2361"/>
    <w:rsid w:val="003C5A51"/>
    <w:rsid w:val="003C6429"/>
    <w:rsid w:val="003D4954"/>
    <w:rsid w:val="003D4A3D"/>
    <w:rsid w:val="003D6249"/>
    <w:rsid w:val="003E7323"/>
    <w:rsid w:val="003E7B5D"/>
    <w:rsid w:val="003F526C"/>
    <w:rsid w:val="00401180"/>
    <w:rsid w:val="004038C7"/>
    <w:rsid w:val="004156E1"/>
    <w:rsid w:val="0042096F"/>
    <w:rsid w:val="00430686"/>
    <w:rsid w:val="00433807"/>
    <w:rsid w:val="004341A7"/>
    <w:rsid w:val="0044131A"/>
    <w:rsid w:val="0044687B"/>
    <w:rsid w:val="004526D0"/>
    <w:rsid w:val="00460F57"/>
    <w:rsid w:val="00463642"/>
    <w:rsid w:val="00466400"/>
    <w:rsid w:val="00467115"/>
    <w:rsid w:val="00480444"/>
    <w:rsid w:val="00481AC7"/>
    <w:rsid w:val="004874D3"/>
    <w:rsid w:val="0049018C"/>
    <w:rsid w:val="00492610"/>
    <w:rsid w:val="00494965"/>
    <w:rsid w:val="004961DE"/>
    <w:rsid w:val="0049789C"/>
    <w:rsid w:val="004A0202"/>
    <w:rsid w:val="004A68E4"/>
    <w:rsid w:val="004B2042"/>
    <w:rsid w:val="004B33A9"/>
    <w:rsid w:val="004B7A04"/>
    <w:rsid w:val="004C0670"/>
    <w:rsid w:val="004C75CD"/>
    <w:rsid w:val="004D0DBC"/>
    <w:rsid w:val="004D5690"/>
    <w:rsid w:val="004D6D7E"/>
    <w:rsid w:val="004D7005"/>
    <w:rsid w:val="004D7FE1"/>
    <w:rsid w:val="004E168E"/>
    <w:rsid w:val="004E1B82"/>
    <w:rsid w:val="004E4CC5"/>
    <w:rsid w:val="004E7D13"/>
    <w:rsid w:val="00502F19"/>
    <w:rsid w:val="005041C5"/>
    <w:rsid w:val="005068F9"/>
    <w:rsid w:val="00510EF8"/>
    <w:rsid w:val="00512F2C"/>
    <w:rsid w:val="00515EF3"/>
    <w:rsid w:val="00516AAA"/>
    <w:rsid w:val="00520684"/>
    <w:rsid w:val="00522BA3"/>
    <w:rsid w:val="0052470A"/>
    <w:rsid w:val="00525535"/>
    <w:rsid w:val="005267B6"/>
    <w:rsid w:val="005268C1"/>
    <w:rsid w:val="0053029B"/>
    <w:rsid w:val="0053528B"/>
    <w:rsid w:val="00535843"/>
    <w:rsid w:val="005359D1"/>
    <w:rsid w:val="00537931"/>
    <w:rsid w:val="005412F1"/>
    <w:rsid w:val="0055080B"/>
    <w:rsid w:val="005519A5"/>
    <w:rsid w:val="005530D8"/>
    <w:rsid w:val="005548AE"/>
    <w:rsid w:val="00562A7B"/>
    <w:rsid w:val="00567223"/>
    <w:rsid w:val="00571D3E"/>
    <w:rsid w:val="00573B02"/>
    <w:rsid w:val="00574DCF"/>
    <w:rsid w:val="00580353"/>
    <w:rsid w:val="00585447"/>
    <w:rsid w:val="0058711F"/>
    <w:rsid w:val="00591E71"/>
    <w:rsid w:val="005946B4"/>
    <w:rsid w:val="005A1CF0"/>
    <w:rsid w:val="005A36EE"/>
    <w:rsid w:val="005A6CBD"/>
    <w:rsid w:val="005B20CD"/>
    <w:rsid w:val="005B441A"/>
    <w:rsid w:val="005B72BF"/>
    <w:rsid w:val="005C140F"/>
    <w:rsid w:val="005C29A4"/>
    <w:rsid w:val="005D0972"/>
    <w:rsid w:val="005D5443"/>
    <w:rsid w:val="005E17F4"/>
    <w:rsid w:val="005E1A0A"/>
    <w:rsid w:val="005F2272"/>
    <w:rsid w:val="005F2D9B"/>
    <w:rsid w:val="005F3EBD"/>
    <w:rsid w:val="005F5A33"/>
    <w:rsid w:val="0060121F"/>
    <w:rsid w:val="00602713"/>
    <w:rsid w:val="00603F85"/>
    <w:rsid w:val="00605437"/>
    <w:rsid w:val="00607DD1"/>
    <w:rsid w:val="00610A5A"/>
    <w:rsid w:val="00621FFA"/>
    <w:rsid w:val="006230D5"/>
    <w:rsid w:val="0062473A"/>
    <w:rsid w:val="00636074"/>
    <w:rsid w:val="00637328"/>
    <w:rsid w:val="00651E31"/>
    <w:rsid w:val="00652CD5"/>
    <w:rsid w:val="00656E5C"/>
    <w:rsid w:val="0065753D"/>
    <w:rsid w:val="0066512F"/>
    <w:rsid w:val="00666C3B"/>
    <w:rsid w:val="00670269"/>
    <w:rsid w:val="00671683"/>
    <w:rsid w:val="0067445F"/>
    <w:rsid w:val="00690F2F"/>
    <w:rsid w:val="00691B3F"/>
    <w:rsid w:val="006A0F2A"/>
    <w:rsid w:val="006B0F32"/>
    <w:rsid w:val="006C03FC"/>
    <w:rsid w:val="006C316F"/>
    <w:rsid w:val="006C4D41"/>
    <w:rsid w:val="006C5CAE"/>
    <w:rsid w:val="006C5CDB"/>
    <w:rsid w:val="006C752A"/>
    <w:rsid w:val="006D0CBE"/>
    <w:rsid w:val="006E3455"/>
    <w:rsid w:val="006E5B45"/>
    <w:rsid w:val="006E7739"/>
    <w:rsid w:val="007033C0"/>
    <w:rsid w:val="00710BF6"/>
    <w:rsid w:val="00715CAE"/>
    <w:rsid w:val="00716674"/>
    <w:rsid w:val="00724ADD"/>
    <w:rsid w:val="007263D3"/>
    <w:rsid w:val="0072733F"/>
    <w:rsid w:val="00731BF1"/>
    <w:rsid w:val="00733534"/>
    <w:rsid w:val="00733721"/>
    <w:rsid w:val="00733FCA"/>
    <w:rsid w:val="0074198E"/>
    <w:rsid w:val="0074601B"/>
    <w:rsid w:val="00747205"/>
    <w:rsid w:val="00747754"/>
    <w:rsid w:val="007545F9"/>
    <w:rsid w:val="00760EE6"/>
    <w:rsid w:val="00761710"/>
    <w:rsid w:val="007645F7"/>
    <w:rsid w:val="00773F12"/>
    <w:rsid w:val="00774A35"/>
    <w:rsid w:val="00776323"/>
    <w:rsid w:val="00781A35"/>
    <w:rsid w:val="00783624"/>
    <w:rsid w:val="00784C59"/>
    <w:rsid w:val="00793F35"/>
    <w:rsid w:val="007A1DEB"/>
    <w:rsid w:val="007A6122"/>
    <w:rsid w:val="007A787D"/>
    <w:rsid w:val="007B0D20"/>
    <w:rsid w:val="007B2B3F"/>
    <w:rsid w:val="007B2E66"/>
    <w:rsid w:val="007B75D7"/>
    <w:rsid w:val="007B7B50"/>
    <w:rsid w:val="007D1EC9"/>
    <w:rsid w:val="007D2384"/>
    <w:rsid w:val="007E165A"/>
    <w:rsid w:val="007E60E5"/>
    <w:rsid w:val="007F3047"/>
    <w:rsid w:val="007F41D0"/>
    <w:rsid w:val="00800685"/>
    <w:rsid w:val="00800A9E"/>
    <w:rsid w:val="00801D6B"/>
    <w:rsid w:val="00803471"/>
    <w:rsid w:val="00815EA2"/>
    <w:rsid w:val="008176F3"/>
    <w:rsid w:val="00817B24"/>
    <w:rsid w:val="00820C53"/>
    <w:rsid w:val="0082105C"/>
    <w:rsid w:val="008262FC"/>
    <w:rsid w:val="008305B5"/>
    <w:rsid w:val="00831774"/>
    <w:rsid w:val="008335A6"/>
    <w:rsid w:val="00841ABA"/>
    <w:rsid w:val="00842F3C"/>
    <w:rsid w:val="00850216"/>
    <w:rsid w:val="0085326A"/>
    <w:rsid w:val="00856519"/>
    <w:rsid w:val="008617B9"/>
    <w:rsid w:val="00865DF3"/>
    <w:rsid w:val="00870BA4"/>
    <w:rsid w:val="0087128D"/>
    <w:rsid w:val="00881973"/>
    <w:rsid w:val="0088765E"/>
    <w:rsid w:val="00887EF3"/>
    <w:rsid w:val="00894196"/>
    <w:rsid w:val="00896EDD"/>
    <w:rsid w:val="008979A6"/>
    <w:rsid w:val="008A1EF3"/>
    <w:rsid w:val="008A47CE"/>
    <w:rsid w:val="008A58F2"/>
    <w:rsid w:val="008B02FA"/>
    <w:rsid w:val="008B0C04"/>
    <w:rsid w:val="008D3EBD"/>
    <w:rsid w:val="008E15D9"/>
    <w:rsid w:val="008E4E17"/>
    <w:rsid w:val="008F5829"/>
    <w:rsid w:val="008F63EF"/>
    <w:rsid w:val="008F651C"/>
    <w:rsid w:val="00901363"/>
    <w:rsid w:val="00903EF0"/>
    <w:rsid w:val="00904828"/>
    <w:rsid w:val="009056D2"/>
    <w:rsid w:val="00905DCA"/>
    <w:rsid w:val="00906C4C"/>
    <w:rsid w:val="00913DAF"/>
    <w:rsid w:val="009144F8"/>
    <w:rsid w:val="00916A58"/>
    <w:rsid w:val="00916D06"/>
    <w:rsid w:val="009258D9"/>
    <w:rsid w:val="009319F5"/>
    <w:rsid w:val="0093410C"/>
    <w:rsid w:val="00935ADE"/>
    <w:rsid w:val="009433D9"/>
    <w:rsid w:val="009553BB"/>
    <w:rsid w:val="009554A9"/>
    <w:rsid w:val="0095574D"/>
    <w:rsid w:val="009569ED"/>
    <w:rsid w:val="00957285"/>
    <w:rsid w:val="009761A5"/>
    <w:rsid w:val="00992CD6"/>
    <w:rsid w:val="009956EA"/>
    <w:rsid w:val="00997213"/>
    <w:rsid w:val="009A0297"/>
    <w:rsid w:val="009A411A"/>
    <w:rsid w:val="009A76D8"/>
    <w:rsid w:val="009B0EF4"/>
    <w:rsid w:val="009B5323"/>
    <w:rsid w:val="009C023F"/>
    <w:rsid w:val="009C2055"/>
    <w:rsid w:val="009C2A28"/>
    <w:rsid w:val="009C7223"/>
    <w:rsid w:val="009D287C"/>
    <w:rsid w:val="009D376C"/>
    <w:rsid w:val="009E1EDD"/>
    <w:rsid w:val="009F1B03"/>
    <w:rsid w:val="00A10B87"/>
    <w:rsid w:val="00A22E79"/>
    <w:rsid w:val="00A264F3"/>
    <w:rsid w:val="00A270BB"/>
    <w:rsid w:val="00A31D77"/>
    <w:rsid w:val="00A35033"/>
    <w:rsid w:val="00A36056"/>
    <w:rsid w:val="00A50CD4"/>
    <w:rsid w:val="00A51E16"/>
    <w:rsid w:val="00A531F0"/>
    <w:rsid w:val="00A5525B"/>
    <w:rsid w:val="00A70850"/>
    <w:rsid w:val="00A7332C"/>
    <w:rsid w:val="00A80E7D"/>
    <w:rsid w:val="00A823EF"/>
    <w:rsid w:val="00A83F66"/>
    <w:rsid w:val="00A866A4"/>
    <w:rsid w:val="00A86B89"/>
    <w:rsid w:val="00A92E7E"/>
    <w:rsid w:val="00A9352E"/>
    <w:rsid w:val="00A93C0B"/>
    <w:rsid w:val="00A9784A"/>
    <w:rsid w:val="00A97DFB"/>
    <w:rsid w:val="00AA2370"/>
    <w:rsid w:val="00AA5150"/>
    <w:rsid w:val="00AA61B9"/>
    <w:rsid w:val="00AB13A5"/>
    <w:rsid w:val="00AB227D"/>
    <w:rsid w:val="00AB4389"/>
    <w:rsid w:val="00AB4DA1"/>
    <w:rsid w:val="00AC4A28"/>
    <w:rsid w:val="00AC6EC8"/>
    <w:rsid w:val="00AC7806"/>
    <w:rsid w:val="00AD044B"/>
    <w:rsid w:val="00AD1D3E"/>
    <w:rsid w:val="00AD2A23"/>
    <w:rsid w:val="00AD3B8A"/>
    <w:rsid w:val="00AE1B06"/>
    <w:rsid w:val="00AE5163"/>
    <w:rsid w:val="00AE75E9"/>
    <w:rsid w:val="00AF39FC"/>
    <w:rsid w:val="00B023F3"/>
    <w:rsid w:val="00B04201"/>
    <w:rsid w:val="00B1211C"/>
    <w:rsid w:val="00B15D12"/>
    <w:rsid w:val="00B17CA4"/>
    <w:rsid w:val="00B25D4C"/>
    <w:rsid w:val="00B2650C"/>
    <w:rsid w:val="00B27A01"/>
    <w:rsid w:val="00B30A83"/>
    <w:rsid w:val="00B31546"/>
    <w:rsid w:val="00B336B8"/>
    <w:rsid w:val="00B37621"/>
    <w:rsid w:val="00B4335B"/>
    <w:rsid w:val="00B437B8"/>
    <w:rsid w:val="00B5033C"/>
    <w:rsid w:val="00B55632"/>
    <w:rsid w:val="00B577C4"/>
    <w:rsid w:val="00B606B4"/>
    <w:rsid w:val="00B62F4B"/>
    <w:rsid w:val="00B6570B"/>
    <w:rsid w:val="00B664C9"/>
    <w:rsid w:val="00B754D2"/>
    <w:rsid w:val="00B82368"/>
    <w:rsid w:val="00B84819"/>
    <w:rsid w:val="00B85D46"/>
    <w:rsid w:val="00B878E9"/>
    <w:rsid w:val="00B906D3"/>
    <w:rsid w:val="00B96CB2"/>
    <w:rsid w:val="00BA6444"/>
    <w:rsid w:val="00BB2217"/>
    <w:rsid w:val="00BB3688"/>
    <w:rsid w:val="00BD0ECD"/>
    <w:rsid w:val="00BD536C"/>
    <w:rsid w:val="00BD5FB4"/>
    <w:rsid w:val="00BE20FE"/>
    <w:rsid w:val="00BE42BE"/>
    <w:rsid w:val="00BE51BB"/>
    <w:rsid w:val="00BE7BD7"/>
    <w:rsid w:val="00BE7E93"/>
    <w:rsid w:val="00BF0F5F"/>
    <w:rsid w:val="00BF581B"/>
    <w:rsid w:val="00C13E39"/>
    <w:rsid w:val="00C174E6"/>
    <w:rsid w:val="00C21F4B"/>
    <w:rsid w:val="00C322F9"/>
    <w:rsid w:val="00C34A81"/>
    <w:rsid w:val="00C358C4"/>
    <w:rsid w:val="00C4101A"/>
    <w:rsid w:val="00C45E95"/>
    <w:rsid w:val="00C521AB"/>
    <w:rsid w:val="00C6176B"/>
    <w:rsid w:val="00C7743B"/>
    <w:rsid w:val="00C87624"/>
    <w:rsid w:val="00C87B56"/>
    <w:rsid w:val="00C922FE"/>
    <w:rsid w:val="00C962B2"/>
    <w:rsid w:val="00C96E85"/>
    <w:rsid w:val="00CA1882"/>
    <w:rsid w:val="00CA5D64"/>
    <w:rsid w:val="00CB032A"/>
    <w:rsid w:val="00CB0E36"/>
    <w:rsid w:val="00CC3C8A"/>
    <w:rsid w:val="00CE02DC"/>
    <w:rsid w:val="00CF0223"/>
    <w:rsid w:val="00CF0998"/>
    <w:rsid w:val="00CF138B"/>
    <w:rsid w:val="00CF4D73"/>
    <w:rsid w:val="00D00060"/>
    <w:rsid w:val="00D006A2"/>
    <w:rsid w:val="00D006BB"/>
    <w:rsid w:val="00D0374B"/>
    <w:rsid w:val="00D03EC7"/>
    <w:rsid w:val="00D05D6D"/>
    <w:rsid w:val="00D11DE1"/>
    <w:rsid w:val="00D21F2D"/>
    <w:rsid w:val="00D2694D"/>
    <w:rsid w:val="00D276ED"/>
    <w:rsid w:val="00D35DE7"/>
    <w:rsid w:val="00D37564"/>
    <w:rsid w:val="00D40CE6"/>
    <w:rsid w:val="00D41414"/>
    <w:rsid w:val="00D4177F"/>
    <w:rsid w:val="00D43DBE"/>
    <w:rsid w:val="00D44BF5"/>
    <w:rsid w:val="00D50D02"/>
    <w:rsid w:val="00D57D4D"/>
    <w:rsid w:val="00D61526"/>
    <w:rsid w:val="00D6642E"/>
    <w:rsid w:val="00D678B8"/>
    <w:rsid w:val="00D73F2A"/>
    <w:rsid w:val="00D77406"/>
    <w:rsid w:val="00D77506"/>
    <w:rsid w:val="00D77639"/>
    <w:rsid w:val="00D814DE"/>
    <w:rsid w:val="00D86BC8"/>
    <w:rsid w:val="00D9053E"/>
    <w:rsid w:val="00D95859"/>
    <w:rsid w:val="00D9666B"/>
    <w:rsid w:val="00DA262D"/>
    <w:rsid w:val="00DA3D96"/>
    <w:rsid w:val="00DD17C7"/>
    <w:rsid w:val="00DD3D55"/>
    <w:rsid w:val="00DD7BF1"/>
    <w:rsid w:val="00DE493C"/>
    <w:rsid w:val="00DE68F9"/>
    <w:rsid w:val="00DE6DF1"/>
    <w:rsid w:val="00DF3C42"/>
    <w:rsid w:val="00E025AF"/>
    <w:rsid w:val="00E02FA0"/>
    <w:rsid w:val="00E058BE"/>
    <w:rsid w:val="00E1774B"/>
    <w:rsid w:val="00E2138C"/>
    <w:rsid w:val="00E23686"/>
    <w:rsid w:val="00E33238"/>
    <w:rsid w:val="00E41C8C"/>
    <w:rsid w:val="00E42985"/>
    <w:rsid w:val="00E43686"/>
    <w:rsid w:val="00E4483D"/>
    <w:rsid w:val="00E46348"/>
    <w:rsid w:val="00E46E18"/>
    <w:rsid w:val="00E523D4"/>
    <w:rsid w:val="00E61399"/>
    <w:rsid w:val="00E6394A"/>
    <w:rsid w:val="00E63BD2"/>
    <w:rsid w:val="00E65E0C"/>
    <w:rsid w:val="00E82F42"/>
    <w:rsid w:val="00E83562"/>
    <w:rsid w:val="00E87485"/>
    <w:rsid w:val="00E91E91"/>
    <w:rsid w:val="00E939CC"/>
    <w:rsid w:val="00E975FF"/>
    <w:rsid w:val="00EA42CC"/>
    <w:rsid w:val="00EA4825"/>
    <w:rsid w:val="00EA6E6A"/>
    <w:rsid w:val="00EA7436"/>
    <w:rsid w:val="00EB16C0"/>
    <w:rsid w:val="00EB2198"/>
    <w:rsid w:val="00EC3977"/>
    <w:rsid w:val="00EC5A12"/>
    <w:rsid w:val="00EC71B6"/>
    <w:rsid w:val="00ED1E4B"/>
    <w:rsid w:val="00EE7219"/>
    <w:rsid w:val="00EF21A9"/>
    <w:rsid w:val="00EF6731"/>
    <w:rsid w:val="00EF6BE4"/>
    <w:rsid w:val="00F0005A"/>
    <w:rsid w:val="00F011E7"/>
    <w:rsid w:val="00F04D9D"/>
    <w:rsid w:val="00F06B16"/>
    <w:rsid w:val="00F106A3"/>
    <w:rsid w:val="00F12F85"/>
    <w:rsid w:val="00F23504"/>
    <w:rsid w:val="00F26768"/>
    <w:rsid w:val="00F30E9C"/>
    <w:rsid w:val="00F33916"/>
    <w:rsid w:val="00F33BB9"/>
    <w:rsid w:val="00F40C05"/>
    <w:rsid w:val="00F42BF9"/>
    <w:rsid w:val="00F42E7B"/>
    <w:rsid w:val="00F42F67"/>
    <w:rsid w:val="00F47BBB"/>
    <w:rsid w:val="00F51FA9"/>
    <w:rsid w:val="00F56A37"/>
    <w:rsid w:val="00F632FB"/>
    <w:rsid w:val="00F72B27"/>
    <w:rsid w:val="00F7538D"/>
    <w:rsid w:val="00F77A94"/>
    <w:rsid w:val="00F80482"/>
    <w:rsid w:val="00F82AAF"/>
    <w:rsid w:val="00F83F09"/>
    <w:rsid w:val="00F928E8"/>
    <w:rsid w:val="00F93149"/>
    <w:rsid w:val="00F94546"/>
    <w:rsid w:val="00FA626B"/>
    <w:rsid w:val="00FB09A9"/>
    <w:rsid w:val="00FB1415"/>
    <w:rsid w:val="00FB2587"/>
    <w:rsid w:val="00FC271E"/>
    <w:rsid w:val="00FC70A2"/>
    <w:rsid w:val="00FC7225"/>
    <w:rsid w:val="00FD211E"/>
    <w:rsid w:val="00FD28CA"/>
    <w:rsid w:val="00FD29E3"/>
    <w:rsid w:val="00FD4036"/>
    <w:rsid w:val="00FE05F3"/>
    <w:rsid w:val="00FF33C3"/>
    <w:rsid w:val="00FF3F9F"/>
    <w:rsid w:val="00FF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FC3DF90-9356-40DD-B7E6-FBA56E5B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8F"/>
    <w:pPr>
      <w:ind w:left="720"/>
      <w:contextualSpacing/>
    </w:pPr>
  </w:style>
  <w:style w:type="paragraph" w:styleId="NoSpacing">
    <w:name w:val="No Spacing"/>
    <w:link w:val="NoSpacingChar"/>
    <w:uiPriority w:val="1"/>
    <w:qFormat/>
    <w:rsid w:val="007033C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033C0"/>
    <w:rPr>
      <w:rFonts w:eastAsiaTheme="minorEastAsia"/>
      <w:lang w:val="en-US" w:eastAsia="ja-JP"/>
    </w:rPr>
  </w:style>
  <w:style w:type="paragraph" w:styleId="BalloonText">
    <w:name w:val="Balloon Text"/>
    <w:basedOn w:val="Normal"/>
    <w:link w:val="BalloonTextChar"/>
    <w:uiPriority w:val="99"/>
    <w:semiHidden/>
    <w:unhideWhenUsed/>
    <w:rsid w:val="00703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3C0"/>
    <w:rPr>
      <w:rFonts w:ascii="Tahoma" w:hAnsi="Tahoma" w:cs="Tahoma"/>
      <w:sz w:val="16"/>
      <w:szCs w:val="16"/>
    </w:rPr>
  </w:style>
  <w:style w:type="paragraph" w:styleId="Header">
    <w:name w:val="header"/>
    <w:basedOn w:val="Normal"/>
    <w:link w:val="HeaderChar"/>
    <w:uiPriority w:val="99"/>
    <w:unhideWhenUsed/>
    <w:rsid w:val="004B7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A04"/>
  </w:style>
  <w:style w:type="paragraph" w:styleId="Footer">
    <w:name w:val="footer"/>
    <w:basedOn w:val="Normal"/>
    <w:link w:val="FooterChar"/>
    <w:uiPriority w:val="99"/>
    <w:unhideWhenUsed/>
    <w:rsid w:val="004B7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A04"/>
  </w:style>
  <w:style w:type="character" w:styleId="CommentReference">
    <w:name w:val="annotation reference"/>
    <w:basedOn w:val="DefaultParagraphFont"/>
    <w:uiPriority w:val="99"/>
    <w:semiHidden/>
    <w:unhideWhenUsed/>
    <w:rsid w:val="00AB4DA1"/>
    <w:rPr>
      <w:sz w:val="16"/>
      <w:szCs w:val="16"/>
    </w:rPr>
  </w:style>
  <w:style w:type="paragraph" w:styleId="CommentText">
    <w:name w:val="annotation text"/>
    <w:basedOn w:val="Normal"/>
    <w:link w:val="CommentTextChar"/>
    <w:uiPriority w:val="99"/>
    <w:semiHidden/>
    <w:unhideWhenUsed/>
    <w:rsid w:val="00AB4DA1"/>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AB4DA1"/>
    <w:rPr>
      <w:rFonts w:ascii="Arial" w:hAnsi="Arial"/>
      <w:sz w:val="20"/>
      <w:szCs w:val="20"/>
    </w:rPr>
  </w:style>
  <w:style w:type="paragraph" w:customStyle="1" w:styleId="Default">
    <w:name w:val="Default"/>
    <w:rsid w:val="00CB03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B032A"/>
    <w:rPr>
      <w:color w:val="0000FF" w:themeColor="hyperlink"/>
      <w:u w:val="single"/>
    </w:rPr>
  </w:style>
  <w:style w:type="table" w:styleId="TableGrid">
    <w:name w:val="Table Grid"/>
    <w:basedOn w:val="TableNormal"/>
    <w:uiPriority w:val="59"/>
    <w:rsid w:val="0078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9485F"/>
  </w:style>
  <w:style w:type="paragraph" w:styleId="CommentSubject">
    <w:name w:val="annotation subject"/>
    <w:basedOn w:val="CommentText"/>
    <w:next w:val="CommentText"/>
    <w:link w:val="CommentSubjectChar"/>
    <w:uiPriority w:val="99"/>
    <w:semiHidden/>
    <w:unhideWhenUsed/>
    <w:rsid w:val="00F12F85"/>
    <w:rPr>
      <w:rFonts w:asciiTheme="minorHAnsi" w:hAnsiTheme="minorHAnsi"/>
      <w:b/>
      <w:bCs/>
    </w:rPr>
  </w:style>
  <w:style w:type="character" w:customStyle="1" w:styleId="CommentSubjectChar">
    <w:name w:val="Comment Subject Char"/>
    <w:basedOn w:val="CommentTextChar"/>
    <w:link w:val="CommentSubject"/>
    <w:uiPriority w:val="99"/>
    <w:semiHidden/>
    <w:rsid w:val="00F12F85"/>
    <w:rPr>
      <w:rFonts w:ascii="Arial" w:hAnsi="Arial"/>
      <w:b/>
      <w:bCs/>
      <w:sz w:val="20"/>
      <w:szCs w:val="20"/>
    </w:rPr>
  </w:style>
  <w:style w:type="paragraph" w:styleId="PlainText">
    <w:name w:val="Plain Text"/>
    <w:basedOn w:val="Normal"/>
    <w:link w:val="PlainTextChar"/>
    <w:uiPriority w:val="99"/>
    <w:semiHidden/>
    <w:unhideWhenUsed/>
    <w:rsid w:val="00111DC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11DC8"/>
    <w:rPr>
      <w:rFonts w:ascii="Calibri" w:hAnsi="Calibri"/>
      <w:szCs w:val="21"/>
    </w:rPr>
  </w:style>
  <w:style w:type="paragraph" w:styleId="BodyText">
    <w:name w:val="Body Text"/>
    <w:basedOn w:val="Normal"/>
    <w:link w:val="BodyTextChar"/>
    <w:uiPriority w:val="99"/>
    <w:semiHidden/>
    <w:rsid w:val="00B04201"/>
    <w:pPr>
      <w:spacing w:before="120" w:after="120" w:line="240" w:lineRule="auto"/>
    </w:pPr>
    <w:rPr>
      <w:rFonts w:ascii="Gill Sans MT" w:eastAsia="Times New Roman" w:hAnsi="Gill Sans MT" w:cs="Arial"/>
      <w:sz w:val="24"/>
      <w:szCs w:val="24"/>
    </w:rPr>
  </w:style>
  <w:style w:type="character" w:customStyle="1" w:styleId="BodyTextChar">
    <w:name w:val="Body Text Char"/>
    <w:basedOn w:val="DefaultParagraphFont"/>
    <w:link w:val="BodyText"/>
    <w:uiPriority w:val="99"/>
    <w:semiHidden/>
    <w:rsid w:val="00B04201"/>
    <w:rPr>
      <w:rFonts w:ascii="Gill Sans MT" w:eastAsia="Times New Roman" w:hAnsi="Gill Sans MT" w:cs="Arial"/>
      <w:sz w:val="24"/>
      <w:szCs w:val="24"/>
    </w:rPr>
  </w:style>
  <w:style w:type="paragraph" w:styleId="FootnoteText">
    <w:name w:val="footnote text"/>
    <w:basedOn w:val="Normal"/>
    <w:link w:val="FootnoteTextChar"/>
    <w:uiPriority w:val="99"/>
    <w:semiHidden/>
    <w:unhideWhenUsed/>
    <w:rsid w:val="005548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8AE"/>
    <w:rPr>
      <w:sz w:val="20"/>
      <w:szCs w:val="20"/>
    </w:rPr>
  </w:style>
  <w:style w:type="character" w:styleId="FootnoteReference">
    <w:name w:val="footnote reference"/>
    <w:basedOn w:val="DefaultParagraphFont"/>
    <w:uiPriority w:val="99"/>
    <w:semiHidden/>
    <w:unhideWhenUsed/>
    <w:rsid w:val="00554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82452">
      <w:bodyDiv w:val="1"/>
      <w:marLeft w:val="0"/>
      <w:marRight w:val="0"/>
      <w:marTop w:val="0"/>
      <w:marBottom w:val="0"/>
      <w:divBdr>
        <w:top w:val="none" w:sz="0" w:space="0" w:color="auto"/>
        <w:left w:val="none" w:sz="0" w:space="0" w:color="auto"/>
        <w:bottom w:val="none" w:sz="0" w:space="0" w:color="auto"/>
        <w:right w:val="none" w:sz="0" w:space="0" w:color="auto"/>
      </w:divBdr>
    </w:div>
    <w:div w:id="415522516">
      <w:bodyDiv w:val="1"/>
      <w:marLeft w:val="0"/>
      <w:marRight w:val="0"/>
      <w:marTop w:val="0"/>
      <w:marBottom w:val="0"/>
      <w:divBdr>
        <w:top w:val="none" w:sz="0" w:space="0" w:color="auto"/>
        <w:left w:val="none" w:sz="0" w:space="0" w:color="auto"/>
        <w:bottom w:val="none" w:sz="0" w:space="0" w:color="auto"/>
        <w:right w:val="none" w:sz="0" w:space="0" w:color="auto"/>
      </w:divBdr>
    </w:div>
    <w:div w:id="817108293">
      <w:bodyDiv w:val="1"/>
      <w:marLeft w:val="0"/>
      <w:marRight w:val="0"/>
      <w:marTop w:val="0"/>
      <w:marBottom w:val="0"/>
      <w:divBdr>
        <w:top w:val="none" w:sz="0" w:space="0" w:color="auto"/>
        <w:left w:val="none" w:sz="0" w:space="0" w:color="auto"/>
        <w:bottom w:val="none" w:sz="0" w:space="0" w:color="auto"/>
        <w:right w:val="none" w:sz="0" w:space="0" w:color="auto"/>
      </w:divBdr>
    </w:div>
    <w:div w:id="853540985">
      <w:bodyDiv w:val="1"/>
      <w:marLeft w:val="0"/>
      <w:marRight w:val="0"/>
      <w:marTop w:val="0"/>
      <w:marBottom w:val="0"/>
      <w:divBdr>
        <w:top w:val="none" w:sz="0" w:space="0" w:color="auto"/>
        <w:left w:val="none" w:sz="0" w:space="0" w:color="auto"/>
        <w:bottom w:val="none" w:sz="0" w:space="0" w:color="auto"/>
        <w:right w:val="none" w:sz="0" w:space="0" w:color="auto"/>
      </w:divBdr>
    </w:div>
    <w:div w:id="924537449">
      <w:bodyDiv w:val="1"/>
      <w:marLeft w:val="0"/>
      <w:marRight w:val="0"/>
      <w:marTop w:val="0"/>
      <w:marBottom w:val="0"/>
      <w:divBdr>
        <w:top w:val="none" w:sz="0" w:space="0" w:color="auto"/>
        <w:left w:val="none" w:sz="0" w:space="0" w:color="auto"/>
        <w:bottom w:val="none" w:sz="0" w:space="0" w:color="auto"/>
        <w:right w:val="none" w:sz="0" w:space="0" w:color="auto"/>
      </w:divBdr>
    </w:div>
    <w:div w:id="2074039137">
      <w:bodyDiv w:val="1"/>
      <w:marLeft w:val="0"/>
      <w:marRight w:val="0"/>
      <w:marTop w:val="0"/>
      <w:marBottom w:val="0"/>
      <w:divBdr>
        <w:top w:val="none" w:sz="0" w:space="0" w:color="auto"/>
        <w:left w:val="none" w:sz="0" w:space="0" w:color="auto"/>
        <w:bottom w:val="none" w:sz="0" w:space="0" w:color="auto"/>
        <w:right w:val="none" w:sz="0" w:space="0" w:color="auto"/>
      </w:divBdr>
      <w:divsChild>
        <w:div w:id="17788681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ge-platform.eu/images/stories/uk_minimumcarestandarts_athom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mersetsafeguardingchildrenboard.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education.gov.uk/publication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nhs.uk/CarersDirect/guide/practicalsupport/Documents/National-framework-for-continuing-care-england.pdf" TargetMode="External"/><Relationship Id="rId14" Type="http://schemas.openxmlformats.org/officeDocument/2006/relationships/package" Target="embeddings/Microsoft_Word_Document.docx"/></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F1AA63-D762-4A4E-92E8-62C71B68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3515</Words>
  <Characters>20040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Disabled Children and Young People with Complex Health and Social Care Needs</vt:lpstr>
    </vt:vector>
  </TitlesOfParts>
  <Company>Somerset County Council and Somerset Clinical Commissioning Group</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Disabled Children and Young People with Complex Health and Social Care Needs</dc:title>
  <dc:subject>Homecare Framework Lot 5 -     Service Specification</dc:subject>
  <dc:creator>Somerset County Council</dc:creator>
  <cp:lastModifiedBy>Sarah Broomfield</cp:lastModifiedBy>
  <cp:revision>2</cp:revision>
  <cp:lastPrinted>2016-02-15T11:11:00Z</cp:lastPrinted>
  <dcterms:created xsi:type="dcterms:W3CDTF">2018-09-20T14:02:00Z</dcterms:created>
  <dcterms:modified xsi:type="dcterms:W3CDTF">2018-09-20T14:02:00Z</dcterms:modified>
</cp:coreProperties>
</file>