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3EF39FED" w:rsidR="00BE1569" w:rsidRPr="0040185D" w:rsidRDefault="11064D35" w:rsidP="008978F2">
      <w:pPr>
        <w:jc w:val="center"/>
        <w:rPr>
          <w:b/>
          <w:bCs/>
          <w:sz w:val="36"/>
          <w:szCs w:val="36"/>
          <w:u w:val="single"/>
        </w:rPr>
      </w:pPr>
      <w:r w:rsidRPr="0040185D">
        <w:rPr>
          <w:b/>
          <w:bCs/>
          <w:sz w:val="36"/>
          <w:szCs w:val="36"/>
          <w:u w:val="single"/>
        </w:rPr>
        <w:t>Expression of Interest</w:t>
      </w:r>
    </w:p>
    <w:p w14:paraId="6EA31F9C" w14:textId="3EF39FED" w:rsidR="5F464FE9" w:rsidRDefault="5F464FE9" w:rsidP="4B35CB50">
      <w:pPr>
        <w:rPr>
          <w:u w:val="single"/>
        </w:rPr>
      </w:pPr>
    </w:p>
    <w:p w14:paraId="4F8C08B6" w14:textId="58748EFB" w:rsidR="5B2214F4" w:rsidRDefault="5B2214F4" w:rsidP="4B35CB50">
      <w:pPr>
        <w:rPr>
          <w:u w:val="single"/>
        </w:rPr>
      </w:pPr>
      <w:r w:rsidRPr="249BE560">
        <w:rPr>
          <w:b/>
          <w:bCs/>
          <w:u w:val="single"/>
        </w:rPr>
        <w:t>Project Client:</w:t>
      </w:r>
      <w:r>
        <w:t xml:space="preserve"> </w:t>
      </w:r>
      <w:bookmarkStart w:id="0" w:name="_Int_gldk3fpj"/>
      <w:r>
        <w:t>North West</w:t>
      </w:r>
      <w:bookmarkEnd w:id="0"/>
      <w:r>
        <w:t xml:space="preserve"> Leicestershire District Council</w:t>
      </w:r>
    </w:p>
    <w:p w14:paraId="48555DB6" w14:textId="28CD4962" w:rsidR="11064D35" w:rsidRDefault="11064D35" w:rsidP="4B35CB50">
      <w:pPr>
        <w:rPr>
          <w:u w:val="single"/>
        </w:rPr>
      </w:pPr>
      <w:r w:rsidRPr="0040185D">
        <w:rPr>
          <w:b/>
          <w:bCs/>
          <w:u w:val="single"/>
        </w:rPr>
        <w:t>Project Name:</w:t>
      </w:r>
      <w:r w:rsidR="6A2636F0" w:rsidRPr="4B35CB50">
        <w:rPr>
          <w:u w:val="single"/>
        </w:rPr>
        <w:t xml:space="preserve"> </w:t>
      </w:r>
      <w:r w:rsidR="6A2636F0">
        <w:t>Queens Street Development</w:t>
      </w:r>
    </w:p>
    <w:p w14:paraId="7AC4AAF7" w14:textId="7AE3BEED" w:rsidR="56539FD1" w:rsidRDefault="56539FD1" w:rsidP="45C6803D"/>
    <w:p w14:paraId="1CF3D3C3" w14:textId="1D10E794" w:rsidR="56539FD1" w:rsidRDefault="00A50499" w:rsidP="56539FD1">
      <w:r>
        <w:rPr>
          <w:noProof/>
        </w:rPr>
        <w:drawing>
          <wp:inline distT="0" distB="0" distL="0" distR="0" wp14:anchorId="2C90D6A8" wp14:editId="54CCEF9B">
            <wp:extent cx="5943600" cy="4309745"/>
            <wp:effectExtent l="0" t="0" r="0" b="0"/>
            <wp:docPr id="2143038214" name="Picture 1" descr="A map of a housing develo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038214" name="Picture 1" descr="A map of a housing developm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DF807" w14:textId="77777777" w:rsidR="00A61D0E" w:rsidRDefault="00A61D0E" w:rsidP="56539FD1"/>
    <w:p w14:paraId="03C226D2" w14:textId="0EEFBF20" w:rsidR="11064D35" w:rsidRDefault="11064D35" w:rsidP="56539FD1">
      <w:r>
        <w:t>Date Issued:</w:t>
      </w:r>
      <w:r w:rsidR="008978F2">
        <w:t xml:space="preserve"> </w:t>
      </w:r>
      <w:r w:rsidR="3D655EA6">
        <w:t>10/06</w:t>
      </w:r>
      <w:r w:rsidR="00822C95">
        <w:t>/2024</w:t>
      </w:r>
    </w:p>
    <w:p w14:paraId="60C9F1A8" w14:textId="25E913A7" w:rsidR="11064D35" w:rsidRDefault="11064D35" w:rsidP="56539FD1">
      <w:r>
        <w:t>Return Date:</w:t>
      </w:r>
      <w:r w:rsidR="00822C95">
        <w:t xml:space="preserve"> </w:t>
      </w:r>
      <w:r w:rsidR="5447A3D7">
        <w:t>24/06</w:t>
      </w:r>
      <w:r w:rsidR="00822C95">
        <w:t>/2024</w:t>
      </w:r>
    </w:p>
    <w:p w14:paraId="2AF1F3FE" w14:textId="48FA4F7D" w:rsidR="4B35CB50" w:rsidRDefault="4B35CB50">
      <w:r>
        <w:br w:type="page"/>
      </w:r>
    </w:p>
    <w:p w14:paraId="1CDD94F6" w14:textId="41621D5E" w:rsidR="11064D35" w:rsidRPr="0040185D" w:rsidRDefault="11064D35" w:rsidP="56539FD1">
      <w:pPr>
        <w:rPr>
          <w:b/>
          <w:bCs/>
        </w:rPr>
      </w:pPr>
      <w:r w:rsidRPr="0040185D">
        <w:rPr>
          <w:b/>
          <w:bCs/>
          <w:u w:val="single"/>
        </w:rPr>
        <w:lastRenderedPageBreak/>
        <w:t>Introduction:</w:t>
      </w:r>
    </w:p>
    <w:p w14:paraId="4F8268F6" w14:textId="3EE618D1" w:rsidR="56539FD1" w:rsidRDefault="00FA2D9D" w:rsidP="56539FD1">
      <w:bookmarkStart w:id="1" w:name="_Int_41kmdWZq"/>
      <w:r>
        <w:t>North West</w:t>
      </w:r>
      <w:bookmarkEnd w:id="1"/>
      <w:r>
        <w:t xml:space="preserve"> Leicestershire District Council </w:t>
      </w:r>
      <w:r w:rsidR="4F468C28">
        <w:t>is</w:t>
      </w:r>
      <w:r>
        <w:t xml:space="preserve"> seeking a contractor to construct 6 </w:t>
      </w:r>
      <w:r w:rsidR="0066179A">
        <w:t xml:space="preserve">residential properties along with associated external works </w:t>
      </w:r>
      <w:r w:rsidR="003F22EF">
        <w:t xml:space="preserve">and services to include associated car parking, landscaping, and retaining walls. </w:t>
      </w:r>
    </w:p>
    <w:p w14:paraId="4431139E" w14:textId="77777777" w:rsidR="003F22EF" w:rsidRDefault="003F22EF" w:rsidP="56539FD1"/>
    <w:p w14:paraId="49C1ED2B" w14:textId="6E2BE05D" w:rsidR="11064D35" w:rsidRPr="0040185D" w:rsidRDefault="11064D35" w:rsidP="56539FD1">
      <w:pPr>
        <w:rPr>
          <w:b/>
          <w:bCs/>
          <w:u w:val="single"/>
        </w:rPr>
      </w:pPr>
      <w:r w:rsidRPr="0040185D">
        <w:rPr>
          <w:b/>
          <w:bCs/>
          <w:u w:val="single"/>
        </w:rPr>
        <w:t>Accom</w:t>
      </w:r>
      <w:r w:rsidR="0040185D">
        <w:rPr>
          <w:b/>
          <w:bCs/>
          <w:u w:val="single"/>
        </w:rPr>
        <w:t>m</w:t>
      </w:r>
      <w:r w:rsidRPr="0040185D">
        <w:rPr>
          <w:b/>
          <w:bCs/>
          <w:u w:val="single"/>
        </w:rPr>
        <w:t>odation Schedule:</w:t>
      </w:r>
    </w:p>
    <w:p w14:paraId="180B650F" w14:textId="77777777" w:rsidR="003D07C3" w:rsidRDefault="003D07C3" w:rsidP="56539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B5163" w14:paraId="1AB1CDC3" w14:textId="77777777" w:rsidTr="007B5163">
        <w:tc>
          <w:tcPr>
            <w:tcW w:w="1870" w:type="dxa"/>
          </w:tcPr>
          <w:p w14:paraId="7AB55E29" w14:textId="131C298C" w:rsidR="007B5163" w:rsidRPr="00CC01F8" w:rsidRDefault="007B5163" w:rsidP="00ED085A">
            <w:pPr>
              <w:jc w:val="center"/>
            </w:pPr>
            <w:r w:rsidRPr="00CC01F8">
              <w:t>Plot No</w:t>
            </w:r>
          </w:p>
        </w:tc>
        <w:tc>
          <w:tcPr>
            <w:tcW w:w="1870" w:type="dxa"/>
          </w:tcPr>
          <w:p w14:paraId="1AEA4DDF" w14:textId="10953E7A" w:rsidR="007B5163" w:rsidRPr="00CC01F8" w:rsidRDefault="007B5163" w:rsidP="00ED085A">
            <w:pPr>
              <w:jc w:val="center"/>
            </w:pPr>
            <w:r w:rsidRPr="00CC01F8">
              <w:t>Type</w:t>
            </w:r>
          </w:p>
        </w:tc>
        <w:tc>
          <w:tcPr>
            <w:tcW w:w="1870" w:type="dxa"/>
          </w:tcPr>
          <w:p w14:paraId="29BA2AF8" w14:textId="2C55C625" w:rsidR="007B5163" w:rsidRPr="00CC01F8" w:rsidRDefault="00CC01F8" w:rsidP="00ED085A">
            <w:pPr>
              <w:jc w:val="center"/>
            </w:pPr>
            <w:r w:rsidRPr="00CC01F8">
              <w:t>Mix</w:t>
            </w:r>
          </w:p>
        </w:tc>
        <w:tc>
          <w:tcPr>
            <w:tcW w:w="1870" w:type="dxa"/>
          </w:tcPr>
          <w:p w14:paraId="660F4675" w14:textId="19A2B3CC" w:rsidR="007B5163" w:rsidRPr="00CC01F8" w:rsidRDefault="00CC01F8" w:rsidP="00ED085A">
            <w:pPr>
              <w:jc w:val="center"/>
            </w:pPr>
            <w:r w:rsidRPr="00CC01F8">
              <w:t>GIFA (m</w:t>
            </w:r>
            <w:r w:rsidR="00BC04CB">
              <w:rPr>
                <w:vertAlign w:val="superscript"/>
              </w:rPr>
              <w:t>2</w:t>
            </w:r>
            <w:r w:rsidRPr="00CC01F8">
              <w:t>)</w:t>
            </w:r>
          </w:p>
        </w:tc>
        <w:tc>
          <w:tcPr>
            <w:tcW w:w="1870" w:type="dxa"/>
          </w:tcPr>
          <w:p w14:paraId="730ED297" w14:textId="4AEAEB25" w:rsidR="007B5163" w:rsidRPr="00CC01F8" w:rsidRDefault="00CC01F8" w:rsidP="00ED085A">
            <w:pPr>
              <w:jc w:val="center"/>
            </w:pPr>
            <w:r w:rsidRPr="00CC01F8">
              <w:t>Tenure</w:t>
            </w:r>
          </w:p>
        </w:tc>
      </w:tr>
      <w:tr w:rsidR="007B5163" w14:paraId="6C48B051" w14:textId="77777777" w:rsidTr="007B5163">
        <w:tc>
          <w:tcPr>
            <w:tcW w:w="1870" w:type="dxa"/>
          </w:tcPr>
          <w:p w14:paraId="322F82B0" w14:textId="11D864CA" w:rsidR="007B5163" w:rsidRPr="00CC01F8" w:rsidRDefault="00BC04CB" w:rsidP="00ED085A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63B57366" w14:textId="1647740F" w:rsidR="007B5163" w:rsidRPr="00CC01F8" w:rsidRDefault="00D32876" w:rsidP="00ED085A">
            <w:pPr>
              <w:jc w:val="center"/>
            </w:pPr>
            <w:r>
              <w:t>Detached House</w:t>
            </w:r>
          </w:p>
        </w:tc>
        <w:tc>
          <w:tcPr>
            <w:tcW w:w="1870" w:type="dxa"/>
          </w:tcPr>
          <w:p w14:paraId="43190B9D" w14:textId="4CCB6AB4" w:rsidR="007B5163" w:rsidRPr="00CC01F8" w:rsidRDefault="00D32876" w:rsidP="00ED085A">
            <w:pPr>
              <w:jc w:val="center"/>
            </w:pPr>
            <w:r>
              <w:t>3b5p</w:t>
            </w:r>
          </w:p>
        </w:tc>
        <w:tc>
          <w:tcPr>
            <w:tcW w:w="1870" w:type="dxa"/>
          </w:tcPr>
          <w:p w14:paraId="32DF4DAB" w14:textId="32051E45" w:rsidR="007B5163" w:rsidRPr="00CC01F8" w:rsidRDefault="00D32876" w:rsidP="00ED085A">
            <w:pPr>
              <w:jc w:val="center"/>
            </w:pPr>
            <w:r>
              <w:t>94.5</w:t>
            </w:r>
          </w:p>
        </w:tc>
        <w:tc>
          <w:tcPr>
            <w:tcW w:w="1870" w:type="dxa"/>
          </w:tcPr>
          <w:p w14:paraId="3BB36579" w14:textId="732D558F" w:rsidR="007B5163" w:rsidRPr="00CC01F8" w:rsidRDefault="003D07C3" w:rsidP="00ED085A">
            <w:pPr>
              <w:jc w:val="center"/>
            </w:pPr>
            <w:r>
              <w:t>Affordable Housing</w:t>
            </w:r>
          </w:p>
        </w:tc>
      </w:tr>
      <w:tr w:rsidR="007B5163" w14:paraId="40BDC6CC" w14:textId="77777777" w:rsidTr="007B5163">
        <w:tc>
          <w:tcPr>
            <w:tcW w:w="1870" w:type="dxa"/>
          </w:tcPr>
          <w:p w14:paraId="3BA0F9B4" w14:textId="359F5E65" w:rsidR="007B5163" w:rsidRPr="00CC01F8" w:rsidRDefault="00BC04CB" w:rsidP="00ED085A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299845FC" w14:textId="18131C90" w:rsidR="007B5163" w:rsidRPr="00CC01F8" w:rsidRDefault="00D32876" w:rsidP="00ED085A">
            <w:pPr>
              <w:jc w:val="center"/>
            </w:pPr>
            <w:r>
              <w:t>Bungalow</w:t>
            </w:r>
          </w:p>
        </w:tc>
        <w:tc>
          <w:tcPr>
            <w:tcW w:w="1870" w:type="dxa"/>
          </w:tcPr>
          <w:p w14:paraId="51C194FC" w14:textId="0792C4E0" w:rsidR="007B5163" w:rsidRPr="00CC01F8" w:rsidRDefault="0010669F" w:rsidP="00ED085A">
            <w:pPr>
              <w:jc w:val="center"/>
            </w:pPr>
            <w:r>
              <w:t>1b2p</w:t>
            </w:r>
          </w:p>
        </w:tc>
        <w:tc>
          <w:tcPr>
            <w:tcW w:w="1870" w:type="dxa"/>
          </w:tcPr>
          <w:p w14:paraId="0A7D697B" w14:textId="528C5F9B" w:rsidR="007B5163" w:rsidRPr="00CC01F8" w:rsidRDefault="0010669F" w:rsidP="00ED085A">
            <w:pPr>
              <w:jc w:val="center"/>
            </w:pPr>
            <w:r>
              <w:t>51.37</w:t>
            </w:r>
          </w:p>
        </w:tc>
        <w:tc>
          <w:tcPr>
            <w:tcW w:w="1870" w:type="dxa"/>
          </w:tcPr>
          <w:p w14:paraId="084456AC" w14:textId="78627FD6" w:rsidR="007B5163" w:rsidRPr="00CC01F8" w:rsidRDefault="003D07C3" w:rsidP="00ED085A">
            <w:pPr>
              <w:jc w:val="center"/>
            </w:pPr>
            <w:r>
              <w:t>Affordable Housing</w:t>
            </w:r>
          </w:p>
        </w:tc>
      </w:tr>
      <w:tr w:rsidR="007B5163" w14:paraId="70AC7DD9" w14:textId="77777777" w:rsidTr="007B5163">
        <w:tc>
          <w:tcPr>
            <w:tcW w:w="1870" w:type="dxa"/>
          </w:tcPr>
          <w:p w14:paraId="4B80506F" w14:textId="3DF50755" w:rsidR="007B5163" w:rsidRPr="00CC01F8" w:rsidRDefault="00BC04CB" w:rsidP="00ED085A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149A8160" w14:textId="1DFD6D98" w:rsidR="007B5163" w:rsidRPr="00CC01F8" w:rsidRDefault="00F84E05" w:rsidP="00ED085A">
            <w:pPr>
              <w:jc w:val="center"/>
            </w:pPr>
            <w:r>
              <w:t>Semi-Detached House</w:t>
            </w:r>
          </w:p>
        </w:tc>
        <w:tc>
          <w:tcPr>
            <w:tcW w:w="1870" w:type="dxa"/>
          </w:tcPr>
          <w:p w14:paraId="06620B8E" w14:textId="3CA6D539" w:rsidR="007B5163" w:rsidRPr="00CC01F8" w:rsidRDefault="00B00E95" w:rsidP="00ED085A">
            <w:pPr>
              <w:jc w:val="center"/>
            </w:pPr>
            <w:r>
              <w:t>2b4p</w:t>
            </w:r>
          </w:p>
        </w:tc>
        <w:tc>
          <w:tcPr>
            <w:tcW w:w="1870" w:type="dxa"/>
          </w:tcPr>
          <w:p w14:paraId="7A620B97" w14:textId="5B2F4901" w:rsidR="007B5163" w:rsidRPr="00CC01F8" w:rsidRDefault="0010669F" w:rsidP="00ED085A">
            <w:pPr>
              <w:jc w:val="center"/>
            </w:pPr>
            <w:r>
              <w:t>74.7</w:t>
            </w:r>
          </w:p>
        </w:tc>
        <w:tc>
          <w:tcPr>
            <w:tcW w:w="1870" w:type="dxa"/>
          </w:tcPr>
          <w:p w14:paraId="1E63AB39" w14:textId="75CF1E2A" w:rsidR="007B5163" w:rsidRPr="00CC01F8" w:rsidRDefault="003D07C3" w:rsidP="00ED085A">
            <w:pPr>
              <w:jc w:val="center"/>
            </w:pPr>
            <w:r>
              <w:t>Affordable Housing</w:t>
            </w:r>
          </w:p>
        </w:tc>
      </w:tr>
      <w:tr w:rsidR="007B5163" w14:paraId="426243EB" w14:textId="77777777" w:rsidTr="007B5163">
        <w:tc>
          <w:tcPr>
            <w:tcW w:w="1870" w:type="dxa"/>
          </w:tcPr>
          <w:p w14:paraId="2464ED5D" w14:textId="7C271C05" w:rsidR="007B5163" w:rsidRPr="00CC01F8" w:rsidRDefault="00BC04CB" w:rsidP="00ED085A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4EF2C241" w14:textId="4A4F71F2" w:rsidR="007B5163" w:rsidRPr="00CC01F8" w:rsidRDefault="00F84E05" w:rsidP="00ED085A">
            <w:pPr>
              <w:jc w:val="center"/>
            </w:pPr>
            <w:r>
              <w:t>Semi-Detached House</w:t>
            </w:r>
          </w:p>
        </w:tc>
        <w:tc>
          <w:tcPr>
            <w:tcW w:w="1870" w:type="dxa"/>
          </w:tcPr>
          <w:p w14:paraId="52131DAA" w14:textId="3B581192" w:rsidR="007B5163" w:rsidRPr="00CC01F8" w:rsidRDefault="00B00E95" w:rsidP="00ED085A">
            <w:pPr>
              <w:jc w:val="center"/>
            </w:pPr>
            <w:r>
              <w:t>2b4p</w:t>
            </w:r>
          </w:p>
        </w:tc>
        <w:tc>
          <w:tcPr>
            <w:tcW w:w="1870" w:type="dxa"/>
          </w:tcPr>
          <w:p w14:paraId="4265EBBC" w14:textId="4541A1DF" w:rsidR="007B5163" w:rsidRPr="00CC01F8" w:rsidRDefault="0010669F" w:rsidP="00ED085A">
            <w:pPr>
              <w:jc w:val="center"/>
            </w:pPr>
            <w:r>
              <w:t>74.7</w:t>
            </w:r>
          </w:p>
        </w:tc>
        <w:tc>
          <w:tcPr>
            <w:tcW w:w="1870" w:type="dxa"/>
          </w:tcPr>
          <w:p w14:paraId="5B115121" w14:textId="25C520FA" w:rsidR="007B5163" w:rsidRPr="00CC01F8" w:rsidRDefault="003D07C3" w:rsidP="00ED085A">
            <w:pPr>
              <w:jc w:val="center"/>
            </w:pPr>
            <w:r>
              <w:t>Affordable Housing</w:t>
            </w:r>
          </w:p>
        </w:tc>
      </w:tr>
      <w:tr w:rsidR="007B5163" w14:paraId="13B9EBD0" w14:textId="77777777" w:rsidTr="007B5163">
        <w:tc>
          <w:tcPr>
            <w:tcW w:w="1870" w:type="dxa"/>
          </w:tcPr>
          <w:p w14:paraId="4ED45B8C" w14:textId="036AEB59" w:rsidR="007B5163" w:rsidRPr="00CC01F8" w:rsidRDefault="00BC04CB" w:rsidP="00ED085A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14:paraId="43C8E725" w14:textId="64D3328B" w:rsidR="007B5163" w:rsidRPr="00CC01F8" w:rsidRDefault="00F84E05" w:rsidP="00ED085A">
            <w:pPr>
              <w:jc w:val="center"/>
            </w:pPr>
            <w:r>
              <w:t>Semi-Detached House</w:t>
            </w:r>
          </w:p>
        </w:tc>
        <w:tc>
          <w:tcPr>
            <w:tcW w:w="1870" w:type="dxa"/>
          </w:tcPr>
          <w:p w14:paraId="0D5855C1" w14:textId="38840246" w:rsidR="007B5163" w:rsidRPr="00CC01F8" w:rsidRDefault="00B00E95" w:rsidP="00ED085A">
            <w:pPr>
              <w:jc w:val="center"/>
            </w:pPr>
            <w:r>
              <w:t>2b4p</w:t>
            </w:r>
          </w:p>
        </w:tc>
        <w:tc>
          <w:tcPr>
            <w:tcW w:w="1870" w:type="dxa"/>
          </w:tcPr>
          <w:p w14:paraId="10DE8264" w14:textId="4BF459C5" w:rsidR="007B5163" w:rsidRPr="00CC01F8" w:rsidRDefault="00F819E1" w:rsidP="00ED085A">
            <w:pPr>
              <w:jc w:val="center"/>
            </w:pPr>
            <w:r>
              <w:t>76.9</w:t>
            </w:r>
          </w:p>
        </w:tc>
        <w:tc>
          <w:tcPr>
            <w:tcW w:w="1870" w:type="dxa"/>
          </w:tcPr>
          <w:p w14:paraId="433CEF6C" w14:textId="168EEA12" w:rsidR="007B5163" w:rsidRPr="00CC01F8" w:rsidRDefault="003D07C3" w:rsidP="00ED085A">
            <w:pPr>
              <w:jc w:val="center"/>
            </w:pPr>
            <w:r>
              <w:t>Affordable Housing</w:t>
            </w:r>
          </w:p>
        </w:tc>
      </w:tr>
      <w:tr w:rsidR="007B5163" w14:paraId="0CAD968A" w14:textId="77777777" w:rsidTr="007B5163">
        <w:tc>
          <w:tcPr>
            <w:tcW w:w="1870" w:type="dxa"/>
          </w:tcPr>
          <w:p w14:paraId="5E983B6A" w14:textId="37D36ECE" w:rsidR="007B5163" w:rsidRPr="00CC01F8" w:rsidRDefault="00BC04CB" w:rsidP="00ED085A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14:paraId="112C3BD6" w14:textId="1546F257" w:rsidR="007B5163" w:rsidRPr="00CC01F8" w:rsidRDefault="00F84E05" w:rsidP="00ED085A">
            <w:pPr>
              <w:jc w:val="center"/>
            </w:pPr>
            <w:r>
              <w:t>Semi-Detached House</w:t>
            </w:r>
          </w:p>
        </w:tc>
        <w:tc>
          <w:tcPr>
            <w:tcW w:w="1870" w:type="dxa"/>
          </w:tcPr>
          <w:p w14:paraId="69002A8D" w14:textId="65EF50A6" w:rsidR="007B5163" w:rsidRPr="00CC01F8" w:rsidRDefault="00B00E95" w:rsidP="00ED085A">
            <w:pPr>
              <w:jc w:val="center"/>
            </w:pPr>
            <w:r>
              <w:t>2b4p</w:t>
            </w:r>
          </w:p>
        </w:tc>
        <w:tc>
          <w:tcPr>
            <w:tcW w:w="1870" w:type="dxa"/>
          </w:tcPr>
          <w:p w14:paraId="466D4AB3" w14:textId="65B54D3D" w:rsidR="007B5163" w:rsidRPr="00CC01F8" w:rsidRDefault="00F819E1" w:rsidP="00ED085A">
            <w:pPr>
              <w:jc w:val="center"/>
            </w:pPr>
            <w:r>
              <w:t>75.28</w:t>
            </w:r>
          </w:p>
        </w:tc>
        <w:tc>
          <w:tcPr>
            <w:tcW w:w="1870" w:type="dxa"/>
          </w:tcPr>
          <w:p w14:paraId="69D788F2" w14:textId="03B66073" w:rsidR="007B5163" w:rsidRPr="00CC01F8" w:rsidRDefault="003D07C3" w:rsidP="00ED085A">
            <w:pPr>
              <w:jc w:val="center"/>
            </w:pPr>
            <w:r>
              <w:t>Affordable Housing</w:t>
            </w:r>
          </w:p>
        </w:tc>
      </w:tr>
    </w:tbl>
    <w:p w14:paraId="23AD32EB" w14:textId="5A1EE00C" w:rsidR="4B35CB50" w:rsidRDefault="4B35CB50" w:rsidP="4B35CB50">
      <w:pPr>
        <w:rPr>
          <w:u w:val="single"/>
        </w:rPr>
      </w:pPr>
    </w:p>
    <w:p w14:paraId="5FB7C6BF" w14:textId="5A1FABDD" w:rsidR="56539FD1" w:rsidRPr="0040185D" w:rsidRDefault="11064D35" w:rsidP="56539FD1">
      <w:pPr>
        <w:rPr>
          <w:b/>
          <w:bCs/>
          <w:u w:val="single"/>
        </w:rPr>
      </w:pPr>
      <w:r w:rsidRPr="0040185D">
        <w:rPr>
          <w:b/>
          <w:bCs/>
          <w:u w:val="single"/>
        </w:rPr>
        <w:t>Site Location Details:</w:t>
      </w:r>
    </w:p>
    <w:p w14:paraId="2B7E3937" w14:textId="5ED4A0AE" w:rsidR="4B35CB50" w:rsidRDefault="4B35CB50" w:rsidP="4B35CB50"/>
    <w:p w14:paraId="131E4799" w14:textId="3EFB44C3" w:rsidR="00652E53" w:rsidRDefault="00652E53" w:rsidP="4B35CB50">
      <w:r>
        <w:t>The proposed development site is located off Queens Street, Measham</w:t>
      </w:r>
      <w:r w:rsidR="00C65B7A">
        <w:t xml:space="preserve">. </w:t>
      </w:r>
      <w:r w:rsidR="63B8FC15">
        <w:t>The site was occupied by the Queensway House building of 16 sheltered housing flats.</w:t>
      </w:r>
      <w:r w:rsidR="00F518F1">
        <w:t xml:space="preserve"> </w:t>
      </w:r>
      <w:r w:rsidR="29083B23">
        <w:t>The site comprises open brownfield land with a retaining wall and parking to the west side.</w:t>
      </w:r>
      <w:r w:rsidR="00663259">
        <w:t xml:space="preserve"> The location of the former no4 Queens Street</w:t>
      </w:r>
      <w:r w:rsidR="703A83EC">
        <w:t xml:space="preserve"> (now demolished)</w:t>
      </w:r>
      <w:r w:rsidR="00663259">
        <w:t xml:space="preserve"> </w:t>
      </w:r>
      <w:r w:rsidR="00404D12">
        <w:t xml:space="preserve">has a retaining wall to its west side also. The site is bound by existing residential buildings </w:t>
      </w:r>
      <w:r w:rsidR="00DA7A5B">
        <w:t>on all its boundaries with a retaining wall to the north side beside the new development.</w:t>
      </w:r>
    </w:p>
    <w:p w14:paraId="4D422A6C" w14:textId="77777777" w:rsidR="00F17BEA" w:rsidRDefault="00F17BEA">
      <w:r>
        <w:br w:type="page"/>
      </w:r>
    </w:p>
    <w:p w14:paraId="131B153B" w14:textId="60C05322" w:rsidR="11064D35" w:rsidRPr="0040185D" w:rsidRDefault="11064D35" w:rsidP="4B35CB50">
      <w:pPr>
        <w:rPr>
          <w:b/>
          <w:bCs/>
          <w:u w:val="single"/>
        </w:rPr>
      </w:pPr>
      <w:r w:rsidRPr="0040185D">
        <w:rPr>
          <w:b/>
          <w:bCs/>
          <w:u w:val="single"/>
        </w:rPr>
        <w:lastRenderedPageBreak/>
        <w:t>Project Team:</w:t>
      </w:r>
    </w:p>
    <w:p w14:paraId="5518430A" w14:textId="542604EF" w:rsidR="4B35CB50" w:rsidRDefault="4B35CB50" w:rsidP="4B35CB50">
      <w:pPr>
        <w:rPr>
          <w:u w:val="single"/>
        </w:rPr>
      </w:pPr>
    </w:p>
    <w:p w14:paraId="4467F67F" w14:textId="5267F338" w:rsidR="11064D35" w:rsidRDefault="78B6F2CA" w:rsidP="4B35CB50">
      <w:pPr>
        <w:rPr>
          <w:u w:val="single"/>
        </w:rPr>
      </w:pPr>
      <w:r>
        <w:t>Client Representative</w:t>
      </w:r>
      <w:r w:rsidR="11064D35">
        <w:t>:</w:t>
      </w:r>
      <w:r w:rsidR="00F17BEA">
        <w:t xml:space="preserve"> Michael </w:t>
      </w:r>
      <w:proofErr w:type="spellStart"/>
      <w:r w:rsidR="00F17BEA">
        <w:t>Fowell</w:t>
      </w:r>
      <w:proofErr w:type="spellEnd"/>
    </w:p>
    <w:p w14:paraId="362A5C3F" w14:textId="004BE32E" w:rsidR="11064D35" w:rsidRDefault="11064D35" w:rsidP="4B35CB50">
      <w:r>
        <w:t>Employers Agent:</w:t>
      </w:r>
      <w:r w:rsidR="00F17BEA">
        <w:t xml:space="preserve"> Greenwood Projects</w:t>
      </w:r>
    </w:p>
    <w:p w14:paraId="6A41D8EF" w14:textId="7C8DA7E9" w:rsidR="11064D35" w:rsidRDefault="11064D35" w:rsidP="4B35CB50">
      <w:r>
        <w:t>Clerk of Works:</w:t>
      </w:r>
    </w:p>
    <w:p w14:paraId="6F6249DD" w14:textId="7A57097D" w:rsidR="11064D35" w:rsidRDefault="11064D35" w:rsidP="4B35CB50">
      <w:r>
        <w:t>Principal Designer</w:t>
      </w:r>
      <w:r w:rsidR="00F17BEA">
        <w:t>:</w:t>
      </w:r>
    </w:p>
    <w:p w14:paraId="5B17C45A" w14:textId="401E7432" w:rsidR="11064D35" w:rsidRDefault="11064D35" w:rsidP="4B35CB50">
      <w:r>
        <w:t>Architect:</w:t>
      </w:r>
    </w:p>
    <w:p w14:paraId="6E2C13BF" w14:textId="0B1944D1" w:rsidR="11064D35" w:rsidRDefault="11064D35" w:rsidP="4B35CB50">
      <w:r>
        <w:t>M &amp; E Consultant:</w:t>
      </w:r>
    </w:p>
    <w:p w14:paraId="20787EA1" w14:textId="1B5D9D75" w:rsidR="11064D35" w:rsidRDefault="11064D35" w:rsidP="4B35CB50">
      <w:r>
        <w:t>Transport Consultant:</w:t>
      </w:r>
    </w:p>
    <w:p w14:paraId="4B5EBA88" w14:textId="5EA5D36C" w:rsidR="11064D35" w:rsidRDefault="11064D35" w:rsidP="4B35CB50">
      <w:r>
        <w:t>Drainage Engineer:</w:t>
      </w:r>
    </w:p>
    <w:p w14:paraId="4C4D825B" w14:textId="6F4CBA8D" w:rsidR="11064D35" w:rsidRDefault="11064D35" w:rsidP="4B35CB50">
      <w:r>
        <w:t>Ecologist:</w:t>
      </w:r>
    </w:p>
    <w:p w14:paraId="4DBEC34B" w14:textId="4F0F6BAE" w:rsidR="4B35CB50" w:rsidRDefault="4B35CB50" w:rsidP="4B35CB50"/>
    <w:p w14:paraId="2BFFA22C" w14:textId="226F0E5B" w:rsidR="11064D35" w:rsidRPr="0040185D" w:rsidRDefault="11064D35" w:rsidP="4B35CB50">
      <w:pPr>
        <w:rPr>
          <w:b/>
          <w:bCs/>
        </w:rPr>
      </w:pPr>
      <w:r w:rsidRPr="0040185D">
        <w:rPr>
          <w:b/>
          <w:bCs/>
          <w:u w:val="single"/>
        </w:rPr>
        <w:t>Procurement Approach:</w:t>
      </w:r>
    </w:p>
    <w:p w14:paraId="184141E0" w14:textId="501B9B10" w:rsidR="4B35CB50" w:rsidRDefault="4B35CB50" w:rsidP="4B35CB50">
      <w:pPr>
        <w:rPr>
          <w:u w:val="single"/>
        </w:rPr>
      </w:pPr>
    </w:p>
    <w:p w14:paraId="69923085" w14:textId="0F9B140A" w:rsidR="4B35CB50" w:rsidRDefault="006043C8" w:rsidP="006043C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GB"/>
        </w:rPr>
      </w:pPr>
      <w:bookmarkStart w:id="2" w:name="_Int_MdnYx95w"/>
      <w:r w:rsidRPr="249BE560">
        <w:rPr>
          <w:rFonts w:ascii="CIDFont+F2" w:hAnsi="CIDFont+F2" w:cs="CIDFont+F2"/>
          <w:lang w:val="en-GB"/>
        </w:rPr>
        <w:t>North West</w:t>
      </w:r>
      <w:bookmarkEnd w:id="2"/>
      <w:r w:rsidRPr="249BE560">
        <w:rPr>
          <w:rFonts w:ascii="CIDFont+F2" w:hAnsi="CIDFont+F2" w:cs="CIDFont+F2"/>
          <w:lang w:val="en-GB"/>
        </w:rPr>
        <w:t xml:space="preserve"> Leicestershire District Council are seeking to procure a construction</w:t>
      </w:r>
      <w:r w:rsidR="00281A11">
        <w:rPr>
          <w:rFonts w:ascii="CIDFont+F2" w:hAnsi="CIDFont+F2" w:cs="CIDFont+F2"/>
          <w:lang w:val="en-GB"/>
        </w:rPr>
        <w:t xml:space="preserve"> </w:t>
      </w:r>
      <w:r w:rsidR="00DA7ACA">
        <w:rPr>
          <w:rFonts w:ascii="CIDFont+F2" w:hAnsi="CIDFont+F2" w:cs="CIDFont+F2"/>
          <w:lang w:val="en-GB"/>
        </w:rPr>
        <w:t>company</w:t>
      </w:r>
      <w:r w:rsidRPr="249BE560">
        <w:rPr>
          <w:rFonts w:ascii="CIDFont+F2" w:hAnsi="CIDFont+F2" w:cs="CIDFont+F2"/>
          <w:lang w:val="en-GB"/>
        </w:rPr>
        <w:t xml:space="preserve"> who has a proven </w:t>
      </w:r>
      <w:r w:rsidR="5455E057" w:rsidRPr="249BE560">
        <w:rPr>
          <w:rFonts w:ascii="CIDFont+F2" w:hAnsi="CIDFont+F2" w:cs="CIDFont+F2"/>
          <w:lang w:val="en-GB"/>
        </w:rPr>
        <w:t>record of accomplishment</w:t>
      </w:r>
      <w:r w:rsidRPr="249BE560">
        <w:rPr>
          <w:rFonts w:ascii="CIDFont+F2" w:hAnsi="CIDFont+F2" w:cs="CIDFont+F2"/>
          <w:lang w:val="en-GB"/>
        </w:rPr>
        <w:t xml:space="preserve"> and can deliver a scheme of this size and complexity.</w:t>
      </w:r>
      <w:r w:rsidR="27BEA4EE" w:rsidRPr="249BE560">
        <w:rPr>
          <w:rFonts w:ascii="CIDFont+F2" w:hAnsi="CIDFont+F2" w:cs="CIDFont+F2"/>
          <w:lang w:val="en-GB"/>
        </w:rPr>
        <w:t xml:space="preserve"> </w:t>
      </w:r>
      <w:r w:rsidRPr="249BE560">
        <w:rPr>
          <w:rFonts w:ascii="CIDFont+F2" w:hAnsi="CIDFont+F2" w:cs="CIDFont+F2"/>
          <w:lang w:val="en-GB"/>
        </w:rPr>
        <w:t xml:space="preserve">If we have </w:t>
      </w:r>
      <w:r w:rsidR="45E683D5" w:rsidRPr="249BE560">
        <w:rPr>
          <w:rFonts w:ascii="CIDFont+F2" w:hAnsi="CIDFont+F2" w:cs="CIDFont+F2"/>
          <w:lang w:val="en-GB"/>
        </w:rPr>
        <w:t xml:space="preserve">an elevated level </w:t>
      </w:r>
      <w:r w:rsidRPr="249BE560">
        <w:rPr>
          <w:rFonts w:ascii="CIDFont+F2" w:hAnsi="CIDFont+F2" w:cs="CIDFont+F2"/>
          <w:lang w:val="en-GB"/>
        </w:rPr>
        <w:t xml:space="preserve">of interest, </w:t>
      </w:r>
      <w:bookmarkStart w:id="3" w:name="_Int_QMxsnYVc"/>
      <w:r w:rsidRPr="249BE560">
        <w:rPr>
          <w:rFonts w:ascii="CIDFont+F2" w:hAnsi="CIDFont+F2" w:cs="CIDFont+F2"/>
          <w:lang w:val="en-GB"/>
        </w:rPr>
        <w:t>North West</w:t>
      </w:r>
      <w:bookmarkEnd w:id="3"/>
      <w:r w:rsidRPr="249BE560">
        <w:rPr>
          <w:rFonts w:ascii="CIDFont+F2" w:hAnsi="CIDFont+F2" w:cs="CIDFont+F2"/>
          <w:lang w:val="en-GB"/>
        </w:rPr>
        <w:t xml:space="preserve"> Leicestershire District Council may apply capability criteria questions as a sifting brief to determine the most capable applicants, who would be invited to participate in the ITT.</w:t>
      </w:r>
    </w:p>
    <w:p w14:paraId="3338D000" w14:textId="77777777" w:rsidR="006043C8" w:rsidRDefault="006043C8" w:rsidP="006043C8">
      <w:pPr>
        <w:rPr>
          <w:u w:val="single"/>
        </w:rPr>
      </w:pPr>
    </w:p>
    <w:p w14:paraId="1F25A434" w14:textId="77777777" w:rsidR="00F17BEA" w:rsidRDefault="00F17BE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D7C5929" w14:textId="7E6260B9" w:rsidR="11064D35" w:rsidRPr="0040185D" w:rsidRDefault="11064D35" w:rsidP="4B35CB50">
      <w:pPr>
        <w:rPr>
          <w:b/>
          <w:bCs/>
          <w:u w:val="single"/>
        </w:rPr>
      </w:pPr>
      <w:r w:rsidRPr="0040185D">
        <w:rPr>
          <w:b/>
          <w:bCs/>
          <w:u w:val="single"/>
        </w:rPr>
        <w:lastRenderedPageBreak/>
        <w:t>Indicative Timetable:</w:t>
      </w:r>
    </w:p>
    <w:p w14:paraId="5D369B1A" w14:textId="38A26C17" w:rsidR="4B35CB50" w:rsidRDefault="4B35CB50" w:rsidP="4B35CB50">
      <w:pPr>
        <w:rPr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B35CB50" w14:paraId="6B5A90C6" w14:textId="77777777" w:rsidTr="7D48A9DE">
        <w:trPr>
          <w:trHeight w:val="300"/>
        </w:trPr>
        <w:tc>
          <w:tcPr>
            <w:tcW w:w="4680" w:type="dxa"/>
          </w:tcPr>
          <w:p w14:paraId="085E191D" w14:textId="00A0296B" w:rsidR="11064D35" w:rsidRDefault="11064D35" w:rsidP="00ED085A">
            <w:pPr>
              <w:jc w:val="center"/>
            </w:pPr>
            <w:r>
              <w:t>Activity</w:t>
            </w:r>
          </w:p>
        </w:tc>
        <w:tc>
          <w:tcPr>
            <w:tcW w:w="4680" w:type="dxa"/>
          </w:tcPr>
          <w:p w14:paraId="07EB6D4C" w14:textId="5240B9EA" w:rsidR="11064D35" w:rsidRDefault="11064D35" w:rsidP="00ED085A">
            <w:pPr>
              <w:jc w:val="center"/>
            </w:pPr>
            <w:r>
              <w:t>Date</w:t>
            </w:r>
          </w:p>
        </w:tc>
      </w:tr>
      <w:tr w:rsidR="4B35CB50" w14:paraId="1C66ABCE" w14:textId="77777777" w:rsidTr="7D48A9DE">
        <w:trPr>
          <w:trHeight w:val="300"/>
        </w:trPr>
        <w:tc>
          <w:tcPr>
            <w:tcW w:w="4680" w:type="dxa"/>
          </w:tcPr>
          <w:p w14:paraId="5CE1A622" w14:textId="5FCE6F1E" w:rsidR="11064D35" w:rsidRDefault="11064D35" w:rsidP="4B35CB50">
            <w:r>
              <w:t>EOI Issued (</w:t>
            </w:r>
            <w:r w:rsidR="210652E6">
              <w:t>2-week</w:t>
            </w:r>
            <w:r>
              <w:t xml:space="preserve"> response)</w:t>
            </w:r>
          </w:p>
        </w:tc>
        <w:tc>
          <w:tcPr>
            <w:tcW w:w="4680" w:type="dxa"/>
          </w:tcPr>
          <w:p w14:paraId="142DE9DA" w14:textId="38205739" w:rsidR="4B35CB50" w:rsidRDefault="00C26C0D" w:rsidP="4B35CB50">
            <w:r>
              <w:t>Tuesday 9</w:t>
            </w:r>
            <w:r w:rsidRPr="00C26C0D">
              <w:rPr>
                <w:vertAlign w:val="superscript"/>
              </w:rPr>
              <w:t>th</w:t>
            </w:r>
            <w:r>
              <w:t xml:space="preserve"> July</w:t>
            </w:r>
            <w:r w:rsidR="00E95995">
              <w:t xml:space="preserve"> 2024</w:t>
            </w:r>
          </w:p>
        </w:tc>
      </w:tr>
      <w:tr w:rsidR="4B35CB50" w14:paraId="47098760" w14:textId="77777777" w:rsidTr="7D48A9DE">
        <w:trPr>
          <w:trHeight w:val="300"/>
        </w:trPr>
        <w:tc>
          <w:tcPr>
            <w:tcW w:w="4680" w:type="dxa"/>
          </w:tcPr>
          <w:p w14:paraId="5794693F" w14:textId="3F01AD10" w:rsidR="11064D35" w:rsidRDefault="11064D35" w:rsidP="4B35CB50">
            <w:r>
              <w:t>EOI Due</w:t>
            </w:r>
          </w:p>
        </w:tc>
        <w:tc>
          <w:tcPr>
            <w:tcW w:w="4680" w:type="dxa"/>
          </w:tcPr>
          <w:p w14:paraId="52727223" w14:textId="000B4337" w:rsidR="4B35CB50" w:rsidRDefault="00C26C0D" w:rsidP="4B35CB50">
            <w:r>
              <w:t xml:space="preserve">Tuesday </w:t>
            </w:r>
            <w:r w:rsidR="00632358">
              <w:t>23rd</w:t>
            </w:r>
            <w:r w:rsidR="00C104D5">
              <w:t xml:space="preserve"> July</w:t>
            </w:r>
            <w:r w:rsidR="00E95995">
              <w:t xml:space="preserve"> 2024</w:t>
            </w:r>
            <w:r w:rsidR="00C104D5">
              <w:t xml:space="preserve"> at 1</w:t>
            </w:r>
            <w:r w:rsidR="00F10BEB">
              <w:t>2</w:t>
            </w:r>
            <w:r w:rsidR="00C104D5">
              <w:t>:00</w:t>
            </w:r>
            <w:r w:rsidR="00F10BEB">
              <w:t xml:space="preserve"> (noon)</w:t>
            </w:r>
          </w:p>
        </w:tc>
      </w:tr>
      <w:tr w:rsidR="4B35CB50" w14:paraId="4CBEF830" w14:textId="77777777" w:rsidTr="7D48A9DE">
        <w:trPr>
          <w:trHeight w:val="300"/>
        </w:trPr>
        <w:tc>
          <w:tcPr>
            <w:tcW w:w="4680" w:type="dxa"/>
          </w:tcPr>
          <w:p w14:paraId="586FF8BB" w14:textId="4F1F4391" w:rsidR="11064D35" w:rsidRDefault="11064D35" w:rsidP="4B35CB50">
            <w:r>
              <w:t>Sifting Brief (if required)</w:t>
            </w:r>
          </w:p>
        </w:tc>
        <w:tc>
          <w:tcPr>
            <w:tcW w:w="4680" w:type="dxa"/>
          </w:tcPr>
          <w:p w14:paraId="6CF562CD" w14:textId="7C650CF3" w:rsidR="4B35CB50" w:rsidRDefault="009C03D0" w:rsidP="4B35CB50">
            <w:r>
              <w:t>2 weeks</w:t>
            </w:r>
          </w:p>
        </w:tc>
      </w:tr>
      <w:tr w:rsidR="4B35CB50" w14:paraId="4A965A82" w14:textId="77777777" w:rsidTr="7D48A9DE">
        <w:trPr>
          <w:trHeight w:val="300"/>
        </w:trPr>
        <w:tc>
          <w:tcPr>
            <w:tcW w:w="4680" w:type="dxa"/>
          </w:tcPr>
          <w:p w14:paraId="19E4E85B" w14:textId="78607605" w:rsidR="11064D35" w:rsidRDefault="11064D35" w:rsidP="4B35CB50">
            <w:r>
              <w:t>ITT Issued</w:t>
            </w:r>
          </w:p>
        </w:tc>
        <w:tc>
          <w:tcPr>
            <w:tcW w:w="4680" w:type="dxa"/>
          </w:tcPr>
          <w:p w14:paraId="561AEE46" w14:textId="7C1DABF0" w:rsidR="4B35CB50" w:rsidRDefault="00FA3874" w:rsidP="4B35CB50">
            <w:r>
              <w:t>August 2024*</w:t>
            </w:r>
          </w:p>
        </w:tc>
      </w:tr>
      <w:tr w:rsidR="4B35CB50" w14:paraId="35733622" w14:textId="77777777" w:rsidTr="7D48A9DE">
        <w:trPr>
          <w:trHeight w:val="300"/>
        </w:trPr>
        <w:tc>
          <w:tcPr>
            <w:tcW w:w="4680" w:type="dxa"/>
          </w:tcPr>
          <w:p w14:paraId="78D8CA06" w14:textId="7457086F" w:rsidR="11064D35" w:rsidRDefault="11064D35" w:rsidP="4B35CB50">
            <w:r>
              <w:t>Tender Return (8 weeks)</w:t>
            </w:r>
          </w:p>
        </w:tc>
        <w:tc>
          <w:tcPr>
            <w:tcW w:w="4680" w:type="dxa"/>
          </w:tcPr>
          <w:p w14:paraId="18D7D545" w14:textId="195A1844" w:rsidR="4B35CB50" w:rsidRDefault="00FA3874" w:rsidP="4B35CB50">
            <w:r>
              <w:t>September 2024*</w:t>
            </w:r>
          </w:p>
        </w:tc>
      </w:tr>
      <w:tr w:rsidR="4B35CB50" w14:paraId="034FB451" w14:textId="77777777" w:rsidTr="7D48A9DE">
        <w:trPr>
          <w:trHeight w:val="300"/>
        </w:trPr>
        <w:tc>
          <w:tcPr>
            <w:tcW w:w="4680" w:type="dxa"/>
          </w:tcPr>
          <w:p w14:paraId="0E555225" w14:textId="1D1C9DF0" w:rsidR="11064D35" w:rsidRDefault="11064D35" w:rsidP="4B35CB50">
            <w:r>
              <w:t>Assessment</w:t>
            </w:r>
          </w:p>
        </w:tc>
        <w:tc>
          <w:tcPr>
            <w:tcW w:w="4680" w:type="dxa"/>
          </w:tcPr>
          <w:p w14:paraId="016C7811" w14:textId="3061A8C5" w:rsidR="4B35CB50" w:rsidRDefault="00FA3874" w:rsidP="4B35CB50">
            <w:r>
              <w:t>October 2024*</w:t>
            </w:r>
          </w:p>
        </w:tc>
      </w:tr>
      <w:tr w:rsidR="4B35CB50" w14:paraId="7DDE8C28" w14:textId="77777777" w:rsidTr="7D48A9DE">
        <w:trPr>
          <w:trHeight w:val="300"/>
        </w:trPr>
        <w:tc>
          <w:tcPr>
            <w:tcW w:w="4680" w:type="dxa"/>
          </w:tcPr>
          <w:p w14:paraId="1151DF6F" w14:textId="45012CF4" w:rsidR="11064D35" w:rsidRDefault="11064D35" w:rsidP="4B35CB50">
            <w:r>
              <w:t>Contractor Selection</w:t>
            </w:r>
          </w:p>
        </w:tc>
        <w:tc>
          <w:tcPr>
            <w:tcW w:w="4680" w:type="dxa"/>
          </w:tcPr>
          <w:p w14:paraId="1D2C4515" w14:textId="2D944CA8" w:rsidR="4B35CB50" w:rsidRDefault="00FA3874" w:rsidP="4B35CB50">
            <w:r>
              <w:t>October 2024*</w:t>
            </w:r>
          </w:p>
        </w:tc>
      </w:tr>
      <w:tr w:rsidR="4B35CB50" w14:paraId="2724CCCF" w14:textId="77777777" w:rsidTr="7D48A9DE">
        <w:trPr>
          <w:trHeight w:val="300"/>
        </w:trPr>
        <w:tc>
          <w:tcPr>
            <w:tcW w:w="4680" w:type="dxa"/>
          </w:tcPr>
          <w:p w14:paraId="4E5DA83A" w14:textId="4FA394F0" w:rsidR="11064D35" w:rsidRDefault="11064D35" w:rsidP="4B35CB50">
            <w:r>
              <w:t>Start on Site</w:t>
            </w:r>
          </w:p>
        </w:tc>
        <w:tc>
          <w:tcPr>
            <w:tcW w:w="4680" w:type="dxa"/>
          </w:tcPr>
          <w:p w14:paraId="072A5262" w14:textId="2D4DA0A0" w:rsidR="4B35CB50" w:rsidRDefault="00FA3874" w:rsidP="4B35CB50">
            <w:r>
              <w:t>November 2024*</w:t>
            </w:r>
          </w:p>
        </w:tc>
      </w:tr>
    </w:tbl>
    <w:p w14:paraId="2C28A83F" w14:textId="60E323D6" w:rsidR="00FA3874" w:rsidRDefault="00FA3874" w:rsidP="00FA3874">
      <w:r>
        <w:t>* = indicative timings</w:t>
      </w:r>
    </w:p>
    <w:p w14:paraId="78D1EB53" w14:textId="78A902B8" w:rsidR="11064D35" w:rsidRPr="0040185D" w:rsidRDefault="11064D35" w:rsidP="4B35CB50">
      <w:pPr>
        <w:rPr>
          <w:b/>
          <w:bCs/>
        </w:rPr>
      </w:pPr>
      <w:r w:rsidRPr="0040185D">
        <w:rPr>
          <w:b/>
          <w:bCs/>
          <w:u w:val="single"/>
        </w:rPr>
        <w:t>Submission of Expression of Interest:</w:t>
      </w:r>
    </w:p>
    <w:p w14:paraId="5D9A3B39" w14:textId="0C2A7AE0" w:rsidR="4B35CB50" w:rsidRDefault="4B35CB50" w:rsidP="4B35CB50">
      <w:pPr>
        <w:rPr>
          <w:u w:val="single"/>
        </w:rPr>
      </w:pPr>
    </w:p>
    <w:p w14:paraId="3E8F80E1" w14:textId="1950714E" w:rsidR="4B35CB50" w:rsidRDefault="00FB4F1F" w:rsidP="4B35CB50">
      <w:pPr>
        <w:rPr>
          <w:rFonts w:ascii="CIDFont+F2" w:hAnsi="CIDFont+F2" w:cs="CIDFont+F2"/>
          <w:lang w:val="en-GB"/>
        </w:rPr>
      </w:pPr>
      <w:r w:rsidRPr="7D48A9DE">
        <w:rPr>
          <w:rFonts w:ascii="CIDFont+F2" w:hAnsi="CIDFont+F2" w:cs="CIDFont+F2"/>
          <w:lang w:val="en-GB"/>
        </w:rPr>
        <w:t xml:space="preserve">Members must respond to this EOI via the </w:t>
      </w:r>
      <w:proofErr w:type="spellStart"/>
      <w:r w:rsidR="00F10BEB" w:rsidRPr="00F10BEB">
        <w:rPr>
          <w:rFonts w:ascii="CIDFont+F2" w:hAnsi="CIDFont+F2" w:cs="CIDFont+F2"/>
          <w:lang w:val="en-GB"/>
        </w:rPr>
        <w:t>ProContract</w:t>
      </w:r>
      <w:proofErr w:type="spellEnd"/>
      <w:r w:rsidR="00F10BEB">
        <w:rPr>
          <w:rFonts w:ascii="CIDFont+F2" w:hAnsi="CIDFont+F2" w:cs="CIDFont+F2"/>
          <w:lang w:val="en-GB"/>
        </w:rPr>
        <w:t xml:space="preserve"> </w:t>
      </w:r>
      <w:r w:rsidRPr="7D48A9DE">
        <w:rPr>
          <w:rFonts w:ascii="CIDFont+F2" w:hAnsi="CIDFont+F2" w:cs="CIDFont+F2"/>
          <w:lang w:val="en-GB"/>
        </w:rPr>
        <w:t xml:space="preserve">eProcurement Portal by noon on </w:t>
      </w:r>
      <w:r w:rsidR="00F10BEB">
        <w:rPr>
          <w:rFonts w:ascii="CIDFont+F2" w:hAnsi="CIDFont+F2" w:cs="CIDFont+F2"/>
          <w:lang w:val="en-GB"/>
        </w:rPr>
        <w:t xml:space="preserve">Tuesday </w:t>
      </w:r>
      <w:r w:rsidR="00632358">
        <w:rPr>
          <w:rFonts w:ascii="CIDFont+F2" w:hAnsi="CIDFont+F2" w:cs="CIDFont+F2"/>
          <w:lang w:val="en-GB"/>
        </w:rPr>
        <w:t>23</w:t>
      </w:r>
      <w:r w:rsidR="00632358" w:rsidRPr="00632358">
        <w:rPr>
          <w:rFonts w:ascii="CIDFont+F2" w:hAnsi="CIDFont+F2" w:cs="CIDFont+F2"/>
          <w:vertAlign w:val="superscript"/>
          <w:lang w:val="en-GB"/>
        </w:rPr>
        <w:t>rd</w:t>
      </w:r>
      <w:r w:rsidR="00632358">
        <w:rPr>
          <w:rFonts w:ascii="CIDFont+F2" w:hAnsi="CIDFont+F2" w:cs="CIDFont+F2"/>
          <w:lang w:val="en-GB"/>
        </w:rPr>
        <w:t xml:space="preserve"> </w:t>
      </w:r>
      <w:r w:rsidR="00F10BEB">
        <w:rPr>
          <w:rFonts w:ascii="CIDFont+F2" w:hAnsi="CIDFont+F2" w:cs="CIDFont+F2"/>
          <w:lang w:val="en-GB"/>
        </w:rPr>
        <w:t>July</w:t>
      </w:r>
      <w:r w:rsidRPr="7D48A9DE">
        <w:rPr>
          <w:rFonts w:ascii="CIDFont+F2" w:hAnsi="CIDFont+F2" w:cs="CIDFont+F2"/>
          <w:lang w:val="en-GB"/>
        </w:rPr>
        <w:t xml:space="preserve"> 2024.</w:t>
      </w:r>
    </w:p>
    <w:p w14:paraId="3EC25595" w14:textId="77777777" w:rsidR="00FB4F1F" w:rsidRDefault="00FB4F1F" w:rsidP="4B35CB50">
      <w:pPr>
        <w:rPr>
          <w:u w:val="single"/>
        </w:rPr>
      </w:pPr>
    </w:p>
    <w:p w14:paraId="6BC4E780" w14:textId="399D7C3D" w:rsidR="11064D35" w:rsidRPr="0040185D" w:rsidRDefault="11064D35" w:rsidP="4B35CB50">
      <w:pPr>
        <w:rPr>
          <w:b/>
          <w:bCs/>
          <w:u w:val="single"/>
        </w:rPr>
      </w:pPr>
      <w:r w:rsidRPr="0040185D">
        <w:rPr>
          <w:b/>
          <w:bCs/>
          <w:u w:val="single"/>
        </w:rPr>
        <w:t>Queries in relation to EOI:</w:t>
      </w:r>
    </w:p>
    <w:p w14:paraId="3D53AB5E" w14:textId="2A4D5B91" w:rsidR="4B35CB50" w:rsidRDefault="4B35CB50" w:rsidP="4B35CB50">
      <w:pPr>
        <w:rPr>
          <w:u w:val="single"/>
        </w:rPr>
      </w:pPr>
    </w:p>
    <w:p w14:paraId="71FF9796" w14:textId="69F5FD6D" w:rsidR="4B35CB50" w:rsidRDefault="007016E8" w:rsidP="7D48A9DE">
      <w:pPr>
        <w:spacing w:after="0" w:line="240" w:lineRule="auto"/>
        <w:rPr>
          <w:rFonts w:ascii="CIDFont+F2" w:hAnsi="CIDFont+F2" w:cs="CIDFont+F2"/>
          <w:lang w:val="en-GB"/>
        </w:rPr>
      </w:pPr>
      <w:r w:rsidRPr="7D48A9DE">
        <w:rPr>
          <w:rFonts w:ascii="CIDFont+F2" w:hAnsi="CIDFont+F2" w:cs="CIDFont+F2"/>
          <w:lang w:val="en-GB"/>
        </w:rPr>
        <w:t>Any queries or additional information required in relation to this EOI should be raised via</w:t>
      </w:r>
      <w:r w:rsidR="423CB634" w:rsidRPr="7D48A9DE">
        <w:rPr>
          <w:rFonts w:ascii="CIDFont+F2" w:hAnsi="CIDFont+F2" w:cs="CIDFont+F2"/>
          <w:lang w:val="en-GB"/>
        </w:rPr>
        <w:t xml:space="preserve"> </w:t>
      </w:r>
      <w:r w:rsidRPr="7D48A9DE">
        <w:rPr>
          <w:rFonts w:ascii="CIDFont+F2" w:hAnsi="CIDFont+F2" w:cs="CIDFont+F2"/>
          <w:lang w:val="en-GB"/>
        </w:rPr>
        <w:t xml:space="preserve">the </w:t>
      </w:r>
      <w:proofErr w:type="spellStart"/>
      <w:r w:rsidR="00B42507" w:rsidRPr="00B42507">
        <w:rPr>
          <w:rFonts w:ascii="CIDFont+F2" w:hAnsi="CIDFont+F2" w:cs="CIDFont+F2"/>
          <w:lang w:val="en-GB"/>
        </w:rPr>
        <w:t>ProContract</w:t>
      </w:r>
      <w:proofErr w:type="spellEnd"/>
      <w:r w:rsidRPr="7D48A9DE">
        <w:rPr>
          <w:rFonts w:ascii="CIDFont+F2" w:hAnsi="CIDFont+F2" w:cs="CIDFont+F2"/>
          <w:lang w:val="en-GB"/>
        </w:rPr>
        <w:t xml:space="preserve"> eProcurement Portal on or before noon on </w:t>
      </w:r>
      <w:r w:rsidR="00256DAF">
        <w:rPr>
          <w:rFonts w:ascii="CIDFont+F2" w:hAnsi="CIDFont+F2" w:cs="CIDFont+F2"/>
          <w:lang w:val="en-GB"/>
        </w:rPr>
        <w:t>Thursday 18</w:t>
      </w:r>
      <w:r w:rsidR="00256DAF" w:rsidRPr="00256DAF">
        <w:rPr>
          <w:rFonts w:ascii="CIDFont+F2" w:hAnsi="CIDFont+F2" w:cs="CIDFont+F2"/>
          <w:vertAlign w:val="superscript"/>
          <w:lang w:val="en-GB"/>
        </w:rPr>
        <w:t>th</w:t>
      </w:r>
      <w:r w:rsidR="00256DAF">
        <w:rPr>
          <w:rFonts w:ascii="CIDFont+F2" w:hAnsi="CIDFont+F2" w:cs="CIDFont+F2"/>
          <w:lang w:val="en-GB"/>
        </w:rPr>
        <w:t xml:space="preserve"> July</w:t>
      </w:r>
      <w:r w:rsidRPr="7D48A9DE">
        <w:rPr>
          <w:rFonts w:ascii="CIDFont+F2" w:hAnsi="CIDFont+F2" w:cs="CIDFont+F2"/>
          <w:lang w:val="en-GB"/>
        </w:rPr>
        <w:t xml:space="preserve"> 2024.</w:t>
      </w:r>
    </w:p>
    <w:p w14:paraId="0A4FA430" w14:textId="77777777" w:rsidR="007016E8" w:rsidRDefault="007016E8" w:rsidP="4B35CB50">
      <w:pPr>
        <w:rPr>
          <w:u w:val="single"/>
        </w:rPr>
      </w:pPr>
    </w:p>
    <w:p w14:paraId="65793E9C" w14:textId="394327C6" w:rsidR="11064D35" w:rsidRPr="0040185D" w:rsidRDefault="11064D35" w:rsidP="4B35CB50">
      <w:pPr>
        <w:rPr>
          <w:b/>
          <w:bCs/>
        </w:rPr>
      </w:pPr>
      <w:r w:rsidRPr="0040185D">
        <w:rPr>
          <w:b/>
          <w:bCs/>
          <w:u w:val="single"/>
        </w:rPr>
        <w:t>Award of Tender:</w:t>
      </w:r>
    </w:p>
    <w:p w14:paraId="6F7F815C" w14:textId="25594563" w:rsidR="4B35CB50" w:rsidRDefault="4B35CB50" w:rsidP="4B35CB50">
      <w:pPr>
        <w:rPr>
          <w:u w:val="single"/>
        </w:rPr>
      </w:pPr>
    </w:p>
    <w:p w14:paraId="109FCA78" w14:textId="77777777" w:rsidR="00CE1CC1" w:rsidRDefault="00CE1CC1" w:rsidP="00CE1CC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GB"/>
        </w:rPr>
      </w:pPr>
      <w:r>
        <w:rPr>
          <w:rFonts w:ascii="CIDFont+F2" w:hAnsi="CIDFont+F2" w:cs="CIDFont+F2"/>
          <w:lang w:val="en-GB"/>
        </w:rPr>
        <w:t>Tenders will be assessed on both price and quality criteria on the following basis: -</w:t>
      </w:r>
    </w:p>
    <w:p w14:paraId="5D271078" w14:textId="5F9F81B4" w:rsidR="00CE1CC1" w:rsidRDefault="00CE1CC1" w:rsidP="005C3658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lang w:val="en-GB"/>
        </w:rPr>
      </w:pPr>
      <w:r>
        <w:rPr>
          <w:rFonts w:ascii="CIDFont+F2" w:hAnsi="CIDFont+F2" w:cs="CIDFont+F2"/>
          <w:lang w:val="en-GB"/>
        </w:rPr>
        <w:t>Price</w:t>
      </w:r>
      <w:r w:rsidR="0040185D">
        <w:rPr>
          <w:rFonts w:ascii="CIDFont+F2" w:hAnsi="CIDFont+F2" w:cs="CIDFont+F2"/>
          <w:lang w:val="en-GB"/>
        </w:rPr>
        <w:tab/>
      </w:r>
      <w:r>
        <w:rPr>
          <w:rFonts w:ascii="CIDFont+F2" w:hAnsi="CIDFont+F2" w:cs="CIDFont+F2"/>
          <w:lang w:val="en-GB"/>
        </w:rPr>
        <w:t xml:space="preserve"> -</w:t>
      </w:r>
      <w:r w:rsidR="0040185D">
        <w:rPr>
          <w:rFonts w:ascii="CIDFont+F2" w:hAnsi="CIDFont+F2" w:cs="CIDFont+F2"/>
          <w:lang w:val="en-GB"/>
        </w:rPr>
        <w:t xml:space="preserve"> </w:t>
      </w:r>
      <w:r w:rsidR="005C3658">
        <w:rPr>
          <w:rFonts w:ascii="CIDFont+F2" w:hAnsi="CIDFont+F2" w:cs="CIDFont+F2"/>
          <w:lang w:val="en-GB"/>
        </w:rPr>
        <w:tab/>
      </w:r>
      <w:r>
        <w:rPr>
          <w:rFonts w:ascii="CIDFont+F2" w:hAnsi="CIDFont+F2" w:cs="CIDFont+F2"/>
          <w:lang w:val="en-GB"/>
        </w:rPr>
        <w:t>60% weighting</w:t>
      </w:r>
    </w:p>
    <w:p w14:paraId="6455C024" w14:textId="08F3FF4A" w:rsidR="4B35CB50" w:rsidRDefault="00CE1CC1" w:rsidP="005C3658">
      <w:pPr>
        <w:ind w:firstLine="720"/>
        <w:rPr>
          <w:u w:val="single"/>
        </w:rPr>
      </w:pPr>
      <w:r>
        <w:rPr>
          <w:rFonts w:ascii="CIDFont+F2" w:hAnsi="CIDFont+F2" w:cs="CIDFont+F2"/>
          <w:lang w:val="en-GB"/>
        </w:rPr>
        <w:t xml:space="preserve">Quality - </w:t>
      </w:r>
      <w:r w:rsidR="005C3658">
        <w:rPr>
          <w:rFonts w:ascii="CIDFont+F2" w:hAnsi="CIDFont+F2" w:cs="CIDFont+F2"/>
          <w:lang w:val="en-GB"/>
        </w:rPr>
        <w:tab/>
      </w:r>
      <w:r>
        <w:rPr>
          <w:rFonts w:ascii="CIDFont+F2" w:hAnsi="CIDFont+F2" w:cs="CIDFont+F2"/>
          <w:lang w:val="en-GB"/>
        </w:rPr>
        <w:t>40% weighting</w:t>
      </w:r>
    </w:p>
    <w:p w14:paraId="5CD7D8FF" w14:textId="51B6253B" w:rsidR="4B35CB50" w:rsidRDefault="4B35CB50" w:rsidP="4B35CB50">
      <w:pPr>
        <w:rPr>
          <w:u w:val="single"/>
        </w:rPr>
      </w:pPr>
    </w:p>
    <w:sectPr w:rsidR="4B35C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1kmdWZq" int2:invalidationBookmarkName="" int2:hashCode="sWArplyZbmyz2l" int2:id="1C3N3DyS">
      <int2:state int2:value="Rejected" int2:type="AugLoop_Text_Critique"/>
    </int2:bookmark>
    <int2:bookmark int2:bookmarkName="_Int_gldk3fpj" int2:invalidationBookmarkName="" int2:hashCode="sWArplyZbmyz2l" int2:id="5NllHYNm">
      <int2:state int2:value="Rejected" int2:type="AugLoop_Text_Critique"/>
    </int2:bookmark>
    <int2:bookmark int2:bookmarkName="_Int_QMxsnYVc" int2:invalidationBookmarkName="" int2:hashCode="sWArplyZbmyz2l" int2:id="Ym8xUX4d">
      <int2:state int2:value="Rejected" int2:type="AugLoop_Text_Critique"/>
    </int2:bookmark>
    <int2:bookmark int2:bookmarkName="_Int_MdnYx95w" int2:invalidationBookmarkName="" int2:hashCode="sWArplyZbmyz2l" int2:id="fJfOrTUR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3D3C"/>
    <w:multiLevelType w:val="hybridMultilevel"/>
    <w:tmpl w:val="6FB88826"/>
    <w:lvl w:ilvl="0" w:tplc="91946B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7FCD"/>
    <w:multiLevelType w:val="hybridMultilevel"/>
    <w:tmpl w:val="429475C0"/>
    <w:lvl w:ilvl="0" w:tplc="4AF64D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3319">
    <w:abstractNumId w:val="1"/>
  </w:num>
  <w:num w:numId="2" w16cid:durableId="122899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729B59"/>
    <w:rsid w:val="00017D29"/>
    <w:rsid w:val="000B40E6"/>
    <w:rsid w:val="0010669F"/>
    <w:rsid w:val="00143EA7"/>
    <w:rsid w:val="0015424F"/>
    <w:rsid w:val="00256DAF"/>
    <w:rsid w:val="00281A11"/>
    <w:rsid w:val="003D07C3"/>
    <w:rsid w:val="003F22EF"/>
    <w:rsid w:val="0040185D"/>
    <w:rsid w:val="00404D12"/>
    <w:rsid w:val="004176B1"/>
    <w:rsid w:val="004502E3"/>
    <w:rsid w:val="005C3658"/>
    <w:rsid w:val="006043C8"/>
    <w:rsid w:val="00632358"/>
    <w:rsid w:val="00652E53"/>
    <w:rsid w:val="0066179A"/>
    <w:rsid w:val="00663259"/>
    <w:rsid w:val="007016E8"/>
    <w:rsid w:val="00720FC7"/>
    <w:rsid w:val="007B5163"/>
    <w:rsid w:val="00822C95"/>
    <w:rsid w:val="00840902"/>
    <w:rsid w:val="008978F2"/>
    <w:rsid w:val="008D8414"/>
    <w:rsid w:val="009360A1"/>
    <w:rsid w:val="00946B24"/>
    <w:rsid w:val="009C03D0"/>
    <w:rsid w:val="00A50499"/>
    <w:rsid w:val="00A61D0E"/>
    <w:rsid w:val="00B00E95"/>
    <w:rsid w:val="00B42507"/>
    <w:rsid w:val="00BC04CB"/>
    <w:rsid w:val="00BE1569"/>
    <w:rsid w:val="00BF2DFD"/>
    <w:rsid w:val="00C104D5"/>
    <w:rsid w:val="00C26C0D"/>
    <w:rsid w:val="00C47D06"/>
    <w:rsid w:val="00C65B7A"/>
    <w:rsid w:val="00C8292D"/>
    <w:rsid w:val="00CC01F8"/>
    <w:rsid w:val="00CE1CC1"/>
    <w:rsid w:val="00D32876"/>
    <w:rsid w:val="00DA7A5B"/>
    <w:rsid w:val="00DA7ACA"/>
    <w:rsid w:val="00E95995"/>
    <w:rsid w:val="00ED085A"/>
    <w:rsid w:val="00F10BEB"/>
    <w:rsid w:val="00F17BEA"/>
    <w:rsid w:val="00F518F1"/>
    <w:rsid w:val="00F819E1"/>
    <w:rsid w:val="00F84E05"/>
    <w:rsid w:val="00FA2D9D"/>
    <w:rsid w:val="00FA3874"/>
    <w:rsid w:val="00FA3FFA"/>
    <w:rsid w:val="00FB4F1F"/>
    <w:rsid w:val="081482FC"/>
    <w:rsid w:val="0F786128"/>
    <w:rsid w:val="108E2CED"/>
    <w:rsid w:val="11064D35"/>
    <w:rsid w:val="11FA1028"/>
    <w:rsid w:val="13B6A6F0"/>
    <w:rsid w:val="14D4C45F"/>
    <w:rsid w:val="16862CB0"/>
    <w:rsid w:val="19C8DAC5"/>
    <w:rsid w:val="1CAA68C4"/>
    <w:rsid w:val="210652E6"/>
    <w:rsid w:val="249BE560"/>
    <w:rsid w:val="2716A916"/>
    <w:rsid w:val="27BEA4EE"/>
    <w:rsid w:val="29083B23"/>
    <w:rsid w:val="2C91B0CE"/>
    <w:rsid w:val="2E9DD9EF"/>
    <w:rsid w:val="2FEC5216"/>
    <w:rsid w:val="34C47578"/>
    <w:rsid w:val="385557E9"/>
    <w:rsid w:val="3A729B59"/>
    <w:rsid w:val="3D655EA6"/>
    <w:rsid w:val="3F168B6D"/>
    <w:rsid w:val="3FAD7C3E"/>
    <w:rsid w:val="419F27C2"/>
    <w:rsid w:val="423CB634"/>
    <w:rsid w:val="42CF6EEF"/>
    <w:rsid w:val="438B7BD6"/>
    <w:rsid w:val="45C6803D"/>
    <w:rsid w:val="45E683D5"/>
    <w:rsid w:val="47698679"/>
    <w:rsid w:val="4B35CB50"/>
    <w:rsid w:val="4F468C28"/>
    <w:rsid w:val="4FE45E4D"/>
    <w:rsid w:val="50A1624E"/>
    <w:rsid w:val="5447A3D7"/>
    <w:rsid w:val="5455E057"/>
    <w:rsid w:val="56539FD1"/>
    <w:rsid w:val="587B1653"/>
    <w:rsid w:val="5B2214F4"/>
    <w:rsid w:val="5C36C868"/>
    <w:rsid w:val="5F464FE9"/>
    <w:rsid w:val="62669BEC"/>
    <w:rsid w:val="632BDFAE"/>
    <w:rsid w:val="63B8FC15"/>
    <w:rsid w:val="66A84A26"/>
    <w:rsid w:val="69884A79"/>
    <w:rsid w:val="6A2636F0"/>
    <w:rsid w:val="6A7BFEF3"/>
    <w:rsid w:val="6C17CF54"/>
    <w:rsid w:val="6DB39FB5"/>
    <w:rsid w:val="6E639AA9"/>
    <w:rsid w:val="703A83EC"/>
    <w:rsid w:val="7357368D"/>
    <w:rsid w:val="78B6F2CA"/>
    <w:rsid w:val="7D48A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B59"/>
  <w15:chartTrackingRefBased/>
  <w15:docId w15:val="{7761C741-2415-4975-A6AE-F6012B0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e4697f-dfc2-43f2-b00d-ab891ea8b2e7">
      <Terms xmlns="http://schemas.microsoft.com/office/infopath/2007/PartnerControls"/>
    </lcf76f155ced4ddcb4097134ff3c332f>
    <TaxCatchAll xmlns="0d8a8655-9351-46f8-8f69-24755dd4c1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24C258978214186D9B936F1443E04" ma:contentTypeVersion="18" ma:contentTypeDescription="Create a new document." ma:contentTypeScope="" ma:versionID="94bcbcc9767fde3c7ddd9b8e578f72b2">
  <xsd:schema xmlns:xsd="http://www.w3.org/2001/XMLSchema" xmlns:xs="http://www.w3.org/2001/XMLSchema" xmlns:p="http://schemas.microsoft.com/office/2006/metadata/properties" xmlns:ns2="45e4697f-dfc2-43f2-b00d-ab891ea8b2e7" xmlns:ns3="0d8a8655-9351-46f8-8f69-24755dd4c121" targetNamespace="http://schemas.microsoft.com/office/2006/metadata/properties" ma:root="true" ma:fieldsID="d6dfaf62fc37ccc48d8f0b13c52a896b" ns2:_="" ns3:_="">
    <xsd:import namespace="45e4697f-dfc2-43f2-b00d-ab891ea8b2e7"/>
    <xsd:import namespace="0d8a8655-9351-46f8-8f69-24755dd4c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4697f-dfc2-43f2-b00d-ab891ea8b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38de26-0169-4f21-937a-97312b049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8655-9351-46f8-8f69-24755dd4c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faa72a-fe4e-4f15-b3dd-957ea462e562}" ma:internalName="TaxCatchAll" ma:showField="CatchAllData" ma:web="0d8a8655-9351-46f8-8f69-24755dd4c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39CF8-8073-4E15-B73D-3D3926E56D03}">
  <ds:schemaRefs>
    <ds:schemaRef ds:uri="http://schemas.microsoft.com/office/2006/metadata/properties"/>
    <ds:schemaRef ds:uri="http://schemas.microsoft.com/office/infopath/2007/PartnerControls"/>
    <ds:schemaRef ds:uri="45e4697f-dfc2-43f2-b00d-ab891ea8b2e7"/>
    <ds:schemaRef ds:uri="0d8a8655-9351-46f8-8f69-24755dd4c121"/>
  </ds:schemaRefs>
</ds:datastoreItem>
</file>

<file path=customXml/itemProps2.xml><?xml version="1.0" encoding="utf-8"?>
<ds:datastoreItem xmlns:ds="http://schemas.openxmlformats.org/officeDocument/2006/customXml" ds:itemID="{CED7E490-209E-4E85-A5B6-478C85796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4697f-dfc2-43f2-b00d-ab891ea8b2e7"/>
    <ds:schemaRef ds:uri="0d8a8655-9351-46f8-8f69-24755dd4c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4227-CC44-41DA-9DF4-D7B515975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FOWELL</dc:creator>
  <cp:keywords/>
  <dc:description/>
  <cp:lastModifiedBy>ALEX BRANSON</cp:lastModifiedBy>
  <cp:revision>6</cp:revision>
  <dcterms:created xsi:type="dcterms:W3CDTF">2024-07-09T09:36:00Z</dcterms:created>
  <dcterms:modified xsi:type="dcterms:W3CDTF">2024-07-09T09:43:00Z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0x010100A9B24C258978214186D9B936F1443E04</vt:lpwstr>
  </property>
  <property fmtid="{D5CDD505-2E9C-101B-9397-08002B2CF9AE}" pid="3" name="MediaServiceImageTags">
    <vt:lpwstr/>
  </property>
</Properties>
</file>