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FE02A" w14:textId="76EB0E04" w:rsidR="00382CAA" w:rsidRPr="00382CAA" w:rsidRDefault="00382CAA" w:rsidP="00192CEE">
      <w:pPr>
        <w:jc w:val="center"/>
        <w:rPr>
          <w:b/>
          <w:sz w:val="24"/>
        </w:rPr>
      </w:pPr>
      <w:r w:rsidRPr="00382CAA">
        <w:rPr>
          <w:b/>
          <w:sz w:val="24"/>
        </w:rPr>
        <w:t>TORBAY COUNCIL AND PLYMOUTH CITY COUNCIL</w:t>
      </w:r>
    </w:p>
    <w:p w14:paraId="41002A3D" w14:textId="77777777" w:rsidR="000B2E45" w:rsidRDefault="00192CEE" w:rsidP="00192CEE">
      <w:pPr>
        <w:jc w:val="center"/>
        <w:rPr>
          <w:b/>
        </w:rPr>
      </w:pPr>
      <w:r w:rsidRPr="00192CEE">
        <w:rPr>
          <w:b/>
        </w:rPr>
        <w:t>Commissioning Support and Accommodation for Care Leavers and Young Homeless People</w:t>
      </w:r>
    </w:p>
    <w:p w14:paraId="3E613AAE" w14:textId="77777777" w:rsidR="00192CEE" w:rsidRDefault="00192CEE" w:rsidP="00192CEE">
      <w:pPr>
        <w:jc w:val="center"/>
        <w:rPr>
          <w:b/>
        </w:rPr>
      </w:pPr>
      <w:r>
        <w:rPr>
          <w:b/>
        </w:rPr>
        <w:t xml:space="preserve">Market Consultation on Proposed Pricing Model </w:t>
      </w:r>
    </w:p>
    <w:p w14:paraId="3314FADB" w14:textId="77777777" w:rsidR="004D0FCE" w:rsidRPr="004D0FCE" w:rsidRDefault="004D0FCE" w:rsidP="004D0FCE">
      <w:r>
        <w:t>T</w:t>
      </w:r>
      <w:r w:rsidRPr="004D0FCE">
        <w:t>orbay Council and Plymouth City Council are working in partnership to commission a new framework of support and accommodation for young people in care and care leavers aged 16 to 25.</w:t>
      </w:r>
    </w:p>
    <w:p w14:paraId="46E86EA3" w14:textId="77777777" w:rsidR="004D0FCE" w:rsidRPr="004D0FCE" w:rsidRDefault="004D0FCE" w:rsidP="004D0FCE">
      <w:r w:rsidRPr="004D0FCE">
        <w:t xml:space="preserve">In addition, Torbay Council also wants to include a range of supported accommodation options for homeless young people aged 16 to 25.  </w:t>
      </w:r>
    </w:p>
    <w:p w14:paraId="5DE93D34" w14:textId="77777777" w:rsidR="004D0FCE" w:rsidRPr="004D0FCE" w:rsidRDefault="004D0FCE" w:rsidP="004D0FCE">
      <w:r w:rsidRPr="004D0FCE">
        <w:t>It is proposed that this framework will meet both requirements by providing:</w:t>
      </w:r>
    </w:p>
    <w:p w14:paraId="57DDD37F" w14:textId="77777777" w:rsidR="004D0FCE" w:rsidRPr="004D0FCE" w:rsidRDefault="004D0FCE" w:rsidP="004D0FCE">
      <w:pPr>
        <w:pStyle w:val="ListParagraph"/>
        <w:numPr>
          <w:ilvl w:val="0"/>
          <w:numId w:val="2"/>
        </w:numPr>
      </w:pPr>
      <w:r w:rsidRPr="004D0FCE">
        <w:t xml:space="preserve">A range of semi -independent support and accommodation for use by Torbay and Plymouth </w:t>
      </w:r>
      <w:r>
        <w:t xml:space="preserve">    </w:t>
      </w:r>
    </w:p>
    <w:p w14:paraId="7407A6A5" w14:textId="1821D360" w:rsidR="004D0FCE" w:rsidRDefault="004D0FCE" w:rsidP="004D0FCE">
      <w:pPr>
        <w:pStyle w:val="ListParagraph"/>
        <w:numPr>
          <w:ilvl w:val="0"/>
          <w:numId w:val="2"/>
        </w:numPr>
      </w:pPr>
      <w:r w:rsidRPr="004D0FCE">
        <w:t xml:space="preserve">Supported lodgings for </w:t>
      </w:r>
      <w:r w:rsidR="00A830EA">
        <w:t xml:space="preserve">those aged 16+ in care, </w:t>
      </w:r>
      <w:r w:rsidRPr="004D0FCE">
        <w:t xml:space="preserve">care leavers and young homeless people, in particular those aged 16/17 years old; for Torbay young people only </w:t>
      </w:r>
    </w:p>
    <w:p w14:paraId="6490FD47" w14:textId="77777777" w:rsidR="006C640C" w:rsidRDefault="004D0FCE" w:rsidP="004D0FCE">
      <w:pPr>
        <w:pStyle w:val="ListParagraph"/>
        <w:numPr>
          <w:ilvl w:val="0"/>
          <w:numId w:val="2"/>
        </w:numPr>
      </w:pPr>
      <w:r w:rsidRPr="004D0FCE">
        <w:t>Flexible outreach support for young people in care, care leavers and young homeless people, for Torbay and Plymouth</w:t>
      </w:r>
      <w:r w:rsidR="006C640C">
        <w:t>.</w:t>
      </w:r>
    </w:p>
    <w:p w14:paraId="29517804" w14:textId="77777777" w:rsidR="006C640C" w:rsidRDefault="006C640C" w:rsidP="006C640C">
      <w:r>
        <w:t xml:space="preserve">Commissioners want to ensure value for money and that pricing for provision is reflective of the level of support that a young person needs, acknowledging that this can vary according to the young person’s circumstances, level of risk, history and readiness for independence.  </w:t>
      </w:r>
    </w:p>
    <w:p w14:paraId="35760885" w14:textId="77777777" w:rsidR="006C640C" w:rsidRDefault="006C640C" w:rsidP="006C640C">
      <w:r>
        <w:t>This means that we expect that pricing may differ or vary according to the young person’s journey</w:t>
      </w:r>
      <w:r w:rsidR="000B2E45">
        <w:t xml:space="preserve"> through services</w:t>
      </w:r>
      <w:r>
        <w:t>.</w:t>
      </w:r>
    </w:p>
    <w:p w14:paraId="0C31B2B5" w14:textId="64B6C032" w:rsidR="0095213C" w:rsidRDefault="00E11E07" w:rsidP="0095213C">
      <w:r>
        <w:t>Market engagement events have taken place in July and September 2019 to help inform development of the service specification. The September event included discussion around pricing and feedback was obtained on a pricing mechanism</w:t>
      </w:r>
      <w:r w:rsidR="000B2E45">
        <w:t xml:space="preserve">. This </w:t>
      </w:r>
      <w:r>
        <w:t xml:space="preserve">involved </w:t>
      </w:r>
      <w:r w:rsidR="000B2E45">
        <w:t>‘</w:t>
      </w:r>
      <w:r>
        <w:t>banding</w:t>
      </w:r>
      <w:r w:rsidR="000B2E45">
        <w:t>’</w:t>
      </w:r>
      <w:r>
        <w:t xml:space="preserve"> provision according to the </w:t>
      </w:r>
      <w:r w:rsidR="0095213C">
        <w:t>pathway the young person has followed in accessing the placement</w:t>
      </w:r>
      <w:r w:rsidR="00D1768B">
        <w:t xml:space="preserve"> and core principles as set out below:</w:t>
      </w:r>
    </w:p>
    <w:p w14:paraId="69A17BCE" w14:textId="77777777" w:rsidR="00D1768B" w:rsidRDefault="00D1768B" w:rsidP="00712AD0">
      <w:pPr>
        <w:pStyle w:val="ListParagraph"/>
        <w:numPr>
          <w:ilvl w:val="0"/>
          <w:numId w:val="4"/>
        </w:numPr>
        <w:spacing w:line="276" w:lineRule="auto"/>
      </w:pPr>
      <w:r>
        <w:t>Pricing bands determined by the journey of the young person</w:t>
      </w:r>
      <w:r w:rsidR="0041576F">
        <w:t>:</w:t>
      </w:r>
    </w:p>
    <w:p w14:paraId="7317748F" w14:textId="77777777" w:rsidR="0041576F" w:rsidRDefault="0041576F" w:rsidP="00712AD0">
      <w:pPr>
        <w:spacing w:line="276" w:lineRule="auto"/>
        <w:ind w:left="1080"/>
      </w:pPr>
      <w:r w:rsidRPr="00A830EA">
        <w:rPr>
          <w:i/>
        </w:rPr>
        <w:t>Band 1:</w:t>
      </w:r>
      <w:r>
        <w:t xml:space="preserve">  Sudden breakdown of care placement or relationship with family members/Assessment/crisis response – for Looked after Children/ Late entrants to care</w:t>
      </w:r>
    </w:p>
    <w:p w14:paraId="65DF9346" w14:textId="77777777" w:rsidR="0041576F" w:rsidRDefault="0041576F" w:rsidP="00712AD0">
      <w:pPr>
        <w:spacing w:line="276" w:lineRule="auto"/>
        <w:ind w:left="1080"/>
      </w:pPr>
      <w:r w:rsidRPr="00A830EA">
        <w:rPr>
          <w:i/>
        </w:rPr>
        <w:t>Band 2</w:t>
      </w:r>
      <w:r>
        <w:t xml:space="preserve">: Ongoing support – for Looked after Children/care leavers /Section 20/pending assessment/complex homeless YP refusing S20   </w:t>
      </w:r>
    </w:p>
    <w:p w14:paraId="4D21D20D" w14:textId="77777777" w:rsidR="0041576F" w:rsidRDefault="0041576F" w:rsidP="00712AD0">
      <w:pPr>
        <w:spacing w:line="276" w:lineRule="auto"/>
        <w:ind w:left="1080"/>
      </w:pPr>
      <w:r w:rsidRPr="00A830EA">
        <w:rPr>
          <w:i/>
        </w:rPr>
        <w:t>Band 3</w:t>
      </w:r>
      <w:r>
        <w:t>: Transition to independence/Prevention - for Looked after Children/ care leavers /section 20/ homeless young people.</w:t>
      </w:r>
    </w:p>
    <w:p w14:paraId="25840C99" w14:textId="77777777" w:rsidR="00D1768B" w:rsidRDefault="00D1768B" w:rsidP="00712AD0">
      <w:pPr>
        <w:spacing w:line="276" w:lineRule="auto"/>
      </w:pPr>
      <w:r>
        <w:t>2)</w:t>
      </w:r>
      <w:r>
        <w:tab/>
        <w:t xml:space="preserve">Core service elements to be priced </w:t>
      </w:r>
    </w:p>
    <w:p w14:paraId="55E4152F" w14:textId="77777777" w:rsidR="00D1768B" w:rsidRDefault="00D1768B" w:rsidP="00712AD0">
      <w:pPr>
        <w:spacing w:line="276" w:lineRule="auto"/>
      </w:pPr>
      <w:r>
        <w:t>3)</w:t>
      </w:r>
      <w:r>
        <w:tab/>
        <w:t xml:space="preserve">Setting a maximum level for administration fees </w:t>
      </w:r>
    </w:p>
    <w:p w14:paraId="2A0D907B" w14:textId="77777777" w:rsidR="00D1768B" w:rsidRDefault="00D1768B" w:rsidP="00712AD0">
      <w:pPr>
        <w:spacing w:line="276" w:lineRule="auto"/>
      </w:pPr>
      <w:r>
        <w:t>4)</w:t>
      </w:r>
      <w:r>
        <w:tab/>
        <w:t>Separate pricing for additional support hours for more complex young people</w:t>
      </w:r>
      <w:r w:rsidR="006C640C">
        <w:t>/sudden crisis</w:t>
      </w:r>
      <w:r>
        <w:t xml:space="preserve"> </w:t>
      </w:r>
    </w:p>
    <w:p w14:paraId="656C8171" w14:textId="77777777" w:rsidR="00D1768B" w:rsidRDefault="00D1768B" w:rsidP="00712AD0">
      <w:pPr>
        <w:spacing w:line="276" w:lineRule="auto"/>
      </w:pPr>
      <w:r>
        <w:t>5)</w:t>
      </w:r>
      <w:r>
        <w:tab/>
        <w:t>Pricing review mechanism</w:t>
      </w:r>
    </w:p>
    <w:p w14:paraId="0EAEC630" w14:textId="77777777" w:rsidR="00712AD0" w:rsidRDefault="00712AD0" w:rsidP="0095213C"/>
    <w:p w14:paraId="61F5D5C2" w14:textId="77777777" w:rsidR="00D1768B" w:rsidRDefault="0041576F" w:rsidP="0095213C">
      <w:r>
        <w:lastRenderedPageBreak/>
        <w:t>Feedback from the market around the proposed banding pricing model told us:</w:t>
      </w:r>
    </w:p>
    <w:p w14:paraId="2F1667C4" w14:textId="77777777" w:rsidR="0036603E" w:rsidRDefault="0036603E" w:rsidP="0036603E">
      <w:pPr>
        <w:pStyle w:val="ListParagraph"/>
        <w:numPr>
          <w:ilvl w:val="0"/>
          <w:numId w:val="5"/>
        </w:numPr>
      </w:pPr>
      <w:r>
        <w:t>Clarity is required about what support is paid for and the expectations f</w:t>
      </w:r>
      <w:r w:rsidR="00297C16">
        <w:t>or</w:t>
      </w:r>
      <w:r>
        <w:t xml:space="preserve"> the different levels </w:t>
      </w:r>
    </w:p>
    <w:p w14:paraId="0997A073" w14:textId="77777777" w:rsidR="00297C16" w:rsidRDefault="00297C16" w:rsidP="0036603E">
      <w:pPr>
        <w:pStyle w:val="ListParagraph"/>
        <w:numPr>
          <w:ilvl w:val="0"/>
          <w:numId w:val="5"/>
        </w:numPr>
      </w:pPr>
      <w:r>
        <w:t xml:space="preserve">Quality and consistency of LA referral information </w:t>
      </w:r>
      <w:r w:rsidR="006C640C">
        <w:t xml:space="preserve">will </w:t>
      </w:r>
      <w:r>
        <w:t xml:space="preserve">impact on price/banding offered </w:t>
      </w:r>
      <w:r w:rsidR="003D2A72">
        <w:t>and who decides the banding</w:t>
      </w:r>
    </w:p>
    <w:p w14:paraId="18F311E1" w14:textId="77777777" w:rsidR="00297C16" w:rsidRDefault="00297C16" w:rsidP="0036603E">
      <w:pPr>
        <w:pStyle w:val="ListParagraph"/>
        <w:numPr>
          <w:ilvl w:val="0"/>
          <w:numId w:val="5"/>
        </w:numPr>
      </w:pPr>
      <w:r>
        <w:t>High percentage of placements are emergency/unplanned/complex</w:t>
      </w:r>
    </w:p>
    <w:p w14:paraId="40019DC2" w14:textId="77777777" w:rsidR="00297C16" w:rsidRDefault="00297C16" w:rsidP="0036603E">
      <w:pPr>
        <w:pStyle w:val="ListParagraph"/>
        <w:numPr>
          <w:ilvl w:val="0"/>
          <w:numId w:val="5"/>
        </w:numPr>
      </w:pPr>
      <w:r>
        <w:t>Issue of fixed overheads for providers (staffing, rent/mortgage)</w:t>
      </w:r>
    </w:p>
    <w:p w14:paraId="190DFE16" w14:textId="39B46262" w:rsidR="0036603E" w:rsidRDefault="00297C16" w:rsidP="0036603E">
      <w:pPr>
        <w:pStyle w:val="ListParagraph"/>
        <w:numPr>
          <w:ilvl w:val="0"/>
          <w:numId w:val="5"/>
        </w:numPr>
      </w:pPr>
      <w:r>
        <w:t>How to ensure assessing needs is not financially motivated  (i</w:t>
      </w:r>
      <w:r w:rsidR="00A830EA">
        <w:t>.</w:t>
      </w:r>
      <w:r>
        <w:t>e</w:t>
      </w:r>
      <w:r w:rsidR="00A830EA">
        <w:t>.</w:t>
      </w:r>
      <w:r>
        <w:t xml:space="preserve"> to keep a young person at a higher level for longer)</w:t>
      </w:r>
    </w:p>
    <w:p w14:paraId="48D946F7" w14:textId="77777777" w:rsidR="00297C16" w:rsidRDefault="00297C16" w:rsidP="0036603E">
      <w:pPr>
        <w:pStyle w:val="ListParagraph"/>
        <w:numPr>
          <w:ilvl w:val="0"/>
          <w:numId w:val="5"/>
        </w:numPr>
      </w:pPr>
      <w:r>
        <w:t>Needs more detail attached to support hours demanded by needs</w:t>
      </w:r>
    </w:p>
    <w:p w14:paraId="52845BAE" w14:textId="77777777" w:rsidR="00297C16" w:rsidRDefault="00297C16" w:rsidP="0036603E">
      <w:pPr>
        <w:pStyle w:val="ListParagraph"/>
        <w:numPr>
          <w:ilvl w:val="0"/>
          <w:numId w:val="5"/>
        </w:numPr>
      </w:pPr>
      <w:r>
        <w:t>Managing complexity/avoiding sudden changes leading to potential placement breakdown</w:t>
      </w:r>
    </w:p>
    <w:p w14:paraId="3ABDF5E8" w14:textId="582F2610" w:rsidR="001E5C93" w:rsidRDefault="001E5C93" w:rsidP="0036603E">
      <w:pPr>
        <w:pStyle w:val="ListParagraph"/>
        <w:numPr>
          <w:ilvl w:val="0"/>
          <w:numId w:val="5"/>
        </w:numPr>
      </w:pPr>
      <w:r>
        <w:t>Need to avoid moving YP from on</w:t>
      </w:r>
      <w:r w:rsidR="00A830EA">
        <w:t>e</w:t>
      </w:r>
      <w:r>
        <w:t xml:space="preserve"> placement to another due to banding of accommodation </w:t>
      </w:r>
    </w:p>
    <w:p w14:paraId="248F9B00" w14:textId="77777777" w:rsidR="0041576F" w:rsidRDefault="00297C16" w:rsidP="0095213C">
      <w:pPr>
        <w:pStyle w:val="ListParagraph"/>
        <w:numPr>
          <w:ilvl w:val="0"/>
          <w:numId w:val="5"/>
        </w:numPr>
      </w:pPr>
      <w:r>
        <w:t xml:space="preserve">Need for robust pathway planning </w:t>
      </w:r>
    </w:p>
    <w:p w14:paraId="343A210C" w14:textId="77777777" w:rsidR="00463B08" w:rsidRDefault="00463B08" w:rsidP="0095213C">
      <w:r>
        <w:t xml:space="preserve">As a result of the feedback we wish to consult further with the provider market to ensure that the commercial model that we include in the framework tender is one that providers will respond to positively.  To this end we are consulting via the Supplying the South West e-procurement portal </w:t>
      </w:r>
      <w:r w:rsidR="00B60FE6">
        <w:t xml:space="preserve">to achieve maximum engagement in this discussion, rather than holding another stakeholder event. </w:t>
      </w:r>
    </w:p>
    <w:p w14:paraId="35129F3A" w14:textId="77777777" w:rsidR="00B60FE6" w:rsidRPr="003D2A72" w:rsidRDefault="00B60FE6" w:rsidP="0095213C">
      <w:pPr>
        <w:rPr>
          <w:b/>
        </w:rPr>
      </w:pPr>
      <w:r w:rsidRPr="003D2A72">
        <w:rPr>
          <w:b/>
        </w:rPr>
        <w:t>The revised proposals are as follows:</w:t>
      </w:r>
    </w:p>
    <w:p w14:paraId="2673540E" w14:textId="585B2BE7" w:rsidR="008A4FD9" w:rsidRPr="00A830EA" w:rsidRDefault="001E5C93" w:rsidP="001E5C93">
      <w:pPr>
        <w:rPr>
          <w:color w:val="000000" w:themeColor="text1"/>
        </w:rPr>
      </w:pPr>
      <w:r w:rsidRPr="00A830EA">
        <w:rPr>
          <w:color w:val="000000" w:themeColor="text1"/>
        </w:rPr>
        <w:t xml:space="preserve">We </w:t>
      </w:r>
      <w:r w:rsidR="00A830EA">
        <w:rPr>
          <w:color w:val="000000" w:themeColor="text1"/>
        </w:rPr>
        <w:t xml:space="preserve">wish to </w:t>
      </w:r>
      <w:r w:rsidRPr="00A830EA">
        <w:rPr>
          <w:color w:val="000000" w:themeColor="text1"/>
        </w:rPr>
        <w:t xml:space="preserve">maintain the principles as set out previously and price according to the journey/access route of the YP into the provision.  </w:t>
      </w:r>
      <w:r w:rsidR="00A830EA">
        <w:rPr>
          <w:color w:val="000000" w:themeColor="text1"/>
        </w:rPr>
        <w:t>However w</w:t>
      </w:r>
      <w:r w:rsidRPr="00A830EA">
        <w:rPr>
          <w:color w:val="000000" w:themeColor="text1"/>
        </w:rPr>
        <w:t xml:space="preserve">ithin those bandings we set thresholds for support hours to be delivered at a particular </w:t>
      </w:r>
      <w:r w:rsidR="003D2A72" w:rsidRPr="00A830EA">
        <w:rPr>
          <w:color w:val="000000" w:themeColor="text1"/>
        </w:rPr>
        <w:t xml:space="preserve">rate. </w:t>
      </w:r>
      <w:r w:rsidR="008A4FD9" w:rsidRPr="00A830EA">
        <w:rPr>
          <w:color w:val="000000" w:themeColor="text1"/>
        </w:rPr>
        <w:t>We want to see a range of hours within each banding so they can be adjusted to meet the needs of young people.</w:t>
      </w:r>
    </w:p>
    <w:p w14:paraId="316C6AB6" w14:textId="77777777" w:rsidR="00895EE8" w:rsidRPr="00A830EA" w:rsidRDefault="001E5C93" w:rsidP="001E5C93">
      <w:pPr>
        <w:rPr>
          <w:color w:val="000000" w:themeColor="text1"/>
        </w:rPr>
      </w:pPr>
      <w:r w:rsidRPr="00A830EA">
        <w:rPr>
          <w:color w:val="000000" w:themeColor="text1"/>
        </w:rPr>
        <w:t xml:space="preserve"> If there is need </w:t>
      </w:r>
      <w:r w:rsidR="003D2A72" w:rsidRPr="00A830EA">
        <w:rPr>
          <w:color w:val="000000" w:themeColor="text1"/>
        </w:rPr>
        <w:t xml:space="preserve">for </w:t>
      </w:r>
      <w:r w:rsidRPr="00A830EA">
        <w:rPr>
          <w:color w:val="000000" w:themeColor="text1"/>
        </w:rPr>
        <w:t xml:space="preserve">additional hours for sudden crisis then these can be at agreed at a </w:t>
      </w:r>
      <w:r w:rsidR="003D2A72" w:rsidRPr="00A830EA">
        <w:rPr>
          <w:color w:val="000000" w:themeColor="text1"/>
        </w:rPr>
        <w:t xml:space="preserve">separate </w:t>
      </w:r>
      <w:r w:rsidRPr="00A830EA">
        <w:rPr>
          <w:color w:val="000000" w:themeColor="text1"/>
        </w:rPr>
        <w:t>hourly rate for a specified period of time, or via wrap around support provided via the placing Authority, according to the circumstances and needs of the young person.</w:t>
      </w:r>
      <w:r w:rsidR="001C2B55" w:rsidRPr="00A830EA">
        <w:rPr>
          <w:color w:val="000000" w:themeColor="text1"/>
        </w:rPr>
        <w:t xml:space="preserve"> All care leavers/LAC will enter provision on band 1 to allow time to settle and be assessed, facilitating more effective identification of needs before moving onto the “ongoing Support band”.  This addresses the concerns around the high number of emergency/unplanned placements.</w:t>
      </w:r>
    </w:p>
    <w:p w14:paraId="2746A8DA" w14:textId="77777777" w:rsidR="001E5C93" w:rsidRPr="00A830EA" w:rsidRDefault="00895EE8" w:rsidP="001E5C93">
      <w:pPr>
        <w:rPr>
          <w:color w:val="000000" w:themeColor="text1"/>
        </w:rPr>
      </w:pPr>
      <w:r w:rsidRPr="00A830EA">
        <w:rPr>
          <w:color w:val="000000" w:themeColor="text1"/>
        </w:rPr>
        <w:t>If the young person is not ready to move to the lower level of support, or needs to go back up</w:t>
      </w:r>
      <w:r w:rsidR="003D2A72" w:rsidRPr="00A830EA">
        <w:rPr>
          <w:color w:val="000000" w:themeColor="text1"/>
        </w:rPr>
        <w:t xml:space="preserve"> a level,</w:t>
      </w:r>
      <w:r w:rsidRPr="00A830EA">
        <w:rPr>
          <w:color w:val="000000" w:themeColor="text1"/>
        </w:rPr>
        <w:t xml:space="preserve"> this will be achieved via </w:t>
      </w:r>
      <w:r w:rsidR="0007286A" w:rsidRPr="00A830EA">
        <w:rPr>
          <w:color w:val="000000" w:themeColor="text1"/>
        </w:rPr>
        <w:t xml:space="preserve">a </w:t>
      </w:r>
      <w:r w:rsidRPr="00A830EA">
        <w:rPr>
          <w:color w:val="000000" w:themeColor="text1"/>
        </w:rPr>
        <w:t>support/pathway plan review and has to be approved by the placing Authority.</w:t>
      </w:r>
    </w:p>
    <w:p w14:paraId="5CC879C7" w14:textId="77777777" w:rsidR="00712AD0" w:rsidRDefault="001E5C93" w:rsidP="00516348">
      <w:pPr>
        <w:rPr>
          <w:color w:val="000000" w:themeColor="text1"/>
        </w:rPr>
      </w:pPr>
      <w:r w:rsidRPr="00A830EA">
        <w:rPr>
          <w:color w:val="000000" w:themeColor="text1"/>
        </w:rPr>
        <w:t xml:space="preserve">This will avoid moving young people between placements unless absolutely necessary and support </w:t>
      </w:r>
      <w:r w:rsidR="00516348" w:rsidRPr="00A830EA">
        <w:rPr>
          <w:color w:val="000000" w:themeColor="text1"/>
        </w:rPr>
        <w:t xml:space="preserve">providers </w:t>
      </w:r>
      <w:r w:rsidRPr="00A830EA">
        <w:rPr>
          <w:color w:val="000000" w:themeColor="text1"/>
        </w:rPr>
        <w:t>to work more flexibly within provision</w:t>
      </w:r>
      <w:r w:rsidR="00516348" w:rsidRPr="00A830EA">
        <w:rPr>
          <w:color w:val="000000" w:themeColor="text1"/>
        </w:rPr>
        <w:t>, and provide continuity to the young person whilst their independence increases.</w:t>
      </w:r>
      <w:r w:rsidRPr="00A830EA">
        <w:rPr>
          <w:color w:val="000000" w:themeColor="text1"/>
        </w:rPr>
        <w:t xml:space="preserve">  </w:t>
      </w:r>
    </w:p>
    <w:p w14:paraId="5B4E3FFB" w14:textId="7C9ABCB5" w:rsidR="00BF6780" w:rsidRPr="00BF6780" w:rsidRDefault="00A830EA" w:rsidP="00BF6780">
      <w:pPr>
        <w:jc w:val="center"/>
        <w:rPr>
          <w:rStyle w:val="Heading2Char"/>
          <w:rFonts w:asciiTheme="minorHAnsi" w:eastAsiaTheme="minorHAnsi" w:hAnsiTheme="minorHAnsi" w:cstheme="minorHAnsi"/>
          <w:bCs/>
          <w:color w:val="FFFFFF" w:themeColor="background1"/>
          <w:szCs w:val="28"/>
          <w:lang w:eastAsia="en-GB"/>
        </w:rPr>
        <w:sectPr w:rsidR="00BF6780" w:rsidRPr="00BF6780" w:rsidSect="00712AD0">
          <w:footerReference w:type="default" r:id="rId7"/>
          <w:pgSz w:w="11906" w:h="16838"/>
          <w:pgMar w:top="1440" w:right="1440" w:bottom="1440" w:left="1440" w:header="709" w:footer="709" w:gutter="0"/>
          <w:cols w:space="708"/>
          <w:docGrid w:linePitch="360"/>
        </w:sectPr>
      </w:pPr>
      <w:r w:rsidRPr="00BF6780">
        <w:rPr>
          <w:b/>
          <w:sz w:val="28"/>
          <w:szCs w:val="28"/>
        </w:rPr>
        <w:t xml:space="preserve">The revised model is illustrated below.  We have deliberately left blank the proposed hours that would be required within each banding, and the length of time that each banding might apply.  This is because </w:t>
      </w:r>
      <w:r w:rsidR="00BF6780">
        <w:rPr>
          <w:b/>
          <w:sz w:val="28"/>
          <w:szCs w:val="28"/>
        </w:rPr>
        <w:t>i</w:t>
      </w:r>
      <w:r w:rsidR="00BF6780" w:rsidRPr="00BF6780">
        <w:rPr>
          <w:b/>
          <w:sz w:val="28"/>
          <w:szCs w:val="28"/>
        </w:rPr>
        <w:t>t is important to us that the Provider market is closely involved in developing the pricing model</w:t>
      </w:r>
      <w:r w:rsidR="00BF6780">
        <w:rPr>
          <w:b/>
          <w:sz w:val="28"/>
          <w:szCs w:val="28"/>
        </w:rPr>
        <w:t xml:space="preserve">. </w:t>
      </w:r>
      <w:r w:rsidR="00BF6780" w:rsidRPr="00BF6780">
        <w:rPr>
          <w:b/>
          <w:sz w:val="28"/>
          <w:szCs w:val="28"/>
        </w:rPr>
        <w:t xml:space="preserve"> </w:t>
      </w:r>
      <w:r w:rsidR="00BF6780">
        <w:rPr>
          <w:b/>
          <w:sz w:val="28"/>
          <w:szCs w:val="28"/>
        </w:rPr>
        <w:t xml:space="preserve">We therefore </w:t>
      </w:r>
      <w:r w:rsidRPr="00BF6780">
        <w:rPr>
          <w:b/>
          <w:sz w:val="28"/>
          <w:szCs w:val="28"/>
        </w:rPr>
        <w:t xml:space="preserve">want providers to tell us what they think is appropriate, rather than </w:t>
      </w:r>
      <w:r w:rsidR="00BF6780" w:rsidRPr="00BF6780">
        <w:rPr>
          <w:b/>
          <w:sz w:val="28"/>
          <w:szCs w:val="28"/>
        </w:rPr>
        <w:t>C</w:t>
      </w:r>
      <w:r w:rsidRPr="00BF6780">
        <w:rPr>
          <w:b/>
          <w:sz w:val="28"/>
          <w:szCs w:val="28"/>
        </w:rPr>
        <w:t xml:space="preserve">ommissioners being prescriptive. </w:t>
      </w:r>
      <w:r w:rsidR="00BF6780" w:rsidRPr="00BF6780">
        <w:rPr>
          <w:b/>
          <w:sz w:val="28"/>
          <w:szCs w:val="28"/>
        </w:rPr>
        <w:t xml:space="preserve"> </w:t>
      </w:r>
    </w:p>
    <w:tbl>
      <w:tblPr>
        <w:tblStyle w:val="TableGrid"/>
        <w:tblW w:w="15735" w:type="dxa"/>
        <w:tblInd w:w="-998" w:type="dxa"/>
        <w:tblLook w:val="04A0" w:firstRow="1" w:lastRow="0" w:firstColumn="1" w:lastColumn="0" w:noHBand="0" w:noVBand="1"/>
      </w:tblPr>
      <w:tblGrid>
        <w:gridCol w:w="1096"/>
        <w:gridCol w:w="3338"/>
        <w:gridCol w:w="2091"/>
        <w:gridCol w:w="6092"/>
        <w:gridCol w:w="3118"/>
      </w:tblGrid>
      <w:tr w:rsidR="00895EE8" w14:paraId="7E1EA051" w14:textId="77777777" w:rsidTr="0007286A">
        <w:tc>
          <w:tcPr>
            <w:tcW w:w="1096" w:type="dxa"/>
            <w:shd w:val="clear" w:color="auto" w:fill="7F7F7F" w:themeFill="text1" w:themeFillTint="80"/>
          </w:tcPr>
          <w:p w14:paraId="11F4A52E" w14:textId="77777777" w:rsidR="00895EE8" w:rsidRPr="00A94882" w:rsidRDefault="00712AD0" w:rsidP="000B2E45">
            <w:pPr>
              <w:pStyle w:val="Tendertemplate"/>
              <w:tabs>
                <w:tab w:val="clear" w:pos="1304"/>
              </w:tabs>
              <w:spacing w:before="120" w:after="120"/>
              <w:ind w:left="0" w:firstLine="0"/>
              <w:rPr>
                <w:rStyle w:val="Heading2Char"/>
                <w:rFonts w:asciiTheme="minorHAnsi" w:hAnsiTheme="minorHAnsi" w:cstheme="minorHAnsi"/>
                <w:b/>
                <w:sz w:val="22"/>
              </w:rPr>
            </w:pPr>
            <w:r>
              <w:rPr>
                <w:rStyle w:val="Heading2Char"/>
                <w:rFonts w:asciiTheme="minorHAnsi" w:hAnsiTheme="minorHAnsi" w:cstheme="minorHAnsi"/>
                <w:b/>
                <w:sz w:val="22"/>
              </w:rPr>
              <w:lastRenderedPageBreak/>
              <w:t>P</w:t>
            </w:r>
            <w:r w:rsidR="00895EE8" w:rsidRPr="00A94882">
              <w:rPr>
                <w:rStyle w:val="Heading2Char"/>
                <w:rFonts w:asciiTheme="minorHAnsi" w:hAnsiTheme="minorHAnsi" w:cstheme="minorHAnsi"/>
                <w:b/>
                <w:sz w:val="22"/>
              </w:rPr>
              <w:t>ricing Band</w:t>
            </w:r>
          </w:p>
        </w:tc>
        <w:tc>
          <w:tcPr>
            <w:tcW w:w="3338" w:type="dxa"/>
            <w:shd w:val="clear" w:color="auto" w:fill="7F7F7F" w:themeFill="text1" w:themeFillTint="80"/>
          </w:tcPr>
          <w:p w14:paraId="7171A00A" w14:textId="77777777" w:rsidR="00895EE8" w:rsidRPr="00A94882" w:rsidRDefault="00895EE8" w:rsidP="000B2E45">
            <w:pPr>
              <w:pStyle w:val="Tendertemplate"/>
              <w:tabs>
                <w:tab w:val="clear" w:pos="1304"/>
              </w:tabs>
              <w:spacing w:before="120" w:after="120"/>
              <w:ind w:left="0" w:firstLine="0"/>
              <w:rPr>
                <w:rStyle w:val="Heading2Char"/>
                <w:rFonts w:asciiTheme="minorHAnsi" w:hAnsiTheme="minorHAnsi" w:cstheme="minorHAnsi"/>
                <w:b/>
                <w:sz w:val="22"/>
              </w:rPr>
            </w:pPr>
            <w:r w:rsidRPr="00A94882">
              <w:rPr>
                <w:rStyle w:val="Heading2Char"/>
                <w:rFonts w:asciiTheme="minorHAnsi" w:hAnsiTheme="minorHAnsi" w:cstheme="minorHAnsi"/>
                <w:b/>
                <w:sz w:val="22"/>
              </w:rPr>
              <w:t>Pathway/need</w:t>
            </w:r>
          </w:p>
        </w:tc>
        <w:tc>
          <w:tcPr>
            <w:tcW w:w="2091" w:type="dxa"/>
            <w:shd w:val="clear" w:color="auto" w:fill="7F7F7F" w:themeFill="text1" w:themeFillTint="80"/>
          </w:tcPr>
          <w:p w14:paraId="2F1580AB" w14:textId="77777777" w:rsidR="00895EE8" w:rsidRPr="00A94882" w:rsidRDefault="00895EE8" w:rsidP="000B2E45">
            <w:pPr>
              <w:pStyle w:val="Tendertemplate"/>
              <w:tabs>
                <w:tab w:val="clear" w:pos="1304"/>
              </w:tabs>
              <w:spacing w:before="120" w:after="120"/>
              <w:ind w:left="0" w:firstLine="0"/>
              <w:rPr>
                <w:rStyle w:val="Heading2Char"/>
                <w:rFonts w:asciiTheme="minorHAnsi" w:hAnsiTheme="minorHAnsi" w:cstheme="minorHAnsi"/>
                <w:b/>
                <w:sz w:val="22"/>
              </w:rPr>
            </w:pPr>
            <w:r w:rsidRPr="00A94882">
              <w:rPr>
                <w:rStyle w:val="Heading2Char"/>
                <w:rFonts w:asciiTheme="minorHAnsi" w:hAnsiTheme="minorHAnsi" w:cstheme="minorHAnsi"/>
                <w:b/>
                <w:sz w:val="22"/>
              </w:rPr>
              <w:t>Status of Young Person</w:t>
            </w:r>
          </w:p>
        </w:tc>
        <w:tc>
          <w:tcPr>
            <w:tcW w:w="6092" w:type="dxa"/>
            <w:shd w:val="clear" w:color="auto" w:fill="7F7F7F" w:themeFill="text1" w:themeFillTint="80"/>
          </w:tcPr>
          <w:p w14:paraId="66F5DC49" w14:textId="77777777" w:rsidR="00895EE8" w:rsidRPr="00A94882" w:rsidRDefault="00895EE8" w:rsidP="000B2E45">
            <w:pPr>
              <w:pStyle w:val="Tendertemplate"/>
              <w:tabs>
                <w:tab w:val="clear" w:pos="1304"/>
              </w:tabs>
              <w:spacing w:before="120" w:after="120"/>
              <w:ind w:left="0" w:firstLine="0"/>
              <w:rPr>
                <w:rStyle w:val="Heading2Char"/>
                <w:rFonts w:asciiTheme="minorHAnsi" w:hAnsiTheme="minorHAnsi" w:cstheme="minorHAnsi"/>
                <w:b/>
                <w:sz w:val="22"/>
              </w:rPr>
            </w:pPr>
            <w:r w:rsidRPr="00A94882">
              <w:rPr>
                <w:rStyle w:val="Heading2Char"/>
                <w:rFonts w:asciiTheme="minorHAnsi" w:hAnsiTheme="minorHAnsi" w:cstheme="minorHAnsi"/>
                <w:b/>
                <w:sz w:val="22"/>
              </w:rPr>
              <w:t xml:space="preserve">Description of Support Required </w:t>
            </w:r>
          </w:p>
        </w:tc>
        <w:tc>
          <w:tcPr>
            <w:tcW w:w="3118" w:type="dxa"/>
            <w:shd w:val="clear" w:color="auto" w:fill="7F7F7F" w:themeFill="text1" w:themeFillTint="80"/>
          </w:tcPr>
          <w:p w14:paraId="0110D742" w14:textId="77777777" w:rsidR="00895EE8" w:rsidRPr="00A94882" w:rsidRDefault="00895EE8" w:rsidP="000B2E45">
            <w:pPr>
              <w:pStyle w:val="Tendertemplate"/>
              <w:tabs>
                <w:tab w:val="clear" w:pos="1304"/>
              </w:tabs>
              <w:spacing w:before="120" w:after="120"/>
              <w:ind w:left="0" w:firstLine="0"/>
              <w:rPr>
                <w:rStyle w:val="Heading2Char"/>
                <w:rFonts w:asciiTheme="minorHAnsi" w:hAnsiTheme="minorHAnsi" w:cstheme="minorHAnsi"/>
                <w:b/>
                <w:sz w:val="22"/>
              </w:rPr>
            </w:pPr>
            <w:r w:rsidRPr="003D2A72">
              <w:rPr>
                <w:rStyle w:val="Heading2Char"/>
                <w:rFonts w:asciiTheme="minorHAnsi" w:hAnsiTheme="minorHAnsi" w:cstheme="minorHAnsi"/>
                <w:b/>
                <w:sz w:val="22"/>
              </w:rPr>
              <w:t xml:space="preserve">Hours/Rate </w:t>
            </w:r>
          </w:p>
        </w:tc>
      </w:tr>
      <w:tr w:rsidR="00895EE8" w14:paraId="12C63199" w14:textId="77777777" w:rsidTr="0007286A">
        <w:trPr>
          <w:trHeight w:val="4523"/>
        </w:trPr>
        <w:tc>
          <w:tcPr>
            <w:tcW w:w="1096" w:type="dxa"/>
            <w:shd w:val="clear" w:color="auto" w:fill="D9D9D9" w:themeFill="background1" w:themeFillShade="D9"/>
          </w:tcPr>
          <w:p w14:paraId="77F93D1B" w14:textId="77777777" w:rsidR="00895EE8" w:rsidRDefault="00895EE8" w:rsidP="000B2E45">
            <w:pPr>
              <w:pStyle w:val="Tendertemplate"/>
              <w:tabs>
                <w:tab w:val="clear" w:pos="1304"/>
              </w:tabs>
              <w:spacing w:before="120" w:after="120"/>
              <w:ind w:left="0" w:firstLine="0"/>
              <w:rPr>
                <w:rStyle w:val="Heading2Char"/>
                <w:rFonts w:asciiTheme="minorHAnsi" w:hAnsiTheme="minorHAnsi" w:cstheme="minorHAnsi"/>
                <w:b/>
                <w:color w:val="auto"/>
                <w:sz w:val="22"/>
              </w:rPr>
            </w:pPr>
            <w:r>
              <w:rPr>
                <w:rStyle w:val="Heading2Char"/>
                <w:rFonts w:asciiTheme="minorHAnsi" w:hAnsiTheme="minorHAnsi" w:cstheme="minorHAnsi"/>
                <w:b/>
                <w:color w:val="auto"/>
                <w:sz w:val="22"/>
              </w:rPr>
              <w:t>B</w:t>
            </w:r>
            <w:r w:rsidRPr="00A94882">
              <w:rPr>
                <w:rStyle w:val="Heading2Char"/>
                <w:rFonts w:asciiTheme="minorHAnsi" w:hAnsiTheme="minorHAnsi" w:cstheme="minorHAnsi"/>
                <w:b/>
                <w:color w:val="auto"/>
                <w:sz w:val="22"/>
              </w:rPr>
              <w:t xml:space="preserve">and 1 </w:t>
            </w:r>
          </w:p>
          <w:p w14:paraId="2FAA3FF4" w14:textId="77777777" w:rsidR="001C2B55" w:rsidRPr="00A94882" w:rsidRDefault="001C2B55" w:rsidP="000B2E45">
            <w:pPr>
              <w:pStyle w:val="Tendertemplate"/>
              <w:tabs>
                <w:tab w:val="clear" w:pos="1304"/>
              </w:tabs>
              <w:spacing w:before="120" w:after="120"/>
              <w:ind w:left="0" w:firstLine="0"/>
              <w:rPr>
                <w:rStyle w:val="Heading2Char"/>
                <w:rFonts w:asciiTheme="minorHAnsi" w:hAnsiTheme="minorHAnsi" w:cstheme="minorHAnsi"/>
                <w:b/>
                <w:color w:val="auto"/>
                <w:sz w:val="22"/>
              </w:rPr>
            </w:pPr>
          </w:p>
        </w:tc>
        <w:tc>
          <w:tcPr>
            <w:tcW w:w="3338" w:type="dxa"/>
          </w:tcPr>
          <w:p w14:paraId="316432F5" w14:textId="77777777" w:rsidR="00895EE8" w:rsidRPr="00A94882" w:rsidRDefault="00895EE8" w:rsidP="000B2E45">
            <w:pPr>
              <w:pStyle w:val="Tendertemplate"/>
              <w:tabs>
                <w:tab w:val="clear" w:pos="1304"/>
              </w:tabs>
              <w:spacing w:before="120" w:after="120"/>
              <w:ind w:left="0" w:firstLine="0"/>
              <w:jc w:val="left"/>
              <w:rPr>
                <w:rStyle w:val="Heading2Char"/>
                <w:rFonts w:asciiTheme="minorHAnsi" w:hAnsiTheme="minorHAnsi" w:cstheme="minorHAnsi"/>
                <w:b/>
                <w:color w:val="auto"/>
                <w:sz w:val="22"/>
              </w:rPr>
            </w:pPr>
            <w:r>
              <w:rPr>
                <w:rStyle w:val="Heading2Char"/>
                <w:rFonts w:asciiTheme="minorHAnsi" w:hAnsiTheme="minorHAnsi" w:cstheme="minorHAnsi"/>
                <w:b/>
                <w:color w:val="auto"/>
                <w:sz w:val="22"/>
              </w:rPr>
              <w:t>Sudden b</w:t>
            </w:r>
            <w:r w:rsidRPr="00A94882">
              <w:rPr>
                <w:rStyle w:val="Heading2Char"/>
                <w:rFonts w:asciiTheme="minorHAnsi" w:hAnsiTheme="minorHAnsi" w:cstheme="minorHAnsi"/>
                <w:b/>
                <w:color w:val="auto"/>
                <w:sz w:val="22"/>
              </w:rPr>
              <w:t xml:space="preserve">reakdown of care placement or relationship with family members </w:t>
            </w:r>
            <w:r>
              <w:rPr>
                <w:rStyle w:val="Heading2Char"/>
                <w:rFonts w:asciiTheme="minorHAnsi" w:hAnsiTheme="minorHAnsi" w:cstheme="minorHAnsi"/>
                <w:b/>
                <w:color w:val="auto"/>
                <w:sz w:val="22"/>
              </w:rPr>
              <w:t>/Assessment/crisis response</w:t>
            </w:r>
          </w:p>
        </w:tc>
        <w:tc>
          <w:tcPr>
            <w:tcW w:w="2091" w:type="dxa"/>
          </w:tcPr>
          <w:p w14:paraId="6C03A722" w14:textId="77777777" w:rsidR="00895EE8" w:rsidRPr="00A94882" w:rsidRDefault="00895EE8" w:rsidP="000B2E45">
            <w:pPr>
              <w:pStyle w:val="Tendertemplate"/>
              <w:tabs>
                <w:tab w:val="clear" w:pos="1304"/>
              </w:tabs>
              <w:spacing w:before="120" w:after="120"/>
              <w:ind w:left="0" w:firstLine="0"/>
              <w:jc w:val="left"/>
              <w:rPr>
                <w:rStyle w:val="Heading2Char"/>
                <w:rFonts w:asciiTheme="minorHAnsi" w:hAnsiTheme="minorHAnsi" w:cstheme="minorHAnsi"/>
                <w:color w:val="auto"/>
                <w:sz w:val="22"/>
              </w:rPr>
            </w:pPr>
            <w:r w:rsidRPr="00A94882">
              <w:rPr>
                <w:rStyle w:val="Heading2Char"/>
                <w:rFonts w:asciiTheme="minorHAnsi" w:hAnsiTheme="minorHAnsi" w:cstheme="minorHAnsi"/>
                <w:color w:val="auto"/>
                <w:sz w:val="22"/>
              </w:rPr>
              <w:t>Looked after Children</w:t>
            </w:r>
            <w:r w:rsidRPr="009A25C1">
              <w:rPr>
                <w:rStyle w:val="Heading2Char"/>
                <w:rFonts w:asciiTheme="minorHAnsi" w:hAnsiTheme="minorHAnsi" w:cstheme="minorHAnsi"/>
                <w:color w:val="auto"/>
                <w:sz w:val="22"/>
              </w:rPr>
              <w:t>/ Late entrants to care</w:t>
            </w:r>
            <w:r w:rsidRPr="00A94882">
              <w:rPr>
                <w:rStyle w:val="Heading2Char"/>
                <w:rFonts w:asciiTheme="minorHAnsi" w:hAnsiTheme="minorHAnsi" w:cstheme="minorHAnsi"/>
                <w:color w:val="auto"/>
                <w:sz w:val="22"/>
              </w:rPr>
              <w:t xml:space="preserve"> </w:t>
            </w:r>
          </w:p>
        </w:tc>
        <w:tc>
          <w:tcPr>
            <w:tcW w:w="6092" w:type="dxa"/>
          </w:tcPr>
          <w:p w14:paraId="632FC427" w14:textId="77777777" w:rsidR="00895EE8" w:rsidRDefault="00895EE8" w:rsidP="000B2E45">
            <w:pPr>
              <w:rPr>
                <w:rFonts w:asciiTheme="minorHAnsi" w:hAnsiTheme="minorHAnsi" w:cstheme="minorHAnsi"/>
              </w:rPr>
            </w:pPr>
            <w:r>
              <w:rPr>
                <w:rFonts w:asciiTheme="minorHAnsi" w:hAnsiTheme="minorHAnsi" w:cstheme="minorHAnsi"/>
              </w:rPr>
              <w:t>Likely</w:t>
            </w:r>
            <w:r w:rsidRPr="00A94882">
              <w:rPr>
                <w:rFonts w:asciiTheme="minorHAnsi" w:hAnsiTheme="minorHAnsi" w:cstheme="minorHAnsi"/>
              </w:rPr>
              <w:t xml:space="preserve"> </w:t>
            </w:r>
            <w:r>
              <w:rPr>
                <w:rFonts w:asciiTheme="minorHAnsi" w:hAnsiTheme="minorHAnsi" w:cstheme="minorHAnsi"/>
              </w:rPr>
              <w:t xml:space="preserve">to need </w:t>
            </w:r>
            <w:r w:rsidRPr="00A94882">
              <w:rPr>
                <w:rFonts w:asciiTheme="minorHAnsi" w:hAnsiTheme="minorHAnsi" w:cstheme="minorHAnsi"/>
              </w:rPr>
              <w:t xml:space="preserve">higher levels of staffing, at least initially. This is most likely to be 24/7 support in a smaller provision. These young people are likely to be difficult to engage, having experienced multiple rejections. </w:t>
            </w:r>
            <w:r>
              <w:rPr>
                <w:rFonts w:asciiTheme="minorHAnsi" w:hAnsiTheme="minorHAnsi" w:cstheme="minorHAnsi"/>
              </w:rPr>
              <w:t xml:space="preserve">Some may be late entrants to care. </w:t>
            </w:r>
          </w:p>
          <w:p w14:paraId="3A84EF4C" w14:textId="77777777" w:rsidR="00895EE8" w:rsidRDefault="00895EE8" w:rsidP="000B2E45">
            <w:pPr>
              <w:spacing w:after="0"/>
              <w:rPr>
                <w:rStyle w:val="Heading2Char"/>
                <w:rFonts w:asciiTheme="minorHAnsi" w:hAnsiTheme="minorHAnsi" w:cstheme="minorHAnsi"/>
                <w:b w:val="0"/>
                <w:bCs/>
                <w:sz w:val="22"/>
              </w:rPr>
            </w:pPr>
            <w:r>
              <w:rPr>
                <w:rStyle w:val="Heading2Char"/>
                <w:rFonts w:asciiTheme="minorHAnsi" w:hAnsiTheme="minorHAnsi" w:cstheme="minorHAnsi"/>
                <w:b w:val="0"/>
                <w:sz w:val="22"/>
              </w:rPr>
              <w:t xml:space="preserve">Support </w:t>
            </w:r>
            <w:r w:rsidRPr="0022154A">
              <w:rPr>
                <w:rStyle w:val="Heading2Char"/>
                <w:rFonts w:asciiTheme="minorHAnsi" w:hAnsiTheme="minorHAnsi" w:cstheme="minorHAnsi"/>
                <w:b w:val="0"/>
                <w:sz w:val="22"/>
              </w:rPr>
              <w:t>to facilitate assessment for those young people who are late entrants to care (aged 16+), where information in relation to their needs is limited, or those on the edge of care where assessment is required, including homeless 16/17 year olds.</w:t>
            </w:r>
            <w:r w:rsidRPr="0022154A">
              <w:rPr>
                <w:rStyle w:val="Heading2Char"/>
                <w:rFonts w:asciiTheme="minorHAnsi" w:hAnsiTheme="minorHAnsi" w:cstheme="minorHAnsi"/>
                <w:b w:val="0"/>
                <w:bCs/>
                <w:sz w:val="22"/>
              </w:rPr>
              <w:t xml:space="preserve"> </w:t>
            </w:r>
          </w:p>
          <w:p w14:paraId="18DD1C5D" w14:textId="77777777" w:rsidR="00895EE8" w:rsidRDefault="00895EE8" w:rsidP="000B2E45">
            <w:pPr>
              <w:spacing w:after="0"/>
              <w:rPr>
                <w:rFonts w:asciiTheme="minorHAnsi" w:hAnsiTheme="minorHAnsi" w:cstheme="minorHAnsi"/>
              </w:rPr>
            </w:pPr>
          </w:p>
          <w:p w14:paraId="7595E8E2" w14:textId="77777777" w:rsidR="00895EE8" w:rsidRPr="00A94882" w:rsidRDefault="00895EE8" w:rsidP="000B2E45">
            <w:pPr>
              <w:rPr>
                <w:rStyle w:val="Heading2Char"/>
                <w:rFonts w:asciiTheme="minorHAnsi" w:hAnsiTheme="minorHAnsi" w:cstheme="minorHAnsi"/>
                <w:sz w:val="22"/>
              </w:rPr>
            </w:pPr>
            <w:r w:rsidRPr="00A94882">
              <w:rPr>
                <w:rFonts w:asciiTheme="minorHAnsi" w:hAnsiTheme="minorHAnsi" w:cstheme="minorHAnsi"/>
              </w:rPr>
              <w:t>Band 1 provision will focus on stabilisation</w:t>
            </w:r>
            <w:r>
              <w:rPr>
                <w:rFonts w:asciiTheme="minorHAnsi" w:hAnsiTheme="minorHAnsi" w:cstheme="minorHAnsi"/>
              </w:rPr>
              <w:t xml:space="preserve"> and</w:t>
            </w:r>
            <w:r w:rsidRPr="00A94882">
              <w:rPr>
                <w:rFonts w:asciiTheme="minorHAnsi" w:hAnsiTheme="minorHAnsi" w:cstheme="minorHAnsi"/>
              </w:rPr>
              <w:t xml:space="preserve"> understanding the reason for the young person’s current presentation</w:t>
            </w:r>
            <w:r>
              <w:rPr>
                <w:rFonts w:asciiTheme="minorHAnsi" w:hAnsiTheme="minorHAnsi" w:cstheme="minorHAnsi"/>
              </w:rPr>
              <w:t>. Intensive support and engagement will be provided to facilitate identification of and preparation for appropriate step down into less intensive support or</w:t>
            </w:r>
            <w:r w:rsidRPr="00A94882">
              <w:rPr>
                <w:rFonts w:asciiTheme="minorHAnsi" w:hAnsiTheme="minorHAnsi" w:cstheme="minorHAnsi"/>
              </w:rPr>
              <w:t xml:space="preserve"> move-on. </w:t>
            </w:r>
            <w:r>
              <w:rPr>
                <w:rFonts w:asciiTheme="minorHAnsi" w:hAnsiTheme="minorHAnsi" w:cstheme="minorHAnsi"/>
              </w:rPr>
              <w:t xml:space="preserve">This </w:t>
            </w:r>
            <w:r w:rsidRPr="00A94882">
              <w:rPr>
                <w:rFonts w:asciiTheme="minorHAnsi" w:hAnsiTheme="minorHAnsi" w:cstheme="minorHAnsi"/>
              </w:rPr>
              <w:t>may also include outreach support as the young person moves into their next placeme</w:t>
            </w:r>
            <w:r>
              <w:rPr>
                <w:rFonts w:asciiTheme="minorHAnsi" w:hAnsiTheme="minorHAnsi" w:cstheme="minorHAnsi"/>
              </w:rPr>
              <w:t>nt to provide continuity</w:t>
            </w:r>
            <w:r w:rsidRPr="00A94882">
              <w:rPr>
                <w:rFonts w:asciiTheme="minorHAnsi" w:hAnsiTheme="minorHAnsi" w:cstheme="minorHAnsi"/>
              </w:rPr>
              <w:t xml:space="preserve">.  </w:t>
            </w:r>
          </w:p>
        </w:tc>
        <w:tc>
          <w:tcPr>
            <w:tcW w:w="3118" w:type="dxa"/>
          </w:tcPr>
          <w:p w14:paraId="131422C9" w14:textId="77777777" w:rsidR="00895EE8" w:rsidRPr="00895EE8" w:rsidRDefault="00895EE8" w:rsidP="000B2E45">
            <w:pPr>
              <w:rPr>
                <w:rFonts w:asciiTheme="minorHAnsi" w:hAnsiTheme="minorHAnsi" w:cstheme="minorHAnsi"/>
                <w:sz w:val="22"/>
                <w:szCs w:val="22"/>
              </w:rPr>
            </w:pPr>
            <w:r w:rsidRPr="00895EE8">
              <w:rPr>
                <w:rFonts w:asciiTheme="minorHAnsi" w:hAnsiTheme="minorHAnsi" w:cstheme="minorHAnsi"/>
                <w:sz w:val="22"/>
                <w:szCs w:val="22"/>
              </w:rPr>
              <w:t xml:space="preserve">Entry rate: </w:t>
            </w:r>
          </w:p>
          <w:p w14:paraId="06873617" w14:textId="77777777" w:rsidR="001C2B55" w:rsidRPr="008A4FD9" w:rsidRDefault="006F678C" w:rsidP="001C2B55">
            <w:pPr>
              <w:rPr>
                <w:rFonts w:asciiTheme="minorHAnsi" w:hAnsiTheme="minorHAnsi" w:cstheme="minorHAnsi"/>
                <w:color w:val="FF0000"/>
                <w:sz w:val="22"/>
                <w:szCs w:val="22"/>
              </w:rPr>
            </w:pPr>
            <w:r w:rsidRPr="008A4FD9">
              <w:rPr>
                <w:rFonts w:asciiTheme="minorHAnsi" w:hAnsiTheme="minorHAnsi" w:cstheme="minorHAnsi"/>
                <w:color w:val="FF0000"/>
                <w:sz w:val="22"/>
                <w:szCs w:val="22"/>
              </w:rPr>
              <w:t>B</w:t>
            </w:r>
            <w:r w:rsidR="00895EE8" w:rsidRPr="008A4FD9">
              <w:rPr>
                <w:rFonts w:asciiTheme="minorHAnsi" w:hAnsiTheme="minorHAnsi" w:cstheme="minorHAnsi"/>
                <w:color w:val="FF0000"/>
                <w:sz w:val="22"/>
                <w:szCs w:val="22"/>
              </w:rPr>
              <w:t xml:space="preserve">etween </w:t>
            </w:r>
            <w:r w:rsidR="00895EE8" w:rsidRPr="008A4FD9">
              <w:rPr>
                <w:rFonts w:asciiTheme="minorHAnsi" w:hAnsiTheme="minorHAnsi" w:cstheme="minorHAnsi"/>
                <w:color w:val="FF0000"/>
                <w:sz w:val="22"/>
                <w:szCs w:val="22"/>
                <w:highlight w:val="yellow"/>
              </w:rPr>
              <w:t>x and x hours</w:t>
            </w:r>
            <w:r w:rsidR="00895EE8" w:rsidRPr="008A4FD9">
              <w:rPr>
                <w:rFonts w:asciiTheme="minorHAnsi" w:hAnsiTheme="minorHAnsi" w:cstheme="minorHAnsi"/>
                <w:color w:val="FF0000"/>
                <w:sz w:val="22"/>
                <w:szCs w:val="22"/>
              </w:rPr>
              <w:t xml:space="preserve"> per week for a maximum </w:t>
            </w:r>
            <w:r w:rsidR="00895EE8" w:rsidRPr="008A4FD9">
              <w:rPr>
                <w:rFonts w:asciiTheme="minorHAnsi" w:hAnsiTheme="minorHAnsi" w:cstheme="minorHAnsi"/>
                <w:color w:val="FF0000"/>
                <w:sz w:val="22"/>
                <w:szCs w:val="22"/>
                <w:highlight w:val="yellow"/>
              </w:rPr>
              <w:t xml:space="preserve">of </w:t>
            </w:r>
            <w:r w:rsidR="008A4FD9">
              <w:rPr>
                <w:rFonts w:asciiTheme="minorHAnsi" w:hAnsiTheme="minorHAnsi" w:cstheme="minorHAnsi"/>
                <w:color w:val="FF0000"/>
                <w:sz w:val="22"/>
                <w:szCs w:val="22"/>
                <w:highlight w:val="yellow"/>
              </w:rPr>
              <w:t>x</w:t>
            </w:r>
            <w:r w:rsidR="00895EE8" w:rsidRPr="008A4FD9">
              <w:rPr>
                <w:rFonts w:asciiTheme="minorHAnsi" w:hAnsiTheme="minorHAnsi" w:cstheme="minorHAnsi"/>
                <w:color w:val="FF0000"/>
                <w:sz w:val="22"/>
                <w:szCs w:val="22"/>
                <w:highlight w:val="yellow"/>
              </w:rPr>
              <w:t xml:space="preserve"> weeks</w:t>
            </w:r>
            <w:r w:rsidR="00895EE8" w:rsidRPr="008A4FD9">
              <w:rPr>
                <w:rFonts w:asciiTheme="minorHAnsi" w:hAnsiTheme="minorHAnsi" w:cstheme="minorHAnsi"/>
                <w:color w:val="FF0000"/>
                <w:sz w:val="22"/>
                <w:szCs w:val="22"/>
              </w:rPr>
              <w:t xml:space="preserve"> </w:t>
            </w:r>
          </w:p>
          <w:p w14:paraId="0C32C542" w14:textId="77777777" w:rsidR="00895EE8" w:rsidRPr="0007286A" w:rsidRDefault="00895EE8" w:rsidP="001C2B55">
            <w:pPr>
              <w:rPr>
                <w:rFonts w:asciiTheme="minorHAnsi" w:hAnsiTheme="minorHAnsi" w:cstheme="minorHAnsi"/>
                <w:sz w:val="22"/>
                <w:szCs w:val="22"/>
              </w:rPr>
            </w:pPr>
            <w:r w:rsidRPr="006C640C">
              <w:rPr>
                <w:rFonts w:asciiTheme="minorHAnsi" w:hAnsiTheme="minorHAnsi" w:cstheme="minorHAnsi"/>
                <w:color w:val="0070C0"/>
                <w:sz w:val="22"/>
                <w:szCs w:val="22"/>
              </w:rPr>
              <w:t xml:space="preserve"> </w:t>
            </w:r>
          </w:p>
        </w:tc>
      </w:tr>
      <w:tr w:rsidR="00895EE8" w14:paraId="1E25B38B" w14:textId="77777777" w:rsidTr="0007286A">
        <w:tc>
          <w:tcPr>
            <w:tcW w:w="1096" w:type="dxa"/>
            <w:shd w:val="clear" w:color="auto" w:fill="D9D9D9" w:themeFill="background1" w:themeFillShade="D9"/>
          </w:tcPr>
          <w:p w14:paraId="58696C09" w14:textId="77777777" w:rsidR="00895EE8" w:rsidRPr="0022154A" w:rsidRDefault="00895EE8" w:rsidP="000B2E45">
            <w:pPr>
              <w:pStyle w:val="Tendertemplate"/>
              <w:tabs>
                <w:tab w:val="clear" w:pos="1304"/>
              </w:tabs>
              <w:spacing w:before="120" w:after="120"/>
              <w:ind w:left="0" w:firstLine="0"/>
              <w:rPr>
                <w:rStyle w:val="Heading2Char"/>
                <w:rFonts w:asciiTheme="minorHAnsi" w:hAnsiTheme="minorHAnsi" w:cstheme="minorHAnsi"/>
                <w:b/>
                <w:color w:val="auto"/>
                <w:sz w:val="22"/>
              </w:rPr>
            </w:pPr>
            <w:r w:rsidRPr="0022154A">
              <w:rPr>
                <w:rStyle w:val="Heading2Char"/>
                <w:rFonts w:asciiTheme="minorHAnsi" w:hAnsiTheme="minorHAnsi" w:cstheme="minorHAnsi"/>
                <w:b/>
                <w:color w:val="auto"/>
                <w:sz w:val="22"/>
              </w:rPr>
              <w:t>Band 2</w:t>
            </w:r>
          </w:p>
        </w:tc>
        <w:tc>
          <w:tcPr>
            <w:tcW w:w="3338" w:type="dxa"/>
          </w:tcPr>
          <w:p w14:paraId="5F626A9C" w14:textId="77777777" w:rsidR="00895EE8" w:rsidRPr="0022154A" w:rsidRDefault="00895EE8" w:rsidP="000B2E45">
            <w:pPr>
              <w:rPr>
                <w:rStyle w:val="Heading2Char"/>
                <w:rFonts w:asciiTheme="minorHAnsi" w:hAnsiTheme="minorHAnsi" w:cstheme="minorHAnsi"/>
                <w:sz w:val="22"/>
              </w:rPr>
            </w:pPr>
            <w:r>
              <w:rPr>
                <w:rStyle w:val="Heading2Char"/>
                <w:rFonts w:asciiTheme="minorHAnsi" w:hAnsiTheme="minorHAnsi" w:cstheme="minorHAnsi"/>
                <w:sz w:val="22"/>
              </w:rPr>
              <w:t>O</w:t>
            </w:r>
            <w:r w:rsidRPr="0022154A">
              <w:rPr>
                <w:rStyle w:val="Heading2Char"/>
                <w:rFonts w:asciiTheme="minorHAnsi" w:hAnsiTheme="minorHAnsi" w:cstheme="minorHAnsi"/>
                <w:sz w:val="22"/>
              </w:rPr>
              <w:t xml:space="preserve">ngoing support </w:t>
            </w:r>
          </w:p>
        </w:tc>
        <w:tc>
          <w:tcPr>
            <w:tcW w:w="2091" w:type="dxa"/>
          </w:tcPr>
          <w:p w14:paraId="5DA0DE9A" w14:textId="77777777" w:rsidR="00895EE8" w:rsidRPr="0022154A" w:rsidRDefault="00895EE8" w:rsidP="000B2E45">
            <w:pPr>
              <w:pStyle w:val="Tendertemplate"/>
              <w:tabs>
                <w:tab w:val="clear" w:pos="1304"/>
              </w:tabs>
              <w:spacing w:before="120" w:after="120"/>
              <w:ind w:left="0" w:firstLine="0"/>
              <w:jc w:val="left"/>
              <w:rPr>
                <w:rStyle w:val="Heading2Char"/>
                <w:rFonts w:asciiTheme="minorHAnsi" w:hAnsiTheme="minorHAnsi" w:cstheme="minorHAnsi"/>
                <w:color w:val="auto"/>
                <w:sz w:val="22"/>
              </w:rPr>
            </w:pPr>
            <w:r w:rsidRPr="0022154A">
              <w:rPr>
                <w:rStyle w:val="Heading2Char"/>
                <w:rFonts w:asciiTheme="minorHAnsi" w:hAnsiTheme="minorHAnsi" w:cstheme="minorHAnsi"/>
                <w:color w:val="auto"/>
                <w:sz w:val="22"/>
              </w:rPr>
              <w:t>Looked after Children/care leavers /Section 20/pending assessment/</w:t>
            </w:r>
            <w:r w:rsidRPr="006F678C">
              <w:rPr>
                <w:rStyle w:val="Heading2Char"/>
                <w:rFonts w:asciiTheme="minorHAnsi" w:hAnsiTheme="minorHAnsi" w:cstheme="minorHAnsi"/>
                <w:color w:val="auto"/>
                <w:sz w:val="22"/>
              </w:rPr>
              <w:t>complex homeless YP refusing S20</w:t>
            </w:r>
            <w:r w:rsidRPr="0022154A">
              <w:rPr>
                <w:rStyle w:val="Heading2Char"/>
                <w:rFonts w:asciiTheme="minorHAnsi" w:hAnsiTheme="minorHAnsi" w:cstheme="minorHAnsi"/>
                <w:color w:val="auto"/>
                <w:sz w:val="22"/>
              </w:rPr>
              <w:t xml:space="preserve">   </w:t>
            </w:r>
          </w:p>
        </w:tc>
        <w:tc>
          <w:tcPr>
            <w:tcW w:w="6092" w:type="dxa"/>
          </w:tcPr>
          <w:p w14:paraId="7F88A46A" w14:textId="77777777" w:rsidR="00895EE8" w:rsidRDefault="00895EE8" w:rsidP="000B2E45">
            <w:pPr>
              <w:spacing w:after="0"/>
              <w:rPr>
                <w:rStyle w:val="Heading2Char"/>
                <w:rFonts w:asciiTheme="minorHAnsi" w:hAnsiTheme="minorHAnsi" w:cstheme="minorHAnsi"/>
                <w:b w:val="0"/>
                <w:bCs/>
                <w:sz w:val="22"/>
              </w:rPr>
            </w:pPr>
            <w:r w:rsidRPr="0022154A">
              <w:rPr>
                <w:rStyle w:val="Heading2Char"/>
                <w:rFonts w:asciiTheme="minorHAnsi" w:hAnsiTheme="minorHAnsi" w:cstheme="minorHAnsi"/>
                <w:b w:val="0"/>
                <w:bCs/>
                <w:sz w:val="22"/>
              </w:rPr>
              <w:t>Ongoing s</w:t>
            </w:r>
            <w:r w:rsidRPr="0022154A">
              <w:rPr>
                <w:rStyle w:val="Heading2Char"/>
                <w:rFonts w:asciiTheme="minorHAnsi" w:hAnsiTheme="minorHAnsi" w:cstheme="minorHAnsi"/>
                <w:b w:val="0"/>
                <w:sz w:val="22"/>
              </w:rPr>
              <w:t xml:space="preserve">upport for </w:t>
            </w:r>
            <w:r>
              <w:rPr>
                <w:rStyle w:val="Heading2Char"/>
                <w:rFonts w:asciiTheme="minorHAnsi" w:hAnsiTheme="minorHAnsi" w:cstheme="minorHAnsi"/>
                <w:b w:val="0"/>
                <w:sz w:val="22"/>
              </w:rPr>
              <w:t xml:space="preserve">young people in </w:t>
            </w:r>
            <w:r w:rsidRPr="0022154A">
              <w:rPr>
                <w:rStyle w:val="Heading2Char"/>
                <w:rFonts w:asciiTheme="minorHAnsi" w:hAnsiTheme="minorHAnsi" w:cstheme="minorHAnsi"/>
                <w:b w:val="0"/>
                <w:sz w:val="22"/>
              </w:rPr>
              <w:t>care</w:t>
            </w:r>
            <w:r>
              <w:rPr>
                <w:rStyle w:val="Heading2Char"/>
                <w:rFonts w:asciiTheme="minorHAnsi" w:hAnsiTheme="minorHAnsi" w:cstheme="minorHAnsi"/>
                <w:b w:val="0"/>
                <w:sz w:val="22"/>
              </w:rPr>
              <w:t>, care</w:t>
            </w:r>
            <w:r w:rsidRPr="0022154A">
              <w:rPr>
                <w:rStyle w:val="Heading2Char"/>
                <w:rFonts w:asciiTheme="minorHAnsi" w:hAnsiTheme="minorHAnsi" w:cstheme="minorHAnsi"/>
                <w:b w:val="0"/>
                <w:sz w:val="22"/>
              </w:rPr>
              <w:t xml:space="preserve"> leavers</w:t>
            </w:r>
            <w:r>
              <w:rPr>
                <w:rStyle w:val="Heading2Char"/>
                <w:rFonts w:asciiTheme="minorHAnsi" w:hAnsiTheme="minorHAnsi" w:cstheme="minorHAnsi"/>
                <w:b w:val="0"/>
                <w:sz w:val="22"/>
              </w:rPr>
              <w:t xml:space="preserve"> or homeless young people once their needs are understood. </w:t>
            </w:r>
            <w:r w:rsidRPr="005D51C1">
              <w:rPr>
                <w:rStyle w:val="Heading2Char"/>
                <w:rFonts w:asciiTheme="minorHAnsi" w:hAnsiTheme="minorHAnsi" w:cstheme="minorHAnsi"/>
                <w:b w:val="0"/>
                <w:bCs/>
                <w:sz w:val="22"/>
              </w:rPr>
              <w:t>Promotion of</w:t>
            </w:r>
            <w:r>
              <w:rPr>
                <w:rStyle w:val="Heading2Char"/>
                <w:rFonts w:asciiTheme="minorHAnsi" w:hAnsiTheme="minorHAnsi" w:cstheme="minorHAnsi"/>
                <w:b w:val="0"/>
                <w:bCs/>
                <w:sz w:val="22"/>
              </w:rPr>
              <w:t>,</w:t>
            </w:r>
            <w:r w:rsidRPr="005D51C1">
              <w:rPr>
                <w:rStyle w:val="Heading2Char"/>
                <w:rFonts w:asciiTheme="minorHAnsi" w:hAnsiTheme="minorHAnsi" w:cstheme="minorHAnsi"/>
                <w:b w:val="0"/>
                <w:bCs/>
                <w:sz w:val="22"/>
              </w:rPr>
              <w:t xml:space="preserve"> and support to engage with education, training, employment and volunteering opportunities</w:t>
            </w:r>
          </w:p>
          <w:p w14:paraId="38187AFB" w14:textId="77777777" w:rsidR="00895EE8" w:rsidRPr="00432915" w:rsidRDefault="00895EE8" w:rsidP="000B2E45">
            <w:pPr>
              <w:rPr>
                <w:rStyle w:val="Heading2Char"/>
                <w:rFonts w:asciiTheme="minorHAnsi" w:hAnsiTheme="minorHAnsi" w:cstheme="minorHAnsi"/>
                <w:b w:val="0"/>
                <w:bCs/>
                <w:sz w:val="22"/>
              </w:rPr>
            </w:pPr>
            <w:r>
              <w:rPr>
                <w:rStyle w:val="Heading2Char"/>
                <w:rFonts w:asciiTheme="minorHAnsi" w:hAnsiTheme="minorHAnsi" w:cstheme="minorHAnsi"/>
                <w:b w:val="0"/>
                <w:bCs/>
                <w:sz w:val="22"/>
              </w:rPr>
              <w:t>Will include outreach support to facilitate return home (where safe and appropriate) and prevent homelessness or entry to care.</w:t>
            </w:r>
          </w:p>
        </w:tc>
        <w:tc>
          <w:tcPr>
            <w:tcW w:w="3118" w:type="dxa"/>
          </w:tcPr>
          <w:p w14:paraId="1E32CE6B" w14:textId="77777777" w:rsidR="00895EE8" w:rsidRPr="006F678C" w:rsidRDefault="006F678C" w:rsidP="001C2B55">
            <w:pPr>
              <w:spacing w:after="0"/>
              <w:rPr>
                <w:rStyle w:val="Heading2Char"/>
                <w:rFonts w:asciiTheme="minorHAnsi" w:eastAsiaTheme="minorHAnsi" w:hAnsiTheme="minorHAnsi" w:cstheme="minorHAnsi"/>
                <w:b w:val="0"/>
                <w:bCs/>
                <w:color w:val="FF0000"/>
                <w:sz w:val="22"/>
                <w:szCs w:val="22"/>
              </w:rPr>
            </w:pPr>
            <w:r w:rsidRPr="008A4FD9">
              <w:rPr>
                <w:rStyle w:val="Heading2Char"/>
                <w:rFonts w:asciiTheme="minorHAnsi" w:eastAsiaTheme="minorHAnsi" w:hAnsiTheme="minorHAnsi" w:cstheme="minorHAnsi"/>
                <w:b w:val="0"/>
                <w:bCs/>
                <w:color w:val="FF0000"/>
                <w:sz w:val="22"/>
                <w:szCs w:val="22"/>
              </w:rPr>
              <w:t xml:space="preserve">Between </w:t>
            </w:r>
            <w:r w:rsidRPr="008A4FD9">
              <w:rPr>
                <w:rStyle w:val="Heading2Char"/>
                <w:rFonts w:asciiTheme="minorHAnsi" w:eastAsiaTheme="minorHAnsi" w:hAnsiTheme="minorHAnsi" w:cstheme="minorHAnsi"/>
                <w:b w:val="0"/>
                <w:bCs/>
                <w:color w:val="FF0000"/>
                <w:sz w:val="22"/>
                <w:szCs w:val="22"/>
                <w:highlight w:val="yellow"/>
              </w:rPr>
              <w:t>x and x hours</w:t>
            </w:r>
            <w:r w:rsidRPr="008A4FD9">
              <w:rPr>
                <w:rStyle w:val="Heading2Char"/>
                <w:rFonts w:asciiTheme="minorHAnsi" w:eastAsiaTheme="minorHAnsi" w:hAnsiTheme="minorHAnsi" w:cstheme="minorHAnsi"/>
                <w:b w:val="0"/>
                <w:bCs/>
                <w:color w:val="FF0000"/>
                <w:sz w:val="22"/>
                <w:szCs w:val="22"/>
              </w:rPr>
              <w:t xml:space="preserve"> per week for the duration set out in the care/support plan agreed with Social Worker/young person </w:t>
            </w:r>
          </w:p>
        </w:tc>
      </w:tr>
      <w:tr w:rsidR="00895EE8" w14:paraId="68AFBBA5" w14:textId="77777777" w:rsidTr="0007286A">
        <w:tc>
          <w:tcPr>
            <w:tcW w:w="1096" w:type="dxa"/>
            <w:shd w:val="clear" w:color="auto" w:fill="D9D9D9" w:themeFill="background1" w:themeFillShade="D9"/>
          </w:tcPr>
          <w:p w14:paraId="276598B7" w14:textId="77777777" w:rsidR="00895EE8" w:rsidRPr="00A94882" w:rsidRDefault="00895EE8" w:rsidP="000B2E45">
            <w:pPr>
              <w:pStyle w:val="Tendertemplate"/>
              <w:tabs>
                <w:tab w:val="clear" w:pos="1304"/>
              </w:tabs>
              <w:spacing w:before="120" w:after="120"/>
              <w:ind w:left="0" w:firstLine="0"/>
              <w:rPr>
                <w:rStyle w:val="Heading2Char"/>
                <w:rFonts w:asciiTheme="minorHAnsi" w:hAnsiTheme="minorHAnsi" w:cstheme="minorHAnsi"/>
                <w:b/>
                <w:color w:val="auto"/>
                <w:sz w:val="22"/>
              </w:rPr>
            </w:pPr>
            <w:r w:rsidRPr="00A94882">
              <w:rPr>
                <w:rStyle w:val="Heading2Char"/>
                <w:rFonts w:asciiTheme="minorHAnsi" w:hAnsiTheme="minorHAnsi" w:cstheme="minorHAnsi"/>
                <w:b/>
                <w:color w:val="auto"/>
                <w:sz w:val="22"/>
              </w:rPr>
              <w:lastRenderedPageBreak/>
              <w:t>Band 3</w:t>
            </w:r>
          </w:p>
        </w:tc>
        <w:tc>
          <w:tcPr>
            <w:tcW w:w="3338" w:type="dxa"/>
          </w:tcPr>
          <w:p w14:paraId="7FA06750" w14:textId="77777777" w:rsidR="00895EE8" w:rsidRPr="00A94882" w:rsidRDefault="00895EE8" w:rsidP="000B2E45">
            <w:pPr>
              <w:rPr>
                <w:rStyle w:val="Heading2Char"/>
                <w:rFonts w:asciiTheme="minorHAnsi" w:hAnsiTheme="minorHAnsi" w:cstheme="minorHAnsi"/>
                <w:bCs/>
                <w:sz w:val="22"/>
              </w:rPr>
            </w:pPr>
            <w:r w:rsidRPr="00990B4C">
              <w:rPr>
                <w:rStyle w:val="Heading2Char"/>
                <w:rFonts w:asciiTheme="minorHAnsi" w:hAnsiTheme="minorHAnsi" w:cstheme="minorHAnsi"/>
                <w:bCs/>
                <w:sz w:val="22"/>
              </w:rPr>
              <w:t>Transition to independence</w:t>
            </w:r>
            <w:r>
              <w:rPr>
                <w:rStyle w:val="Heading2Char"/>
                <w:rFonts w:asciiTheme="minorHAnsi" w:hAnsiTheme="minorHAnsi" w:cstheme="minorHAnsi"/>
                <w:bCs/>
                <w:sz w:val="22"/>
              </w:rPr>
              <w:t xml:space="preserve">/Prevention </w:t>
            </w:r>
          </w:p>
        </w:tc>
        <w:tc>
          <w:tcPr>
            <w:tcW w:w="2091" w:type="dxa"/>
          </w:tcPr>
          <w:p w14:paraId="47A8692A" w14:textId="77777777" w:rsidR="00895EE8" w:rsidRPr="00A94882" w:rsidRDefault="00895EE8" w:rsidP="000B2E45">
            <w:pPr>
              <w:pStyle w:val="Tendertemplate"/>
              <w:tabs>
                <w:tab w:val="clear" w:pos="1304"/>
              </w:tabs>
              <w:spacing w:before="120" w:after="120"/>
              <w:ind w:left="0" w:firstLine="0"/>
              <w:jc w:val="left"/>
              <w:rPr>
                <w:rStyle w:val="Heading2Char"/>
                <w:rFonts w:asciiTheme="minorHAnsi" w:hAnsiTheme="minorHAnsi" w:cstheme="minorHAnsi"/>
                <w:color w:val="auto"/>
                <w:sz w:val="22"/>
              </w:rPr>
            </w:pPr>
            <w:r w:rsidRPr="00A94882">
              <w:rPr>
                <w:rStyle w:val="Heading2Char"/>
                <w:rFonts w:asciiTheme="minorHAnsi" w:hAnsiTheme="minorHAnsi" w:cstheme="minorHAnsi"/>
                <w:color w:val="auto"/>
                <w:sz w:val="22"/>
              </w:rPr>
              <w:t xml:space="preserve">Looked after Children/ care leavers </w:t>
            </w:r>
            <w:r>
              <w:rPr>
                <w:rStyle w:val="Heading2Char"/>
                <w:rFonts w:asciiTheme="minorHAnsi" w:hAnsiTheme="minorHAnsi" w:cstheme="minorHAnsi"/>
                <w:color w:val="auto"/>
                <w:sz w:val="22"/>
              </w:rPr>
              <w:t xml:space="preserve">/section 20/ homeless young people </w:t>
            </w:r>
          </w:p>
        </w:tc>
        <w:tc>
          <w:tcPr>
            <w:tcW w:w="6092" w:type="dxa"/>
          </w:tcPr>
          <w:p w14:paraId="22D748E6" w14:textId="77777777" w:rsidR="00895EE8" w:rsidRDefault="00895EE8" w:rsidP="000B2E45">
            <w:pPr>
              <w:rPr>
                <w:rStyle w:val="Heading2Char"/>
                <w:rFonts w:asciiTheme="minorHAnsi" w:hAnsiTheme="minorHAnsi" w:cstheme="minorHAnsi"/>
                <w:b w:val="0"/>
                <w:bCs/>
                <w:sz w:val="22"/>
              </w:rPr>
            </w:pPr>
            <w:r w:rsidRPr="00990B4C">
              <w:rPr>
                <w:rStyle w:val="Heading2Char"/>
                <w:rFonts w:asciiTheme="minorHAnsi" w:hAnsiTheme="minorHAnsi" w:cstheme="minorHAnsi"/>
                <w:b w:val="0"/>
                <w:bCs/>
                <w:sz w:val="22"/>
              </w:rPr>
              <w:t>Move on accommodation, low level supported accommodation and outreach support for young people leaving care placements, and young people who are homeless as defined by the Homelessness Reduction Act 2017.  Development and enhancement of  independence skills and understanding of the knowledge and skills required to manage their own home, including maximisation of income, benefits, debt management, tenancy training.</w:t>
            </w:r>
          </w:p>
          <w:p w14:paraId="381474D3" w14:textId="77777777" w:rsidR="00895EE8" w:rsidRDefault="00895EE8" w:rsidP="000B2E45">
            <w:pPr>
              <w:rPr>
                <w:rStyle w:val="Heading2Char"/>
                <w:rFonts w:asciiTheme="minorHAnsi" w:hAnsiTheme="minorHAnsi" w:cstheme="minorHAnsi"/>
                <w:b w:val="0"/>
                <w:bCs/>
                <w:sz w:val="22"/>
              </w:rPr>
            </w:pPr>
            <w:r>
              <w:rPr>
                <w:rStyle w:val="Heading2Char"/>
                <w:rFonts w:asciiTheme="minorHAnsi" w:hAnsiTheme="minorHAnsi" w:cstheme="minorHAnsi"/>
                <w:b w:val="0"/>
                <w:bCs/>
                <w:sz w:val="22"/>
              </w:rPr>
              <w:t>Promotion of and support to engage with education, training, employment and volunteering opportunities.</w:t>
            </w:r>
          </w:p>
          <w:p w14:paraId="03D29142" w14:textId="77777777" w:rsidR="00895EE8" w:rsidRDefault="00895EE8" w:rsidP="000B2E45">
            <w:pPr>
              <w:rPr>
                <w:rStyle w:val="Heading2Char"/>
                <w:rFonts w:asciiTheme="minorHAnsi" w:hAnsiTheme="minorHAnsi" w:cstheme="minorHAnsi"/>
                <w:b w:val="0"/>
                <w:bCs/>
                <w:sz w:val="22"/>
              </w:rPr>
            </w:pPr>
            <w:r w:rsidRPr="00990B4C">
              <w:rPr>
                <w:rStyle w:val="Heading2Char"/>
                <w:rFonts w:asciiTheme="minorHAnsi" w:hAnsiTheme="minorHAnsi" w:cstheme="minorHAnsi"/>
                <w:b w:val="0"/>
                <w:bCs/>
                <w:sz w:val="22"/>
              </w:rPr>
              <w:t>Requires lower staffing levels, but a focused approach to improving young people’s independence skills and preparation for adult life. Includes outreach support pre and post tenancy and brief/targeted interventions to prevent homelessness/crisis.</w:t>
            </w:r>
          </w:p>
          <w:p w14:paraId="401B32D8" w14:textId="77777777" w:rsidR="00895EE8" w:rsidRPr="00A94882" w:rsidRDefault="00895EE8" w:rsidP="000B2E45">
            <w:pPr>
              <w:rPr>
                <w:rStyle w:val="Heading2Char"/>
                <w:rFonts w:asciiTheme="minorHAnsi" w:hAnsiTheme="minorHAnsi" w:cstheme="minorHAnsi"/>
                <w:b w:val="0"/>
                <w:bCs/>
                <w:sz w:val="22"/>
              </w:rPr>
            </w:pPr>
            <w:r>
              <w:rPr>
                <w:rStyle w:val="Heading2Char"/>
                <w:rFonts w:asciiTheme="minorHAnsi" w:hAnsiTheme="minorHAnsi" w:cstheme="minorHAnsi"/>
                <w:b w:val="0"/>
                <w:bCs/>
                <w:sz w:val="22"/>
              </w:rPr>
              <w:t>Requires the Provider to “reach in” to the current placement to support the young person to feel confident to step out towards independence.</w:t>
            </w:r>
          </w:p>
        </w:tc>
        <w:tc>
          <w:tcPr>
            <w:tcW w:w="3118" w:type="dxa"/>
          </w:tcPr>
          <w:p w14:paraId="6E7A6634" w14:textId="77777777" w:rsidR="00895EE8" w:rsidRPr="006F678C" w:rsidRDefault="006F678C" w:rsidP="008A4FD9">
            <w:pPr>
              <w:rPr>
                <w:rStyle w:val="Heading2Char"/>
                <w:rFonts w:asciiTheme="minorHAnsi" w:eastAsiaTheme="minorHAnsi" w:hAnsiTheme="minorHAnsi" w:cstheme="minorHAnsi"/>
                <w:b w:val="0"/>
                <w:bCs/>
                <w:sz w:val="22"/>
                <w:szCs w:val="22"/>
              </w:rPr>
            </w:pPr>
            <w:r w:rsidRPr="008A4FD9">
              <w:rPr>
                <w:rStyle w:val="Heading2Char"/>
                <w:rFonts w:asciiTheme="minorHAnsi" w:eastAsiaTheme="minorHAnsi" w:hAnsiTheme="minorHAnsi" w:cstheme="minorHAnsi"/>
                <w:b w:val="0"/>
                <w:bCs/>
                <w:color w:val="FF0000"/>
                <w:sz w:val="22"/>
                <w:szCs w:val="22"/>
                <w:highlight w:val="yellow"/>
              </w:rPr>
              <w:t xml:space="preserve">Up to x hours per week for maximum </w:t>
            </w:r>
            <w:r w:rsidR="008A4FD9">
              <w:rPr>
                <w:rStyle w:val="Heading2Char"/>
                <w:rFonts w:asciiTheme="minorHAnsi" w:eastAsiaTheme="minorHAnsi" w:hAnsiTheme="minorHAnsi" w:cstheme="minorHAnsi"/>
                <w:b w:val="0"/>
                <w:bCs/>
                <w:color w:val="FF0000"/>
                <w:sz w:val="22"/>
                <w:szCs w:val="22"/>
                <w:highlight w:val="yellow"/>
              </w:rPr>
              <w:t xml:space="preserve">of </w:t>
            </w:r>
            <w:r w:rsidRPr="008A4FD9">
              <w:rPr>
                <w:rStyle w:val="Heading2Char"/>
                <w:rFonts w:asciiTheme="minorHAnsi" w:eastAsiaTheme="minorHAnsi" w:hAnsiTheme="minorHAnsi" w:cstheme="minorHAnsi"/>
                <w:b w:val="0"/>
                <w:bCs/>
                <w:color w:val="FF0000"/>
                <w:sz w:val="22"/>
                <w:szCs w:val="22"/>
                <w:highlight w:val="yellow"/>
              </w:rPr>
              <w:t>x weeks</w:t>
            </w:r>
            <w:r w:rsidRPr="008A4FD9">
              <w:rPr>
                <w:rStyle w:val="Heading2Char"/>
                <w:rFonts w:asciiTheme="minorHAnsi" w:eastAsiaTheme="minorHAnsi" w:hAnsiTheme="minorHAnsi" w:cstheme="minorHAnsi"/>
                <w:b w:val="0"/>
                <w:bCs/>
                <w:color w:val="FF0000"/>
                <w:sz w:val="22"/>
                <w:szCs w:val="22"/>
              </w:rPr>
              <w:t xml:space="preserve"> </w:t>
            </w:r>
          </w:p>
        </w:tc>
      </w:tr>
    </w:tbl>
    <w:p w14:paraId="38BE925E" w14:textId="77777777" w:rsidR="00895EE8" w:rsidRDefault="00895EE8" w:rsidP="00895EE8">
      <w:pPr>
        <w:pStyle w:val="Tendertemplate"/>
        <w:tabs>
          <w:tab w:val="clear" w:pos="1304"/>
        </w:tabs>
        <w:spacing w:before="120" w:after="120"/>
        <w:ind w:left="0" w:firstLine="0"/>
        <w:jc w:val="left"/>
        <w:outlineLvl w:val="9"/>
        <w:rPr>
          <w:rStyle w:val="Heading2Char"/>
          <w:color w:val="auto"/>
          <w:sz w:val="22"/>
          <w:lang w:eastAsia="en-GB"/>
        </w:rPr>
      </w:pPr>
    </w:p>
    <w:p w14:paraId="0201E96F" w14:textId="77777777" w:rsidR="0095213C" w:rsidRDefault="0095213C" w:rsidP="0095213C">
      <w:r w:rsidRPr="006C640C">
        <w:t xml:space="preserve">In all cases it is proposed that the length of time a young person remains in placement </w:t>
      </w:r>
      <w:r w:rsidR="006C640C" w:rsidRPr="006C640C">
        <w:t xml:space="preserve">overall </w:t>
      </w:r>
      <w:r w:rsidRPr="006C640C">
        <w:t>will be dependent upon individual needs and the age that they entered the service.</w:t>
      </w:r>
    </w:p>
    <w:p w14:paraId="7805C392" w14:textId="77777777" w:rsidR="00A830EA" w:rsidRDefault="00A830EA" w:rsidP="001E2DE9">
      <w:pPr>
        <w:rPr>
          <w:b/>
          <w:sz w:val="28"/>
          <w:szCs w:val="28"/>
        </w:rPr>
      </w:pPr>
    </w:p>
    <w:p w14:paraId="102CC1D6" w14:textId="77777777" w:rsidR="00A830EA" w:rsidRDefault="00A830EA" w:rsidP="001E2DE9">
      <w:pPr>
        <w:rPr>
          <w:b/>
          <w:sz w:val="28"/>
          <w:szCs w:val="28"/>
        </w:rPr>
      </w:pPr>
    </w:p>
    <w:p w14:paraId="2014E3B8" w14:textId="77777777" w:rsidR="00A830EA" w:rsidRDefault="00A830EA" w:rsidP="001E2DE9">
      <w:pPr>
        <w:rPr>
          <w:b/>
          <w:sz w:val="28"/>
          <w:szCs w:val="28"/>
        </w:rPr>
      </w:pPr>
    </w:p>
    <w:p w14:paraId="1E64ED2A" w14:textId="397D9A0B" w:rsidR="001E2DE9" w:rsidRPr="00BF6780" w:rsidRDefault="002324E8" w:rsidP="002324E8">
      <w:pPr>
        <w:jc w:val="center"/>
        <w:rPr>
          <w:b/>
          <w:sz w:val="24"/>
          <w:szCs w:val="24"/>
        </w:rPr>
      </w:pPr>
      <w:r>
        <w:rPr>
          <w:b/>
          <w:sz w:val="24"/>
          <w:szCs w:val="24"/>
        </w:rPr>
        <w:lastRenderedPageBreak/>
        <w:t xml:space="preserve">Pricing Model </w:t>
      </w:r>
      <w:r w:rsidR="00C16222">
        <w:rPr>
          <w:b/>
          <w:sz w:val="24"/>
          <w:szCs w:val="24"/>
        </w:rPr>
        <w:t xml:space="preserve">Consultation </w:t>
      </w:r>
      <w:r w:rsidR="001E2DE9" w:rsidRPr="00BF6780">
        <w:rPr>
          <w:b/>
          <w:sz w:val="24"/>
          <w:szCs w:val="24"/>
        </w:rPr>
        <w:t>Questions</w:t>
      </w:r>
    </w:p>
    <w:tbl>
      <w:tblPr>
        <w:tblStyle w:val="TableGrid"/>
        <w:tblW w:w="15735" w:type="dxa"/>
        <w:tblInd w:w="-998" w:type="dxa"/>
        <w:tblLook w:val="04A0" w:firstRow="1" w:lastRow="0" w:firstColumn="1" w:lastColumn="0" w:noHBand="0" w:noVBand="1"/>
      </w:tblPr>
      <w:tblGrid>
        <w:gridCol w:w="426"/>
        <w:gridCol w:w="5954"/>
        <w:gridCol w:w="9355"/>
      </w:tblGrid>
      <w:tr w:rsidR="00A91D44" w14:paraId="462E2957" w14:textId="77777777" w:rsidTr="00DC4323">
        <w:tc>
          <w:tcPr>
            <w:tcW w:w="426" w:type="dxa"/>
            <w:shd w:val="clear" w:color="auto" w:fill="BDD6EE" w:themeFill="accent1" w:themeFillTint="66"/>
          </w:tcPr>
          <w:p w14:paraId="105FF872" w14:textId="77777777" w:rsidR="00A91D44" w:rsidRDefault="00A91D44" w:rsidP="008A4FD9"/>
        </w:tc>
        <w:tc>
          <w:tcPr>
            <w:tcW w:w="5954" w:type="dxa"/>
            <w:shd w:val="clear" w:color="auto" w:fill="BDD6EE" w:themeFill="accent1" w:themeFillTint="66"/>
          </w:tcPr>
          <w:p w14:paraId="4CCAF891" w14:textId="609D85B3" w:rsidR="00A91D44" w:rsidRPr="00C16222" w:rsidRDefault="00A91D44" w:rsidP="008A4FD9">
            <w:pPr>
              <w:rPr>
                <w:rFonts w:asciiTheme="minorHAnsi" w:hAnsiTheme="minorHAnsi" w:cstheme="minorHAnsi"/>
                <w:b/>
                <w:sz w:val="22"/>
                <w:szCs w:val="22"/>
              </w:rPr>
            </w:pPr>
            <w:r w:rsidRPr="00C16222">
              <w:rPr>
                <w:rFonts w:asciiTheme="minorHAnsi" w:hAnsiTheme="minorHAnsi" w:cstheme="minorHAnsi"/>
                <w:b/>
                <w:sz w:val="22"/>
                <w:szCs w:val="22"/>
              </w:rPr>
              <w:t>Question</w:t>
            </w:r>
          </w:p>
        </w:tc>
        <w:tc>
          <w:tcPr>
            <w:tcW w:w="9355" w:type="dxa"/>
            <w:shd w:val="clear" w:color="auto" w:fill="BDD6EE" w:themeFill="accent1" w:themeFillTint="66"/>
          </w:tcPr>
          <w:p w14:paraId="21AEB3A3" w14:textId="3ECCF602" w:rsidR="00A91D44" w:rsidRPr="00C16222" w:rsidRDefault="00A91D44" w:rsidP="00A91D44">
            <w:pPr>
              <w:rPr>
                <w:rFonts w:asciiTheme="minorHAnsi" w:hAnsiTheme="minorHAnsi" w:cstheme="minorHAnsi"/>
                <w:b/>
                <w:sz w:val="22"/>
                <w:szCs w:val="22"/>
              </w:rPr>
            </w:pPr>
            <w:r w:rsidRPr="00C16222">
              <w:rPr>
                <w:rFonts w:asciiTheme="minorHAnsi" w:hAnsiTheme="minorHAnsi" w:cstheme="minorHAnsi"/>
                <w:b/>
                <w:sz w:val="22"/>
                <w:szCs w:val="22"/>
              </w:rPr>
              <w:t xml:space="preserve">Response </w:t>
            </w:r>
          </w:p>
        </w:tc>
      </w:tr>
      <w:tr w:rsidR="00A91D44" w14:paraId="76704F30" w14:textId="77777777" w:rsidTr="00DC4323">
        <w:tc>
          <w:tcPr>
            <w:tcW w:w="426" w:type="dxa"/>
          </w:tcPr>
          <w:p w14:paraId="73F4C020" w14:textId="6D4A3E32" w:rsidR="00A91D44" w:rsidRPr="00C16222" w:rsidRDefault="00C16222" w:rsidP="008A4FD9">
            <w:pPr>
              <w:rPr>
                <w:rFonts w:asciiTheme="minorHAnsi" w:hAnsiTheme="minorHAnsi" w:cstheme="minorHAnsi"/>
                <w:b/>
                <w:sz w:val="22"/>
                <w:szCs w:val="22"/>
              </w:rPr>
            </w:pPr>
            <w:r>
              <w:rPr>
                <w:rFonts w:asciiTheme="minorHAnsi" w:hAnsiTheme="minorHAnsi" w:cstheme="minorHAnsi"/>
                <w:b/>
                <w:sz w:val="22"/>
                <w:szCs w:val="22"/>
              </w:rPr>
              <w:t>1</w:t>
            </w:r>
          </w:p>
        </w:tc>
        <w:tc>
          <w:tcPr>
            <w:tcW w:w="5954" w:type="dxa"/>
          </w:tcPr>
          <w:p w14:paraId="0F7B7D72" w14:textId="0DE8F362" w:rsidR="00A91D44" w:rsidRPr="00C16222" w:rsidRDefault="00C16222" w:rsidP="003E53AC">
            <w:pPr>
              <w:rPr>
                <w:rFonts w:asciiTheme="minorHAnsi" w:hAnsiTheme="minorHAnsi" w:cstheme="minorHAnsi"/>
                <w:sz w:val="22"/>
                <w:szCs w:val="22"/>
              </w:rPr>
            </w:pPr>
            <w:r w:rsidRPr="00C16222">
              <w:rPr>
                <w:rFonts w:asciiTheme="minorHAnsi" w:hAnsiTheme="minorHAnsi" w:cstheme="minorHAnsi"/>
                <w:sz w:val="22"/>
                <w:szCs w:val="22"/>
              </w:rPr>
              <w:t>What should be the threshold hours for each banding level?  Should these be fixed or be able to be varied between different providers, dependent on what can be offered?</w:t>
            </w:r>
          </w:p>
        </w:tc>
        <w:tc>
          <w:tcPr>
            <w:tcW w:w="9355" w:type="dxa"/>
          </w:tcPr>
          <w:p w14:paraId="6E4DB421" w14:textId="77777777" w:rsidR="003E53AC" w:rsidRPr="006A38BC" w:rsidRDefault="003E53AC" w:rsidP="008A4FD9">
            <w:pPr>
              <w:rPr>
                <w:rFonts w:asciiTheme="minorHAnsi" w:hAnsiTheme="minorHAnsi" w:cstheme="minorHAnsi"/>
                <w:color w:val="0070C0"/>
                <w:sz w:val="22"/>
                <w:szCs w:val="22"/>
              </w:rPr>
            </w:pPr>
          </w:p>
          <w:p w14:paraId="0F882E99" w14:textId="02018CCA" w:rsidR="009D1685" w:rsidRPr="006A38BC" w:rsidRDefault="009D1685" w:rsidP="008A4FD9">
            <w:pPr>
              <w:rPr>
                <w:rFonts w:asciiTheme="minorHAnsi" w:hAnsiTheme="minorHAnsi" w:cstheme="minorHAnsi"/>
                <w:color w:val="0070C0"/>
                <w:sz w:val="22"/>
                <w:szCs w:val="22"/>
              </w:rPr>
            </w:pPr>
          </w:p>
        </w:tc>
      </w:tr>
      <w:tr w:rsidR="00A91D44" w14:paraId="0CC07F18" w14:textId="77777777" w:rsidTr="00DC4323">
        <w:tc>
          <w:tcPr>
            <w:tcW w:w="426" w:type="dxa"/>
          </w:tcPr>
          <w:p w14:paraId="4D9AD9B3" w14:textId="6A2ACF05" w:rsidR="00A91D44" w:rsidRPr="00C16222" w:rsidRDefault="00C16222" w:rsidP="008A4FD9">
            <w:pPr>
              <w:rPr>
                <w:rFonts w:asciiTheme="minorHAnsi" w:hAnsiTheme="minorHAnsi" w:cstheme="minorHAnsi"/>
                <w:b/>
                <w:sz w:val="22"/>
                <w:szCs w:val="22"/>
              </w:rPr>
            </w:pPr>
            <w:r>
              <w:rPr>
                <w:rFonts w:asciiTheme="minorHAnsi" w:hAnsiTheme="minorHAnsi" w:cstheme="minorHAnsi"/>
                <w:b/>
                <w:sz w:val="22"/>
                <w:szCs w:val="22"/>
              </w:rPr>
              <w:t>2</w:t>
            </w:r>
          </w:p>
        </w:tc>
        <w:tc>
          <w:tcPr>
            <w:tcW w:w="5954" w:type="dxa"/>
          </w:tcPr>
          <w:p w14:paraId="0CD18DD3" w14:textId="77777777" w:rsidR="00C16222" w:rsidRPr="00C16222" w:rsidRDefault="00C16222" w:rsidP="00C16222">
            <w:pPr>
              <w:rPr>
                <w:rFonts w:asciiTheme="minorHAnsi" w:hAnsiTheme="minorHAnsi" w:cstheme="minorHAnsi"/>
                <w:sz w:val="22"/>
                <w:szCs w:val="22"/>
              </w:rPr>
            </w:pPr>
            <w:r w:rsidRPr="00C16222">
              <w:rPr>
                <w:rFonts w:asciiTheme="minorHAnsi" w:hAnsiTheme="minorHAnsi" w:cstheme="minorHAnsi"/>
                <w:sz w:val="22"/>
                <w:szCs w:val="22"/>
              </w:rPr>
              <w:t xml:space="preserve">If not please suggest how these might change. </w:t>
            </w:r>
          </w:p>
          <w:p w14:paraId="489E8C35" w14:textId="77777777" w:rsidR="00A91D44" w:rsidRPr="00C16222" w:rsidRDefault="00A91D44" w:rsidP="008A4FD9">
            <w:pPr>
              <w:rPr>
                <w:rFonts w:asciiTheme="minorHAnsi" w:hAnsiTheme="minorHAnsi" w:cstheme="minorHAnsi"/>
                <w:sz w:val="22"/>
                <w:szCs w:val="22"/>
              </w:rPr>
            </w:pPr>
          </w:p>
        </w:tc>
        <w:tc>
          <w:tcPr>
            <w:tcW w:w="9355" w:type="dxa"/>
          </w:tcPr>
          <w:p w14:paraId="5A459102" w14:textId="77777777" w:rsidR="003E53AC" w:rsidRPr="006A38BC" w:rsidRDefault="003E53AC" w:rsidP="008A4FD9">
            <w:pPr>
              <w:rPr>
                <w:rFonts w:asciiTheme="minorHAnsi" w:hAnsiTheme="minorHAnsi" w:cstheme="minorHAnsi"/>
                <w:color w:val="0070C0"/>
                <w:sz w:val="22"/>
                <w:szCs w:val="22"/>
              </w:rPr>
            </w:pPr>
          </w:p>
          <w:p w14:paraId="0575A17A" w14:textId="77777777" w:rsidR="009D1685" w:rsidRPr="006A38BC" w:rsidRDefault="009D1685" w:rsidP="008A4FD9">
            <w:pPr>
              <w:rPr>
                <w:rFonts w:asciiTheme="minorHAnsi" w:hAnsiTheme="minorHAnsi" w:cstheme="minorHAnsi"/>
                <w:color w:val="0070C0"/>
                <w:sz w:val="22"/>
                <w:szCs w:val="22"/>
              </w:rPr>
            </w:pPr>
          </w:p>
        </w:tc>
      </w:tr>
      <w:tr w:rsidR="00A91D44" w14:paraId="4657AC3E" w14:textId="77777777" w:rsidTr="00DC4323">
        <w:tc>
          <w:tcPr>
            <w:tcW w:w="426" w:type="dxa"/>
          </w:tcPr>
          <w:p w14:paraId="4FD870EB" w14:textId="5897326A" w:rsidR="00A91D44" w:rsidRPr="00C16222" w:rsidRDefault="00C16222" w:rsidP="008A4FD9">
            <w:pPr>
              <w:rPr>
                <w:rFonts w:asciiTheme="minorHAnsi" w:hAnsiTheme="minorHAnsi" w:cstheme="minorHAnsi"/>
                <w:b/>
                <w:sz w:val="22"/>
                <w:szCs w:val="22"/>
              </w:rPr>
            </w:pPr>
            <w:r>
              <w:rPr>
                <w:rFonts w:asciiTheme="minorHAnsi" w:hAnsiTheme="minorHAnsi" w:cstheme="minorHAnsi"/>
                <w:b/>
                <w:sz w:val="22"/>
                <w:szCs w:val="22"/>
              </w:rPr>
              <w:t>3</w:t>
            </w:r>
          </w:p>
        </w:tc>
        <w:tc>
          <w:tcPr>
            <w:tcW w:w="5954" w:type="dxa"/>
          </w:tcPr>
          <w:p w14:paraId="3D70BFDD" w14:textId="194B573C" w:rsidR="00A91D44" w:rsidRPr="00C16222" w:rsidRDefault="00C16222" w:rsidP="003E53AC">
            <w:pPr>
              <w:rPr>
                <w:rFonts w:asciiTheme="minorHAnsi" w:hAnsiTheme="minorHAnsi" w:cstheme="minorHAnsi"/>
                <w:sz w:val="22"/>
                <w:szCs w:val="22"/>
              </w:rPr>
            </w:pPr>
            <w:r w:rsidRPr="00C16222">
              <w:rPr>
                <w:rFonts w:asciiTheme="minorHAnsi" w:hAnsiTheme="minorHAnsi" w:cstheme="minorHAnsi"/>
                <w:sz w:val="22"/>
                <w:szCs w:val="22"/>
              </w:rPr>
              <w:t xml:space="preserve">Does this model achieve a balance to allow for provider’s fixed costs, the need to avoid moving young people from one provision to another, flexibility to price according to YP changing needs and providing contingency in terms of additional support hours in the event of crisis or increased complexity? </w:t>
            </w:r>
          </w:p>
        </w:tc>
        <w:tc>
          <w:tcPr>
            <w:tcW w:w="9355" w:type="dxa"/>
          </w:tcPr>
          <w:p w14:paraId="297D489E" w14:textId="77777777" w:rsidR="003E53AC" w:rsidRPr="006A38BC" w:rsidRDefault="003E53AC" w:rsidP="008A4FD9">
            <w:pPr>
              <w:rPr>
                <w:rFonts w:asciiTheme="minorHAnsi" w:hAnsiTheme="minorHAnsi" w:cstheme="minorHAnsi"/>
                <w:color w:val="0070C0"/>
                <w:sz w:val="22"/>
                <w:szCs w:val="22"/>
              </w:rPr>
            </w:pPr>
          </w:p>
        </w:tc>
      </w:tr>
      <w:tr w:rsidR="00A91D44" w14:paraId="0A6A43BE" w14:textId="77777777" w:rsidTr="00DC4323">
        <w:tc>
          <w:tcPr>
            <w:tcW w:w="426" w:type="dxa"/>
          </w:tcPr>
          <w:p w14:paraId="2C778E02" w14:textId="3B75FC74" w:rsidR="00A91D44" w:rsidRPr="00C16222" w:rsidRDefault="00C16222" w:rsidP="008A4FD9">
            <w:pPr>
              <w:rPr>
                <w:rFonts w:asciiTheme="minorHAnsi" w:hAnsiTheme="minorHAnsi" w:cstheme="minorHAnsi"/>
                <w:b/>
                <w:sz w:val="22"/>
                <w:szCs w:val="22"/>
              </w:rPr>
            </w:pPr>
            <w:r>
              <w:rPr>
                <w:rFonts w:asciiTheme="minorHAnsi" w:hAnsiTheme="minorHAnsi" w:cstheme="minorHAnsi"/>
                <w:b/>
                <w:sz w:val="22"/>
                <w:szCs w:val="22"/>
              </w:rPr>
              <w:t>4</w:t>
            </w:r>
          </w:p>
        </w:tc>
        <w:tc>
          <w:tcPr>
            <w:tcW w:w="5954" w:type="dxa"/>
          </w:tcPr>
          <w:p w14:paraId="018FA125" w14:textId="7A5E4779" w:rsidR="00A91D44" w:rsidRPr="00C16222" w:rsidRDefault="00C16222" w:rsidP="003E53AC">
            <w:pPr>
              <w:rPr>
                <w:rFonts w:asciiTheme="minorHAnsi" w:hAnsiTheme="minorHAnsi" w:cstheme="minorHAnsi"/>
                <w:sz w:val="22"/>
                <w:szCs w:val="22"/>
              </w:rPr>
            </w:pPr>
            <w:r w:rsidRPr="00C16222">
              <w:rPr>
                <w:rFonts w:asciiTheme="minorHAnsi" w:hAnsiTheme="minorHAnsi" w:cstheme="minorHAnsi"/>
                <w:sz w:val="22"/>
                <w:szCs w:val="22"/>
              </w:rPr>
              <w:t>Does the model provide sufficient clarity to providers of the general expectations of support within the bandings? (detail would be in the individual’s care/support plan). If not what else is needed?</w:t>
            </w:r>
          </w:p>
        </w:tc>
        <w:tc>
          <w:tcPr>
            <w:tcW w:w="9355" w:type="dxa"/>
          </w:tcPr>
          <w:p w14:paraId="1792FD7F" w14:textId="77777777" w:rsidR="00A91D44" w:rsidRDefault="00A91D44" w:rsidP="008A4FD9">
            <w:pPr>
              <w:rPr>
                <w:rFonts w:asciiTheme="minorHAnsi" w:hAnsiTheme="minorHAnsi" w:cstheme="minorHAnsi"/>
                <w:color w:val="0070C0"/>
                <w:sz w:val="22"/>
                <w:szCs w:val="22"/>
              </w:rPr>
            </w:pPr>
          </w:p>
          <w:p w14:paraId="7E25C7AD" w14:textId="77777777" w:rsidR="009D1685" w:rsidRPr="006A38BC" w:rsidRDefault="009D1685" w:rsidP="008A4FD9">
            <w:pPr>
              <w:rPr>
                <w:rFonts w:asciiTheme="minorHAnsi" w:hAnsiTheme="minorHAnsi" w:cstheme="minorHAnsi"/>
                <w:color w:val="0070C0"/>
                <w:sz w:val="22"/>
                <w:szCs w:val="22"/>
              </w:rPr>
            </w:pPr>
          </w:p>
        </w:tc>
      </w:tr>
      <w:tr w:rsidR="00A91D44" w14:paraId="26F1194E" w14:textId="77777777" w:rsidTr="00DC4323">
        <w:tc>
          <w:tcPr>
            <w:tcW w:w="426" w:type="dxa"/>
          </w:tcPr>
          <w:p w14:paraId="29B593D6" w14:textId="3862AFDB" w:rsidR="00A91D44" w:rsidRPr="00C16222" w:rsidRDefault="00C16222" w:rsidP="008A4FD9">
            <w:pPr>
              <w:rPr>
                <w:rFonts w:asciiTheme="minorHAnsi" w:hAnsiTheme="minorHAnsi" w:cstheme="minorHAnsi"/>
                <w:b/>
                <w:sz w:val="22"/>
                <w:szCs w:val="22"/>
              </w:rPr>
            </w:pPr>
            <w:r>
              <w:rPr>
                <w:rFonts w:asciiTheme="minorHAnsi" w:hAnsiTheme="minorHAnsi" w:cstheme="minorHAnsi"/>
                <w:b/>
                <w:sz w:val="22"/>
                <w:szCs w:val="22"/>
              </w:rPr>
              <w:t>5</w:t>
            </w:r>
          </w:p>
        </w:tc>
        <w:tc>
          <w:tcPr>
            <w:tcW w:w="5954" w:type="dxa"/>
          </w:tcPr>
          <w:p w14:paraId="35F53AFB" w14:textId="0CB7F258" w:rsidR="00A91D44" w:rsidRPr="00C16222" w:rsidRDefault="00C16222" w:rsidP="008A4FD9">
            <w:pPr>
              <w:rPr>
                <w:rFonts w:asciiTheme="minorHAnsi" w:hAnsiTheme="minorHAnsi" w:cstheme="minorHAnsi"/>
                <w:sz w:val="22"/>
                <w:szCs w:val="22"/>
              </w:rPr>
            </w:pPr>
            <w:r w:rsidRPr="00C16222">
              <w:rPr>
                <w:rFonts w:asciiTheme="minorHAnsi" w:hAnsiTheme="minorHAnsi" w:cstheme="minorHAnsi"/>
                <w:sz w:val="22"/>
                <w:szCs w:val="22"/>
              </w:rPr>
              <w:t xml:space="preserve">Would this model give providers sufficient certainty in terms of fee levels?  </w:t>
            </w:r>
          </w:p>
        </w:tc>
        <w:tc>
          <w:tcPr>
            <w:tcW w:w="9355" w:type="dxa"/>
          </w:tcPr>
          <w:p w14:paraId="1F22DD5D" w14:textId="77777777" w:rsidR="009D1685" w:rsidRPr="006A38BC" w:rsidRDefault="009D1685" w:rsidP="008A4FD9">
            <w:pPr>
              <w:rPr>
                <w:rFonts w:asciiTheme="minorHAnsi" w:hAnsiTheme="minorHAnsi" w:cstheme="minorHAnsi"/>
                <w:color w:val="0070C0"/>
                <w:sz w:val="22"/>
                <w:szCs w:val="22"/>
              </w:rPr>
            </w:pPr>
          </w:p>
          <w:p w14:paraId="1BE4788A" w14:textId="77777777" w:rsidR="00167146" w:rsidRPr="006A38BC" w:rsidRDefault="00167146" w:rsidP="008A4FD9">
            <w:pPr>
              <w:rPr>
                <w:rFonts w:asciiTheme="minorHAnsi" w:hAnsiTheme="minorHAnsi" w:cstheme="minorHAnsi"/>
                <w:color w:val="0070C0"/>
                <w:sz w:val="22"/>
                <w:szCs w:val="22"/>
              </w:rPr>
            </w:pPr>
          </w:p>
        </w:tc>
      </w:tr>
    </w:tbl>
    <w:p w14:paraId="4043D955" w14:textId="77777777" w:rsidR="009C7B84" w:rsidRDefault="009C7B84" w:rsidP="009C7B84">
      <w:pPr>
        <w:ind w:left="360"/>
        <w:jc w:val="center"/>
        <w:rPr>
          <w:b/>
        </w:rPr>
      </w:pPr>
    </w:p>
    <w:p w14:paraId="385F2A54" w14:textId="3F65D25C" w:rsidR="001C2B55" w:rsidRPr="00FE4AC3" w:rsidRDefault="009C7B84" w:rsidP="009C7B84">
      <w:pPr>
        <w:ind w:left="360"/>
        <w:jc w:val="center"/>
        <w:rPr>
          <w:b/>
          <w:sz w:val="24"/>
          <w:szCs w:val="24"/>
        </w:rPr>
      </w:pPr>
      <w:r w:rsidRPr="00FE4AC3">
        <w:rPr>
          <w:b/>
          <w:sz w:val="24"/>
          <w:szCs w:val="24"/>
        </w:rPr>
        <w:t>PLEASE RESPOND BY CLOSE OF PLAY ON THURSDAY 7</w:t>
      </w:r>
      <w:r w:rsidRPr="00FE4AC3">
        <w:rPr>
          <w:b/>
          <w:sz w:val="24"/>
          <w:szCs w:val="24"/>
          <w:vertAlign w:val="superscript"/>
        </w:rPr>
        <w:t>TH</w:t>
      </w:r>
      <w:r w:rsidRPr="00FE4AC3">
        <w:rPr>
          <w:b/>
          <w:sz w:val="24"/>
          <w:szCs w:val="24"/>
        </w:rPr>
        <w:t xml:space="preserve"> NOVEMBER 2019 EITHER BY EMAILING YOUR RESPONSE TO </w:t>
      </w:r>
      <w:bookmarkStart w:id="0" w:name="_GoBack"/>
      <w:bookmarkEnd w:id="0"/>
      <w:r w:rsidRPr="00FE4AC3">
        <w:rPr>
          <w:b/>
          <w:sz w:val="24"/>
          <w:szCs w:val="24"/>
        </w:rPr>
        <w:fldChar w:fldCharType="begin"/>
      </w:r>
      <w:r w:rsidRPr="00FE4AC3">
        <w:rPr>
          <w:b/>
          <w:sz w:val="24"/>
          <w:szCs w:val="24"/>
        </w:rPr>
        <w:instrText xml:space="preserve"> HYPERLINK "mailto:COMMISSIONING@TORBAY.GOV.UK" </w:instrText>
      </w:r>
      <w:r w:rsidRPr="00FE4AC3">
        <w:rPr>
          <w:b/>
          <w:sz w:val="24"/>
          <w:szCs w:val="24"/>
        </w:rPr>
        <w:fldChar w:fldCharType="separate"/>
      </w:r>
      <w:r w:rsidRPr="00FE4AC3">
        <w:rPr>
          <w:rStyle w:val="Hyperlink"/>
          <w:b/>
          <w:sz w:val="24"/>
          <w:szCs w:val="24"/>
        </w:rPr>
        <w:t>COMMISSIONING@TORBAY.GOV.UK</w:t>
      </w:r>
      <w:r w:rsidRPr="00FE4AC3">
        <w:rPr>
          <w:b/>
          <w:sz w:val="24"/>
          <w:szCs w:val="24"/>
        </w:rPr>
        <w:fldChar w:fldCharType="end"/>
      </w:r>
      <w:r w:rsidRPr="00FE4AC3">
        <w:rPr>
          <w:b/>
          <w:sz w:val="24"/>
          <w:szCs w:val="24"/>
        </w:rPr>
        <w:t xml:space="preserve"> OR VIA THE </w:t>
      </w:r>
      <w:r w:rsidRPr="00FE4AC3">
        <w:rPr>
          <w:b/>
          <w:color w:val="0070C0"/>
          <w:sz w:val="24"/>
          <w:szCs w:val="24"/>
        </w:rPr>
        <w:t>SUPPLYINGTHESOUTHWEST</w:t>
      </w:r>
      <w:r w:rsidRPr="00FE4AC3">
        <w:rPr>
          <w:b/>
          <w:sz w:val="24"/>
          <w:szCs w:val="24"/>
        </w:rPr>
        <w:t xml:space="preserve"> e PORTAL.</w:t>
      </w:r>
    </w:p>
    <w:sectPr w:rsidR="001C2B55" w:rsidRPr="00FE4AC3" w:rsidSect="00712AD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ADAA9" w14:textId="77777777" w:rsidR="00A830EA" w:rsidRDefault="00A830EA" w:rsidP="00A830EA">
      <w:pPr>
        <w:spacing w:after="0" w:line="240" w:lineRule="auto"/>
      </w:pPr>
      <w:r>
        <w:separator/>
      </w:r>
    </w:p>
  </w:endnote>
  <w:endnote w:type="continuationSeparator" w:id="0">
    <w:p w14:paraId="6AA2C2EA" w14:textId="77777777" w:rsidR="00A830EA" w:rsidRDefault="00A830EA" w:rsidP="00A83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443731"/>
      <w:docPartObj>
        <w:docPartGallery w:val="Page Numbers (Bottom of Page)"/>
        <w:docPartUnique/>
      </w:docPartObj>
    </w:sdtPr>
    <w:sdtEndPr>
      <w:rPr>
        <w:noProof/>
      </w:rPr>
    </w:sdtEndPr>
    <w:sdtContent>
      <w:p w14:paraId="6C9C46F7" w14:textId="47F27DCC" w:rsidR="00A830EA" w:rsidRDefault="00A830EA">
        <w:pPr>
          <w:pStyle w:val="Footer"/>
          <w:jc w:val="center"/>
        </w:pPr>
        <w:r>
          <w:fldChar w:fldCharType="begin"/>
        </w:r>
        <w:r>
          <w:instrText xml:space="preserve"> PAGE   \* MERGEFORMAT </w:instrText>
        </w:r>
        <w:r>
          <w:fldChar w:fldCharType="separate"/>
        </w:r>
        <w:r w:rsidR="00FE4AC3">
          <w:rPr>
            <w:noProof/>
          </w:rPr>
          <w:t>5</w:t>
        </w:r>
        <w:r>
          <w:rPr>
            <w:noProof/>
          </w:rPr>
          <w:fldChar w:fldCharType="end"/>
        </w:r>
      </w:p>
    </w:sdtContent>
  </w:sdt>
  <w:p w14:paraId="19727398" w14:textId="77777777" w:rsidR="00A830EA" w:rsidRDefault="00A83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26099" w14:textId="77777777" w:rsidR="00A830EA" w:rsidRDefault="00A830EA" w:rsidP="00A830EA">
      <w:pPr>
        <w:spacing w:after="0" w:line="240" w:lineRule="auto"/>
      </w:pPr>
      <w:r>
        <w:separator/>
      </w:r>
    </w:p>
  </w:footnote>
  <w:footnote w:type="continuationSeparator" w:id="0">
    <w:p w14:paraId="3218D578" w14:textId="77777777" w:rsidR="00A830EA" w:rsidRDefault="00A830EA" w:rsidP="00A830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6F96"/>
    <w:multiLevelType w:val="hybridMultilevel"/>
    <w:tmpl w:val="C51427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8E2235"/>
    <w:multiLevelType w:val="hybridMultilevel"/>
    <w:tmpl w:val="505E8E22"/>
    <w:lvl w:ilvl="0" w:tplc="8B9C57C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1853FC"/>
    <w:multiLevelType w:val="hybridMultilevel"/>
    <w:tmpl w:val="58FE7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5A19FA"/>
    <w:multiLevelType w:val="hybridMultilevel"/>
    <w:tmpl w:val="9D74F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C15045"/>
    <w:multiLevelType w:val="hybridMultilevel"/>
    <w:tmpl w:val="3CACF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04B3886"/>
    <w:multiLevelType w:val="hybridMultilevel"/>
    <w:tmpl w:val="4462CD1E"/>
    <w:lvl w:ilvl="0" w:tplc="7DE05D2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3B07F58"/>
    <w:multiLevelType w:val="multilevel"/>
    <w:tmpl w:val="9740EC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7F4D75E2"/>
    <w:multiLevelType w:val="hybridMultilevel"/>
    <w:tmpl w:val="7ACEB5C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6"/>
  </w:num>
  <w:num w:numId="4">
    <w:abstractNumId w:val="5"/>
  </w:num>
  <w:num w:numId="5">
    <w:abstractNumId w:val="4"/>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CEE"/>
    <w:rsid w:val="0007286A"/>
    <w:rsid w:val="000B2E45"/>
    <w:rsid w:val="00167146"/>
    <w:rsid w:val="00192CEE"/>
    <w:rsid w:val="001C2B55"/>
    <w:rsid w:val="001D377E"/>
    <w:rsid w:val="001E2DE9"/>
    <w:rsid w:val="001E5C93"/>
    <w:rsid w:val="002324E8"/>
    <w:rsid w:val="00297C16"/>
    <w:rsid w:val="0036603E"/>
    <w:rsid w:val="00382CAA"/>
    <w:rsid w:val="003D2A72"/>
    <w:rsid w:val="003E330A"/>
    <w:rsid w:val="003E53AC"/>
    <w:rsid w:val="0041576F"/>
    <w:rsid w:val="00463B08"/>
    <w:rsid w:val="004D0FCE"/>
    <w:rsid w:val="00516348"/>
    <w:rsid w:val="006A38BC"/>
    <w:rsid w:val="006C640C"/>
    <w:rsid w:val="006F678C"/>
    <w:rsid w:val="00712AD0"/>
    <w:rsid w:val="00895EE8"/>
    <w:rsid w:val="008A4FD9"/>
    <w:rsid w:val="00940228"/>
    <w:rsid w:val="0095213C"/>
    <w:rsid w:val="009C7B84"/>
    <w:rsid w:val="009D1685"/>
    <w:rsid w:val="00A830EA"/>
    <w:rsid w:val="00A91D44"/>
    <w:rsid w:val="00B60FE6"/>
    <w:rsid w:val="00BB170A"/>
    <w:rsid w:val="00BF16FC"/>
    <w:rsid w:val="00BF6780"/>
    <w:rsid w:val="00C16222"/>
    <w:rsid w:val="00D1768B"/>
    <w:rsid w:val="00DC4323"/>
    <w:rsid w:val="00E11E07"/>
    <w:rsid w:val="00E23333"/>
    <w:rsid w:val="00FE4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1F778"/>
  <w15:chartTrackingRefBased/>
  <w15:docId w15:val="{38268E71-93DC-4EDA-80F5-AF7C74EB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
    <w:qFormat/>
    <w:rsid w:val="00D1768B"/>
    <w:pPr>
      <w:keepNext/>
      <w:numPr>
        <w:numId w:val="3"/>
      </w:numPr>
      <w:pBdr>
        <w:bottom w:val="single" w:sz="4" w:space="6" w:color="808080"/>
      </w:pBdr>
      <w:spacing w:after="480" w:line="300" w:lineRule="atLeast"/>
      <w:outlineLvl w:val="0"/>
    </w:pPr>
    <w:rPr>
      <w:rFonts w:ascii="Arial" w:eastAsia="Times New Roman" w:hAnsi="Arial" w:cs="Times New Roman"/>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link w:val="Heading2Char"/>
    <w:qFormat/>
    <w:rsid w:val="00D1768B"/>
    <w:pPr>
      <w:keepNext/>
      <w:numPr>
        <w:ilvl w:val="1"/>
        <w:numId w:val="3"/>
      </w:numPr>
      <w:spacing w:before="120" w:after="60" w:line="300" w:lineRule="atLeast"/>
      <w:outlineLvl w:val="1"/>
    </w:pPr>
    <w:rPr>
      <w:rFonts w:ascii="Arial" w:eastAsia="Times New Roman" w:hAnsi="Arial" w:cs="Times New Roman"/>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qFormat/>
    <w:rsid w:val="00D1768B"/>
    <w:pPr>
      <w:keepNext/>
      <w:numPr>
        <w:ilvl w:val="2"/>
        <w:numId w:val="3"/>
      </w:numPr>
      <w:spacing w:after="120" w:line="300" w:lineRule="atLeast"/>
      <w:ind w:left="862"/>
      <w:outlineLvl w:val="2"/>
    </w:pPr>
    <w:rPr>
      <w:rFonts w:ascii="Arial" w:eastAsia="Times New Roman" w:hAnsi="Arial" w:cs="Times New Roman"/>
      <w:color w:val="000000"/>
    </w:rPr>
  </w:style>
  <w:style w:type="paragraph" w:styleId="Heading4">
    <w:name w:val="heading 4"/>
    <w:basedOn w:val="Normal"/>
    <w:next w:val="Normal"/>
    <w:link w:val="Heading4Char"/>
    <w:qFormat/>
    <w:rsid w:val="00D1768B"/>
    <w:pPr>
      <w:keepNext/>
      <w:numPr>
        <w:ilvl w:val="3"/>
        <w:numId w:val="3"/>
      </w:numPr>
      <w:spacing w:before="120" w:after="0" w:line="300" w:lineRule="atLeast"/>
      <w:outlineLvl w:val="3"/>
    </w:pPr>
    <w:rPr>
      <w:rFonts w:ascii="Arial" w:eastAsia="Times New Roman" w:hAnsi="Arial" w:cs="Times New Roman"/>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link w:val="Heading5Char"/>
    <w:qFormat/>
    <w:rsid w:val="00D1768B"/>
    <w:pPr>
      <w:keepNext/>
      <w:numPr>
        <w:ilvl w:val="4"/>
        <w:numId w:val="3"/>
      </w:numPr>
      <w:spacing w:after="240" w:line="300" w:lineRule="atLeast"/>
      <w:outlineLvl w:val="4"/>
    </w:pPr>
    <w:rPr>
      <w:rFonts w:ascii="Arial" w:eastAsia="Times New Roman" w:hAnsi="Arial" w:cs="Times New Roman"/>
      <w:b/>
    </w:rPr>
  </w:style>
  <w:style w:type="paragraph" w:styleId="Heading6">
    <w:name w:val="heading 6"/>
    <w:basedOn w:val="Normal"/>
    <w:next w:val="Normal"/>
    <w:link w:val="Heading6Char"/>
    <w:qFormat/>
    <w:rsid w:val="00D1768B"/>
    <w:pPr>
      <w:keepNext/>
      <w:numPr>
        <w:ilvl w:val="5"/>
        <w:numId w:val="3"/>
      </w:numPr>
      <w:pBdr>
        <w:bottom w:val="single" w:sz="4" w:space="6" w:color="auto"/>
      </w:pBdr>
      <w:spacing w:after="480" w:line="300" w:lineRule="atLeast"/>
      <w:outlineLvl w:val="5"/>
    </w:pPr>
    <w:rPr>
      <w:rFonts w:ascii="Arial" w:eastAsia="Times New Roman" w:hAnsi="Arial" w:cs="Times New Roman"/>
      <w:b/>
      <w:sz w:val="36"/>
    </w:rPr>
  </w:style>
  <w:style w:type="paragraph" w:styleId="Heading7">
    <w:name w:val="heading 7"/>
    <w:basedOn w:val="Normal"/>
    <w:next w:val="Normal"/>
    <w:link w:val="Heading7Char"/>
    <w:qFormat/>
    <w:rsid w:val="00D1768B"/>
    <w:pPr>
      <w:keepNext/>
      <w:numPr>
        <w:ilvl w:val="6"/>
        <w:numId w:val="3"/>
      </w:numPr>
      <w:spacing w:after="60" w:line="300" w:lineRule="atLeast"/>
      <w:outlineLvl w:val="6"/>
    </w:pPr>
    <w:rPr>
      <w:rFonts w:ascii="Arial" w:eastAsia="Times New Roman" w:hAnsi="Arial" w:cs="Times New Roman"/>
      <w:sz w:val="24"/>
      <w:szCs w:val="24"/>
    </w:rPr>
  </w:style>
  <w:style w:type="paragraph" w:styleId="Heading8">
    <w:name w:val="heading 8"/>
    <w:basedOn w:val="Normal"/>
    <w:next w:val="Normal"/>
    <w:link w:val="Heading8Char"/>
    <w:qFormat/>
    <w:rsid w:val="00D1768B"/>
    <w:pPr>
      <w:keepNext/>
      <w:numPr>
        <w:ilvl w:val="7"/>
        <w:numId w:val="3"/>
      </w:numPr>
      <w:spacing w:before="80" w:after="240" w:line="300" w:lineRule="atLeast"/>
      <w:outlineLvl w:val="7"/>
    </w:pPr>
    <w:rPr>
      <w:rFonts w:ascii="Arial" w:eastAsia="Times New Roman" w:hAnsi="Arial" w:cs="Times New Roman"/>
      <w:i/>
    </w:rPr>
  </w:style>
  <w:style w:type="paragraph" w:styleId="Heading9">
    <w:name w:val="heading 9"/>
    <w:basedOn w:val="Normal"/>
    <w:next w:val="Normal"/>
    <w:link w:val="Heading9Char"/>
    <w:qFormat/>
    <w:rsid w:val="00D1768B"/>
    <w:pPr>
      <w:numPr>
        <w:ilvl w:val="8"/>
        <w:numId w:val="3"/>
      </w:numPr>
      <w:spacing w:before="240" w:after="60" w:line="300" w:lineRule="atLeast"/>
      <w:jc w:val="both"/>
      <w:outlineLvl w:val="8"/>
    </w:pPr>
    <w:rPr>
      <w:rFonts w:ascii="Arial" w:eastAsia="Times New Roman" w:hAnsi="Arial"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FCE"/>
    <w:pPr>
      <w:ind w:left="720"/>
      <w:contextualSpacing/>
    </w:pPr>
  </w:style>
  <w:style w:type="character" w:customStyle="1" w:styleId="Heading1Char">
    <w:name w:val="Heading 1 Char"/>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D1768B"/>
    <w:rPr>
      <w:rFonts w:ascii="Arial" w:eastAsia="Times New Roman" w:hAnsi="Arial" w:cs="Times New Roman"/>
      <w:b/>
      <w:sz w:val="36"/>
    </w:rPr>
  </w:style>
  <w:style w:type="character" w:customStyle="1" w:styleId="Heading2Char">
    <w:name w:val="Heading 2 Char"/>
    <w:aliases w:val="Section Char,h2 Char,2 Char,headi Char,heading2 Char,h21 Char,h22 Char,21 Char,Sub Title Char,h 3 Char,Heading 2a Char,Numbered - 2 Char,h 4 Char,ICL Char,Reset numbering Char,PA Major Section Char,AppAHeading 2 Char,KJL:1st Level Char"/>
    <w:basedOn w:val="DefaultParagraphFont"/>
    <w:link w:val="Heading2"/>
    <w:rsid w:val="00D1768B"/>
    <w:rPr>
      <w:rFonts w:ascii="Arial" w:eastAsia="Times New Roman" w:hAnsi="Arial" w:cs="Times New Roman"/>
      <w:b/>
      <w:sz w:val="28"/>
    </w:rPr>
  </w:style>
  <w:style w:type="character" w:customStyle="1" w:styleId="Heading3Char">
    <w:name w:val="Heading 3 Char"/>
    <w:aliases w:val="Level 3 Char,Level 1 - 1 Char,Minor1 Char,Para Heading 3 Char,h3 Char,Para Heading 31 Char,h31 Char,Minor Char,H3 Char,H31 Char,H32 Char,H33 Char,H311 Char,(Alt+3) Char,h32 Char,h311 Char,h33 Char,h312 Char,h34 Char,h313 Char,h35 Char"/>
    <w:basedOn w:val="DefaultParagraphFont"/>
    <w:link w:val="Heading3"/>
    <w:rsid w:val="00D1768B"/>
    <w:rPr>
      <w:rFonts w:ascii="Arial" w:eastAsia="Times New Roman" w:hAnsi="Arial" w:cs="Times New Roman"/>
      <w:color w:val="000000"/>
    </w:rPr>
  </w:style>
  <w:style w:type="character" w:customStyle="1" w:styleId="Heading4Char">
    <w:name w:val="Heading 4 Char"/>
    <w:basedOn w:val="DefaultParagraphFont"/>
    <w:link w:val="Heading4"/>
    <w:rsid w:val="00D1768B"/>
    <w:rPr>
      <w:rFonts w:ascii="Arial" w:eastAsia="Times New Roman" w:hAnsi="Arial" w:cs="Times New Roman"/>
      <w:b/>
      <w:color w:val="000000"/>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D1768B"/>
    <w:rPr>
      <w:rFonts w:ascii="Arial" w:eastAsia="Times New Roman" w:hAnsi="Arial" w:cs="Times New Roman"/>
      <w:b/>
    </w:rPr>
  </w:style>
  <w:style w:type="character" w:customStyle="1" w:styleId="Heading6Char">
    <w:name w:val="Heading 6 Char"/>
    <w:basedOn w:val="DefaultParagraphFont"/>
    <w:link w:val="Heading6"/>
    <w:rsid w:val="00D1768B"/>
    <w:rPr>
      <w:rFonts w:ascii="Arial" w:eastAsia="Times New Roman" w:hAnsi="Arial" w:cs="Times New Roman"/>
      <w:b/>
      <w:sz w:val="36"/>
    </w:rPr>
  </w:style>
  <w:style w:type="character" w:customStyle="1" w:styleId="Heading7Char">
    <w:name w:val="Heading 7 Char"/>
    <w:basedOn w:val="DefaultParagraphFont"/>
    <w:link w:val="Heading7"/>
    <w:rsid w:val="00D1768B"/>
    <w:rPr>
      <w:rFonts w:ascii="Arial" w:eastAsia="Times New Roman" w:hAnsi="Arial" w:cs="Times New Roman"/>
      <w:sz w:val="24"/>
      <w:szCs w:val="24"/>
    </w:rPr>
  </w:style>
  <w:style w:type="character" w:customStyle="1" w:styleId="Heading8Char">
    <w:name w:val="Heading 8 Char"/>
    <w:basedOn w:val="DefaultParagraphFont"/>
    <w:link w:val="Heading8"/>
    <w:rsid w:val="00D1768B"/>
    <w:rPr>
      <w:rFonts w:ascii="Arial" w:eastAsia="Times New Roman" w:hAnsi="Arial" w:cs="Times New Roman"/>
      <w:i/>
    </w:rPr>
  </w:style>
  <w:style w:type="character" w:customStyle="1" w:styleId="Heading9Char">
    <w:name w:val="Heading 9 Char"/>
    <w:basedOn w:val="DefaultParagraphFont"/>
    <w:link w:val="Heading9"/>
    <w:rsid w:val="00D1768B"/>
    <w:rPr>
      <w:rFonts w:ascii="Arial" w:eastAsia="Times New Roman" w:hAnsi="Arial" w:cs="Times New Roman"/>
      <w:sz w:val="18"/>
    </w:rPr>
  </w:style>
  <w:style w:type="table" w:styleId="TableGrid">
    <w:name w:val="Table Grid"/>
    <w:basedOn w:val="TableNormal"/>
    <w:rsid w:val="00D1768B"/>
    <w:pPr>
      <w:spacing w:after="240" w:line="30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1768B"/>
    <w:rPr>
      <w:sz w:val="16"/>
      <w:szCs w:val="16"/>
    </w:rPr>
  </w:style>
  <w:style w:type="paragraph" w:customStyle="1" w:styleId="Tendertemplate">
    <w:name w:val="Tender template"/>
    <w:basedOn w:val="Heading1"/>
    <w:link w:val="TendertemplateChar"/>
    <w:qFormat/>
    <w:rsid w:val="00D1768B"/>
    <w:pPr>
      <w:numPr>
        <w:numId w:val="0"/>
      </w:numPr>
      <w:pBdr>
        <w:bottom w:val="none" w:sz="0" w:space="0" w:color="auto"/>
      </w:pBdr>
      <w:tabs>
        <w:tab w:val="num" w:pos="1304"/>
      </w:tabs>
      <w:ind w:left="1304" w:hanging="453"/>
      <w:jc w:val="center"/>
    </w:pPr>
    <w:rPr>
      <w:bCs/>
      <w:color w:val="FFFFFF" w:themeColor="background1"/>
      <w:sz w:val="48"/>
      <w:szCs w:val="48"/>
    </w:rPr>
  </w:style>
  <w:style w:type="character" w:customStyle="1" w:styleId="TendertemplateChar">
    <w:name w:val="Tender template Char"/>
    <w:basedOn w:val="DefaultParagraphFont"/>
    <w:link w:val="Tendertemplate"/>
    <w:rsid w:val="00D1768B"/>
    <w:rPr>
      <w:rFonts w:ascii="Arial" w:eastAsia="Times New Roman" w:hAnsi="Arial" w:cs="Times New Roman"/>
      <w:b/>
      <w:bCs/>
      <w:color w:val="FFFFFF" w:themeColor="background1"/>
      <w:sz w:val="48"/>
      <w:szCs w:val="48"/>
    </w:rPr>
  </w:style>
  <w:style w:type="paragraph" w:styleId="CommentText">
    <w:name w:val="annotation text"/>
    <w:basedOn w:val="Normal"/>
    <w:link w:val="CommentTextChar"/>
    <w:uiPriority w:val="99"/>
    <w:semiHidden/>
    <w:unhideWhenUsed/>
    <w:rsid w:val="00D1768B"/>
    <w:pPr>
      <w:spacing w:after="24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D1768B"/>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17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68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D377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D377E"/>
    <w:rPr>
      <w:rFonts w:ascii="Arial" w:eastAsia="Times New Roman" w:hAnsi="Arial" w:cs="Times New Roman"/>
      <w:b/>
      <w:bCs/>
      <w:sz w:val="20"/>
      <w:szCs w:val="20"/>
    </w:rPr>
  </w:style>
  <w:style w:type="paragraph" w:styleId="Header">
    <w:name w:val="header"/>
    <w:basedOn w:val="Normal"/>
    <w:link w:val="HeaderChar"/>
    <w:uiPriority w:val="99"/>
    <w:unhideWhenUsed/>
    <w:rsid w:val="00A83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0EA"/>
  </w:style>
  <w:style w:type="paragraph" w:styleId="Footer">
    <w:name w:val="footer"/>
    <w:basedOn w:val="Normal"/>
    <w:link w:val="FooterChar"/>
    <w:uiPriority w:val="99"/>
    <w:unhideWhenUsed/>
    <w:rsid w:val="00A83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0EA"/>
  </w:style>
  <w:style w:type="character" w:styleId="Hyperlink">
    <w:name w:val="Hyperlink"/>
    <w:basedOn w:val="DefaultParagraphFont"/>
    <w:uiPriority w:val="99"/>
    <w:unhideWhenUsed/>
    <w:rsid w:val="009C7B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Beauchamp, Shirley</dc:creator>
  <cp:keywords/>
  <dc:description/>
  <cp:lastModifiedBy>Beauchamp, Shirley</cp:lastModifiedBy>
  <cp:revision>5</cp:revision>
  <dcterms:created xsi:type="dcterms:W3CDTF">2019-10-22T15:26:00Z</dcterms:created>
  <dcterms:modified xsi:type="dcterms:W3CDTF">2019-10-22T15:49:00Z</dcterms:modified>
</cp:coreProperties>
</file>