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D4" w:rsidRDefault="007A69D4">
      <w:pPr>
        <w:ind w:right="69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AGREEMENT FOR THE PROVISION OF </w:t>
      </w:r>
      <w:r w:rsidR="008A6056" w:rsidRPr="008A6056">
        <w:rPr>
          <w:rFonts w:ascii="Arial" w:hAnsi="Arial"/>
          <w:b/>
          <w:sz w:val="24"/>
        </w:rPr>
        <w:t>SEXUAL AND REPRODUCTIVE</w:t>
      </w:r>
      <w:r w:rsidR="008A6056">
        <w:rPr>
          <w:rFonts w:ascii="Arial" w:hAnsi="Arial"/>
          <w:b/>
          <w:sz w:val="24"/>
        </w:rPr>
        <w:t xml:space="preserve"> HEALTH PHARMACY</w:t>
      </w:r>
      <w:r>
        <w:rPr>
          <w:rFonts w:ascii="Arial" w:hAnsi="Arial"/>
          <w:b/>
          <w:sz w:val="24"/>
        </w:rPr>
        <w:t xml:space="preserve"> SERVICES</w:t>
      </w:r>
    </w:p>
    <w:p w:rsidR="008A6056" w:rsidRDefault="008A6056">
      <w:pPr>
        <w:ind w:right="693"/>
        <w:jc w:val="both"/>
        <w:rPr>
          <w:rFonts w:ascii="Arial" w:hAnsi="Arial"/>
          <w:b/>
          <w:sz w:val="24"/>
        </w:rPr>
      </w:pPr>
    </w:p>
    <w:p w:rsidR="008A6056" w:rsidRDefault="008A6056">
      <w:pPr>
        <w:ind w:right="693"/>
        <w:jc w:val="both"/>
        <w:rPr>
          <w:rFonts w:ascii="Arial" w:hAnsi="Arial"/>
          <w:b/>
          <w:sz w:val="24"/>
        </w:rPr>
      </w:pPr>
      <w:r w:rsidRPr="008A6056">
        <w:rPr>
          <w:rFonts w:ascii="Arial" w:hAnsi="Arial"/>
          <w:b/>
          <w:sz w:val="24"/>
          <w:highlight w:val="yellow"/>
        </w:rPr>
        <w:t>Sections highlighted in yellow will be finalised in collaboration with the Provider prior to contract award</w:t>
      </w:r>
      <w:r w:rsidRPr="008A6056">
        <w:rPr>
          <w:rFonts w:ascii="Arial" w:hAnsi="Arial"/>
          <w:b/>
          <w:sz w:val="24"/>
        </w:rPr>
        <w:t>.</w:t>
      </w:r>
    </w:p>
    <w:p w:rsidR="007A69D4" w:rsidRDefault="007A69D4">
      <w:pPr>
        <w:ind w:left="720" w:right="693"/>
        <w:jc w:val="both"/>
        <w:rPr>
          <w:rFonts w:ascii="Arial" w:hAnsi="Arial"/>
          <w:b/>
          <w:sz w:val="24"/>
        </w:rPr>
      </w:pPr>
    </w:p>
    <w:p w:rsidR="007A69D4" w:rsidRDefault="007A69D4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DATE:</w:t>
      </w:r>
    </w:p>
    <w:p w:rsidR="007A69D4" w:rsidRDefault="007A69D4">
      <w:pPr>
        <w:ind w:right="-1"/>
        <w:jc w:val="both"/>
        <w:rPr>
          <w:rFonts w:ascii="Arial" w:hAnsi="Arial"/>
          <w:b/>
          <w:sz w:val="24"/>
        </w:rPr>
      </w:pPr>
    </w:p>
    <w:p w:rsidR="007A69D4" w:rsidRDefault="007A69D4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MADE BETWEEN:</w:t>
      </w:r>
    </w:p>
    <w:p w:rsidR="007A69D4" w:rsidRDefault="007A69D4">
      <w:pPr>
        <w:ind w:right="-1"/>
        <w:jc w:val="both"/>
        <w:rPr>
          <w:rFonts w:ascii="Arial" w:hAnsi="Arial"/>
          <w:b/>
          <w:sz w:val="22"/>
        </w:rPr>
      </w:pPr>
    </w:p>
    <w:p w:rsidR="007A69D4" w:rsidRPr="00C500B2" w:rsidRDefault="007A69D4" w:rsidP="00C500B2">
      <w:pPr>
        <w:ind w:left="709" w:right="-1" w:hanging="70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(1)</w:t>
      </w:r>
      <w:r>
        <w:rPr>
          <w:rFonts w:ascii="Arial" w:hAnsi="Arial"/>
          <w:b/>
          <w:sz w:val="22"/>
        </w:rPr>
        <w:tab/>
      </w:r>
      <w:r w:rsidR="00834EAB" w:rsidRPr="00EC78F8">
        <w:rPr>
          <w:rFonts w:ascii="Arial" w:hAnsi="Arial"/>
          <w:b/>
          <w:iCs/>
          <w:sz w:val="22"/>
          <w:highlight w:val="yellow"/>
        </w:rPr>
        <w:t>[REGISTERED NAME]</w:t>
      </w:r>
      <w:r w:rsidR="00834EAB" w:rsidRPr="00EC78F8">
        <w:rPr>
          <w:rFonts w:ascii="Arial" w:hAnsi="Arial"/>
          <w:b/>
          <w:i/>
          <w:iCs/>
          <w:sz w:val="22"/>
        </w:rPr>
        <w:t xml:space="preserve"> </w:t>
      </w:r>
      <w:r w:rsidR="00834EAB" w:rsidRPr="00EC78F8">
        <w:rPr>
          <w:rFonts w:ascii="Arial" w:hAnsi="Arial"/>
          <w:bCs/>
          <w:sz w:val="22"/>
        </w:rPr>
        <w:t xml:space="preserve">of </w:t>
      </w:r>
      <w:r w:rsidR="00834EAB" w:rsidRPr="00EC78F8">
        <w:rPr>
          <w:rFonts w:ascii="Arial" w:hAnsi="Arial"/>
          <w:iCs/>
          <w:sz w:val="22"/>
          <w:highlight w:val="yellow"/>
        </w:rPr>
        <w:t>[registered office or principal place of business if unregistered]</w:t>
      </w:r>
      <w:r w:rsidR="00834EAB" w:rsidRPr="00EC78F8">
        <w:rPr>
          <w:rFonts w:ascii="Arial" w:hAnsi="Arial"/>
          <w:bCs/>
          <w:sz w:val="22"/>
        </w:rPr>
        <w:t xml:space="preserve"> </w:t>
      </w:r>
      <w:r w:rsidR="00C500B2">
        <w:rPr>
          <w:rFonts w:ascii="Arial" w:hAnsi="Arial"/>
          <w:iCs/>
          <w:sz w:val="22"/>
        </w:rPr>
        <w:t>(</w:t>
      </w:r>
      <w:r>
        <w:rPr>
          <w:rFonts w:ascii="Arial" w:hAnsi="Arial"/>
          <w:bCs/>
          <w:sz w:val="22"/>
        </w:rPr>
        <w:t>the “Provider” also referred to as “You” or “you” in this Agreement); and</w:t>
      </w:r>
    </w:p>
    <w:p w:rsidR="007A69D4" w:rsidRDefault="007A69D4">
      <w:pPr>
        <w:ind w:right="-1"/>
        <w:jc w:val="both"/>
        <w:rPr>
          <w:rFonts w:ascii="Arial" w:hAnsi="Arial"/>
          <w:b/>
          <w:sz w:val="22"/>
        </w:rPr>
      </w:pPr>
    </w:p>
    <w:p w:rsidR="007A69D4" w:rsidRDefault="007A69D4">
      <w:pPr>
        <w:ind w:left="709" w:right="-1" w:hanging="709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(2)</w:t>
      </w:r>
      <w:r>
        <w:rPr>
          <w:rFonts w:ascii="Arial" w:hAnsi="Arial"/>
          <w:b/>
          <w:sz w:val="22"/>
        </w:rPr>
        <w:tab/>
        <w:t xml:space="preserve">THE MAYOR AND BURGESSES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LONDON</w:t>
          </w:r>
        </w:smartTag>
      </w:smartTag>
      <w:r>
        <w:rPr>
          <w:rFonts w:ascii="Arial" w:hAnsi="Arial"/>
          <w:b/>
          <w:sz w:val="22"/>
        </w:rPr>
        <w:t xml:space="preserve"> BOROUGH OF SOUTHWARK</w:t>
      </w:r>
      <w:r>
        <w:rPr>
          <w:rFonts w:ascii="Arial" w:hAnsi="Arial"/>
          <w:bCs/>
          <w:sz w:val="22"/>
        </w:rPr>
        <w:t xml:space="preserve"> of </w:t>
      </w:r>
      <w:smartTag w:uri="urn:schemas-microsoft-com:office:smarttags" w:element="Street">
        <w:r w:rsidR="00E46F86" w:rsidRPr="006542B7">
          <w:rPr>
            <w:rFonts w:ascii="Arial" w:hAnsi="Arial"/>
            <w:bCs/>
            <w:sz w:val="22"/>
          </w:rPr>
          <w:t>160 Tooley Street</w:t>
        </w:r>
      </w:smartTag>
      <w:r w:rsidR="00E46F86">
        <w:rPr>
          <w:rFonts w:ascii="Arial" w:hAnsi="Arial"/>
          <w:bCs/>
          <w:sz w:val="22"/>
        </w:rPr>
        <w:t xml:space="preserve"> </w:t>
      </w:r>
      <w:smartTag w:uri="urn:schemas-microsoft-com:office:smarttags" w:element="City">
        <w:r w:rsidR="006542B7">
          <w:rPr>
            <w:rStyle w:val="lFontBody"/>
            <w:rFonts w:ascii="Arial" w:hAnsi="Arial"/>
            <w:spacing w:val="-3"/>
          </w:rPr>
          <w:t>London</w:t>
        </w:r>
      </w:smartTag>
      <w:r w:rsidR="006542B7">
        <w:rPr>
          <w:rStyle w:val="lFontBody"/>
          <w:rFonts w:ascii="Arial" w:hAnsi="Arial"/>
          <w:spacing w:val="-3"/>
        </w:rPr>
        <w:t xml:space="preserve"> SE1 2</w:t>
      </w:r>
      <w:r w:rsidR="00092B17">
        <w:rPr>
          <w:rStyle w:val="lFontBody"/>
          <w:rFonts w:ascii="Arial" w:hAnsi="Arial"/>
          <w:spacing w:val="-3"/>
        </w:rPr>
        <w:t>QH</w:t>
      </w:r>
      <w:r w:rsidR="00E46F86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 (the “Council” also referred to as “We” or “we” in this Agreement).</w:t>
      </w:r>
    </w:p>
    <w:p w:rsidR="007A69D4" w:rsidRDefault="007A69D4">
      <w:pPr>
        <w:ind w:right="-1"/>
        <w:jc w:val="both"/>
        <w:rPr>
          <w:rFonts w:ascii="Arial" w:hAnsi="Arial"/>
          <w:bCs/>
          <w:sz w:val="22"/>
        </w:rPr>
      </w:pPr>
    </w:p>
    <w:p w:rsidR="007A69D4" w:rsidRDefault="007A69D4">
      <w:pPr>
        <w:ind w:right="-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The parties agree that this Agreement is made up of:-</w:t>
      </w:r>
    </w:p>
    <w:p w:rsidR="00B04172" w:rsidRDefault="00B04172">
      <w:pPr>
        <w:ind w:right="-1"/>
        <w:jc w:val="both"/>
        <w:rPr>
          <w:rFonts w:ascii="Arial" w:hAnsi="Arial"/>
          <w:bCs/>
          <w:sz w:val="22"/>
        </w:rPr>
      </w:pPr>
    </w:p>
    <w:p w:rsidR="007A69D4" w:rsidRPr="00B04172" w:rsidRDefault="007A69D4">
      <w:pPr>
        <w:ind w:right="-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>SPECIFIC TERMS</w:t>
      </w:r>
    </w:p>
    <w:p w:rsidR="007A69D4" w:rsidRPr="00B04172" w:rsidRDefault="007A69D4">
      <w:pPr>
        <w:ind w:right="-1"/>
        <w:jc w:val="both"/>
        <w:rPr>
          <w:rFonts w:ascii="Arial" w:hAnsi="Arial"/>
          <w:b/>
          <w:bCs/>
          <w:sz w:val="22"/>
        </w:rPr>
      </w:pP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  <w:t>GENERAL TERMS AND CONDITIONS</w:t>
      </w:r>
      <w:r w:rsidR="00F034B1">
        <w:rPr>
          <w:rFonts w:ascii="Arial" w:hAnsi="Arial"/>
          <w:b/>
          <w:bCs/>
          <w:sz w:val="22"/>
        </w:rPr>
        <w:t xml:space="preserve"> AND SCHEDULES</w:t>
      </w:r>
    </w:p>
    <w:p w:rsidR="007A69D4" w:rsidRDefault="007A69D4">
      <w:pPr>
        <w:ind w:right="-1"/>
        <w:jc w:val="both"/>
        <w:rPr>
          <w:rFonts w:ascii="Arial" w:hAnsi="Arial"/>
          <w:bCs/>
          <w:sz w:val="22"/>
        </w:rPr>
      </w:pP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</w:r>
      <w:r w:rsidRPr="00B04172">
        <w:rPr>
          <w:rFonts w:ascii="Arial" w:hAnsi="Arial"/>
          <w:b/>
          <w:bCs/>
          <w:sz w:val="22"/>
        </w:rPr>
        <w:tab/>
        <w:t>APPENDIX 1 – SPECIFICATION</w:t>
      </w:r>
      <w:r w:rsidR="004E4FA7">
        <w:rPr>
          <w:rFonts w:ascii="Arial" w:hAnsi="Arial"/>
          <w:bCs/>
          <w:sz w:val="22"/>
        </w:rPr>
        <w:t xml:space="preserve"> </w:t>
      </w:r>
      <w:r w:rsidR="004F730C">
        <w:rPr>
          <w:rFonts w:ascii="Arial" w:hAnsi="Arial"/>
          <w:bCs/>
          <w:sz w:val="22"/>
          <w:highlight w:val="yellow"/>
        </w:rPr>
        <w:t>[</w:t>
      </w:r>
      <w:r w:rsidR="004E4FA7" w:rsidRPr="004E4FA7">
        <w:rPr>
          <w:rFonts w:ascii="Arial" w:hAnsi="Arial"/>
          <w:bCs/>
          <w:sz w:val="22"/>
          <w:highlight w:val="yellow"/>
        </w:rPr>
        <w:t>including Safeguarding Policies]</w:t>
      </w:r>
    </w:p>
    <w:p w:rsidR="007A69D4" w:rsidRDefault="007A69D4">
      <w:pPr>
        <w:ind w:left="2880" w:right="-1" w:firstLine="72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  <w:highlight w:val="yellow"/>
        </w:rPr>
        <w:t xml:space="preserve">[PROVIDERS </w:t>
      </w:r>
      <w:r w:rsidR="005716C4">
        <w:rPr>
          <w:rFonts w:ascii="Arial" w:hAnsi="Arial"/>
          <w:bCs/>
          <w:sz w:val="22"/>
          <w:highlight w:val="yellow"/>
        </w:rPr>
        <w:t>SUBMISSION</w:t>
      </w:r>
      <w:r>
        <w:rPr>
          <w:rFonts w:ascii="Arial" w:hAnsi="Arial"/>
          <w:bCs/>
          <w:sz w:val="22"/>
          <w:highlight w:val="yellow"/>
        </w:rPr>
        <w:t xml:space="preserve"> DATED      ]</w:t>
      </w:r>
    </w:p>
    <w:p w:rsidR="00B04172" w:rsidRDefault="00B04172">
      <w:pPr>
        <w:ind w:right="-1"/>
        <w:jc w:val="both"/>
        <w:rPr>
          <w:rFonts w:ascii="Arial" w:hAnsi="Arial"/>
          <w:b/>
          <w:sz w:val="32"/>
          <w:szCs w:val="32"/>
        </w:rPr>
      </w:pPr>
    </w:p>
    <w:p w:rsidR="007A69D4" w:rsidRDefault="007A69D4">
      <w:pPr>
        <w:ind w:right="-1"/>
        <w:jc w:val="both"/>
        <w:rPr>
          <w:rFonts w:ascii="Arial" w:hAnsi="Arial"/>
          <w:b/>
          <w:sz w:val="32"/>
          <w:szCs w:val="32"/>
        </w:rPr>
      </w:pPr>
      <w:r w:rsidRPr="0023672C">
        <w:rPr>
          <w:rFonts w:ascii="Arial" w:hAnsi="Arial"/>
          <w:b/>
          <w:sz w:val="32"/>
          <w:szCs w:val="32"/>
        </w:rPr>
        <w:t>SPECIFIC TERMS</w:t>
      </w:r>
    </w:p>
    <w:p w:rsidR="00B04172" w:rsidRPr="0023672C" w:rsidRDefault="00B04172">
      <w:pPr>
        <w:ind w:right="-1"/>
        <w:jc w:val="both"/>
        <w:rPr>
          <w:rFonts w:ascii="Arial" w:hAnsi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7061"/>
      </w:tblGrid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Authorised Officer</w:t>
            </w:r>
          </w:p>
        </w:tc>
        <w:tc>
          <w:tcPr>
            <w:tcW w:w="7146" w:type="dxa"/>
          </w:tcPr>
          <w:p w:rsidR="00F31201" w:rsidRPr="00F31201" w:rsidRDefault="00F31201" w:rsidP="00F31201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F31201">
              <w:rPr>
                <w:rFonts w:ascii="Arial" w:hAnsi="Arial"/>
                <w:sz w:val="22"/>
              </w:rPr>
              <w:t>Rebecca Sinnott (Rebecca.sinnott@southwark.gov.uk), Public Health Programme Support Officer, who is your primary contact in the Council.</w:t>
            </w:r>
          </w:p>
          <w:p w:rsidR="007A69D4" w:rsidRDefault="00F31201" w:rsidP="00F31201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F31201">
              <w:rPr>
                <w:rFonts w:ascii="Arial" w:hAnsi="Arial"/>
                <w:sz w:val="22"/>
              </w:rPr>
              <w:t>In the event that the Authorised Officer is not available, you should contact Charlotte Miller (charlotte.miller@southwark.gov.uk), Sexual Health Policy Officer.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Council Rules</w:t>
            </w:r>
          </w:p>
        </w:tc>
        <w:tc>
          <w:tcPr>
            <w:tcW w:w="7146" w:type="dxa"/>
          </w:tcPr>
          <w:p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Means all relevant Council policies, rules, codes, procedures, orders and codes of practice</w:t>
            </w:r>
          </w:p>
        </w:tc>
      </w:tr>
      <w:tr w:rsidR="00F0677F">
        <w:tc>
          <w:tcPr>
            <w:tcW w:w="3060" w:type="dxa"/>
          </w:tcPr>
          <w:p w:rsidR="00F0677F" w:rsidRDefault="00F0677F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Data Protection</w:t>
            </w:r>
          </w:p>
        </w:tc>
        <w:tc>
          <w:tcPr>
            <w:tcW w:w="7146" w:type="dxa"/>
          </w:tcPr>
          <w:p w:rsidR="00F0677F" w:rsidRDefault="00F31201" w:rsidP="00F0677F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 w:rsidRPr="00F31201">
              <w:rPr>
                <w:rFonts w:ascii="Arial" w:hAnsi="Arial"/>
                <w:sz w:val="22"/>
              </w:rPr>
              <w:t>Schedule 2 Option B – Data Processor applies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Description of Services to be provided</w:t>
            </w:r>
          </w:p>
        </w:tc>
        <w:tc>
          <w:tcPr>
            <w:tcW w:w="7146" w:type="dxa"/>
          </w:tcPr>
          <w:p w:rsidR="007A69D4" w:rsidRPr="005716C4" w:rsidRDefault="0093312A" w:rsidP="005716C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93312A">
              <w:rPr>
                <w:rFonts w:ascii="Arial" w:hAnsi="Arial"/>
                <w:sz w:val="22"/>
              </w:rPr>
              <w:t xml:space="preserve">The aim </w:t>
            </w:r>
            <w:r>
              <w:rPr>
                <w:rFonts w:ascii="Arial" w:hAnsi="Arial"/>
                <w:sz w:val="22"/>
              </w:rPr>
              <w:t xml:space="preserve">of the service </w:t>
            </w:r>
            <w:r w:rsidR="00FB4185">
              <w:rPr>
                <w:rFonts w:ascii="Arial" w:hAnsi="Arial"/>
                <w:sz w:val="22"/>
              </w:rPr>
              <w:t>is to improve contraceptive access and reproductive health outcomes for local residents through provision of comprehensive contraceptive assessm</w:t>
            </w:r>
            <w:r w:rsidR="005716C4">
              <w:rPr>
                <w:rFonts w:ascii="Arial" w:hAnsi="Arial"/>
                <w:sz w:val="22"/>
              </w:rPr>
              <w:t xml:space="preserve">ent and supply of: </w:t>
            </w:r>
            <w:r w:rsidR="005716C4" w:rsidRPr="005716C4">
              <w:rPr>
                <w:rFonts w:ascii="Arial" w:hAnsi="Arial"/>
                <w:sz w:val="22"/>
              </w:rPr>
              <w:t>Emergency Hormonal Contraception (</w:t>
            </w:r>
            <w:r w:rsidR="00FB4185" w:rsidRPr="005716C4">
              <w:rPr>
                <w:rFonts w:ascii="Arial" w:hAnsi="Arial"/>
                <w:sz w:val="22"/>
              </w:rPr>
              <w:t>EHC</w:t>
            </w:r>
            <w:r w:rsidR="005716C4" w:rsidRPr="005716C4">
              <w:rPr>
                <w:rFonts w:ascii="Arial" w:hAnsi="Arial"/>
                <w:sz w:val="22"/>
              </w:rPr>
              <w:t>)</w:t>
            </w:r>
            <w:r w:rsidR="00FB4185" w:rsidRPr="005716C4">
              <w:rPr>
                <w:rFonts w:ascii="Arial" w:hAnsi="Arial"/>
                <w:sz w:val="22"/>
              </w:rPr>
              <w:t xml:space="preserve"> (includ</w:t>
            </w:r>
            <w:r w:rsidR="005716C4">
              <w:rPr>
                <w:rFonts w:ascii="Arial" w:hAnsi="Arial"/>
                <w:sz w:val="22"/>
              </w:rPr>
              <w:t>ing referral for emergency Intrauterine Devices (IUD));</w:t>
            </w:r>
            <w:r w:rsidR="00FB4185" w:rsidRPr="005716C4">
              <w:rPr>
                <w:rFonts w:ascii="Arial" w:hAnsi="Arial"/>
                <w:sz w:val="22"/>
              </w:rPr>
              <w:t xml:space="preserve"> referral for </w:t>
            </w:r>
            <w:r w:rsidR="005716C4">
              <w:rPr>
                <w:rFonts w:ascii="Arial" w:hAnsi="Arial"/>
                <w:sz w:val="22"/>
              </w:rPr>
              <w:t>Long-Acting Reversible Contraception (</w:t>
            </w:r>
            <w:r w:rsidR="00FB4185" w:rsidRPr="005716C4">
              <w:rPr>
                <w:rFonts w:ascii="Arial" w:hAnsi="Arial"/>
                <w:sz w:val="22"/>
              </w:rPr>
              <w:t>LARC</w:t>
            </w:r>
            <w:r w:rsidR="005716C4">
              <w:rPr>
                <w:rFonts w:ascii="Arial" w:hAnsi="Arial"/>
                <w:sz w:val="22"/>
              </w:rPr>
              <w:t>)</w:t>
            </w:r>
            <w:r w:rsidR="00FB4185" w:rsidRPr="005716C4">
              <w:rPr>
                <w:rFonts w:ascii="Arial" w:hAnsi="Arial"/>
                <w:sz w:val="22"/>
              </w:rPr>
              <w:t xml:space="preserve"> appointments</w:t>
            </w:r>
            <w:r w:rsidR="005716C4">
              <w:rPr>
                <w:rFonts w:ascii="Arial" w:hAnsi="Arial"/>
                <w:sz w:val="22"/>
              </w:rPr>
              <w:t>;</w:t>
            </w:r>
            <w:r w:rsidR="00FB4185" w:rsidRPr="005716C4">
              <w:rPr>
                <w:rFonts w:ascii="Arial" w:hAnsi="Arial"/>
                <w:sz w:val="22"/>
              </w:rPr>
              <w:t xml:space="preserve"> condoms</w:t>
            </w:r>
            <w:r w:rsidR="005716C4" w:rsidRPr="005716C4">
              <w:rPr>
                <w:rFonts w:ascii="Arial" w:hAnsi="Arial"/>
                <w:sz w:val="22"/>
              </w:rPr>
              <w:t xml:space="preserve"> (as part of the Come Correct C-Card scheme), and referral to access Oral Contraception (OC) via the NHSE Pharmacy Contraceptive Scheme. S</w:t>
            </w:r>
            <w:r w:rsidR="007A69D4" w:rsidRPr="005716C4">
              <w:rPr>
                <w:rFonts w:ascii="Arial" w:hAnsi="Arial"/>
                <w:sz w:val="22"/>
              </w:rPr>
              <w:t>et out in more detail in Appendix 1 – Specification</w:t>
            </w:r>
            <w:r w:rsidR="00FB4185" w:rsidRPr="005716C4">
              <w:rPr>
                <w:rFonts w:ascii="Arial" w:hAnsi="Arial"/>
                <w:sz w:val="22"/>
              </w:rPr>
              <w:t>.</w:t>
            </w:r>
          </w:p>
        </w:tc>
      </w:tr>
      <w:tr w:rsidR="00F034B1">
        <w:tc>
          <w:tcPr>
            <w:tcW w:w="3060" w:type="dxa"/>
          </w:tcPr>
          <w:p w:rsidR="00F034B1" w:rsidRDefault="00F034B1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Fairer Future Procurement Framework</w:t>
            </w:r>
          </w:p>
        </w:tc>
        <w:tc>
          <w:tcPr>
            <w:tcW w:w="7146" w:type="dxa"/>
          </w:tcPr>
          <w:p w:rsidR="00F034B1" w:rsidRDefault="00F034B1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Schedule 3 </w:t>
            </w:r>
            <w:r w:rsidR="00FB4185">
              <w:rPr>
                <w:rFonts w:ascii="Arial" w:hAnsi="Arial"/>
                <w:sz w:val="22"/>
              </w:rPr>
              <w:t xml:space="preserve">does not apply; however, the Provider is expected </w:t>
            </w:r>
            <w:r w:rsidR="005F2CD4">
              <w:rPr>
                <w:rFonts w:ascii="Arial" w:hAnsi="Arial"/>
                <w:sz w:val="22"/>
              </w:rPr>
              <w:t xml:space="preserve">to aspire to the principles set out in the Framework and to acknowledge the Good Work Standards, Policies and Reporting set out in the General Terms and Conditions. </w:t>
            </w:r>
          </w:p>
          <w:p w:rsidR="00F034B1" w:rsidRDefault="00FB4185" w:rsidP="00FB4185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Clause D Real Living Wage is applicable. 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Fee (excluding VAT)</w:t>
            </w:r>
          </w:p>
        </w:tc>
        <w:tc>
          <w:tcPr>
            <w:tcW w:w="7146" w:type="dxa"/>
          </w:tcPr>
          <w:p w:rsidR="007A69D4" w:rsidRDefault="005716C4" w:rsidP="00E43C48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Fees a</w:t>
            </w:r>
            <w:r w:rsidR="00E43C48">
              <w:rPr>
                <w:rFonts w:ascii="Arial" w:hAnsi="Arial"/>
                <w:sz w:val="22"/>
              </w:rPr>
              <w:t xml:space="preserve">re structured according to the </w:t>
            </w:r>
            <w:r>
              <w:rPr>
                <w:rFonts w:ascii="Arial" w:hAnsi="Arial"/>
                <w:sz w:val="22"/>
              </w:rPr>
              <w:t xml:space="preserve">tariff (see Appendix 1 – Specification) </w:t>
            </w:r>
            <w:r w:rsidR="007A69D4">
              <w:rPr>
                <w:rFonts w:ascii="Arial" w:hAnsi="Arial"/>
                <w:sz w:val="22"/>
              </w:rPr>
              <w:t>which we will pay to you in the instalments and intervals set out in the Payment Periods</w:t>
            </w:r>
            <w:r>
              <w:rPr>
                <w:rFonts w:ascii="Arial" w:hAnsi="Arial"/>
                <w:sz w:val="22"/>
              </w:rPr>
              <w:t>.</w:t>
            </w:r>
            <w:r w:rsidR="00E43C48">
              <w:rPr>
                <w:rFonts w:ascii="Arial" w:hAnsi="Arial"/>
                <w:sz w:val="22"/>
              </w:rPr>
              <w:t xml:space="preserve"> Please note, quarterly monitoring of activity by contracted pharmacies will be used to measure spend against the Southwark Public Health budget. The Council reserves the right to implement a cap on the activity to be delivered by contracted pharmacies in relation to the maximum budget allocated by the Council for this service; if this is implemented, pharmacies must not exceed the service cap.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Indexation</w:t>
            </w:r>
          </w:p>
        </w:tc>
        <w:tc>
          <w:tcPr>
            <w:tcW w:w="7146" w:type="dxa"/>
          </w:tcPr>
          <w:p w:rsidR="0048690E" w:rsidRPr="005F2CD4" w:rsidRDefault="007A69D4" w:rsidP="005F2CD4">
            <w:pPr>
              <w:jc w:val="both"/>
              <w:rPr>
                <w:rFonts w:ascii="Arial" w:hAnsi="Arial"/>
                <w:sz w:val="22"/>
              </w:rPr>
            </w:pPr>
            <w:r w:rsidRPr="000545C9">
              <w:rPr>
                <w:rFonts w:ascii="Arial" w:hAnsi="Arial"/>
                <w:sz w:val="22"/>
              </w:rPr>
              <w:t>Clause 3.7 will not apply to this Agreemen</w:t>
            </w:r>
            <w:r w:rsidR="005F2CD4">
              <w:rPr>
                <w:rFonts w:ascii="Arial" w:hAnsi="Arial"/>
                <w:sz w:val="22"/>
              </w:rPr>
              <w:t>t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Insurance</w:t>
            </w:r>
          </w:p>
        </w:tc>
        <w:tc>
          <w:tcPr>
            <w:tcW w:w="7146" w:type="dxa"/>
          </w:tcPr>
          <w:p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The minimum amount of cover </w:t>
            </w:r>
            <w:r w:rsidR="005F2CD4">
              <w:rPr>
                <w:rFonts w:ascii="Arial" w:hAnsi="Arial"/>
                <w:sz w:val="22"/>
              </w:rPr>
              <w:t>required for this Agreement is:</w:t>
            </w:r>
          </w:p>
          <w:p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Employers Liability Insurance:  £</w:t>
            </w:r>
            <w:r w:rsidR="000545C9">
              <w:rPr>
                <w:rFonts w:ascii="Arial" w:hAnsi="Arial"/>
                <w:sz w:val="22"/>
              </w:rPr>
              <w:t xml:space="preserve">10m </w:t>
            </w:r>
          </w:p>
          <w:p w:rsidR="005F2C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Liability Insurance:  £</w:t>
            </w:r>
            <w:r w:rsidR="000545C9">
              <w:rPr>
                <w:rFonts w:ascii="Arial" w:hAnsi="Arial"/>
                <w:sz w:val="22"/>
              </w:rPr>
              <w:t xml:space="preserve">5m </w:t>
            </w:r>
          </w:p>
          <w:p w:rsidR="007A69D4" w:rsidRDefault="007A69D4" w:rsidP="0048690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Professional Indemnity Insurance:  £</w:t>
            </w:r>
            <w:r w:rsidR="000545C9">
              <w:rPr>
                <w:rFonts w:ascii="Arial" w:hAnsi="Arial"/>
                <w:sz w:val="22"/>
              </w:rPr>
              <w:t xml:space="preserve">5m </w:t>
            </w:r>
          </w:p>
          <w:p w:rsidR="0048690E" w:rsidRDefault="0048690E" w:rsidP="004869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Legislation</w:t>
            </w:r>
          </w:p>
        </w:tc>
        <w:tc>
          <w:tcPr>
            <w:tcW w:w="7146" w:type="dxa"/>
          </w:tcPr>
          <w:p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Means all relevant Acts of Parliament, statutory regulations, order, guidances and codes of practice including any subsequent amendments or comparable legislation</w:t>
            </w:r>
          </w:p>
        </w:tc>
      </w:tr>
      <w:tr w:rsidR="00DD671D">
        <w:tc>
          <w:tcPr>
            <w:tcW w:w="3060" w:type="dxa"/>
          </w:tcPr>
          <w:p w:rsidR="00DD671D" w:rsidRDefault="00DD671D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Liability</w:t>
            </w:r>
          </w:p>
        </w:tc>
        <w:tc>
          <w:tcPr>
            <w:tcW w:w="7146" w:type="dxa"/>
          </w:tcPr>
          <w:p w:rsidR="00B04172" w:rsidRDefault="00B04172" w:rsidP="00D31EC3">
            <w:pPr>
              <w:jc w:val="both"/>
              <w:rPr>
                <w:rFonts w:ascii="Arial" w:hAnsi="Arial"/>
                <w:sz w:val="22"/>
                <w:highlight w:val="yellow"/>
              </w:rPr>
            </w:pPr>
          </w:p>
          <w:p w:rsidR="00DD671D" w:rsidRPr="005F2CD4" w:rsidRDefault="00DD671D" w:rsidP="00D31EC3">
            <w:pPr>
              <w:jc w:val="both"/>
              <w:rPr>
                <w:rFonts w:ascii="Arial" w:hAnsi="Arial"/>
                <w:sz w:val="22"/>
              </w:rPr>
            </w:pPr>
            <w:r w:rsidRPr="005F2CD4">
              <w:rPr>
                <w:rFonts w:ascii="Arial" w:hAnsi="Arial"/>
                <w:sz w:val="22"/>
              </w:rPr>
              <w:t>Clause 6.</w:t>
            </w:r>
            <w:r w:rsidR="00D31EC3" w:rsidRPr="005F2CD4">
              <w:rPr>
                <w:rFonts w:ascii="Arial" w:hAnsi="Arial"/>
                <w:sz w:val="22"/>
              </w:rPr>
              <w:t>3 will not apply to this Agreement</w:t>
            </w:r>
          </w:p>
          <w:p w:rsidR="00D31EC3" w:rsidRPr="00EC78F8" w:rsidRDefault="00D31EC3" w:rsidP="005F2CD4">
            <w:pPr>
              <w:jc w:val="both"/>
              <w:rPr>
                <w:rFonts w:ascii="Arial" w:hAnsi="Arial"/>
                <w:sz w:val="22"/>
                <w:highlight w:val="yellow"/>
              </w:rPr>
            </w:pPr>
          </w:p>
        </w:tc>
      </w:tr>
      <w:tr w:rsidR="00B54734">
        <w:tc>
          <w:tcPr>
            <w:tcW w:w="3060" w:type="dxa"/>
          </w:tcPr>
          <w:p w:rsidR="00B54734" w:rsidRDefault="00B5473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bCs/>
                    <w:sz w:val="22"/>
                  </w:rPr>
                  <w:t>London</w:t>
                </w:r>
              </w:smartTag>
            </w:smartTag>
            <w:r>
              <w:rPr>
                <w:rFonts w:ascii="Arial" w:hAnsi="Arial"/>
                <w:b/>
                <w:bCs/>
                <w:sz w:val="22"/>
              </w:rPr>
              <w:t xml:space="preserve"> Living Wage</w:t>
            </w:r>
          </w:p>
        </w:tc>
        <w:tc>
          <w:tcPr>
            <w:tcW w:w="7146" w:type="dxa"/>
          </w:tcPr>
          <w:p w:rsidR="00B54734" w:rsidRPr="00EC78F8" w:rsidRDefault="000545C9" w:rsidP="005F2C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Clause 4.9:</w:t>
            </w:r>
            <w:r w:rsidR="00B54734" w:rsidRPr="000545C9">
              <w:rPr>
                <w:rFonts w:ascii="Arial" w:hAnsi="Arial"/>
                <w:sz w:val="22"/>
              </w:rPr>
              <w:t xml:space="preserve"> London Living Wage is</w:t>
            </w:r>
            <w:r w:rsidRPr="000545C9">
              <w:rPr>
                <w:rFonts w:ascii="Arial" w:hAnsi="Arial"/>
                <w:sz w:val="22"/>
              </w:rPr>
              <w:t xml:space="preserve"> </w:t>
            </w:r>
            <w:r w:rsidR="00B54734" w:rsidRPr="000545C9">
              <w:rPr>
                <w:rFonts w:ascii="Arial" w:hAnsi="Arial"/>
                <w:sz w:val="22"/>
              </w:rPr>
              <w:t>applicable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Monitoring</w:t>
            </w:r>
          </w:p>
        </w:tc>
        <w:tc>
          <w:tcPr>
            <w:tcW w:w="7146" w:type="dxa"/>
          </w:tcPr>
          <w:p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5716C4">
              <w:rPr>
                <w:rFonts w:ascii="Arial" w:hAnsi="Arial"/>
                <w:sz w:val="22"/>
              </w:rPr>
              <w:t>Clause 5.4 (b) applies and the speci</w:t>
            </w:r>
            <w:r w:rsidR="005716C4" w:rsidRPr="005716C4">
              <w:rPr>
                <w:rFonts w:ascii="Arial" w:hAnsi="Arial"/>
                <w:sz w:val="22"/>
              </w:rPr>
              <w:t>fic reporting requirements are set out in Appendix 1 – Service Specification.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Payment Periods</w:t>
            </w:r>
          </w:p>
        </w:tc>
        <w:tc>
          <w:tcPr>
            <w:tcW w:w="7146" w:type="dxa"/>
          </w:tcPr>
          <w:p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Quarterly in </w:t>
            </w:r>
            <w:r w:rsidRPr="00B04172">
              <w:rPr>
                <w:rFonts w:ascii="Arial" w:hAnsi="Arial"/>
                <w:iCs/>
                <w:sz w:val="22"/>
              </w:rPr>
              <w:t>arrears</w:t>
            </w:r>
            <w:r w:rsidRPr="00B0417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as follows:</w:t>
            </w:r>
          </w:p>
          <w:p w:rsidR="007A69D4" w:rsidRPr="005716C4" w:rsidRDefault="005716C4" w:rsidP="0048690E">
            <w:pPr>
              <w:jc w:val="both"/>
              <w:rPr>
                <w:rFonts w:ascii="Arial" w:hAnsi="Arial"/>
                <w:sz w:val="22"/>
              </w:rPr>
            </w:pPr>
            <w:r w:rsidRPr="005716C4">
              <w:rPr>
                <w:rFonts w:ascii="Arial" w:hAnsi="Arial"/>
                <w:sz w:val="22"/>
              </w:rPr>
              <w:t>Payment for activity in Q1 on or before 15</w:t>
            </w:r>
            <w:r w:rsidRPr="005716C4">
              <w:rPr>
                <w:rFonts w:ascii="Arial" w:hAnsi="Arial"/>
                <w:sz w:val="22"/>
                <w:vertAlign w:val="superscript"/>
              </w:rPr>
              <w:t>th</w:t>
            </w:r>
            <w:r w:rsidRPr="005716C4">
              <w:rPr>
                <w:rFonts w:ascii="Arial" w:hAnsi="Arial"/>
                <w:sz w:val="22"/>
              </w:rPr>
              <w:t xml:space="preserve"> August</w:t>
            </w:r>
          </w:p>
          <w:p w:rsidR="007A69D4" w:rsidRPr="005716C4" w:rsidRDefault="005716C4" w:rsidP="0048690E">
            <w:pPr>
              <w:jc w:val="both"/>
              <w:rPr>
                <w:rFonts w:ascii="Arial" w:hAnsi="Arial"/>
                <w:sz w:val="22"/>
              </w:rPr>
            </w:pPr>
            <w:r w:rsidRPr="005716C4">
              <w:rPr>
                <w:rFonts w:ascii="Arial" w:hAnsi="Arial"/>
                <w:sz w:val="22"/>
              </w:rPr>
              <w:t>Payment for activity in Q2 on or before 15</w:t>
            </w:r>
            <w:r w:rsidRPr="005716C4">
              <w:rPr>
                <w:rFonts w:ascii="Arial" w:hAnsi="Arial"/>
                <w:sz w:val="22"/>
                <w:vertAlign w:val="superscript"/>
              </w:rPr>
              <w:t>th</w:t>
            </w:r>
            <w:r w:rsidRPr="005716C4">
              <w:rPr>
                <w:rFonts w:ascii="Arial" w:hAnsi="Arial"/>
                <w:sz w:val="22"/>
              </w:rPr>
              <w:t xml:space="preserve"> November</w:t>
            </w:r>
          </w:p>
          <w:p w:rsidR="007A69D4" w:rsidRPr="005716C4" w:rsidRDefault="005716C4" w:rsidP="0048690E">
            <w:pPr>
              <w:jc w:val="both"/>
              <w:rPr>
                <w:rFonts w:ascii="Arial" w:hAnsi="Arial"/>
                <w:sz w:val="22"/>
              </w:rPr>
            </w:pPr>
            <w:r w:rsidRPr="005716C4">
              <w:rPr>
                <w:rFonts w:ascii="Arial" w:hAnsi="Arial"/>
                <w:sz w:val="22"/>
              </w:rPr>
              <w:t>Payment for activity in Q3 on or before 15</w:t>
            </w:r>
            <w:r w:rsidRPr="005716C4">
              <w:rPr>
                <w:rFonts w:ascii="Arial" w:hAnsi="Arial"/>
                <w:sz w:val="22"/>
                <w:vertAlign w:val="superscript"/>
              </w:rPr>
              <w:t>th</w:t>
            </w:r>
            <w:r w:rsidRPr="005716C4">
              <w:rPr>
                <w:rFonts w:ascii="Arial" w:hAnsi="Arial"/>
                <w:sz w:val="22"/>
              </w:rPr>
              <w:t xml:space="preserve"> February</w:t>
            </w:r>
          </w:p>
          <w:p w:rsidR="007A69D4" w:rsidRDefault="005716C4" w:rsidP="0048690E">
            <w:pPr>
              <w:jc w:val="both"/>
              <w:rPr>
                <w:rFonts w:ascii="Arial" w:hAnsi="Arial"/>
                <w:sz w:val="22"/>
              </w:rPr>
            </w:pPr>
            <w:r w:rsidRPr="005716C4">
              <w:rPr>
                <w:rFonts w:ascii="Arial" w:hAnsi="Arial"/>
                <w:sz w:val="22"/>
              </w:rPr>
              <w:t>Payment for activity in Q4 on or before 15</w:t>
            </w:r>
            <w:r w:rsidRPr="005716C4">
              <w:rPr>
                <w:rFonts w:ascii="Arial" w:hAnsi="Arial"/>
                <w:sz w:val="22"/>
                <w:vertAlign w:val="superscript"/>
              </w:rPr>
              <w:t>th</w:t>
            </w:r>
            <w:r w:rsidRPr="005716C4">
              <w:rPr>
                <w:rFonts w:ascii="Arial" w:hAnsi="Arial"/>
                <w:sz w:val="22"/>
              </w:rPr>
              <w:t xml:space="preserve"> May</w:t>
            </w:r>
          </w:p>
          <w:p w:rsidR="0048690E" w:rsidRDefault="0048690E" w:rsidP="0048690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Period of Appointment</w:t>
            </w:r>
          </w:p>
        </w:tc>
        <w:tc>
          <w:tcPr>
            <w:tcW w:w="7146" w:type="dxa"/>
          </w:tcPr>
          <w:p w:rsidR="007A69D4" w:rsidRDefault="007A69D4" w:rsidP="005716C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from the Start Date until </w:t>
            </w:r>
            <w:r w:rsidR="005716C4">
              <w:rPr>
                <w:rFonts w:ascii="Arial" w:hAnsi="Arial"/>
                <w:sz w:val="22"/>
              </w:rPr>
              <w:t>31.03.2029</w:t>
            </w:r>
            <w:r>
              <w:rPr>
                <w:rFonts w:ascii="Arial" w:hAnsi="Arial"/>
                <w:sz w:val="22"/>
              </w:rPr>
              <w:t xml:space="preserve"> unless terminated early or extended by mutual agreement</w:t>
            </w:r>
          </w:p>
        </w:tc>
      </w:tr>
      <w:tr w:rsidR="007A69D4">
        <w:tc>
          <w:tcPr>
            <w:tcW w:w="3060" w:type="dxa"/>
          </w:tcPr>
          <w:p w:rsidR="007A69D4" w:rsidRPr="00C500B2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 w:rsidRPr="00C500B2">
              <w:rPr>
                <w:rFonts w:ascii="Arial" w:hAnsi="Arial"/>
                <w:b/>
                <w:bCs/>
                <w:sz w:val="22"/>
              </w:rPr>
              <w:t>Providers’ Representative</w:t>
            </w:r>
          </w:p>
        </w:tc>
        <w:tc>
          <w:tcPr>
            <w:tcW w:w="7146" w:type="dxa"/>
          </w:tcPr>
          <w:p w:rsidR="007A69D4" w:rsidRPr="00C500B2" w:rsidRDefault="00834EAB" w:rsidP="00C500B2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 w:rsidRPr="00834EAB">
              <w:rPr>
                <w:rFonts w:ascii="Arial" w:hAnsi="Arial"/>
                <w:sz w:val="22"/>
                <w:highlight w:val="yellow"/>
              </w:rPr>
              <w:t>[PROVIDER TO INSERT DETAILS]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Safeguarding</w:t>
            </w:r>
          </w:p>
        </w:tc>
        <w:tc>
          <w:tcPr>
            <w:tcW w:w="7146" w:type="dxa"/>
          </w:tcPr>
          <w:p w:rsidR="007A69D4" w:rsidRDefault="007A69D4" w:rsidP="005F2C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Clause 4.7 (Safeguarding</w:t>
            </w:r>
            <w:r w:rsidRPr="005F2CD4">
              <w:rPr>
                <w:rFonts w:ascii="Arial" w:hAnsi="Arial"/>
                <w:sz w:val="22"/>
              </w:rPr>
              <w:t xml:space="preserve">) </w:t>
            </w:r>
            <w:r w:rsidR="005F2CD4" w:rsidRPr="005F2CD4">
              <w:rPr>
                <w:rFonts w:ascii="Arial" w:hAnsi="Arial"/>
                <w:sz w:val="22"/>
              </w:rPr>
              <w:t xml:space="preserve">is applicable. </w:t>
            </w:r>
          </w:p>
        </w:tc>
      </w:tr>
      <w:tr w:rsidR="00E46F86">
        <w:tc>
          <w:tcPr>
            <w:tcW w:w="3060" w:type="dxa"/>
          </w:tcPr>
          <w:p w:rsidR="00E46F86" w:rsidRDefault="00E46F86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Staff</w:t>
            </w:r>
          </w:p>
        </w:tc>
        <w:tc>
          <w:tcPr>
            <w:tcW w:w="7146" w:type="dxa"/>
          </w:tcPr>
          <w:p w:rsidR="00E46F86" w:rsidRDefault="00E46F86" w:rsidP="005F2C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Clause 4.6 (Staff) – the period for removing and replacing a notified member of staff under this clause is</w:t>
            </w:r>
            <w:r w:rsidR="00B04172">
              <w:rPr>
                <w:rFonts w:ascii="Arial" w:hAnsi="Arial"/>
                <w:sz w:val="22"/>
              </w:rPr>
              <w:t xml:space="preserve"> 7 days</w:t>
            </w:r>
            <w:r w:rsidR="005F2CD4">
              <w:rPr>
                <w:rFonts w:ascii="Arial" w:hAnsi="Arial"/>
                <w:sz w:val="22"/>
              </w:rPr>
              <w:t>.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Start Date</w:t>
            </w:r>
          </w:p>
        </w:tc>
        <w:tc>
          <w:tcPr>
            <w:tcW w:w="7146" w:type="dxa"/>
          </w:tcPr>
          <w:p w:rsidR="007A69D4" w:rsidRDefault="00834EAB" w:rsidP="00834EAB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01.0</w:t>
            </w:r>
            <w:r w:rsidR="00B4252C">
              <w:rPr>
                <w:rFonts w:ascii="Arial" w:hAnsi="Arial"/>
                <w:sz w:val="22"/>
              </w:rPr>
              <w:t>5</w:t>
            </w:r>
            <w:bookmarkStart w:id="0" w:name="_GoBack"/>
            <w:bookmarkEnd w:id="0"/>
            <w:r w:rsidR="005716C4" w:rsidRPr="005716C4">
              <w:rPr>
                <w:rFonts w:ascii="Arial" w:hAnsi="Arial"/>
                <w:sz w:val="22"/>
              </w:rPr>
              <w:t>.2024</w:t>
            </w:r>
          </w:p>
        </w:tc>
      </w:tr>
      <w:tr w:rsidR="007A69D4">
        <w:tc>
          <w:tcPr>
            <w:tcW w:w="3060" w:type="dxa"/>
          </w:tcPr>
          <w:p w:rsidR="007A69D4" w:rsidRDefault="007A69D4">
            <w:pPr>
              <w:spacing w:before="120" w:after="120"/>
              <w:ind w:right="-1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Timetable</w:t>
            </w:r>
          </w:p>
        </w:tc>
        <w:tc>
          <w:tcPr>
            <w:tcW w:w="7146" w:type="dxa"/>
          </w:tcPr>
          <w:p w:rsidR="007A69D4" w:rsidRDefault="007A69D4">
            <w:pPr>
              <w:spacing w:before="120" w:after="120"/>
              <w:ind w:right="-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 will provide the services in accordance with the timetable unless agreed in writing in advance by the Council.  Persistent failure to meet agreed timescales may amount to a material breach of this Agreement.</w:t>
            </w:r>
          </w:p>
        </w:tc>
      </w:tr>
    </w:tbl>
    <w:p w:rsidR="007A69D4" w:rsidRDefault="007A69D4">
      <w:pPr>
        <w:ind w:right="-1"/>
        <w:jc w:val="both"/>
        <w:rPr>
          <w:rFonts w:ascii="Arial" w:hAnsi="Arial"/>
          <w:sz w:val="22"/>
        </w:rPr>
      </w:pPr>
    </w:p>
    <w:p w:rsidR="007A69D4" w:rsidRDefault="007A69D4" w:rsidP="0048690E">
      <w:pPr>
        <w:pStyle w:val="BlockText"/>
        <w:spacing w:line="240" w:lineRule="auto"/>
        <w:ind w:left="0" w:right="-1"/>
      </w:pPr>
      <w:r>
        <w:t xml:space="preserve">References to “the Provider” in this Agreement includes anyone engaged by you to provide these Services including any sub-contractor, volunteer, licensee or employee.  </w:t>
      </w:r>
    </w:p>
    <w:p w:rsidR="007A69D4" w:rsidRDefault="007A69D4" w:rsidP="0048690E">
      <w:pPr>
        <w:pStyle w:val="BlockText"/>
        <w:spacing w:line="240" w:lineRule="auto"/>
        <w:ind w:left="0" w:right="0"/>
      </w:pPr>
    </w:p>
    <w:p w:rsidR="007A69D4" w:rsidRDefault="007A69D4" w:rsidP="0048690E">
      <w:pPr>
        <w:pStyle w:val="BlockText"/>
        <w:spacing w:line="240" w:lineRule="auto"/>
        <w:ind w:left="0" w:right="-1"/>
      </w:pPr>
      <w:r>
        <w:t xml:space="preserve">References to “staff” or “employees” in this Agreement includes where appropriate volunteers providing these Services. </w:t>
      </w:r>
    </w:p>
    <w:p w:rsidR="00B04172" w:rsidRDefault="00B04172" w:rsidP="0048690E">
      <w:pPr>
        <w:pStyle w:val="BlockText"/>
        <w:spacing w:line="240" w:lineRule="auto"/>
        <w:ind w:left="0" w:right="-1"/>
      </w:pPr>
    </w:p>
    <w:p w:rsidR="00B04172" w:rsidRDefault="00B04172" w:rsidP="0048690E">
      <w:pPr>
        <w:pStyle w:val="BlockText"/>
        <w:spacing w:line="240" w:lineRule="auto"/>
        <w:ind w:left="0" w:right="-1"/>
      </w:pPr>
      <w:r>
        <w:t>Any square brackets in this Agreement shall be deemed to be deleted.</w:t>
      </w:r>
    </w:p>
    <w:p w:rsidR="0048690E" w:rsidRDefault="0048690E" w:rsidP="0048690E">
      <w:pPr>
        <w:pStyle w:val="BlockText"/>
        <w:spacing w:line="240" w:lineRule="auto"/>
        <w:ind w:left="0" w:right="0"/>
      </w:pPr>
    </w:p>
    <w:p w:rsidR="007A69D4" w:rsidRDefault="007A69D4" w:rsidP="0048690E">
      <w:pPr>
        <w:tabs>
          <w:tab w:val="left" w:pos="-720"/>
        </w:tabs>
        <w:suppressAutoHyphens/>
        <w:ind w:right="-1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IN WITNESS</w:t>
      </w:r>
      <w:r>
        <w:rPr>
          <w:rFonts w:ascii="Arial" w:hAnsi="Arial"/>
          <w:spacing w:val="-3"/>
          <w:sz w:val="22"/>
        </w:rPr>
        <w:t xml:space="preserve"> the parties have entered into this Agreement by signature of their respective duly authorised representatives.</w:t>
      </w:r>
    </w:p>
    <w:p w:rsidR="0048690E" w:rsidRDefault="0048690E" w:rsidP="0048690E">
      <w:pPr>
        <w:tabs>
          <w:tab w:val="left" w:pos="-720"/>
        </w:tabs>
        <w:suppressAutoHyphens/>
        <w:ind w:right="-1"/>
        <w:jc w:val="both"/>
        <w:rPr>
          <w:rFonts w:ascii="Arial" w:hAnsi="Arial"/>
          <w:spacing w:val="-3"/>
          <w:sz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Signature: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  <w:p w:rsidR="00B04172" w:rsidRDefault="00B04172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Signature: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COUNCIL</w:t>
            </w: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PROVIDER</w:t>
            </w: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Signed by:  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Position: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lang w:val="fr-FR"/>
              </w:rPr>
              <w:t>Signature: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  <w:lang w:val="fr-FR"/>
              </w:rPr>
            </w:pP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Signature:</w:t>
            </w:r>
          </w:p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</w:p>
        </w:tc>
      </w:tr>
      <w:tr w:rsidR="007A69D4">
        <w:tc>
          <w:tcPr>
            <w:tcW w:w="4678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COUNCIL</w:t>
            </w:r>
          </w:p>
        </w:tc>
        <w:tc>
          <w:tcPr>
            <w:tcW w:w="6095" w:type="dxa"/>
          </w:tcPr>
          <w:p w:rsidR="007A69D4" w:rsidRDefault="007A69D4">
            <w:pPr>
              <w:tabs>
                <w:tab w:val="left" w:pos="-720"/>
              </w:tabs>
              <w:suppressAutoHyphens/>
              <w:spacing w:line="360" w:lineRule="auto"/>
              <w:ind w:right="-1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  <w:u w:val="single"/>
              </w:rPr>
              <w:t>FOR AND ON BEHALF OF THE PROVIDER</w:t>
            </w:r>
          </w:p>
        </w:tc>
      </w:tr>
    </w:tbl>
    <w:p w:rsidR="007A69D4" w:rsidRDefault="007A69D4" w:rsidP="00996A69">
      <w:pPr>
        <w:pStyle w:val="BlockText"/>
        <w:ind w:left="0" w:right="-1"/>
      </w:pPr>
    </w:p>
    <w:sectPr w:rsidR="007A69D4" w:rsidSect="00EC74E5">
      <w:footerReference w:type="default" r:id="rId7"/>
      <w:endnotePr>
        <w:numFmt w:val="decimal"/>
      </w:endnotePr>
      <w:pgSz w:w="11907" w:h="16840" w:code="9"/>
      <w:pgMar w:top="851" w:right="851" w:bottom="851" w:left="851" w:header="56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57" w:rsidRDefault="004F0457">
      <w:pPr>
        <w:spacing w:line="20" w:lineRule="exact"/>
        <w:rPr>
          <w:sz w:val="24"/>
        </w:rPr>
      </w:pPr>
    </w:p>
  </w:endnote>
  <w:endnote w:type="continuationSeparator" w:id="0">
    <w:p w:rsidR="004F0457" w:rsidRDefault="004F0457">
      <w:r>
        <w:rPr>
          <w:sz w:val="24"/>
        </w:rPr>
        <w:t xml:space="preserve"> </w:t>
      </w:r>
    </w:p>
  </w:endnote>
  <w:endnote w:type="continuationNotice" w:id="1">
    <w:p w:rsidR="004F0457" w:rsidRDefault="004F045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F8" w:rsidRDefault="00EC78F8">
    <w:pPr>
      <w:pBdr>
        <w:top w:val="single" w:sz="4" w:space="1" w:color="auto"/>
      </w:pBdr>
      <w:spacing w:before="140" w:line="100" w:lineRule="exact"/>
      <w:rPr>
        <w:rFonts w:ascii="Arial" w:hAnsi="Arial"/>
        <w:sz w:val="16"/>
      </w:rPr>
    </w:pPr>
  </w:p>
  <w:p w:rsidR="00EC78F8" w:rsidRPr="00F670D6" w:rsidRDefault="00DD671D" w:rsidP="00F670D6">
    <w:pPr>
      <w:pStyle w:val="Heading1"/>
      <w:rPr>
        <w:b w:val="0"/>
        <w:bCs/>
        <w:sz w:val="16"/>
        <w:szCs w:val="16"/>
      </w:rPr>
    </w:pPr>
    <w:r>
      <w:rPr>
        <w:b w:val="0"/>
        <w:sz w:val="16"/>
        <w:szCs w:val="16"/>
      </w:rPr>
      <w:t>Precedent Services Contract (under EU threshold</w:t>
    </w:r>
    <w:r w:rsidR="00EC78F8" w:rsidRPr="00F670D6">
      <w:rPr>
        <w:b w:val="0"/>
        <w:bCs/>
        <w:sz w:val="16"/>
        <w:szCs w:val="16"/>
      </w:rPr>
      <w:t>)</w:t>
    </w:r>
  </w:p>
  <w:p w:rsidR="00EC78F8" w:rsidRDefault="00EC78F8" w:rsidP="00F670D6">
    <w:pPr>
      <w:pStyle w:val="Heading1"/>
      <w:rPr>
        <w:b w:val="0"/>
        <w:sz w:val="16"/>
        <w:szCs w:val="16"/>
      </w:rPr>
    </w:pPr>
    <w:r w:rsidRPr="00F670D6">
      <w:rPr>
        <w:b w:val="0"/>
        <w:sz w:val="16"/>
        <w:szCs w:val="16"/>
      </w:rPr>
      <w:t>Specific Terms</w:t>
    </w:r>
  </w:p>
  <w:p w:rsidR="00100B91" w:rsidRPr="00100B91" w:rsidRDefault="00100B91" w:rsidP="00100B91">
    <w:pPr>
      <w:pStyle w:val="Heading1"/>
      <w:rPr>
        <w:b w:val="0"/>
        <w:sz w:val="16"/>
        <w:szCs w:val="16"/>
      </w:rPr>
    </w:pPr>
    <w:r w:rsidRPr="00100B91">
      <w:rPr>
        <w:b w:val="0"/>
        <w:sz w:val="16"/>
        <w:szCs w:val="16"/>
      </w:rPr>
      <w:t>Contracts Team – Legal Services</w:t>
    </w:r>
  </w:p>
  <w:p w:rsidR="00EC78F8" w:rsidRPr="00F670D6" w:rsidRDefault="00F034B1" w:rsidP="00F670D6">
    <w:pPr>
      <w:pStyle w:val="Heading1"/>
      <w:rPr>
        <w:b w:val="0"/>
        <w:sz w:val="16"/>
        <w:szCs w:val="16"/>
      </w:rPr>
    </w:pPr>
    <w:r>
      <w:rPr>
        <w:b w:val="0"/>
        <w:sz w:val="16"/>
        <w:szCs w:val="16"/>
      </w:rPr>
      <w:t>January 2020</w:t>
    </w:r>
  </w:p>
  <w:p w:rsidR="00EC78F8" w:rsidRDefault="00EC78F8">
    <w:pPr>
      <w:spacing w:before="140" w:line="100" w:lineRule="exact"/>
      <w:jc w:val="center"/>
      <w:rPr>
        <w:rStyle w:val="PageNumber"/>
        <w:rFonts w:ascii="Arial" w:hAnsi="Arial"/>
        <w:sz w:val="22"/>
      </w:rPr>
    </w:pPr>
    <w:r>
      <w:rPr>
        <w:rFonts w:ascii="Arial" w:hAnsi="Arial"/>
        <w:sz w:val="22"/>
      </w:rPr>
      <w:t xml:space="preserve">Page </w:t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B4252C">
      <w:rPr>
        <w:rStyle w:val="PageNumber"/>
        <w:rFonts w:ascii="Arial" w:hAnsi="Arial"/>
        <w:noProof/>
        <w:sz w:val="22"/>
      </w:rPr>
      <w:t>3</w:t>
    </w:r>
    <w:r>
      <w:rPr>
        <w:rStyle w:val="PageNumber"/>
        <w:rFonts w:ascii="Arial" w:hAnsi="Arial"/>
        <w:sz w:val="22"/>
      </w:rPr>
      <w:fldChar w:fldCharType="end"/>
    </w:r>
  </w:p>
  <w:p w:rsidR="00EC78F8" w:rsidRDefault="00EC78F8">
    <w:pPr>
      <w:spacing w:before="140" w:line="100" w:lineRule="exac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57" w:rsidRDefault="004F0457">
      <w:r>
        <w:rPr>
          <w:sz w:val="24"/>
        </w:rPr>
        <w:separator/>
      </w:r>
    </w:p>
  </w:footnote>
  <w:footnote w:type="continuationSeparator" w:id="0">
    <w:p w:rsidR="004F0457" w:rsidRDefault="004F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8FE"/>
    <w:multiLevelType w:val="hybridMultilevel"/>
    <w:tmpl w:val="E6E23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219A"/>
    <w:multiLevelType w:val="hybridMultilevel"/>
    <w:tmpl w:val="6DE8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1D4E"/>
    <w:multiLevelType w:val="multilevel"/>
    <w:tmpl w:val="60FAB5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7"/>
    <w:rsid w:val="00024CBD"/>
    <w:rsid w:val="000545C9"/>
    <w:rsid w:val="00055051"/>
    <w:rsid w:val="00092B17"/>
    <w:rsid w:val="000C57FF"/>
    <w:rsid w:val="00100B91"/>
    <w:rsid w:val="00117F3B"/>
    <w:rsid w:val="00133D1B"/>
    <w:rsid w:val="00136FBA"/>
    <w:rsid w:val="0023672C"/>
    <w:rsid w:val="002A21E1"/>
    <w:rsid w:val="003C002D"/>
    <w:rsid w:val="003F101B"/>
    <w:rsid w:val="0048690E"/>
    <w:rsid w:val="004E4FA7"/>
    <w:rsid w:val="004F0457"/>
    <w:rsid w:val="004F730C"/>
    <w:rsid w:val="005716C4"/>
    <w:rsid w:val="005F2CD4"/>
    <w:rsid w:val="006542B7"/>
    <w:rsid w:val="00662E38"/>
    <w:rsid w:val="006B3D66"/>
    <w:rsid w:val="006D45A2"/>
    <w:rsid w:val="00745EBB"/>
    <w:rsid w:val="007A69D4"/>
    <w:rsid w:val="00823BFC"/>
    <w:rsid w:val="00834EAB"/>
    <w:rsid w:val="008A6056"/>
    <w:rsid w:val="0093312A"/>
    <w:rsid w:val="00937C74"/>
    <w:rsid w:val="00996A69"/>
    <w:rsid w:val="00B04172"/>
    <w:rsid w:val="00B4252C"/>
    <w:rsid w:val="00B54734"/>
    <w:rsid w:val="00B94229"/>
    <w:rsid w:val="00C500B2"/>
    <w:rsid w:val="00CD52AB"/>
    <w:rsid w:val="00D31EC3"/>
    <w:rsid w:val="00D64824"/>
    <w:rsid w:val="00DA3BF4"/>
    <w:rsid w:val="00DD671D"/>
    <w:rsid w:val="00E43C48"/>
    <w:rsid w:val="00E46F86"/>
    <w:rsid w:val="00E747F0"/>
    <w:rsid w:val="00EC74E5"/>
    <w:rsid w:val="00EC78F8"/>
    <w:rsid w:val="00F034B1"/>
    <w:rsid w:val="00F0677F"/>
    <w:rsid w:val="00F07715"/>
    <w:rsid w:val="00F31201"/>
    <w:rsid w:val="00F6317F"/>
    <w:rsid w:val="00F670D6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D93534"/>
  <w15:docId w15:val="{5B91E3F6-45E2-43F9-9517-22C7632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-142"/>
      </w:tabs>
      <w:suppressAutoHyphens/>
      <w:jc w:val="both"/>
      <w:outlineLvl w:val="2"/>
    </w:pPr>
    <w:rPr>
      <w:rFonts w:ascii="Arial" w:hAnsi="Arial"/>
      <w:i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720"/>
        <w:tab w:val="left" w:pos="0"/>
        <w:tab w:val="left" w:pos="317"/>
      </w:tabs>
      <w:suppressAutoHyphens/>
      <w:jc w:val="both"/>
      <w:outlineLvl w:val="3"/>
    </w:pPr>
    <w:rPr>
      <w:rFonts w:ascii="Arial" w:hAnsi="Arial"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-720"/>
        <w:tab w:val="left" w:pos="0"/>
      </w:tabs>
      <w:suppressAutoHyphens/>
      <w:jc w:val="both"/>
      <w:outlineLvl w:val="5"/>
    </w:pPr>
    <w:rPr>
      <w:rFonts w:ascii="Arial" w:hAnsi="Arial"/>
      <w:spacing w:val="-3"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rFonts w:ascii="Arial" w:hAnsi="Arial"/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-720"/>
      </w:tabs>
      <w:suppressAutoHyphens/>
      <w:jc w:val="both"/>
      <w:outlineLvl w:val="7"/>
    </w:pPr>
    <w:rPr>
      <w:rFonts w:ascii="Arial" w:hAnsi="Arial"/>
      <w:b/>
      <w:spacing w:val="-3"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left="1134" w:hanging="876"/>
      <w:jc w:val="both"/>
    </w:pPr>
    <w:rPr>
      <w:rFonts w:ascii="Arial" w:hAnsi="Arial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-108"/>
        <w:tab w:val="left" w:pos="0"/>
      </w:tabs>
      <w:suppressAutoHyphens/>
      <w:ind w:left="317"/>
      <w:jc w:val="both"/>
    </w:pPr>
    <w:rPr>
      <w:rFonts w:ascii="Arial" w:hAnsi="Arial"/>
      <w:spacing w:val="-3"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317" w:hanging="108"/>
      <w:jc w:val="both"/>
    </w:pPr>
    <w:rPr>
      <w:rFonts w:ascii="Arial" w:hAnsi="Arial"/>
      <w:spacing w:val="-3"/>
      <w:sz w:val="24"/>
    </w:rPr>
  </w:style>
  <w:style w:type="paragraph" w:styleId="BodyText">
    <w:name w:val="Body Text"/>
    <w:basedOn w:val="Normal"/>
    <w:pPr>
      <w:tabs>
        <w:tab w:val="left" w:pos="-720"/>
        <w:tab w:val="left" w:pos="851"/>
      </w:tabs>
      <w:suppressAutoHyphens/>
      <w:jc w:val="both"/>
    </w:pPr>
    <w:rPr>
      <w:rFonts w:ascii="Arial" w:hAnsi="Arial"/>
      <w:spacing w:val="-3"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pPr>
      <w:tabs>
        <w:tab w:val="left" w:pos="-720"/>
        <w:tab w:val="left" w:pos="-142"/>
      </w:tabs>
      <w:suppressAutoHyphens/>
      <w:jc w:val="both"/>
    </w:pPr>
    <w:rPr>
      <w:rFonts w:ascii="Arial" w:hAnsi="Arial"/>
      <w:i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134" w:hanging="1134"/>
      <w:jc w:val="both"/>
    </w:pPr>
    <w:rPr>
      <w:rFonts w:ascii="Arial" w:hAnsi="Arial"/>
      <w:spacing w:val="-3"/>
      <w:sz w:val="24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360" w:lineRule="auto"/>
      <w:ind w:left="720" w:right="691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lFontBody">
    <w:name w:val="lFont: Body"/>
    <w:rsid w:val="006542B7"/>
    <w:rPr>
      <w:rFonts w:ascii="Courier New" w:hAnsi="Courier New"/>
      <w:noProof w:val="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7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Consultancy Agreement - Precedent</vt:lpstr>
    </vt:vector>
  </TitlesOfParts>
  <Company>Southwark Legal Services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Consultancy Agreement - Precedent</dc:title>
  <dc:creator>Mary Micklewright</dc:creator>
  <cp:lastModifiedBy>Sinnott, Rebecca</cp:lastModifiedBy>
  <cp:revision>2</cp:revision>
  <cp:lastPrinted>2008-04-16T12:35:00Z</cp:lastPrinted>
  <dcterms:created xsi:type="dcterms:W3CDTF">2024-03-22T11:10:00Z</dcterms:created>
  <dcterms:modified xsi:type="dcterms:W3CDTF">2024-03-22T11:10:00Z</dcterms:modified>
</cp:coreProperties>
</file>