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27" w:rsidRDefault="00BE2D0F" w:rsidP="00201427">
      <w:pPr>
        <w:rPr>
          <w:b/>
          <w:sz w:val="28"/>
        </w:rPr>
      </w:pPr>
      <w:r w:rsidRPr="00201427">
        <w:rPr>
          <w:b/>
          <w:sz w:val="28"/>
        </w:rPr>
        <w:t xml:space="preserve">PRE </w:t>
      </w:r>
      <w:r w:rsidR="000500CF" w:rsidRPr="00201427">
        <w:rPr>
          <w:b/>
          <w:sz w:val="28"/>
        </w:rPr>
        <w:t xml:space="preserve">TENDER </w:t>
      </w:r>
      <w:r w:rsidRPr="00201427">
        <w:rPr>
          <w:b/>
          <w:sz w:val="28"/>
        </w:rPr>
        <w:t>MARKET ENGAGEMENT QUESTIONNAIRE</w:t>
      </w:r>
    </w:p>
    <w:p w:rsidR="000500CF" w:rsidRPr="00201427" w:rsidRDefault="00BE2D0F" w:rsidP="00201427">
      <w:pPr>
        <w:rPr>
          <w:b/>
          <w:sz w:val="28"/>
        </w:rPr>
      </w:pPr>
      <w:r w:rsidRPr="00201427">
        <w:rPr>
          <w:sz w:val="24"/>
          <w:szCs w:val="24"/>
        </w:rPr>
        <w:t>Lincolnshire County Council is in the process of assessing the best way in which to procure a contract</w:t>
      </w:r>
      <w:r w:rsidR="004742B9" w:rsidRPr="00201427">
        <w:rPr>
          <w:sz w:val="24"/>
          <w:szCs w:val="24"/>
        </w:rPr>
        <w:t>(s)</w:t>
      </w:r>
      <w:r w:rsidRPr="00201427">
        <w:rPr>
          <w:sz w:val="24"/>
          <w:szCs w:val="24"/>
        </w:rPr>
        <w:t xml:space="preserve"> to</w:t>
      </w:r>
      <w:r w:rsidR="00166ABE" w:rsidRPr="00201427">
        <w:rPr>
          <w:sz w:val="24"/>
          <w:szCs w:val="24"/>
        </w:rPr>
        <w:t xml:space="preserve"> deliver its </w:t>
      </w:r>
      <w:r w:rsidR="00D944B0">
        <w:rPr>
          <w:sz w:val="24"/>
          <w:szCs w:val="24"/>
        </w:rPr>
        <w:t>Stop Smoking</w:t>
      </w:r>
      <w:r w:rsidRPr="00201427">
        <w:rPr>
          <w:sz w:val="24"/>
          <w:szCs w:val="24"/>
        </w:rPr>
        <w:t xml:space="preserve"> Service. To that end we are seeking to understand the market’s preferred approach to a number of important issues to inform the decision making process. Below is a market </w:t>
      </w:r>
      <w:r w:rsidR="00A46861" w:rsidRPr="00201427">
        <w:rPr>
          <w:sz w:val="24"/>
          <w:szCs w:val="24"/>
        </w:rPr>
        <w:t xml:space="preserve">engagement </w:t>
      </w:r>
      <w:r w:rsidRPr="00201427">
        <w:rPr>
          <w:sz w:val="24"/>
          <w:szCs w:val="24"/>
        </w:rPr>
        <w:t xml:space="preserve">questionnaire. </w:t>
      </w:r>
    </w:p>
    <w:p w:rsidR="000500CF" w:rsidRPr="00201427" w:rsidRDefault="00BE2D0F" w:rsidP="00A46861">
      <w:pPr>
        <w:jc w:val="both"/>
        <w:rPr>
          <w:sz w:val="24"/>
          <w:szCs w:val="24"/>
        </w:rPr>
      </w:pPr>
      <w:r w:rsidRPr="00201427">
        <w:rPr>
          <w:sz w:val="24"/>
          <w:szCs w:val="24"/>
        </w:rPr>
        <w:t xml:space="preserve">Part 1 is a </w:t>
      </w:r>
      <w:r w:rsidR="00A71B2A" w:rsidRPr="00201427">
        <w:rPr>
          <w:sz w:val="24"/>
          <w:szCs w:val="24"/>
        </w:rPr>
        <w:t xml:space="preserve">summary </w:t>
      </w:r>
      <w:r w:rsidRPr="00201427">
        <w:rPr>
          <w:sz w:val="24"/>
          <w:szCs w:val="24"/>
        </w:rPr>
        <w:t xml:space="preserve">description of the services required and relevant background information. Part 2 is a series of questions </w:t>
      </w:r>
      <w:r w:rsidR="000500CF" w:rsidRPr="00201427">
        <w:rPr>
          <w:sz w:val="24"/>
          <w:szCs w:val="24"/>
        </w:rPr>
        <w:t xml:space="preserve">upon which </w:t>
      </w:r>
      <w:r w:rsidRPr="00201427">
        <w:rPr>
          <w:sz w:val="24"/>
          <w:szCs w:val="24"/>
        </w:rPr>
        <w:t xml:space="preserve">we would like to understand the </w:t>
      </w:r>
      <w:r w:rsidR="000500CF" w:rsidRPr="00201427">
        <w:rPr>
          <w:sz w:val="24"/>
          <w:szCs w:val="24"/>
        </w:rPr>
        <w:t xml:space="preserve">preferred </w:t>
      </w:r>
      <w:r w:rsidRPr="00201427">
        <w:rPr>
          <w:sz w:val="24"/>
          <w:szCs w:val="24"/>
        </w:rPr>
        <w:t xml:space="preserve">approach of the market. Please be as open as possible and include problems that may be encountered.  As the Council wishes to proceed expeditiously we are seeking </w:t>
      </w:r>
      <w:r w:rsidR="006B3118" w:rsidRPr="00201427">
        <w:rPr>
          <w:sz w:val="24"/>
          <w:szCs w:val="24"/>
        </w:rPr>
        <w:t>responses to</w:t>
      </w:r>
      <w:r w:rsidRPr="00201427">
        <w:rPr>
          <w:sz w:val="24"/>
          <w:szCs w:val="24"/>
        </w:rPr>
        <w:t xml:space="preserve"> the Questionnaire by </w:t>
      </w:r>
      <w:r w:rsidR="002343CC" w:rsidRPr="00201427">
        <w:rPr>
          <w:b/>
          <w:sz w:val="24"/>
          <w:szCs w:val="24"/>
        </w:rPr>
        <w:t>17:00</w:t>
      </w:r>
      <w:r w:rsidR="002343CC" w:rsidRPr="00201427">
        <w:rPr>
          <w:sz w:val="24"/>
          <w:szCs w:val="24"/>
        </w:rPr>
        <w:t xml:space="preserve"> on </w:t>
      </w:r>
      <w:r w:rsidR="00D944B0">
        <w:rPr>
          <w:b/>
          <w:sz w:val="24"/>
          <w:szCs w:val="24"/>
        </w:rPr>
        <w:t>30</w:t>
      </w:r>
      <w:r w:rsidR="00D944B0" w:rsidRPr="00D944B0">
        <w:rPr>
          <w:b/>
          <w:sz w:val="24"/>
          <w:szCs w:val="24"/>
          <w:vertAlign w:val="superscript"/>
        </w:rPr>
        <w:t>th</w:t>
      </w:r>
      <w:r w:rsidR="00D944B0">
        <w:rPr>
          <w:b/>
          <w:sz w:val="24"/>
          <w:szCs w:val="24"/>
        </w:rPr>
        <w:t xml:space="preserve"> November</w:t>
      </w:r>
      <w:r w:rsidR="00F45DFB" w:rsidRPr="00201427">
        <w:rPr>
          <w:b/>
          <w:sz w:val="24"/>
          <w:szCs w:val="24"/>
        </w:rPr>
        <w:t xml:space="preserve"> </w:t>
      </w:r>
      <w:r w:rsidR="004742B9" w:rsidRPr="00201427">
        <w:rPr>
          <w:b/>
          <w:sz w:val="24"/>
          <w:szCs w:val="24"/>
        </w:rPr>
        <w:t>2017</w:t>
      </w:r>
      <w:r w:rsidRPr="00201427">
        <w:rPr>
          <w:sz w:val="24"/>
          <w:szCs w:val="24"/>
        </w:rPr>
        <w:t xml:space="preserve">. We may also have some follow up questions, if so an appointment will be made </w:t>
      </w:r>
      <w:r w:rsidR="000500CF" w:rsidRPr="00201427">
        <w:rPr>
          <w:sz w:val="24"/>
          <w:szCs w:val="24"/>
        </w:rPr>
        <w:t xml:space="preserve">to speak </w:t>
      </w:r>
      <w:r w:rsidRPr="00201427">
        <w:rPr>
          <w:sz w:val="24"/>
          <w:szCs w:val="24"/>
        </w:rPr>
        <w:t xml:space="preserve">with you </w:t>
      </w:r>
      <w:r w:rsidR="000500CF" w:rsidRPr="00201427">
        <w:rPr>
          <w:sz w:val="24"/>
          <w:szCs w:val="24"/>
        </w:rPr>
        <w:t>by telephone or face to face as appropriate</w:t>
      </w:r>
      <w:r w:rsidRPr="00201427">
        <w:rPr>
          <w:sz w:val="24"/>
          <w:szCs w:val="24"/>
        </w:rPr>
        <w:t xml:space="preserve">. </w:t>
      </w:r>
    </w:p>
    <w:p w:rsidR="00BE2D0F" w:rsidRPr="00201427" w:rsidRDefault="00BE2D0F" w:rsidP="00A46861">
      <w:pPr>
        <w:jc w:val="both"/>
        <w:rPr>
          <w:sz w:val="24"/>
          <w:szCs w:val="24"/>
        </w:rPr>
      </w:pPr>
      <w:r w:rsidRPr="00201427">
        <w:rPr>
          <w:sz w:val="24"/>
          <w:szCs w:val="24"/>
        </w:rPr>
        <w:t xml:space="preserve">The responses will be collated and anonymised before being provided to the core </w:t>
      </w:r>
      <w:r w:rsidR="000500CF" w:rsidRPr="00201427">
        <w:rPr>
          <w:sz w:val="24"/>
          <w:szCs w:val="24"/>
        </w:rPr>
        <w:t>decision making team</w:t>
      </w:r>
      <w:r w:rsidRPr="00201427">
        <w:rPr>
          <w:sz w:val="24"/>
          <w:szCs w:val="24"/>
        </w:rPr>
        <w:t>.</w:t>
      </w:r>
      <w:r w:rsidR="002343CC" w:rsidRPr="00201427">
        <w:rPr>
          <w:sz w:val="24"/>
          <w:szCs w:val="24"/>
        </w:rPr>
        <w:t xml:space="preserve"> </w:t>
      </w:r>
      <w:r w:rsidR="002343CC" w:rsidRPr="00201427">
        <w:rPr>
          <w:bCs/>
          <w:sz w:val="24"/>
          <w:szCs w:val="24"/>
        </w:rPr>
        <w:t>We are keen to understand a true reflection of the market</w:t>
      </w:r>
      <w:r w:rsidR="005659EF" w:rsidRPr="00201427">
        <w:rPr>
          <w:bCs/>
          <w:sz w:val="24"/>
          <w:szCs w:val="24"/>
        </w:rPr>
        <w:t>'</w:t>
      </w:r>
      <w:r w:rsidR="002343CC" w:rsidRPr="00201427">
        <w:rPr>
          <w:bCs/>
          <w:sz w:val="24"/>
          <w:szCs w:val="24"/>
        </w:rPr>
        <w:t xml:space="preserve">s views; your answers will have </w:t>
      </w:r>
      <w:r w:rsidR="002343CC" w:rsidRPr="00201427">
        <w:rPr>
          <w:bCs/>
          <w:sz w:val="24"/>
          <w:szCs w:val="24"/>
          <w:u w:val="single"/>
        </w:rPr>
        <w:t>no</w:t>
      </w:r>
      <w:r w:rsidR="002343CC" w:rsidRPr="00201427">
        <w:rPr>
          <w:bCs/>
          <w:sz w:val="24"/>
          <w:szCs w:val="24"/>
        </w:rPr>
        <w:t xml:space="preserve"> influence on your further participation in this process, and a</w:t>
      </w:r>
      <w:r w:rsidR="002343CC" w:rsidRPr="00201427">
        <w:rPr>
          <w:sz w:val="24"/>
          <w:szCs w:val="24"/>
        </w:rPr>
        <w:t>ll responses will be treated as confidential and commercially sensitive.</w:t>
      </w:r>
    </w:p>
    <w:p w:rsidR="00617D73" w:rsidRPr="00201427" w:rsidRDefault="00BE2D0F" w:rsidP="00BE2D0F">
      <w:pPr>
        <w:rPr>
          <w:b/>
          <w:sz w:val="24"/>
          <w:szCs w:val="24"/>
        </w:rPr>
      </w:pPr>
      <w:r w:rsidRPr="00201427">
        <w:rPr>
          <w:b/>
          <w:sz w:val="24"/>
          <w:szCs w:val="24"/>
        </w:rPr>
        <w:t>PART 1</w:t>
      </w:r>
      <w:r w:rsidR="00F70B08" w:rsidRPr="00201427">
        <w:rPr>
          <w:b/>
          <w:sz w:val="24"/>
          <w:szCs w:val="24"/>
        </w:rPr>
        <w:t xml:space="preserve"> </w:t>
      </w:r>
    </w:p>
    <w:p w:rsidR="00EC5AFF" w:rsidRPr="00201427" w:rsidRDefault="00EC5AFF" w:rsidP="00107D75">
      <w:pPr>
        <w:jc w:val="both"/>
        <w:rPr>
          <w:b/>
          <w:sz w:val="24"/>
          <w:szCs w:val="24"/>
        </w:rPr>
      </w:pPr>
      <w:r w:rsidRPr="00201427">
        <w:rPr>
          <w:b/>
          <w:sz w:val="24"/>
          <w:szCs w:val="24"/>
        </w:rPr>
        <w:t xml:space="preserve">Overall </w:t>
      </w:r>
      <w:r w:rsidR="00880897" w:rsidRPr="00201427">
        <w:rPr>
          <w:b/>
          <w:sz w:val="24"/>
          <w:szCs w:val="24"/>
        </w:rPr>
        <w:t>P</w:t>
      </w:r>
      <w:r w:rsidRPr="00201427">
        <w:rPr>
          <w:b/>
          <w:sz w:val="24"/>
          <w:szCs w:val="24"/>
        </w:rPr>
        <w:t xml:space="preserve">rinciples of </w:t>
      </w:r>
      <w:r w:rsidR="00D944B0">
        <w:rPr>
          <w:b/>
          <w:sz w:val="24"/>
          <w:szCs w:val="24"/>
        </w:rPr>
        <w:t>Stop Smoking Services</w:t>
      </w:r>
    </w:p>
    <w:p w:rsidR="0027418C" w:rsidRPr="0027418C" w:rsidRDefault="0027418C" w:rsidP="0027418C">
      <w:pPr>
        <w:rPr>
          <w:sz w:val="24"/>
          <w:szCs w:val="24"/>
        </w:rPr>
      </w:pPr>
      <w:r w:rsidRPr="0027418C">
        <w:rPr>
          <w:sz w:val="24"/>
          <w:szCs w:val="24"/>
        </w:rPr>
        <w:t xml:space="preserve">Smoking cessation is a public health priority.  </w:t>
      </w:r>
      <w:r w:rsidR="002D2BD1">
        <w:rPr>
          <w:sz w:val="24"/>
          <w:szCs w:val="24"/>
        </w:rPr>
        <w:t>In Lincolnshire, m</w:t>
      </w:r>
      <w:r w:rsidRPr="0027418C">
        <w:rPr>
          <w:sz w:val="24"/>
          <w:szCs w:val="24"/>
        </w:rPr>
        <w:t>odelling for future delivery has taken place including for the improved rigorous co-ordination and monitoring, enlarged community-based provision (linked with Lincolnshire's STP) and the retention of specialisms, e.g. pregnancy, acute settings and mental health.  This approach is conducive to the DoH national strategy "Towards a Smokefree Generation" whose ambitions are to:</w:t>
      </w:r>
    </w:p>
    <w:p w:rsidR="0027418C" w:rsidRPr="0027418C" w:rsidRDefault="0027418C" w:rsidP="0027418C">
      <w:pPr>
        <w:rPr>
          <w:sz w:val="24"/>
          <w:szCs w:val="24"/>
        </w:rPr>
      </w:pPr>
      <w:r w:rsidRPr="0027418C">
        <w:rPr>
          <w:sz w:val="24"/>
          <w:szCs w:val="24"/>
        </w:rPr>
        <w:t>• Reduce the prevalence of 15 yr olds who regularly smoke from 8% to 3% or less</w:t>
      </w:r>
    </w:p>
    <w:p w:rsidR="0027418C" w:rsidRPr="0027418C" w:rsidRDefault="0027418C" w:rsidP="0027418C">
      <w:pPr>
        <w:rPr>
          <w:sz w:val="24"/>
          <w:szCs w:val="24"/>
        </w:rPr>
      </w:pPr>
      <w:r w:rsidRPr="0027418C">
        <w:rPr>
          <w:sz w:val="24"/>
          <w:szCs w:val="24"/>
        </w:rPr>
        <w:t>• Reduce smoking prevalence amongst adults in England from 15.5% to 12% or less</w:t>
      </w:r>
    </w:p>
    <w:p w:rsidR="0027418C" w:rsidRPr="0027418C" w:rsidRDefault="0027418C" w:rsidP="0027418C">
      <w:pPr>
        <w:rPr>
          <w:sz w:val="24"/>
          <w:szCs w:val="24"/>
        </w:rPr>
      </w:pPr>
      <w:r w:rsidRPr="0027418C">
        <w:rPr>
          <w:sz w:val="24"/>
          <w:szCs w:val="24"/>
        </w:rPr>
        <w:t>• Reduce the inequality gap in smoking prevalence between those in routine and manual occupations and the general population</w:t>
      </w:r>
    </w:p>
    <w:p w:rsidR="0027418C" w:rsidRPr="0027418C" w:rsidRDefault="0027418C" w:rsidP="0027418C">
      <w:pPr>
        <w:rPr>
          <w:sz w:val="24"/>
          <w:szCs w:val="24"/>
        </w:rPr>
      </w:pPr>
      <w:r w:rsidRPr="0027418C">
        <w:rPr>
          <w:sz w:val="24"/>
          <w:szCs w:val="24"/>
        </w:rPr>
        <w:t>• Reduce the prevalence of smoking in pregnancy from 10.7% to 6% or less</w:t>
      </w:r>
    </w:p>
    <w:p w:rsidR="0027418C" w:rsidRPr="00201427" w:rsidRDefault="0027418C" w:rsidP="00D944B0">
      <w:pPr>
        <w:rPr>
          <w:sz w:val="24"/>
          <w:szCs w:val="24"/>
        </w:rPr>
      </w:pPr>
      <w:r w:rsidRPr="0027418C">
        <w:rPr>
          <w:sz w:val="24"/>
          <w:szCs w:val="24"/>
        </w:rPr>
        <w:t>• Improve data collected on smoking and mental health to help us to support people with mental health conditions to quit smoking.</w:t>
      </w:r>
    </w:p>
    <w:p w:rsidR="002D2BD1" w:rsidRDefault="002D2BD1" w:rsidP="00107D75">
      <w:pPr>
        <w:jc w:val="both"/>
        <w:rPr>
          <w:b/>
          <w:sz w:val="24"/>
          <w:szCs w:val="24"/>
        </w:rPr>
      </w:pPr>
    </w:p>
    <w:p w:rsidR="002D2BD1" w:rsidRDefault="002D2BD1" w:rsidP="00107D75">
      <w:pPr>
        <w:jc w:val="both"/>
        <w:rPr>
          <w:b/>
          <w:sz w:val="24"/>
          <w:szCs w:val="24"/>
        </w:rPr>
      </w:pPr>
    </w:p>
    <w:p w:rsidR="002D2BD1" w:rsidRDefault="002D2BD1" w:rsidP="00107D75">
      <w:pPr>
        <w:jc w:val="both"/>
        <w:rPr>
          <w:b/>
          <w:sz w:val="24"/>
          <w:szCs w:val="24"/>
        </w:rPr>
      </w:pPr>
    </w:p>
    <w:p w:rsidR="00EC5AFF" w:rsidRPr="00201427" w:rsidRDefault="00EC5AFF" w:rsidP="00107D75">
      <w:pPr>
        <w:jc w:val="both"/>
        <w:rPr>
          <w:b/>
          <w:sz w:val="24"/>
          <w:szCs w:val="24"/>
        </w:rPr>
      </w:pPr>
      <w:r w:rsidRPr="00201427">
        <w:rPr>
          <w:b/>
          <w:sz w:val="24"/>
          <w:szCs w:val="24"/>
        </w:rPr>
        <w:lastRenderedPageBreak/>
        <w:t xml:space="preserve">Service </w:t>
      </w:r>
      <w:r w:rsidR="00880897" w:rsidRPr="00201427">
        <w:rPr>
          <w:b/>
          <w:sz w:val="24"/>
          <w:szCs w:val="24"/>
        </w:rPr>
        <w:t>R</w:t>
      </w:r>
      <w:r w:rsidRPr="00201427">
        <w:rPr>
          <w:b/>
          <w:sz w:val="24"/>
          <w:szCs w:val="24"/>
        </w:rPr>
        <w:t>equirements</w:t>
      </w:r>
    </w:p>
    <w:p w:rsidR="002D2BD1" w:rsidRPr="002D2BD1" w:rsidRDefault="002D2BD1" w:rsidP="00107D75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>Smoking cessation services are measured for outcomes based on the level of 4-week</w:t>
      </w:r>
      <w:r w:rsidR="00141048">
        <w:rPr>
          <w:sz w:val="24"/>
          <w:szCs w:val="24"/>
        </w:rPr>
        <w:t xml:space="preserve"> and 12 week</w:t>
      </w:r>
      <w:r w:rsidRPr="002D2BD1">
        <w:rPr>
          <w:sz w:val="24"/>
          <w:szCs w:val="24"/>
        </w:rPr>
        <w:t xml:space="preserve"> smoking quits (Carbon Monoxide validated and non-validated) going through the service, as outlined in the Public Health England guidance.  </w:t>
      </w:r>
    </w:p>
    <w:p w:rsidR="002D2BD1" w:rsidRPr="002D2BD1" w:rsidRDefault="002D2BD1" w:rsidP="002D2BD1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 xml:space="preserve">The central functions </w:t>
      </w:r>
      <w:r>
        <w:rPr>
          <w:sz w:val="24"/>
          <w:szCs w:val="24"/>
        </w:rPr>
        <w:t xml:space="preserve">of the service required </w:t>
      </w:r>
      <w:r w:rsidRPr="002D2BD1">
        <w:rPr>
          <w:sz w:val="24"/>
          <w:szCs w:val="24"/>
        </w:rPr>
        <w:t>include:</w:t>
      </w:r>
    </w:p>
    <w:p w:rsidR="004C016F" w:rsidRDefault="002D2BD1" w:rsidP="005B173C">
      <w:pPr>
        <w:ind w:left="709" w:hanging="709"/>
        <w:jc w:val="both"/>
        <w:rPr>
          <w:sz w:val="24"/>
          <w:szCs w:val="24"/>
        </w:rPr>
      </w:pPr>
      <w:r w:rsidRPr="002D2BD1">
        <w:rPr>
          <w:sz w:val="24"/>
          <w:szCs w:val="24"/>
        </w:rPr>
        <w:t>•</w:t>
      </w:r>
      <w:r w:rsidRPr="002D2BD1">
        <w:rPr>
          <w:sz w:val="24"/>
          <w:szCs w:val="24"/>
        </w:rPr>
        <w:tab/>
      </w:r>
      <w:r w:rsidR="004C016F">
        <w:rPr>
          <w:sz w:val="24"/>
          <w:szCs w:val="24"/>
        </w:rPr>
        <w:t xml:space="preserve">Recording and maintenance of client data into LCC's data management system Quit Manager </w:t>
      </w:r>
    </w:p>
    <w:p w:rsidR="002D2BD1" w:rsidRPr="005B173C" w:rsidRDefault="002D2BD1" w:rsidP="005B173C">
      <w:pPr>
        <w:pStyle w:val="ListParagraph"/>
        <w:numPr>
          <w:ilvl w:val="0"/>
          <w:numId w:val="27"/>
        </w:numPr>
        <w:ind w:hanging="720"/>
        <w:jc w:val="both"/>
        <w:rPr>
          <w:sz w:val="24"/>
          <w:szCs w:val="24"/>
        </w:rPr>
      </w:pPr>
      <w:r w:rsidRPr="005B173C">
        <w:rPr>
          <w:sz w:val="24"/>
          <w:szCs w:val="24"/>
        </w:rPr>
        <w:t>Co-ordination, support and administration of core and network activities</w:t>
      </w:r>
    </w:p>
    <w:p w:rsidR="002D2BD1" w:rsidRPr="002D2BD1" w:rsidRDefault="002D2BD1" w:rsidP="002D2BD1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>•</w:t>
      </w:r>
      <w:r w:rsidRPr="002D2BD1">
        <w:rPr>
          <w:sz w:val="24"/>
          <w:szCs w:val="24"/>
        </w:rPr>
        <w:tab/>
        <w:t xml:space="preserve">Management and responsibility of core team of specialist smoking cessation advisers </w:t>
      </w:r>
    </w:p>
    <w:p w:rsidR="002D2BD1" w:rsidRPr="002D2BD1" w:rsidRDefault="002D2BD1" w:rsidP="002D2BD1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>•</w:t>
      </w:r>
      <w:r w:rsidRPr="002D2BD1">
        <w:rPr>
          <w:sz w:val="24"/>
          <w:szCs w:val="24"/>
        </w:rPr>
        <w:tab/>
        <w:t>Networked smoking cessation with affiliated/contracted providers</w:t>
      </w:r>
    </w:p>
    <w:p w:rsidR="002D2BD1" w:rsidRPr="002D2BD1" w:rsidRDefault="002D2BD1" w:rsidP="002D2BD1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>•</w:t>
      </w:r>
      <w:r w:rsidRPr="002D2BD1">
        <w:rPr>
          <w:sz w:val="24"/>
          <w:szCs w:val="24"/>
        </w:rPr>
        <w:tab/>
      </w:r>
      <w:r w:rsidR="00141048">
        <w:rPr>
          <w:sz w:val="24"/>
          <w:szCs w:val="24"/>
        </w:rPr>
        <w:t>24/7</w:t>
      </w:r>
      <w:r w:rsidR="00141048" w:rsidRPr="002D2BD1">
        <w:rPr>
          <w:sz w:val="24"/>
          <w:szCs w:val="24"/>
        </w:rPr>
        <w:t xml:space="preserve"> </w:t>
      </w:r>
      <w:r w:rsidRPr="002D2BD1">
        <w:rPr>
          <w:sz w:val="24"/>
          <w:szCs w:val="24"/>
        </w:rPr>
        <w:t>telephone support</w:t>
      </w:r>
    </w:p>
    <w:p w:rsidR="002D2BD1" w:rsidRPr="002D2BD1" w:rsidRDefault="002D2BD1" w:rsidP="002D2BD1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>•</w:t>
      </w:r>
      <w:r w:rsidRPr="002D2BD1">
        <w:rPr>
          <w:sz w:val="24"/>
          <w:szCs w:val="24"/>
        </w:rPr>
        <w:tab/>
        <w:t>Training – professional development, brief interventions and service awareness</w:t>
      </w:r>
    </w:p>
    <w:p w:rsidR="002D2BD1" w:rsidRDefault="002D2BD1" w:rsidP="002D2BD1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>•</w:t>
      </w:r>
      <w:r w:rsidRPr="002D2BD1">
        <w:rPr>
          <w:sz w:val="24"/>
          <w:szCs w:val="24"/>
        </w:rPr>
        <w:tab/>
        <w:t>Promotions an</w:t>
      </w:r>
      <w:r>
        <w:rPr>
          <w:sz w:val="24"/>
          <w:szCs w:val="24"/>
        </w:rPr>
        <w:t>d social marketing initiatives</w:t>
      </w:r>
      <w:r w:rsidR="00141048">
        <w:rPr>
          <w:sz w:val="24"/>
          <w:szCs w:val="24"/>
        </w:rPr>
        <w:t xml:space="preserve"> to generate referrals into service</w:t>
      </w:r>
      <w:r>
        <w:rPr>
          <w:sz w:val="24"/>
          <w:szCs w:val="24"/>
        </w:rPr>
        <w:t>.</w:t>
      </w:r>
    </w:p>
    <w:p w:rsidR="00141048" w:rsidRDefault="00141048" w:rsidP="005B173C">
      <w:pPr>
        <w:pStyle w:val="ListParagraph"/>
        <w:numPr>
          <w:ilvl w:val="0"/>
          <w:numId w:val="25"/>
        </w:numPr>
        <w:ind w:hanging="720"/>
        <w:jc w:val="both"/>
        <w:rPr>
          <w:sz w:val="24"/>
          <w:szCs w:val="24"/>
        </w:rPr>
      </w:pPr>
      <w:r w:rsidRPr="00141048">
        <w:rPr>
          <w:sz w:val="24"/>
          <w:szCs w:val="24"/>
        </w:rPr>
        <w:t>Direct Supply of NRT to service user</w:t>
      </w:r>
    </w:p>
    <w:p w:rsidR="005B173C" w:rsidRPr="005B173C" w:rsidRDefault="005B173C" w:rsidP="005B173C">
      <w:pPr>
        <w:pStyle w:val="ListParagraph"/>
        <w:jc w:val="both"/>
        <w:rPr>
          <w:sz w:val="24"/>
          <w:szCs w:val="24"/>
        </w:rPr>
      </w:pPr>
    </w:p>
    <w:p w:rsidR="00141048" w:rsidRPr="005B173C" w:rsidRDefault="00141048" w:rsidP="005B173C">
      <w:pPr>
        <w:pStyle w:val="ListParagraph"/>
        <w:numPr>
          <w:ilvl w:val="0"/>
          <w:numId w:val="25"/>
        </w:numPr>
        <w:ind w:hanging="720"/>
        <w:jc w:val="both"/>
        <w:rPr>
          <w:sz w:val="24"/>
          <w:szCs w:val="24"/>
        </w:rPr>
      </w:pPr>
      <w:r w:rsidRPr="00141048">
        <w:rPr>
          <w:sz w:val="24"/>
          <w:szCs w:val="24"/>
        </w:rPr>
        <w:t xml:space="preserve">PGD in place to support service users with </w:t>
      </w:r>
      <w:proofErr w:type="spellStart"/>
      <w:r w:rsidRPr="00141048">
        <w:rPr>
          <w:sz w:val="24"/>
          <w:szCs w:val="24"/>
        </w:rPr>
        <w:t>Champix</w:t>
      </w:r>
      <w:proofErr w:type="spellEnd"/>
      <w:r w:rsidRPr="00141048">
        <w:rPr>
          <w:sz w:val="24"/>
          <w:szCs w:val="24"/>
        </w:rPr>
        <w:t xml:space="preserve"> and </w:t>
      </w:r>
      <w:proofErr w:type="spellStart"/>
      <w:r w:rsidRPr="00141048">
        <w:rPr>
          <w:sz w:val="24"/>
          <w:szCs w:val="24"/>
        </w:rPr>
        <w:t>Zyban</w:t>
      </w:r>
      <w:proofErr w:type="spellEnd"/>
    </w:p>
    <w:p w:rsidR="002D2BD1" w:rsidRPr="002D2BD1" w:rsidRDefault="002D2BD1" w:rsidP="002D2BD1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>Tobacco control related activity that supports the smoking quit targets is primarily the Smoke Free Homes &amp; Cars programme; this encompasses working with partners:</w:t>
      </w:r>
    </w:p>
    <w:p w:rsidR="002D2BD1" w:rsidRPr="002D2BD1" w:rsidRDefault="002D2BD1" w:rsidP="002D2BD1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>•</w:t>
      </w:r>
      <w:r w:rsidRPr="002D2BD1">
        <w:rPr>
          <w:sz w:val="24"/>
          <w:szCs w:val="24"/>
        </w:rPr>
        <w:tab/>
        <w:t>To refer clients to smoking cessation services, fire service, etc.</w:t>
      </w:r>
    </w:p>
    <w:p w:rsidR="002D2BD1" w:rsidRDefault="002D2BD1" w:rsidP="002D2BD1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>•</w:t>
      </w:r>
      <w:r w:rsidRPr="002D2BD1">
        <w:rPr>
          <w:sz w:val="24"/>
          <w:szCs w:val="24"/>
        </w:rPr>
        <w:tab/>
        <w:t xml:space="preserve"> To engage the public to make their home</w:t>
      </w:r>
      <w:r>
        <w:rPr>
          <w:sz w:val="24"/>
          <w:szCs w:val="24"/>
        </w:rPr>
        <w:t>s and their vehicles smoke-free</w:t>
      </w:r>
    </w:p>
    <w:p w:rsidR="00141048" w:rsidRPr="005B173C" w:rsidRDefault="00141048" w:rsidP="005B173C">
      <w:pPr>
        <w:pStyle w:val="ListParagraph"/>
        <w:numPr>
          <w:ilvl w:val="0"/>
          <w:numId w:val="26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report to partners intelligence on counterfeit and illicit tobacco and </w:t>
      </w:r>
      <w:proofErr w:type="spellStart"/>
      <w:r>
        <w:rPr>
          <w:sz w:val="24"/>
          <w:szCs w:val="24"/>
        </w:rPr>
        <w:t>non compliance</w:t>
      </w:r>
      <w:proofErr w:type="spellEnd"/>
      <w:r>
        <w:rPr>
          <w:sz w:val="24"/>
          <w:szCs w:val="24"/>
        </w:rPr>
        <w:t xml:space="preserve"> with legislation</w:t>
      </w:r>
    </w:p>
    <w:p w:rsidR="00BE2D0F" w:rsidRPr="00201427" w:rsidRDefault="0064775A" w:rsidP="00107D75">
      <w:pPr>
        <w:jc w:val="both"/>
        <w:rPr>
          <w:b/>
          <w:sz w:val="24"/>
          <w:szCs w:val="24"/>
        </w:rPr>
      </w:pPr>
      <w:r w:rsidRPr="00201427">
        <w:rPr>
          <w:b/>
          <w:sz w:val="24"/>
          <w:szCs w:val="24"/>
        </w:rPr>
        <w:t>Indicative Demand</w:t>
      </w:r>
      <w:r w:rsidR="00A73A9E" w:rsidRPr="00201427">
        <w:rPr>
          <w:b/>
          <w:sz w:val="24"/>
          <w:szCs w:val="24"/>
        </w:rPr>
        <w:t xml:space="preserve"> and Service Development</w:t>
      </w:r>
    </w:p>
    <w:p w:rsidR="002D2BD1" w:rsidRPr="002D2BD1" w:rsidRDefault="002D2BD1" w:rsidP="002D2BD1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>The stop smoking service in Lincolnshire has experienced a number of changes over the past decade which has impacted on performance and outcomes.  The model of one prime provider with sub-contractors has been repeated three times with variations on management, delivery and budget.</w:t>
      </w:r>
    </w:p>
    <w:p w:rsidR="002D2BD1" w:rsidRPr="002D2BD1" w:rsidRDefault="002D2BD1" w:rsidP="002D2BD1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 xml:space="preserve">The common factor with all three methods is the sub-contracting, which when operating effectively can offer: </w:t>
      </w:r>
    </w:p>
    <w:p w:rsidR="002D2BD1" w:rsidRPr="002D2BD1" w:rsidRDefault="002D2BD1" w:rsidP="002D2BD1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>•</w:t>
      </w:r>
      <w:r w:rsidRPr="002D2BD1">
        <w:rPr>
          <w:sz w:val="24"/>
          <w:szCs w:val="24"/>
        </w:rPr>
        <w:tab/>
        <w:t>a greater source of referrals</w:t>
      </w:r>
    </w:p>
    <w:p w:rsidR="002D2BD1" w:rsidRPr="002D2BD1" w:rsidRDefault="002D2BD1" w:rsidP="002D2BD1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lastRenderedPageBreak/>
        <w:t>•</w:t>
      </w:r>
      <w:r w:rsidRPr="002D2BD1">
        <w:rPr>
          <w:sz w:val="24"/>
          <w:szCs w:val="24"/>
        </w:rPr>
        <w:tab/>
        <w:t>a greater workforce to deliver the service</w:t>
      </w:r>
    </w:p>
    <w:p w:rsidR="002D2BD1" w:rsidRDefault="002D2BD1" w:rsidP="002D2BD1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>•</w:t>
      </w:r>
      <w:r w:rsidRPr="002D2BD1">
        <w:rPr>
          <w:sz w:val="24"/>
          <w:szCs w:val="24"/>
        </w:rPr>
        <w:tab/>
        <w:t>more access points for clients</w:t>
      </w:r>
    </w:p>
    <w:p w:rsidR="00116AA3" w:rsidRDefault="004C016F" w:rsidP="00FE1607">
      <w:pPr>
        <w:jc w:val="both"/>
        <w:rPr>
          <w:sz w:val="24"/>
          <w:szCs w:val="24"/>
        </w:rPr>
      </w:pPr>
      <w:r w:rsidRPr="002D2BD1">
        <w:rPr>
          <w:sz w:val="24"/>
          <w:szCs w:val="24"/>
        </w:rPr>
        <w:t>The Lincolnshire's Tobacco Control Strategy 2013 - 2018 had an ambition to secure up to 7,000 4-week smoking quits annually in order to contribute to the reduction in smoking prevalence within the county</w:t>
      </w:r>
      <w:r>
        <w:rPr>
          <w:sz w:val="24"/>
          <w:szCs w:val="24"/>
        </w:rPr>
        <w:t>, the reduction in budget has significantly impacted on service delivery and we have had to move to a more focused approach to delivery and improving quality, targeting smokers that will benefit the most from stopping</w:t>
      </w:r>
      <w:r w:rsidR="005B173C">
        <w:rPr>
          <w:sz w:val="24"/>
          <w:szCs w:val="24"/>
        </w:rPr>
        <w:t>.</w:t>
      </w:r>
    </w:p>
    <w:p w:rsidR="00BA4B30" w:rsidRPr="009C7201" w:rsidRDefault="00BA4B30" w:rsidP="00BA4B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9C7201">
        <w:rPr>
          <w:rFonts w:asciiTheme="minorHAnsi" w:eastAsia="Times New Roman" w:hAnsiTheme="minorHAnsi"/>
          <w:sz w:val="24"/>
          <w:szCs w:val="24"/>
        </w:rPr>
        <w:t xml:space="preserve">The 2018/19 </w:t>
      </w:r>
      <w:r w:rsidRPr="009C7201">
        <w:rPr>
          <w:rFonts w:asciiTheme="minorHAnsi" w:eastAsia="Times New Roman" w:hAnsiTheme="minorHAnsi"/>
          <w:sz w:val="24"/>
          <w:szCs w:val="24"/>
        </w:rPr>
        <w:t xml:space="preserve">anticipated </w:t>
      </w:r>
      <w:r w:rsidRPr="009C7201">
        <w:rPr>
          <w:rFonts w:asciiTheme="minorHAnsi" w:eastAsia="Times New Roman" w:hAnsiTheme="minorHAnsi"/>
          <w:sz w:val="24"/>
          <w:szCs w:val="24"/>
        </w:rPr>
        <w:t>outcomes for smokers in groups such as pregnant, acute and mental health are shown below:</w:t>
      </w:r>
    </w:p>
    <w:p w:rsidR="00BA4B30" w:rsidRPr="009C7201" w:rsidRDefault="00BA4B30" w:rsidP="00BA4B30">
      <w:pPr>
        <w:overflowPunct w:val="0"/>
        <w:autoSpaceDE w:val="0"/>
        <w:autoSpaceDN w:val="0"/>
        <w:adjustRightInd w:val="0"/>
        <w:spacing w:after="0" w:line="240" w:lineRule="auto"/>
        <w:ind w:left="357" w:firstLine="49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230"/>
        <w:gridCol w:w="2217"/>
        <w:gridCol w:w="2217"/>
        <w:gridCol w:w="2217"/>
      </w:tblGrid>
      <w:tr w:rsidR="00BA4B30" w:rsidRPr="009C7201" w:rsidTr="001B5145">
        <w:tc>
          <w:tcPr>
            <w:tcW w:w="2230" w:type="dxa"/>
          </w:tcPr>
          <w:p w:rsidR="00BA4B30" w:rsidRPr="009C7201" w:rsidRDefault="00BA4B30" w:rsidP="001B5145">
            <w:pPr>
              <w:ind w:left="21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Capacity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235" w:firstLine="2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4 week Quit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235" w:firstLine="2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12 week Quit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235" w:firstLine="2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36 week Gestation</w:t>
            </w:r>
          </w:p>
        </w:tc>
      </w:tr>
      <w:tr w:rsidR="00BA4B30" w:rsidRPr="009C7201" w:rsidTr="001B5145">
        <w:tc>
          <w:tcPr>
            <w:tcW w:w="2230" w:type="dxa"/>
          </w:tcPr>
          <w:p w:rsidR="00BA4B30" w:rsidRPr="009C7201" w:rsidRDefault="00BA4B30" w:rsidP="001B5145">
            <w:pPr>
              <w:ind w:left="357" w:hanging="14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Pregnancy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357" w:firstLine="49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450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357" w:firstLine="49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383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357" w:firstLine="49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360</w:t>
            </w:r>
          </w:p>
        </w:tc>
      </w:tr>
      <w:tr w:rsidR="00BA4B30" w:rsidRPr="009C7201" w:rsidTr="001B5145">
        <w:tc>
          <w:tcPr>
            <w:tcW w:w="2230" w:type="dxa"/>
          </w:tcPr>
          <w:p w:rsidR="00BA4B30" w:rsidRPr="009C7201" w:rsidRDefault="00BA4B30" w:rsidP="001B5145">
            <w:pPr>
              <w:ind w:left="357" w:hanging="14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Acute/LTC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357" w:firstLine="49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1,800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357" w:firstLine="49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936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357" w:firstLine="49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-</w:t>
            </w:r>
          </w:p>
        </w:tc>
      </w:tr>
      <w:tr w:rsidR="00BA4B30" w:rsidRPr="009C7201" w:rsidTr="001B5145">
        <w:tc>
          <w:tcPr>
            <w:tcW w:w="2230" w:type="dxa"/>
          </w:tcPr>
          <w:p w:rsidR="00BA4B30" w:rsidRPr="009C7201" w:rsidRDefault="00BA4B30" w:rsidP="001B5145">
            <w:pPr>
              <w:ind w:left="357" w:hanging="14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Mental Health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357" w:firstLine="49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315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357" w:firstLine="49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158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357" w:firstLine="49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-</w:t>
            </w:r>
          </w:p>
        </w:tc>
      </w:tr>
      <w:tr w:rsidR="00BA4B30" w:rsidRPr="009C7201" w:rsidTr="001B5145">
        <w:tc>
          <w:tcPr>
            <w:tcW w:w="2230" w:type="dxa"/>
          </w:tcPr>
          <w:p w:rsidR="00BA4B30" w:rsidRPr="009C7201" w:rsidRDefault="00BA4B30" w:rsidP="001B5145">
            <w:pPr>
              <w:ind w:left="357" w:hanging="14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General / R&amp;M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357" w:firstLine="49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1,196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357" w:firstLine="49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598</w:t>
            </w:r>
          </w:p>
        </w:tc>
        <w:tc>
          <w:tcPr>
            <w:tcW w:w="2217" w:type="dxa"/>
          </w:tcPr>
          <w:p w:rsidR="00BA4B30" w:rsidRPr="009C7201" w:rsidRDefault="00BA4B30" w:rsidP="001B5145">
            <w:pPr>
              <w:ind w:left="357" w:firstLine="49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C7201">
              <w:rPr>
                <w:rFonts w:asciiTheme="minorHAnsi" w:eastAsia="Times New Roman" w:hAnsiTheme="minorHAnsi"/>
                <w:sz w:val="24"/>
                <w:szCs w:val="24"/>
              </w:rPr>
              <w:t>-</w:t>
            </w:r>
          </w:p>
        </w:tc>
      </w:tr>
    </w:tbl>
    <w:p w:rsidR="009C7201" w:rsidRDefault="009C7201" w:rsidP="00FE1607">
      <w:pPr>
        <w:jc w:val="both"/>
        <w:rPr>
          <w:rFonts w:asciiTheme="minorHAnsi" w:hAnsiTheme="minorHAnsi"/>
          <w:sz w:val="24"/>
          <w:szCs w:val="24"/>
        </w:rPr>
      </w:pPr>
    </w:p>
    <w:p w:rsidR="00116AA3" w:rsidRDefault="0019245F" w:rsidP="00FE1607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16AA3" w:rsidRPr="00116AA3">
        <w:rPr>
          <w:sz w:val="24"/>
          <w:szCs w:val="24"/>
        </w:rPr>
        <w:t xml:space="preserve">ove to the direct provision of pharmacotherapy </w:t>
      </w:r>
      <w:r w:rsidR="00116AA3">
        <w:rPr>
          <w:sz w:val="24"/>
          <w:szCs w:val="24"/>
        </w:rPr>
        <w:t>is expected which</w:t>
      </w:r>
      <w:r w:rsidR="00116AA3" w:rsidRPr="00116AA3">
        <w:rPr>
          <w:sz w:val="24"/>
          <w:szCs w:val="24"/>
        </w:rPr>
        <w:t xml:space="preserve"> would impact upon the service and local providers.  The direct supply of NRT </w:t>
      </w:r>
      <w:r>
        <w:rPr>
          <w:sz w:val="24"/>
          <w:szCs w:val="24"/>
        </w:rPr>
        <w:t>has been</w:t>
      </w:r>
      <w:r w:rsidR="00116AA3" w:rsidRPr="00116AA3">
        <w:rPr>
          <w:sz w:val="24"/>
          <w:szCs w:val="24"/>
        </w:rPr>
        <w:t xml:space="preserve"> rolled out through many local settings, including local GPs who provide stop smoking services.</w:t>
      </w:r>
      <w:r w:rsidR="004C016F">
        <w:rPr>
          <w:sz w:val="24"/>
          <w:szCs w:val="24"/>
        </w:rPr>
        <w:t xml:space="preserve">  A PGD for </w:t>
      </w:r>
      <w:proofErr w:type="spellStart"/>
      <w:r w:rsidR="004C016F">
        <w:rPr>
          <w:sz w:val="24"/>
          <w:szCs w:val="24"/>
        </w:rPr>
        <w:t>Champix</w:t>
      </w:r>
      <w:proofErr w:type="spellEnd"/>
      <w:r w:rsidR="004C016F">
        <w:rPr>
          <w:sz w:val="24"/>
          <w:szCs w:val="24"/>
        </w:rPr>
        <w:t xml:space="preserve"> and </w:t>
      </w:r>
      <w:proofErr w:type="spellStart"/>
      <w:r w:rsidR="004C016F">
        <w:rPr>
          <w:sz w:val="24"/>
          <w:szCs w:val="24"/>
        </w:rPr>
        <w:t>Zyban</w:t>
      </w:r>
      <w:proofErr w:type="spellEnd"/>
      <w:r w:rsidR="004C016F">
        <w:rPr>
          <w:sz w:val="24"/>
          <w:szCs w:val="24"/>
        </w:rPr>
        <w:t xml:space="preserve"> will be required under this new contract.</w:t>
      </w:r>
    </w:p>
    <w:p w:rsidR="00EC5AFF" w:rsidRPr="00201427" w:rsidRDefault="00A71B2A" w:rsidP="00107D75">
      <w:pPr>
        <w:jc w:val="both"/>
        <w:rPr>
          <w:b/>
          <w:sz w:val="24"/>
          <w:szCs w:val="24"/>
        </w:rPr>
      </w:pPr>
      <w:r w:rsidRPr="00201427">
        <w:rPr>
          <w:b/>
          <w:sz w:val="24"/>
          <w:szCs w:val="24"/>
        </w:rPr>
        <w:t>Indicative Project Timescales</w:t>
      </w:r>
    </w:p>
    <w:p w:rsidR="00A71B2A" w:rsidRPr="00201427" w:rsidRDefault="00A71B2A" w:rsidP="00201427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201427">
        <w:rPr>
          <w:sz w:val="24"/>
          <w:szCs w:val="24"/>
        </w:rPr>
        <w:t xml:space="preserve">Finalise specification and procurement documentation by </w:t>
      </w:r>
      <w:r w:rsidR="00720CC3" w:rsidRPr="00201427">
        <w:rPr>
          <w:sz w:val="24"/>
          <w:szCs w:val="24"/>
        </w:rPr>
        <w:t>Mid December</w:t>
      </w:r>
      <w:r w:rsidRPr="00201427">
        <w:rPr>
          <w:sz w:val="24"/>
          <w:szCs w:val="24"/>
        </w:rPr>
        <w:t xml:space="preserve"> 201</w:t>
      </w:r>
      <w:r w:rsidR="00720CC3" w:rsidRPr="00201427">
        <w:rPr>
          <w:sz w:val="24"/>
          <w:szCs w:val="24"/>
        </w:rPr>
        <w:t>7</w:t>
      </w:r>
      <w:r w:rsidRPr="00201427">
        <w:rPr>
          <w:sz w:val="24"/>
          <w:szCs w:val="24"/>
        </w:rPr>
        <w:t xml:space="preserve"> </w:t>
      </w:r>
    </w:p>
    <w:p w:rsidR="00A71B2A" w:rsidRPr="00201427" w:rsidRDefault="00A71B2A" w:rsidP="00201427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201427">
        <w:rPr>
          <w:sz w:val="24"/>
          <w:szCs w:val="24"/>
        </w:rPr>
        <w:t>Tender process – J</w:t>
      </w:r>
      <w:r w:rsidR="00720CC3" w:rsidRPr="00201427">
        <w:rPr>
          <w:sz w:val="24"/>
          <w:szCs w:val="24"/>
        </w:rPr>
        <w:t>anuary</w:t>
      </w:r>
      <w:r w:rsidRPr="00201427">
        <w:rPr>
          <w:sz w:val="24"/>
          <w:szCs w:val="24"/>
        </w:rPr>
        <w:t xml:space="preserve"> to </w:t>
      </w:r>
      <w:r w:rsidR="00720CC3" w:rsidRPr="00201427">
        <w:rPr>
          <w:sz w:val="24"/>
          <w:szCs w:val="24"/>
        </w:rPr>
        <w:t>March</w:t>
      </w:r>
      <w:r w:rsidRPr="00201427">
        <w:rPr>
          <w:sz w:val="24"/>
          <w:szCs w:val="24"/>
        </w:rPr>
        <w:t xml:space="preserve"> 201</w:t>
      </w:r>
      <w:r w:rsidR="00720CC3" w:rsidRPr="00201427">
        <w:rPr>
          <w:sz w:val="24"/>
          <w:szCs w:val="24"/>
        </w:rPr>
        <w:t>8</w:t>
      </w:r>
    </w:p>
    <w:p w:rsidR="00A71B2A" w:rsidRPr="00201427" w:rsidRDefault="00A71B2A" w:rsidP="00201427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201427">
        <w:rPr>
          <w:sz w:val="24"/>
          <w:szCs w:val="24"/>
        </w:rPr>
        <w:t xml:space="preserve">Supplier mobilisation – </w:t>
      </w:r>
      <w:r w:rsidR="00720CC3" w:rsidRPr="00201427">
        <w:rPr>
          <w:sz w:val="24"/>
          <w:szCs w:val="24"/>
        </w:rPr>
        <w:t>April</w:t>
      </w:r>
      <w:r w:rsidRPr="00201427">
        <w:rPr>
          <w:sz w:val="24"/>
          <w:szCs w:val="24"/>
        </w:rPr>
        <w:t xml:space="preserve"> and </w:t>
      </w:r>
      <w:r w:rsidR="00720CC3" w:rsidRPr="00201427">
        <w:rPr>
          <w:sz w:val="24"/>
          <w:szCs w:val="24"/>
        </w:rPr>
        <w:t>June</w:t>
      </w:r>
      <w:r w:rsidRPr="00201427">
        <w:rPr>
          <w:sz w:val="24"/>
          <w:szCs w:val="24"/>
        </w:rPr>
        <w:t xml:space="preserve"> 201</w:t>
      </w:r>
      <w:r w:rsidR="00720CC3" w:rsidRPr="00201427">
        <w:rPr>
          <w:sz w:val="24"/>
          <w:szCs w:val="24"/>
        </w:rPr>
        <w:t>8</w:t>
      </w:r>
      <w:r w:rsidRPr="00201427">
        <w:rPr>
          <w:sz w:val="24"/>
          <w:szCs w:val="24"/>
        </w:rPr>
        <w:t xml:space="preserve">  </w:t>
      </w:r>
    </w:p>
    <w:p w:rsidR="00EC5AFF" w:rsidRPr="00201427" w:rsidRDefault="00D944B0" w:rsidP="00201427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Contract commencement – 2</w:t>
      </w:r>
      <w:r w:rsidRPr="00D944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71B2A" w:rsidRPr="00201427">
        <w:rPr>
          <w:sz w:val="24"/>
          <w:szCs w:val="24"/>
        </w:rPr>
        <w:t xml:space="preserve"> </w:t>
      </w:r>
      <w:r w:rsidR="00720CC3" w:rsidRPr="00201427">
        <w:rPr>
          <w:sz w:val="24"/>
          <w:szCs w:val="24"/>
        </w:rPr>
        <w:t>July</w:t>
      </w:r>
      <w:r w:rsidR="00A71B2A" w:rsidRPr="00201427">
        <w:rPr>
          <w:sz w:val="24"/>
          <w:szCs w:val="24"/>
        </w:rPr>
        <w:t xml:space="preserve"> 201</w:t>
      </w:r>
      <w:r w:rsidR="00720CC3" w:rsidRPr="00201427">
        <w:rPr>
          <w:sz w:val="24"/>
          <w:szCs w:val="24"/>
        </w:rPr>
        <w:t>8</w:t>
      </w:r>
    </w:p>
    <w:p w:rsidR="006B3118" w:rsidRPr="00201427" w:rsidRDefault="006B3118">
      <w:pPr>
        <w:rPr>
          <w:b/>
          <w:sz w:val="24"/>
          <w:szCs w:val="24"/>
        </w:rPr>
      </w:pPr>
    </w:p>
    <w:p w:rsidR="002D2BD1" w:rsidRDefault="002D2BD1" w:rsidP="00BE2D0F">
      <w:pPr>
        <w:rPr>
          <w:b/>
          <w:sz w:val="24"/>
          <w:szCs w:val="24"/>
        </w:rPr>
      </w:pPr>
    </w:p>
    <w:p w:rsidR="002D2BD1" w:rsidRDefault="002D2BD1" w:rsidP="00BE2D0F">
      <w:pPr>
        <w:rPr>
          <w:b/>
          <w:sz w:val="24"/>
          <w:szCs w:val="24"/>
        </w:rPr>
      </w:pPr>
    </w:p>
    <w:p w:rsidR="002D2BD1" w:rsidRDefault="002D2BD1" w:rsidP="00BE2D0F">
      <w:pPr>
        <w:rPr>
          <w:b/>
          <w:sz w:val="24"/>
          <w:szCs w:val="24"/>
        </w:rPr>
      </w:pPr>
    </w:p>
    <w:p w:rsidR="002D2BD1" w:rsidRDefault="002D2BD1" w:rsidP="00BE2D0F">
      <w:pPr>
        <w:rPr>
          <w:b/>
          <w:sz w:val="24"/>
          <w:szCs w:val="24"/>
        </w:rPr>
      </w:pPr>
    </w:p>
    <w:p w:rsidR="002D2BD1" w:rsidRDefault="002D2BD1" w:rsidP="00BE2D0F">
      <w:pPr>
        <w:rPr>
          <w:b/>
          <w:sz w:val="24"/>
          <w:szCs w:val="24"/>
        </w:rPr>
      </w:pPr>
    </w:p>
    <w:p w:rsidR="002D2BD1" w:rsidRDefault="002D2BD1" w:rsidP="00BE2D0F">
      <w:pPr>
        <w:rPr>
          <w:b/>
          <w:sz w:val="24"/>
          <w:szCs w:val="24"/>
        </w:rPr>
      </w:pPr>
    </w:p>
    <w:p w:rsidR="005B173C" w:rsidRDefault="005B173C" w:rsidP="00BE2D0F">
      <w:pPr>
        <w:rPr>
          <w:b/>
          <w:sz w:val="24"/>
          <w:szCs w:val="24"/>
        </w:rPr>
      </w:pPr>
    </w:p>
    <w:p w:rsidR="00BC563E" w:rsidRDefault="00BC563E" w:rsidP="00BE2D0F">
      <w:pPr>
        <w:rPr>
          <w:b/>
          <w:sz w:val="24"/>
          <w:szCs w:val="24"/>
        </w:rPr>
      </w:pPr>
    </w:p>
    <w:p w:rsidR="00BE2D0F" w:rsidRPr="00201427" w:rsidRDefault="00BE2D0F" w:rsidP="00BE2D0F">
      <w:pPr>
        <w:rPr>
          <w:b/>
          <w:sz w:val="24"/>
          <w:szCs w:val="24"/>
        </w:rPr>
      </w:pPr>
      <w:r w:rsidRPr="00201427">
        <w:rPr>
          <w:b/>
          <w:sz w:val="24"/>
          <w:szCs w:val="24"/>
        </w:rPr>
        <w:t>PART 2</w:t>
      </w:r>
    </w:p>
    <w:p w:rsidR="00BE2D0F" w:rsidRPr="00201427" w:rsidRDefault="00BE2D0F" w:rsidP="00BE2D0F">
      <w:pPr>
        <w:rPr>
          <w:b/>
          <w:sz w:val="24"/>
          <w:szCs w:val="24"/>
        </w:rPr>
      </w:pPr>
      <w:r w:rsidRPr="00201427">
        <w:rPr>
          <w:b/>
          <w:sz w:val="24"/>
          <w:szCs w:val="24"/>
        </w:rPr>
        <w:t>Questionnaire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754814" w:rsidRPr="00201427" w:rsidTr="0051181C">
        <w:tc>
          <w:tcPr>
            <w:tcW w:w="1101" w:type="dxa"/>
            <w:shd w:val="clear" w:color="auto" w:fill="D9D9D9"/>
          </w:tcPr>
          <w:p w:rsidR="00BE2D0F" w:rsidRPr="00201427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Q1</w:t>
            </w:r>
          </w:p>
        </w:tc>
        <w:tc>
          <w:tcPr>
            <w:tcW w:w="8141" w:type="dxa"/>
            <w:shd w:val="clear" w:color="auto" w:fill="D9D9D9"/>
          </w:tcPr>
          <w:p w:rsidR="00BE2D0F" w:rsidRPr="00201427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CONTRACT DURATION</w:t>
            </w:r>
          </w:p>
          <w:p w:rsidR="00BE2D0F" w:rsidRPr="00201427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 xml:space="preserve">The authority </w:t>
            </w:r>
            <w:r w:rsidR="00B95BEF" w:rsidRPr="00201427">
              <w:rPr>
                <w:sz w:val="24"/>
                <w:szCs w:val="24"/>
              </w:rPr>
              <w:t>would like to unders</w:t>
            </w:r>
            <w:r w:rsidR="00A35B7B" w:rsidRPr="00201427">
              <w:rPr>
                <w:sz w:val="24"/>
                <w:szCs w:val="24"/>
              </w:rPr>
              <w:t>tand the views of prospective p</w:t>
            </w:r>
            <w:r w:rsidR="00B95BEF" w:rsidRPr="00201427">
              <w:rPr>
                <w:sz w:val="24"/>
                <w:szCs w:val="24"/>
              </w:rPr>
              <w:t xml:space="preserve">roviders </w:t>
            </w:r>
            <w:r w:rsidRPr="00201427">
              <w:rPr>
                <w:sz w:val="24"/>
                <w:szCs w:val="24"/>
              </w:rPr>
              <w:t>is considering letting the c</w:t>
            </w:r>
            <w:r w:rsidR="00171182">
              <w:rPr>
                <w:sz w:val="24"/>
                <w:szCs w:val="24"/>
              </w:rPr>
              <w:t>ontract for an initial term of 5</w:t>
            </w:r>
            <w:r w:rsidRPr="00201427">
              <w:rPr>
                <w:sz w:val="24"/>
                <w:szCs w:val="24"/>
              </w:rPr>
              <w:t xml:space="preserve"> years with an option at the authority’s discretion to extend by</w:t>
            </w:r>
            <w:r w:rsidR="00720CC3" w:rsidRPr="00201427">
              <w:rPr>
                <w:sz w:val="24"/>
                <w:szCs w:val="24"/>
              </w:rPr>
              <w:t xml:space="preserve"> up to a maximum of a further</w:t>
            </w:r>
            <w:r w:rsidR="00171182">
              <w:rPr>
                <w:sz w:val="24"/>
                <w:szCs w:val="24"/>
              </w:rPr>
              <w:t xml:space="preserve"> 2 years (5</w:t>
            </w:r>
            <w:r w:rsidRPr="00201427">
              <w:rPr>
                <w:sz w:val="24"/>
                <w:szCs w:val="24"/>
              </w:rPr>
              <w:t>+</w:t>
            </w:r>
            <w:r w:rsidR="00171182">
              <w:rPr>
                <w:sz w:val="24"/>
                <w:szCs w:val="24"/>
              </w:rPr>
              <w:t>1+1</w:t>
            </w:r>
            <w:r w:rsidRPr="00201427">
              <w:rPr>
                <w:sz w:val="24"/>
                <w:szCs w:val="24"/>
              </w:rPr>
              <w:t xml:space="preserve">). </w:t>
            </w:r>
          </w:p>
          <w:p w:rsidR="00BE2D0F" w:rsidRPr="00201427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>(a)</w:t>
            </w:r>
            <w:r w:rsidR="00E8791C" w:rsidRPr="00201427">
              <w:rPr>
                <w:sz w:val="24"/>
                <w:szCs w:val="24"/>
              </w:rPr>
              <w:t xml:space="preserve"> </w:t>
            </w:r>
            <w:r w:rsidRPr="00201427">
              <w:rPr>
                <w:sz w:val="24"/>
                <w:szCs w:val="24"/>
              </w:rPr>
              <w:t xml:space="preserve">Is this a reasonable term to let a contract on with a view to </w:t>
            </w:r>
            <w:r w:rsidR="001307FD" w:rsidRPr="00201427">
              <w:rPr>
                <w:sz w:val="24"/>
                <w:szCs w:val="24"/>
              </w:rPr>
              <w:t xml:space="preserve">achieving a </w:t>
            </w:r>
            <w:r w:rsidRPr="00201427">
              <w:rPr>
                <w:sz w:val="24"/>
                <w:szCs w:val="24"/>
              </w:rPr>
              <w:t xml:space="preserve">value for money </w:t>
            </w:r>
            <w:r w:rsidR="001307FD" w:rsidRPr="00201427">
              <w:rPr>
                <w:sz w:val="24"/>
                <w:szCs w:val="24"/>
              </w:rPr>
              <w:t xml:space="preserve">contract </w:t>
            </w:r>
            <w:r w:rsidRPr="00201427">
              <w:rPr>
                <w:sz w:val="24"/>
                <w:szCs w:val="24"/>
              </w:rPr>
              <w:t xml:space="preserve">and if not, why not? </w:t>
            </w:r>
          </w:p>
          <w:p w:rsidR="00BE2D0F" w:rsidRPr="00201427" w:rsidRDefault="00BE2D0F" w:rsidP="00720CC3">
            <w:pPr>
              <w:spacing w:after="0" w:line="240" w:lineRule="auto"/>
              <w:rPr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>(b)</w:t>
            </w:r>
            <w:r w:rsidR="00E8791C" w:rsidRPr="00201427">
              <w:rPr>
                <w:sz w:val="24"/>
                <w:szCs w:val="24"/>
              </w:rPr>
              <w:t xml:space="preserve"> </w:t>
            </w:r>
            <w:r w:rsidRPr="00201427">
              <w:rPr>
                <w:sz w:val="24"/>
                <w:szCs w:val="24"/>
              </w:rPr>
              <w:t>What other term, if any, would offer best value to the authority and why?</w:t>
            </w:r>
          </w:p>
        </w:tc>
      </w:tr>
      <w:tr w:rsidR="00754814" w:rsidRPr="00201427" w:rsidTr="0051181C">
        <w:tc>
          <w:tcPr>
            <w:tcW w:w="1101" w:type="dxa"/>
            <w:shd w:val="clear" w:color="auto" w:fill="D9D9D9"/>
          </w:tcPr>
          <w:p w:rsidR="00BE2D0F" w:rsidRPr="00201427" w:rsidRDefault="00720CC3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A1(a</w:t>
            </w:r>
            <w:r w:rsidR="00BE2D0F" w:rsidRPr="0020142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141" w:type="dxa"/>
            <w:shd w:val="clear" w:color="auto" w:fill="auto"/>
          </w:tcPr>
          <w:p w:rsidR="00BE2D0F" w:rsidRPr="00201427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4814" w:rsidRPr="00201427" w:rsidTr="0051181C">
        <w:tc>
          <w:tcPr>
            <w:tcW w:w="1101" w:type="dxa"/>
            <w:shd w:val="clear" w:color="auto" w:fill="D9D9D9"/>
          </w:tcPr>
          <w:p w:rsidR="00BE2D0F" w:rsidRPr="00201427" w:rsidRDefault="00720CC3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A1(b</w:t>
            </w:r>
            <w:r w:rsidR="00BE2D0F" w:rsidRPr="0020142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141" w:type="dxa"/>
            <w:shd w:val="clear" w:color="auto" w:fill="auto"/>
          </w:tcPr>
          <w:p w:rsidR="00BE2D0F" w:rsidRPr="00201427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4814" w:rsidRPr="00201427" w:rsidTr="0051181C">
        <w:tc>
          <w:tcPr>
            <w:tcW w:w="1101" w:type="dxa"/>
            <w:shd w:val="clear" w:color="auto" w:fill="D9D9D9"/>
          </w:tcPr>
          <w:p w:rsidR="00BE2D0F" w:rsidRPr="00201427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Q2</w:t>
            </w:r>
          </w:p>
        </w:tc>
        <w:tc>
          <w:tcPr>
            <w:tcW w:w="8141" w:type="dxa"/>
            <w:shd w:val="clear" w:color="auto" w:fill="D9D9D9"/>
          </w:tcPr>
          <w:p w:rsidR="00A46861" w:rsidRPr="00201427" w:rsidRDefault="00A46861" w:rsidP="00A468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CAPACITY</w:t>
            </w:r>
            <w:r w:rsidR="00202A6B" w:rsidRPr="00201427">
              <w:rPr>
                <w:b/>
                <w:sz w:val="24"/>
                <w:szCs w:val="24"/>
              </w:rPr>
              <w:t xml:space="preserve"> AND COVERAGE</w:t>
            </w:r>
          </w:p>
          <w:p w:rsidR="00A46861" w:rsidRPr="00DE1C87" w:rsidRDefault="00E8791C" w:rsidP="00DE1C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DE1C87">
              <w:rPr>
                <w:sz w:val="24"/>
                <w:szCs w:val="24"/>
              </w:rPr>
              <w:t xml:space="preserve">Would you be </w:t>
            </w:r>
            <w:r w:rsidR="00202A6B" w:rsidRPr="00DE1C87">
              <w:rPr>
                <w:sz w:val="24"/>
                <w:szCs w:val="24"/>
              </w:rPr>
              <w:t>equipped</w:t>
            </w:r>
            <w:r w:rsidR="00A46861" w:rsidRPr="00DE1C87">
              <w:rPr>
                <w:sz w:val="24"/>
                <w:szCs w:val="24"/>
              </w:rPr>
              <w:t xml:space="preserve"> to provide </w:t>
            </w:r>
            <w:r w:rsidR="00DE1C87" w:rsidRPr="00DE1C87">
              <w:rPr>
                <w:sz w:val="24"/>
                <w:szCs w:val="24"/>
              </w:rPr>
              <w:t>for the</w:t>
            </w:r>
            <w:r w:rsidR="00A46861" w:rsidRPr="00DE1C87">
              <w:rPr>
                <w:sz w:val="24"/>
                <w:szCs w:val="24"/>
              </w:rPr>
              <w:t xml:space="preserve"> full </w:t>
            </w:r>
            <w:r w:rsidR="00202A6B" w:rsidRPr="00DE1C87">
              <w:rPr>
                <w:sz w:val="24"/>
                <w:szCs w:val="24"/>
              </w:rPr>
              <w:t xml:space="preserve">scope and </w:t>
            </w:r>
            <w:r w:rsidR="00A46861" w:rsidRPr="00DE1C87">
              <w:rPr>
                <w:sz w:val="24"/>
                <w:szCs w:val="24"/>
              </w:rPr>
              <w:t xml:space="preserve">demand of </w:t>
            </w:r>
            <w:r w:rsidR="00171182" w:rsidRPr="00DE1C87">
              <w:rPr>
                <w:sz w:val="24"/>
                <w:szCs w:val="24"/>
              </w:rPr>
              <w:t>Stop Smoking</w:t>
            </w:r>
            <w:r w:rsidR="00A46861" w:rsidRPr="00DE1C87">
              <w:rPr>
                <w:sz w:val="24"/>
                <w:szCs w:val="24"/>
              </w:rPr>
              <w:t xml:space="preserve"> service</w:t>
            </w:r>
            <w:r w:rsidR="00720CC3" w:rsidRPr="00DE1C87">
              <w:rPr>
                <w:sz w:val="24"/>
                <w:szCs w:val="24"/>
              </w:rPr>
              <w:t>s</w:t>
            </w:r>
            <w:r w:rsidR="00A46861" w:rsidRPr="00DE1C87">
              <w:rPr>
                <w:sz w:val="24"/>
                <w:szCs w:val="24"/>
              </w:rPr>
              <w:t xml:space="preserve"> required in Lincol</w:t>
            </w:r>
            <w:r w:rsidRPr="00DE1C87">
              <w:rPr>
                <w:sz w:val="24"/>
                <w:szCs w:val="24"/>
              </w:rPr>
              <w:t xml:space="preserve">nshire as </w:t>
            </w:r>
            <w:r w:rsidR="00720CC3" w:rsidRPr="00DE1C87">
              <w:rPr>
                <w:sz w:val="24"/>
                <w:szCs w:val="24"/>
              </w:rPr>
              <w:t>indicated</w:t>
            </w:r>
            <w:r w:rsidRPr="00DE1C87">
              <w:rPr>
                <w:sz w:val="24"/>
                <w:szCs w:val="24"/>
              </w:rPr>
              <w:t xml:space="preserve"> in Part One?</w:t>
            </w:r>
            <w:r w:rsidR="00B6743C" w:rsidRPr="00DE1C87">
              <w:rPr>
                <w:sz w:val="24"/>
                <w:szCs w:val="24"/>
              </w:rPr>
              <w:t xml:space="preserve"> </w:t>
            </w:r>
            <w:proofErr w:type="gramStart"/>
            <w:r w:rsidR="00B6743C" w:rsidRPr="00DE1C87">
              <w:rPr>
                <w:sz w:val="24"/>
                <w:szCs w:val="24"/>
              </w:rPr>
              <w:t>i.e</w:t>
            </w:r>
            <w:proofErr w:type="gramEnd"/>
            <w:r w:rsidR="00B6743C" w:rsidRPr="00DE1C87">
              <w:rPr>
                <w:sz w:val="24"/>
                <w:szCs w:val="24"/>
              </w:rPr>
              <w:t xml:space="preserve">. would you as a provider be able to provide the services with existing resources or will you be looking to </w:t>
            </w:r>
            <w:r w:rsidR="001307FD" w:rsidRPr="00DE1C87">
              <w:rPr>
                <w:sz w:val="24"/>
                <w:szCs w:val="24"/>
              </w:rPr>
              <w:t>deliver</w:t>
            </w:r>
            <w:r w:rsidR="007F1B10" w:rsidRPr="00DE1C87">
              <w:rPr>
                <w:sz w:val="24"/>
                <w:szCs w:val="24"/>
              </w:rPr>
              <w:t xml:space="preserve"> </w:t>
            </w:r>
            <w:r w:rsidR="001307FD" w:rsidRPr="00DE1C87">
              <w:rPr>
                <w:sz w:val="24"/>
                <w:szCs w:val="24"/>
              </w:rPr>
              <w:t xml:space="preserve">the services </w:t>
            </w:r>
            <w:r w:rsidR="00B6743C" w:rsidRPr="00DE1C87">
              <w:rPr>
                <w:sz w:val="24"/>
                <w:szCs w:val="24"/>
              </w:rPr>
              <w:t>in partnership with other provider/s?</w:t>
            </w:r>
          </w:p>
          <w:p w:rsidR="00E859F7" w:rsidRPr="009C7201" w:rsidRDefault="00A46861" w:rsidP="00B81F4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DE1C87">
              <w:rPr>
                <w:sz w:val="24"/>
                <w:szCs w:val="24"/>
              </w:rPr>
              <w:t>Would you seek to collaborate with a third party provider to deliver the service</w:t>
            </w:r>
            <w:r w:rsidR="00A35B7B" w:rsidRPr="00DE1C87">
              <w:rPr>
                <w:sz w:val="24"/>
                <w:szCs w:val="24"/>
              </w:rPr>
              <w:t>, or aspects of the service</w:t>
            </w:r>
            <w:r w:rsidR="00BC563E">
              <w:rPr>
                <w:sz w:val="24"/>
                <w:szCs w:val="24"/>
              </w:rPr>
              <w:t xml:space="preserve"> through arrangements such as sub-contracting</w:t>
            </w:r>
            <w:r w:rsidR="00A35B7B" w:rsidRPr="00DE1C87">
              <w:rPr>
                <w:sz w:val="24"/>
                <w:szCs w:val="24"/>
              </w:rPr>
              <w:t>,</w:t>
            </w:r>
            <w:r w:rsidR="001307FD" w:rsidRPr="00DE1C87">
              <w:rPr>
                <w:sz w:val="24"/>
                <w:szCs w:val="24"/>
              </w:rPr>
              <w:t xml:space="preserve"> on your behalf</w:t>
            </w:r>
            <w:r w:rsidRPr="00DE1C87">
              <w:rPr>
                <w:sz w:val="24"/>
                <w:szCs w:val="24"/>
              </w:rPr>
              <w:t xml:space="preserve">?  </w:t>
            </w:r>
          </w:p>
        </w:tc>
      </w:tr>
      <w:tr w:rsidR="00754814" w:rsidRPr="00201427" w:rsidTr="0051181C">
        <w:tc>
          <w:tcPr>
            <w:tcW w:w="1101" w:type="dxa"/>
            <w:shd w:val="clear" w:color="auto" w:fill="D9D9D9"/>
          </w:tcPr>
          <w:p w:rsidR="00BE2D0F" w:rsidRPr="00201427" w:rsidRDefault="00BE2D0F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A2(a)</w:t>
            </w:r>
          </w:p>
        </w:tc>
        <w:tc>
          <w:tcPr>
            <w:tcW w:w="8141" w:type="dxa"/>
            <w:shd w:val="clear" w:color="auto" w:fill="auto"/>
          </w:tcPr>
          <w:p w:rsidR="00BE2D0F" w:rsidRPr="00201427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4814" w:rsidRPr="00201427" w:rsidTr="0051181C">
        <w:tc>
          <w:tcPr>
            <w:tcW w:w="1101" w:type="dxa"/>
            <w:shd w:val="clear" w:color="auto" w:fill="D9D9D9"/>
          </w:tcPr>
          <w:p w:rsidR="00BE2D0F" w:rsidRPr="00201427" w:rsidRDefault="00BE2D0F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A2(b)</w:t>
            </w:r>
          </w:p>
        </w:tc>
        <w:tc>
          <w:tcPr>
            <w:tcW w:w="8141" w:type="dxa"/>
            <w:shd w:val="clear" w:color="auto" w:fill="auto"/>
          </w:tcPr>
          <w:p w:rsidR="00BE2D0F" w:rsidRPr="00201427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42B9" w:rsidRPr="00201427" w:rsidTr="004742B9">
        <w:tc>
          <w:tcPr>
            <w:tcW w:w="1101" w:type="dxa"/>
            <w:shd w:val="clear" w:color="auto" w:fill="D9D9D9"/>
          </w:tcPr>
          <w:p w:rsidR="004742B9" w:rsidRPr="00201427" w:rsidRDefault="004742B9" w:rsidP="00E879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Q3</w:t>
            </w:r>
          </w:p>
        </w:tc>
        <w:tc>
          <w:tcPr>
            <w:tcW w:w="8141" w:type="dxa"/>
            <w:tcBorders>
              <w:bottom w:val="single" w:sz="4" w:space="0" w:color="auto"/>
            </w:tcBorders>
            <w:shd w:val="clear" w:color="auto" w:fill="D9D9D9"/>
          </w:tcPr>
          <w:p w:rsidR="004742B9" w:rsidRPr="00BF00CE" w:rsidRDefault="004742B9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00CE">
              <w:rPr>
                <w:b/>
                <w:sz w:val="24"/>
                <w:szCs w:val="24"/>
              </w:rPr>
              <w:t>DELIVERABILITY</w:t>
            </w:r>
          </w:p>
          <w:p w:rsidR="004742B9" w:rsidRPr="00171182" w:rsidRDefault="00C77347" w:rsidP="004742B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F00CE">
              <w:rPr>
                <w:sz w:val="24"/>
                <w:szCs w:val="24"/>
              </w:rPr>
              <w:t>Cur</w:t>
            </w:r>
            <w:r w:rsidR="00171182" w:rsidRPr="00BF00CE">
              <w:rPr>
                <w:sz w:val="24"/>
                <w:szCs w:val="24"/>
              </w:rPr>
              <w:t>rently the annual budget is £1.2m</w:t>
            </w:r>
            <w:r w:rsidR="004742B9" w:rsidRPr="00BF00CE">
              <w:rPr>
                <w:sz w:val="24"/>
                <w:szCs w:val="24"/>
              </w:rPr>
              <w:t xml:space="preserve">. </w:t>
            </w:r>
            <w:r w:rsidR="00BC563E">
              <w:rPr>
                <w:sz w:val="24"/>
                <w:szCs w:val="24"/>
              </w:rPr>
              <w:t xml:space="preserve">This is balanced between the service and pharmacotherapy budgets meeting our anticipated outcomes. </w:t>
            </w:r>
            <w:r w:rsidR="0027418C">
              <w:rPr>
                <w:sz w:val="24"/>
                <w:szCs w:val="24"/>
              </w:rPr>
              <w:t xml:space="preserve">There is </w:t>
            </w:r>
            <w:proofErr w:type="gramStart"/>
            <w:r w:rsidR="00BC563E">
              <w:rPr>
                <w:sz w:val="24"/>
                <w:szCs w:val="24"/>
              </w:rPr>
              <w:t xml:space="preserve">also </w:t>
            </w:r>
            <w:r w:rsidR="0027418C">
              <w:rPr>
                <w:sz w:val="24"/>
                <w:szCs w:val="24"/>
              </w:rPr>
              <w:t xml:space="preserve"> </w:t>
            </w:r>
            <w:r w:rsidR="0027418C" w:rsidRPr="0027418C">
              <w:rPr>
                <w:sz w:val="24"/>
                <w:szCs w:val="24"/>
              </w:rPr>
              <w:t>potential</w:t>
            </w:r>
            <w:proofErr w:type="gramEnd"/>
            <w:r w:rsidR="0027418C" w:rsidRPr="0027418C">
              <w:rPr>
                <w:sz w:val="24"/>
                <w:szCs w:val="24"/>
              </w:rPr>
              <w:t xml:space="preserve"> for a moderate investment from the NHS </w:t>
            </w:r>
            <w:r w:rsidR="0027418C">
              <w:rPr>
                <w:sz w:val="24"/>
                <w:szCs w:val="24"/>
              </w:rPr>
              <w:t>in 2018</w:t>
            </w:r>
            <w:r w:rsidR="00BC563E">
              <w:rPr>
                <w:sz w:val="24"/>
                <w:szCs w:val="24"/>
              </w:rPr>
              <w:t>/19</w:t>
            </w:r>
            <w:r w:rsidR="0027418C">
              <w:rPr>
                <w:sz w:val="24"/>
                <w:szCs w:val="24"/>
              </w:rPr>
              <w:t xml:space="preserve"> and 2019</w:t>
            </w:r>
            <w:r w:rsidR="00BC563E">
              <w:rPr>
                <w:sz w:val="24"/>
                <w:szCs w:val="24"/>
              </w:rPr>
              <w:t>/20(conditional upon Lincolnshire's Sustainable Transformation Plan)</w:t>
            </w:r>
            <w:r w:rsidR="0027418C">
              <w:rPr>
                <w:sz w:val="24"/>
                <w:szCs w:val="24"/>
              </w:rPr>
              <w:t>.</w:t>
            </w:r>
          </w:p>
          <w:p w:rsidR="004742B9" w:rsidRPr="00BF00CE" w:rsidRDefault="004742B9" w:rsidP="00BF00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Please provide your views on the commercial viability and attractiveness of d</w:t>
            </w:r>
            <w:r w:rsidR="0027418C" w:rsidRPr="00BF00CE">
              <w:rPr>
                <w:sz w:val="24"/>
                <w:szCs w:val="24"/>
              </w:rPr>
              <w:t>elivering</w:t>
            </w:r>
            <w:r w:rsidR="00C35679" w:rsidRPr="00BF00CE">
              <w:rPr>
                <w:sz w:val="24"/>
                <w:szCs w:val="24"/>
              </w:rPr>
              <w:t xml:space="preserve"> </w:t>
            </w:r>
            <w:r w:rsidRPr="00BF00CE">
              <w:rPr>
                <w:sz w:val="24"/>
                <w:szCs w:val="24"/>
              </w:rPr>
              <w:t xml:space="preserve">an </w:t>
            </w:r>
            <w:r w:rsidR="00C35679" w:rsidRPr="00BF00CE">
              <w:rPr>
                <w:sz w:val="24"/>
                <w:szCs w:val="24"/>
              </w:rPr>
              <w:t>effective service at the volume</w:t>
            </w:r>
            <w:r w:rsidRPr="00BF00CE">
              <w:rPr>
                <w:sz w:val="24"/>
                <w:szCs w:val="24"/>
              </w:rPr>
              <w:t xml:space="preserve"> and within the budget indicated.</w:t>
            </w:r>
          </w:p>
          <w:p w:rsidR="00C35679" w:rsidRPr="00C35679" w:rsidRDefault="00DE1C87" w:rsidP="00BF00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DE1C87">
              <w:rPr>
                <w:sz w:val="24"/>
                <w:szCs w:val="24"/>
              </w:rPr>
              <w:t>Within the proposed model(s) there is an emphasis on expanding and supporting a network of community providers, what would be the appropriate measures to secure the continued success of those relationships?</w:t>
            </w:r>
          </w:p>
        </w:tc>
      </w:tr>
      <w:tr w:rsidR="004742B9" w:rsidRPr="00201427" w:rsidTr="00DE1C87">
        <w:trPr>
          <w:trHeight w:val="382"/>
        </w:trPr>
        <w:tc>
          <w:tcPr>
            <w:tcW w:w="1101" w:type="dxa"/>
            <w:shd w:val="clear" w:color="auto" w:fill="D9D9D9"/>
          </w:tcPr>
          <w:p w:rsidR="004742B9" w:rsidRPr="00201427" w:rsidRDefault="004742B9" w:rsidP="004742B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A3</w:t>
            </w:r>
            <w:r w:rsidR="00DE1C87">
              <w:rPr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8141" w:type="dxa"/>
            <w:shd w:val="clear" w:color="auto" w:fill="auto"/>
          </w:tcPr>
          <w:p w:rsidR="00201427" w:rsidRPr="00201427" w:rsidRDefault="00201427" w:rsidP="006668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1C87" w:rsidRPr="00201427" w:rsidTr="0066687B">
        <w:tc>
          <w:tcPr>
            <w:tcW w:w="1101" w:type="dxa"/>
            <w:shd w:val="clear" w:color="auto" w:fill="D9D9D9"/>
          </w:tcPr>
          <w:p w:rsidR="00DE1C87" w:rsidRPr="00201427" w:rsidRDefault="00DE1C87" w:rsidP="004742B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 (b)</w:t>
            </w:r>
          </w:p>
        </w:tc>
        <w:tc>
          <w:tcPr>
            <w:tcW w:w="8141" w:type="dxa"/>
            <w:shd w:val="clear" w:color="auto" w:fill="auto"/>
          </w:tcPr>
          <w:p w:rsidR="00DE1C87" w:rsidRDefault="00DE1C87" w:rsidP="006668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4814" w:rsidRPr="00201427" w:rsidTr="0051181C">
        <w:tc>
          <w:tcPr>
            <w:tcW w:w="1101" w:type="dxa"/>
            <w:shd w:val="clear" w:color="auto" w:fill="D9D9D9"/>
          </w:tcPr>
          <w:p w:rsidR="00BE2D0F" w:rsidRPr="00201427" w:rsidRDefault="004742B9" w:rsidP="00E879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Q4</w:t>
            </w:r>
          </w:p>
        </w:tc>
        <w:tc>
          <w:tcPr>
            <w:tcW w:w="8141" w:type="dxa"/>
            <w:shd w:val="clear" w:color="auto" w:fill="D9D9D9"/>
          </w:tcPr>
          <w:p w:rsidR="00BE2D0F" w:rsidRPr="00201427" w:rsidRDefault="00347C54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PAYMENT</w:t>
            </w:r>
            <w:r w:rsidR="00E8791C" w:rsidRPr="00201427">
              <w:rPr>
                <w:b/>
                <w:sz w:val="24"/>
                <w:szCs w:val="24"/>
              </w:rPr>
              <w:t xml:space="preserve"> MECHANISM</w:t>
            </w:r>
          </w:p>
          <w:p w:rsidR="00E6356E" w:rsidRPr="00DE1C87" w:rsidRDefault="00347C54" w:rsidP="0051181C">
            <w:pPr>
              <w:spacing w:after="0" w:line="240" w:lineRule="auto"/>
              <w:rPr>
                <w:sz w:val="24"/>
                <w:szCs w:val="24"/>
              </w:rPr>
            </w:pPr>
            <w:r w:rsidRPr="00DE1C87">
              <w:rPr>
                <w:sz w:val="24"/>
                <w:szCs w:val="24"/>
              </w:rPr>
              <w:t xml:space="preserve">The authority is considering the </w:t>
            </w:r>
            <w:r w:rsidR="00E8791C" w:rsidRPr="00DE1C87">
              <w:rPr>
                <w:sz w:val="24"/>
                <w:szCs w:val="24"/>
              </w:rPr>
              <w:t>most suitable</w:t>
            </w:r>
            <w:r w:rsidRPr="00DE1C87">
              <w:rPr>
                <w:sz w:val="24"/>
                <w:szCs w:val="24"/>
              </w:rPr>
              <w:t xml:space="preserve"> payment mechanism to put in place to ensure deli</w:t>
            </w:r>
            <w:r w:rsidR="00E8791C" w:rsidRPr="00DE1C87">
              <w:rPr>
                <w:sz w:val="24"/>
                <w:szCs w:val="24"/>
              </w:rPr>
              <w:t xml:space="preserve">very of the best value service (for example </w:t>
            </w:r>
            <w:r w:rsidR="003C5044" w:rsidRPr="00DE1C87">
              <w:rPr>
                <w:sz w:val="24"/>
                <w:szCs w:val="24"/>
              </w:rPr>
              <w:t xml:space="preserve">single rate payments according to categories of service delivery, and the use of performance </w:t>
            </w:r>
            <w:proofErr w:type="spellStart"/>
            <w:r w:rsidR="003C5044" w:rsidRPr="00DE1C87">
              <w:rPr>
                <w:sz w:val="24"/>
                <w:szCs w:val="24"/>
              </w:rPr>
              <w:t>incentivisation</w:t>
            </w:r>
            <w:proofErr w:type="spellEnd"/>
            <w:r w:rsidR="003C5044" w:rsidRPr="00DE1C87">
              <w:rPr>
                <w:sz w:val="24"/>
                <w:szCs w:val="24"/>
              </w:rPr>
              <w:t xml:space="preserve"> (enhancements</w:t>
            </w:r>
            <w:r w:rsidR="00E6356E" w:rsidRPr="00DE1C87">
              <w:rPr>
                <w:sz w:val="24"/>
                <w:szCs w:val="24"/>
              </w:rPr>
              <w:t xml:space="preserve"> for </w:t>
            </w:r>
            <w:r w:rsidR="008113B7">
              <w:rPr>
                <w:sz w:val="24"/>
                <w:szCs w:val="24"/>
              </w:rPr>
              <w:t>quality</w:t>
            </w:r>
            <w:r w:rsidR="008113B7" w:rsidRPr="00DE1C87">
              <w:rPr>
                <w:sz w:val="24"/>
                <w:szCs w:val="24"/>
              </w:rPr>
              <w:t xml:space="preserve"> </w:t>
            </w:r>
            <w:r w:rsidR="008113B7">
              <w:rPr>
                <w:sz w:val="24"/>
                <w:szCs w:val="24"/>
              </w:rPr>
              <w:t xml:space="preserve">standards e.g. smoking in </w:t>
            </w:r>
            <w:r w:rsidR="009C7201">
              <w:rPr>
                <w:sz w:val="24"/>
                <w:szCs w:val="24"/>
              </w:rPr>
              <w:t>pregnancy</w:t>
            </w:r>
            <w:r w:rsidR="00E6356E" w:rsidRPr="00DE1C87">
              <w:rPr>
                <w:sz w:val="24"/>
                <w:szCs w:val="24"/>
              </w:rPr>
              <w:t>)</w:t>
            </w:r>
            <w:r w:rsidR="00177C55" w:rsidRPr="00DE1C87">
              <w:rPr>
                <w:sz w:val="24"/>
                <w:szCs w:val="24"/>
              </w:rPr>
              <w:t>.</w:t>
            </w:r>
          </w:p>
          <w:p w:rsidR="00DE1C87" w:rsidRPr="00B81F49" w:rsidRDefault="00E6356E" w:rsidP="00B81F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DE1C87">
              <w:rPr>
                <w:sz w:val="24"/>
                <w:szCs w:val="24"/>
              </w:rPr>
              <w:t>In your view, w</w:t>
            </w:r>
            <w:r w:rsidR="00347C54" w:rsidRPr="00DE1C87">
              <w:rPr>
                <w:sz w:val="24"/>
                <w:szCs w:val="24"/>
              </w:rPr>
              <w:t xml:space="preserve">hat </w:t>
            </w:r>
            <w:r w:rsidR="00A46861" w:rsidRPr="00DE1C87">
              <w:rPr>
                <w:sz w:val="24"/>
                <w:szCs w:val="24"/>
              </w:rPr>
              <w:t>payment</w:t>
            </w:r>
            <w:r w:rsidR="00347C54" w:rsidRPr="00DE1C87">
              <w:rPr>
                <w:sz w:val="24"/>
                <w:szCs w:val="24"/>
              </w:rPr>
              <w:t xml:space="preserve"> mechanism</w:t>
            </w:r>
            <w:r w:rsidRPr="00DE1C87">
              <w:rPr>
                <w:sz w:val="24"/>
                <w:szCs w:val="24"/>
              </w:rPr>
              <w:t>(s)</w:t>
            </w:r>
            <w:r w:rsidR="00347C54" w:rsidRPr="00DE1C87">
              <w:rPr>
                <w:sz w:val="24"/>
                <w:szCs w:val="24"/>
              </w:rPr>
              <w:t xml:space="preserve"> </w:t>
            </w:r>
            <w:r w:rsidRPr="00DE1C87">
              <w:rPr>
                <w:sz w:val="24"/>
                <w:szCs w:val="24"/>
              </w:rPr>
              <w:t xml:space="preserve">would </w:t>
            </w:r>
            <w:r w:rsidR="00A46861" w:rsidRPr="00DE1C87">
              <w:rPr>
                <w:sz w:val="24"/>
                <w:szCs w:val="24"/>
              </w:rPr>
              <w:t xml:space="preserve">work best </w:t>
            </w:r>
            <w:r w:rsidRPr="00DE1C87">
              <w:rPr>
                <w:sz w:val="24"/>
                <w:szCs w:val="24"/>
              </w:rPr>
              <w:t xml:space="preserve">in the interests </w:t>
            </w:r>
            <w:r w:rsidRPr="00DE1C87">
              <w:rPr>
                <w:sz w:val="24"/>
                <w:szCs w:val="24"/>
              </w:rPr>
              <w:lastRenderedPageBreak/>
              <w:t>of both</w:t>
            </w:r>
            <w:r w:rsidR="00A46861" w:rsidRPr="00DE1C87">
              <w:rPr>
                <w:sz w:val="24"/>
                <w:szCs w:val="24"/>
              </w:rPr>
              <w:t xml:space="preserve"> the authority and</w:t>
            </w:r>
            <w:r w:rsidRPr="00DE1C87">
              <w:rPr>
                <w:sz w:val="24"/>
                <w:szCs w:val="24"/>
              </w:rPr>
              <w:t xml:space="preserve"> the</w:t>
            </w:r>
            <w:r w:rsidR="00A46861" w:rsidRPr="00DE1C87">
              <w:rPr>
                <w:sz w:val="24"/>
                <w:szCs w:val="24"/>
              </w:rPr>
              <w:t xml:space="preserve"> provider?</w:t>
            </w:r>
          </w:p>
          <w:p w:rsidR="0062623A" w:rsidRPr="00B81F49" w:rsidRDefault="0062623A" w:rsidP="008113B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DE1C87">
              <w:rPr>
                <w:sz w:val="24"/>
                <w:szCs w:val="24"/>
              </w:rPr>
              <w:t>Being mindful of the Lincolnshire demography, the prevalence of smoking in the county and changing smoking behaviours ho</w:t>
            </w:r>
            <w:r w:rsidR="009C7201">
              <w:rPr>
                <w:sz w:val="24"/>
                <w:szCs w:val="24"/>
              </w:rPr>
              <w:t>w attractive is the emphasis on</w:t>
            </w:r>
            <w:r w:rsidR="008113B7">
              <w:rPr>
                <w:sz w:val="24"/>
                <w:szCs w:val="24"/>
              </w:rPr>
              <w:t xml:space="preserve"> a differentiated </w:t>
            </w:r>
            <w:r w:rsidRPr="00DE1C87">
              <w:rPr>
                <w:sz w:val="24"/>
                <w:szCs w:val="24"/>
              </w:rPr>
              <w:t>tariff</w:t>
            </w:r>
            <w:r w:rsidR="009C7201">
              <w:rPr>
                <w:sz w:val="24"/>
                <w:szCs w:val="24"/>
              </w:rPr>
              <w:t xml:space="preserve"> </w:t>
            </w:r>
            <w:r w:rsidRPr="00DE1C87">
              <w:rPr>
                <w:sz w:val="24"/>
                <w:szCs w:val="24"/>
              </w:rPr>
              <w:t xml:space="preserve">approach to the </w:t>
            </w:r>
            <w:r w:rsidR="008113B7">
              <w:rPr>
                <w:sz w:val="24"/>
                <w:szCs w:val="24"/>
              </w:rPr>
              <w:t>service</w:t>
            </w:r>
            <w:r w:rsidRPr="00DE1C87">
              <w:rPr>
                <w:sz w:val="24"/>
                <w:szCs w:val="24"/>
              </w:rPr>
              <w:t>?</w:t>
            </w:r>
          </w:p>
        </w:tc>
      </w:tr>
      <w:tr w:rsidR="00754814" w:rsidRPr="00201427" w:rsidTr="0051181C">
        <w:tc>
          <w:tcPr>
            <w:tcW w:w="1101" w:type="dxa"/>
            <w:shd w:val="clear" w:color="auto" w:fill="D9D9D9"/>
          </w:tcPr>
          <w:p w:rsidR="00BE2D0F" w:rsidRPr="00201427" w:rsidRDefault="004742B9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lastRenderedPageBreak/>
              <w:t>A4</w:t>
            </w:r>
            <w:r w:rsidR="00DE1C87">
              <w:rPr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8141" w:type="dxa"/>
            <w:shd w:val="clear" w:color="auto" w:fill="auto"/>
          </w:tcPr>
          <w:p w:rsidR="00BE2D0F" w:rsidRPr="00201427" w:rsidRDefault="00BE2D0F" w:rsidP="00347C5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DE1C87" w:rsidRPr="00201427" w:rsidTr="0051181C">
        <w:tc>
          <w:tcPr>
            <w:tcW w:w="1101" w:type="dxa"/>
            <w:shd w:val="clear" w:color="auto" w:fill="D9D9D9"/>
          </w:tcPr>
          <w:p w:rsidR="00DE1C87" w:rsidRPr="00201427" w:rsidRDefault="00DE1C87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A4 (b)</w:t>
            </w:r>
          </w:p>
        </w:tc>
        <w:tc>
          <w:tcPr>
            <w:tcW w:w="8141" w:type="dxa"/>
            <w:shd w:val="clear" w:color="auto" w:fill="auto"/>
          </w:tcPr>
          <w:p w:rsidR="00DE1C87" w:rsidRPr="00201427" w:rsidRDefault="00DE1C87" w:rsidP="00347C5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E6356E" w:rsidRPr="00201427" w:rsidTr="00E6356E">
        <w:tc>
          <w:tcPr>
            <w:tcW w:w="1101" w:type="dxa"/>
            <w:shd w:val="clear" w:color="auto" w:fill="D9D9D9"/>
          </w:tcPr>
          <w:p w:rsidR="00E6356E" w:rsidRPr="00201427" w:rsidRDefault="004742B9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Q5</w:t>
            </w:r>
          </w:p>
        </w:tc>
        <w:tc>
          <w:tcPr>
            <w:tcW w:w="8141" w:type="dxa"/>
            <w:tcBorders>
              <w:bottom w:val="single" w:sz="4" w:space="0" w:color="auto"/>
            </w:tcBorders>
            <w:shd w:val="clear" w:color="auto" w:fill="D9D9D9"/>
          </w:tcPr>
          <w:p w:rsidR="00E6356E" w:rsidRPr="00201427" w:rsidRDefault="00E6356E" w:rsidP="00E63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1427">
              <w:rPr>
                <w:b/>
                <w:bCs/>
                <w:sz w:val="24"/>
                <w:szCs w:val="24"/>
              </w:rPr>
              <w:t>CONTRACT PERFORMANCE MONITORING  – Service Level Agreement</w:t>
            </w:r>
          </w:p>
          <w:p w:rsidR="00E6356E" w:rsidRPr="00201427" w:rsidRDefault="00E6356E" w:rsidP="00E63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 xml:space="preserve">Contract performance monitoring is critical to this service provision.  </w:t>
            </w:r>
            <w:r w:rsidR="00410416">
              <w:rPr>
                <w:sz w:val="24"/>
                <w:szCs w:val="24"/>
              </w:rPr>
              <w:t>The authority commissions the use of "Quit</w:t>
            </w:r>
            <w:r w:rsidR="009C7201">
              <w:rPr>
                <w:sz w:val="24"/>
                <w:szCs w:val="24"/>
              </w:rPr>
              <w:t xml:space="preserve"> </w:t>
            </w:r>
            <w:r w:rsidR="00410416">
              <w:rPr>
                <w:sz w:val="24"/>
                <w:szCs w:val="24"/>
              </w:rPr>
              <w:t xml:space="preserve">Manager". This software system is our performance and finance management tool. </w:t>
            </w:r>
            <w:r w:rsidRPr="00201427">
              <w:rPr>
                <w:sz w:val="24"/>
                <w:szCs w:val="24"/>
              </w:rPr>
              <w:t xml:space="preserve">KPI’s will be used to assess </w:t>
            </w:r>
            <w:r w:rsidR="003C5044" w:rsidRPr="00201427">
              <w:rPr>
                <w:sz w:val="24"/>
                <w:szCs w:val="24"/>
              </w:rPr>
              <w:t>provider</w:t>
            </w:r>
            <w:r w:rsidRPr="00201427">
              <w:rPr>
                <w:sz w:val="24"/>
                <w:szCs w:val="24"/>
              </w:rPr>
              <w:t xml:space="preserve"> progression and performance</w:t>
            </w:r>
            <w:r w:rsidR="00410416">
              <w:rPr>
                <w:sz w:val="24"/>
                <w:szCs w:val="24"/>
              </w:rPr>
              <w:t>.</w:t>
            </w:r>
            <w:r w:rsidRPr="00201427">
              <w:rPr>
                <w:sz w:val="24"/>
                <w:szCs w:val="24"/>
              </w:rPr>
              <w:t xml:space="preserve">  </w:t>
            </w:r>
          </w:p>
          <w:p w:rsidR="00F45DFB" w:rsidRPr="00201427" w:rsidRDefault="00E6356E" w:rsidP="00E63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 xml:space="preserve">(a)Do you agree that this is a good way to manage </w:t>
            </w:r>
            <w:r w:rsidR="003C5044" w:rsidRPr="00201427">
              <w:rPr>
                <w:sz w:val="24"/>
                <w:szCs w:val="24"/>
              </w:rPr>
              <w:t>provider</w:t>
            </w:r>
            <w:r w:rsidRPr="00201427">
              <w:rPr>
                <w:sz w:val="24"/>
                <w:szCs w:val="24"/>
              </w:rPr>
              <w:t xml:space="preserve"> performance? </w:t>
            </w:r>
          </w:p>
          <w:p w:rsidR="009908CF" w:rsidRPr="00201427" w:rsidRDefault="00F45DFB" w:rsidP="00E63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>(b)</w:t>
            </w:r>
            <w:r w:rsidR="00895B10" w:rsidRPr="00201427">
              <w:rPr>
                <w:sz w:val="24"/>
                <w:szCs w:val="24"/>
              </w:rPr>
              <w:t>Please detail any</w:t>
            </w:r>
            <w:r w:rsidR="009908CF" w:rsidRPr="00201427">
              <w:rPr>
                <w:sz w:val="24"/>
                <w:szCs w:val="24"/>
              </w:rPr>
              <w:t xml:space="preserve"> risks of adopting this approach</w:t>
            </w:r>
            <w:r w:rsidRPr="00201427">
              <w:rPr>
                <w:sz w:val="24"/>
                <w:szCs w:val="24"/>
              </w:rPr>
              <w:t>?</w:t>
            </w:r>
          </w:p>
          <w:p w:rsidR="00E6356E" w:rsidRPr="00201427" w:rsidRDefault="00E6356E" w:rsidP="00E635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>(</w:t>
            </w:r>
            <w:r w:rsidR="00F45DFB" w:rsidRPr="00201427">
              <w:rPr>
                <w:sz w:val="24"/>
                <w:szCs w:val="24"/>
              </w:rPr>
              <w:t>c</w:t>
            </w:r>
            <w:r w:rsidRPr="00201427">
              <w:rPr>
                <w:sz w:val="24"/>
                <w:szCs w:val="24"/>
              </w:rPr>
              <w:t>)Are there any alternatives that you believe would offer be</w:t>
            </w:r>
            <w:r w:rsidR="00410416">
              <w:rPr>
                <w:sz w:val="24"/>
                <w:szCs w:val="24"/>
              </w:rPr>
              <w:t>tter</w:t>
            </w:r>
            <w:r w:rsidRPr="00201427">
              <w:rPr>
                <w:sz w:val="24"/>
                <w:szCs w:val="24"/>
              </w:rPr>
              <w:t xml:space="preserve"> value and why?</w:t>
            </w:r>
          </w:p>
        </w:tc>
      </w:tr>
      <w:tr w:rsidR="00E6356E" w:rsidRPr="00201427" w:rsidTr="00E6356E">
        <w:tc>
          <w:tcPr>
            <w:tcW w:w="1101" w:type="dxa"/>
            <w:shd w:val="clear" w:color="auto" w:fill="D9D9D9"/>
          </w:tcPr>
          <w:p w:rsidR="00E6356E" w:rsidRPr="00201427" w:rsidRDefault="004742B9" w:rsidP="00E635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A5</w:t>
            </w:r>
            <w:r w:rsidR="00E6356E" w:rsidRPr="00201427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8141" w:type="dxa"/>
            <w:shd w:val="clear" w:color="auto" w:fill="FFFFFF" w:themeFill="background1"/>
          </w:tcPr>
          <w:p w:rsidR="00E6356E" w:rsidRPr="00201427" w:rsidRDefault="00E6356E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6356E" w:rsidRPr="00201427" w:rsidTr="00E6356E">
        <w:tc>
          <w:tcPr>
            <w:tcW w:w="1101" w:type="dxa"/>
            <w:shd w:val="clear" w:color="auto" w:fill="D9D9D9"/>
          </w:tcPr>
          <w:p w:rsidR="00E6356E" w:rsidRPr="00201427" w:rsidRDefault="004742B9" w:rsidP="00E635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A5</w:t>
            </w:r>
            <w:r w:rsidR="00E6356E" w:rsidRPr="00201427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8141" w:type="dxa"/>
            <w:shd w:val="clear" w:color="auto" w:fill="FFFFFF" w:themeFill="background1"/>
          </w:tcPr>
          <w:p w:rsidR="00E6356E" w:rsidRPr="00201427" w:rsidRDefault="00E6356E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45DFB" w:rsidRPr="00201427" w:rsidTr="00E6356E">
        <w:tc>
          <w:tcPr>
            <w:tcW w:w="1101" w:type="dxa"/>
            <w:shd w:val="clear" w:color="auto" w:fill="D9D9D9"/>
          </w:tcPr>
          <w:p w:rsidR="00F45DFB" w:rsidRPr="00201427" w:rsidRDefault="00F45DFB" w:rsidP="00E635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A5(c)</w:t>
            </w:r>
          </w:p>
        </w:tc>
        <w:tc>
          <w:tcPr>
            <w:tcW w:w="8141" w:type="dxa"/>
            <w:shd w:val="clear" w:color="auto" w:fill="FFFFFF" w:themeFill="background1"/>
          </w:tcPr>
          <w:p w:rsidR="00F45DFB" w:rsidRPr="00201427" w:rsidRDefault="00F45DFB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54814" w:rsidRPr="00201427" w:rsidTr="0051181C">
        <w:tc>
          <w:tcPr>
            <w:tcW w:w="1101" w:type="dxa"/>
            <w:shd w:val="clear" w:color="auto" w:fill="D9D9D9"/>
          </w:tcPr>
          <w:p w:rsidR="00BE2D0F" w:rsidRPr="00201427" w:rsidRDefault="004742B9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Q6</w:t>
            </w:r>
          </w:p>
        </w:tc>
        <w:tc>
          <w:tcPr>
            <w:tcW w:w="8141" w:type="dxa"/>
            <w:shd w:val="clear" w:color="auto" w:fill="D9D9D9"/>
          </w:tcPr>
          <w:p w:rsidR="00BE2D0F" w:rsidRPr="00201427" w:rsidRDefault="00A46861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CONTRACT ATTRACTIVENESS</w:t>
            </w:r>
          </w:p>
          <w:p w:rsidR="00347C54" w:rsidRPr="00201427" w:rsidRDefault="00A46861" w:rsidP="00F45DFB">
            <w:pPr>
              <w:spacing w:after="0" w:line="240" w:lineRule="auto"/>
              <w:rPr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 xml:space="preserve">What are the key factors influencing the attractiveness of this type of contract for your organisation? (for example, contract term, </w:t>
            </w:r>
            <w:r w:rsidR="001307FD" w:rsidRPr="00201427">
              <w:rPr>
                <w:sz w:val="24"/>
                <w:szCs w:val="24"/>
              </w:rPr>
              <w:t>potential scope</w:t>
            </w:r>
            <w:r w:rsidRPr="00201427">
              <w:rPr>
                <w:sz w:val="24"/>
                <w:szCs w:val="24"/>
              </w:rPr>
              <w:t xml:space="preserve"> to transfer staff from </w:t>
            </w:r>
            <w:r w:rsidR="00F45DFB" w:rsidRPr="00201427">
              <w:rPr>
                <w:sz w:val="24"/>
                <w:szCs w:val="24"/>
              </w:rPr>
              <w:t xml:space="preserve">incumbent </w:t>
            </w:r>
            <w:r w:rsidRPr="00201427">
              <w:rPr>
                <w:sz w:val="24"/>
                <w:szCs w:val="24"/>
              </w:rPr>
              <w:t xml:space="preserve">provider, other commercial factors) </w:t>
            </w:r>
          </w:p>
        </w:tc>
      </w:tr>
      <w:tr w:rsidR="00754814" w:rsidRPr="00201427" w:rsidTr="0051181C">
        <w:tc>
          <w:tcPr>
            <w:tcW w:w="1101" w:type="dxa"/>
            <w:shd w:val="clear" w:color="auto" w:fill="D9D9D9"/>
          </w:tcPr>
          <w:p w:rsidR="00BE2D0F" w:rsidRPr="00201427" w:rsidRDefault="004742B9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A6</w:t>
            </w:r>
          </w:p>
        </w:tc>
        <w:tc>
          <w:tcPr>
            <w:tcW w:w="8141" w:type="dxa"/>
            <w:shd w:val="clear" w:color="auto" w:fill="auto"/>
          </w:tcPr>
          <w:p w:rsidR="00BE2D0F" w:rsidRPr="00201427" w:rsidRDefault="00BE2D0F" w:rsidP="00347C5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754814" w:rsidRPr="00201427" w:rsidTr="0051181C">
        <w:tc>
          <w:tcPr>
            <w:tcW w:w="1101" w:type="dxa"/>
            <w:shd w:val="clear" w:color="auto" w:fill="D9D9D9"/>
          </w:tcPr>
          <w:p w:rsidR="00BE2D0F" w:rsidRPr="00201427" w:rsidRDefault="004742B9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Q7</w:t>
            </w:r>
          </w:p>
        </w:tc>
        <w:tc>
          <w:tcPr>
            <w:tcW w:w="8141" w:type="dxa"/>
            <w:shd w:val="clear" w:color="auto" w:fill="D9D9D9"/>
          </w:tcPr>
          <w:p w:rsidR="00BE2D0F" w:rsidRPr="00201427" w:rsidRDefault="00A46861" w:rsidP="00A468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MOBILISATION</w:t>
            </w:r>
          </w:p>
          <w:p w:rsidR="00A560AA" w:rsidRPr="00201427" w:rsidRDefault="00F45DFB" w:rsidP="00F45DFB">
            <w:pPr>
              <w:spacing w:after="0" w:line="240" w:lineRule="auto"/>
              <w:rPr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>a)</w:t>
            </w:r>
            <w:r w:rsidR="0062623A">
              <w:rPr>
                <w:sz w:val="24"/>
                <w:szCs w:val="24"/>
              </w:rPr>
              <w:t xml:space="preserve"> </w:t>
            </w:r>
            <w:r w:rsidR="00A560AA" w:rsidRPr="00201427">
              <w:rPr>
                <w:sz w:val="24"/>
                <w:szCs w:val="24"/>
              </w:rPr>
              <w:t>It is imperative that if there was a change in provider that there would be minimal disruption to service users.</w:t>
            </w:r>
            <w:r w:rsidR="00177C55" w:rsidRPr="00201427">
              <w:rPr>
                <w:sz w:val="24"/>
                <w:szCs w:val="24"/>
              </w:rPr>
              <w:t xml:space="preserve">  We envisage a transition period of </w:t>
            </w:r>
            <w:r w:rsidR="003C5044" w:rsidRPr="00201427">
              <w:rPr>
                <w:sz w:val="24"/>
                <w:szCs w:val="24"/>
              </w:rPr>
              <w:t>12</w:t>
            </w:r>
            <w:r w:rsidR="00177C55" w:rsidRPr="00201427">
              <w:rPr>
                <w:sz w:val="24"/>
                <w:szCs w:val="24"/>
              </w:rPr>
              <w:t xml:space="preserve"> weeks between contract award and contract start date.</w:t>
            </w:r>
          </w:p>
          <w:p w:rsidR="00F45DFB" w:rsidRPr="00201427" w:rsidRDefault="00F45DFB" w:rsidP="003C5044">
            <w:pPr>
              <w:spacing w:after="0" w:line="240" w:lineRule="auto"/>
              <w:rPr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>b)</w:t>
            </w:r>
            <w:r w:rsidR="0062623A">
              <w:rPr>
                <w:sz w:val="24"/>
                <w:szCs w:val="24"/>
              </w:rPr>
              <w:t xml:space="preserve"> </w:t>
            </w:r>
            <w:r w:rsidR="00177C55" w:rsidRPr="00201427">
              <w:rPr>
                <w:sz w:val="24"/>
                <w:szCs w:val="24"/>
              </w:rPr>
              <w:t xml:space="preserve">Do you think this will be an adequate period to enable your organisation to </w:t>
            </w:r>
            <w:r w:rsidR="00A46861" w:rsidRPr="00201427">
              <w:rPr>
                <w:sz w:val="24"/>
                <w:szCs w:val="24"/>
              </w:rPr>
              <w:t xml:space="preserve">begin delivery of </w:t>
            </w:r>
            <w:r w:rsidR="0062623A">
              <w:rPr>
                <w:sz w:val="24"/>
                <w:szCs w:val="24"/>
              </w:rPr>
              <w:t xml:space="preserve">stop smoking </w:t>
            </w:r>
            <w:r w:rsidR="00A46861" w:rsidRPr="00201427">
              <w:rPr>
                <w:sz w:val="24"/>
                <w:szCs w:val="24"/>
              </w:rPr>
              <w:t xml:space="preserve">services? </w:t>
            </w:r>
          </w:p>
          <w:p w:rsidR="00A46861" w:rsidRPr="00201427" w:rsidRDefault="00F45DFB" w:rsidP="00F45DFB">
            <w:pPr>
              <w:spacing w:after="0" w:line="240" w:lineRule="auto"/>
              <w:rPr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>c)</w:t>
            </w:r>
            <w:r w:rsidR="0062623A">
              <w:rPr>
                <w:sz w:val="24"/>
                <w:szCs w:val="24"/>
              </w:rPr>
              <w:t xml:space="preserve"> </w:t>
            </w:r>
            <w:r w:rsidRPr="00201427">
              <w:rPr>
                <w:sz w:val="24"/>
                <w:szCs w:val="24"/>
              </w:rPr>
              <w:t xml:space="preserve">What you would advise we do to ensure </w:t>
            </w:r>
            <w:r w:rsidR="00A560AA" w:rsidRPr="00201427">
              <w:rPr>
                <w:sz w:val="24"/>
                <w:szCs w:val="24"/>
              </w:rPr>
              <w:t xml:space="preserve">that the service receives minimal disruption? </w:t>
            </w:r>
          </w:p>
        </w:tc>
      </w:tr>
      <w:tr w:rsidR="00754814" w:rsidRPr="00201427" w:rsidTr="0051181C">
        <w:tc>
          <w:tcPr>
            <w:tcW w:w="1101" w:type="dxa"/>
            <w:shd w:val="clear" w:color="auto" w:fill="D9D9D9"/>
          </w:tcPr>
          <w:p w:rsidR="00BE2D0F" w:rsidRPr="00201427" w:rsidRDefault="004742B9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A7</w:t>
            </w:r>
            <w:r w:rsidR="00F45DFB" w:rsidRPr="00201427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8141" w:type="dxa"/>
            <w:shd w:val="clear" w:color="auto" w:fill="FFFFFF"/>
          </w:tcPr>
          <w:p w:rsidR="00BE2D0F" w:rsidRPr="00201427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45DFB" w:rsidRPr="00201427" w:rsidTr="0051181C">
        <w:tc>
          <w:tcPr>
            <w:tcW w:w="1101" w:type="dxa"/>
            <w:shd w:val="clear" w:color="auto" w:fill="D9D9D9"/>
          </w:tcPr>
          <w:p w:rsidR="00F45DFB" w:rsidRPr="00201427" w:rsidRDefault="00F45DFB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A7(b)</w:t>
            </w:r>
          </w:p>
        </w:tc>
        <w:tc>
          <w:tcPr>
            <w:tcW w:w="8141" w:type="dxa"/>
            <w:shd w:val="clear" w:color="auto" w:fill="FFFFFF"/>
          </w:tcPr>
          <w:p w:rsidR="00F45DFB" w:rsidRPr="00201427" w:rsidRDefault="00F45DFB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45DFB" w:rsidRPr="00201427" w:rsidTr="0051181C">
        <w:tc>
          <w:tcPr>
            <w:tcW w:w="1101" w:type="dxa"/>
            <w:shd w:val="clear" w:color="auto" w:fill="D9D9D9"/>
          </w:tcPr>
          <w:p w:rsidR="00F45DFB" w:rsidRPr="00201427" w:rsidRDefault="00F45DFB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A7 (c)</w:t>
            </w:r>
          </w:p>
        </w:tc>
        <w:tc>
          <w:tcPr>
            <w:tcW w:w="8141" w:type="dxa"/>
            <w:shd w:val="clear" w:color="auto" w:fill="FFFFFF"/>
          </w:tcPr>
          <w:p w:rsidR="00F45DFB" w:rsidRPr="00201427" w:rsidRDefault="00F45DFB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54814" w:rsidRPr="00201427" w:rsidTr="0051181C">
        <w:tc>
          <w:tcPr>
            <w:tcW w:w="1101" w:type="dxa"/>
            <w:shd w:val="clear" w:color="auto" w:fill="D9D9D9"/>
          </w:tcPr>
          <w:p w:rsidR="00BE2D0F" w:rsidRPr="00201427" w:rsidRDefault="004742B9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Q8</w:t>
            </w:r>
          </w:p>
        </w:tc>
        <w:tc>
          <w:tcPr>
            <w:tcW w:w="8141" w:type="dxa"/>
            <w:shd w:val="clear" w:color="auto" w:fill="D9D9D9"/>
          </w:tcPr>
          <w:p w:rsidR="00BE2D0F" w:rsidRPr="00201427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OTHER INFORMATION</w:t>
            </w:r>
          </w:p>
          <w:p w:rsidR="003C5044" w:rsidRPr="00201427" w:rsidRDefault="00BE2D0F" w:rsidP="00922ED0">
            <w:pPr>
              <w:spacing w:after="0" w:line="240" w:lineRule="auto"/>
              <w:rPr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 xml:space="preserve">Are there any other issues the council should take into account when compiling the contract in order to </w:t>
            </w:r>
            <w:r w:rsidR="00922ED0" w:rsidRPr="00201427">
              <w:rPr>
                <w:sz w:val="24"/>
                <w:szCs w:val="24"/>
              </w:rPr>
              <w:t>achieve</w:t>
            </w:r>
            <w:r w:rsidRPr="00201427">
              <w:rPr>
                <w:sz w:val="24"/>
                <w:szCs w:val="24"/>
              </w:rPr>
              <w:t xml:space="preserve"> best value </w:t>
            </w:r>
            <w:r w:rsidR="00922ED0" w:rsidRPr="00201427">
              <w:rPr>
                <w:sz w:val="24"/>
                <w:szCs w:val="24"/>
              </w:rPr>
              <w:t>from its delivery</w:t>
            </w:r>
            <w:r w:rsidRPr="00201427">
              <w:rPr>
                <w:sz w:val="24"/>
                <w:szCs w:val="24"/>
              </w:rPr>
              <w:t xml:space="preserve">? </w:t>
            </w:r>
          </w:p>
          <w:p w:rsidR="00BE2D0F" w:rsidRPr="00201427" w:rsidRDefault="00BE2D0F" w:rsidP="00922ED0">
            <w:pPr>
              <w:spacing w:after="0" w:line="240" w:lineRule="auto"/>
              <w:rPr>
                <w:sz w:val="24"/>
                <w:szCs w:val="24"/>
              </w:rPr>
            </w:pPr>
            <w:r w:rsidRPr="00201427">
              <w:rPr>
                <w:sz w:val="24"/>
                <w:szCs w:val="24"/>
              </w:rPr>
              <w:t>If more than one, please list in priority order with the most important first and give a brief explanation of each.</w:t>
            </w:r>
          </w:p>
        </w:tc>
      </w:tr>
      <w:tr w:rsidR="00754814" w:rsidRPr="00201427" w:rsidTr="0051181C">
        <w:tc>
          <w:tcPr>
            <w:tcW w:w="1101" w:type="dxa"/>
            <w:shd w:val="clear" w:color="auto" w:fill="D9D9D9"/>
          </w:tcPr>
          <w:p w:rsidR="00BE2D0F" w:rsidRPr="00201427" w:rsidRDefault="004742B9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A8</w:t>
            </w:r>
          </w:p>
        </w:tc>
        <w:tc>
          <w:tcPr>
            <w:tcW w:w="8141" w:type="dxa"/>
            <w:shd w:val="clear" w:color="auto" w:fill="auto"/>
          </w:tcPr>
          <w:p w:rsidR="00BE2D0F" w:rsidRPr="00201427" w:rsidRDefault="00BE2D0F" w:rsidP="00BE2D0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01427" w:rsidRPr="00201427" w:rsidRDefault="0064775A" w:rsidP="00BE2D0F">
      <w:pPr>
        <w:rPr>
          <w:sz w:val="24"/>
          <w:szCs w:val="24"/>
        </w:rPr>
      </w:pPr>
      <w:r w:rsidRPr="00201427">
        <w:rPr>
          <w:sz w:val="24"/>
          <w:szCs w:val="24"/>
        </w:rPr>
        <w:t xml:space="preserve">Please return this questionnaire no later than 17:00 on </w:t>
      </w:r>
      <w:r w:rsidR="0062623A">
        <w:rPr>
          <w:b/>
          <w:sz w:val="24"/>
          <w:szCs w:val="24"/>
        </w:rPr>
        <w:t>30</w:t>
      </w:r>
      <w:r w:rsidR="0062623A" w:rsidRPr="0062623A">
        <w:rPr>
          <w:b/>
          <w:sz w:val="24"/>
          <w:szCs w:val="24"/>
          <w:vertAlign w:val="superscript"/>
        </w:rPr>
        <w:t>th</w:t>
      </w:r>
      <w:r w:rsidR="0062623A">
        <w:rPr>
          <w:b/>
          <w:sz w:val="24"/>
          <w:szCs w:val="24"/>
        </w:rPr>
        <w:t xml:space="preserve"> November</w:t>
      </w:r>
      <w:r w:rsidR="004742B9" w:rsidRPr="00201427">
        <w:rPr>
          <w:b/>
          <w:sz w:val="24"/>
          <w:szCs w:val="24"/>
        </w:rPr>
        <w:t xml:space="preserve"> 2017</w:t>
      </w:r>
      <w:r w:rsidR="00201427" w:rsidRPr="00201427">
        <w:rPr>
          <w:sz w:val="24"/>
          <w:szCs w:val="24"/>
        </w:rPr>
        <w:t xml:space="preserve"> through the Pro-Contract portal at </w:t>
      </w:r>
      <w:hyperlink r:id="rId8" w:history="1">
        <w:r w:rsidR="00201427" w:rsidRPr="00201427">
          <w:rPr>
            <w:rStyle w:val="Hyperlink"/>
            <w:sz w:val="24"/>
            <w:szCs w:val="24"/>
          </w:rPr>
          <w:t>https://procontract.due-north.com/Login</w:t>
        </w:r>
      </w:hyperlink>
    </w:p>
    <w:p w:rsidR="009C7201" w:rsidRDefault="009C7201" w:rsidP="00BE2D0F">
      <w:pPr>
        <w:rPr>
          <w:sz w:val="24"/>
          <w:szCs w:val="24"/>
        </w:rPr>
      </w:pPr>
    </w:p>
    <w:p w:rsidR="009C7201" w:rsidRDefault="009C7201" w:rsidP="00BE2D0F">
      <w:pPr>
        <w:rPr>
          <w:sz w:val="24"/>
          <w:szCs w:val="24"/>
        </w:rPr>
      </w:pPr>
    </w:p>
    <w:p w:rsidR="00BE2D0F" w:rsidRPr="00201427" w:rsidRDefault="00BE2D0F" w:rsidP="00BE2D0F">
      <w:pPr>
        <w:rPr>
          <w:sz w:val="24"/>
          <w:szCs w:val="24"/>
        </w:rPr>
      </w:pPr>
      <w:r w:rsidRPr="00201427">
        <w:rPr>
          <w:sz w:val="24"/>
          <w:szCs w:val="24"/>
        </w:rPr>
        <w:lastRenderedPageBreak/>
        <w:t xml:space="preserve">We may have </w:t>
      </w:r>
      <w:r w:rsidR="00103CAD" w:rsidRPr="00201427">
        <w:rPr>
          <w:sz w:val="24"/>
          <w:szCs w:val="24"/>
        </w:rPr>
        <w:t>some</w:t>
      </w:r>
      <w:r w:rsidRPr="00201427">
        <w:rPr>
          <w:sz w:val="24"/>
          <w:szCs w:val="24"/>
        </w:rPr>
        <w:t xml:space="preserve"> follow up </w:t>
      </w:r>
      <w:r w:rsidR="0064775A" w:rsidRPr="00201427">
        <w:rPr>
          <w:sz w:val="24"/>
          <w:szCs w:val="24"/>
        </w:rPr>
        <w:t>questions;</w:t>
      </w:r>
      <w:r w:rsidRPr="00201427">
        <w:rPr>
          <w:sz w:val="24"/>
          <w:szCs w:val="24"/>
        </w:rPr>
        <w:t xml:space="preserve"> it would </w:t>
      </w:r>
      <w:r w:rsidR="0064775A" w:rsidRPr="00201427">
        <w:rPr>
          <w:sz w:val="24"/>
          <w:szCs w:val="24"/>
        </w:rPr>
        <w:t xml:space="preserve">be </w:t>
      </w:r>
      <w:r w:rsidRPr="00201427">
        <w:rPr>
          <w:sz w:val="24"/>
          <w:szCs w:val="24"/>
        </w:rPr>
        <w:t>appreciated if you provide contact details below</w:t>
      </w:r>
      <w:r w:rsidR="0064775A" w:rsidRPr="00201427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754814" w:rsidRPr="00201427" w:rsidTr="0051181C">
        <w:tc>
          <w:tcPr>
            <w:tcW w:w="1526" w:type="dxa"/>
            <w:shd w:val="clear" w:color="auto" w:fill="D9D9D9"/>
          </w:tcPr>
          <w:p w:rsidR="00BE2D0F" w:rsidRPr="00201427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7716" w:type="dxa"/>
            <w:shd w:val="clear" w:color="auto" w:fill="auto"/>
          </w:tcPr>
          <w:p w:rsidR="00BE2D0F" w:rsidRPr="00201427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BE2D0F" w:rsidRPr="00201427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4814" w:rsidRPr="00201427" w:rsidTr="0051181C">
        <w:tc>
          <w:tcPr>
            <w:tcW w:w="1526" w:type="dxa"/>
            <w:shd w:val="clear" w:color="auto" w:fill="D9D9D9"/>
          </w:tcPr>
          <w:p w:rsidR="00BE2D0F" w:rsidRPr="00201427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7716" w:type="dxa"/>
            <w:shd w:val="clear" w:color="auto" w:fill="auto"/>
          </w:tcPr>
          <w:p w:rsidR="00BE2D0F" w:rsidRPr="00201427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BE2D0F" w:rsidRPr="00201427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4814" w:rsidRPr="00201427" w:rsidTr="0051181C">
        <w:tc>
          <w:tcPr>
            <w:tcW w:w="1526" w:type="dxa"/>
            <w:shd w:val="clear" w:color="auto" w:fill="D9D9D9"/>
          </w:tcPr>
          <w:p w:rsidR="00BE2D0F" w:rsidRPr="00201427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7716" w:type="dxa"/>
            <w:shd w:val="clear" w:color="auto" w:fill="auto"/>
          </w:tcPr>
          <w:p w:rsidR="00BE2D0F" w:rsidRPr="00201427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BE2D0F" w:rsidRPr="00201427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4814" w:rsidRPr="00201427" w:rsidTr="0051181C">
        <w:tc>
          <w:tcPr>
            <w:tcW w:w="1526" w:type="dxa"/>
            <w:shd w:val="clear" w:color="auto" w:fill="D9D9D9"/>
          </w:tcPr>
          <w:p w:rsidR="00BE2D0F" w:rsidRPr="00201427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42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716" w:type="dxa"/>
            <w:shd w:val="clear" w:color="auto" w:fill="auto"/>
          </w:tcPr>
          <w:p w:rsidR="00BE2D0F" w:rsidRPr="00201427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BE2D0F" w:rsidRPr="00201427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E2D0F" w:rsidRPr="00201427" w:rsidRDefault="00BE2D0F" w:rsidP="00BE2D0F">
      <w:pPr>
        <w:rPr>
          <w:sz w:val="24"/>
          <w:szCs w:val="24"/>
        </w:rPr>
      </w:pPr>
      <w:bookmarkStart w:id="0" w:name="_GoBack"/>
      <w:bookmarkEnd w:id="0"/>
    </w:p>
    <w:p w:rsidR="00532D1B" w:rsidRPr="00201427" w:rsidRDefault="00BE2D0F" w:rsidP="00201427">
      <w:pPr>
        <w:jc w:val="both"/>
        <w:rPr>
          <w:sz w:val="24"/>
          <w:szCs w:val="24"/>
        </w:rPr>
      </w:pPr>
      <w:r w:rsidRPr="00201427">
        <w:rPr>
          <w:sz w:val="24"/>
          <w:szCs w:val="24"/>
        </w:rPr>
        <w:t xml:space="preserve">Equally, if you would like further information to assist you in responding to this questionnaire, please contact </w:t>
      </w:r>
      <w:r w:rsidR="004742B9" w:rsidRPr="00201427">
        <w:rPr>
          <w:sz w:val="24"/>
          <w:szCs w:val="24"/>
        </w:rPr>
        <w:t>Reena Fehnert</w:t>
      </w:r>
      <w:r w:rsidR="004E0790" w:rsidRPr="00201427">
        <w:rPr>
          <w:sz w:val="24"/>
          <w:szCs w:val="24"/>
        </w:rPr>
        <w:t xml:space="preserve"> </w:t>
      </w:r>
      <w:r w:rsidR="00201427" w:rsidRPr="00201427">
        <w:rPr>
          <w:sz w:val="24"/>
          <w:szCs w:val="24"/>
        </w:rPr>
        <w:t xml:space="preserve">through the Pro-Contract portal at </w:t>
      </w:r>
      <w:hyperlink r:id="rId9" w:history="1">
        <w:r w:rsidR="00201427" w:rsidRPr="00201427">
          <w:rPr>
            <w:rStyle w:val="Hyperlink"/>
            <w:sz w:val="24"/>
            <w:szCs w:val="24"/>
          </w:rPr>
          <w:t>https://procontract.due-north.com/Login</w:t>
        </w:r>
      </w:hyperlink>
      <w:r w:rsidR="00201427" w:rsidRPr="00201427">
        <w:rPr>
          <w:sz w:val="24"/>
          <w:szCs w:val="24"/>
        </w:rPr>
        <w:t xml:space="preserve"> </w:t>
      </w:r>
    </w:p>
    <w:p w:rsidR="00201427" w:rsidRPr="00201427" w:rsidRDefault="00201427">
      <w:pPr>
        <w:rPr>
          <w:sz w:val="24"/>
          <w:szCs w:val="24"/>
          <w:lang w:val="en"/>
        </w:rPr>
      </w:pPr>
    </w:p>
    <w:sectPr w:rsidR="00201427" w:rsidRPr="0020142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43" w:rsidRDefault="00FB6E43">
      <w:pPr>
        <w:spacing w:after="0" w:line="240" w:lineRule="auto"/>
      </w:pPr>
      <w:r>
        <w:separator/>
      </w:r>
    </w:p>
  </w:endnote>
  <w:endnote w:type="continuationSeparator" w:id="0">
    <w:p w:rsidR="00FB6E43" w:rsidRDefault="00FB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B1" w:rsidRDefault="00AB09E7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C7201">
      <w:rPr>
        <w:noProof/>
      </w:rPr>
      <w:t>1</w:t>
    </w:r>
    <w:r>
      <w:rPr>
        <w:noProof/>
      </w:rPr>
      <w:fldChar w:fldCharType="end"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43" w:rsidRDefault="00FB6E43">
      <w:pPr>
        <w:spacing w:after="0" w:line="240" w:lineRule="auto"/>
      </w:pPr>
      <w:r>
        <w:separator/>
      </w:r>
    </w:p>
  </w:footnote>
  <w:footnote w:type="continuationSeparator" w:id="0">
    <w:p w:rsidR="00FB6E43" w:rsidRDefault="00FB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B1" w:rsidRDefault="00BE2D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-221615</wp:posOffset>
          </wp:positionV>
          <wp:extent cx="2400300" cy="683260"/>
          <wp:effectExtent l="0" t="0" r="0" b="2540"/>
          <wp:wrapNone/>
          <wp:docPr id="1" name="Picture 1" descr="LCC imp black 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imp black 5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9E7">
      <w:tab/>
    </w:r>
    <w:r w:rsidR="00AB09E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5CF"/>
    <w:multiLevelType w:val="hybridMultilevel"/>
    <w:tmpl w:val="D21A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6F6A"/>
    <w:multiLevelType w:val="multilevel"/>
    <w:tmpl w:val="DBD04ED2"/>
    <w:lvl w:ilvl="0">
      <w:start w:val="1"/>
      <w:numFmt w:val="decimal"/>
      <w:pStyle w:val="Heading1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C63745"/>
    <w:multiLevelType w:val="hybridMultilevel"/>
    <w:tmpl w:val="43AC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3EE6"/>
    <w:multiLevelType w:val="hybridMultilevel"/>
    <w:tmpl w:val="A4EC96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56D54"/>
    <w:multiLevelType w:val="hybridMultilevel"/>
    <w:tmpl w:val="E326B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7E71"/>
    <w:multiLevelType w:val="hybridMultilevel"/>
    <w:tmpl w:val="2E2493A2"/>
    <w:lvl w:ilvl="0" w:tplc="12128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20C8"/>
    <w:multiLevelType w:val="hybridMultilevel"/>
    <w:tmpl w:val="4F7CA85E"/>
    <w:lvl w:ilvl="0" w:tplc="4F0295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951F8"/>
    <w:multiLevelType w:val="hybridMultilevel"/>
    <w:tmpl w:val="BC1C21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B32DA"/>
    <w:multiLevelType w:val="hybridMultilevel"/>
    <w:tmpl w:val="2CC4C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D7E60"/>
    <w:multiLevelType w:val="hybridMultilevel"/>
    <w:tmpl w:val="A432B1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74633"/>
    <w:multiLevelType w:val="hybridMultilevel"/>
    <w:tmpl w:val="A4FAA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4835"/>
    <w:multiLevelType w:val="hybridMultilevel"/>
    <w:tmpl w:val="BC5EF9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948A9"/>
    <w:multiLevelType w:val="hybridMultilevel"/>
    <w:tmpl w:val="A4FAA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D17"/>
    <w:multiLevelType w:val="hybridMultilevel"/>
    <w:tmpl w:val="A07E8FCE"/>
    <w:lvl w:ilvl="0" w:tplc="F84AE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43FE7"/>
    <w:multiLevelType w:val="hybridMultilevel"/>
    <w:tmpl w:val="E5BCE2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690B56"/>
    <w:multiLevelType w:val="hybridMultilevel"/>
    <w:tmpl w:val="A4EC96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583882"/>
    <w:multiLevelType w:val="hybridMultilevel"/>
    <w:tmpl w:val="C3B0BD90"/>
    <w:lvl w:ilvl="0" w:tplc="3A40F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E4F48"/>
    <w:multiLevelType w:val="hybridMultilevel"/>
    <w:tmpl w:val="9508E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30248"/>
    <w:multiLevelType w:val="hybridMultilevel"/>
    <w:tmpl w:val="5FF4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C197C"/>
    <w:multiLevelType w:val="hybridMultilevel"/>
    <w:tmpl w:val="BD52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F66E2"/>
    <w:multiLevelType w:val="hybridMultilevel"/>
    <w:tmpl w:val="582040BA"/>
    <w:lvl w:ilvl="0" w:tplc="488475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B0EA2"/>
    <w:multiLevelType w:val="hybridMultilevel"/>
    <w:tmpl w:val="185E2C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9538E"/>
    <w:multiLevelType w:val="hybridMultilevel"/>
    <w:tmpl w:val="6FA0AE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31DFB"/>
    <w:multiLevelType w:val="hybridMultilevel"/>
    <w:tmpl w:val="A1FE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452A3"/>
    <w:multiLevelType w:val="hybridMultilevel"/>
    <w:tmpl w:val="A4E0B52E"/>
    <w:lvl w:ilvl="0" w:tplc="DC3210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204ED"/>
    <w:multiLevelType w:val="hybridMultilevel"/>
    <w:tmpl w:val="5E3E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B2258"/>
    <w:multiLevelType w:val="hybridMultilevel"/>
    <w:tmpl w:val="8DFA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21"/>
  </w:num>
  <w:num w:numId="8">
    <w:abstractNumId w:val="16"/>
  </w:num>
  <w:num w:numId="9">
    <w:abstractNumId w:val="20"/>
  </w:num>
  <w:num w:numId="10">
    <w:abstractNumId w:val="6"/>
  </w:num>
  <w:num w:numId="11">
    <w:abstractNumId w:val="13"/>
  </w:num>
  <w:num w:numId="12">
    <w:abstractNumId w:val="24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9"/>
  </w:num>
  <w:num w:numId="18">
    <w:abstractNumId w:val="10"/>
  </w:num>
  <w:num w:numId="19">
    <w:abstractNumId w:val="22"/>
  </w:num>
  <w:num w:numId="20">
    <w:abstractNumId w:val="26"/>
  </w:num>
  <w:num w:numId="21">
    <w:abstractNumId w:val="25"/>
  </w:num>
  <w:num w:numId="22">
    <w:abstractNumId w:val="18"/>
  </w:num>
  <w:num w:numId="23">
    <w:abstractNumId w:val="15"/>
  </w:num>
  <w:num w:numId="24">
    <w:abstractNumId w:val="9"/>
  </w:num>
  <w:num w:numId="25">
    <w:abstractNumId w:val="17"/>
  </w:num>
  <w:num w:numId="26">
    <w:abstractNumId w:val="0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0F"/>
    <w:rsid w:val="00005846"/>
    <w:rsid w:val="000500CF"/>
    <w:rsid w:val="000807CC"/>
    <w:rsid w:val="00103CAD"/>
    <w:rsid w:val="00107D75"/>
    <w:rsid w:val="00116AA3"/>
    <w:rsid w:val="001307FD"/>
    <w:rsid w:val="00135FEE"/>
    <w:rsid w:val="00141048"/>
    <w:rsid w:val="001457D0"/>
    <w:rsid w:val="00166ABE"/>
    <w:rsid w:val="00171182"/>
    <w:rsid w:val="00177C55"/>
    <w:rsid w:val="0019245F"/>
    <w:rsid w:val="001F0BCF"/>
    <w:rsid w:val="00201427"/>
    <w:rsid w:val="00202A6B"/>
    <w:rsid w:val="00206760"/>
    <w:rsid w:val="002343CC"/>
    <w:rsid w:val="00252845"/>
    <w:rsid w:val="0027418C"/>
    <w:rsid w:val="002805B5"/>
    <w:rsid w:val="002B7F18"/>
    <w:rsid w:val="002D05F1"/>
    <w:rsid w:val="002D2BD1"/>
    <w:rsid w:val="00327175"/>
    <w:rsid w:val="00343705"/>
    <w:rsid w:val="00347C54"/>
    <w:rsid w:val="00366C6F"/>
    <w:rsid w:val="00392D92"/>
    <w:rsid w:val="003A2FE0"/>
    <w:rsid w:val="003B4530"/>
    <w:rsid w:val="003C5044"/>
    <w:rsid w:val="00410416"/>
    <w:rsid w:val="00412602"/>
    <w:rsid w:val="004742B9"/>
    <w:rsid w:val="004C016F"/>
    <w:rsid w:val="004D6A04"/>
    <w:rsid w:val="004E0790"/>
    <w:rsid w:val="005210CC"/>
    <w:rsid w:val="005659EF"/>
    <w:rsid w:val="005B173C"/>
    <w:rsid w:val="00617D73"/>
    <w:rsid w:val="0062623A"/>
    <w:rsid w:val="0064775A"/>
    <w:rsid w:val="006B3118"/>
    <w:rsid w:val="00720CC3"/>
    <w:rsid w:val="00754814"/>
    <w:rsid w:val="0078441C"/>
    <w:rsid w:val="007A5C60"/>
    <w:rsid w:val="007F1B10"/>
    <w:rsid w:val="008113B7"/>
    <w:rsid w:val="00850E3F"/>
    <w:rsid w:val="0087744F"/>
    <w:rsid w:val="00880897"/>
    <w:rsid w:val="00895B10"/>
    <w:rsid w:val="00922ED0"/>
    <w:rsid w:val="009908CF"/>
    <w:rsid w:val="009C0EDD"/>
    <w:rsid w:val="009C7201"/>
    <w:rsid w:val="00A07F88"/>
    <w:rsid w:val="00A14D24"/>
    <w:rsid w:val="00A35B7B"/>
    <w:rsid w:val="00A46861"/>
    <w:rsid w:val="00A560AA"/>
    <w:rsid w:val="00A71B2A"/>
    <w:rsid w:val="00A73A9E"/>
    <w:rsid w:val="00A74642"/>
    <w:rsid w:val="00AB09E7"/>
    <w:rsid w:val="00B424A1"/>
    <w:rsid w:val="00B6743C"/>
    <w:rsid w:val="00B81F49"/>
    <w:rsid w:val="00B82BC1"/>
    <w:rsid w:val="00B95BEF"/>
    <w:rsid w:val="00BA461A"/>
    <w:rsid w:val="00BA4B30"/>
    <w:rsid w:val="00BB1BE8"/>
    <w:rsid w:val="00BC563E"/>
    <w:rsid w:val="00BE2D0F"/>
    <w:rsid w:val="00BF00CE"/>
    <w:rsid w:val="00C35679"/>
    <w:rsid w:val="00C35E5D"/>
    <w:rsid w:val="00C416B1"/>
    <w:rsid w:val="00C77347"/>
    <w:rsid w:val="00C80EE4"/>
    <w:rsid w:val="00D17B95"/>
    <w:rsid w:val="00D944B0"/>
    <w:rsid w:val="00DC5F94"/>
    <w:rsid w:val="00DC6ED0"/>
    <w:rsid w:val="00DE1C87"/>
    <w:rsid w:val="00E426F6"/>
    <w:rsid w:val="00E6356E"/>
    <w:rsid w:val="00E823EF"/>
    <w:rsid w:val="00E859F7"/>
    <w:rsid w:val="00E87769"/>
    <w:rsid w:val="00E8791C"/>
    <w:rsid w:val="00EC5AFF"/>
    <w:rsid w:val="00EC6ECB"/>
    <w:rsid w:val="00ED316D"/>
    <w:rsid w:val="00F065FD"/>
    <w:rsid w:val="00F45DFB"/>
    <w:rsid w:val="00F70B08"/>
    <w:rsid w:val="00FB6E43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0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5AFF"/>
    <w:pPr>
      <w:numPr>
        <w:numId w:val="14"/>
      </w:numPr>
      <w:outlineLvl w:val="0"/>
    </w:pPr>
    <w:rPr>
      <w:rFonts w:cs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2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0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56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EC5AFF"/>
    <w:rPr>
      <w:rFonts w:ascii="Calibri" w:eastAsia="Calibri" w:hAnsi="Calibri" w:cs="Arial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77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F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FD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6A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0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5AFF"/>
    <w:pPr>
      <w:numPr>
        <w:numId w:val="14"/>
      </w:numPr>
      <w:outlineLvl w:val="0"/>
    </w:pPr>
    <w:rPr>
      <w:rFonts w:cs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2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0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56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EC5AFF"/>
    <w:rPr>
      <w:rFonts w:ascii="Calibri" w:eastAsia="Calibri" w:hAnsi="Calibri" w:cs="Arial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77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F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FD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6A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ontract.due-north.com/Log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contract.due-north.com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Johnston</dc:creator>
  <cp:lastModifiedBy>Reena Fehnert</cp:lastModifiedBy>
  <cp:revision>3</cp:revision>
  <cp:lastPrinted>2017-08-16T10:45:00Z</cp:lastPrinted>
  <dcterms:created xsi:type="dcterms:W3CDTF">2017-10-30T14:02:00Z</dcterms:created>
  <dcterms:modified xsi:type="dcterms:W3CDTF">2017-10-30T14:10:00Z</dcterms:modified>
</cp:coreProperties>
</file>