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80397" w14:textId="5BFFBB36" w:rsidR="006763C6" w:rsidRDefault="006763C6" w:rsidP="00FD6224">
      <w:pPr>
        <w:ind w:left="-540"/>
        <w:jc w:val="both"/>
        <w:rPr>
          <w:rFonts w:ascii="Calibri" w:hAnsi="Calibri"/>
          <w:sz w:val="28"/>
        </w:rPr>
      </w:pPr>
    </w:p>
    <w:p w14:paraId="1AF7A04E" w14:textId="28CD998B" w:rsidR="006763C6" w:rsidRDefault="006763C6" w:rsidP="006763C6">
      <w:pPr>
        <w:ind w:left="-540"/>
        <w:jc w:val="right"/>
        <w:rPr>
          <w:rFonts w:ascii="Calibri" w:hAnsi="Calibri"/>
          <w:sz w:val="28"/>
        </w:rPr>
      </w:pPr>
      <w:r>
        <w:rPr>
          <w:rFonts w:ascii="Arial" w:hAnsi="Arial"/>
          <w:noProof/>
        </w:rPr>
        <w:drawing>
          <wp:inline distT="0" distB="0" distL="0" distR="0" wp14:anchorId="72882EBA" wp14:editId="6D758F7A">
            <wp:extent cx="1174750" cy="107259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6984" cy="1083768"/>
                    </a:xfrm>
                    <a:prstGeom prst="rect">
                      <a:avLst/>
                    </a:prstGeom>
                    <a:noFill/>
                    <a:ln>
                      <a:noFill/>
                    </a:ln>
                  </pic:spPr>
                </pic:pic>
              </a:graphicData>
            </a:graphic>
          </wp:inline>
        </w:drawing>
      </w:r>
    </w:p>
    <w:p w14:paraId="3FE5556E" w14:textId="09EB65D3" w:rsidR="00EF1F23" w:rsidRDefault="006763C6" w:rsidP="00616D79">
      <w:pPr>
        <w:ind w:left="-540"/>
        <w:jc w:val="both"/>
        <w:rPr>
          <w:rFonts w:eastAsiaTheme="minorEastAsia"/>
          <w:noProof/>
          <w:color w:val="000000"/>
          <w:shd w:val="clear" w:color="auto" w:fill="FFFFFF"/>
          <w:lang w:eastAsia="en-GB"/>
        </w:rPr>
      </w:pPr>
      <w:r>
        <w:rPr>
          <w:rFonts w:ascii="Calibri" w:hAnsi="Calibri"/>
          <w:sz w:val="28"/>
        </w:rPr>
        <w:br w:type="textWrapping" w:clear="all"/>
      </w:r>
      <w:r>
        <w:rPr>
          <w:rFonts w:ascii="Calibri" w:hAnsi="Calibri"/>
        </w:rPr>
        <w:tab/>
      </w:r>
      <w:r w:rsidR="00B7197A">
        <w:rPr>
          <w:rFonts w:ascii="Calibri" w:hAnsi="Calibri"/>
        </w:rPr>
        <w:tab/>
      </w:r>
      <w:r w:rsidR="00B7197A">
        <w:rPr>
          <w:rFonts w:ascii="Calibri" w:hAnsi="Calibri"/>
        </w:rPr>
        <w:tab/>
      </w:r>
    </w:p>
    <w:p w14:paraId="5C0B220B" w14:textId="77777777" w:rsidR="00EF1F23" w:rsidRDefault="00EF1F23" w:rsidP="00C73F70">
      <w:pPr>
        <w:spacing w:before="0" w:after="0"/>
        <w:jc w:val="right"/>
        <w:rPr>
          <w:rFonts w:eastAsiaTheme="minorEastAsia"/>
          <w:noProof/>
          <w:color w:val="000000"/>
          <w:shd w:val="clear" w:color="auto" w:fill="FFFFFF"/>
          <w:lang w:eastAsia="en-GB"/>
        </w:rPr>
      </w:pPr>
      <w:r>
        <w:rPr>
          <w:rFonts w:eastAsiaTheme="minorEastAsia"/>
          <w:noProof/>
          <w:color w:val="000000"/>
          <w:shd w:val="clear" w:color="auto" w:fill="FFFFFF"/>
          <w:lang w:eastAsia="en-GB"/>
        </w:rPr>
        <w:t xml:space="preserve">11 Broad Street West, </w:t>
      </w:r>
    </w:p>
    <w:p w14:paraId="3225EBF8" w14:textId="77777777" w:rsidR="00EF1F23" w:rsidRDefault="00EF1F23" w:rsidP="00C73F70">
      <w:pPr>
        <w:spacing w:before="0" w:after="0"/>
        <w:jc w:val="right"/>
        <w:rPr>
          <w:rFonts w:eastAsiaTheme="minorEastAsia"/>
          <w:noProof/>
          <w:color w:val="000000"/>
          <w:shd w:val="clear" w:color="auto" w:fill="FFFFFF"/>
          <w:lang w:eastAsia="en-GB"/>
        </w:rPr>
      </w:pPr>
      <w:r>
        <w:rPr>
          <w:rFonts w:eastAsiaTheme="minorEastAsia"/>
          <w:noProof/>
          <w:color w:val="000000"/>
          <w:shd w:val="clear" w:color="auto" w:fill="FFFFFF"/>
          <w:lang w:eastAsia="en-GB"/>
        </w:rPr>
        <w:t xml:space="preserve">Sheffield, </w:t>
      </w:r>
    </w:p>
    <w:p w14:paraId="73DA591D" w14:textId="77777777" w:rsidR="00EF1F23" w:rsidRDefault="00EF1F23" w:rsidP="00C73F70">
      <w:pPr>
        <w:spacing w:before="0" w:after="0"/>
        <w:jc w:val="right"/>
        <w:rPr>
          <w:rFonts w:eastAsiaTheme="minorEastAsia"/>
          <w:noProof/>
          <w:lang w:eastAsia="en-GB"/>
        </w:rPr>
      </w:pPr>
      <w:r>
        <w:rPr>
          <w:rFonts w:eastAsiaTheme="minorEastAsia"/>
          <w:noProof/>
          <w:color w:val="000000"/>
          <w:shd w:val="clear" w:color="auto" w:fill="FFFFFF"/>
          <w:lang w:eastAsia="en-GB"/>
        </w:rPr>
        <w:t>S1 2BQ</w:t>
      </w:r>
    </w:p>
    <w:p w14:paraId="1A99AD71" w14:textId="7A4C50C2" w:rsidR="00EF1F23" w:rsidRPr="009B5F82" w:rsidRDefault="00EF1F23" w:rsidP="00C73F70">
      <w:pPr>
        <w:spacing w:before="0" w:after="0"/>
        <w:jc w:val="right"/>
        <w:rPr>
          <w:rFonts w:eastAsiaTheme="minorEastAsia"/>
          <w:noProof/>
          <w:lang w:eastAsia="en-GB"/>
        </w:rPr>
      </w:pPr>
      <w:r w:rsidRPr="009B5F82">
        <w:rPr>
          <w:rFonts w:eastAsiaTheme="minorEastAsia"/>
          <w:noProof/>
          <w:lang w:eastAsia="en-GB"/>
        </w:rPr>
        <w:t xml:space="preserve">Contact: </w:t>
      </w:r>
      <w:r w:rsidR="00581FA5">
        <w:rPr>
          <w:rFonts w:eastAsiaTheme="minorEastAsia"/>
          <w:noProof/>
          <w:lang w:eastAsia="en-GB"/>
        </w:rPr>
        <w:t>Mark Wright</w:t>
      </w:r>
    </w:p>
    <w:p w14:paraId="149F7DED" w14:textId="0B0EE7FB" w:rsidR="00EF1F23" w:rsidRPr="009B5F82" w:rsidRDefault="00EF1F23" w:rsidP="00C73F70">
      <w:pPr>
        <w:spacing w:before="0" w:after="0"/>
        <w:jc w:val="right"/>
        <w:rPr>
          <w:rFonts w:eastAsiaTheme="minorEastAsia"/>
          <w:noProof/>
          <w:lang w:eastAsia="en-GB"/>
        </w:rPr>
      </w:pPr>
      <w:r w:rsidRPr="009B5F82">
        <w:rPr>
          <w:rFonts w:eastAsiaTheme="minorEastAsia"/>
          <w:noProof/>
          <w:lang w:eastAsia="en-GB"/>
        </w:rPr>
        <w:t>Tel: 01</w:t>
      </w:r>
      <w:r>
        <w:rPr>
          <w:rFonts w:eastAsiaTheme="minorEastAsia"/>
          <w:noProof/>
          <w:lang w:eastAsia="en-GB"/>
        </w:rPr>
        <w:t>14</w:t>
      </w:r>
      <w:r w:rsidR="00D331AA">
        <w:rPr>
          <w:rFonts w:eastAsiaTheme="minorEastAsia"/>
          <w:noProof/>
          <w:lang w:eastAsia="en-GB"/>
        </w:rPr>
        <w:t xml:space="preserve"> 220</w:t>
      </w:r>
      <w:r w:rsidR="00E561D3">
        <w:rPr>
          <w:rFonts w:eastAsiaTheme="minorEastAsia"/>
          <w:noProof/>
          <w:lang w:eastAsia="en-GB"/>
        </w:rPr>
        <w:t>3351</w:t>
      </w:r>
      <w:r w:rsidRPr="009B5F82">
        <w:rPr>
          <w:rFonts w:eastAsiaTheme="minorEastAsia"/>
          <w:noProof/>
          <w:lang w:eastAsia="en-GB"/>
        </w:rPr>
        <w:t xml:space="preserve"> </w:t>
      </w:r>
    </w:p>
    <w:p w14:paraId="45AEB794" w14:textId="308B8027" w:rsidR="00EF1F23" w:rsidRDefault="00EF1F23" w:rsidP="00C73F70">
      <w:pPr>
        <w:spacing w:before="0" w:after="0"/>
        <w:jc w:val="right"/>
        <w:rPr>
          <w:rFonts w:eastAsiaTheme="minorEastAsia"/>
          <w:noProof/>
          <w:lang w:eastAsia="en-GB"/>
        </w:rPr>
      </w:pPr>
      <w:r w:rsidRPr="009B5F82">
        <w:rPr>
          <w:rFonts w:eastAsiaTheme="minorEastAsia"/>
          <w:noProof/>
          <w:lang w:eastAsia="en-GB"/>
        </w:rPr>
        <w:t xml:space="preserve">Email: </w:t>
      </w:r>
      <w:r w:rsidR="00FC0734">
        <w:rPr>
          <w:rFonts w:eastAsiaTheme="minorEastAsia"/>
          <w:noProof/>
          <w:lang w:eastAsia="en-GB"/>
        </w:rPr>
        <w:t>mark.wright@southyorkshire</w:t>
      </w:r>
      <w:r w:rsidR="008473B8">
        <w:rPr>
          <w:rFonts w:eastAsiaTheme="minorEastAsia"/>
          <w:noProof/>
          <w:lang w:eastAsia="en-GB"/>
        </w:rPr>
        <w:t>-ca.gov.uk</w:t>
      </w:r>
    </w:p>
    <w:p w14:paraId="5AC5715F" w14:textId="1E1A830C" w:rsidR="00EF1F23" w:rsidRPr="00E67AAA" w:rsidRDefault="00BF7ADA" w:rsidP="00C73F70">
      <w:pPr>
        <w:spacing w:before="0" w:after="0"/>
        <w:jc w:val="right"/>
        <w:rPr>
          <w:rFonts w:eastAsiaTheme="minorEastAsia"/>
          <w:noProof/>
          <w:shd w:val="clear" w:color="auto" w:fill="FFFFFF"/>
          <w:lang w:eastAsia="en-GB"/>
        </w:rPr>
      </w:pPr>
      <w:hyperlink r:id="rId10" w:history="1">
        <w:r w:rsidR="00EF1F23">
          <w:rPr>
            <w:rStyle w:val="Hyperlink"/>
            <w:rFonts w:eastAsiaTheme="minorEastAsia"/>
            <w:noProof/>
            <w:color w:val="0563C1"/>
            <w:lang w:eastAsia="en-GB"/>
          </w:rPr>
          <w:t>www.sheffieldcityregion.org.uk</w:t>
        </w:r>
      </w:hyperlink>
      <w:r w:rsidR="00EF1F23">
        <w:rPr>
          <w:rFonts w:eastAsiaTheme="minorEastAsia"/>
          <w:noProof/>
          <w:lang w:eastAsia="en-GB"/>
        </w:rPr>
        <w:t xml:space="preserve"> </w:t>
      </w:r>
      <w:r w:rsidR="00EF1F23">
        <w:rPr>
          <w:rFonts w:eastAsiaTheme="minorEastAsia"/>
          <w:noProof/>
          <w:lang w:eastAsia="en-GB"/>
        </w:rPr>
        <w:br/>
      </w:r>
      <w:r w:rsidR="00C73F70">
        <w:rPr>
          <w:rFonts w:eastAsiaTheme="minorEastAsia"/>
          <w:noProof/>
          <w:shd w:val="clear" w:color="auto" w:fill="FFFFFF"/>
          <w:lang w:eastAsia="en-GB"/>
        </w:rPr>
        <w:t>Date</w:t>
      </w:r>
      <w:r w:rsidR="00C73F70" w:rsidRPr="00E67AAA">
        <w:rPr>
          <w:rFonts w:eastAsiaTheme="minorEastAsia"/>
          <w:noProof/>
          <w:shd w:val="clear" w:color="auto" w:fill="FFFFFF"/>
          <w:lang w:eastAsia="en-GB"/>
        </w:rPr>
        <w:t>:</w:t>
      </w:r>
      <w:r w:rsidR="00E67AAA" w:rsidRPr="00E67AAA">
        <w:rPr>
          <w:rFonts w:eastAsiaTheme="minorEastAsia"/>
          <w:noProof/>
          <w:shd w:val="clear" w:color="auto" w:fill="FFFFFF"/>
          <w:lang w:eastAsia="en-GB"/>
        </w:rPr>
        <w:t xml:space="preserve"> </w:t>
      </w:r>
      <w:r w:rsidR="00C641B4">
        <w:rPr>
          <w:rFonts w:eastAsiaTheme="minorEastAsia"/>
          <w:noProof/>
          <w:shd w:val="clear" w:color="auto" w:fill="FFFFFF"/>
          <w:lang w:eastAsia="en-GB"/>
        </w:rPr>
        <w:t>January 2022</w:t>
      </w:r>
    </w:p>
    <w:p w14:paraId="639B23B9" w14:textId="77777777" w:rsidR="00EF1F23" w:rsidRPr="00E7321B" w:rsidRDefault="00EF1F23" w:rsidP="00EF1F23">
      <w:pPr>
        <w:jc w:val="right"/>
        <w:rPr>
          <w:rStyle w:val="Emphasis"/>
          <w:rFonts w:eastAsiaTheme="minorEastAsia"/>
        </w:rPr>
      </w:pPr>
    </w:p>
    <w:p w14:paraId="51B664B8" w14:textId="77777777" w:rsidR="00EF1F23" w:rsidRPr="00E7321B" w:rsidRDefault="00CD1E3B" w:rsidP="00E7321B">
      <w:pPr>
        <w:pStyle w:val="Body"/>
        <w:rPr>
          <w:rStyle w:val="Emphasis"/>
          <w:b/>
          <w:bCs/>
          <w:i w:val="0"/>
          <w:iCs w:val="0"/>
          <w:color w:val="76923C" w:themeColor="accent3" w:themeShade="BF"/>
          <w:sz w:val="28"/>
          <w:szCs w:val="28"/>
        </w:rPr>
      </w:pPr>
      <w:r w:rsidRPr="00E7321B">
        <w:rPr>
          <w:rStyle w:val="Emphasis"/>
          <w:b/>
          <w:bCs/>
          <w:i w:val="0"/>
          <w:iCs w:val="0"/>
          <w:color w:val="76923C" w:themeColor="accent3" w:themeShade="BF"/>
          <w:sz w:val="28"/>
          <w:szCs w:val="28"/>
        </w:rPr>
        <w:t xml:space="preserve">Invitation to Tender </w:t>
      </w:r>
      <w:r w:rsidR="00EF1F23" w:rsidRPr="00E7321B">
        <w:rPr>
          <w:rStyle w:val="Emphasis"/>
          <w:b/>
          <w:bCs/>
          <w:i w:val="0"/>
          <w:iCs w:val="0"/>
          <w:color w:val="76923C" w:themeColor="accent3" w:themeShade="BF"/>
          <w:sz w:val="28"/>
          <w:szCs w:val="28"/>
        </w:rPr>
        <w:t>Part 1</w:t>
      </w:r>
      <w:r>
        <w:rPr>
          <w:rStyle w:val="Emphasis"/>
          <w:b/>
          <w:bCs/>
          <w:i w:val="0"/>
          <w:iCs w:val="0"/>
          <w:color w:val="76923C" w:themeColor="accent3" w:themeShade="BF"/>
          <w:sz w:val="28"/>
          <w:szCs w:val="28"/>
        </w:rPr>
        <w:t xml:space="preserve"> - </w:t>
      </w:r>
      <w:r w:rsidR="00635F3B" w:rsidRPr="00E7321B">
        <w:rPr>
          <w:rStyle w:val="Emphasis"/>
          <w:b/>
          <w:bCs/>
          <w:i w:val="0"/>
          <w:iCs w:val="0"/>
          <w:color w:val="76923C" w:themeColor="accent3" w:themeShade="BF"/>
          <w:sz w:val="28"/>
          <w:szCs w:val="28"/>
        </w:rPr>
        <w:t>Instructions</w:t>
      </w:r>
    </w:p>
    <w:p w14:paraId="5D42D1FD" w14:textId="78F71B62" w:rsidR="00EF1F23" w:rsidRPr="009B5F82" w:rsidRDefault="00AC44E7" w:rsidP="00EF1F23">
      <w:pPr>
        <w:jc w:val="both"/>
        <w:rPr>
          <w:rFonts w:asciiTheme="minorHAnsi" w:hAnsiTheme="minorHAnsi" w:cstheme="minorHAnsi"/>
          <w:i/>
          <w:iCs/>
          <w:color w:val="FF0000"/>
        </w:rPr>
      </w:pPr>
      <w:r>
        <w:rPr>
          <w:rFonts w:asciiTheme="minorHAnsi" w:hAnsiTheme="minorHAnsi" w:cstheme="minorHAnsi"/>
        </w:rPr>
        <w:t>Title</w:t>
      </w:r>
      <w:r w:rsidR="00EF1F23" w:rsidRPr="009B5F82">
        <w:rPr>
          <w:rFonts w:asciiTheme="minorHAnsi" w:hAnsiTheme="minorHAnsi" w:cstheme="minorHAnsi"/>
        </w:rPr>
        <w:t xml:space="preserve">: </w:t>
      </w:r>
      <w:r w:rsidR="00FD3BFE" w:rsidRPr="004D062C">
        <w:rPr>
          <w:rFonts w:asciiTheme="minorHAnsi" w:hAnsiTheme="minorHAnsi" w:cstheme="minorHAnsi"/>
          <w:b/>
          <w:bCs/>
          <w:iCs/>
        </w:rPr>
        <w:t>Printing of the Mayoral Address Booklet for South Yorkshire Mayoral Combined Authority Mayoral Election 2022</w:t>
      </w:r>
      <w:r w:rsidR="00FD3BFE" w:rsidRPr="009B5F82">
        <w:rPr>
          <w:rFonts w:asciiTheme="minorHAnsi" w:hAnsiTheme="minorHAnsi" w:cstheme="minorHAnsi"/>
          <w:b/>
          <w:bCs/>
          <w:iCs/>
          <w:color w:val="FF0000"/>
        </w:rPr>
        <w:t xml:space="preserve"> </w:t>
      </w:r>
    </w:p>
    <w:p w14:paraId="78E04FFD" w14:textId="67B9F1EA" w:rsidR="00C24301" w:rsidRPr="00C24301" w:rsidRDefault="00EF1F23" w:rsidP="00C24301">
      <w:pPr>
        <w:jc w:val="both"/>
        <w:rPr>
          <w:rFonts w:asciiTheme="minorHAnsi" w:hAnsiTheme="minorHAnsi" w:cstheme="minorHAnsi"/>
        </w:rPr>
      </w:pPr>
      <w:r w:rsidRPr="009B5F82">
        <w:rPr>
          <w:rFonts w:asciiTheme="minorHAnsi" w:hAnsiTheme="minorHAnsi" w:cstheme="minorHAnsi"/>
        </w:rPr>
        <w:t>Reference:</w:t>
      </w:r>
      <w:r w:rsidR="00C641B4">
        <w:rPr>
          <w:rFonts w:asciiTheme="minorHAnsi" w:hAnsiTheme="minorHAnsi" w:cstheme="minorHAnsi"/>
        </w:rPr>
        <w:t xml:space="preserve"> </w:t>
      </w:r>
      <w:r w:rsidR="00C24301" w:rsidRPr="00C24301">
        <w:rPr>
          <w:rFonts w:asciiTheme="minorHAnsi" w:hAnsiTheme="minorHAnsi" w:cstheme="minorHAnsi"/>
          <w:b/>
          <w:bCs/>
        </w:rPr>
        <w:t>DN590112</w:t>
      </w:r>
    </w:p>
    <w:p w14:paraId="3E0B5588" w14:textId="77777777" w:rsidR="00C245B4" w:rsidRPr="004964C0" w:rsidRDefault="00C245B4" w:rsidP="00C245B4">
      <w:pPr>
        <w:jc w:val="both"/>
        <w:rPr>
          <w:rFonts w:asciiTheme="minorHAnsi" w:hAnsiTheme="minorHAnsi" w:cstheme="minorHAnsi"/>
          <w:b/>
          <w:i/>
          <w:iCs/>
        </w:rPr>
      </w:pPr>
      <w:r>
        <w:rPr>
          <w:rFonts w:asciiTheme="minorHAnsi" w:hAnsiTheme="minorHAnsi" w:cstheme="minorHAnsi"/>
          <w:bCs/>
        </w:rPr>
        <w:t>Tender</w:t>
      </w:r>
      <w:r w:rsidRPr="009B5F82">
        <w:rPr>
          <w:rFonts w:asciiTheme="minorHAnsi" w:hAnsiTheme="minorHAnsi" w:cstheme="minorHAnsi"/>
          <w:bCs/>
        </w:rPr>
        <w:t xml:space="preserve"> return deadline:</w:t>
      </w:r>
      <w:r w:rsidRPr="009B5F82">
        <w:rPr>
          <w:rFonts w:asciiTheme="minorHAnsi" w:hAnsiTheme="minorHAnsi" w:cstheme="minorHAnsi"/>
          <w:b/>
        </w:rPr>
        <w:t xml:space="preserve"> </w:t>
      </w:r>
      <w:r w:rsidRPr="004964C0">
        <w:rPr>
          <w:rFonts w:asciiTheme="minorHAnsi" w:hAnsiTheme="minorHAnsi" w:cstheme="minorHAnsi"/>
          <w:b/>
        </w:rPr>
        <w:t xml:space="preserve">12 noon on </w:t>
      </w:r>
      <w:r>
        <w:rPr>
          <w:rFonts w:asciiTheme="minorHAnsi" w:hAnsiTheme="minorHAnsi" w:cstheme="minorHAnsi"/>
          <w:b/>
        </w:rPr>
        <w:t>Friday 04</w:t>
      </w:r>
      <w:r w:rsidRPr="004964C0">
        <w:rPr>
          <w:rFonts w:asciiTheme="minorHAnsi" w:hAnsiTheme="minorHAnsi" w:cstheme="minorHAnsi"/>
          <w:b/>
        </w:rPr>
        <w:t>/02/2022</w:t>
      </w:r>
    </w:p>
    <w:p w14:paraId="6FDC5CCE" w14:textId="77777777" w:rsidR="00EF1F23" w:rsidRPr="00C73F70" w:rsidRDefault="00EF1F23" w:rsidP="00EF1F23">
      <w:pPr>
        <w:ind w:right="624"/>
        <w:rPr>
          <w:rFonts w:ascii="Arial" w:hAnsi="Arial"/>
          <w:szCs w:val="22"/>
        </w:rPr>
      </w:pPr>
    </w:p>
    <w:p w14:paraId="73E13A67" w14:textId="5E9FC9C4" w:rsidR="00EF1F23" w:rsidRPr="006A6AA3" w:rsidRDefault="00EF1F23" w:rsidP="00C73F70">
      <w:pPr>
        <w:ind w:right="624"/>
      </w:pPr>
      <w:r w:rsidRPr="006A6AA3">
        <w:t xml:space="preserve">You are invited to submit a </w:t>
      </w:r>
      <w:r w:rsidR="00AC44E7">
        <w:t xml:space="preserve">tender </w:t>
      </w:r>
      <w:r w:rsidRPr="006A6AA3">
        <w:t xml:space="preserve">for the above contract and the following documents are available on the </w:t>
      </w:r>
      <w:r w:rsidR="00584482">
        <w:t>ProContract</w:t>
      </w:r>
      <w:r w:rsidRPr="006A6AA3">
        <w:t xml:space="preserve"> system to enable you to submit your </w:t>
      </w:r>
      <w:r w:rsidR="00AC44E7">
        <w:t xml:space="preserve">tender </w:t>
      </w:r>
      <w:r w:rsidRPr="006A6AA3">
        <w:t xml:space="preserve">electronically. </w:t>
      </w:r>
    </w:p>
    <w:p w14:paraId="228A6D18" w14:textId="77777777" w:rsidR="00EF1F23" w:rsidRPr="00EF1F23" w:rsidRDefault="00CD1E3B" w:rsidP="00C73F70">
      <w:pPr>
        <w:numPr>
          <w:ilvl w:val="0"/>
          <w:numId w:val="30"/>
        </w:numPr>
        <w:ind w:right="624"/>
        <w:rPr>
          <w:b/>
          <w:bCs/>
          <w:i/>
        </w:rPr>
      </w:pPr>
      <w:r>
        <w:rPr>
          <w:b/>
          <w:bCs/>
        </w:rPr>
        <w:t>Invitation to Tender</w:t>
      </w:r>
      <w:r w:rsidR="00EF1F23" w:rsidRPr="00EF1F23">
        <w:rPr>
          <w:b/>
          <w:bCs/>
        </w:rPr>
        <w:t xml:space="preserve"> Part 1 </w:t>
      </w:r>
      <w:r w:rsidR="00CA61F2">
        <w:rPr>
          <w:b/>
          <w:bCs/>
        </w:rPr>
        <w:t>–</w:t>
      </w:r>
      <w:r w:rsidR="00EF1F23" w:rsidRPr="00EF1F23">
        <w:rPr>
          <w:b/>
          <w:bCs/>
        </w:rPr>
        <w:t>In</w:t>
      </w:r>
      <w:r w:rsidR="00CA61F2">
        <w:rPr>
          <w:b/>
          <w:bCs/>
        </w:rPr>
        <w:t xml:space="preserve">structions </w:t>
      </w:r>
      <w:r w:rsidR="00EF1F23" w:rsidRPr="00EF1F23">
        <w:rPr>
          <w:b/>
          <w:bCs/>
        </w:rPr>
        <w:t>(this document, for reference)</w:t>
      </w:r>
    </w:p>
    <w:p w14:paraId="3387E5F2" w14:textId="77777777" w:rsidR="00EF1F23" w:rsidRPr="00D73A99" w:rsidRDefault="00D73A99" w:rsidP="00C73F70">
      <w:pPr>
        <w:numPr>
          <w:ilvl w:val="0"/>
          <w:numId w:val="30"/>
        </w:numPr>
        <w:ind w:right="624"/>
        <w:rPr>
          <w:i/>
        </w:rPr>
      </w:pPr>
      <w:r w:rsidRPr="00D73A99">
        <w:t xml:space="preserve">Invitation to Tender Part </w:t>
      </w:r>
      <w:r w:rsidR="00AC44E7" w:rsidRPr="00D73A99">
        <w:t xml:space="preserve">2 </w:t>
      </w:r>
      <w:r w:rsidR="00795F64" w:rsidRPr="00D73A99">
        <w:t xml:space="preserve">- </w:t>
      </w:r>
      <w:r w:rsidR="00EF1F23" w:rsidRPr="00D73A99">
        <w:t xml:space="preserve">Terms and Conditions (for reference) </w:t>
      </w:r>
    </w:p>
    <w:p w14:paraId="7F8D3F8A" w14:textId="77777777" w:rsidR="00EF1F23" w:rsidRPr="00D73A99" w:rsidRDefault="00D73A99" w:rsidP="00EF1F23">
      <w:pPr>
        <w:numPr>
          <w:ilvl w:val="0"/>
          <w:numId w:val="30"/>
        </w:numPr>
        <w:ind w:right="624"/>
        <w:rPr>
          <w:i/>
        </w:rPr>
      </w:pPr>
      <w:r w:rsidRPr="00D73A99">
        <w:t xml:space="preserve">Invitation to Tender Part </w:t>
      </w:r>
      <w:r w:rsidR="00AC44E7" w:rsidRPr="00D73A99">
        <w:t>3 –</w:t>
      </w:r>
      <w:r w:rsidR="00795F64" w:rsidRPr="00D73A99">
        <w:t xml:space="preserve"> </w:t>
      </w:r>
      <w:r w:rsidR="00AC44E7" w:rsidRPr="00D73A99">
        <w:t>Specification (for reference)</w:t>
      </w:r>
    </w:p>
    <w:p w14:paraId="68CB8E09" w14:textId="77777777" w:rsidR="00AC44E7" w:rsidRPr="00D73A99" w:rsidRDefault="00D73A99" w:rsidP="00EF1F23">
      <w:pPr>
        <w:numPr>
          <w:ilvl w:val="0"/>
          <w:numId w:val="30"/>
        </w:numPr>
        <w:ind w:right="624"/>
        <w:rPr>
          <w:i/>
        </w:rPr>
      </w:pPr>
      <w:r w:rsidRPr="00D73A99">
        <w:t xml:space="preserve">Invitation to Tender Part </w:t>
      </w:r>
      <w:r w:rsidR="00AC44E7" w:rsidRPr="00D73A99">
        <w:t>4 – Supplier Questionnaire (to be returned)</w:t>
      </w:r>
    </w:p>
    <w:p w14:paraId="6414E7AD" w14:textId="77777777" w:rsidR="00AC44E7" w:rsidRPr="00AC44E7" w:rsidRDefault="00D73A99" w:rsidP="00AC44E7">
      <w:pPr>
        <w:numPr>
          <w:ilvl w:val="0"/>
          <w:numId w:val="30"/>
        </w:numPr>
        <w:ind w:right="624"/>
        <w:rPr>
          <w:i/>
        </w:rPr>
      </w:pPr>
      <w:r w:rsidRPr="00D73A99">
        <w:t>Invitation to Tender Part</w:t>
      </w:r>
      <w:r w:rsidRPr="00EF1F23">
        <w:rPr>
          <w:b/>
          <w:bCs/>
        </w:rPr>
        <w:t xml:space="preserve"> </w:t>
      </w:r>
      <w:r w:rsidR="00AC44E7">
        <w:t>5 – Tender Submission (to be returned)</w:t>
      </w:r>
    </w:p>
    <w:p w14:paraId="1108D415" w14:textId="75F29F34" w:rsidR="00EF1F23" w:rsidRPr="006A6AA3" w:rsidRDefault="00EF1F23" w:rsidP="00EF1F23">
      <w:pPr>
        <w:spacing w:before="240" w:after="240"/>
        <w:ind w:right="624"/>
      </w:pPr>
      <w:r w:rsidRPr="006A6AA3">
        <w:t xml:space="preserve">Please note hard copy submissions will not be accepted. </w:t>
      </w:r>
      <w:r w:rsidR="00E738C3">
        <w:t>Tender</w:t>
      </w:r>
      <w:r w:rsidRPr="006A6AA3">
        <w:t>s shall remain open for acceptance for a minimum of</w:t>
      </w:r>
      <w:r w:rsidR="00824FEF">
        <w:t xml:space="preserve"> </w:t>
      </w:r>
      <w:r w:rsidR="00A11F3F" w:rsidRPr="00824FEF">
        <w:rPr>
          <w:b/>
          <w:bCs/>
        </w:rPr>
        <w:t>9</w:t>
      </w:r>
      <w:r w:rsidRPr="00824FEF">
        <w:rPr>
          <w:b/>
          <w:bCs/>
        </w:rPr>
        <w:t>0</w:t>
      </w:r>
      <w:r w:rsidRPr="006A6AA3">
        <w:t xml:space="preserve"> days</w:t>
      </w:r>
      <w:r w:rsidR="00FD4903">
        <w:t>.</w:t>
      </w:r>
    </w:p>
    <w:p w14:paraId="1ABCE340" w14:textId="7AE27911" w:rsidR="00EF1F23" w:rsidRPr="004964C0" w:rsidRDefault="00EF1F23" w:rsidP="00EF1F23">
      <w:pPr>
        <w:spacing w:before="240" w:after="240"/>
        <w:ind w:right="624"/>
      </w:pPr>
      <w:r w:rsidRPr="004964C0">
        <w:t xml:space="preserve">Any queries must be raised via </w:t>
      </w:r>
      <w:r w:rsidR="00584482" w:rsidRPr="004964C0">
        <w:t>ProContract</w:t>
      </w:r>
      <w:r w:rsidRPr="004964C0">
        <w:t xml:space="preserve"> at least </w:t>
      </w:r>
      <w:r w:rsidR="00E738C3" w:rsidRPr="004964C0">
        <w:rPr>
          <w:b/>
          <w:bCs/>
        </w:rPr>
        <w:t>10</w:t>
      </w:r>
      <w:r w:rsidRPr="004964C0">
        <w:t xml:space="preserve"> days prior to the deadline for submission of </w:t>
      </w:r>
      <w:r w:rsidR="00E738C3" w:rsidRPr="004964C0">
        <w:t>Tender</w:t>
      </w:r>
      <w:r w:rsidRPr="004964C0">
        <w:t>s.</w:t>
      </w:r>
    </w:p>
    <w:p w14:paraId="5B66DBE0" w14:textId="77777777" w:rsidR="00C73F70" w:rsidRDefault="00EF1F23" w:rsidP="00EF1F23">
      <w:pPr>
        <w:spacing w:before="240" w:after="240"/>
        <w:ind w:right="624"/>
        <w:rPr>
          <w:lang w:val="en-US"/>
        </w:rPr>
      </w:pPr>
      <w:r w:rsidRPr="006A6AA3">
        <w:rPr>
          <w:lang w:val="en-US"/>
        </w:rPr>
        <w:t xml:space="preserve">The Authority reserves the right to accept or reject any part of any </w:t>
      </w:r>
      <w:r w:rsidR="00E738C3">
        <w:rPr>
          <w:lang w:val="en-US"/>
        </w:rPr>
        <w:t>Tender</w:t>
      </w:r>
      <w:r w:rsidRPr="006A6AA3">
        <w:rPr>
          <w:lang w:val="en-US"/>
        </w:rPr>
        <w:t>.</w:t>
      </w:r>
    </w:p>
    <w:p w14:paraId="140E011C" w14:textId="126577EC" w:rsidR="00C73F70" w:rsidRPr="009F438E" w:rsidRDefault="00C73F70" w:rsidP="00C73F70">
      <w:pPr>
        <w:rPr>
          <w:color w:val="000000" w:themeColor="text1"/>
        </w:rPr>
      </w:pPr>
    </w:p>
    <w:p w14:paraId="784D55C0" w14:textId="77777777" w:rsidR="00C73F70" w:rsidRPr="009F438E" w:rsidRDefault="00C73F70" w:rsidP="00C73F70"/>
    <w:p w14:paraId="0B99FC6C" w14:textId="77777777" w:rsidR="00E7321B" w:rsidRPr="00E7321B" w:rsidRDefault="00E7321B" w:rsidP="00C73F70">
      <w:pPr>
        <w:rPr>
          <w:b/>
          <w:bCs/>
          <w:color w:val="76923C" w:themeColor="accent3" w:themeShade="BF"/>
          <w:sz w:val="28"/>
          <w:szCs w:val="28"/>
        </w:rPr>
      </w:pPr>
      <w:r w:rsidRPr="00E7321B">
        <w:rPr>
          <w:b/>
          <w:bCs/>
          <w:color w:val="76923C" w:themeColor="accent3" w:themeShade="BF"/>
          <w:sz w:val="28"/>
          <w:szCs w:val="28"/>
        </w:rPr>
        <w:lastRenderedPageBreak/>
        <w:t xml:space="preserve">Table of Contents </w:t>
      </w:r>
    </w:p>
    <w:p w14:paraId="0E10DA0F" w14:textId="46214AFF" w:rsidR="00462C63" w:rsidRDefault="00E7321B">
      <w:pPr>
        <w:pStyle w:val="TOC1"/>
        <w:tabs>
          <w:tab w:val="left" w:pos="440"/>
          <w:tab w:val="right" w:leader="dot" w:pos="9734"/>
        </w:tabs>
        <w:rPr>
          <w:rFonts w:eastAsiaTheme="minorEastAsia" w:cstheme="minorBidi"/>
          <w:b w:val="0"/>
          <w:bCs w:val="0"/>
          <w:caps w:val="0"/>
          <w:noProof/>
          <w:sz w:val="22"/>
          <w:szCs w:val="22"/>
          <w:lang w:eastAsia="en-GB"/>
        </w:rPr>
      </w:pPr>
      <w:r>
        <w:rPr>
          <w:rFonts w:eastAsiaTheme="minorEastAsia" w:cs="Times New Roman"/>
          <w:b w:val="0"/>
          <w:bCs w:val="0"/>
          <w:i/>
          <w:iCs/>
          <w:caps w:val="0"/>
          <w:sz w:val="22"/>
          <w:szCs w:val="22"/>
          <w:lang w:val="en-US"/>
        </w:rPr>
        <w:fldChar w:fldCharType="begin"/>
      </w:r>
      <w:r>
        <w:rPr>
          <w:rFonts w:eastAsiaTheme="minorEastAsia" w:cs="Times New Roman"/>
          <w:b w:val="0"/>
          <w:bCs w:val="0"/>
          <w:i/>
          <w:iCs/>
          <w:caps w:val="0"/>
          <w:sz w:val="22"/>
          <w:szCs w:val="22"/>
          <w:lang w:val="en-US"/>
        </w:rPr>
        <w:instrText xml:space="preserve"> TOC \o "1-3" \h \z \u </w:instrText>
      </w:r>
      <w:r>
        <w:rPr>
          <w:rFonts w:eastAsiaTheme="minorEastAsia" w:cs="Times New Roman"/>
          <w:b w:val="0"/>
          <w:bCs w:val="0"/>
          <w:i/>
          <w:iCs/>
          <w:caps w:val="0"/>
          <w:sz w:val="22"/>
          <w:szCs w:val="22"/>
          <w:lang w:val="en-US"/>
        </w:rPr>
        <w:fldChar w:fldCharType="separate"/>
      </w:r>
      <w:hyperlink w:anchor="_Toc92198416" w:history="1">
        <w:r w:rsidR="00462C63" w:rsidRPr="00AC0983">
          <w:rPr>
            <w:rStyle w:val="Hyperlink"/>
            <w:noProof/>
          </w:rPr>
          <w:t>1.</w:t>
        </w:r>
        <w:r w:rsidR="00462C63">
          <w:rPr>
            <w:rFonts w:eastAsiaTheme="minorEastAsia" w:cstheme="minorBidi"/>
            <w:b w:val="0"/>
            <w:bCs w:val="0"/>
            <w:caps w:val="0"/>
            <w:noProof/>
            <w:sz w:val="22"/>
            <w:szCs w:val="22"/>
            <w:lang w:eastAsia="en-GB"/>
          </w:rPr>
          <w:tab/>
        </w:r>
        <w:r w:rsidR="00462C63" w:rsidRPr="00AC0983">
          <w:rPr>
            <w:rStyle w:val="Hyperlink"/>
            <w:noProof/>
          </w:rPr>
          <w:t>Contract Details</w:t>
        </w:r>
        <w:r w:rsidR="00462C63">
          <w:rPr>
            <w:noProof/>
            <w:webHidden/>
          </w:rPr>
          <w:tab/>
        </w:r>
        <w:r w:rsidR="00462C63">
          <w:rPr>
            <w:noProof/>
            <w:webHidden/>
          </w:rPr>
          <w:fldChar w:fldCharType="begin"/>
        </w:r>
        <w:r w:rsidR="00462C63">
          <w:rPr>
            <w:noProof/>
            <w:webHidden/>
          </w:rPr>
          <w:instrText xml:space="preserve"> PAGEREF _Toc92198416 \h </w:instrText>
        </w:r>
        <w:r w:rsidR="00462C63">
          <w:rPr>
            <w:noProof/>
            <w:webHidden/>
          </w:rPr>
        </w:r>
        <w:r w:rsidR="00462C63">
          <w:rPr>
            <w:noProof/>
            <w:webHidden/>
          </w:rPr>
          <w:fldChar w:fldCharType="separate"/>
        </w:r>
        <w:r w:rsidR="00462C63">
          <w:rPr>
            <w:noProof/>
            <w:webHidden/>
          </w:rPr>
          <w:t>3</w:t>
        </w:r>
        <w:r w:rsidR="00462C63">
          <w:rPr>
            <w:noProof/>
            <w:webHidden/>
          </w:rPr>
          <w:fldChar w:fldCharType="end"/>
        </w:r>
      </w:hyperlink>
    </w:p>
    <w:p w14:paraId="378A2EE4" w14:textId="330146E1" w:rsidR="00462C63" w:rsidRDefault="00BF7ADA">
      <w:pPr>
        <w:pStyle w:val="TOC1"/>
        <w:tabs>
          <w:tab w:val="left" w:pos="440"/>
          <w:tab w:val="right" w:leader="dot" w:pos="9734"/>
        </w:tabs>
        <w:rPr>
          <w:rFonts w:eastAsiaTheme="minorEastAsia" w:cstheme="minorBidi"/>
          <w:b w:val="0"/>
          <w:bCs w:val="0"/>
          <w:caps w:val="0"/>
          <w:noProof/>
          <w:sz w:val="22"/>
          <w:szCs w:val="22"/>
          <w:lang w:eastAsia="en-GB"/>
        </w:rPr>
      </w:pPr>
      <w:hyperlink w:anchor="_Toc92198417" w:history="1">
        <w:r w:rsidR="00462C63" w:rsidRPr="00AC0983">
          <w:rPr>
            <w:rStyle w:val="Hyperlink"/>
            <w:noProof/>
          </w:rPr>
          <w:t>2.</w:t>
        </w:r>
        <w:r w:rsidR="00462C63">
          <w:rPr>
            <w:rFonts w:eastAsiaTheme="minorEastAsia" w:cstheme="minorBidi"/>
            <w:b w:val="0"/>
            <w:bCs w:val="0"/>
            <w:caps w:val="0"/>
            <w:noProof/>
            <w:sz w:val="22"/>
            <w:szCs w:val="22"/>
            <w:lang w:eastAsia="en-GB"/>
          </w:rPr>
          <w:tab/>
        </w:r>
        <w:r w:rsidR="00462C63" w:rsidRPr="00AC0983">
          <w:rPr>
            <w:rStyle w:val="Hyperlink"/>
            <w:noProof/>
          </w:rPr>
          <w:t>Introduction and General Instructions</w:t>
        </w:r>
        <w:r w:rsidR="00462C63">
          <w:rPr>
            <w:noProof/>
            <w:webHidden/>
          </w:rPr>
          <w:tab/>
        </w:r>
        <w:r w:rsidR="00462C63">
          <w:rPr>
            <w:noProof/>
            <w:webHidden/>
          </w:rPr>
          <w:fldChar w:fldCharType="begin"/>
        </w:r>
        <w:r w:rsidR="00462C63">
          <w:rPr>
            <w:noProof/>
            <w:webHidden/>
          </w:rPr>
          <w:instrText xml:space="preserve"> PAGEREF _Toc92198417 \h </w:instrText>
        </w:r>
        <w:r w:rsidR="00462C63">
          <w:rPr>
            <w:noProof/>
            <w:webHidden/>
          </w:rPr>
        </w:r>
        <w:r w:rsidR="00462C63">
          <w:rPr>
            <w:noProof/>
            <w:webHidden/>
          </w:rPr>
          <w:fldChar w:fldCharType="separate"/>
        </w:r>
        <w:r w:rsidR="00462C63">
          <w:rPr>
            <w:noProof/>
            <w:webHidden/>
          </w:rPr>
          <w:t>3</w:t>
        </w:r>
        <w:r w:rsidR="00462C63">
          <w:rPr>
            <w:noProof/>
            <w:webHidden/>
          </w:rPr>
          <w:fldChar w:fldCharType="end"/>
        </w:r>
      </w:hyperlink>
    </w:p>
    <w:p w14:paraId="4B35B892" w14:textId="47E35928" w:rsidR="00462C63" w:rsidRDefault="00BF7ADA">
      <w:pPr>
        <w:pStyle w:val="TOC1"/>
        <w:tabs>
          <w:tab w:val="left" w:pos="440"/>
          <w:tab w:val="right" w:leader="dot" w:pos="9734"/>
        </w:tabs>
        <w:rPr>
          <w:rFonts w:eastAsiaTheme="minorEastAsia" w:cstheme="minorBidi"/>
          <w:b w:val="0"/>
          <w:bCs w:val="0"/>
          <w:caps w:val="0"/>
          <w:noProof/>
          <w:sz w:val="22"/>
          <w:szCs w:val="22"/>
          <w:lang w:eastAsia="en-GB"/>
        </w:rPr>
      </w:pPr>
      <w:hyperlink w:anchor="_Toc92198418" w:history="1">
        <w:r w:rsidR="00462C63" w:rsidRPr="00AC0983">
          <w:rPr>
            <w:rStyle w:val="Hyperlink"/>
            <w:noProof/>
          </w:rPr>
          <w:t>3.</w:t>
        </w:r>
        <w:r w:rsidR="00462C63">
          <w:rPr>
            <w:rFonts w:eastAsiaTheme="minorEastAsia" w:cstheme="minorBidi"/>
            <w:b w:val="0"/>
            <w:bCs w:val="0"/>
            <w:caps w:val="0"/>
            <w:noProof/>
            <w:sz w:val="22"/>
            <w:szCs w:val="22"/>
            <w:lang w:eastAsia="en-GB"/>
          </w:rPr>
          <w:tab/>
        </w:r>
        <w:r w:rsidR="00462C63" w:rsidRPr="00AC0983">
          <w:rPr>
            <w:rStyle w:val="Hyperlink"/>
            <w:noProof/>
          </w:rPr>
          <w:t>CLARIFICATION &amp; AMENDMENT TO TENDER DOCUMENTS</w:t>
        </w:r>
        <w:r w:rsidR="00462C63">
          <w:rPr>
            <w:noProof/>
            <w:webHidden/>
          </w:rPr>
          <w:tab/>
        </w:r>
        <w:r w:rsidR="00462C63">
          <w:rPr>
            <w:noProof/>
            <w:webHidden/>
          </w:rPr>
          <w:fldChar w:fldCharType="begin"/>
        </w:r>
        <w:r w:rsidR="00462C63">
          <w:rPr>
            <w:noProof/>
            <w:webHidden/>
          </w:rPr>
          <w:instrText xml:space="preserve"> PAGEREF _Toc92198418 \h </w:instrText>
        </w:r>
        <w:r w:rsidR="00462C63">
          <w:rPr>
            <w:noProof/>
            <w:webHidden/>
          </w:rPr>
        </w:r>
        <w:r w:rsidR="00462C63">
          <w:rPr>
            <w:noProof/>
            <w:webHidden/>
          </w:rPr>
          <w:fldChar w:fldCharType="separate"/>
        </w:r>
        <w:r w:rsidR="00462C63">
          <w:rPr>
            <w:noProof/>
            <w:webHidden/>
          </w:rPr>
          <w:t>3</w:t>
        </w:r>
        <w:r w:rsidR="00462C63">
          <w:rPr>
            <w:noProof/>
            <w:webHidden/>
          </w:rPr>
          <w:fldChar w:fldCharType="end"/>
        </w:r>
      </w:hyperlink>
    </w:p>
    <w:p w14:paraId="66F68769" w14:textId="487E2053" w:rsidR="00462C63" w:rsidRDefault="00BF7ADA">
      <w:pPr>
        <w:pStyle w:val="TOC1"/>
        <w:tabs>
          <w:tab w:val="left" w:pos="440"/>
          <w:tab w:val="right" w:leader="dot" w:pos="9734"/>
        </w:tabs>
        <w:rPr>
          <w:rFonts w:eastAsiaTheme="minorEastAsia" w:cstheme="minorBidi"/>
          <w:b w:val="0"/>
          <w:bCs w:val="0"/>
          <w:caps w:val="0"/>
          <w:noProof/>
          <w:sz w:val="22"/>
          <w:szCs w:val="22"/>
          <w:lang w:eastAsia="en-GB"/>
        </w:rPr>
      </w:pPr>
      <w:hyperlink w:anchor="_Toc92198419" w:history="1">
        <w:r w:rsidR="00462C63" w:rsidRPr="00AC0983">
          <w:rPr>
            <w:rStyle w:val="Hyperlink"/>
            <w:noProof/>
          </w:rPr>
          <w:t>4.</w:t>
        </w:r>
        <w:r w:rsidR="00462C63">
          <w:rPr>
            <w:rFonts w:eastAsiaTheme="minorEastAsia" w:cstheme="minorBidi"/>
            <w:b w:val="0"/>
            <w:bCs w:val="0"/>
            <w:caps w:val="0"/>
            <w:noProof/>
            <w:sz w:val="22"/>
            <w:szCs w:val="22"/>
            <w:lang w:eastAsia="en-GB"/>
          </w:rPr>
          <w:tab/>
        </w:r>
        <w:r w:rsidR="00462C63" w:rsidRPr="00AC0983">
          <w:rPr>
            <w:rStyle w:val="Hyperlink"/>
            <w:noProof/>
          </w:rPr>
          <w:t>Tender Preparation Guidance</w:t>
        </w:r>
        <w:r w:rsidR="00462C63">
          <w:rPr>
            <w:noProof/>
            <w:webHidden/>
          </w:rPr>
          <w:tab/>
        </w:r>
        <w:r w:rsidR="00462C63">
          <w:rPr>
            <w:noProof/>
            <w:webHidden/>
          </w:rPr>
          <w:fldChar w:fldCharType="begin"/>
        </w:r>
        <w:r w:rsidR="00462C63">
          <w:rPr>
            <w:noProof/>
            <w:webHidden/>
          </w:rPr>
          <w:instrText xml:space="preserve"> PAGEREF _Toc92198419 \h </w:instrText>
        </w:r>
        <w:r w:rsidR="00462C63">
          <w:rPr>
            <w:noProof/>
            <w:webHidden/>
          </w:rPr>
        </w:r>
        <w:r w:rsidR="00462C63">
          <w:rPr>
            <w:noProof/>
            <w:webHidden/>
          </w:rPr>
          <w:fldChar w:fldCharType="separate"/>
        </w:r>
        <w:r w:rsidR="00462C63">
          <w:rPr>
            <w:noProof/>
            <w:webHidden/>
          </w:rPr>
          <w:t>4</w:t>
        </w:r>
        <w:r w:rsidR="00462C63">
          <w:rPr>
            <w:noProof/>
            <w:webHidden/>
          </w:rPr>
          <w:fldChar w:fldCharType="end"/>
        </w:r>
      </w:hyperlink>
    </w:p>
    <w:p w14:paraId="1AB5C733" w14:textId="20D9F77D" w:rsidR="00462C63" w:rsidRDefault="00BF7ADA">
      <w:pPr>
        <w:pStyle w:val="TOC1"/>
        <w:tabs>
          <w:tab w:val="left" w:pos="440"/>
          <w:tab w:val="right" w:leader="dot" w:pos="9734"/>
        </w:tabs>
        <w:rPr>
          <w:rFonts w:eastAsiaTheme="minorEastAsia" w:cstheme="minorBidi"/>
          <w:b w:val="0"/>
          <w:bCs w:val="0"/>
          <w:caps w:val="0"/>
          <w:noProof/>
          <w:sz w:val="22"/>
          <w:szCs w:val="22"/>
          <w:lang w:eastAsia="en-GB"/>
        </w:rPr>
      </w:pPr>
      <w:hyperlink w:anchor="_Toc92198420" w:history="1">
        <w:r w:rsidR="00462C63" w:rsidRPr="00AC0983">
          <w:rPr>
            <w:rStyle w:val="Hyperlink"/>
            <w:rFonts w:cs="Calibri"/>
            <w:noProof/>
          </w:rPr>
          <w:t>5.</w:t>
        </w:r>
        <w:r w:rsidR="00462C63">
          <w:rPr>
            <w:rFonts w:eastAsiaTheme="minorEastAsia" w:cstheme="minorBidi"/>
            <w:b w:val="0"/>
            <w:bCs w:val="0"/>
            <w:caps w:val="0"/>
            <w:noProof/>
            <w:sz w:val="22"/>
            <w:szCs w:val="22"/>
            <w:lang w:eastAsia="en-GB"/>
          </w:rPr>
          <w:tab/>
        </w:r>
        <w:r w:rsidR="00462C63" w:rsidRPr="00AC0983">
          <w:rPr>
            <w:rStyle w:val="Hyperlink"/>
            <w:rFonts w:cs="Calibri"/>
            <w:noProof/>
          </w:rPr>
          <w:t>Tender Submission</w:t>
        </w:r>
        <w:r w:rsidR="00462C63">
          <w:rPr>
            <w:noProof/>
            <w:webHidden/>
          </w:rPr>
          <w:tab/>
        </w:r>
        <w:r w:rsidR="00462C63">
          <w:rPr>
            <w:noProof/>
            <w:webHidden/>
          </w:rPr>
          <w:fldChar w:fldCharType="begin"/>
        </w:r>
        <w:r w:rsidR="00462C63">
          <w:rPr>
            <w:noProof/>
            <w:webHidden/>
          </w:rPr>
          <w:instrText xml:space="preserve"> PAGEREF _Toc92198420 \h </w:instrText>
        </w:r>
        <w:r w:rsidR="00462C63">
          <w:rPr>
            <w:noProof/>
            <w:webHidden/>
          </w:rPr>
        </w:r>
        <w:r w:rsidR="00462C63">
          <w:rPr>
            <w:noProof/>
            <w:webHidden/>
          </w:rPr>
          <w:fldChar w:fldCharType="separate"/>
        </w:r>
        <w:r w:rsidR="00462C63">
          <w:rPr>
            <w:noProof/>
            <w:webHidden/>
          </w:rPr>
          <w:t>5</w:t>
        </w:r>
        <w:r w:rsidR="00462C63">
          <w:rPr>
            <w:noProof/>
            <w:webHidden/>
          </w:rPr>
          <w:fldChar w:fldCharType="end"/>
        </w:r>
      </w:hyperlink>
    </w:p>
    <w:p w14:paraId="4AA7B343" w14:textId="52772B59" w:rsidR="00462C63" w:rsidRDefault="00BF7ADA">
      <w:pPr>
        <w:pStyle w:val="TOC1"/>
        <w:tabs>
          <w:tab w:val="left" w:pos="440"/>
          <w:tab w:val="right" w:leader="dot" w:pos="9734"/>
        </w:tabs>
        <w:rPr>
          <w:rFonts w:eastAsiaTheme="minorEastAsia" w:cstheme="minorBidi"/>
          <w:b w:val="0"/>
          <w:bCs w:val="0"/>
          <w:caps w:val="0"/>
          <w:noProof/>
          <w:sz w:val="22"/>
          <w:szCs w:val="22"/>
          <w:lang w:eastAsia="en-GB"/>
        </w:rPr>
      </w:pPr>
      <w:hyperlink w:anchor="_Toc92198421" w:history="1">
        <w:r w:rsidR="00462C63" w:rsidRPr="00AC0983">
          <w:rPr>
            <w:rStyle w:val="Hyperlink"/>
            <w:rFonts w:cs="Calibri"/>
            <w:noProof/>
          </w:rPr>
          <w:t>6.</w:t>
        </w:r>
        <w:r w:rsidR="00462C63">
          <w:rPr>
            <w:rFonts w:eastAsiaTheme="minorEastAsia" w:cstheme="minorBidi"/>
            <w:b w:val="0"/>
            <w:bCs w:val="0"/>
            <w:caps w:val="0"/>
            <w:noProof/>
            <w:sz w:val="22"/>
            <w:szCs w:val="22"/>
            <w:lang w:eastAsia="en-GB"/>
          </w:rPr>
          <w:tab/>
        </w:r>
        <w:r w:rsidR="00462C63" w:rsidRPr="00AC0983">
          <w:rPr>
            <w:rStyle w:val="Hyperlink"/>
            <w:rFonts w:cs="Calibri"/>
            <w:noProof/>
          </w:rPr>
          <w:t>Variant Tenders</w:t>
        </w:r>
        <w:r w:rsidR="00462C63">
          <w:rPr>
            <w:noProof/>
            <w:webHidden/>
          </w:rPr>
          <w:tab/>
        </w:r>
        <w:r w:rsidR="00462C63">
          <w:rPr>
            <w:noProof/>
            <w:webHidden/>
          </w:rPr>
          <w:fldChar w:fldCharType="begin"/>
        </w:r>
        <w:r w:rsidR="00462C63">
          <w:rPr>
            <w:noProof/>
            <w:webHidden/>
          </w:rPr>
          <w:instrText xml:space="preserve"> PAGEREF _Toc92198421 \h </w:instrText>
        </w:r>
        <w:r w:rsidR="00462C63">
          <w:rPr>
            <w:noProof/>
            <w:webHidden/>
          </w:rPr>
        </w:r>
        <w:r w:rsidR="00462C63">
          <w:rPr>
            <w:noProof/>
            <w:webHidden/>
          </w:rPr>
          <w:fldChar w:fldCharType="separate"/>
        </w:r>
        <w:r w:rsidR="00462C63">
          <w:rPr>
            <w:noProof/>
            <w:webHidden/>
          </w:rPr>
          <w:t>5</w:t>
        </w:r>
        <w:r w:rsidR="00462C63">
          <w:rPr>
            <w:noProof/>
            <w:webHidden/>
          </w:rPr>
          <w:fldChar w:fldCharType="end"/>
        </w:r>
      </w:hyperlink>
    </w:p>
    <w:p w14:paraId="1E94F2F9" w14:textId="6D890D70" w:rsidR="00462C63" w:rsidRDefault="00BF7ADA">
      <w:pPr>
        <w:pStyle w:val="TOC1"/>
        <w:tabs>
          <w:tab w:val="left" w:pos="440"/>
          <w:tab w:val="right" w:leader="dot" w:pos="9734"/>
        </w:tabs>
        <w:rPr>
          <w:rFonts w:eastAsiaTheme="minorEastAsia" w:cstheme="minorBidi"/>
          <w:b w:val="0"/>
          <w:bCs w:val="0"/>
          <w:caps w:val="0"/>
          <w:noProof/>
          <w:sz w:val="22"/>
          <w:szCs w:val="22"/>
          <w:lang w:eastAsia="en-GB"/>
        </w:rPr>
      </w:pPr>
      <w:hyperlink w:anchor="_Toc92198422" w:history="1">
        <w:r w:rsidR="00462C63" w:rsidRPr="00AC0983">
          <w:rPr>
            <w:rStyle w:val="Hyperlink"/>
            <w:noProof/>
          </w:rPr>
          <w:t>7.</w:t>
        </w:r>
        <w:r w:rsidR="00462C63">
          <w:rPr>
            <w:rFonts w:eastAsiaTheme="minorEastAsia" w:cstheme="minorBidi"/>
            <w:b w:val="0"/>
            <w:bCs w:val="0"/>
            <w:caps w:val="0"/>
            <w:noProof/>
            <w:sz w:val="22"/>
            <w:szCs w:val="22"/>
            <w:lang w:eastAsia="en-GB"/>
          </w:rPr>
          <w:tab/>
        </w:r>
        <w:r w:rsidR="00462C63" w:rsidRPr="00AC0983">
          <w:rPr>
            <w:rStyle w:val="Hyperlink"/>
            <w:noProof/>
          </w:rPr>
          <w:t>Management of Lots (Not applicable)</w:t>
        </w:r>
        <w:r w:rsidR="00462C63">
          <w:rPr>
            <w:noProof/>
            <w:webHidden/>
          </w:rPr>
          <w:tab/>
        </w:r>
        <w:r w:rsidR="00462C63">
          <w:rPr>
            <w:noProof/>
            <w:webHidden/>
          </w:rPr>
          <w:fldChar w:fldCharType="begin"/>
        </w:r>
        <w:r w:rsidR="00462C63">
          <w:rPr>
            <w:noProof/>
            <w:webHidden/>
          </w:rPr>
          <w:instrText xml:space="preserve"> PAGEREF _Toc92198422 \h </w:instrText>
        </w:r>
        <w:r w:rsidR="00462C63">
          <w:rPr>
            <w:noProof/>
            <w:webHidden/>
          </w:rPr>
        </w:r>
        <w:r w:rsidR="00462C63">
          <w:rPr>
            <w:noProof/>
            <w:webHidden/>
          </w:rPr>
          <w:fldChar w:fldCharType="separate"/>
        </w:r>
        <w:r w:rsidR="00462C63">
          <w:rPr>
            <w:noProof/>
            <w:webHidden/>
          </w:rPr>
          <w:t>5</w:t>
        </w:r>
        <w:r w:rsidR="00462C63">
          <w:rPr>
            <w:noProof/>
            <w:webHidden/>
          </w:rPr>
          <w:fldChar w:fldCharType="end"/>
        </w:r>
      </w:hyperlink>
    </w:p>
    <w:p w14:paraId="533A07EF" w14:textId="162DA99D" w:rsidR="00462C63" w:rsidRDefault="00BF7ADA">
      <w:pPr>
        <w:pStyle w:val="TOC1"/>
        <w:tabs>
          <w:tab w:val="left" w:pos="440"/>
          <w:tab w:val="right" w:leader="dot" w:pos="9734"/>
        </w:tabs>
        <w:rPr>
          <w:rFonts w:eastAsiaTheme="minorEastAsia" w:cstheme="minorBidi"/>
          <w:b w:val="0"/>
          <w:bCs w:val="0"/>
          <w:caps w:val="0"/>
          <w:noProof/>
          <w:sz w:val="22"/>
          <w:szCs w:val="22"/>
          <w:lang w:eastAsia="en-GB"/>
        </w:rPr>
      </w:pPr>
      <w:hyperlink w:anchor="_Toc92198423" w:history="1">
        <w:r w:rsidR="00462C63" w:rsidRPr="00AC0983">
          <w:rPr>
            <w:rStyle w:val="Hyperlink"/>
            <w:noProof/>
          </w:rPr>
          <w:t>8.</w:t>
        </w:r>
        <w:r w:rsidR="00462C63">
          <w:rPr>
            <w:rFonts w:eastAsiaTheme="minorEastAsia" w:cstheme="minorBidi"/>
            <w:b w:val="0"/>
            <w:bCs w:val="0"/>
            <w:caps w:val="0"/>
            <w:noProof/>
            <w:sz w:val="22"/>
            <w:szCs w:val="22"/>
            <w:lang w:eastAsia="en-GB"/>
          </w:rPr>
          <w:tab/>
        </w:r>
        <w:r w:rsidR="00462C63" w:rsidRPr="00AC0983">
          <w:rPr>
            <w:rStyle w:val="Hyperlink"/>
            <w:noProof/>
          </w:rPr>
          <w:t>Consortium and Subcontracting</w:t>
        </w:r>
        <w:r w:rsidR="00462C63">
          <w:rPr>
            <w:noProof/>
            <w:webHidden/>
          </w:rPr>
          <w:tab/>
        </w:r>
        <w:r w:rsidR="00462C63">
          <w:rPr>
            <w:noProof/>
            <w:webHidden/>
          </w:rPr>
          <w:fldChar w:fldCharType="begin"/>
        </w:r>
        <w:r w:rsidR="00462C63">
          <w:rPr>
            <w:noProof/>
            <w:webHidden/>
          </w:rPr>
          <w:instrText xml:space="preserve"> PAGEREF _Toc92198423 \h </w:instrText>
        </w:r>
        <w:r w:rsidR="00462C63">
          <w:rPr>
            <w:noProof/>
            <w:webHidden/>
          </w:rPr>
        </w:r>
        <w:r w:rsidR="00462C63">
          <w:rPr>
            <w:noProof/>
            <w:webHidden/>
          </w:rPr>
          <w:fldChar w:fldCharType="separate"/>
        </w:r>
        <w:r w:rsidR="00462C63">
          <w:rPr>
            <w:noProof/>
            <w:webHidden/>
          </w:rPr>
          <w:t>6</w:t>
        </w:r>
        <w:r w:rsidR="00462C63">
          <w:rPr>
            <w:noProof/>
            <w:webHidden/>
          </w:rPr>
          <w:fldChar w:fldCharType="end"/>
        </w:r>
      </w:hyperlink>
    </w:p>
    <w:p w14:paraId="744F2E9E" w14:textId="6F3CB74A" w:rsidR="00462C63" w:rsidRDefault="00BF7ADA">
      <w:pPr>
        <w:pStyle w:val="TOC1"/>
        <w:tabs>
          <w:tab w:val="left" w:pos="440"/>
          <w:tab w:val="right" w:leader="dot" w:pos="9734"/>
        </w:tabs>
        <w:rPr>
          <w:rFonts w:eastAsiaTheme="minorEastAsia" w:cstheme="minorBidi"/>
          <w:b w:val="0"/>
          <w:bCs w:val="0"/>
          <w:caps w:val="0"/>
          <w:noProof/>
          <w:sz w:val="22"/>
          <w:szCs w:val="22"/>
          <w:lang w:eastAsia="en-GB"/>
        </w:rPr>
      </w:pPr>
      <w:hyperlink w:anchor="_Toc92198424" w:history="1">
        <w:r w:rsidR="00462C63" w:rsidRPr="00AC0983">
          <w:rPr>
            <w:rStyle w:val="Hyperlink"/>
            <w:noProof/>
          </w:rPr>
          <w:t>9.</w:t>
        </w:r>
        <w:r w:rsidR="00462C63">
          <w:rPr>
            <w:rFonts w:eastAsiaTheme="minorEastAsia" w:cstheme="minorBidi"/>
            <w:b w:val="0"/>
            <w:bCs w:val="0"/>
            <w:caps w:val="0"/>
            <w:noProof/>
            <w:sz w:val="22"/>
            <w:szCs w:val="22"/>
            <w:lang w:eastAsia="en-GB"/>
          </w:rPr>
          <w:tab/>
        </w:r>
        <w:r w:rsidR="00462C63" w:rsidRPr="00AC0983">
          <w:rPr>
            <w:rStyle w:val="Hyperlink"/>
            <w:noProof/>
          </w:rPr>
          <w:t>Procurement timetable</w:t>
        </w:r>
        <w:r w:rsidR="00462C63">
          <w:rPr>
            <w:noProof/>
            <w:webHidden/>
          </w:rPr>
          <w:tab/>
        </w:r>
        <w:r w:rsidR="00462C63">
          <w:rPr>
            <w:noProof/>
            <w:webHidden/>
          </w:rPr>
          <w:fldChar w:fldCharType="begin"/>
        </w:r>
        <w:r w:rsidR="00462C63">
          <w:rPr>
            <w:noProof/>
            <w:webHidden/>
          </w:rPr>
          <w:instrText xml:space="preserve"> PAGEREF _Toc92198424 \h </w:instrText>
        </w:r>
        <w:r w:rsidR="00462C63">
          <w:rPr>
            <w:noProof/>
            <w:webHidden/>
          </w:rPr>
        </w:r>
        <w:r w:rsidR="00462C63">
          <w:rPr>
            <w:noProof/>
            <w:webHidden/>
          </w:rPr>
          <w:fldChar w:fldCharType="separate"/>
        </w:r>
        <w:r w:rsidR="00462C63">
          <w:rPr>
            <w:noProof/>
            <w:webHidden/>
          </w:rPr>
          <w:t>6</w:t>
        </w:r>
        <w:r w:rsidR="00462C63">
          <w:rPr>
            <w:noProof/>
            <w:webHidden/>
          </w:rPr>
          <w:fldChar w:fldCharType="end"/>
        </w:r>
      </w:hyperlink>
    </w:p>
    <w:p w14:paraId="1CBC5897" w14:textId="0BE84844" w:rsidR="00462C63" w:rsidRDefault="00BF7ADA">
      <w:pPr>
        <w:pStyle w:val="TOC1"/>
        <w:tabs>
          <w:tab w:val="left" w:pos="660"/>
          <w:tab w:val="right" w:leader="dot" w:pos="9734"/>
        </w:tabs>
        <w:rPr>
          <w:rFonts w:eastAsiaTheme="minorEastAsia" w:cstheme="minorBidi"/>
          <w:b w:val="0"/>
          <w:bCs w:val="0"/>
          <w:caps w:val="0"/>
          <w:noProof/>
          <w:sz w:val="22"/>
          <w:szCs w:val="22"/>
          <w:lang w:eastAsia="en-GB"/>
        </w:rPr>
      </w:pPr>
      <w:hyperlink w:anchor="_Toc92198425" w:history="1">
        <w:r w:rsidR="00462C63" w:rsidRPr="00AC0983">
          <w:rPr>
            <w:rStyle w:val="Hyperlink"/>
            <w:noProof/>
          </w:rPr>
          <w:t>10.</w:t>
        </w:r>
        <w:r w:rsidR="00462C63">
          <w:rPr>
            <w:rFonts w:eastAsiaTheme="minorEastAsia" w:cstheme="minorBidi"/>
            <w:b w:val="0"/>
            <w:bCs w:val="0"/>
            <w:caps w:val="0"/>
            <w:noProof/>
            <w:sz w:val="22"/>
            <w:szCs w:val="22"/>
            <w:lang w:eastAsia="en-GB"/>
          </w:rPr>
          <w:tab/>
        </w:r>
        <w:r w:rsidR="00462C63" w:rsidRPr="00AC0983">
          <w:rPr>
            <w:rStyle w:val="Hyperlink"/>
            <w:noProof/>
          </w:rPr>
          <w:t>Evaluation Process</w:t>
        </w:r>
        <w:r w:rsidR="00462C63">
          <w:rPr>
            <w:noProof/>
            <w:webHidden/>
          </w:rPr>
          <w:tab/>
        </w:r>
        <w:r w:rsidR="00462C63">
          <w:rPr>
            <w:noProof/>
            <w:webHidden/>
          </w:rPr>
          <w:fldChar w:fldCharType="begin"/>
        </w:r>
        <w:r w:rsidR="00462C63">
          <w:rPr>
            <w:noProof/>
            <w:webHidden/>
          </w:rPr>
          <w:instrText xml:space="preserve"> PAGEREF _Toc92198425 \h </w:instrText>
        </w:r>
        <w:r w:rsidR="00462C63">
          <w:rPr>
            <w:noProof/>
            <w:webHidden/>
          </w:rPr>
        </w:r>
        <w:r w:rsidR="00462C63">
          <w:rPr>
            <w:noProof/>
            <w:webHidden/>
          </w:rPr>
          <w:fldChar w:fldCharType="separate"/>
        </w:r>
        <w:r w:rsidR="00462C63">
          <w:rPr>
            <w:noProof/>
            <w:webHidden/>
          </w:rPr>
          <w:t>7</w:t>
        </w:r>
        <w:r w:rsidR="00462C63">
          <w:rPr>
            <w:noProof/>
            <w:webHidden/>
          </w:rPr>
          <w:fldChar w:fldCharType="end"/>
        </w:r>
      </w:hyperlink>
    </w:p>
    <w:p w14:paraId="009F4FA2" w14:textId="2247AAD0" w:rsidR="00462C63" w:rsidRDefault="00BF7ADA">
      <w:pPr>
        <w:pStyle w:val="TOC1"/>
        <w:tabs>
          <w:tab w:val="left" w:pos="660"/>
          <w:tab w:val="right" w:leader="dot" w:pos="9734"/>
        </w:tabs>
        <w:rPr>
          <w:rFonts w:eastAsiaTheme="minorEastAsia" w:cstheme="minorBidi"/>
          <w:b w:val="0"/>
          <w:bCs w:val="0"/>
          <w:caps w:val="0"/>
          <w:noProof/>
          <w:sz w:val="22"/>
          <w:szCs w:val="22"/>
          <w:lang w:eastAsia="en-GB"/>
        </w:rPr>
      </w:pPr>
      <w:hyperlink w:anchor="_Toc92198426" w:history="1">
        <w:r w:rsidR="00462C63" w:rsidRPr="00AC0983">
          <w:rPr>
            <w:rStyle w:val="Hyperlink"/>
            <w:noProof/>
          </w:rPr>
          <w:t>11.</w:t>
        </w:r>
        <w:r w:rsidR="00462C63">
          <w:rPr>
            <w:rFonts w:eastAsiaTheme="minorEastAsia" w:cstheme="minorBidi"/>
            <w:b w:val="0"/>
            <w:bCs w:val="0"/>
            <w:caps w:val="0"/>
            <w:noProof/>
            <w:sz w:val="22"/>
            <w:szCs w:val="22"/>
            <w:lang w:eastAsia="en-GB"/>
          </w:rPr>
          <w:tab/>
        </w:r>
        <w:r w:rsidR="00462C63" w:rsidRPr="00AC0983">
          <w:rPr>
            <w:rStyle w:val="Hyperlink"/>
            <w:noProof/>
          </w:rPr>
          <w:t>Stage 1: Evaluation of the Supplier Questionnaire.</w:t>
        </w:r>
        <w:r w:rsidR="00462C63">
          <w:rPr>
            <w:noProof/>
            <w:webHidden/>
          </w:rPr>
          <w:tab/>
        </w:r>
        <w:r w:rsidR="00462C63">
          <w:rPr>
            <w:noProof/>
            <w:webHidden/>
          </w:rPr>
          <w:fldChar w:fldCharType="begin"/>
        </w:r>
        <w:r w:rsidR="00462C63">
          <w:rPr>
            <w:noProof/>
            <w:webHidden/>
          </w:rPr>
          <w:instrText xml:space="preserve"> PAGEREF _Toc92198426 \h </w:instrText>
        </w:r>
        <w:r w:rsidR="00462C63">
          <w:rPr>
            <w:noProof/>
            <w:webHidden/>
          </w:rPr>
        </w:r>
        <w:r w:rsidR="00462C63">
          <w:rPr>
            <w:noProof/>
            <w:webHidden/>
          </w:rPr>
          <w:fldChar w:fldCharType="separate"/>
        </w:r>
        <w:r w:rsidR="00462C63">
          <w:rPr>
            <w:noProof/>
            <w:webHidden/>
          </w:rPr>
          <w:t>7</w:t>
        </w:r>
        <w:r w:rsidR="00462C63">
          <w:rPr>
            <w:noProof/>
            <w:webHidden/>
          </w:rPr>
          <w:fldChar w:fldCharType="end"/>
        </w:r>
      </w:hyperlink>
    </w:p>
    <w:p w14:paraId="7ABEA4DB" w14:textId="6AEE494F" w:rsidR="00462C63" w:rsidRDefault="00BF7ADA">
      <w:pPr>
        <w:pStyle w:val="TOC1"/>
        <w:tabs>
          <w:tab w:val="left" w:pos="660"/>
          <w:tab w:val="right" w:leader="dot" w:pos="9734"/>
        </w:tabs>
        <w:rPr>
          <w:rFonts w:eastAsiaTheme="minorEastAsia" w:cstheme="minorBidi"/>
          <w:b w:val="0"/>
          <w:bCs w:val="0"/>
          <w:caps w:val="0"/>
          <w:noProof/>
          <w:sz w:val="22"/>
          <w:szCs w:val="22"/>
          <w:lang w:eastAsia="en-GB"/>
        </w:rPr>
      </w:pPr>
      <w:hyperlink w:anchor="_Toc92198427" w:history="1">
        <w:r w:rsidR="00462C63" w:rsidRPr="00AC0983">
          <w:rPr>
            <w:rStyle w:val="Hyperlink"/>
            <w:noProof/>
          </w:rPr>
          <w:t>12.</w:t>
        </w:r>
        <w:r w:rsidR="00462C63">
          <w:rPr>
            <w:rFonts w:eastAsiaTheme="minorEastAsia" w:cstheme="minorBidi"/>
            <w:b w:val="0"/>
            <w:bCs w:val="0"/>
            <w:caps w:val="0"/>
            <w:noProof/>
            <w:sz w:val="22"/>
            <w:szCs w:val="22"/>
            <w:lang w:eastAsia="en-GB"/>
          </w:rPr>
          <w:tab/>
        </w:r>
        <w:r w:rsidR="00462C63" w:rsidRPr="00AC0983">
          <w:rPr>
            <w:rStyle w:val="Hyperlink"/>
            <w:noProof/>
          </w:rPr>
          <w:t>Stage 2: Evaluation of Quality Criteria.</w:t>
        </w:r>
        <w:r w:rsidR="00462C63">
          <w:rPr>
            <w:noProof/>
            <w:webHidden/>
          </w:rPr>
          <w:tab/>
        </w:r>
        <w:r w:rsidR="00462C63">
          <w:rPr>
            <w:noProof/>
            <w:webHidden/>
          </w:rPr>
          <w:fldChar w:fldCharType="begin"/>
        </w:r>
        <w:r w:rsidR="00462C63">
          <w:rPr>
            <w:noProof/>
            <w:webHidden/>
          </w:rPr>
          <w:instrText xml:space="preserve"> PAGEREF _Toc92198427 \h </w:instrText>
        </w:r>
        <w:r w:rsidR="00462C63">
          <w:rPr>
            <w:noProof/>
            <w:webHidden/>
          </w:rPr>
        </w:r>
        <w:r w:rsidR="00462C63">
          <w:rPr>
            <w:noProof/>
            <w:webHidden/>
          </w:rPr>
          <w:fldChar w:fldCharType="separate"/>
        </w:r>
        <w:r w:rsidR="00462C63">
          <w:rPr>
            <w:noProof/>
            <w:webHidden/>
          </w:rPr>
          <w:t>7</w:t>
        </w:r>
        <w:r w:rsidR="00462C63">
          <w:rPr>
            <w:noProof/>
            <w:webHidden/>
          </w:rPr>
          <w:fldChar w:fldCharType="end"/>
        </w:r>
      </w:hyperlink>
    </w:p>
    <w:p w14:paraId="7EC76FCD" w14:textId="71A60FE3" w:rsidR="00462C63" w:rsidRDefault="00BF7ADA">
      <w:pPr>
        <w:pStyle w:val="TOC1"/>
        <w:tabs>
          <w:tab w:val="left" w:pos="660"/>
          <w:tab w:val="right" w:leader="dot" w:pos="9734"/>
        </w:tabs>
        <w:rPr>
          <w:rFonts w:eastAsiaTheme="minorEastAsia" w:cstheme="minorBidi"/>
          <w:b w:val="0"/>
          <w:bCs w:val="0"/>
          <w:caps w:val="0"/>
          <w:noProof/>
          <w:sz w:val="22"/>
          <w:szCs w:val="22"/>
          <w:lang w:eastAsia="en-GB"/>
        </w:rPr>
      </w:pPr>
      <w:hyperlink w:anchor="_Toc92198428" w:history="1">
        <w:r w:rsidR="00462C63" w:rsidRPr="00AC0983">
          <w:rPr>
            <w:rStyle w:val="Hyperlink"/>
            <w:noProof/>
          </w:rPr>
          <w:t>13.</w:t>
        </w:r>
        <w:r w:rsidR="00462C63">
          <w:rPr>
            <w:rFonts w:eastAsiaTheme="minorEastAsia" w:cstheme="minorBidi"/>
            <w:b w:val="0"/>
            <w:bCs w:val="0"/>
            <w:caps w:val="0"/>
            <w:noProof/>
            <w:sz w:val="22"/>
            <w:szCs w:val="22"/>
            <w:lang w:eastAsia="en-GB"/>
          </w:rPr>
          <w:tab/>
        </w:r>
        <w:r w:rsidR="00462C63" w:rsidRPr="00AC0983">
          <w:rPr>
            <w:rStyle w:val="Hyperlink"/>
            <w:noProof/>
          </w:rPr>
          <w:t>Stage 3: Evaluation of Price</w:t>
        </w:r>
        <w:r w:rsidR="00462C63">
          <w:rPr>
            <w:noProof/>
            <w:webHidden/>
          </w:rPr>
          <w:tab/>
        </w:r>
        <w:r w:rsidR="00462C63">
          <w:rPr>
            <w:noProof/>
            <w:webHidden/>
          </w:rPr>
          <w:fldChar w:fldCharType="begin"/>
        </w:r>
        <w:r w:rsidR="00462C63">
          <w:rPr>
            <w:noProof/>
            <w:webHidden/>
          </w:rPr>
          <w:instrText xml:space="preserve"> PAGEREF _Toc92198428 \h </w:instrText>
        </w:r>
        <w:r w:rsidR="00462C63">
          <w:rPr>
            <w:noProof/>
            <w:webHidden/>
          </w:rPr>
        </w:r>
        <w:r w:rsidR="00462C63">
          <w:rPr>
            <w:noProof/>
            <w:webHidden/>
          </w:rPr>
          <w:fldChar w:fldCharType="separate"/>
        </w:r>
        <w:r w:rsidR="00462C63">
          <w:rPr>
            <w:noProof/>
            <w:webHidden/>
          </w:rPr>
          <w:t>9</w:t>
        </w:r>
        <w:r w:rsidR="00462C63">
          <w:rPr>
            <w:noProof/>
            <w:webHidden/>
          </w:rPr>
          <w:fldChar w:fldCharType="end"/>
        </w:r>
      </w:hyperlink>
    </w:p>
    <w:p w14:paraId="4418F5CC" w14:textId="62A4CA0E" w:rsidR="00462C63" w:rsidRDefault="00BF7ADA">
      <w:pPr>
        <w:pStyle w:val="TOC1"/>
        <w:tabs>
          <w:tab w:val="left" w:pos="660"/>
          <w:tab w:val="right" w:leader="dot" w:pos="9734"/>
        </w:tabs>
        <w:rPr>
          <w:rFonts w:eastAsiaTheme="minorEastAsia" w:cstheme="minorBidi"/>
          <w:b w:val="0"/>
          <w:bCs w:val="0"/>
          <w:caps w:val="0"/>
          <w:noProof/>
          <w:sz w:val="22"/>
          <w:szCs w:val="22"/>
          <w:lang w:eastAsia="en-GB"/>
        </w:rPr>
      </w:pPr>
      <w:hyperlink w:anchor="_Toc92198429" w:history="1">
        <w:r w:rsidR="00462C63" w:rsidRPr="00AC0983">
          <w:rPr>
            <w:rStyle w:val="Hyperlink"/>
            <w:noProof/>
          </w:rPr>
          <w:t>14.</w:t>
        </w:r>
        <w:r w:rsidR="00462C63">
          <w:rPr>
            <w:rFonts w:eastAsiaTheme="minorEastAsia" w:cstheme="minorBidi"/>
            <w:b w:val="0"/>
            <w:bCs w:val="0"/>
            <w:caps w:val="0"/>
            <w:noProof/>
            <w:sz w:val="22"/>
            <w:szCs w:val="22"/>
            <w:lang w:eastAsia="en-GB"/>
          </w:rPr>
          <w:tab/>
        </w:r>
        <w:r w:rsidR="00462C63" w:rsidRPr="00AC0983">
          <w:rPr>
            <w:rStyle w:val="Hyperlink"/>
            <w:noProof/>
          </w:rPr>
          <w:t>Award Process</w:t>
        </w:r>
        <w:r w:rsidR="00462C63">
          <w:rPr>
            <w:noProof/>
            <w:webHidden/>
          </w:rPr>
          <w:tab/>
        </w:r>
        <w:r w:rsidR="00462C63">
          <w:rPr>
            <w:noProof/>
            <w:webHidden/>
          </w:rPr>
          <w:fldChar w:fldCharType="begin"/>
        </w:r>
        <w:r w:rsidR="00462C63">
          <w:rPr>
            <w:noProof/>
            <w:webHidden/>
          </w:rPr>
          <w:instrText xml:space="preserve"> PAGEREF _Toc92198429 \h </w:instrText>
        </w:r>
        <w:r w:rsidR="00462C63">
          <w:rPr>
            <w:noProof/>
            <w:webHidden/>
          </w:rPr>
        </w:r>
        <w:r w:rsidR="00462C63">
          <w:rPr>
            <w:noProof/>
            <w:webHidden/>
          </w:rPr>
          <w:fldChar w:fldCharType="separate"/>
        </w:r>
        <w:r w:rsidR="00462C63">
          <w:rPr>
            <w:noProof/>
            <w:webHidden/>
          </w:rPr>
          <w:t>9</w:t>
        </w:r>
        <w:r w:rsidR="00462C63">
          <w:rPr>
            <w:noProof/>
            <w:webHidden/>
          </w:rPr>
          <w:fldChar w:fldCharType="end"/>
        </w:r>
      </w:hyperlink>
    </w:p>
    <w:p w14:paraId="0C9A635C" w14:textId="54CE205D" w:rsidR="00462C63" w:rsidRDefault="00BF7ADA">
      <w:pPr>
        <w:pStyle w:val="TOC1"/>
        <w:tabs>
          <w:tab w:val="left" w:pos="660"/>
          <w:tab w:val="right" w:leader="dot" w:pos="9734"/>
        </w:tabs>
        <w:rPr>
          <w:rFonts w:eastAsiaTheme="minorEastAsia" w:cstheme="minorBidi"/>
          <w:b w:val="0"/>
          <w:bCs w:val="0"/>
          <w:caps w:val="0"/>
          <w:noProof/>
          <w:sz w:val="22"/>
          <w:szCs w:val="22"/>
          <w:lang w:eastAsia="en-GB"/>
        </w:rPr>
      </w:pPr>
      <w:hyperlink w:anchor="_Toc92198430" w:history="1">
        <w:r w:rsidR="00462C63" w:rsidRPr="00AC0983">
          <w:rPr>
            <w:rStyle w:val="Hyperlink"/>
            <w:noProof/>
          </w:rPr>
          <w:t>15.</w:t>
        </w:r>
        <w:r w:rsidR="00462C63">
          <w:rPr>
            <w:rFonts w:eastAsiaTheme="minorEastAsia" w:cstheme="minorBidi"/>
            <w:b w:val="0"/>
            <w:bCs w:val="0"/>
            <w:caps w:val="0"/>
            <w:noProof/>
            <w:sz w:val="22"/>
            <w:szCs w:val="22"/>
            <w:lang w:eastAsia="en-GB"/>
          </w:rPr>
          <w:tab/>
        </w:r>
        <w:r w:rsidR="00462C63" w:rsidRPr="00AC0983">
          <w:rPr>
            <w:rStyle w:val="Hyperlink"/>
            <w:noProof/>
          </w:rPr>
          <w:t>Freedom of Information Act 2000 (FoIA)</w:t>
        </w:r>
        <w:r w:rsidR="00462C63">
          <w:rPr>
            <w:noProof/>
            <w:webHidden/>
          </w:rPr>
          <w:tab/>
        </w:r>
        <w:r w:rsidR="00462C63">
          <w:rPr>
            <w:noProof/>
            <w:webHidden/>
          </w:rPr>
          <w:fldChar w:fldCharType="begin"/>
        </w:r>
        <w:r w:rsidR="00462C63">
          <w:rPr>
            <w:noProof/>
            <w:webHidden/>
          </w:rPr>
          <w:instrText xml:space="preserve"> PAGEREF _Toc92198430 \h </w:instrText>
        </w:r>
        <w:r w:rsidR="00462C63">
          <w:rPr>
            <w:noProof/>
            <w:webHidden/>
          </w:rPr>
        </w:r>
        <w:r w:rsidR="00462C63">
          <w:rPr>
            <w:noProof/>
            <w:webHidden/>
          </w:rPr>
          <w:fldChar w:fldCharType="separate"/>
        </w:r>
        <w:r w:rsidR="00462C63">
          <w:rPr>
            <w:noProof/>
            <w:webHidden/>
          </w:rPr>
          <w:t>10</w:t>
        </w:r>
        <w:r w:rsidR="00462C63">
          <w:rPr>
            <w:noProof/>
            <w:webHidden/>
          </w:rPr>
          <w:fldChar w:fldCharType="end"/>
        </w:r>
      </w:hyperlink>
    </w:p>
    <w:p w14:paraId="19E28881" w14:textId="58FBD807" w:rsidR="00462C63" w:rsidRDefault="00BF7ADA">
      <w:pPr>
        <w:pStyle w:val="TOC1"/>
        <w:tabs>
          <w:tab w:val="left" w:pos="660"/>
          <w:tab w:val="right" w:leader="dot" w:pos="9734"/>
        </w:tabs>
        <w:rPr>
          <w:rFonts w:eastAsiaTheme="minorEastAsia" w:cstheme="minorBidi"/>
          <w:b w:val="0"/>
          <w:bCs w:val="0"/>
          <w:caps w:val="0"/>
          <w:noProof/>
          <w:sz w:val="22"/>
          <w:szCs w:val="22"/>
          <w:lang w:eastAsia="en-GB"/>
        </w:rPr>
      </w:pPr>
      <w:hyperlink w:anchor="_Toc92198431" w:history="1">
        <w:r w:rsidR="00462C63" w:rsidRPr="00AC0983">
          <w:rPr>
            <w:rStyle w:val="Hyperlink"/>
            <w:noProof/>
          </w:rPr>
          <w:t>16.</w:t>
        </w:r>
        <w:r w:rsidR="00462C63">
          <w:rPr>
            <w:rFonts w:eastAsiaTheme="minorEastAsia" w:cstheme="minorBidi"/>
            <w:b w:val="0"/>
            <w:bCs w:val="0"/>
            <w:caps w:val="0"/>
            <w:noProof/>
            <w:sz w:val="22"/>
            <w:szCs w:val="22"/>
            <w:lang w:eastAsia="en-GB"/>
          </w:rPr>
          <w:tab/>
        </w:r>
        <w:r w:rsidR="00462C63" w:rsidRPr="00AC0983">
          <w:rPr>
            <w:rStyle w:val="Hyperlink"/>
            <w:noProof/>
          </w:rPr>
          <w:t>Confidentiality, Canvassing and Collusion</w:t>
        </w:r>
        <w:r w:rsidR="00462C63">
          <w:rPr>
            <w:noProof/>
            <w:webHidden/>
          </w:rPr>
          <w:tab/>
        </w:r>
        <w:r w:rsidR="00462C63">
          <w:rPr>
            <w:noProof/>
            <w:webHidden/>
          </w:rPr>
          <w:fldChar w:fldCharType="begin"/>
        </w:r>
        <w:r w:rsidR="00462C63">
          <w:rPr>
            <w:noProof/>
            <w:webHidden/>
          </w:rPr>
          <w:instrText xml:space="preserve"> PAGEREF _Toc92198431 \h </w:instrText>
        </w:r>
        <w:r w:rsidR="00462C63">
          <w:rPr>
            <w:noProof/>
            <w:webHidden/>
          </w:rPr>
        </w:r>
        <w:r w:rsidR="00462C63">
          <w:rPr>
            <w:noProof/>
            <w:webHidden/>
          </w:rPr>
          <w:fldChar w:fldCharType="separate"/>
        </w:r>
        <w:r w:rsidR="00462C63">
          <w:rPr>
            <w:noProof/>
            <w:webHidden/>
          </w:rPr>
          <w:t>10</w:t>
        </w:r>
        <w:r w:rsidR="00462C63">
          <w:rPr>
            <w:noProof/>
            <w:webHidden/>
          </w:rPr>
          <w:fldChar w:fldCharType="end"/>
        </w:r>
      </w:hyperlink>
    </w:p>
    <w:p w14:paraId="229B8CAA" w14:textId="76285ACB" w:rsidR="00462C63" w:rsidRDefault="00BF7ADA">
      <w:pPr>
        <w:pStyle w:val="TOC1"/>
        <w:tabs>
          <w:tab w:val="left" w:pos="660"/>
          <w:tab w:val="right" w:leader="dot" w:pos="9734"/>
        </w:tabs>
        <w:rPr>
          <w:rFonts w:eastAsiaTheme="minorEastAsia" w:cstheme="minorBidi"/>
          <w:b w:val="0"/>
          <w:bCs w:val="0"/>
          <w:caps w:val="0"/>
          <w:noProof/>
          <w:sz w:val="22"/>
          <w:szCs w:val="22"/>
          <w:lang w:eastAsia="en-GB"/>
        </w:rPr>
      </w:pPr>
      <w:hyperlink w:anchor="_Toc92198432" w:history="1">
        <w:r w:rsidR="00462C63" w:rsidRPr="00AC0983">
          <w:rPr>
            <w:rStyle w:val="Hyperlink"/>
            <w:noProof/>
          </w:rPr>
          <w:t>17.</w:t>
        </w:r>
        <w:r w:rsidR="00462C63">
          <w:rPr>
            <w:rFonts w:eastAsiaTheme="minorEastAsia" w:cstheme="minorBidi"/>
            <w:b w:val="0"/>
            <w:bCs w:val="0"/>
            <w:caps w:val="0"/>
            <w:noProof/>
            <w:sz w:val="22"/>
            <w:szCs w:val="22"/>
            <w:lang w:eastAsia="en-GB"/>
          </w:rPr>
          <w:tab/>
        </w:r>
        <w:r w:rsidR="00462C63" w:rsidRPr="00AC0983">
          <w:rPr>
            <w:rStyle w:val="Hyperlink"/>
            <w:noProof/>
          </w:rPr>
          <w:t>TENDERER’S INDIVIDUAL WARRANTIES</w:t>
        </w:r>
        <w:r w:rsidR="00462C63">
          <w:rPr>
            <w:noProof/>
            <w:webHidden/>
          </w:rPr>
          <w:tab/>
        </w:r>
        <w:r w:rsidR="00462C63">
          <w:rPr>
            <w:noProof/>
            <w:webHidden/>
          </w:rPr>
          <w:fldChar w:fldCharType="begin"/>
        </w:r>
        <w:r w:rsidR="00462C63">
          <w:rPr>
            <w:noProof/>
            <w:webHidden/>
          </w:rPr>
          <w:instrText xml:space="preserve"> PAGEREF _Toc92198432 \h </w:instrText>
        </w:r>
        <w:r w:rsidR="00462C63">
          <w:rPr>
            <w:noProof/>
            <w:webHidden/>
          </w:rPr>
        </w:r>
        <w:r w:rsidR="00462C63">
          <w:rPr>
            <w:noProof/>
            <w:webHidden/>
          </w:rPr>
          <w:fldChar w:fldCharType="separate"/>
        </w:r>
        <w:r w:rsidR="00462C63">
          <w:rPr>
            <w:noProof/>
            <w:webHidden/>
          </w:rPr>
          <w:t>11</w:t>
        </w:r>
        <w:r w:rsidR="00462C63">
          <w:rPr>
            <w:noProof/>
            <w:webHidden/>
          </w:rPr>
          <w:fldChar w:fldCharType="end"/>
        </w:r>
      </w:hyperlink>
    </w:p>
    <w:p w14:paraId="7C210125" w14:textId="44701A64" w:rsidR="00E7321B" w:rsidRDefault="00E7321B">
      <w:pPr>
        <w:pStyle w:val="TOC3"/>
        <w:ind w:left="446"/>
      </w:pPr>
      <w:r>
        <w:rPr>
          <w:rFonts w:eastAsiaTheme="minorEastAsia" w:cs="Times New Roman"/>
          <w:b/>
          <w:bCs/>
          <w:i w:val="0"/>
          <w:iCs w:val="0"/>
          <w:caps/>
          <w:sz w:val="22"/>
          <w:szCs w:val="22"/>
          <w:lang w:val="en-US"/>
        </w:rPr>
        <w:fldChar w:fldCharType="end"/>
      </w:r>
    </w:p>
    <w:p w14:paraId="1935D790" w14:textId="77777777" w:rsidR="00C73F70" w:rsidRDefault="00C73F70" w:rsidP="00347896">
      <w:pPr>
        <w:spacing w:before="0" w:after="0"/>
        <w:rPr>
          <w:lang w:val="en-US"/>
        </w:rPr>
      </w:pPr>
      <w:r>
        <w:rPr>
          <w:lang w:val="en-US"/>
        </w:rPr>
        <w:br w:type="page"/>
      </w:r>
    </w:p>
    <w:p w14:paraId="419B712D" w14:textId="77777777" w:rsidR="00DB53E0" w:rsidRPr="00347896" w:rsidRDefault="00DB53E0" w:rsidP="00DB53E0">
      <w:pPr>
        <w:pStyle w:val="Heading1"/>
      </w:pPr>
      <w:bookmarkStart w:id="0" w:name="_Toc92198416"/>
      <w:r w:rsidRPr="00347896">
        <w:lastRenderedPageBreak/>
        <w:t>Contract Details</w:t>
      </w:r>
      <w:bookmarkEnd w:id="0"/>
      <w:r w:rsidRPr="00347896">
        <w:t xml:space="preserve"> </w:t>
      </w:r>
    </w:p>
    <w:p w14:paraId="6C49AA7B" w14:textId="1F20E265" w:rsidR="00DB53E0" w:rsidRPr="00A07F67" w:rsidRDefault="00DB53E0" w:rsidP="00DB53E0">
      <w:pPr>
        <w:pStyle w:val="ListParagraph"/>
        <w:numPr>
          <w:ilvl w:val="1"/>
          <w:numId w:val="31"/>
        </w:numPr>
        <w:spacing w:before="0" w:after="240"/>
        <w:contextualSpacing w:val="0"/>
        <w:rPr>
          <w:rFonts w:ascii="Calibri" w:hAnsi="Calibri" w:cs="Calibri"/>
        </w:rPr>
      </w:pPr>
      <w:r>
        <w:rPr>
          <w:rFonts w:ascii="Calibri" w:hAnsi="Calibri" w:cs="Calibri"/>
        </w:rPr>
        <w:t xml:space="preserve">The Authority anticipates that the contract will start </w:t>
      </w:r>
      <w:r w:rsidR="008B1B16">
        <w:rPr>
          <w:rFonts w:ascii="Calibri" w:hAnsi="Calibri" w:cs="Calibri"/>
        </w:rPr>
        <w:t>week commencing</w:t>
      </w:r>
      <w:r>
        <w:rPr>
          <w:rFonts w:ascii="Calibri" w:hAnsi="Calibri" w:cs="Calibri"/>
        </w:rPr>
        <w:t xml:space="preserve"> </w:t>
      </w:r>
      <w:r w:rsidR="00600DA8">
        <w:rPr>
          <w:rFonts w:ascii="Calibri" w:hAnsi="Calibri" w:cs="Calibri"/>
        </w:rPr>
        <w:t>28</w:t>
      </w:r>
      <w:r w:rsidR="007D3DFA">
        <w:rPr>
          <w:rFonts w:ascii="Calibri" w:hAnsi="Calibri" w:cs="Calibri"/>
        </w:rPr>
        <w:t>/02/2022</w:t>
      </w:r>
    </w:p>
    <w:p w14:paraId="5BD0D989" w14:textId="77777777" w:rsidR="005E317D" w:rsidRPr="00347896" w:rsidRDefault="00A56D49" w:rsidP="00E7321B">
      <w:pPr>
        <w:pStyle w:val="Heading1"/>
      </w:pPr>
      <w:bookmarkStart w:id="1" w:name="_Toc92198417"/>
      <w:r w:rsidRPr="00347896">
        <w:t xml:space="preserve">Introduction </w:t>
      </w:r>
      <w:r w:rsidR="00AC1EA5" w:rsidRPr="00347896">
        <w:t>and General Instructions</w:t>
      </w:r>
      <w:bookmarkEnd w:id="1"/>
    </w:p>
    <w:p w14:paraId="76364837" w14:textId="77777777" w:rsidR="001838F8" w:rsidRDefault="001838F8" w:rsidP="00247CF4">
      <w:pPr>
        <w:pStyle w:val="ListParagraph"/>
        <w:numPr>
          <w:ilvl w:val="1"/>
          <w:numId w:val="31"/>
        </w:numPr>
        <w:spacing w:before="0" w:after="240"/>
        <w:ind w:left="788" w:hanging="431"/>
        <w:contextualSpacing w:val="0"/>
        <w:rPr>
          <w:rFonts w:ascii="Calibri" w:hAnsi="Calibri" w:cs="Calibri"/>
        </w:rPr>
      </w:pPr>
      <w:r>
        <w:rPr>
          <w:rFonts w:ascii="Calibri" w:hAnsi="Calibri" w:cs="Calibri"/>
        </w:rPr>
        <w:t xml:space="preserve">This </w:t>
      </w:r>
      <w:r w:rsidR="00A11F3F">
        <w:rPr>
          <w:rFonts w:ascii="Calibri" w:hAnsi="Calibri" w:cs="Calibri"/>
        </w:rPr>
        <w:t xml:space="preserve">invitation to tender (ITT) </w:t>
      </w:r>
      <w:r>
        <w:rPr>
          <w:rFonts w:ascii="Calibri" w:hAnsi="Calibri" w:cs="Calibri"/>
        </w:rPr>
        <w:t xml:space="preserve">is published by the Sheffield City Region Mayoral Combined Authority (the Authority). Further information about the Authority can be found on our website at </w:t>
      </w:r>
      <w:hyperlink r:id="rId11" w:history="1">
        <w:r w:rsidRPr="004D195D">
          <w:rPr>
            <w:rStyle w:val="Hyperlink"/>
            <w:rFonts w:ascii="Calibri" w:hAnsi="Calibri" w:cs="Calibri"/>
          </w:rPr>
          <w:t>https://sheffieldcityregion.org.uk/</w:t>
        </w:r>
      </w:hyperlink>
      <w:r>
        <w:rPr>
          <w:rFonts w:ascii="Calibri" w:hAnsi="Calibri" w:cs="Calibri"/>
        </w:rPr>
        <w:t xml:space="preserve"> </w:t>
      </w:r>
    </w:p>
    <w:p w14:paraId="1B7D51F4" w14:textId="621B568A" w:rsidR="00A56D49" w:rsidRPr="00801632" w:rsidRDefault="00247CF4" w:rsidP="00247CF4">
      <w:pPr>
        <w:pStyle w:val="ListParagraph"/>
        <w:numPr>
          <w:ilvl w:val="1"/>
          <w:numId w:val="31"/>
        </w:numPr>
        <w:spacing w:before="0" w:after="240"/>
        <w:ind w:left="788" w:hanging="431"/>
        <w:contextualSpacing w:val="0"/>
        <w:rPr>
          <w:rFonts w:ascii="Calibri" w:hAnsi="Calibri" w:cs="Calibri"/>
        </w:rPr>
      </w:pPr>
      <w:r w:rsidRPr="00801632">
        <w:rPr>
          <w:rFonts w:ascii="Calibri" w:hAnsi="Calibri" w:cs="Calibri"/>
        </w:rPr>
        <w:t xml:space="preserve">If you have </w:t>
      </w:r>
      <w:r w:rsidR="00FD720E">
        <w:rPr>
          <w:rFonts w:ascii="Calibri" w:hAnsi="Calibri" w:cs="Calibri"/>
        </w:rPr>
        <w:t xml:space="preserve">any </w:t>
      </w:r>
      <w:r w:rsidRPr="00801632">
        <w:rPr>
          <w:rFonts w:ascii="Calibri" w:hAnsi="Calibri" w:cs="Calibri"/>
        </w:rPr>
        <w:t>queries or would like to request further information, please</w:t>
      </w:r>
      <w:r w:rsidR="00CF7F5C" w:rsidRPr="00801632">
        <w:rPr>
          <w:rFonts w:ascii="Calibri" w:hAnsi="Calibri" w:cs="Calibri"/>
        </w:rPr>
        <w:t xml:space="preserve"> use the messaging facility on </w:t>
      </w:r>
      <w:r w:rsidR="00584482">
        <w:rPr>
          <w:rFonts w:ascii="Calibri" w:hAnsi="Calibri" w:cs="Calibri"/>
        </w:rPr>
        <w:t>ProContract</w:t>
      </w:r>
      <w:r w:rsidR="00CF7F5C" w:rsidRPr="00801632">
        <w:rPr>
          <w:rFonts w:ascii="Calibri" w:hAnsi="Calibri" w:cs="Calibri"/>
        </w:rPr>
        <w:t xml:space="preserve"> to submit your request. </w:t>
      </w:r>
    </w:p>
    <w:p w14:paraId="31BDCDBD" w14:textId="77777777" w:rsidR="004034E3" w:rsidRDefault="004034E3" w:rsidP="004034E3">
      <w:pPr>
        <w:pStyle w:val="ListParagraph"/>
        <w:numPr>
          <w:ilvl w:val="1"/>
          <w:numId w:val="31"/>
        </w:numPr>
        <w:spacing w:before="0" w:after="240"/>
        <w:ind w:left="788" w:hanging="431"/>
        <w:contextualSpacing w:val="0"/>
        <w:rPr>
          <w:rFonts w:ascii="Calibri" w:hAnsi="Calibri" w:cs="Calibri"/>
        </w:rPr>
      </w:pPr>
      <w:r w:rsidRPr="008509ED">
        <w:rPr>
          <w:rFonts w:ascii="Calibri" w:hAnsi="Calibri" w:cs="Calibri"/>
        </w:rPr>
        <w:t>Information supplied by the Authority</w:t>
      </w:r>
      <w:r>
        <w:rPr>
          <w:rFonts w:ascii="Calibri" w:hAnsi="Calibri" w:cs="Calibri"/>
        </w:rPr>
        <w:t xml:space="preserve"> </w:t>
      </w:r>
      <w:r w:rsidRPr="008509ED">
        <w:rPr>
          <w:rFonts w:ascii="Calibri" w:hAnsi="Calibri" w:cs="Calibri"/>
        </w:rPr>
        <w:t>is supplied for general guidance</w:t>
      </w:r>
      <w:r>
        <w:rPr>
          <w:rFonts w:ascii="Calibri" w:hAnsi="Calibri" w:cs="Calibri"/>
        </w:rPr>
        <w:t xml:space="preserve"> only.</w:t>
      </w:r>
      <w:r w:rsidRPr="008509ED">
        <w:rPr>
          <w:rFonts w:ascii="Calibri" w:hAnsi="Calibri" w:cs="Calibri"/>
        </w:rPr>
        <w:t xml:space="preserve"> Tenderers must satisfy themselves by their own investigations as to the accuracy of such information and no responsibility is accepted by the Authority for any loss or damage arising from the use of such information. </w:t>
      </w:r>
    </w:p>
    <w:p w14:paraId="598AAC2B" w14:textId="77777777" w:rsidR="004034E3" w:rsidRDefault="00C93E8C" w:rsidP="004034E3">
      <w:pPr>
        <w:pStyle w:val="ListParagraph"/>
        <w:numPr>
          <w:ilvl w:val="1"/>
          <w:numId w:val="31"/>
        </w:numPr>
        <w:spacing w:before="0" w:after="240"/>
        <w:ind w:left="788" w:hanging="431"/>
        <w:contextualSpacing w:val="0"/>
        <w:rPr>
          <w:rFonts w:ascii="Calibri" w:hAnsi="Calibri" w:cs="Calibri"/>
        </w:rPr>
      </w:pPr>
      <w:r>
        <w:rPr>
          <w:rFonts w:ascii="Calibri" w:hAnsi="Calibri" w:cs="Calibri"/>
        </w:rPr>
        <w:t xml:space="preserve">If you require </w:t>
      </w:r>
      <w:r w:rsidR="004034E3" w:rsidRPr="008509ED">
        <w:rPr>
          <w:rFonts w:ascii="Calibri" w:hAnsi="Calibri" w:cs="Calibri"/>
        </w:rPr>
        <w:t>any</w:t>
      </w:r>
      <w:r w:rsidR="004034E3">
        <w:rPr>
          <w:rFonts w:ascii="Calibri" w:hAnsi="Calibri" w:cs="Calibri"/>
        </w:rPr>
        <w:t xml:space="preserve"> additional </w:t>
      </w:r>
      <w:r w:rsidR="004034E3" w:rsidRPr="008509ED">
        <w:rPr>
          <w:rFonts w:ascii="Calibri" w:hAnsi="Calibri" w:cs="Calibri"/>
        </w:rPr>
        <w:t>information for the preparation of your tender</w:t>
      </w:r>
      <w:r>
        <w:rPr>
          <w:rFonts w:ascii="Calibri" w:hAnsi="Calibri" w:cs="Calibri"/>
        </w:rPr>
        <w:t xml:space="preserve"> this shall be </w:t>
      </w:r>
      <w:r w:rsidRPr="008509ED">
        <w:rPr>
          <w:rFonts w:ascii="Calibri" w:hAnsi="Calibri" w:cs="Calibri"/>
        </w:rPr>
        <w:t xml:space="preserve">at your own expense </w:t>
      </w:r>
      <w:r>
        <w:rPr>
          <w:rFonts w:ascii="Calibri" w:hAnsi="Calibri" w:cs="Calibri"/>
        </w:rPr>
        <w:t>and t</w:t>
      </w:r>
      <w:r w:rsidR="004034E3" w:rsidRPr="008509ED">
        <w:rPr>
          <w:rFonts w:ascii="Calibri" w:hAnsi="Calibri" w:cs="Calibri"/>
        </w:rPr>
        <w:t>he Authority shall not be responsible for any expenses that you may incur in any aspect of the procurement process</w:t>
      </w:r>
      <w:r w:rsidR="004034E3">
        <w:rPr>
          <w:rFonts w:ascii="Calibri" w:hAnsi="Calibri" w:cs="Calibri"/>
        </w:rPr>
        <w:t>.</w:t>
      </w:r>
    </w:p>
    <w:p w14:paraId="37FBC5AA" w14:textId="563E86A8" w:rsidR="004034E3" w:rsidRDefault="004034E3" w:rsidP="004034E3">
      <w:pPr>
        <w:pStyle w:val="ListParagraph"/>
        <w:numPr>
          <w:ilvl w:val="1"/>
          <w:numId w:val="31"/>
        </w:numPr>
        <w:rPr>
          <w:rFonts w:ascii="Calibri" w:hAnsi="Calibri" w:cs="Calibri"/>
        </w:rPr>
      </w:pPr>
      <w:r w:rsidRPr="000B15DA">
        <w:rPr>
          <w:rFonts w:ascii="Calibri" w:hAnsi="Calibri" w:cs="Calibri"/>
        </w:rPr>
        <w:t xml:space="preserve">This Invitation to Tender does not constitute an offer and the Authority has the right to accept </w:t>
      </w:r>
      <w:r>
        <w:rPr>
          <w:rFonts w:ascii="Calibri" w:hAnsi="Calibri" w:cs="Calibri"/>
        </w:rPr>
        <w:t xml:space="preserve">or reject </w:t>
      </w:r>
      <w:r w:rsidRPr="000B15DA">
        <w:rPr>
          <w:rFonts w:ascii="Calibri" w:hAnsi="Calibri" w:cs="Calibri"/>
        </w:rPr>
        <w:t xml:space="preserve">any tender in whole or in part and does not have to accept any </w:t>
      </w:r>
      <w:r w:rsidR="00DA2919" w:rsidRPr="000B15DA">
        <w:rPr>
          <w:rFonts w:ascii="Calibri" w:hAnsi="Calibri" w:cs="Calibri"/>
        </w:rPr>
        <w:t>tender</w:t>
      </w:r>
      <w:r w:rsidRPr="000B15DA">
        <w:rPr>
          <w:rFonts w:ascii="Calibri" w:hAnsi="Calibri" w:cs="Calibri"/>
        </w:rPr>
        <w:t xml:space="preserve">. </w:t>
      </w:r>
    </w:p>
    <w:p w14:paraId="50DACEA4" w14:textId="77777777" w:rsidR="002B0FBB" w:rsidRPr="000B15DA" w:rsidRDefault="002B0FBB" w:rsidP="002B0FBB">
      <w:pPr>
        <w:pStyle w:val="ListParagraph"/>
        <w:ind w:left="792"/>
        <w:rPr>
          <w:rFonts w:ascii="Calibri" w:hAnsi="Calibri" w:cs="Calibri"/>
        </w:rPr>
      </w:pPr>
    </w:p>
    <w:p w14:paraId="75365925" w14:textId="5B174658" w:rsidR="004034E3" w:rsidRPr="004034E3" w:rsidRDefault="004715D0" w:rsidP="004034E3">
      <w:pPr>
        <w:pStyle w:val="ListParagraph"/>
        <w:numPr>
          <w:ilvl w:val="1"/>
          <w:numId w:val="31"/>
        </w:numPr>
        <w:spacing w:before="0" w:after="240"/>
        <w:rPr>
          <w:rFonts w:ascii="Calibri" w:hAnsi="Calibri" w:cs="Calibri"/>
        </w:rPr>
      </w:pPr>
      <w:r w:rsidRPr="004715D0">
        <w:rPr>
          <w:rFonts w:ascii="Calibri" w:hAnsi="Calibri" w:cs="Calibri"/>
        </w:rPr>
        <w:t xml:space="preserve">The Authority reserves the right to terminate, suspend, </w:t>
      </w:r>
      <w:r w:rsidR="00DA2919" w:rsidRPr="004715D0">
        <w:rPr>
          <w:rFonts w:ascii="Calibri" w:hAnsi="Calibri" w:cs="Calibri"/>
        </w:rPr>
        <w:t>amend,</w:t>
      </w:r>
      <w:r w:rsidRPr="004715D0">
        <w:rPr>
          <w:rFonts w:ascii="Calibri" w:hAnsi="Calibri" w:cs="Calibri"/>
        </w:rPr>
        <w:t xml:space="preserve"> or vary (to include any timescales or deadlines) this tender process by notice to all Tenderers in writing</w:t>
      </w:r>
      <w:r>
        <w:rPr>
          <w:rFonts w:ascii="Calibri" w:hAnsi="Calibri" w:cs="Calibri"/>
        </w:rPr>
        <w:t>. U</w:t>
      </w:r>
      <w:r w:rsidR="004034E3" w:rsidRPr="004034E3">
        <w:rPr>
          <w:rFonts w:ascii="Calibri" w:hAnsi="Calibri" w:cs="Calibri"/>
        </w:rPr>
        <w:t>nder no circumstances shall the Authority</w:t>
      </w:r>
      <w:r w:rsidR="004034E3">
        <w:rPr>
          <w:rFonts w:ascii="Calibri" w:hAnsi="Calibri" w:cs="Calibri"/>
        </w:rPr>
        <w:t xml:space="preserve">, </w:t>
      </w:r>
      <w:r w:rsidR="004034E3" w:rsidRPr="004034E3">
        <w:rPr>
          <w:rFonts w:ascii="Calibri" w:hAnsi="Calibri" w:cs="Calibri"/>
        </w:rPr>
        <w:t xml:space="preserve">its staff, agents, </w:t>
      </w:r>
      <w:r w:rsidR="002616CA" w:rsidRPr="004034E3">
        <w:rPr>
          <w:rFonts w:ascii="Calibri" w:hAnsi="Calibri" w:cs="Calibri"/>
        </w:rPr>
        <w:t>members,</w:t>
      </w:r>
      <w:r w:rsidR="004034E3" w:rsidRPr="004034E3">
        <w:rPr>
          <w:rFonts w:ascii="Calibri" w:hAnsi="Calibri" w:cs="Calibri"/>
        </w:rPr>
        <w:t xml:space="preserve"> or advisors incur any liability whatsoever in respect of such matters.</w:t>
      </w:r>
    </w:p>
    <w:p w14:paraId="4106CC0A" w14:textId="77777777" w:rsidR="004034E3" w:rsidRPr="004034E3" w:rsidRDefault="004034E3" w:rsidP="004034E3">
      <w:pPr>
        <w:pStyle w:val="ListParagraph"/>
        <w:spacing w:before="0" w:after="240"/>
        <w:ind w:left="792"/>
        <w:rPr>
          <w:rFonts w:ascii="Calibri" w:hAnsi="Calibri" w:cs="Calibri"/>
        </w:rPr>
      </w:pPr>
    </w:p>
    <w:p w14:paraId="3CCE6F2E" w14:textId="77777777" w:rsidR="004034E3" w:rsidRPr="004034E3" w:rsidRDefault="004034E3" w:rsidP="004034E3">
      <w:pPr>
        <w:pStyle w:val="ListParagraph"/>
        <w:numPr>
          <w:ilvl w:val="1"/>
          <w:numId w:val="31"/>
        </w:numPr>
        <w:spacing w:before="0" w:after="240"/>
        <w:rPr>
          <w:rFonts w:ascii="Calibri" w:hAnsi="Calibri" w:cs="Calibri"/>
        </w:rPr>
      </w:pPr>
      <w:r w:rsidRPr="004034E3">
        <w:rPr>
          <w:rFonts w:ascii="Calibri" w:hAnsi="Calibri" w:cs="Calibri"/>
        </w:rPr>
        <w:t xml:space="preserve">Nothing within this invitation to tender or any related correspondence is intended by the Authority to guarantee any quantity or value of the contract between the Authority and the successful Tenderer. </w:t>
      </w:r>
    </w:p>
    <w:p w14:paraId="568BFF7E" w14:textId="77777777" w:rsidR="004034E3" w:rsidRPr="004034E3" w:rsidRDefault="004034E3" w:rsidP="004034E3">
      <w:pPr>
        <w:pStyle w:val="ListParagraph"/>
        <w:spacing w:before="0" w:after="240"/>
        <w:ind w:left="792"/>
        <w:rPr>
          <w:rFonts w:ascii="Calibri" w:hAnsi="Calibri" w:cs="Calibri"/>
        </w:rPr>
      </w:pPr>
    </w:p>
    <w:p w14:paraId="53D55F10" w14:textId="77777777" w:rsidR="004034E3" w:rsidRPr="004034E3" w:rsidRDefault="004034E3" w:rsidP="004034E3">
      <w:pPr>
        <w:pStyle w:val="ListParagraph"/>
        <w:numPr>
          <w:ilvl w:val="1"/>
          <w:numId w:val="31"/>
        </w:numPr>
        <w:spacing w:before="0" w:after="240"/>
        <w:ind w:left="788" w:hanging="431"/>
        <w:contextualSpacing w:val="0"/>
        <w:rPr>
          <w:rFonts w:ascii="Calibri" w:hAnsi="Calibri" w:cs="Calibri"/>
        </w:rPr>
      </w:pPr>
      <w:r w:rsidRPr="004034E3">
        <w:rPr>
          <w:rFonts w:ascii="Calibri" w:hAnsi="Calibri" w:cs="Calibri"/>
        </w:rPr>
        <w:t>It is the individual Tenderer’s responsibility to ensure that all the tender documents have been received and are complete in all respects.</w:t>
      </w:r>
    </w:p>
    <w:p w14:paraId="3BACBDEE" w14:textId="77777777" w:rsidR="00801632" w:rsidRDefault="00C93E8C" w:rsidP="004715D0">
      <w:pPr>
        <w:pStyle w:val="ListParagraph"/>
        <w:numPr>
          <w:ilvl w:val="1"/>
          <w:numId w:val="31"/>
        </w:numPr>
        <w:spacing w:before="0" w:after="240"/>
        <w:ind w:left="851" w:hanging="494"/>
        <w:contextualSpacing w:val="0"/>
        <w:rPr>
          <w:rFonts w:ascii="Calibri" w:hAnsi="Calibri" w:cs="Calibri"/>
        </w:rPr>
      </w:pPr>
      <w:r>
        <w:rPr>
          <w:rFonts w:ascii="Calibri" w:hAnsi="Calibri" w:cs="Calibri"/>
        </w:rPr>
        <w:t>It is important that you r</w:t>
      </w:r>
      <w:r w:rsidR="0081327C" w:rsidRPr="0081327C">
        <w:rPr>
          <w:rFonts w:ascii="Calibri" w:hAnsi="Calibri" w:cs="Calibri"/>
        </w:rPr>
        <w:t xml:space="preserve">ead the documents carefully. </w:t>
      </w:r>
      <w:r w:rsidR="0081327C">
        <w:rPr>
          <w:rFonts w:ascii="Calibri" w:hAnsi="Calibri" w:cs="Calibri"/>
        </w:rPr>
        <w:t xml:space="preserve"> </w:t>
      </w:r>
      <w:r w:rsidR="00801632" w:rsidRPr="0081327C">
        <w:rPr>
          <w:rFonts w:ascii="Calibri" w:hAnsi="Calibri" w:cs="Calibri"/>
        </w:rPr>
        <w:t xml:space="preserve">The contract will be based on the </w:t>
      </w:r>
      <w:r w:rsidR="00720D5A" w:rsidRPr="0081327C">
        <w:rPr>
          <w:rFonts w:ascii="Calibri" w:hAnsi="Calibri" w:cs="Calibri"/>
        </w:rPr>
        <w:t xml:space="preserve">Specification and the </w:t>
      </w:r>
      <w:r w:rsidR="00801632" w:rsidRPr="0081327C">
        <w:rPr>
          <w:rFonts w:ascii="Calibri" w:hAnsi="Calibri" w:cs="Calibri"/>
        </w:rPr>
        <w:t xml:space="preserve">Authority’s </w:t>
      </w:r>
      <w:r w:rsidR="00720D5A" w:rsidRPr="0081327C">
        <w:rPr>
          <w:rFonts w:ascii="Calibri" w:hAnsi="Calibri" w:cs="Calibri"/>
        </w:rPr>
        <w:t>T</w:t>
      </w:r>
      <w:r w:rsidR="00801632" w:rsidRPr="0081327C">
        <w:rPr>
          <w:rFonts w:ascii="Calibri" w:hAnsi="Calibri" w:cs="Calibri"/>
        </w:rPr>
        <w:t xml:space="preserve">erms and </w:t>
      </w:r>
      <w:r w:rsidR="00720D5A" w:rsidRPr="0081327C">
        <w:rPr>
          <w:rFonts w:ascii="Calibri" w:hAnsi="Calibri" w:cs="Calibri"/>
        </w:rPr>
        <w:t>C</w:t>
      </w:r>
      <w:r w:rsidR="00801632" w:rsidRPr="0081327C">
        <w:rPr>
          <w:rFonts w:ascii="Calibri" w:hAnsi="Calibri" w:cs="Calibri"/>
        </w:rPr>
        <w:t>onditions,</w:t>
      </w:r>
      <w:r w:rsidR="00720D5A" w:rsidRPr="0081327C">
        <w:rPr>
          <w:rFonts w:ascii="Calibri" w:hAnsi="Calibri" w:cs="Calibri"/>
        </w:rPr>
        <w:t xml:space="preserve"> combined with the successful Tender submission. </w:t>
      </w:r>
      <w:r w:rsidR="00801632" w:rsidRPr="0081327C">
        <w:rPr>
          <w:rFonts w:ascii="Calibri" w:hAnsi="Calibri" w:cs="Calibri"/>
        </w:rPr>
        <w:t xml:space="preserve"> </w:t>
      </w:r>
      <w:r w:rsidR="00720D5A" w:rsidRPr="0081327C">
        <w:rPr>
          <w:rFonts w:ascii="Calibri" w:hAnsi="Calibri" w:cs="Calibri"/>
        </w:rPr>
        <w:t>I</w:t>
      </w:r>
      <w:r w:rsidR="00801632" w:rsidRPr="0081327C">
        <w:rPr>
          <w:rFonts w:ascii="Calibri" w:hAnsi="Calibri" w:cs="Calibri"/>
        </w:rPr>
        <w:t>f you have any queries regarding the</w:t>
      </w:r>
      <w:r w:rsidR="00720D5A" w:rsidRPr="0081327C">
        <w:rPr>
          <w:rFonts w:ascii="Calibri" w:hAnsi="Calibri" w:cs="Calibri"/>
        </w:rPr>
        <w:t xml:space="preserve"> Specification</w:t>
      </w:r>
      <w:r w:rsidR="00801632" w:rsidRPr="0081327C">
        <w:rPr>
          <w:rFonts w:ascii="Calibri" w:hAnsi="Calibri" w:cs="Calibri"/>
        </w:rPr>
        <w:t xml:space="preserve"> </w:t>
      </w:r>
      <w:r w:rsidR="00720D5A" w:rsidRPr="0081327C">
        <w:rPr>
          <w:rFonts w:ascii="Calibri" w:hAnsi="Calibri" w:cs="Calibri"/>
        </w:rPr>
        <w:t>or the T</w:t>
      </w:r>
      <w:r w:rsidR="00801632" w:rsidRPr="0081327C">
        <w:rPr>
          <w:rFonts w:ascii="Calibri" w:hAnsi="Calibri" w:cs="Calibri"/>
        </w:rPr>
        <w:t xml:space="preserve">erms and </w:t>
      </w:r>
      <w:r w:rsidR="00720D5A" w:rsidRPr="0081327C">
        <w:rPr>
          <w:rFonts w:ascii="Calibri" w:hAnsi="Calibri" w:cs="Calibri"/>
        </w:rPr>
        <w:t>C</w:t>
      </w:r>
      <w:r w:rsidR="00801632" w:rsidRPr="0081327C">
        <w:rPr>
          <w:rFonts w:ascii="Calibri" w:hAnsi="Calibri" w:cs="Calibri"/>
        </w:rPr>
        <w:t xml:space="preserve">onditions these must be raised prior to submitting your </w:t>
      </w:r>
      <w:r w:rsidR="00E738C3" w:rsidRPr="0081327C">
        <w:rPr>
          <w:rFonts w:ascii="Calibri" w:hAnsi="Calibri" w:cs="Calibri"/>
        </w:rPr>
        <w:t>Tender</w:t>
      </w:r>
      <w:r w:rsidR="00801632" w:rsidRPr="0081327C">
        <w:rPr>
          <w:rFonts w:ascii="Calibri" w:hAnsi="Calibri" w:cs="Calibri"/>
        </w:rPr>
        <w:t xml:space="preserve">. Post tender negotiations will not be permitted. </w:t>
      </w:r>
    </w:p>
    <w:p w14:paraId="6CFF3A7C" w14:textId="396E0C24" w:rsidR="004715D0" w:rsidRPr="004715D0" w:rsidRDefault="004715D0" w:rsidP="004715D0">
      <w:pPr>
        <w:pStyle w:val="ListParagraph"/>
        <w:numPr>
          <w:ilvl w:val="1"/>
          <w:numId w:val="31"/>
        </w:numPr>
        <w:ind w:left="851" w:hanging="491"/>
        <w:rPr>
          <w:rFonts w:ascii="Calibri" w:hAnsi="Calibri" w:cs="Calibri"/>
        </w:rPr>
      </w:pPr>
      <w:r w:rsidRPr="004715D0">
        <w:rPr>
          <w:rFonts w:ascii="Calibri" w:hAnsi="Calibri" w:cs="Calibri"/>
        </w:rPr>
        <w:t xml:space="preserve">The Authority may if necessary, extend the period for completing the award process. If the Authority has not accepted a tender or awarded the contract within the estimated </w:t>
      </w:r>
      <w:r w:rsidR="002616CA" w:rsidRPr="004715D0">
        <w:rPr>
          <w:rFonts w:ascii="Calibri" w:hAnsi="Calibri" w:cs="Calibri"/>
        </w:rPr>
        <w:t>period,</w:t>
      </w:r>
      <w:r w:rsidRPr="004715D0">
        <w:rPr>
          <w:rFonts w:ascii="Calibri" w:hAnsi="Calibri" w:cs="Calibri"/>
        </w:rPr>
        <w:t xml:space="preserve"> then the tender shall remain in force without variation for a minimum of </w:t>
      </w:r>
      <w:r w:rsidRPr="00F12A31">
        <w:rPr>
          <w:rFonts w:ascii="Calibri" w:hAnsi="Calibri" w:cs="Calibri"/>
        </w:rPr>
        <w:t xml:space="preserve">ninety days. </w:t>
      </w:r>
    </w:p>
    <w:p w14:paraId="16739DE3" w14:textId="77777777" w:rsidR="004715D0" w:rsidRPr="0081327C" w:rsidRDefault="004715D0" w:rsidP="004715D0">
      <w:pPr>
        <w:pStyle w:val="ListParagraph"/>
        <w:spacing w:before="0" w:after="240"/>
        <w:ind w:left="851"/>
        <w:contextualSpacing w:val="0"/>
        <w:rPr>
          <w:rFonts w:ascii="Calibri" w:hAnsi="Calibri" w:cs="Calibri"/>
        </w:rPr>
      </w:pPr>
    </w:p>
    <w:p w14:paraId="6C7CC43C" w14:textId="77777777" w:rsidR="002B0FBB" w:rsidRPr="002B0FBB" w:rsidRDefault="002B0FBB" w:rsidP="002B0FBB">
      <w:pPr>
        <w:pStyle w:val="Heading1"/>
      </w:pPr>
      <w:bookmarkStart w:id="2" w:name="_Toc92198418"/>
      <w:r w:rsidRPr="002B0FBB">
        <w:t>CLARIFICATION &amp; AMENDMENT TO TENDER DOCUMENTS</w:t>
      </w:r>
      <w:bookmarkEnd w:id="2"/>
    </w:p>
    <w:p w14:paraId="09812989" w14:textId="77777777"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No material changes, alterations or amendments will be allowed to any part of the tender documents unless agreed by the Authority.</w:t>
      </w:r>
    </w:p>
    <w:p w14:paraId="3B232A70" w14:textId="77777777" w:rsidR="002B0FBB" w:rsidRPr="002B0FBB" w:rsidRDefault="002B0FBB" w:rsidP="002B0FBB">
      <w:pPr>
        <w:pStyle w:val="ListParagraph"/>
        <w:ind w:left="993"/>
        <w:rPr>
          <w:rFonts w:ascii="Calibri" w:hAnsi="Calibri" w:cs="Calibri"/>
        </w:rPr>
      </w:pPr>
    </w:p>
    <w:p w14:paraId="4F1FD0F8" w14:textId="1AA7CF02" w:rsidR="002B0FBB" w:rsidRPr="002B0FBB" w:rsidRDefault="002616CA" w:rsidP="004B530C">
      <w:pPr>
        <w:pStyle w:val="ListParagraph"/>
        <w:numPr>
          <w:ilvl w:val="1"/>
          <w:numId w:val="31"/>
        </w:numPr>
        <w:ind w:left="993" w:hanging="633"/>
        <w:rPr>
          <w:rFonts w:ascii="Calibri" w:hAnsi="Calibri" w:cs="Calibri"/>
        </w:rPr>
      </w:pPr>
      <w:r w:rsidRPr="002B0FBB">
        <w:rPr>
          <w:rFonts w:ascii="Calibri" w:hAnsi="Calibri" w:cs="Calibri"/>
        </w:rPr>
        <w:lastRenderedPageBreak/>
        <w:t>If,</w:t>
      </w:r>
      <w:r w:rsidR="002B0FBB" w:rsidRPr="002B0FBB">
        <w:rPr>
          <w:rFonts w:ascii="Calibri" w:hAnsi="Calibri" w:cs="Calibri"/>
        </w:rPr>
        <w:t xml:space="preserve"> however, a Tenderer has a specific issue with any part of the tender documents they should explain the nature of the problem and propose a reasonable alternative prior to the deadline for clarification questions. The Authority does not bind itself to accept any proposed amendments but will consider any reasonable suggestions.</w:t>
      </w:r>
    </w:p>
    <w:p w14:paraId="12A0A279" w14:textId="77777777" w:rsidR="002B0FBB" w:rsidRPr="002B0FBB" w:rsidRDefault="002B0FBB" w:rsidP="002B0FBB">
      <w:pPr>
        <w:pStyle w:val="ListParagraph"/>
        <w:ind w:left="993"/>
        <w:rPr>
          <w:rFonts w:ascii="Calibri" w:hAnsi="Calibri" w:cs="Calibri"/>
        </w:rPr>
      </w:pPr>
    </w:p>
    <w:p w14:paraId="3785B068" w14:textId="1CC76FB7"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 xml:space="preserve">Any suggestions, questions or requests for clarification must be made electronically through the </w:t>
      </w:r>
      <w:r w:rsidR="00584482">
        <w:rPr>
          <w:rFonts w:ascii="Calibri" w:hAnsi="Calibri" w:cs="Calibri"/>
        </w:rPr>
        <w:t>ProContract</w:t>
      </w:r>
      <w:r w:rsidRPr="002B0FBB">
        <w:rPr>
          <w:rFonts w:ascii="Calibri" w:hAnsi="Calibri" w:cs="Calibri"/>
        </w:rPr>
        <w:t xml:space="preserve"> system and must be received no later than ten (10) working days before the tender return date and time.</w:t>
      </w:r>
    </w:p>
    <w:p w14:paraId="1ECD6551" w14:textId="77777777" w:rsidR="002B0FBB" w:rsidRPr="002B0FBB" w:rsidRDefault="002B0FBB" w:rsidP="002B0FBB">
      <w:pPr>
        <w:pStyle w:val="ListParagraph"/>
        <w:ind w:left="993"/>
        <w:rPr>
          <w:rFonts w:ascii="Calibri" w:hAnsi="Calibri" w:cs="Calibri"/>
        </w:rPr>
      </w:pPr>
    </w:p>
    <w:p w14:paraId="48B49E9B" w14:textId="13EAD28D" w:rsidR="002B0FBB" w:rsidRPr="002B0FBB" w:rsidRDefault="002B0FBB" w:rsidP="004B530C">
      <w:pPr>
        <w:pStyle w:val="ListParagraph"/>
        <w:numPr>
          <w:ilvl w:val="1"/>
          <w:numId w:val="31"/>
        </w:numPr>
        <w:ind w:left="993" w:hanging="633"/>
        <w:rPr>
          <w:rFonts w:ascii="Calibri" w:hAnsi="Calibri" w:cs="Calibri"/>
        </w:rPr>
      </w:pPr>
      <w:r w:rsidRPr="002B0FBB">
        <w:rPr>
          <w:rFonts w:ascii="Calibri" w:hAnsi="Calibri" w:cs="Calibri"/>
        </w:rPr>
        <w:t xml:space="preserve">Responses to queries will be provided via </w:t>
      </w:r>
      <w:r w:rsidR="00584482">
        <w:rPr>
          <w:rFonts w:ascii="Calibri" w:hAnsi="Calibri" w:cs="Calibri"/>
        </w:rPr>
        <w:t>ProContract</w:t>
      </w:r>
      <w:r w:rsidRPr="002B0FBB">
        <w:rPr>
          <w:rFonts w:ascii="Calibri" w:hAnsi="Calibri" w:cs="Calibri"/>
        </w:rPr>
        <w:t xml:space="preserve"> and made available to all tenderers, except answers which are commercially confidential. If you do not want the answer to your question to be copied to all tenderers, you must clearly mark your question ‘in confidence’ and provide reasons for the request for non-disclosure. We will decide, at our discretion, whether the question is confidential. If we do not consider the question to be confidential, we will offer you the option of withdrawing the question.  </w:t>
      </w:r>
    </w:p>
    <w:p w14:paraId="54357367" w14:textId="77777777" w:rsidR="002B0FBB" w:rsidRPr="002B0FBB" w:rsidRDefault="002B0FBB" w:rsidP="002B0FBB">
      <w:pPr>
        <w:pStyle w:val="ListParagraph"/>
        <w:ind w:left="993"/>
        <w:rPr>
          <w:rFonts w:ascii="Calibri" w:hAnsi="Calibri" w:cs="Calibri"/>
        </w:rPr>
      </w:pPr>
    </w:p>
    <w:p w14:paraId="2199211E" w14:textId="77777777"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Where the Authority agrees that a suggested amendment to the original tender documents is appropriate any such amendment will be notified to all prospective Tenderers and an extension of the closing date may at the sole discretion of the Authority be given. Tenderers must take full account of any such amendments in the preparation of their tender.</w:t>
      </w:r>
    </w:p>
    <w:p w14:paraId="0A98488E" w14:textId="77777777" w:rsidR="002B0FBB" w:rsidRPr="002B0FBB" w:rsidRDefault="002B0FBB" w:rsidP="002B0FBB">
      <w:pPr>
        <w:pStyle w:val="ListParagraph"/>
        <w:ind w:left="993"/>
        <w:rPr>
          <w:rFonts w:ascii="Calibri" w:hAnsi="Calibri" w:cs="Calibri"/>
        </w:rPr>
      </w:pPr>
    </w:p>
    <w:p w14:paraId="0F241C19" w14:textId="753CA4AC" w:rsidR="006C3C93" w:rsidRDefault="006C3C93" w:rsidP="002B0FBB">
      <w:pPr>
        <w:pStyle w:val="ListParagraph"/>
        <w:numPr>
          <w:ilvl w:val="1"/>
          <w:numId w:val="31"/>
        </w:numPr>
        <w:ind w:left="993" w:hanging="633"/>
        <w:rPr>
          <w:rFonts w:ascii="Calibri" w:hAnsi="Calibri" w:cs="Calibri"/>
        </w:rPr>
      </w:pPr>
      <w:r w:rsidRPr="006C3C93">
        <w:rPr>
          <w:rFonts w:ascii="Calibri" w:hAnsi="Calibri" w:cs="Calibri"/>
        </w:rPr>
        <w:t xml:space="preserve">The Authority will not consider any claims for extra work, </w:t>
      </w:r>
      <w:r w:rsidR="002616CA" w:rsidRPr="006C3C93">
        <w:rPr>
          <w:rFonts w:ascii="Calibri" w:hAnsi="Calibri" w:cs="Calibri"/>
        </w:rPr>
        <w:t>variations,</w:t>
      </w:r>
      <w:r w:rsidRPr="006C3C93">
        <w:rPr>
          <w:rFonts w:ascii="Calibri" w:hAnsi="Calibri" w:cs="Calibri"/>
        </w:rPr>
        <w:t xml:space="preserve"> or adjustments in consequence of any misunderstanding or error on the part of the tenderer</w:t>
      </w:r>
      <w:r>
        <w:rPr>
          <w:rFonts w:ascii="Calibri" w:hAnsi="Calibri" w:cs="Calibri"/>
        </w:rPr>
        <w:t>.</w:t>
      </w:r>
      <w:r w:rsidRPr="002B0FBB">
        <w:rPr>
          <w:rFonts w:ascii="Calibri" w:hAnsi="Calibri" w:cs="Calibri"/>
        </w:rPr>
        <w:t xml:space="preserve"> </w:t>
      </w:r>
    </w:p>
    <w:p w14:paraId="77569A82" w14:textId="77777777" w:rsidR="006C3C93" w:rsidRPr="006C3C93" w:rsidRDefault="006C3C93" w:rsidP="006C3C93">
      <w:pPr>
        <w:pStyle w:val="ListParagraph"/>
        <w:rPr>
          <w:rFonts w:ascii="Calibri" w:hAnsi="Calibri" w:cs="Calibri"/>
        </w:rPr>
      </w:pPr>
    </w:p>
    <w:p w14:paraId="50726C9B" w14:textId="77777777"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 xml:space="preserve">Any amendment which if accepted would result in (a) transfer of risk; (b) change to the overall financial position; or (c) any other commercial impact may not be accepted. </w:t>
      </w:r>
    </w:p>
    <w:p w14:paraId="50BD480E" w14:textId="77777777" w:rsidR="002B0FBB" w:rsidRPr="002B0FBB" w:rsidRDefault="002B0FBB" w:rsidP="002B0FBB">
      <w:pPr>
        <w:pStyle w:val="ListParagraph"/>
        <w:ind w:left="993"/>
        <w:rPr>
          <w:rFonts w:ascii="Calibri" w:hAnsi="Calibri" w:cs="Calibri"/>
        </w:rPr>
      </w:pPr>
    </w:p>
    <w:p w14:paraId="08822173" w14:textId="77777777"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 xml:space="preserve">Tenderers should be aware that the Authority cannot accept any amendment to either the insurance, limitation of liability provision or anything that would result in a material change to the Authority’s requirements. </w:t>
      </w:r>
    </w:p>
    <w:p w14:paraId="0349DC86" w14:textId="77777777" w:rsidR="002B0FBB" w:rsidRPr="002B0FBB" w:rsidRDefault="002B0FBB" w:rsidP="002B0FBB">
      <w:pPr>
        <w:pStyle w:val="ListParagraph"/>
        <w:ind w:left="993"/>
        <w:rPr>
          <w:rFonts w:ascii="Calibri" w:hAnsi="Calibri" w:cs="Calibri"/>
        </w:rPr>
      </w:pPr>
    </w:p>
    <w:p w14:paraId="439DA672" w14:textId="77777777" w:rsid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Tenderers should also note that any tender response, which merely replaces the Authority’s agreement with an alternative agreement, will not be acceptable and the Authority reserves the right to view such an action as a non-compliant bid and exclude the Tenderer from the procurement process.</w:t>
      </w:r>
    </w:p>
    <w:p w14:paraId="12072BE0" w14:textId="77777777" w:rsidR="00844D42" w:rsidRPr="00844D42" w:rsidRDefault="00844D42" w:rsidP="00844D42">
      <w:pPr>
        <w:pStyle w:val="ListParagraph"/>
        <w:rPr>
          <w:rFonts w:ascii="Calibri" w:hAnsi="Calibri" w:cs="Calibri"/>
        </w:rPr>
      </w:pPr>
    </w:p>
    <w:p w14:paraId="382AED4B" w14:textId="77777777" w:rsidR="00844D42" w:rsidRPr="002B0FBB" w:rsidRDefault="00844D42" w:rsidP="00844D42">
      <w:pPr>
        <w:pStyle w:val="ListParagraph"/>
        <w:ind w:left="993"/>
        <w:rPr>
          <w:rFonts w:ascii="Calibri" w:hAnsi="Calibri" w:cs="Calibri"/>
        </w:rPr>
      </w:pPr>
    </w:p>
    <w:p w14:paraId="61DE2392" w14:textId="77777777" w:rsidR="00293A4B" w:rsidRPr="00667C33" w:rsidRDefault="00DB53E0" w:rsidP="00347896">
      <w:pPr>
        <w:pStyle w:val="Heading1"/>
      </w:pPr>
      <w:bookmarkStart w:id="3" w:name="_Toc92198419"/>
      <w:r>
        <w:t xml:space="preserve">Tender </w:t>
      </w:r>
      <w:r w:rsidR="00C93E8C">
        <w:t>Preparation</w:t>
      </w:r>
      <w:r w:rsidR="00293A4B" w:rsidRPr="00667C33">
        <w:t xml:space="preserve"> Guidance</w:t>
      </w:r>
      <w:bookmarkEnd w:id="3"/>
      <w:r w:rsidR="00293A4B" w:rsidRPr="00667C33">
        <w:t xml:space="preserve"> </w:t>
      </w:r>
    </w:p>
    <w:p w14:paraId="22078343" w14:textId="77777777" w:rsidR="00795F64" w:rsidRPr="00795F64" w:rsidRDefault="00795F64" w:rsidP="00795F64">
      <w:pPr>
        <w:pStyle w:val="ListParagraph"/>
        <w:numPr>
          <w:ilvl w:val="1"/>
          <w:numId w:val="31"/>
        </w:numPr>
        <w:spacing w:before="0" w:after="240"/>
        <w:contextualSpacing w:val="0"/>
        <w:rPr>
          <w:rFonts w:ascii="Calibri" w:hAnsi="Calibri" w:cs="Calibri"/>
        </w:rPr>
      </w:pPr>
      <w:r w:rsidRPr="00795F64">
        <w:rPr>
          <w:rFonts w:ascii="Calibri" w:hAnsi="Calibri" w:cs="Calibri"/>
        </w:rPr>
        <w:t>The submission must be completed in English.</w:t>
      </w:r>
    </w:p>
    <w:p w14:paraId="15437869" w14:textId="77777777" w:rsidR="00795F64" w:rsidRPr="00795F64" w:rsidRDefault="00795F64" w:rsidP="00795F64">
      <w:pPr>
        <w:pStyle w:val="ListParagraph"/>
        <w:numPr>
          <w:ilvl w:val="1"/>
          <w:numId w:val="31"/>
        </w:numPr>
        <w:spacing w:before="0" w:after="240"/>
        <w:contextualSpacing w:val="0"/>
        <w:rPr>
          <w:rFonts w:ascii="Calibri" w:hAnsi="Calibri" w:cs="Calibri"/>
        </w:rPr>
      </w:pPr>
      <w:r w:rsidRPr="00795F64">
        <w:rPr>
          <w:rFonts w:ascii="Calibri" w:hAnsi="Calibri" w:cs="Calibri"/>
        </w:rPr>
        <w:t>All prices, costs or rates must be quoted in British currency to 2 decimal places (i.e. whole pence).</w:t>
      </w:r>
    </w:p>
    <w:p w14:paraId="586F0A2B" w14:textId="77777777" w:rsidR="00695380" w:rsidRDefault="00795F64" w:rsidP="00673BEA">
      <w:pPr>
        <w:pStyle w:val="ListParagraph"/>
        <w:numPr>
          <w:ilvl w:val="1"/>
          <w:numId w:val="39"/>
        </w:numPr>
        <w:spacing w:before="0" w:after="240"/>
        <w:contextualSpacing w:val="0"/>
        <w:rPr>
          <w:rFonts w:ascii="Calibri" w:hAnsi="Calibri" w:cs="Calibri"/>
        </w:rPr>
      </w:pPr>
      <w:r w:rsidRPr="00695380">
        <w:rPr>
          <w:rFonts w:ascii="Calibri" w:hAnsi="Calibri" w:cs="Calibri"/>
        </w:rPr>
        <w:t xml:space="preserve">All prices quoted should be </w:t>
      </w:r>
      <w:r w:rsidR="00315C1A" w:rsidRPr="00695380">
        <w:rPr>
          <w:rFonts w:ascii="Calibri" w:hAnsi="Calibri" w:cs="Calibri"/>
        </w:rPr>
        <w:t xml:space="preserve">inclusive of travel and subsistence and </w:t>
      </w:r>
      <w:r w:rsidRPr="00695380">
        <w:rPr>
          <w:rFonts w:ascii="Calibri" w:hAnsi="Calibri" w:cs="Calibri"/>
        </w:rPr>
        <w:t>exclusive of VAT.</w:t>
      </w:r>
    </w:p>
    <w:p w14:paraId="36E5EC0A" w14:textId="77777777" w:rsidR="00515296" w:rsidRPr="00695380" w:rsidRDefault="00515296" w:rsidP="00673BEA">
      <w:pPr>
        <w:pStyle w:val="ListParagraph"/>
        <w:numPr>
          <w:ilvl w:val="1"/>
          <w:numId w:val="39"/>
        </w:numPr>
        <w:spacing w:before="0" w:after="240"/>
        <w:contextualSpacing w:val="0"/>
        <w:rPr>
          <w:rFonts w:ascii="Calibri" w:hAnsi="Calibri" w:cs="Calibri"/>
        </w:rPr>
      </w:pPr>
      <w:r w:rsidRPr="00695380">
        <w:rPr>
          <w:rFonts w:ascii="Calibri" w:hAnsi="Calibri" w:cs="Calibri"/>
        </w:rPr>
        <w:t>Only documentation specifically requested should be submitted. Any additional documentation received from tenderers will not be considered by the evaluation panel.</w:t>
      </w:r>
    </w:p>
    <w:p w14:paraId="2D9CFBFF" w14:textId="77777777" w:rsidR="00515296" w:rsidRDefault="00515296" w:rsidP="00515296">
      <w:pPr>
        <w:pStyle w:val="ListParagraph"/>
        <w:numPr>
          <w:ilvl w:val="1"/>
          <w:numId w:val="31"/>
        </w:numPr>
        <w:spacing w:before="0" w:after="240"/>
        <w:contextualSpacing w:val="0"/>
        <w:rPr>
          <w:rFonts w:ascii="Calibri" w:hAnsi="Calibri" w:cs="Calibri"/>
        </w:rPr>
      </w:pPr>
      <w:r w:rsidRPr="00795F64">
        <w:rPr>
          <w:rFonts w:ascii="Calibri" w:hAnsi="Calibri" w:cs="Calibri"/>
        </w:rPr>
        <w:t xml:space="preserve">You must not make unauthorised alterations or additions to any of the </w:t>
      </w:r>
      <w:r>
        <w:rPr>
          <w:rFonts w:ascii="Calibri" w:hAnsi="Calibri" w:cs="Calibri"/>
        </w:rPr>
        <w:t xml:space="preserve">Authority’s </w:t>
      </w:r>
      <w:r w:rsidRPr="00795F64">
        <w:rPr>
          <w:rFonts w:ascii="Calibri" w:hAnsi="Calibri" w:cs="Calibri"/>
        </w:rPr>
        <w:t>documents</w:t>
      </w:r>
      <w:r>
        <w:rPr>
          <w:rFonts w:ascii="Calibri" w:hAnsi="Calibri" w:cs="Calibri"/>
        </w:rPr>
        <w:t xml:space="preserve">. </w:t>
      </w:r>
    </w:p>
    <w:p w14:paraId="7A7C4099" w14:textId="660192E3" w:rsidR="00515296" w:rsidRPr="00515296" w:rsidRDefault="00515296" w:rsidP="00515296">
      <w:pPr>
        <w:pStyle w:val="ListParagraph"/>
        <w:numPr>
          <w:ilvl w:val="1"/>
          <w:numId w:val="31"/>
        </w:numPr>
        <w:spacing w:after="240"/>
        <w:ind w:left="788" w:hanging="431"/>
        <w:contextualSpacing w:val="0"/>
        <w:rPr>
          <w:rFonts w:ascii="Calibri" w:hAnsi="Calibri" w:cs="Calibri"/>
        </w:rPr>
      </w:pPr>
      <w:r w:rsidRPr="00515296">
        <w:rPr>
          <w:rFonts w:ascii="Calibri" w:hAnsi="Calibri" w:cs="Calibri"/>
        </w:rPr>
        <w:lastRenderedPageBreak/>
        <w:t xml:space="preserve">Tenders must not be qualified or accompanied by statements that might render the tender ambiguous or place it on a different basis to other tenders.  Only unqualified tenders shall be considered. The Authority’s decision as to </w:t>
      </w:r>
      <w:r w:rsidR="002616CA" w:rsidRPr="00515296">
        <w:rPr>
          <w:rFonts w:ascii="Calibri" w:hAnsi="Calibri" w:cs="Calibri"/>
        </w:rPr>
        <w:t>whether</w:t>
      </w:r>
      <w:r w:rsidRPr="00515296">
        <w:rPr>
          <w:rFonts w:ascii="Calibri" w:hAnsi="Calibri" w:cs="Calibri"/>
        </w:rPr>
        <w:t xml:space="preserve"> a tender is acceptable will be final.  </w:t>
      </w:r>
    </w:p>
    <w:p w14:paraId="0BC71B0E" w14:textId="77777777" w:rsidR="00515296" w:rsidRDefault="00515296" w:rsidP="00C93E8C">
      <w:pPr>
        <w:pStyle w:val="ListParagraph"/>
        <w:numPr>
          <w:ilvl w:val="1"/>
          <w:numId w:val="39"/>
        </w:numPr>
        <w:spacing w:before="0" w:after="240"/>
        <w:contextualSpacing w:val="0"/>
        <w:rPr>
          <w:rFonts w:ascii="Calibri" w:hAnsi="Calibri" w:cs="Calibri"/>
        </w:rPr>
      </w:pPr>
      <w:r w:rsidRPr="00515296">
        <w:rPr>
          <w:rFonts w:ascii="Calibri" w:hAnsi="Calibri" w:cs="Calibri"/>
        </w:rPr>
        <w:t>Tenderers must ensure all documents are completed in the standard format requested (Arial, Size 12), and note the specified page limit for each question. Failure to comply with these instructions may result in your tender being treated as non-compliant and eliminated from the process.</w:t>
      </w:r>
    </w:p>
    <w:p w14:paraId="7065AA18" w14:textId="77777777" w:rsidR="00044860" w:rsidRPr="00044860" w:rsidRDefault="00044860" w:rsidP="00044860">
      <w:pPr>
        <w:pStyle w:val="ListParagraph"/>
        <w:numPr>
          <w:ilvl w:val="1"/>
          <w:numId w:val="39"/>
        </w:numPr>
        <w:spacing w:after="240"/>
        <w:contextualSpacing w:val="0"/>
        <w:rPr>
          <w:rFonts w:ascii="Calibri" w:hAnsi="Calibri" w:cs="Calibri"/>
        </w:rPr>
      </w:pPr>
      <w:r w:rsidRPr="008A4678">
        <w:rPr>
          <w:rFonts w:ascii="Calibri" w:hAnsi="Calibri" w:cs="Calibri"/>
        </w:rPr>
        <w:t>Tenderers must complete and return all documents in the format that has been supplied</w:t>
      </w:r>
      <w:r>
        <w:rPr>
          <w:rFonts w:ascii="Calibri" w:hAnsi="Calibri" w:cs="Calibri"/>
        </w:rPr>
        <w:t xml:space="preserve">, specifically Excel documents </w:t>
      </w:r>
      <w:r w:rsidRPr="008A4678">
        <w:rPr>
          <w:rFonts w:ascii="Calibri" w:hAnsi="Calibri" w:cs="Calibri"/>
        </w:rPr>
        <w:t xml:space="preserve">must not be converted into a PDF document. The tender submission must be compatible with Microsoft Office </w:t>
      </w:r>
      <w:r>
        <w:rPr>
          <w:rFonts w:ascii="Calibri" w:hAnsi="Calibri" w:cs="Calibri"/>
        </w:rPr>
        <w:t xml:space="preserve">365 </w:t>
      </w:r>
      <w:r w:rsidRPr="008A4678">
        <w:rPr>
          <w:rFonts w:ascii="Calibri" w:hAnsi="Calibri" w:cs="Calibri"/>
        </w:rPr>
        <w:t>or a lower version.</w:t>
      </w:r>
    </w:p>
    <w:p w14:paraId="073B5BE6" w14:textId="47A5FE47" w:rsidR="0081327C" w:rsidRPr="008A4678" w:rsidRDefault="00C93E8C" w:rsidP="004B530C">
      <w:pPr>
        <w:pStyle w:val="ListParagraph"/>
        <w:numPr>
          <w:ilvl w:val="1"/>
          <w:numId w:val="39"/>
        </w:numPr>
        <w:spacing w:before="0" w:after="240"/>
        <w:contextualSpacing w:val="0"/>
        <w:rPr>
          <w:rFonts w:ascii="Calibri" w:hAnsi="Calibri" w:cs="Calibri"/>
        </w:rPr>
      </w:pPr>
      <w:r w:rsidRPr="008A4678">
        <w:rPr>
          <w:rFonts w:ascii="Calibri" w:hAnsi="Calibri" w:cs="Calibri"/>
        </w:rPr>
        <w:t xml:space="preserve">If you no longer want to take part in the tender </w:t>
      </w:r>
      <w:r w:rsidR="00461192" w:rsidRPr="008A4678">
        <w:rPr>
          <w:rFonts w:ascii="Calibri" w:hAnsi="Calibri" w:cs="Calibri"/>
        </w:rPr>
        <w:t>process,</w:t>
      </w:r>
      <w:r w:rsidRPr="008A4678">
        <w:rPr>
          <w:rFonts w:ascii="Calibri" w:hAnsi="Calibri" w:cs="Calibri"/>
        </w:rPr>
        <w:t xml:space="preserve"> please notify the Authority via </w:t>
      </w:r>
      <w:r w:rsidR="00584482">
        <w:rPr>
          <w:rFonts w:ascii="Calibri" w:hAnsi="Calibri" w:cs="Calibri"/>
        </w:rPr>
        <w:t>ProContract</w:t>
      </w:r>
      <w:r w:rsidRPr="008A4678">
        <w:rPr>
          <w:rFonts w:ascii="Calibri" w:hAnsi="Calibri" w:cs="Calibri"/>
        </w:rPr>
        <w:t xml:space="preserve"> by using the ‘</w:t>
      </w:r>
      <w:r w:rsidR="00461192" w:rsidRPr="008A4678">
        <w:rPr>
          <w:rFonts w:ascii="Calibri" w:hAnsi="Calibri" w:cs="Calibri"/>
        </w:rPr>
        <w:t>opt</w:t>
      </w:r>
      <w:r w:rsidRPr="008A4678">
        <w:rPr>
          <w:rFonts w:ascii="Calibri" w:hAnsi="Calibri" w:cs="Calibri"/>
        </w:rPr>
        <w:t xml:space="preserve"> </w:t>
      </w:r>
      <w:r w:rsidR="00461192">
        <w:rPr>
          <w:rFonts w:ascii="Calibri" w:hAnsi="Calibri" w:cs="Calibri"/>
        </w:rPr>
        <w:t>o</w:t>
      </w:r>
      <w:r w:rsidRPr="008A4678">
        <w:rPr>
          <w:rFonts w:ascii="Calibri" w:hAnsi="Calibri" w:cs="Calibri"/>
        </w:rPr>
        <w:t>ut’ &amp; ‘</w:t>
      </w:r>
      <w:r w:rsidR="00881C75" w:rsidRPr="008A4678">
        <w:rPr>
          <w:rFonts w:ascii="Calibri" w:hAnsi="Calibri" w:cs="Calibri"/>
        </w:rPr>
        <w:t>opt</w:t>
      </w:r>
      <w:r w:rsidRPr="008A4678">
        <w:rPr>
          <w:rFonts w:ascii="Calibri" w:hAnsi="Calibri" w:cs="Calibri"/>
        </w:rPr>
        <w:t xml:space="preserve"> </w:t>
      </w:r>
      <w:r w:rsidR="00461192">
        <w:rPr>
          <w:rFonts w:ascii="Calibri" w:hAnsi="Calibri" w:cs="Calibri"/>
        </w:rPr>
        <w:t>o</w:t>
      </w:r>
      <w:r w:rsidRPr="008A4678">
        <w:rPr>
          <w:rFonts w:ascii="Calibri" w:hAnsi="Calibri" w:cs="Calibri"/>
        </w:rPr>
        <w:t xml:space="preserve">ut All Communication’ function. If you have already uploaded documents to </w:t>
      </w:r>
      <w:r w:rsidR="00584482">
        <w:rPr>
          <w:rFonts w:ascii="Calibri" w:hAnsi="Calibri" w:cs="Calibri"/>
        </w:rPr>
        <w:t>ProContract</w:t>
      </w:r>
      <w:r w:rsidRPr="008A4678">
        <w:rPr>
          <w:rFonts w:ascii="Calibri" w:hAnsi="Calibri" w:cs="Calibri"/>
        </w:rPr>
        <w:t xml:space="preserve"> it is recommended that these are removed before declining to tender.</w:t>
      </w:r>
    </w:p>
    <w:p w14:paraId="0B413FBB" w14:textId="77777777" w:rsidR="00C93E8C" w:rsidRDefault="00795F64" w:rsidP="00E7321B">
      <w:pPr>
        <w:pStyle w:val="Heading1"/>
        <w:rPr>
          <w:rFonts w:cs="Calibri"/>
        </w:rPr>
      </w:pPr>
      <w:r w:rsidRPr="00667C33">
        <w:rPr>
          <w:rFonts w:cs="Calibri"/>
        </w:rPr>
        <w:t xml:space="preserve"> </w:t>
      </w:r>
      <w:bookmarkStart w:id="4" w:name="_Toc92198420"/>
      <w:r w:rsidR="00C93E8C">
        <w:rPr>
          <w:rFonts w:cs="Calibri"/>
        </w:rPr>
        <w:t>Tender Submission</w:t>
      </w:r>
      <w:bookmarkEnd w:id="4"/>
      <w:r w:rsidR="00C93E8C">
        <w:rPr>
          <w:rFonts w:cs="Calibri"/>
        </w:rPr>
        <w:t xml:space="preserve"> </w:t>
      </w:r>
    </w:p>
    <w:p w14:paraId="61368CBF" w14:textId="6EBEC34B" w:rsidR="007C2C51" w:rsidRPr="002279FD" w:rsidRDefault="008A4678" w:rsidP="007C2C51">
      <w:pPr>
        <w:pStyle w:val="ListParagraph"/>
        <w:numPr>
          <w:ilvl w:val="1"/>
          <w:numId w:val="31"/>
        </w:numPr>
        <w:spacing w:after="240"/>
        <w:ind w:left="788" w:hanging="431"/>
        <w:contextualSpacing w:val="0"/>
        <w:rPr>
          <w:rFonts w:ascii="Calibri" w:hAnsi="Calibri" w:cs="Calibri"/>
        </w:rPr>
      </w:pPr>
      <w:r w:rsidRPr="00E0737C">
        <w:rPr>
          <w:rFonts w:ascii="Calibri" w:hAnsi="Calibri" w:cs="Calibri"/>
        </w:rPr>
        <w:t xml:space="preserve">You must submit Invitation to Tender Part 4 </w:t>
      </w:r>
      <w:r>
        <w:rPr>
          <w:rFonts w:ascii="Calibri" w:hAnsi="Calibri" w:cs="Calibri"/>
        </w:rPr>
        <w:t>(</w:t>
      </w:r>
      <w:r w:rsidRPr="00E0737C">
        <w:rPr>
          <w:rFonts w:ascii="Calibri" w:hAnsi="Calibri" w:cs="Calibri"/>
        </w:rPr>
        <w:t>Supplier Questionnaire</w:t>
      </w:r>
      <w:r>
        <w:rPr>
          <w:rFonts w:ascii="Calibri" w:hAnsi="Calibri" w:cs="Calibri"/>
        </w:rPr>
        <w:t>)</w:t>
      </w:r>
      <w:r w:rsidRPr="00E0737C">
        <w:rPr>
          <w:rFonts w:ascii="Calibri" w:hAnsi="Calibri" w:cs="Calibri"/>
        </w:rPr>
        <w:t xml:space="preserve"> and Invitation to Tender Part 5</w:t>
      </w:r>
      <w:r>
        <w:rPr>
          <w:rFonts w:ascii="Calibri" w:hAnsi="Calibri" w:cs="Calibri"/>
        </w:rPr>
        <w:t xml:space="preserve"> (</w:t>
      </w:r>
      <w:r w:rsidRPr="00E0737C">
        <w:rPr>
          <w:rFonts w:ascii="Calibri" w:hAnsi="Calibri" w:cs="Calibri"/>
        </w:rPr>
        <w:t>Tender Submission</w:t>
      </w:r>
      <w:r>
        <w:rPr>
          <w:rFonts w:ascii="Calibri" w:hAnsi="Calibri" w:cs="Calibri"/>
        </w:rPr>
        <w:t>)</w:t>
      </w:r>
      <w:r w:rsidR="007C2C51">
        <w:rPr>
          <w:rFonts w:ascii="Calibri" w:hAnsi="Calibri" w:cs="Calibri"/>
        </w:rPr>
        <w:t xml:space="preserve"> via</w:t>
      </w:r>
      <w:r w:rsidRPr="00E0737C">
        <w:rPr>
          <w:rFonts w:ascii="Calibri" w:hAnsi="Calibri" w:cs="Calibri"/>
        </w:rPr>
        <w:t xml:space="preserve"> </w:t>
      </w:r>
      <w:hyperlink r:id="rId12" w:history="1">
        <w:r w:rsidR="007C2C51" w:rsidRPr="00742124">
          <w:rPr>
            <w:rStyle w:val="Hyperlink"/>
            <w:rFonts w:ascii="Calibri" w:hAnsi="Calibri" w:cs="Calibri"/>
          </w:rPr>
          <w:t>www.</w:t>
        </w:r>
        <w:r w:rsidR="00584482">
          <w:rPr>
            <w:rStyle w:val="Hyperlink"/>
            <w:rFonts w:ascii="Calibri" w:hAnsi="Calibri" w:cs="Calibri"/>
          </w:rPr>
          <w:t>ProContract</w:t>
        </w:r>
        <w:r w:rsidR="007C2C51" w:rsidRPr="00742124">
          <w:rPr>
            <w:rStyle w:val="Hyperlink"/>
            <w:rFonts w:ascii="Calibri" w:hAnsi="Calibri" w:cs="Calibri"/>
          </w:rPr>
          <w:t>.co.uk</w:t>
        </w:r>
      </w:hyperlink>
      <w:r w:rsidR="007C2C51">
        <w:rPr>
          <w:rFonts w:ascii="Calibri" w:hAnsi="Calibri" w:cs="Calibri"/>
        </w:rPr>
        <w:t xml:space="preserve"> </w:t>
      </w:r>
      <w:r w:rsidR="007C2C51" w:rsidRPr="002279FD">
        <w:rPr>
          <w:rFonts w:ascii="Calibri" w:hAnsi="Calibri" w:cs="Calibri"/>
        </w:rPr>
        <w:t xml:space="preserve">by or before the tender deadline </w:t>
      </w:r>
      <w:r w:rsidR="007C2C51">
        <w:rPr>
          <w:rFonts w:ascii="Calibri" w:hAnsi="Calibri" w:cs="Calibri"/>
        </w:rPr>
        <w:t>stated</w:t>
      </w:r>
      <w:r w:rsidR="007C2C51" w:rsidRPr="002279FD">
        <w:rPr>
          <w:rFonts w:ascii="Calibri" w:hAnsi="Calibri" w:cs="Calibri"/>
        </w:rPr>
        <w:t xml:space="preserve"> above.  </w:t>
      </w:r>
    </w:p>
    <w:p w14:paraId="04C274D9" w14:textId="77777777" w:rsidR="008A4678" w:rsidRDefault="008A4678" w:rsidP="008A4678">
      <w:pPr>
        <w:pStyle w:val="ListParagraph"/>
        <w:numPr>
          <w:ilvl w:val="1"/>
          <w:numId w:val="31"/>
        </w:numPr>
        <w:spacing w:before="0" w:after="240"/>
        <w:contextualSpacing w:val="0"/>
        <w:rPr>
          <w:rFonts w:ascii="Calibri" w:hAnsi="Calibri" w:cs="Calibri"/>
        </w:rPr>
      </w:pPr>
      <w:r>
        <w:rPr>
          <w:rFonts w:ascii="Calibri" w:hAnsi="Calibri" w:cs="Calibri"/>
        </w:rPr>
        <w:t xml:space="preserve">Hard copy submissions will not be accepted </w:t>
      </w:r>
    </w:p>
    <w:p w14:paraId="33096D2B" w14:textId="77777777" w:rsidR="008A4678" w:rsidRDefault="008A4678" w:rsidP="008A4678">
      <w:pPr>
        <w:pStyle w:val="ListParagraph"/>
        <w:numPr>
          <w:ilvl w:val="1"/>
          <w:numId w:val="31"/>
        </w:numPr>
        <w:spacing w:before="0" w:after="240"/>
        <w:contextualSpacing w:val="0"/>
        <w:rPr>
          <w:rFonts w:ascii="Calibri" w:hAnsi="Calibri" w:cs="Calibri"/>
        </w:rPr>
      </w:pPr>
      <w:r>
        <w:rPr>
          <w:rFonts w:ascii="Calibri" w:hAnsi="Calibri" w:cs="Calibri"/>
        </w:rPr>
        <w:t xml:space="preserve">Late submissions will not be accepted. </w:t>
      </w:r>
    </w:p>
    <w:p w14:paraId="0BADD747" w14:textId="77777777" w:rsidR="008A4678" w:rsidRPr="008A4678" w:rsidRDefault="008A4678" w:rsidP="008A4678">
      <w:pPr>
        <w:pStyle w:val="ListParagraph"/>
        <w:numPr>
          <w:ilvl w:val="1"/>
          <w:numId w:val="31"/>
        </w:numPr>
        <w:spacing w:after="240"/>
        <w:ind w:left="788" w:hanging="431"/>
        <w:contextualSpacing w:val="0"/>
        <w:rPr>
          <w:rFonts w:ascii="Calibri" w:hAnsi="Calibri" w:cs="Calibri"/>
        </w:rPr>
      </w:pPr>
      <w:r w:rsidRPr="008A4678">
        <w:rPr>
          <w:rFonts w:ascii="Calibri" w:hAnsi="Calibri" w:cs="Calibri"/>
        </w:rPr>
        <w:t xml:space="preserve">Electronic signatures are not required where tender bids are returned electronically. You should </w:t>
      </w:r>
      <w:r w:rsidR="00CA3114">
        <w:rPr>
          <w:rFonts w:ascii="Calibri" w:hAnsi="Calibri" w:cs="Calibri"/>
        </w:rPr>
        <w:t xml:space="preserve">type </w:t>
      </w:r>
      <w:r w:rsidRPr="008A4678">
        <w:rPr>
          <w:rFonts w:ascii="Calibri" w:hAnsi="Calibri" w:cs="Calibri"/>
        </w:rPr>
        <w:t>the authorised director/signator</w:t>
      </w:r>
      <w:r w:rsidR="00CA3114">
        <w:rPr>
          <w:rFonts w:ascii="Calibri" w:hAnsi="Calibri" w:cs="Calibri"/>
        </w:rPr>
        <w:t>y’</w:t>
      </w:r>
      <w:r w:rsidRPr="008A4678">
        <w:rPr>
          <w:rFonts w:ascii="Calibri" w:hAnsi="Calibri" w:cs="Calibri"/>
        </w:rPr>
        <w:t xml:space="preserve">s name in the signature area. </w:t>
      </w:r>
    </w:p>
    <w:p w14:paraId="27286B4D" w14:textId="77777777" w:rsidR="008A4678" w:rsidRPr="008A4678" w:rsidRDefault="008A4678" w:rsidP="008A4678">
      <w:pPr>
        <w:pStyle w:val="ListParagraph"/>
        <w:numPr>
          <w:ilvl w:val="1"/>
          <w:numId w:val="31"/>
        </w:numPr>
        <w:spacing w:after="240"/>
        <w:ind w:left="788" w:hanging="431"/>
        <w:contextualSpacing w:val="0"/>
        <w:rPr>
          <w:rFonts w:ascii="Calibri" w:hAnsi="Calibri" w:cs="Calibri"/>
        </w:rPr>
      </w:pPr>
      <w:r w:rsidRPr="008A4678">
        <w:rPr>
          <w:rFonts w:ascii="Calibri" w:hAnsi="Calibri" w:cs="Calibri"/>
        </w:rPr>
        <w:t xml:space="preserve">It is important to allow enough time to send the Authority your electronic tender document(s). Please check your username and password before returning the document and allow sufficient time for any problems with your security username and password to be resolved before you attempt to submit your tender. </w:t>
      </w:r>
    </w:p>
    <w:p w14:paraId="54A93EC4" w14:textId="77777777" w:rsidR="008A4678" w:rsidRPr="008A4678" w:rsidRDefault="008A4678" w:rsidP="008A4678">
      <w:pPr>
        <w:pStyle w:val="ListParagraph"/>
        <w:numPr>
          <w:ilvl w:val="1"/>
          <w:numId w:val="31"/>
        </w:numPr>
        <w:spacing w:after="240"/>
        <w:ind w:left="788" w:hanging="431"/>
        <w:contextualSpacing w:val="0"/>
        <w:rPr>
          <w:rFonts w:ascii="Calibri" w:hAnsi="Calibri" w:cs="Calibri"/>
        </w:rPr>
      </w:pPr>
      <w:r w:rsidRPr="008A4678">
        <w:rPr>
          <w:rFonts w:ascii="Calibri" w:hAnsi="Calibri" w:cs="Calibri"/>
        </w:rPr>
        <w:t xml:space="preserve">Please Note; the time taken to upload documents may be affected by your connection speed and demand on the internet, therefore you are advised to allow sufficient time to upload your tender submission as no extension to the deadline shall be permitted and you will not be able to upload documents after the deadline. </w:t>
      </w:r>
    </w:p>
    <w:p w14:paraId="7BD9BE37" w14:textId="53480B0F" w:rsidR="008A4678" w:rsidRPr="008A4678" w:rsidRDefault="008A4678" w:rsidP="008A4678">
      <w:pPr>
        <w:pStyle w:val="ListParagraph"/>
        <w:numPr>
          <w:ilvl w:val="1"/>
          <w:numId w:val="31"/>
        </w:numPr>
        <w:spacing w:after="240"/>
        <w:ind w:left="788" w:hanging="431"/>
        <w:contextualSpacing w:val="0"/>
        <w:rPr>
          <w:rFonts w:ascii="Calibri" w:hAnsi="Calibri" w:cs="Calibri"/>
        </w:rPr>
      </w:pPr>
      <w:r w:rsidRPr="008A4678">
        <w:rPr>
          <w:rFonts w:ascii="Calibri" w:hAnsi="Calibri" w:cs="Calibri"/>
        </w:rPr>
        <w:t xml:space="preserve">For each document you return using </w:t>
      </w:r>
      <w:r w:rsidR="00584482">
        <w:rPr>
          <w:rFonts w:ascii="Calibri" w:hAnsi="Calibri" w:cs="Calibri"/>
        </w:rPr>
        <w:t>ProContract</w:t>
      </w:r>
      <w:r w:rsidRPr="008A4678">
        <w:rPr>
          <w:rFonts w:ascii="Calibri" w:hAnsi="Calibri" w:cs="Calibri"/>
        </w:rPr>
        <w:t xml:space="preserve"> you will be provided with a receipt number. This is your evidence that your document was lodged successfully. </w:t>
      </w:r>
    </w:p>
    <w:p w14:paraId="6B633C17" w14:textId="77777777" w:rsidR="004715D0" w:rsidRPr="004715D0" w:rsidRDefault="004715D0" w:rsidP="00CA3114">
      <w:pPr>
        <w:pStyle w:val="ListParagraph"/>
        <w:numPr>
          <w:ilvl w:val="1"/>
          <w:numId w:val="31"/>
        </w:numPr>
        <w:spacing w:after="240"/>
        <w:ind w:left="788" w:hanging="431"/>
        <w:contextualSpacing w:val="0"/>
        <w:rPr>
          <w:rFonts w:ascii="Calibri" w:hAnsi="Calibri" w:cs="Calibri"/>
        </w:rPr>
      </w:pPr>
      <w:r w:rsidRPr="004715D0">
        <w:rPr>
          <w:rFonts w:ascii="Calibri" w:hAnsi="Calibri" w:cs="Calibri"/>
        </w:rPr>
        <w:t xml:space="preserve">A tender </w:t>
      </w:r>
      <w:r w:rsidR="00871F10">
        <w:rPr>
          <w:rFonts w:ascii="Calibri" w:hAnsi="Calibri" w:cs="Calibri"/>
        </w:rPr>
        <w:t>m</w:t>
      </w:r>
      <w:r w:rsidRPr="004715D0">
        <w:rPr>
          <w:rFonts w:ascii="Calibri" w:hAnsi="Calibri" w:cs="Calibri"/>
        </w:rPr>
        <w:t>ay be rejected should the tender not be compliant with</w:t>
      </w:r>
      <w:r w:rsidR="00695380">
        <w:rPr>
          <w:rFonts w:ascii="Calibri" w:hAnsi="Calibri" w:cs="Calibri"/>
        </w:rPr>
        <w:t xml:space="preserve"> the</w:t>
      </w:r>
      <w:r w:rsidRPr="004715D0">
        <w:rPr>
          <w:rFonts w:ascii="Calibri" w:hAnsi="Calibri" w:cs="Calibri"/>
        </w:rPr>
        <w:t xml:space="preserve"> instructions. These instructions are intended to make sure that all tenders are given equal and fair consideration. </w:t>
      </w:r>
    </w:p>
    <w:p w14:paraId="59051EC9" w14:textId="77777777" w:rsidR="00515296" w:rsidRDefault="00515296" w:rsidP="00E7321B">
      <w:pPr>
        <w:pStyle w:val="Heading1"/>
        <w:rPr>
          <w:rFonts w:cs="Calibri"/>
        </w:rPr>
      </w:pPr>
      <w:bookmarkStart w:id="5" w:name="_Toc92198421"/>
      <w:r>
        <w:rPr>
          <w:rFonts w:cs="Calibri"/>
        </w:rPr>
        <w:t>Variant Tenders</w:t>
      </w:r>
      <w:bookmarkEnd w:id="5"/>
      <w:r>
        <w:rPr>
          <w:rFonts w:cs="Calibri"/>
        </w:rPr>
        <w:t xml:space="preserve"> </w:t>
      </w:r>
    </w:p>
    <w:p w14:paraId="129ECA4E" w14:textId="6EA15DB5" w:rsidR="00515296" w:rsidRPr="00712A38" w:rsidRDefault="00515296" w:rsidP="00712A38">
      <w:pPr>
        <w:pStyle w:val="ListParagraph"/>
        <w:numPr>
          <w:ilvl w:val="1"/>
          <w:numId w:val="39"/>
        </w:numPr>
        <w:spacing w:before="0" w:after="240"/>
        <w:contextualSpacing w:val="0"/>
        <w:rPr>
          <w:rFonts w:ascii="Calibri" w:hAnsi="Calibri" w:cs="Calibri"/>
        </w:rPr>
      </w:pPr>
      <w:r w:rsidRPr="00515296">
        <w:rPr>
          <w:rFonts w:ascii="Calibri" w:hAnsi="Calibri" w:cs="Calibri"/>
        </w:rPr>
        <w:t xml:space="preserve">Variant tenders will not be accepted.  A tender must be submitted </w:t>
      </w:r>
      <w:r w:rsidR="00C46B63" w:rsidRPr="00515296">
        <w:rPr>
          <w:rFonts w:ascii="Calibri" w:hAnsi="Calibri" w:cs="Calibri"/>
        </w:rPr>
        <w:t>based on</w:t>
      </w:r>
      <w:r w:rsidRPr="00515296">
        <w:rPr>
          <w:rFonts w:ascii="Calibri" w:hAnsi="Calibri" w:cs="Calibri"/>
        </w:rPr>
        <w:t xml:space="preserve"> the tender instructions, specification, financial information, and contract terms and conditions</w:t>
      </w:r>
      <w:r w:rsidR="00C93E8C">
        <w:rPr>
          <w:rFonts w:ascii="Calibri" w:hAnsi="Calibri" w:cs="Calibri"/>
        </w:rPr>
        <w:t>.</w:t>
      </w:r>
      <w:r w:rsidRPr="00515296">
        <w:rPr>
          <w:rFonts w:ascii="Calibri" w:hAnsi="Calibri" w:cs="Calibri"/>
        </w:rPr>
        <w:t xml:space="preserve"> </w:t>
      </w:r>
    </w:p>
    <w:p w14:paraId="6F2CFB52" w14:textId="77777777" w:rsidR="00011060" w:rsidRDefault="00011060" w:rsidP="00695380">
      <w:pPr>
        <w:pStyle w:val="Heading1"/>
        <w:spacing w:before="240"/>
        <w:ind w:left="357" w:hanging="357"/>
      </w:pPr>
      <w:bookmarkStart w:id="6" w:name="_Toc92198423"/>
      <w:r>
        <w:t>Consortium and Subcontracting</w:t>
      </w:r>
      <w:bookmarkEnd w:id="6"/>
    </w:p>
    <w:p w14:paraId="2BB25FBE" w14:textId="77777777" w:rsidR="00011060" w:rsidRPr="00011060" w:rsidRDefault="00011060" w:rsidP="00011060">
      <w:pPr>
        <w:pStyle w:val="ListParagraph"/>
        <w:numPr>
          <w:ilvl w:val="1"/>
          <w:numId w:val="39"/>
        </w:numPr>
        <w:spacing w:before="0" w:after="240"/>
        <w:contextualSpacing w:val="0"/>
        <w:rPr>
          <w:rFonts w:ascii="Calibri" w:hAnsi="Calibri" w:cs="Calibri"/>
        </w:rPr>
      </w:pPr>
      <w:r w:rsidRPr="00011060">
        <w:rPr>
          <w:rFonts w:ascii="Calibri" w:hAnsi="Calibri" w:cs="Calibri"/>
        </w:rPr>
        <w:lastRenderedPageBreak/>
        <w:t xml:space="preserve">Tender submissions from a consortium should be prepared and submitted by one organisation acting on behalf of the consortium.  The Authority will treat this organisation as the consortium’s lead organisation for both contact and formal contractual purposes. However, relevant information relating to the delivery of the contract should also be provided (where indicated) in respect of the consortium members or sub-Suppliers </w:t>
      </w:r>
      <w:r>
        <w:rPr>
          <w:rFonts w:ascii="Calibri" w:hAnsi="Calibri" w:cs="Calibri"/>
        </w:rPr>
        <w:t>if</w:t>
      </w:r>
      <w:r w:rsidRPr="00011060">
        <w:rPr>
          <w:rFonts w:ascii="Calibri" w:hAnsi="Calibri" w:cs="Calibri"/>
        </w:rPr>
        <w:t xml:space="preserve"> they will play a significant role. </w:t>
      </w:r>
    </w:p>
    <w:p w14:paraId="750FC5AD" w14:textId="1429F667" w:rsidR="00011060" w:rsidRPr="00011060" w:rsidRDefault="00011060" w:rsidP="00011060">
      <w:pPr>
        <w:pStyle w:val="ListParagraph"/>
        <w:numPr>
          <w:ilvl w:val="1"/>
          <w:numId w:val="39"/>
        </w:numPr>
        <w:spacing w:before="0" w:after="240"/>
        <w:contextualSpacing w:val="0"/>
        <w:rPr>
          <w:rFonts w:ascii="Calibri" w:hAnsi="Calibri" w:cs="Calibri"/>
        </w:rPr>
      </w:pPr>
      <w:r w:rsidRPr="00011060">
        <w:rPr>
          <w:rFonts w:ascii="Calibri" w:hAnsi="Calibri" w:cs="Calibri"/>
        </w:rPr>
        <w:t xml:space="preserve">The Authority will </w:t>
      </w:r>
      <w:r w:rsidR="00C46B63" w:rsidRPr="00011060">
        <w:rPr>
          <w:rFonts w:ascii="Calibri" w:hAnsi="Calibri" w:cs="Calibri"/>
        </w:rPr>
        <w:t>enter</w:t>
      </w:r>
      <w:r w:rsidRPr="00011060">
        <w:rPr>
          <w:rFonts w:ascii="Calibri" w:hAnsi="Calibri" w:cs="Calibri"/>
        </w:rPr>
        <w:t xml:space="preserve"> a contract with the lead organisation. It is therefore essential that contracts or service level agreements are in place between the lead organisation and other members of the consortium/supply chain.</w:t>
      </w:r>
    </w:p>
    <w:p w14:paraId="791F6CE3" w14:textId="77777777" w:rsidR="00011060" w:rsidRPr="00011060" w:rsidRDefault="00011060" w:rsidP="00011060">
      <w:pPr>
        <w:pStyle w:val="ListParagraph"/>
        <w:numPr>
          <w:ilvl w:val="1"/>
          <w:numId w:val="39"/>
        </w:numPr>
        <w:spacing w:before="0" w:after="240"/>
        <w:contextualSpacing w:val="0"/>
        <w:rPr>
          <w:rFonts w:ascii="Calibri" w:hAnsi="Calibri" w:cs="Calibri"/>
        </w:rPr>
      </w:pPr>
      <w:r w:rsidRPr="00011060">
        <w:rPr>
          <w:rFonts w:ascii="Calibri" w:hAnsi="Calibri" w:cs="Calibri"/>
        </w:rPr>
        <w:t xml:space="preserve">The lead organisation must satisfy themselves, and shall be responsible for ensuring that the other organisations making up the consortium/supply chain: </w:t>
      </w:r>
    </w:p>
    <w:p w14:paraId="45A14829" w14:textId="7AB3267B"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Have the relevant technical expertise to carry out the </w:t>
      </w:r>
      <w:r w:rsidR="00C46B63" w:rsidRPr="00011060">
        <w:rPr>
          <w:rFonts w:ascii="Calibri" w:hAnsi="Calibri" w:cs="Calibri"/>
        </w:rPr>
        <w:t>contract.</w:t>
      </w:r>
      <w:r w:rsidRPr="00011060">
        <w:rPr>
          <w:rFonts w:ascii="Calibri" w:hAnsi="Calibri" w:cs="Calibri"/>
        </w:rPr>
        <w:t xml:space="preserve"> </w:t>
      </w:r>
    </w:p>
    <w:p w14:paraId="575A24EF" w14:textId="139EE279"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Holds any appropriate accreditations as referenced in the </w:t>
      </w:r>
      <w:r w:rsidR="00C46B63" w:rsidRPr="00011060">
        <w:rPr>
          <w:rFonts w:ascii="Calibri" w:hAnsi="Calibri" w:cs="Calibri"/>
        </w:rPr>
        <w:t>tender.</w:t>
      </w:r>
      <w:r w:rsidRPr="00011060">
        <w:rPr>
          <w:rFonts w:ascii="Calibri" w:hAnsi="Calibri" w:cs="Calibri"/>
        </w:rPr>
        <w:t xml:space="preserve"> </w:t>
      </w:r>
    </w:p>
    <w:p w14:paraId="3847CF13" w14:textId="5DBE8D84"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Are of a sound financial </w:t>
      </w:r>
      <w:r w:rsidR="00C46B63" w:rsidRPr="00011060">
        <w:rPr>
          <w:rFonts w:ascii="Calibri" w:hAnsi="Calibri" w:cs="Calibri"/>
        </w:rPr>
        <w:t>standing.</w:t>
      </w:r>
      <w:r w:rsidRPr="00011060">
        <w:rPr>
          <w:rFonts w:ascii="Calibri" w:hAnsi="Calibri" w:cs="Calibri"/>
        </w:rPr>
        <w:t xml:space="preserve"> </w:t>
      </w:r>
    </w:p>
    <w:p w14:paraId="35DFD51C" w14:textId="77777777"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Have the relevant Health and Safety, Equality, Environmental and Quality Assurance policies and procedures in place; and </w:t>
      </w:r>
    </w:p>
    <w:p w14:paraId="66FF5867" w14:textId="77777777"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Have adequate insurance limits. These insurance limits need to be equal to those required from the prime (lead) organisation. </w:t>
      </w:r>
    </w:p>
    <w:p w14:paraId="6CEF6153" w14:textId="77777777" w:rsidR="00011060" w:rsidRPr="008F4104" w:rsidRDefault="00011060" w:rsidP="00011060">
      <w:pPr>
        <w:pStyle w:val="ListParagraph"/>
        <w:ind w:left="1080"/>
      </w:pPr>
    </w:p>
    <w:p w14:paraId="36759B4C" w14:textId="77777777" w:rsidR="00011060" w:rsidRPr="00011060" w:rsidRDefault="00011060" w:rsidP="00011060">
      <w:pPr>
        <w:pStyle w:val="ListParagraph"/>
        <w:numPr>
          <w:ilvl w:val="1"/>
          <w:numId w:val="39"/>
        </w:numPr>
        <w:spacing w:before="0" w:after="240"/>
        <w:contextualSpacing w:val="0"/>
        <w:rPr>
          <w:rFonts w:ascii="Calibri" w:hAnsi="Calibri" w:cs="Calibri"/>
        </w:rPr>
      </w:pPr>
      <w:r w:rsidRPr="00011060">
        <w:rPr>
          <w:rFonts w:ascii="Calibri" w:hAnsi="Calibri" w:cs="Calibri"/>
        </w:rPr>
        <w:t xml:space="preserve">Within the tender response, reference should be made to the above information (where appropriate) to enable the Authority to assess the overall supply base that will be delivering the requirements detailed in the tender. </w:t>
      </w:r>
    </w:p>
    <w:p w14:paraId="58D38D0C" w14:textId="77777777" w:rsidR="002B1F5A" w:rsidRPr="00667C33" w:rsidRDefault="002B1F5A" w:rsidP="00695380">
      <w:pPr>
        <w:pStyle w:val="Heading1"/>
        <w:spacing w:before="240" w:after="120"/>
        <w:ind w:left="357" w:hanging="357"/>
      </w:pPr>
      <w:bookmarkStart w:id="7" w:name="_Toc92198424"/>
      <w:r w:rsidRPr="00667C33">
        <w:t>Procurement timetable</w:t>
      </w:r>
      <w:bookmarkEnd w:id="7"/>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3118"/>
      </w:tblGrid>
      <w:tr w:rsidR="00293A4B" w:rsidRPr="003A424B" w14:paraId="3D9F094B" w14:textId="77777777" w:rsidTr="00667C33">
        <w:tc>
          <w:tcPr>
            <w:tcW w:w="9531" w:type="dxa"/>
            <w:gridSpan w:val="2"/>
            <w:tcBorders>
              <w:top w:val="nil"/>
              <w:left w:val="nil"/>
              <w:bottom w:val="single" w:sz="4" w:space="0" w:color="auto"/>
              <w:right w:val="nil"/>
            </w:tcBorders>
            <w:vAlign w:val="center"/>
          </w:tcPr>
          <w:p w14:paraId="46D6E86A" w14:textId="77777777" w:rsidR="00293A4B" w:rsidRPr="003A424B" w:rsidRDefault="00293A4B" w:rsidP="00347896">
            <w:pPr>
              <w:rPr>
                <w:b/>
                <w:bCs/>
              </w:rPr>
            </w:pPr>
            <w:r w:rsidRPr="003A424B">
              <w:t>The intended timetable for this procurement is:</w:t>
            </w:r>
          </w:p>
        </w:tc>
      </w:tr>
      <w:tr w:rsidR="00293A4B" w:rsidRPr="003A424B" w14:paraId="60B586B8" w14:textId="77777777" w:rsidTr="00974068">
        <w:tc>
          <w:tcPr>
            <w:tcW w:w="64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9345379" w14:textId="77777777" w:rsidR="00293A4B" w:rsidRPr="003A424B" w:rsidRDefault="00293A4B" w:rsidP="00347896">
            <w:pPr>
              <w:rPr>
                <w:b/>
                <w:bCs/>
              </w:rPr>
            </w:pPr>
            <w:r w:rsidRPr="003A424B">
              <w:rPr>
                <w:b/>
                <w:bCs/>
              </w:rPr>
              <w:t>Stage in Procurement Process</w:t>
            </w:r>
          </w:p>
        </w:tc>
        <w:tc>
          <w:tcPr>
            <w:tcW w:w="31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772F88A" w14:textId="77777777" w:rsidR="00293A4B" w:rsidRPr="003A424B" w:rsidRDefault="00293A4B" w:rsidP="00347896">
            <w:pPr>
              <w:rPr>
                <w:b/>
                <w:bCs/>
              </w:rPr>
            </w:pPr>
            <w:r w:rsidRPr="003A424B">
              <w:rPr>
                <w:b/>
                <w:bCs/>
              </w:rPr>
              <w:t>Date</w:t>
            </w:r>
          </w:p>
        </w:tc>
      </w:tr>
      <w:tr w:rsidR="00293A4B" w:rsidRPr="00320A9B" w14:paraId="4D794F21" w14:textId="77777777" w:rsidTr="00974068">
        <w:tc>
          <w:tcPr>
            <w:tcW w:w="6413" w:type="dxa"/>
            <w:tcBorders>
              <w:top w:val="single" w:sz="4" w:space="0" w:color="auto"/>
              <w:left w:val="single" w:sz="4" w:space="0" w:color="auto"/>
              <w:bottom w:val="single" w:sz="4" w:space="0" w:color="auto"/>
              <w:right w:val="single" w:sz="4" w:space="0" w:color="auto"/>
            </w:tcBorders>
            <w:vAlign w:val="center"/>
          </w:tcPr>
          <w:p w14:paraId="2EFE30B7" w14:textId="77777777" w:rsidR="00293A4B" w:rsidRPr="003A424B" w:rsidRDefault="00293A4B" w:rsidP="00347896">
            <w:r>
              <w:t xml:space="preserve">Suppliers invited to </w:t>
            </w:r>
            <w:r w:rsidR="00E738C3">
              <w:t>Tender</w:t>
            </w:r>
            <w: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689F9739" w14:textId="1CCD1CF8" w:rsidR="00293A4B" w:rsidRPr="00D514A4" w:rsidRDefault="00CD016F" w:rsidP="00347896">
            <w:pPr>
              <w:rPr>
                <w:b/>
                <w:highlight w:val="yellow"/>
              </w:rPr>
            </w:pPr>
            <w:r w:rsidRPr="00646F68">
              <w:rPr>
                <w:b/>
              </w:rPr>
              <w:t>0</w:t>
            </w:r>
            <w:r w:rsidR="007F6AA5">
              <w:rPr>
                <w:b/>
              </w:rPr>
              <w:t>6</w:t>
            </w:r>
            <w:r w:rsidRPr="00646F68">
              <w:rPr>
                <w:b/>
              </w:rPr>
              <w:t>/01/2022</w:t>
            </w:r>
          </w:p>
        </w:tc>
      </w:tr>
      <w:tr w:rsidR="00293A4B" w:rsidRPr="00320A9B" w14:paraId="31960383" w14:textId="77777777" w:rsidTr="00974068">
        <w:tc>
          <w:tcPr>
            <w:tcW w:w="6413" w:type="dxa"/>
            <w:tcBorders>
              <w:top w:val="single" w:sz="4" w:space="0" w:color="auto"/>
              <w:left w:val="single" w:sz="4" w:space="0" w:color="auto"/>
              <w:bottom w:val="single" w:sz="4" w:space="0" w:color="auto"/>
              <w:right w:val="single" w:sz="4" w:space="0" w:color="auto"/>
            </w:tcBorders>
            <w:vAlign w:val="center"/>
          </w:tcPr>
          <w:p w14:paraId="41DD94A2" w14:textId="77777777" w:rsidR="00293A4B" w:rsidRPr="003A424B" w:rsidRDefault="00293A4B" w:rsidP="00347896">
            <w:r>
              <w:t xml:space="preserve">Deadline for clarification questions </w:t>
            </w:r>
          </w:p>
        </w:tc>
        <w:tc>
          <w:tcPr>
            <w:tcW w:w="3118" w:type="dxa"/>
            <w:tcBorders>
              <w:top w:val="single" w:sz="4" w:space="0" w:color="auto"/>
              <w:left w:val="single" w:sz="4" w:space="0" w:color="auto"/>
              <w:bottom w:val="single" w:sz="4" w:space="0" w:color="auto"/>
              <w:right w:val="single" w:sz="4" w:space="0" w:color="auto"/>
            </w:tcBorders>
            <w:vAlign w:val="center"/>
          </w:tcPr>
          <w:p w14:paraId="6C9BD70D" w14:textId="146EC873" w:rsidR="00293A4B" w:rsidRPr="00D514A4" w:rsidRDefault="000F31D3" w:rsidP="00347896">
            <w:pPr>
              <w:rPr>
                <w:b/>
                <w:highlight w:val="yellow"/>
              </w:rPr>
            </w:pPr>
            <w:r w:rsidRPr="00BF7D5D">
              <w:rPr>
                <w:b/>
              </w:rPr>
              <w:t>2</w:t>
            </w:r>
            <w:r w:rsidR="00BF7D5D" w:rsidRPr="00BF7D5D">
              <w:rPr>
                <w:b/>
              </w:rPr>
              <w:t>4</w:t>
            </w:r>
            <w:r w:rsidR="007A4065" w:rsidRPr="00BF7D5D">
              <w:rPr>
                <w:b/>
              </w:rPr>
              <w:t>/01/2022</w:t>
            </w:r>
          </w:p>
        </w:tc>
      </w:tr>
      <w:tr w:rsidR="00293A4B" w:rsidRPr="00320A9B" w14:paraId="54E41D0B" w14:textId="77777777" w:rsidTr="00974068">
        <w:tc>
          <w:tcPr>
            <w:tcW w:w="6413" w:type="dxa"/>
            <w:tcBorders>
              <w:top w:val="single" w:sz="4" w:space="0" w:color="auto"/>
              <w:left w:val="single" w:sz="4" w:space="0" w:color="auto"/>
              <w:bottom w:val="single" w:sz="4" w:space="0" w:color="auto"/>
              <w:right w:val="single" w:sz="4" w:space="0" w:color="auto"/>
            </w:tcBorders>
            <w:vAlign w:val="center"/>
          </w:tcPr>
          <w:p w14:paraId="631180BE" w14:textId="77777777" w:rsidR="00293A4B" w:rsidRPr="003A424B" w:rsidRDefault="00293A4B" w:rsidP="00347896">
            <w:r w:rsidRPr="003A424B">
              <w:t>Deadline for submission</w:t>
            </w:r>
            <w:r>
              <w:t xml:space="preserve"> of </w:t>
            </w:r>
            <w:r w:rsidR="00E738C3">
              <w:t>Tender</w:t>
            </w:r>
          </w:p>
        </w:tc>
        <w:tc>
          <w:tcPr>
            <w:tcW w:w="3118" w:type="dxa"/>
            <w:tcBorders>
              <w:top w:val="single" w:sz="4" w:space="0" w:color="auto"/>
              <w:left w:val="single" w:sz="4" w:space="0" w:color="auto"/>
              <w:bottom w:val="single" w:sz="4" w:space="0" w:color="auto"/>
              <w:right w:val="single" w:sz="4" w:space="0" w:color="auto"/>
            </w:tcBorders>
            <w:vAlign w:val="center"/>
          </w:tcPr>
          <w:p w14:paraId="3184F628" w14:textId="2144F3B6" w:rsidR="00293A4B" w:rsidRPr="00BF7D5D" w:rsidRDefault="007A49CB" w:rsidP="00347896">
            <w:pPr>
              <w:rPr>
                <w:b/>
              </w:rPr>
            </w:pPr>
            <w:r>
              <w:rPr>
                <w:b/>
              </w:rPr>
              <w:t>12:00pm 0</w:t>
            </w:r>
            <w:r w:rsidR="00C245B4">
              <w:rPr>
                <w:b/>
              </w:rPr>
              <w:t>4</w:t>
            </w:r>
            <w:r>
              <w:rPr>
                <w:b/>
              </w:rPr>
              <w:t>/02/2022</w:t>
            </w:r>
          </w:p>
        </w:tc>
      </w:tr>
      <w:tr w:rsidR="00293A4B" w:rsidRPr="00320A9B" w14:paraId="32A79EEC" w14:textId="77777777" w:rsidTr="00974068">
        <w:tc>
          <w:tcPr>
            <w:tcW w:w="6413" w:type="dxa"/>
            <w:tcBorders>
              <w:top w:val="single" w:sz="4" w:space="0" w:color="auto"/>
              <w:left w:val="single" w:sz="4" w:space="0" w:color="auto"/>
              <w:bottom w:val="single" w:sz="4" w:space="0" w:color="auto"/>
              <w:right w:val="single" w:sz="4" w:space="0" w:color="auto"/>
            </w:tcBorders>
            <w:vAlign w:val="center"/>
          </w:tcPr>
          <w:p w14:paraId="4E3B17E5" w14:textId="77777777" w:rsidR="00293A4B" w:rsidRPr="003A424B" w:rsidRDefault="00293A4B" w:rsidP="00347896">
            <w:r>
              <w:t xml:space="preserve">Assessment and evaluation of </w:t>
            </w:r>
            <w:r w:rsidR="00E738C3">
              <w:t>Tender</w:t>
            </w:r>
            <w:r>
              <w:t xml:space="preserve">s to be completed by </w:t>
            </w:r>
          </w:p>
        </w:tc>
        <w:tc>
          <w:tcPr>
            <w:tcW w:w="3118" w:type="dxa"/>
            <w:tcBorders>
              <w:top w:val="single" w:sz="4" w:space="0" w:color="auto"/>
              <w:left w:val="single" w:sz="4" w:space="0" w:color="auto"/>
              <w:bottom w:val="single" w:sz="4" w:space="0" w:color="auto"/>
              <w:right w:val="single" w:sz="4" w:space="0" w:color="auto"/>
            </w:tcBorders>
            <w:vAlign w:val="center"/>
          </w:tcPr>
          <w:p w14:paraId="4C10916B" w14:textId="08318AFD" w:rsidR="00293A4B" w:rsidRPr="00D514A4" w:rsidRDefault="0063595E" w:rsidP="00347896">
            <w:pPr>
              <w:rPr>
                <w:b/>
                <w:highlight w:val="yellow"/>
              </w:rPr>
            </w:pPr>
            <w:r w:rsidRPr="00BF7D5D">
              <w:rPr>
                <w:b/>
              </w:rPr>
              <w:t>1</w:t>
            </w:r>
            <w:r w:rsidR="00BF7D5D" w:rsidRPr="00BF7D5D">
              <w:rPr>
                <w:b/>
              </w:rPr>
              <w:t>1</w:t>
            </w:r>
            <w:r w:rsidRPr="00BF7D5D">
              <w:rPr>
                <w:b/>
              </w:rPr>
              <w:t>/02</w:t>
            </w:r>
            <w:r w:rsidR="00343346">
              <w:rPr>
                <w:b/>
              </w:rPr>
              <w:t>/</w:t>
            </w:r>
            <w:r w:rsidRPr="00BF7D5D">
              <w:rPr>
                <w:b/>
              </w:rPr>
              <w:t>2022</w:t>
            </w:r>
          </w:p>
        </w:tc>
      </w:tr>
      <w:tr w:rsidR="00293A4B" w:rsidRPr="00320A9B" w14:paraId="543ED351" w14:textId="77777777" w:rsidTr="00974068">
        <w:tc>
          <w:tcPr>
            <w:tcW w:w="6413" w:type="dxa"/>
            <w:tcBorders>
              <w:top w:val="single" w:sz="4" w:space="0" w:color="auto"/>
              <w:left w:val="single" w:sz="4" w:space="0" w:color="auto"/>
              <w:bottom w:val="single" w:sz="4" w:space="0" w:color="auto"/>
              <w:right w:val="single" w:sz="4" w:space="0" w:color="auto"/>
            </w:tcBorders>
            <w:vAlign w:val="center"/>
          </w:tcPr>
          <w:p w14:paraId="63889089" w14:textId="77777777" w:rsidR="00293A4B" w:rsidRPr="003A424B" w:rsidRDefault="00E0737C" w:rsidP="00347896">
            <w:r>
              <w:t>D</w:t>
            </w:r>
            <w:r w:rsidR="00293A4B" w:rsidRPr="003A424B">
              <w:t>ecision</w:t>
            </w:r>
            <w:r>
              <w:t xml:space="preserve"> Communicated to Tenderers – Commence Standstill Period </w:t>
            </w:r>
          </w:p>
        </w:tc>
        <w:tc>
          <w:tcPr>
            <w:tcW w:w="3118" w:type="dxa"/>
            <w:tcBorders>
              <w:top w:val="single" w:sz="4" w:space="0" w:color="auto"/>
              <w:left w:val="single" w:sz="4" w:space="0" w:color="auto"/>
              <w:bottom w:val="single" w:sz="4" w:space="0" w:color="auto"/>
              <w:right w:val="single" w:sz="4" w:space="0" w:color="auto"/>
            </w:tcBorders>
            <w:vAlign w:val="center"/>
          </w:tcPr>
          <w:p w14:paraId="091DB895" w14:textId="1BB46FA1" w:rsidR="00293A4B" w:rsidRPr="00D514A4" w:rsidRDefault="00BF7D5D" w:rsidP="00347896">
            <w:pPr>
              <w:rPr>
                <w:b/>
                <w:highlight w:val="yellow"/>
              </w:rPr>
            </w:pPr>
            <w:r w:rsidRPr="00BF7D5D">
              <w:rPr>
                <w:b/>
              </w:rPr>
              <w:t>15</w:t>
            </w:r>
            <w:r w:rsidR="00A946F1" w:rsidRPr="00BF7D5D">
              <w:rPr>
                <w:b/>
              </w:rPr>
              <w:t>/02/2022</w:t>
            </w:r>
          </w:p>
        </w:tc>
      </w:tr>
      <w:tr w:rsidR="00E0737C" w:rsidRPr="00320A9B" w14:paraId="0DF65061" w14:textId="77777777" w:rsidTr="00974068">
        <w:tc>
          <w:tcPr>
            <w:tcW w:w="6413" w:type="dxa"/>
            <w:tcBorders>
              <w:top w:val="single" w:sz="4" w:space="0" w:color="auto"/>
              <w:left w:val="single" w:sz="4" w:space="0" w:color="auto"/>
              <w:bottom w:val="single" w:sz="4" w:space="0" w:color="auto"/>
              <w:right w:val="single" w:sz="4" w:space="0" w:color="auto"/>
            </w:tcBorders>
            <w:vAlign w:val="center"/>
          </w:tcPr>
          <w:p w14:paraId="093DA432" w14:textId="7F5107BD" w:rsidR="00E0737C" w:rsidRPr="003A424B" w:rsidRDefault="00E0737C" w:rsidP="00347896">
            <w:r>
              <w:t>Standstill Period Ends</w:t>
            </w:r>
          </w:p>
        </w:tc>
        <w:tc>
          <w:tcPr>
            <w:tcW w:w="3118" w:type="dxa"/>
            <w:tcBorders>
              <w:top w:val="single" w:sz="4" w:space="0" w:color="auto"/>
              <w:left w:val="single" w:sz="4" w:space="0" w:color="auto"/>
              <w:bottom w:val="single" w:sz="4" w:space="0" w:color="auto"/>
              <w:right w:val="single" w:sz="4" w:space="0" w:color="auto"/>
            </w:tcBorders>
            <w:vAlign w:val="center"/>
          </w:tcPr>
          <w:p w14:paraId="1CD0B682" w14:textId="7CAD7730" w:rsidR="00E0737C" w:rsidRPr="00D514A4" w:rsidRDefault="00E33836" w:rsidP="00347896">
            <w:pPr>
              <w:rPr>
                <w:b/>
                <w:highlight w:val="yellow"/>
              </w:rPr>
            </w:pPr>
            <w:r w:rsidRPr="00E33836">
              <w:rPr>
                <w:b/>
              </w:rPr>
              <w:t>24/02</w:t>
            </w:r>
            <w:r w:rsidR="00B664AF" w:rsidRPr="00E33836">
              <w:rPr>
                <w:b/>
              </w:rPr>
              <w:t>/2022</w:t>
            </w:r>
          </w:p>
        </w:tc>
      </w:tr>
      <w:tr w:rsidR="00293A4B" w:rsidRPr="00320A9B" w14:paraId="51E0B50D" w14:textId="77777777" w:rsidTr="00974068">
        <w:tc>
          <w:tcPr>
            <w:tcW w:w="6413" w:type="dxa"/>
            <w:tcBorders>
              <w:top w:val="single" w:sz="4" w:space="0" w:color="auto"/>
              <w:left w:val="single" w:sz="4" w:space="0" w:color="auto"/>
              <w:bottom w:val="single" w:sz="4" w:space="0" w:color="auto"/>
              <w:right w:val="single" w:sz="4" w:space="0" w:color="auto"/>
            </w:tcBorders>
            <w:vAlign w:val="center"/>
          </w:tcPr>
          <w:p w14:paraId="3D7640BA" w14:textId="77777777" w:rsidR="00293A4B" w:rsidRPr="003A424B" w:rsidRDefault="00293A4B" w:rsidP="00347896">
            <w:r w:rsidRPr="003A424B">
              <w:t>Anticipated contract start date</w:t>
            </w:r>
          </w:p>
        </w:tc>
        <w:tc>
          <w:tcPr>
            <w:tcW w:w="3118" w:type="dxa"/>
            <w:tcBorders>
              <w:top w:val="single" w:sz="4" w:space="0" w:color="auto"/>
              <w:left w:val="single" w:sz="4" w:space="0" w:color="auto"/>
              <w:bottom w:val="single" w:sz="4" w:space="0" w:color="auto"/>
              <w:right w:val="single" w:sz="4" w:space="0" w:color="auto"/>
            </w:tcBorders>
            <w:vAlign w:val="center"/>
          </w:tcPr>
          <w:p w14:paraId="7C9DEED7" w14:textId="460F1659" w:rsidR="00293A4B" w:rsidRPr="00D514A4" w:rsidRDefault="0020056F" w:rsidP="00347896">
            <w:pPr>
              <w:rPr>
                <w:b/>
                <w:highlight w:val="yellow"/>
              </w:rPr>
            </w:pPr>
            <w:r w:rsidRPr="00974068">
              <w:rPr>
                <w:b/>
              </w:rPr>
              <w:t xml:space="preserve">Week Commencing </w:t>
            </w:r>
            <w:r w:rsidR="00974068" w:rsidRPr="00974068">
              <w:rPr>
                <w:b/>
              </w:rPr>
              <w:t>28/02/2022</w:t>
            </w:r>
          </w:p>
        </w:tc>
      </w:tr>
      <w:tr w:rsidR="00293A4B" w:rsidRPr="00320A9B" w14:paraId="6DF5F748" w14:textId="77777777" w:rsidTr="00974068">
        <w:tc>
          <w:tcPr>
            <w:tcW w:w="6413" w:type="dxa"/>
            <w:tcBorders>
              <w:top w:val="single" w:sz="4" w:space="0" w:color="auto"/>
              <w:left w:val="single" w:sz="4" w:space="0" w:color="auto"/>
              <w:bottom w:val="single" w:sz="4" w:space="0" w:color="auto"/>
              <w:right w:val="single" w:sz="4" w:space="0" w:color="auto"/>
            </w:tcBorders>
            <w:vAlign w:val="center"/>
          </w:tcPr>
          <w:p w14:paraId="348E92CF" w14:textId="77777777" w:rsidR="00293A4B" w:rsidRPr="003A424B" w:rsidRDefault="00293A4B" w:rsidP="00347896">
            <w:r>
              <w:t xml:space="preserve">Anticipated contract end date </w:t>
            </w:r>
          </w:p>
        </w:tc>
        <w:tc>
          <w:tcPr>
            <w:tcW w:w="3118" w:type="dxa"/>
            <w:tcBorders>
              <w:top w:val="single" w:sz="4" w:space="0" w:color="auto"/>
              <w:left w:val="single" w:sz="4" w:space="0" w:color="auto"/>
              <w:bottom w:val="single" w:sz="4" w:space="0" w:color="auto"/>
              <w:right w:val="single" w:sz="4" w:space="0" w:color="auto"/>
            </w:tcBorders>
            <w:vAlign w:val="center"/>
          </w:tcPr>
          <w:p w14:paraId="5CA2D5EE" w14:textId="7D553485" w:rsidR="00293A4B" w:rsidRPr="00E33836" w:rsidRDefault="00A4590C" w:rsidP="00347896">
            <w:pPr>
              <w:rPr>
                <w:b/>
              </w:rPr>
            </w:pPr>
            <w:r w:rsidRPr="00E33836">
              <w:rPr>
                <w:b/>
              </w:rPr>
              <w:t>TBC</w:t>
            </w:r>
          </w:p>
        </w:tc>
      </w:tr>
      <w:tr w:rsidR="00293A4B" w:rsidRPr="003A424B" w14:paraId="2DA5B53E" w14:textId="77777777" w:rsidTr="00667C33">
        <w:tc>
          <w:tcPr>
            <w:tcW w:w="9531" w:type="dxa"/>
            <w:gridSpan w:val="2"/>
            <w:tcBorders>
              <w:top w:val="single" w:sz="4" w:space="0" w:color="auto"/>
              <w:left w:val="single" w:sz="4" w:space="0" w:color="auto"/>
              <w:bottom w:val="single" w:sz="4" w:space="0" w:color="auto"/>
              <w:right w:val="single" w:sz="4" w:space="0" w:color="auto"/>
            </w:tcBorders>
            <w:vAlign w:val="center"/>
          </w:tcPr>
          <w:p w14:paraId="101C6D9C" w14:textId="737A99A1" w:rsidR="00293A4B" w:rsidRPr="003A424B" w:rsidRDefault="00293A4B" w:rsidP="00347896">
            <w:pPr>
              <w:rPr>
                <w:b/>
                <w:sz w:val="20"/>
                <w:szCs w:val="20"/>
              </w:rPr>
            </w:pPr>
            <w:r w:rsidRPr="003A424B">
              <w:rPr>
                <w:b/>
                <w:bCs/>
                <w:iCs/>
                <w:sz w:val="20"/>
                <w:szCs w:val="20"/>
              </w:rPr>
              <w:t xml:space="preserve">Please note: </w:t>
            </w:r>
            <w:r w:rsidR="002976E3">
              <w:rPr>
                <w:bCs/>
                <w:iCs/>
                <w:sz w:val="20"/>
                <w:szCs w:val="20"/>
              </w:rPr>
              <w:t>The</w:t>
            </w:r>
            <w:r>
              <w:rPr>
                <w:bCs/>
                <w:iCs/>
                <w:sz w:val="20"/>
                <w:szCs w:val="20"/>
              </w:rPr>
              <w:t xml:space="preserve"> Authority </w:t>
            </w:r>
            <w:r w:rsidRPr="00B57FCB">
              <w:rPr>
                <w:iCs/>
                <w:sz w:val="20"/>
                <w:szCs w:val="20"/>
              </w:rPr>
              <w:t>r</w:t>
            </w:r>
            <w:r w:rsidRPr="003A424B">
              <w:rPr>
                <w:iCs/>
                <w:sz w:val="20"/>
                <w:szCs w:val="20"/>
              </w:rPr>
              <w:t xml:space="preserve">eserves the right to cancel the </w:t>
            </w:r>
            <w:r w:rsidR="00E738C3">
              <w:rPr>
                <w:iCs/>
                <w:sz w:val="20"/>
                <w:szCs w:val="20"/>
              </w:rPr>
              <w:t>Tender</w:t>
            </w:r>
            <w:r w:rsidRPr="003A424B">
              <w:rPr>
                <w:iCs/>
                <w:sz w:val="20"/>
                <w:szCs w:val="20"/>
              </w:rPr>
              <w:t xml:space="preserve"> process at any point</w:t>
            </w:r>
            <w:r>
              <w:rPr>
                <w:iCs/>
                <w:sz w:val="20"/>
                <w:szCs w:val="20"/>
              </w:rPr>
              <w:t xml:space="preserve"> and </w:t>
            </w:r>
            <w:r w:rsidRPr="003A424B">
              <w:rPr>
                <w:iCs/>
                <w:sz w:val="20"/>
                <w:szCs w:val="20"/>
              </w:rPr>
              <w:t xml:space="preserve">is not liable for any costs </w:t>
            </w:r>
            <w:r>
              <w:rPr>
                <w:iCs/>
                <w:sz w:val="20"/>
                <w:szCs w:val="20"/>
              </w:rPr>
              <w:t xml:space="preserve">incurred. </w:t>
            </w:r>
          </w:p>
        </w:tc>
      </w:tr>
    </w:tbl>
    <w:p w14:paraId="4926CE82" w14:textId="77777777" w:rsidR="00293A4B" w:rsidRDefault="00293A4B" w:rsidP="00293A4B">
      <w:pPr>
        <w:pStyle w:val="ListParagraph"/>
        <w:spacing w:before="0" w:after="240"/>
        <w:ind w:left="360"/>
        <w:contextualSpacing w:val="0"/>
        <w:rPr>
          <w:rFonts w:ascii="Calibri" w:hAnsi="Calibri"/>
          <w:b/>
          <w:bCs/>
          <w:color w:val="4F6228" w:themeColor="accent3" w:themeShade="80"/>
          <w:sz w:val="28"/>
          <w:szCs w:val="28"/>
        </w:rPr>
      </w:pPr>
    </w:p>
    <w:p w14:paraId="70CD39E6" w14:textId="77777777" w:rsidR="00F07028" w:rsidRPr="00667C33" w:rsidRDefault="00F07028" w:rsidP="00011060">
      <w:pPr>
        <w:pStyle w:val="Heading1"/>
        <w:ind w:left="426" w:hanging="426"/>
      </w:pPr>
      <w:bookmarkStart w:id="8" w:name="_Toc92198425"/>
      <w:r w:rsidRPr="00667C33">
        <w:lastRenderedPageBreak/>
        <w:t>Evaluation</w:t>
      </w:r>
      <w:r w:rsidR="00131529" w:rsidRPr="00667C33">
        <w:t xml:space="preserve"> Process</w:t>
      </w:r>
      <w:bookmarkEnd w:id="8"/>
    </w:p>
    <w:p w14:paraId="0C33233F" w14:textId="77777777" w:rsidR="00515296" w:rsidRPr="008509ED" w:rsidRDefault="00515296" w:rsidP="00011060">
      <w:pPr>
        <w:pStyle w:val="ListParagraph"/>
        <w:numPr>
          <w:ilvl w:val="1"/>
          <w:numId w:val="31"/>
        </w:numPr>
        <w:spacing w:before="0" w:after="240"/>
        <w:ind w:left="993" w:hanging="636"/>
        <w:contextualSpacing w:val="0"/>
        <w:rPr>
          <w:rFonts w:ascii="Calibri" w:hAnsi="Calibri" w:cs="Calibri"/>
        </w:rPr>
      </w:pPr>
      <w:r w:rsidRPr="008509ED">
        <w:rPr>
          <w:rFonts w:ascii="Calibri" w:hAnsi="Calibri" w:cs="Calibri"/>
        </w:rPr>
        <w:t>Do not assume members of the evaluation panel will have prior knowledge or experience of the work you undertake, indeed if they do this will not be taken into consideration</w:t>
      </w:r>
      <w:r>
        <w:rPr>
          <w:rFonts w:ascii="Calibri" w:hAnsi="Calibri" w:cs="Calibri"/>
        </w:rPr>
        <w:t>.</w:t>
      </w:r>
    </w:p>
    <w:p w14:paraId="20DBD093" w14:textId="432D883D" w:rsidR="002279FD" w:rsidRPr="008A4678" w:rsidRDefault="002279FD" w:rsidP="002279FD">
      <w:pPr>
        <w:pStyle w:val="ListParagraph"/>
        <w:numPr>
          <w:ilvl w:val="1"/>
          <w:numId w:val="31"/>
        </w:numPr>
        <w:spacing w:after="240"/>
        <w:ind w:left="993" w:hanging="636"/>
        <w:contextualSpacing w:val="0"/>
        <w:rPr>
          <w:rFonts w:ascii="Calibri" w:hAnsi="Calibri" w:cs="Calibri"/>
        </w:rPr>
      </w:pPr>
      <w:r w:rsidRPr="008A4678">
        <w:rPr>
          <w:rFonts w:ascii="Calibri" w:hAnsi="Calibri" w:cs="Calibri"/>
        </w:rPr>
        <w:t>The Authority reserves the right to request additional information if it considers</w:t>
      </w:r>
      <w:r>
        <w:rPr>
          <w:rFonts w:ascii="Calibri" w:hAnsi="Calibri" w:cs="Calibri"/>
        </w:rPr>
        <w:t>,</w:t>
      </w:r>
      <w:r w:rsidRPr="008A4678">
        <w:rPr>
          <w:rFonts w:ascii="Calibri" w:hAnsi="Calibri" w:cs="Calibri"/>
        </w:rPr>
        <w:t xml:space="preserve"> in its sole discretion</w:t>
      </w:r>
      <w:r>
        <w:rPr>
          <w:rFonts w:ascii="Calibri" w:hAnsi="Calibri" w:cs="Calibri"/>
        </w:rPr>
        <w:t>,</w:t>
      </w:r>
      <w:r w:rsidRPr="008A4678">
        <w:rPr>
          <w:rFonts w:ascii="Calibri" w:hAnsi="Calibri" w:cs="Calibri"/>
        </w:rPr>
        <w:t xml:space="preserve"> that such information is </w:t>
      </w:r>
      <w:r>
        <w:rPr>
          <w:rFonts w:ascii="Calibri" w:hAnsi="Calibri" w:cs="Calibri"/>
        </w:rPr>
        <w:t>necessary</w:t>
      </w:r>
      <w:r w:rsidRPr="008A4678">
        <w:rPr>
          <w:rFonts w:ascii="Calibri" w:hAnsi="Calibri" w:cs="Calibri"/>
        </w:rPr>
        <w:t xml:space="preserve"> </w:t>
      </w:r>
      <w:r w:rsidR="002976E3">
        <w:rPr>
          <w:rFonts w:ascii="Calibri" w:hAnsi="Calibri" w:cs="Calibri"/>
        </w:rPr>
        <w:t>to</w:t>
      </w:r>
      <w:r>
        <w:rPr>
          <w:rFonts w:ascii="Calibri" w:hAnsi="Calibri" w:cs="Calibri"/>
        </w:rPr>
        <w:t xml:space="preserve"> fully </w:t>
      </w:r>
      <w:r w:rsidRPr="008A4678">
        <w:rPr>
          <w:rFonts w:ascii="Calibri" w:hAnsi="Calibri" w:cs="Calibri"/>
        </w:rPr>
        <w:t xml:space="preserve">understand </w:t>
      </w:r>
      <w:r>
        <w:rPr>
          <w:rFonts w:ascii="Calibri" w:hAnsi="Calibri" w:cs="Calibri"/>
        </w:rPr>
        <w:t>and properly evaluate t</w:t>
      </w:r>
      <w:r w:rsidRPr="008A4678">
        <w:rPr>
          <w:rFonts w:ascii="Calibri" w:hAnsi="Calibri" w:cs="Calibri"/>
        </w:rPr>
        <w:t>he tender submission</w:t>
      </w:r>
      <w:r>
        <w:rPr>
          <w:rFonts w:ascii="Calibri" w:hAnsi="Calibri" w:cs="Calibri"/>
        </w:rPr>
        <w:t xml:space="preserve">. </w:t>
      </w:r>
      <w:r w:rsidRPr="008A4678">
        <w:rPr>
          <w:rFonts w:ascii="Calibri" w:hAnsi="Calibri" w:cs="Calibri"/>
        </w:rPr>
        <w:t xml:space="preserve"> </w:t>
      </w:r>
    </w:p>
    <w:p w14:paraId="2BDD6315" w14:textId="77777777" w:rsidR="00B876C6" w:rsidRDefault="00B876C6" w:rsidP="00B876C6">
      <w:pPr>
        <w:pStyle w:val="ListParagraph"/>
        <w:numPr>
          <w:ilvl w:val="1"/>
          <w:numId w:val="42"/>
        </w:numPr>
        <w:spacing w:before="0" w:after="240"/>
        <w:ind w:left="993" w:hanging="633"/>
        <w:rPr>
          <w:rFonts w:ascii="Calibri" w:hAnsi="Calibri" w:cs="Calibri"/>
        </w:rPr>
      </w:pPr>
      <w:r w:rsidRPr="004B530C">
        <w:rPr>
          <w:rFonts w:ascii="Calibri" w:hAnsi="Calibri" w:cs="Calibri"/>
        </w:rPr>
        <w:t>If at any time during the evaluation process, the Authority discovers that any information submitted by a bidder is or appears to be incomplete, erroneous, or missing, the Authority may (but shall not be obliged to) ask you to submit, supplement, clarify or complete the relevant information or documentation.</w:t>
      </w:r>
    </w:p>
    <w:p w14:paraId="672EE1A3" w14:textId="77777777" w:rsidR="00B876C6" w:rsidRPr="004B530C" w:rsidRDefault="00B876C6" w:rsidP="00B876C6">
      <w:pPr>
        <w:pStyle w:val="ListParagraph"/>
        <w:spacing w:before="0" w:after="240"/>
        <w:ind w:left="792"/>
        <w:rPr>
          <w:rFonts w:ascii="Calibri" w:hAnsi="Calibri" w:cs="Calibri"/>
        </w:rPr>
      </w:pPr>
    </w:p>
    <w:p w14:paraId="0C930F39" w14:textId="77777777" w:rsidR="002279FD" w:rsidRPr="004B530C" w:rsidRDefault="002279FD" w:rsidP="002279FD">
      <w:pPr>
        <w:pStyle w:val="ListParagraph"/>
        <w:numPr>
          <w:ilvl w:val="1"/>
          <w:numId w:val="31"/>
        </w:numPr>
        <w:spacing w:before="0" w:after="240"/>
        <w:ind w:left="992" w:hanging="635"/>
        <w:contextualSpacing w:val="0"/>
        <w:rPr>
          <w:rFonts w:ascii="Calibri" w:hAnsi="Calibri" w:cs="Calibri"/>
        </w:rPr>
      </w:pPr>
      <w:r w:rsidRPr="004B530C">
        <w:rPr>
          <w:rFonts w:ascii="Calibri" w:hAnsi="Calibri" w:cs="Calibri"/>
        </w:rPr>
        <w:t>Such requests must be responded to within 24 hours (not including non-business days) and if the Authority decides to make such a request it shall do so on a fair basis to all bidders so that every bidder will be given the opportunity, where appropriate, to re-submit the information or documentation requested.</w:t>
      </w:r>
    </w:p>
    <w:p w14:paraId="00BBAB7E" w14:textId="29C9FE64" w:rsidR="002279FD" w:rsidRDefault="002976E3" w:rsidP="002279FD">
      <w:pPr>
        <w:pStyle w:val="ListParagraph"/>
        <w:numPr>
          <w:ilvl w:val="1"/>
          <w:numId w:val="31"/>
        </w:numPr>
        <w:spacing w:after="240"/>
        <w:ind w:left="993" w:hanging="636"/>
        <w:contextualSpacing w:val="0"/>
        <w:rPr>
          <w:rFonts w:ascii="Calibri" w:hAnsi="Calibri" w:cs="Calibri"/>
        </w:rPr>
      </w:pPr>
      <w:r w:rsidRPr="008A4678">
        <w:rPr>
          <w:rFonts w:ascii="Calibri" w:hAnsi="Calibri" w:cs="Calibri"/>
        </w:rPr>
        <w:t>During</w:t>
      </w:r>
      <w:r w:rsidR="002279FD" w:rsidRPr="008A4678">
        <w:rPr>
          <w:rFonts w:ascii="Calibri" w:hAnsi="Calibri" w:cs="Calibri"/>
        </w:rPr>
        <w:t xml:space="preserve"> the evaluation process, Tenderers shall be required to make key personnel </w:t>
      </w:r>
      <w:r w:rsidR="002279FD">
        <w:rPr>
          <w:rFonts w:ascii="Calibri" w:hAnsi="Calibri" w:cs="Calibri"/>
        </w:rPr>
        <w:t xml:space="preserve">available </w:t>
      </w:r>
      <w:r w:rsidR="002279FD" w:rsidRPr="008A4678">
        <w:rPr>
          <w:rFonts w:ascii="Calibri" w:hAnsi="Calibri" w:cs="Calibri"/>
        </w:rPr>
        <w:t xml:space="preserve">who shall be authorised to respond to all matters relating to the tender </w:t>
      </w:r>
      <w:r w:rsidRPr="008A4678">
        <w:rPr>
          <w:rFonts w:ascii="Calibri" w:hAnsi="Calibri" w:cs="Calibri"/>
        </w:rPr>
        <w:t>submission and</w:t>
      </w:r>
      <w:r w:rsidR="002279FD">
        <w:rPr>
          <w:rFonts w:ascii="Calibri" w:hAnsi="Calibri" w:cs="Calibri"/>
        </w:rPr>
        <w:t xml:space="preserve"> </w:t>
      </w:r>
      <w:r w:rsidR="00B876C6">
        <w:rPr>
          <w:rFonts w:ascii="Calibri" w:hAnsi="Calibri" w:cs="Calibri"/>
        </w:rPr>
        <w:t xml:space="preserve">respond </w:t>
      </w:r>
      <w:r w:rsidR="002279FD" w:rsidRPr="008A4678">
        <w:rPr>
          <w:rFonts w:ascii="Calibri" w:hAnsi="Calibri" w:cs="Calibri"/>
        </w:rPr>
        <w:t xml:space="preserve">within 24 hours of receipt of a written query. Tenderers should ensure that the appropriate person is selected as the main point of contact on </w:t>
      </w:r>
      <w:r w:rsidR="00584482">
        <w:rPr>
          <w:rFonts w:ascii="Calibri" w:hAnsi="Calibri" w:cs="Calibri"/>
        </w:rPr>
        <w:t>ProContract</w:t>
      </w:r>
      <w:r w:rsidR="002279FD">
        <w:rPr>
          <w:rFonts w:ascii="Calibri" w:hAnsi="Calibri" w:cs="Calibri"/>
        </w:rPr>
        <w:t xml:space="preserve"> as a</w:t>
      </w:r>
      <w:r w:rsidR="002279FD" w:rsidRPr="008A4678">
        <w:rPr>
          <w:rFonts w:ascii="Calibri" w:hAnsi="Calibri" w:cs="Calibri"/>
        </w:rPr>
        <w:t xml:space="preserve">ll correspondence will be sent electronically via </w:t>
      </w:r>
      <w:r w:rsidR="00584482">
        <w:rPr>
          <w:rFonts w:ascii="Calibri" w:hAnsi="Calibri" w:cs="Calibri"/>
        </w:rPr>
        <w:t>ProContract</w:t>
      </w:r>
      <w:r w:rsidR="002279FD" w:rsidRPr="008A4678">
        <w:rPr>
          <w:rFonts w:ascii="Calibri" w:hAnsi="Calibri" w:cs="Calibri"/>
        </w:rPr>
        <w:t xml:space="preserve"> to this person.</w:t>
      </w:r>
    </w:p>
    <w:p w14:paraId="26703315" w14:textId="77777777" w:rsidR="00EC0379" w:rsidRDefault="00F07028" w:rsidP="00F251FD">
      <w:pPr>
        <w:pStyle w:val="ListParagraph"/>
        <w:numPr>
          <w:ilvl w:val="1"/>
          <w:numId w:val="32"/>
        </w:numPr>
        <w:spacing w:before="0" w:after="240"/>
        <w:ind w:left="993" w:hanging="284"/>
        <w:contextualSpacing w:val="0"/>
        <w:rPr>
          <w:rFonts w:ascii="Calibri" w:hAnsi="Calibri" w:cs="Calibri"/>
        </w:rPr>
      </w:pPr>
      <w:r w:rsidRPr="00EC0379">
        <w:rPr>
          <w:rFonts w:ascii="Calibri" w:hAnsi="Calibri" w:cs="Calibri"/>
        </w:rPr>
        <w:t xml:space="preserve">The evaluation process to be applied to this </w:t>
      </w:r>
      <w:r w:rsidR="00E738C3" w:rsidRPr="00EC0379">
        <w:rPr>
          <w:rFonts w:ascii="Calibri" w:hAnsi="Calibri" w:cs="Calibri"/>
        </w:rPr>
        <w:t>Tender</w:t>
      </w:r>
      <w:r w:rsidRPr="00EC0379">
        <w:rPr>
          <w:rFonts w:ascii="Calibri" w:hAnsi="Calibri" w:cs="Calibri"/>
        </w:rPr>
        <w:t xml:space="preserve"> exercise shall be: </w:t>
      </w:r>
    </w:p>
    <w:p w14:paraId="6D31BB3C" w14:textId="366698AE" w:rsidR="00F07028" w:rsidRPr="00EC0379" w:rsidRDefault="00F07028" w:rsidP="00F251FD">
      <w:pPr>
        <w:pStyle w:val="ListParagraph"/>
        <w:numPr>
          <w:ilvl w:val="1"/>
          <w:numId w:val="32"/>
        </w:numPr>
        <w:spacing w:before="0" w:after="240"/>
        <w:ind w:left="993" w:hanging="284"/>
        <w:contextualSpacing w:val="0"/>
        <w:rPr>
          <w:rFonts w:ascii="Calibri" w:hAnsi="Calibri" w:cs="Calibri"/>
        </w:rPr>
      </w:pPr>
      <w:r w:rsidRPr="00EC0379">
        <w:rPr>
          <w:rFonts w:ascii="Calibri" w:hAnsi="Calibri" w:cs="Calibri"/>
        </w:rPr>
        <w:t xml:space="preserve">Quality and price evaluation - </w:t>
      </w:r>
      <w:r w:rsidR="00E738C3" w:rsidRPr="00EC0379">
        <w:rPr>
          <w:rFonts w:ascii="Calibri" w:hAnsi="Calibri" w:cs="Calibri"/>
        </w:rPr>
        <w:t>Tender</w:t>
      </w:r>
      <w:r w:rsidRPr="00EC0379">
        <w:rPr>
          <w:rFonts w:ascii="Calibri" w:hAnsi="Calibri" w:cs="Calibri"/>
        </w:rPr>
        <w:t xml:space="preserve">s will be assessed </w:t>
      </w:r>
      <w:r w:rsidR="007F7272" w:rsidRPr="00EC0379">
        <w:rPr>
          <w:rFonts w:ascii="Calibri" w:hAnsi="Calibri" w:cs="Calibri"/>
        </w:rPr>
        <w:t>based on</w:t>
      </w:r>
      <w:r w:rsidRPr="00EC0379">
        <w:rPr>
          <w:rFonts w:ascii="Calibri" w:hAnsi="Calibri" w:cs="Calibri"/>
        </w:rPr>
        <w:t xml:space="preserve"> the most economically advantageous </w:t>
      </w:r>
      <w:r w:rsidR="00E738C3" w:rsidRPr="00EC0379">
        <w:rPr>
          <w:rFonts w:ascii="Calibri" w:hAnsi="Calibri" w:cs="Calibri"/>
        </w:rPr>
        <w:t>Tender</w:t>
      </w:r>
      <w:r w:rsidRPr="00EC0379">
        <w:rPr>
          <w:rFonts w:ascii="Calibri" w:hAnsi="Calibri" w:cs="Calibri"/>
        </w:rPr>
        <w:t xml:space="preserve"> with a quality / price split of </w:t>
      </w:r>
      <w:r w:rsidR="00741DD1" w:rsidRPr="00EC0379">
        <w:rPr>
          <w:rFonts w:ascii="Calibri" w:hAnsi="Calibri" w:cs="Calibri"/>
        </w:rPr>
        <w:t>30</w:t>
      </w:r>
      <w:r w:rsidRPr="00EC0379">
        <w:rPr>
          <w:rFonts w:ascii="Calibri" w:hAnsi="Calibri" w:cs="Calibri"/>
        </w:rPr>
        <w:t xml:space="preserve">% price / </w:t>
      </w:r>
      <w:r w:rsidR="00EC0379" w:rsidRPr="00EC0379">
        <w:rPr>
          <w:rFonts w:ascii="Calibri" w:hAnsi="Calibri" w:cs="Calibri"/>
        </w:rPr>
        <w:t>70</w:t>
      </w:r>
      <w:r w:rsidRPr="00EC0379">
        <w:rPr>
          <w:rFonts w:ascii="Calibri" w:hAnsi="Calibri" w:cs="Calibri"/>
        </w:rPr>
        <w:t>% quality.</w:t>
      </w:r>
    </w:p>
    <w:p w14:paraId="27E8EDE6" w14:textId="77777777" w:rsidR="00F07028" w:rsidRPr="0063304B" w:rsidRDefault="00F07028" w:rsidP="00521BD8">
      <w:pPr>
        <w:pStyle w:val="ListParagraph"/>
        <w:numPr>
          <w:ilvl w:val="1"/>
          <w:numId w:val="31"/>
        </w:numPr>
        <w:spacing w:before="0" w:after="240"/>
        <w:ind w:left="993" w:hanging="633"/>
        <w:contextualSpacing w:val="0"/>
        <w:rPr>
          <w:rFonts w:ascii="Calibri" w:hAnsi="Calibri" w:cs="Calibri"/>
        </w:rPr>
      </w:pPr>
      <w:r w:rsidRPr="0063304B">
        <w:rPr>
          <w:rFonts w:ascii="Calibri" w:hAnsi="Calibri" w:cs="Calibri"/>
        </w:rPr>
        <w:t xml:space="preserve">The evaluation process will </w:t>
      </w:r>
      <w:r w:rsidR="0063304B" w:rsidRPr="0063304B">
        <w:rPr>
          <w:rFonts w:ascii="Calibri" w:hAnsi="Calibri" w:cs="Calibri"/>
        </w:rPr>
        <w:t>include the following stages</w:t>
      </w:r>
      <w:r w:rsidR="00F744FF">
        <w:rPr>
          <w:rFonts w:ascii="Calibri" w:hAnsi="Calibri" w:cs="Calibri"/>
        </w:rPr>
        <w:t>.</w:t>
      </w:r>
    </w:p>
    <w:p w14:paraId="2DFB6932" w14:textId="77777777" w:rsidR="00F744FF" w:rsidRPr="00F744FF" w:rsidRDefault="00F07028" w:rsidP="00521BD8">
      <w:pPr>
        <w:pStyle w:val="ListParagraph"/>
        <w:numPr>
          <w:ilvl w:val="0"/>
          <w:numId w:val="31"/>
        </w:numPr>
        <w:spacing w:before="0" w:after="240"/>
        <w:ind w:left="426" w:hanging="426"/>
        <w:contextualSpacing w:val="0"/>
        <w:rPr>
          <w:rFonts w:ascii="Calibri" w:hAnsi="Calibri"/>
          <w:b/>
          <w:bCs/>
          <w:color w:val="4F6228" w:themeColor="accent3" w:themeShade="80"/>
          <w:sz w:val="28"/>
          <w:szCs w:val="28"/>
        </w:rPr>
      </w:pPr>
      <w:bookmarkStart w:id="9" w:name="_Toc92198426"/>
      <w:r w:rsidRPr="00E7321B">
        <w:rPr>
          <w:rStyle w:val="Heading1Char"/>
        </w:rPr>
        <w:t xml:space="preserve">Stage 1: Evaluation of </w:t>
      </w:r>
      <w:r w:rsidR="00695380">
        <w:rPr>
          <w:rStyle w:val="Heading1Char"/>
        </w:rPr>
        <w:t xml:space="preserve">the </w:t>
      </w:r>
      <w:r w:rsidRPr="00E7321B">
        <w:rPr>
          <w:rStyle w:val="Heading1Char"/>
        </w:rPr>
        <w:t>S</w:t>
      </w:r>
      <w:r w:rsidR="00EE487E">
        <w:rPr>
          <w:rStyle w:val="Heading1Char"/>
        </w:rPr>
        <w:t>upplier Questionnaire</w:t>
      </w:r>
      <w:r w:rsidR="00F744FF" w:rsidRPr="00E7321B">
        <w:rPr>
          <w:rStyle w:val="Heading1Char"/>
        </w:rPr>
        <w:t>.</w:t>
      </w:r>
      <w:bookmarkEnd w:id="9"/>
      <w:r w:rsidR="00F744FF" w:rsidRPr="00667C33">
        <w:rPr>
          <w:rFonts w:ascii="Calibri" w:hAnsi="Calibri"/>
          <w:b/>
          <w:bCs/>
          <w:color w:val="76923C" w:themeColor="accent3" w:themeShade="BF"/>
          <w:sz w:val="28"/>
          <w:szCs w:val="28"/>
        </w:rPr>
        <w:t xml:space="preserve"> </w:t>
      </w:r>
    </w:p>
    <w:p w14:paraId="20FF786F" w14:textId="77777777" w:rsidR="00F744FF" w:rsidRPr="007337BB" w:rsidRDefault="00F744FF" w:rsidP="00521BD8">
      <w:pPr>
        <w:pStyle w:val="ListParagraph"/>
        <w:numPr>
          <w:ilvl w:val="1"/>
          <w:numId w:val="31"/>
        </w:numPr>
        <w:spacing w:before="0" w:after="240"/>
        <w:ind w:left="993" w:hanging="709"/>
        <w:contextualSpacing w:val="0"/>
        <w:rPr>
          <w:rFonts w:ascii="Calibri" w:hAnsi="Calibri" w:cs="Calibri"/>
        </w:rPr>
      </w:pPr>
      <w:r w:rsidRPr="007337BB">
        <w:rPr>
          <w:rFonts w:ascii="Calibri" w:hAnsi="Calibri" w:cs="Calibri"/>
        </w:rPr>
        <w:t xml:space="preserve">The selection criteria shall be evaluated on a </w:t>
      </w:r>
      <w:r w:rsidR="00F07028" w:rsidRPr="007337BB">
        <w:rPr>
          <w:rFonts w:ascii="Calibri" w:hAnsi="Calibri" w:cs="Calibri"/>
        </w:rPr>
        <w:t>pass / fail</w:t>
      </w:r>
      <w:r w:rsidRPr="007337BB">
        <w:rPr>
          <w:rFonts w:ascii="Calibri" w:hAnsi="Calibri" w:cs="Calibri"/>
        </w:rPr>
        <w:t xml:space="preserve"> basis</w:t>
      </w:r>
      <w:r w:rsidR="00D03A4D" w:rsidRPr="007337BB">
        <w:rPr>
          <w:rFonts w:ascii="Calibri" w:hAnsi="Calibri" w:cs="Calibri"/>
        </w:rPr>
        <w:t xml:space="preserve">. </w:t>
      </w:r>
    </w:p>
    <w:p w14:paraId="03BC08EE" w14:textId="03DC7FCB" w:rsidR="00F07028" w:rsidRPr="007337BB" w:rsidRDefault="00D03A4D" w:rsidP="00521BD8">
      <w:pPr>
        <w:pStyle w:val="ListParagraph"/>
        <w:numPr>
          <w:ilvl w:val="1"/>
          <w:numId w:val="31"/>
        </w:numPr>
        <w:spacing w:before="0" w:after="240"/>
        <w:ind w:left="993" w:hanging="709"/>
        <w:contextualSpacing w:val="0"/>
        <w:rPr>
          <w:rFonts w:ascii="Calibri" w:hAnsi="Calibri" w:cs="Calibri"/>
        </w:rPr>
      </w:pPr>
      <w:r w:rsidRPr="007337BB">
        <w:rPr>
          <w:rFonts w:ascii="Calibri" w:hAnsi="Calibri" w:cs="Calibri"/>
        </w:rPr>
        <w:t xml:space="preserve">Any </w:t>
      </w:r>
      <w:r w:rsidR="00E0737C" w:rsidRPr="007337BB">
        <w:rPr>
          <w:rFonts w:ascii="Calibri" w:hAnsi="Calibri" w:cs="Calibri"/>
        </w:rPr>
        <w:t xml:space="preserve">submission </w:t>
      </w:r>
      <w:r w:rsidRPr="007337BB">
        <w:rPr>
          <w:rFonts w:ascii="Calibri" w:hAnsi="Calibri" w:cs="Calibri"/>
        </w:rPr>
        <w:t xml:space="preserve">that fails </w:t>
      </w:r>
      <w:r w:rsidR="00F744FF" w:rsidRPr="007337BB">
        <w:rPr>
          <w:rFonts w:ascii="Calibri" w:hAnsi="Calibri" w:cs="Calibri"/>
        </w:rPr>
        <w:t xml:space="preserve">to </w:t>
      </w:r>
      <w:r w:rsidRPr="007337BB">
        <w:rPr>
          <w:rFonts w:ascii="Calibri" w:hAnsi="Calibri" w:cs="Calibri"/>
        </w:rPr>
        <w:t xml:space="preserve">pass </w:t>
      </w:r>
      <w:r w:rsidR="002976E3" w:rsidRPr="007337BB">
        <w:rPr>
          <w:rFonts w:ascii="Calibri" w:hAnsi="Calibri" w:cs="Calibri"/>
        </w:rPr>
        <w:t>all</w:t>
      </w:r>
      <w:r w:rsidRPr="007337BB">
        <w:rPr>
          <w:rFonts w:ascii="Calibri" w:hAnsi="Calibri" w:cs="Calibri"/>
        </w:rPr>
        <w:t xml:space="preserve"> the requirements of the selection criteria will be eliminated f</w:t>
      </w:r>
      <w:r w:rsidR="00AF4EB7" w:rsidRPr="007337BB">
        <w:rPr>
          <w:rFonts w:ascii="Calibri" w:hAnsi="Calibri" w:cs="Calibri"/>
        </w:rPr>
        <w:t>ro</w:t>
      </w:r>
      <w:r w:rsidRPr="007337BB">
        <w:rPr>
          <w:rFonts w:ascii="Calibri" w:hAnsi="Calibri" w:cs="Calibri"/>
        </w:rPr>
        <w:t>m the procurement process and not evaluated further.</w:t>
      </w:r>
      <w:r w:rsidR="0063304B" w:rsidRPr="007337BB">
        <w:rPr>
          <w:rFonts w:ascii="Calibri" w:hAnsi="Calibri" w:cs="Calibri"/>
        </w:rPr>
        <w:t xml:space="preserve"> </w:t>
      </w:r>
    </w:p>
    <w:p w14:paraId="5FAF3454" w14:textId="700462FD" w:rsidR="0063304B" w:rsidRPr="00F744FF" w:rsidRDefault="00F07028" w:rsidP="00521BD8">
      <w:pPr>
        <w:pStyle w:val="ListParagraph"/>
        <w:numPr>
          <w:ilvl w:val="0"/>
          <w:numId w:val="31"/>
        </w:numPr>
        <w:spacing w:before="0" w:after="240"/>
        <w:ind w:left="426" w:hanging="426"/>
        <w:contextualSpacing w:val="0"/>
        <w:rPr>
          <w:rFonts w:ascii="Calibri" w:hAnsi="Calibri"/>
          <w:b/>
          <w:bCs/>
          <w:color w:val="4F6228" w:themeColor="accent3" w:themeShade="80"/>
          <w:sz w:val="28"/>
          <w:szCs w:val="28"/>
        </w:rPr>
      </w:pPr>
      <w:bookmarkStart w:id="10" w:name="_Toc92198427"/>
      <w:r w:rsidRPr="00E7321B">
        <w:rPr>
          <w:rStyle w:val="Heading1Char"/>
        </w:rPr>
        <w:t xml:space="preserve">Stage 2: Evaluation of </w:t>
      </w:r>
      <w:r w:rsidR="0063304B" w:rsidRPr="00E7321B">
        <w:rPr>
          <w:rStyle w:val="Heading1Char"/>
        </w:rPr>
        <w:t>Quality Criteria</w:t>
      </w:r>
      <w:r w:rsidR="00F744FF" w:rsidRPr="00E7321B">
        <w:rPr>
          <w:rStyle w:val="Heading1Char"/>
        </w:rPr>
        <w:t>.</w:t>
      </w:r>
      <w:bookmarkEnd w:id="10"/>
      <w:r w:rsidR="00F744FF" w:rsidRPr="00F744FF">
        <w:rPr>
          <w:rFonts w:ascii="Calibri" w:hAnsi="Calibri"/>
          <w:b/>
          <w:bCs/>
          <w:color w:val="4F6228" w:themeColor="accent3" w:themeShade="80"/>
          <w:sz w:val="28"/>
          <w:szCs w:val="28"/>
        </w:rPr>
        <w:t xml:space="preserve"> </w:t>
      </w:r>
    </w:p>
    <w:p w14:paraId="5F775840" w14:textId="77777777" w:rsidR="00E21BD8" w:rsidRDefault="00695380" w:rsidP="00695380">
      <w:pPr>
        <w:pStyle w:val="ListParagraph"/>
        <w:numPr>
          <w:ilvl w:val="1"/>
          <w:numId w:val="31"/>
        </w:numPr>
        <w:spacing w:before="0" w:after="240"/>
        <w:ind w:left="993" w:hanging="709"/>
        <w:contextualSpacing w:val="0"/>
        <w:rPr>
          <w:rFonts w:ascii="Calibri" w:hAnsi="Calibri" w:cs="Calibri"/>
        </w:rPr>
      </w:pPr>
      <w:r w:rsidRPr="00695380">
        <w:rPr>
          <w:rFonts w:ascii="Calibri" w:hAnsi="Calibri" w:cs="Calibri"/>
        </w:rPr>
        <w:t xml:space="preserve">Tenderers are required to submit responses to the Quality Questions. </w:t>
      </w:r>
      <w:r w:rsidR="00E21BD8" w:rsidRPr="00695380">
        <w:rPr>
          <w:rFonts w:ascii="Calibri" w:hAnsi="Calibri" w:cs="Calibri"/>
        </w:rPr>
        <w:t xml:space="preserve">Your response to the Quality Questions should set out how you will meet the relevant requirements of the Specification and your response will form part of the contract. </w:t>
      </w:r>
    </w:p>
    <w:p w14:paraId="00817202" w14:textId="3CA3CB75" w:rsidR="00695380" w:rsidRPr="00695380" w:rsidRDefault="00695380" w:rsidP="00695380">
      <w:pPr>
        <w:pStyle w:val="ListParagraph"/>
        <w:numPr>
          <w:ilvl w:val="1"/>
          <w:numId w:val="31"/>
        </w:numPr>
        <w:spacing w:before="0" w:after="240"/>
        <w:ind w:left="993" w:hanging="709"/>
        <w:contextualSpacing w:val="0"/>
        <w:rPr>
          <w:rFonts w:ascii="Calibri" w:hAnsi="Calibri" w:cs="Calibri"/>
        </w:rPr>
      </w:pPr>
      <w:r w:rsidRPr="00695380">
        <w:rPr>
          <w:rFonts w:ascii="Calibri" w:hAnsi="Calibri" w:cs="Calibri"/>
        </w:rPr>
        <w:t xml:space="preserve">Tender submissions must not exceed the maximum </w:t>
      </w:r>
      <w:r w:rsidR="00C641B4">
        <w:rPr>
          <w:rFonts w:ascii="Calibri" w:hAnsi="Calibri" w:cs="Calibri"/>
        </w:rPr>
        <w:t xml:space="preserve">word </w:t>
      </w:r>
      <w:r w:rsidRPr="00695380">
        <w:rPr>
          <w:rFonts w:ascii="Calibri" w:hAnsi="Calibri" w:cs="Calibri"/>
        </w:rPr>
        <w:t>limit specified for each quality criteria.  Do not answer questions by referring to other quality responses or documents as these will not be evaluated.  You should be aware that any text that exceeds the</w:t>
      </w:r>
      <w:r w:rsidR="00C641B4">
        <w:rPr>
          <w:rFonts w:ascii="Calibri" w:hAnsi="Calibri" w:cs="Calibri"/>
        </w:rPr>
        <w:t xml:space="preserve"> word </w:t>
      </w:r>
      <w:r w:rsidRPr="00695380">
        <w:rPr>
          <w:rFonts w:ascii="Calibri" w:hAnsi="Calibri" w:cs="Calibri"/>
        </w:rPr>
        <w:t>limit will be removed from the submission and will not be scored by the evaluation panel.</w:t>
      </w:r>
    </w:p>
    <w:p w14:paraId="00FF79A4" w14:textId="77777777" w:rsidR="00E21BD8" w:rsidRDefault="00E21BD8" w:rsidP="00521BD8">
      <w:pPr>
        <w:pStyle w:val="ListParagraph"/>
        <w:numPr>
          <w:ilvl w:val="1"/>
          <w:numId w:val="31"/>
        </w:numPr>
        <w:spacing w:before="0" w:after="240"/>
        <w:ind w:left="993" w:hanging="709"/>
        <w:contextualSpacing w:val="0"/>
        <w:rPr>
          <w:rFonts w:ascii="Calibri" w:hAnsi="Calibri" w:cs="Calibri"/>
        </w:rPr>
      </w:pPr>
      <w:r w:rsidRPr="00E21BD8">
        <w:rPr>
          <w:rFonts w:ascii="Calibri" w:hAnsi="Calibri" w:cs="Calibri"/>
        </w:rPr>
        <w:lastRenderedPageBreak/>
        <w:t xml:space="preserve">If more than one organisation will be </w:t>
      </w:r>
      <w:r>
        <w:rPr>
          <w:rFonts w:ascii="Calibri" w:hAnsi="Calibri" w:cs="Calibri"/>
        </w:rPr>
        <w:t xml:space="preserve">relied upon to </w:t>
      </w:r>
      <w:r w:rsidRPr="00E21BD8">
        <w:rPr>
          <w:rFonts w:ascii="Calibri" w:hAnsi="Calibri" w:cs="Calibri"/>
        </w:rPr>
        <w:t xml:space="preserve">deliver </w:t>
      </w:r>
      <w:r>
        <w:rPr>
          <w:rFonts w:ascii="Calibri" w:hAnsi="Calibri" w:cs="Calibri"/>
        </w:rPr>
        <w:t xml:space="preserve">meet the requirements of the </w:t>
      </w:r>
      <w:r w:rsidRPr="00E21BD8">
        <w:rPr>
          <w:rFonts w:ascii="Calibri" w:hAnsi="Calibri" w:cs="Calibri"/>
        </w:rPr>
        <w:t>contract (for example, through a consortia arrangement), full details should be provided of how th</w:t>
      </w:r>
      <w:r>
        <w:rPr>
          <w:rFonts w:ascii="Calibri" w:hAnsi="Calibri" w:cs="Calibri"/>
        </w:rPr>
        <w:t xml:space="preserve">ose </w:t>
      </w:r>
      <w:r w:rsidRPr="00E21BD8">
        <w:rPr>
          <w:rFonts w:ascii="Calibri" w:hAnsi="Calibri" w:cs="Calibri"/>
        </w:rPr>
        <w:t>arrangements will operate</w:t>
      </w:r>
      <w:r>
        <w:rPr>
          <w:rFonts w:ascii="Calibri" w:hAnsi="Calibri" w:cs="Calibri"/>
        </w:rPr>
        <w:t xml:space="preserve">. </w:t>
      </w:r>
    </w:p>
    <w:p w14:paraId="63EA43EC" w14:textId="155AE395" w:rsidR="0063304B" w:rsidRPr="005448AD" w:rsidRDefault="0063304B" w:rsidP="00521BD8">
      <w:pPr>
        <w:pStyle w:val="ListParagraph"/>
        <w:numPr>
          <w:ilvl w:val="1"/>
          <w:numId w:val="31"/>
        </w:numPr>
        <w:spacing w:before="0" w:after="240"/>
        <w:ind w:left="993" w:hanging="709"/>
        <w:contextualSpacing w:val="0"/>
        <w:rPr>
          <w:rFonts w:ascii="Calibri" w:hAnsi="Calibri" w:cs="Calibri"/>
        </w:rPr>
      </w:pPr>
      <w:r>
        <w:rPr>
          <w:rFonts w:ascii="Calibri" w:hAnsi="Calibri" w:cs="Calibri"/>
        </w:rPr>
        <w:t xml:space="preserve">The maximum </w:t>
      </w:r>
      <w:r w:rsidR="008B6D94">
        <w:rPr>
          <w:rFonts w:ascii="Calibri" w:hAnsi="Calibri" w:cs="Calibri"/>
        </w:rPr>
        <w:t>Percentage</w:t>
      </w:r>
      <w:r>
        <w:rPr>
          <w:rFonts w:ascii="Calibri" w:hAnsi="Calibri" w:cs="Calibri"/>
        </w:rPr>
        <w:t xml:space="preserve"> available for quality are </w:t>
      </w:r>
      <w:r w:rsidR="006E57F1" w:rsidRPr="005448AD">
        <w:rPr>
          <w:rFonts w:ascii="Calibri" w:hAnsi="Calibri" w:cs="Calibri"/>
        </w:rPr>
        <w:t>70</w:t>
      </w:r>
      <w:r w:rsidRPr="005448AD">
        <w:rPr>
          <w:rFonts w:ascii="Calibri" w:hAnsi="Calibri" w:cs="Calibri"/>
        </w:rPr>
        <w:t xml:space="preserve">% </w:t>
      </w:r>
    </w:p>
    <w:p w14:paraId="2D3C94AE" w14:textId="67D766A1" w:rsidR="0063304B" w:rsidRPr="0063304B" w:rsidRDefault="0063304B" w:rsidP="00521BD8">
      <w:pPr>
        <w:pStyle w:val="ListParagraph"/>
        <w:numPr>
          <w:ilvl w:val="1"/>
          <w:numId w:val="31"/>
        </w:numPr>
        <w:spacing w:before="0" w:after="240"/>
        <w:ind w:left="993" w:hanging="709"/>
        <w:contextualSpacing w:val="0"/>
        <w:rPr>
          <w:rFonts w:ascii="Calibri" w:hAnsi="Calibri" w:cs="Calibri"/>
        </w:rPr>
      </w:pPr>
      <w:r>
        <w:rPr>
          <w:rFonts w:ascii="Calibri" w:hAnsi="Calibri" w:cs="Calibri"/>
        </w:rPr>
        <w:t xml:space="preserve">An overall quality threshold of </w:t>
      </w:r>
      <w:r w:rsidR="006E57F1" w:rsidRPr="006E57F1">
        <w:rPr>
          <w:rFonts w:ascii="Calibri" w:hAnsi="Calibri" w:cs="Calibri"/>
        </w:rPr>
        <w:t>66</w:t>
      </w:r>
      <w:r w:rsidRPr="006E57F1">
        <w:rPr>
          <w:rFonts w:ascii="Calibri" w:hAnsi="Calibri" w:cs="Calibri"/>
        </w:rPr>
        <w:t xml:space="preserve">% </w:t>
      </w:r>
      <w:r>
        <w:rPr>
          <w:rFonts w:ascii="Calibri" w:hAnsi="Calibri" w:cs="Calibri"/>
        </w:rPr>
        <w:t xml:space="preserve">has been set, </w:t>
      </w:r>
      <w:bookmarkStart w:id="11" w:name="_Hlk40443411"/>
      <w:r>
        <w:rPr>
          <w:rFonts w:ascii="Calibri" w:hAnsi="Calibri" w:cs="Calibri"/>
        </w:rPr>
        <w:t xml:space="preserve">any </w:t>
      </w:r>
      <w:r w:rsidR="00E738C3">
        <w:rPr>
          <w:rFonts w:ascii="Calibri" w:hAnsi="Calibri" w:cs="Calibri"/>
        </w:rPr>
        <w:t>Tender</w:t>
      </w:r>
      <w:r>
        <w:rPr>
          <w:rFonts w:ascii="Calibri" w:hAnsi="Calibri" w:cs="Calibri"/>
        </w:rPr>
        <w:t xml:space="preserve"> that fail</w:t>
      </w:r>
      <w:r w:rsidR="00D03A4D">
        <w:rPr>
          <w:rFonts w:ascii="Calibri" w:hAnsi="Calibri" w:cs="Calibri"/>
        </w:rPr>
        <w:t>s</w:t>
      </w:r>
      <w:r>
        <w:rPr>
          <w:rFonts w:ascii="Calibri" w:hAnsi="Calibri" w:cs="Calibri"/>
        </w:rPr>
        <w:t xml:space="preserve"> to meet the threshold shall be eliminated from the procurement process. </w:t>
      </w:r>
      <w:bookmarkEnd w:id="11"/>
      <w:r w:rsidR="007F6AA5" w:rsidRPr="00AF0573">
        <w:rPr>
          <w:rFonts w:ascii="Calibri" w:hAnsi="Calibri" w:cs="Calibri"/>
        </w:rPr>
        <w:t>Note that failure to achieve 50% of the available points for any one quality criterion may bar a tender from further consideration</w:t>
      </w:r>
      <w:r w:rsidR="007F6AA5">
        <w:rPr>
          <w:rFonts w:ascii="Calibri" w:hAnsi="Calibri" w:cs="Calibri"/>
        </w:rPr>
        <w:t>.</w:t>
      </w:r>
    </w:p>
    <w:p w14:paraId="53881480" w14:textId="0FC1E93F" w:rsidR="007F6AA5" w:rsidRPr="007F6AA5" w:rsidRDefault="007F6AA5" w:rsidP="007E4BF6">
      <w:pPr>
        <w:pStyle w:val="ListParagraph"/>
        <w:numPr>
          <w:ilvl w:val="1"/>
          <w:numId w:val="31"/>
        </w:numPr>
        <w:spacing w:before="0" w:after="240"/>
        <w:ind w:left="993" w:hanging="709"/>
        <w:contextualSpacing w:val="0"/>
        <w:rPr>
          <w:rFonts w:ascii="Calibri" w:hAnsi="Calibri" w:cs="Calibri"/>
          <w:color w:val="FF0000"/>
        </w:rPr>
      </w:pPr>
      <w:r w:rsidRPr="007F6AA5">
        <w:rPr>
          <w:rFonts w:ascii="Calibri" w:hAnsi="Calibri" w:cs="Calibri"/>
        </w:rPr>
        <w:t xml:space="preserve">The quality criteria are weighted as illustrated in the table below. </w:t>
      </w:r>
    </w:p>
    <w:tbl>
      <w:tblPr>
        <w:tblStyle w:val="TableGrid"/>
        <w:tblW w:w="9776" w:type="dxa"/>
        <w:tblLayout w:type="fixed"/>
        <w:tblLook w:val="04A0" w:firstRow="1" w:lastRow="0" w:firstColumn="1" w:lastColumn="0" w:noHBand="0" w:noVBand="1"/>
      </w:tblPr>
      <w:tblGrid>
        <w:gridCol w:w="562"/>
        <w:gridCol w:w="7655"/>
        <w:gridCol w:w="1559"/>
      </w:tblGrid>
      <w:tr w:rsidR="007F6AA5" w:rsidRPr="000F6785" w14:paraId="48813A45" w14:textId="77777777" w:rsidTr="007F6AA5">
        <w:trPr>
          <w:trHeight w:val="70"/>
        </w:trPr>
        <w:tc>
          <w:tcPr>
            <w:tcW w:w="562" w:type="dxa"/>
            <w:shd w:val="clear" w:color="auto" w:fill="C2D69B" w:themeFill="accent3" w:themeFillTint="99"/>
            <w:hideMark/>
          </w:tcPr>
          <w:p w14:paraId="26876332" w14:textId="77777777" w:rsidR="007F6AA5" w:rsidRPr="000F6785" w:rsidRDefault="007F6AA5" w:rsidP="003C1DAF">
            <w:pPr>
              <w:ind w:right="30"/>
              <w:rPr>
                <w:b/>
                <w:bCs/>
              </w:rPr>
            </w:pPr>
            <w:r>
              <w:rPr>
                <w:b/>
                <w:bCs/>
              </w:rPr>
              <w:t>No</w:t>
            </w:r>
          </w:p>
        </w:tc>
        <w:tc>
          <w:tcPr>
            <w:tcW w:w="7655" w:type="dxa"/>
            <w:shd w:val="clear" w:color="auto" w:fill="C2D69B" w:themeFill="accent3" w:themeFillTint="99"/>
            <w:hideMark/>
          </w:tcPr>
          <w:p w14:paraId="32F52FD6" w14:textId="41CAD12C" w:rsidR="007F6AA5" w:rsidRPr="000F6785" w:rsidRDefault="007F6AA5" w:rsidP="003C1DAF">
            <w:pPr>
              <w:ind w:right="624"/>
              <w:rPr>
                <w:b/>
                <w:bCs/>
              </w:rPr>
            </w:pPr>
            <w:r w:rsidRPr="000F6785">
              <w:rPr>
                <w:b/>
                <w:bCs/>
              </w:rPr>
              <w:t>Q</w:t>
            </w:r>
            <w:r>
              <w:rPr>
                <w:b/>
                <w:bCs/>
              </w:rPr>
              <w:t xml:space="preserve">uestion </w:t>
            </w:r>
          </w:p>
        </w:tc>
        <w:tc>
          <w:tcPr>
            <w:tcW w:w="1559" w:type="dxa"/>
            <w:shd w:val="clear" w:color="auto" w:fill="C2D69B" w:themeFill="accent3" w:themeFillTint="99"/>
            <w:hideMark/>
          </w:tcPr>
          <w:p w14:paraId="38163F25" w14:textId="005E50C2" w:rsidR="007F6AA5" w:rsidRPr="000F6785" w:rsidRDefault="007F6AA5" w:rsidP="003C1DAF">
            <w:pPr>
              <w:rPr>
                <w:b/>
                <w:bCs/>
              </w:rPr>
            </w:pPr>
            <w:r>
              <w:rPr>
                <w:b/>
                <w:bCs/>
              </w:rPr>
              <w:t>Weighting</w:t>
            </w:r>
          </w:p>
        </w:tc>
      </w:tr>
      <w:tr w:rsidR="007F6AA5" w:rsidRPr="000F6785" w14:paraId="24C8B2C9" w14:textId="77777777" w:rsidTr="007F6AA5">
        <w:trPr>
          <w:trHeight w:val="135"/>
        </w:trPr>
        <w:tc>
          <w:tcPr>
            <w:tcW w:w="562" w:type="dxa"/>
            <w:noWrap/>
            <w:hideMark/>
          </w:tcPr>
          <w:p w14:paraId="20A55304" w14:textId="77777777" w:rsidR="007F6AA5" w:rsidRPr="000F6785" w:rsidRDefault="007F6AA5" w:rsidP="003C1DAF">
            <w:pPr>
              <w:ind w:right="288"/>
            </w:pPr>
            <w:r w:rsidRPr="000F6785">
              <w:t>1</w:t>
            </w:r>
          </w:p>
        </w:tc>
        <w:tc>
          <w:tcPr>
            <w:tcW w:w="7655" w:type="dxa"/>
          </w:tcPr>
          <w:p w14:paraId="0A364B87" w14:textId="6BB3B0BF" w:rsidR="007F6AA5" w:rsidRPr="00BF7ADA" w:rsidRDefault="00BF7ADA" w:rsidP="003C1DAF">
            <w:pPr>
              <w:ind w:right="5"/>
            </w:pPr>
            <w:r>
              <w:t>Approach</w:t>
            </w:r>
          </w:p>
        </w:tc>
        <w:tc>
          <w:tcPr>
            <w:tcW w:w="1559" w:type="dxa"/>
            <w:noWrap/>
            <w:hideMark/>
          </w:tcPr>
          <w:p w14:paraId="674031F0" w14:textId="1F9EAFE5" w:rsidR="007F6AA5" w:rsidRPr="00BF7ADA" w:rsidRDefault="007F6AA5" w:rsidP="003C1DAF">
            <w:pPr>
              <w:ind w:right="165"/>
            </w:pPr>
            <w:r w:rsidRPr="00BF7ADA">
              <w:t>.</w:t>
            </w:r>
            <w:r w:rsidR="00BF7ADA" w:rsidRPr="00BF7ADA">
              <w:t>25%</w:t>
            </w:r>
          </w:p>
        </w:tc>
      </w:tr>
      <w:tr w:rsidR="00BF7ADA" w:rsidRPr="000F6785" w14:paraId="458BCA92" w14:textId="77777777" w:rsidTr="007F6AA5">
        <w:trPr>
          <w:trHeight w:val="285"/>
        </w:trPr>
        <w:tc>
          <w:tcPr>
            <w:tcW w:w="562" w:type="dxa"/>
            <w:noWrap/>
            <w:hideMark/>
          </w:tcPr>
          <w:p w14:paraId="427F8064" w14:textId="77777777" w:rsidR="00BF7ADA" w:rsidRPr="000F6785" w:rsidRDefault="00BF7ADA" w:rsidP="00BF7ADA">
            <w:pPr>
              <w:ind w:right="288"/>
            </w:pPr>
            <w:r w:rsidRPr="000F6785">
              <w:t>2</w:t>
            </w:r>
          </w:p>
        </w:tc>
        <w:tc>
          <w:tcPr>
            <w:tcW w:w="7655" w:type="dxa"/>
          </w:tcPr>
          <w:p w14:paraId="306D5F16" w14:textId="5D88AC78" w:rsidR="00BF7ADA" w:rsidRPr="00BF7ADA" w:rsidRDefault="00BF7ADA" w:rsidP="00BF7ADA">
            <w:pPr>
              <w:ind w:right="5"/>
            </w:pPr>
            <w:r>
              <w:t>Schedule</w:t>
            </w:r>
          </w:p>
        </w:tc>
        <w:tc>
          <w:tcPr>
            <w:tcW w:w="1559" w:type="dxa"/>
            <w:noWrap/>
            <w:hideMark/>
          </w:tcPr>
          <w:p w14:paraId="781B2C9F" w14:textId="211DCC4A" w:rsidR="00BF7ADA" w:rsidRPr="00BF7ADA" w:rsidRDefault="00BF7ADA" w:rsidP="00BF7ADA">
            <w:pPr>
              <w:ind w:right="165"/>
            </w:pPr>
            <w:r w:rsidRPr="00BF7ADA">
              <w:t>.25%</w:t>
            </w:r>
          </w:p>
        </w:tc>
      </w:tr>
      <w:tr w:rsidR="00BF7ADA" w:rsidRPr="000F6785" w14:paraId="2744E6C8" w14:textId="77777777" w:rsidTr="007F6AA5">
        <w:trPr>
          <w:trHeight w:val="285"/>
        </w:trPr>
        <w:tc>
          <w:tcPr>
            <w:tcW w:w="562" w:type="dxa"/>
            <w:noWrap/>
            <w:hideMark/>
          </w:tcPr>
          <w:p w14:paraId="1EE711CB" w14:textId="77777777" w:rsidR="00BF7ADA" w:rsidRPr="000F6785" w:rsidRDefault="00BF7ADA" w:rsidP="00BF7ADA">
            <w:pPr>
              <w:ind w:right="288"/>
            </w:pPr>
            <w:r w:rsidRPr="000F6785">
              <w:t>3</w:t>
            </w:r>
          </w:p>
        </w:tc>
        <w:tc>
          <w:tcPr>
            <w:tcW w:w="7655" w:type="dxa"/>
          </w:tcPr>
          <w:p w14:paraId="21A2488D" w14:textId="5B575085" w:rsidR="00BF7ADA" w:rsidRPr="00BF7ADA" w:rsidRDefault="00BF7ADA" w:rsidP="00BF7ADA">
            <w:pPr>
              <w:ind w:right="5"/>
            </w:pPr>
            <w:r w:rsidRPr="00BF7ADA">
              <w:t>Data</w:t>
            </w:r>
          </w:p>
        </w:tc>
        <w:tc>
          <w:tcPr>
            <w:tcW w:w="1559" w:type="dxa"/>
            <w:noWrap/>
            <w:hideMark/>
          </w:tcPr>
          <w:p w14:paraId="709535FC" w14:textId="32318143" w:rsidR="00BF7ADA" w:rsidRPr="00BF7ADA" w:rsidRDefault="00BF7ADA" w:rsidP="00BF7ADA">
            <w:pPr>
              <w:ind w:right="165"/>
            </w:pPr>
            <w:r w:rsidRPr="00BF7ADA">
              <w:t>.25%</w:t>
            </w:r>
          </w:p>
        </w:tc>
      </w:tr>
      <w:tr w:rsidR="00BF7ADA" w:rsidRPr="000F6785" w14:paraId="4916A78C" w14:textId="77777777" w:rsidTr="007F6AA5">
        <w:trPr>
          <w:trHeight w:val="285"/>
        </w:trPr>
        <w:tc>
          <w:tcPr>
            <w:tcW w:w="562" w:type="dxa"/>
            <w:noWrap/>
            <w:hideMark/>
          </w:tcPr>
          <w:p w14:paraId="19563F3B" w14:textId="77777777" w:rsidR="00BF7ADA" w:rsidRPr="000F6785" w:rsidRDefault="00BF7ADA" w:rsidP="00BF7ADA">
            <w:pPr>
              <w:ind w:right="288"/>
            </w:pPr>
            <w:r w:rsidRPr="000F6785">
              <w:t>4</w:t>
            </w:r>
          </w:p>
        </w:tc>
        <w:tc>
          <w:tcPr>
            <w:tcW w:w="7655" w:type="dxa"/>
          </w:tcPr>
          <w:p w14:paraId="1CC4733B" w14:textId="659F3DAF" w:rsidR="00BF7ADA" w:rsidRPr="00BF7ADA" w:rsidRDefault="00BF7ADA" w:rsidP="00BF7ADA">
            <w:pPr>
              <w:ind w:right="5"/>
            </w:pPr>
            <w:r w:rsidRPr="00BF7ADA">
              <w:t>Customer Service</w:t>
            </w:r>
          </w:p>
        </w:tc>
        <w:tc>
          <w:tcPr>
            <w:tcW w:w="1559" w:type="dxa"/>
            <w:noWrap/>
            <w:hideMark/>
          </w:tcPr>
          <w:p w14:paraId="14923C0E" w14:textId="0BC819DA" w:rsidR="00BF7ADA" w:rsidRPr="00BF7ADA" w:rsidRDefault="00BF7ADA" w:rsidP="00BF7ADA">
            <w:pPr>
              <w:ind w:right="165"/>
            </w:pPr>
            <w:r w:rsidRPr="00BF7ADA">
              <w:t>.25%</w:t>
            </w:r>
          </w:p>
        </w:tc>
      </w:tr>
    </w:tbl>
    <w:p w14:paraId="05268420" w14:textId="77777777" w:rsidR="007F6AA5" w:rsidRDefault="007F6AA5" w:rsidP="007F6AA5">
      <w:pPr>
        <w:pStyle w:val="ListParagraph"/>
        <w:numPr>
          <w:ilvl w:val="1"/>
          <w:numId w:val="31"/>
        </w:numPr>
        <w:spacing w:after="240"/>
        <w:ind w:left="993" w:hanging="709"/>
        <w:contextualSpacing w:val="0"/>
        <w:rPr>
          <w:rFonts w:ascii="Calibri" w:hAnsi="Calibri" w:cs="Calibri"/>
        </w:rPr>
      </w:pPr>
      <w:r w:rsidRPr="0017527C">
        <w:rPr>
          <w:rFonts w:ascii="Calibri" w:hAnsi="Calibri" w:cs="Calibri"/>
        </w:rPr>
        <w:t xml:space="preserve">Any </w:t>
      </w:r>
      <w:r>
        <w:rPr>
          <w:rFonts w:ascii="Calibri" w:hAnsi="Calibri" w:cs="Calibri"/>
        </w:rPr>
        <w:t>Tender</w:t>
      </w:r>
      <w:r w:rsidRPr="0017527C">
        <w:rPr>
          <w:rFonts w:ascii="Calibri" w:hAnsi="Calibri" w:cs="Calibri"/>
        </w:rPr>
        <w:t xml:space="preserve"> that fails to meet the individual quality thresholds shall be eliminated from the procurement process and not evaluated further.</w:t>
      </w:r>
    </w:p>
    <w:p w14:paraId="6DD7A467" w14:textId="31A76012" w:rsidR="0063304B" w:rsidRDefault="007F6AA5" w:rsidP="007F6AA5">
      <w:pPr>
        <w:pStyle w:val="ListParagraph"/>
        <w:numPr>
          <w:ilvl w:val="1"/>
          <w:numId w:val="31"/>
        </w:numPr>
        <w:spacing w:after="240"/>
        <w:ind w:left="993" w:hanging="709"/>
        <w:contextualSpacing w:val="0"/>
        <w:rPr>
          <w:rFonts w:ascii="Calibri" w:hAnsi="Calibri" w:cs="Calibri"/>
        </w:rPr>
      </w:pPr>
      <w:r>
        <w:rPr>
          <w:rFonts w:ascii="Calibri" w:hAnsi="Calibri" w:cs="Calibri"/>
        </w:rPr>
        <w:t xml:space="preserve">Scores for quality will be allocated by the evaluation team using the model illustrated below. </w:t>
      </w:r>
      <w:r w:rsidR="002B28EB" w:rsidRPr="0017527C">
        <w:rPr>
          <w:rFonts w:ascii="Calibri" w:hAnsi="Calibri" w:cs="Calibri"/>
        </w:rPr>
        <w:t xml:space="preserve">Any </w:t>
      </w:r>
      <w:r w:rsidR="00E738C3">
        <w:rPr>
          <w:rFonts w:ascii="Calibri" w:hAnsi="Calibri" w:cs="Calibri"/>
        </w:rPr>
        <w:t>Tender</w:t>
      </w:r>
      <w:r w:rsidR="002B28EB" w:rsidRPr="0017527C">
        <w:rPr>
          <w:rFonts w:ascii="Calibri" w:hAnsi="Calibri" w:cs="Calibri"/>
        </w:rPr>
        <w:t xml:space="preserve"> that fails to meet the individual quality thresholds shall be eliminated from the procurement process and not evaluated further.</w:t>
      </w:r>
    </w:p>
    <w:p w14:paraId="04CAF89C" w14:textId="73BCFC95" w:rsidR="004B530C" w:rsidRDefault="00995794" w:rsidP="00521BD8">
      <w:pPr>
        <w:pStyle w:val="ListParagraph"/>
        <w:numPr>
          <w:ilvl w:val="1"/>
          <w:numId w:val="31"/>
        </w:numPr>
        <w:spacing w:before="0" w:after="240"/>
        <w:ind w:left="993" w:hanging="709"/>
        <w:contextualSpacing w:val="0"/>
        <w:rPr>
          <w:rFonts w:ascii="Calibri" w:hAnsi="Calibri" w:cs="Calibri"/>
        </w:rPr>
      </w:pPr>
      <w:r w:rsidRPr="00E66385">
        <w:rPr>
          <w:rFonts w:ascii="Calibri" w:hAnsi="Calibri" w:cs="Calibri"/>
        </w:rPr>
        <w:t xml:space="preserve">Scores for quality will be allocated by the evaluation team using the model illustrated below. </w:t>
      </w:r>
    </w:p>
    <w:p w14:paraId="3432DE62" w14:textId="77777777" w:rsidR="00E66385" w:rsidRPr="00E66385" w:rsidRDefault="00E66385" w:rsidP="00E66385">
      <w:pPr>
        <w:pStyle w:val="ListParagraph"/>
        <w:spacing w:before="0" w:after="240"/>
        <w:ind w:left="993"/>
        <w:contextualSpacing w:val="0"/>
        <w:rPr>
          <w:rFonts w:ascii="Calibri" w:hAnsi="Calibri" w:cs="Calibri"/>
        </w:rPr>
      </w:pPr>
    </w:p>
    <w:tbl>
      <w:tblPr>
        <w:tblW w:w="9724" w:type="dxa"/>
        <w:tblInd w:w="274" w:type="dxa"/>
        <w:tblCellMar>
          <w:left w:w="0" w:type="dxa"/>
          <w:right w:w="0" w:type="dxa"/>
        </w:tblCellMar>
        <w:tblLook w:val="04A0" w:firstRow="1" w:lastRow="0" w:firstColumn="1" w:lastColumn="0" w:noHBand="0" w:noVBand="1"/>
      </w:tblPr>
      <w:tblGrid>
        <w:gridCol w:w="838"/>
        <w:gridCol w:w="1333"/>
        <w:gridCol w:w="7553"/>
      </w:tblGrid>
      <w:tr w:rsidR="00521BD8" w:rsidRPr="00462C63" w14:paraId="15915115" w14:textId="77777777" w:rsidTr="00462C63">
        <w:tc>
          <w:tcPr>
            <w:tcW w:w="838" w:type="dxa"/>
            <w:tcBorders>
              <w:top w:val="single" w:sz="8" w:space="0" w:color="auto"/>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hideMark/>
          </w:tcPr>
          <w:p w14:paraId="79B02F71" w14:textId="77777777" w:rsidR="00521BD8" w:rsidRPr="00462C63" w:rsidRDefault="00521BD8" w:rsidP="00CC60E3">
            <w:pPr>
              <w:jc w:val="center"/>
              <w:rPr>
                <w:rFonts w:asciiTheme="minorHAnsi" w:hAnsiTheme="minorHAnsi" w:cstheme="minorHAnsi"/>
                <w:b/>
                <w:bCs/>
                <w:sz w:val="20"/>
                <w:szCs w:val="20"/>
                <w:lang w:eastAsia="en-GB"/>
              </w:rPr>
            </w:pPr>
            <w:bookmarkStart w:id="12" w:name="_Toc531175132"/>
            <w:r w:rsidRPr="00462C63">
              <w:rPr>
                <w:rFonts w:asciiTheme="minorHAnsi" w:hAnsiTheme="minorHAnsi" w:cstheme="minorHAnsi"/>
                <w:b/>
                <w:bCs/>
              </w:rPr>
              <w:t xml:space="preserve">Score </w:t>
            </w:r>
          </w:p>
        </w:tc>
        <w:tc>
          <w:tcPr>
            <w:tcW w:w="1333" w:type="dxa"/>
            <w:tcBorders>
              <w:top w:val="single" w:sz="8" w:space="0" w:color="auto"/>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hideMark/>
          </w:tcPr>
          <w:p w14:paraId="7718F9C8" w14:textId="77777777" w:rsidR="00521BD8" w:rsidRPr="00462C63" w:rsidRDefault="00521BD8" w:rsidP="00CC60E3">
            <w:pPr>
              <w:rPr>
                <w:rFonts w:asciiTheme="minorHAnsi" w:hAnsiTheme="minorHAnsi" w:cstheme="minorHAnsi"/>
                <w:b/>
                <w:bCs/>
                <w:sz w:val="20"/>
                <w:szCs w:val="20"/>
                <w:lang w:eastAsia="en-GB"/>
              </w:rPr>
            </w:pPr>
            <w:r w:rsidRPr="00462C63">
              <w:rPr>
                <w:rFonts w:asciiTheme="minorHAnsi" w:hAnsiTheme="minorHAnsi" w:cstheme="minorHAnsi"/>
                <w:b/>
                <w:bCs/>
              </w:rPr>
              <w:t>Score Standards</w:t>
            </w:r>
          </w:p>
        </w:tc>
        <w:tc>
          <w:tcPr>
            <w:tcW w:w="7553" w:type="dxa"/>
            <w:tcBorders>
              <w:top w:val="single" w:sz="8" w:space="0" w:color="auto"/>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hideMark/>
          </w:tcPr>
          <w:p w14:paraId="1433780D" w14:textId="77777777" w:rsidR="00521BD8" w:rsidRPr="00462C63" w:rsidRDefault="00521BD8" w:rsidP="00CC60E3">
            <w:pPr>
              <w:rPr>
                <w:rFonts w:asciiTheme="minorHAnsi" w:hAnsiTheme="minorHAnsi" w:cstheme="minorHAnsi"/>
                <w:b/>
                <w:bCs/>
                <w:sz w:val="20"/>
                <w:szCs w:val="20"/>
                <w:lang w:eastAsia="en-GB"/>
              </w:rPr>
            </w:pPr>
            <w:r w:rsidRPr="00462C63">
              <w:rPr>
                <w:rFonts w:asciiTheme="minorHAnsi" w:hAnsiTheme="minorHAnsi" w:cstheme="minorHAnsi"/>
                <w:b/>
                <w:bCs/>
              </w:rPr>
              <w:t>Assessment</w:t>
            </w:r>
          </w:p>
        </w:tc>
      </w:tr>
      <w:tr w:rsidR="00521BD8" w:rsidRPr="00462C63" w14:paraId="004932D0" w14:textId="77777777" w:rsidTr="00462C63">
        <w:trPr>
          <w:trHeight w:val="800"/>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5B9D" w14:textId="77777777" w:rsidR="00521BD8" w:rsidRPr="00462C63" w:rsidRDefault="00521BD8" w:rsidP="00CC60E3">
            <w:pPr>
              <w:jc w:val="center"/>
              <w:rPr>
                <w:rFonts w:asciiTheme="minorHAnsi" w:hAnsiTheme="minorHAnsi" w:cstheme="minorHAnsi"/>
                <w:sz w:val="20"/>
                <w:szCs w:val="20"/>
                <w:lang w:eastAsia="en-GB"/>
              </w:rPr>
            </w:pPr>
            <w:r w:rsidRPr="00462C63">
              <w:rPr>
                <w:rFonts w:asciiTheme="minorHAnsi" w:hAnsiTheme="minorHAnsi" w:cstheme="minorHAnsi"/>
                <w:sz w:val="20"/>
                <w:szCs w:val="20"/>
                <w:lang w:eastAsia="en-GB"/>
              </w:rPr>
              <w:t>5</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7427465C" w14:textId="77777777" w:rsidR="00521BD8" w:rsidRPr="00462C63" w:rsidRDefault="00521BD8" w:rsidP="00CC60E3">
            <w:pPr>
              <w:rPr>
                <w:rFonts w:asciiTheme="minorHAnsi" w:hAnsiTheme="minorHAnsi" w:cstheme="minorHAnsi"/>
                <w:sz w:val="20"/>
                <w:szCs w:val="20"/>
                <w:lang w:eastAsia="en-GB"/>
              </w:rPr>
            </w:pPr>
            <w:r w:rsidRPr="00462C63">
              <w:rPr>
                <w:rFonts w:asciiTheme="minorHAnsi" w:hAnsiTheme="minorHAnsi" w:cstheme="minorHAnsi"/>
                <w:sz w:val="20"/>
                <w:szCs w:val="20"/>
                <w:lang w:eastAsia="en-GB"/>
              </w:rPr>
              <w:t>Excellent</w:t>
            </w:r>
          </w:p>
          <w:p w14:paraId="21C33DB3" w14:textId="77777777" w:rsidR="00521BD8" w:rsidRPr="00462C63" w:rsidRDefault="00521BD8" w:rsidP="00CC60E3">
            <w:pPr>
              <w:rPr>
                <w:rFonts w:asciiTheme="minorHAnsi" w:hAnsiTheme="minorHAnsi" w:cstheme="minorHAnsi"/>
                <w:sz w:val="20"/>
                <w:szCs w:val="20"/>
                <w:lang w:eastAsia="en-GB"/>
              </w:rPr>
            </w:pPr>
          </w:p>
        </w:tc>
        <w:tc>
          <w:tcPr>
            <w:tcW w:w="7553" w:type="dxa"/>
            <w:tcBorders>
              <w:top w:val="nil"/>
              <w:left w:val="nil"/>
              <w:bottom w:val="single" w:sz="8" w:space="0" w:color="auto"/>
              <w:right w:val="single" w:sz="8" w:space="0" w:color="auto"/>
            </w:tcBorders>
            <w:tcMar>
              <w:top w:w="0" w:type="dxa"/>
              <w:left w:w="108" w:type="dxa"/>
              <w:bottom w:w="0" w:type="dxa"/>
              <w:right w:w="108" w:type="dxa"/>
            </w:tcMar>
            <w:hideMark/>
          </w:tcPr>
          <w:p w14:paraId="5A22B366" w14:textId="333273EC" w:rsidR="00521BD8" w:rsidRPr="00462C63" w:rsidRDefault="00521BD8" w:rsidP="00CC60E3">
            <w:pPr>
              <w:jc w:val="both"/>
              <w:rPr>
                <w:rFonts w:asciiTheme="minorHAnsi" w:hAnsiTheme="minorHAnsi" w:cstheme="minorHAnsi"/>
                <w:sz w:val="20"/>
                <w:szCs w:val="20"/>
                <w:lang w:eastAsia="en-GB"/>
              </w:rPr>
            </w:pPr>
            <w:r w:rsidRPr="00462C63">
              <w:rPr>
                <w:rFonts w:asciiTheme="minorHAnsi" w:hAnsiTheme="minorHAnsi" w:cstheme="minorHAnsi"/>
                <w:sz w:val="20"/>
                <w:szCs w:val="20"/>
                <w:lang w:eastAsia="en-GB"/>
              </w:rPr>
              <w:t xml:space="preserve">Exceptional demonstration of the relevant ability, understanding, experience, </w:t>
            </w:r>
            <w:r w:rsidR="002976E3" w:rsidRPr="00462C63">
              <w:rPr>
                <w:rFonts w:asciiTheme="minorHAnsi" w:hAnsiTheme="minorHAnsi" w:cstheme="minorHAnsi"/>
                <w:sz w:val="20"/>
                <w:szCs w:val="20"/>
                <w:lang w:eastAsia="en-GB"/>
              </w:rPr>
              <w:t>skills,</w:t>
            </w:r>
            <w:r w:rsidRPr="00462C63">
              <w:rPr>
                <w:rFonts w:asciiTheme="minorHAnsi" w:hAnsiTheme="minorHAnsi" w:cstheme="minorHAnsi"/>
                <w:sz w:val="20"/>
                <w:szCs w:val="20"/>
                <w:lang w:eastAsia="en-GB"/>
              </w:rPr>
              <w:t xml:space="preserve"> and resource and/or quality measures required to meet the requirements of the contract. Full evidence provided where required supporting the response.</w:t>
            </w:r>
          </w:p>
        </w:tc>
      </w:tr>
      <w:tr w:rsidR="00521BD8" w:rsidRPr="00462C63" w14:paraId="3B48D46E" w14:textId="77777777" w:rsidTr="00462C63">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F187A" w14:textId="77777777" w:rsidR="00521BD8" w:rsidRPr="00462C63" w:rsidRDefault="00521BD8" w:rsidP="00CC60E3">
            <w:pPr>
              <w:jc w:val="center"/>
              <w:rPr>
                <w:rFonts w:asciiTheme="minorHAnsi" w:hAnsiTheme="minorHAnsi" w:cstheme="minorHAnsi"/>
                <w:sz w:val="20"/>
                <w:szCs w:val="20"/>
                <w:lang w:eastAsia="en-GB"/>
              </w:rPr>
            </w:pPr>
            <w:r w:rsidRPr="00462C63">
              <w:rPr>
                <w:rFonts w:asciiTheme="minorHAnsi" w:hAnsiTheme="minorHAnsi" w:cstheme="minorHAnsi"/>
                <w:sz w:val="20"/>
                <w:szCs w:val="20"/>
                <w:lang w:eastAsia="en-GB"/>
              </w:rPr>
              <w:t>4</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10CABBAB" w14:textId="77777777" w:rsidR="00521BD8" w:rsidRPr="00462C63" w:rsidRDefault="00521BD8" w:rsidP="00CC60E3">
            <w:pPr>
              <w:rPr>
                <w:rFonts w:asciiTheme="minorHAnsi" w:hAnsiTheme="minorHAnsi" w:cstheme="minorHAnsi"/>
                <w:sz w:val="20"/>
                <w:szCs w:val="20"/>
                <w:lang w:eastAsia="en-GB"/>
              </w:rPr>
            </w:pPr>
            <w:r w:rsidRPr="00462C63">
              <w:rPr>
                <w:rFonts w:asciiTheme="minorHAnsi" w:hAnsiTheme="minorHAnsi" w:cstheme="minorHAnsi"/>
                <w:sz w:val="20"/>
                <w:szCs w:val="20"/>
                <w:lang w:eastAsia="en-GB"/>
              </w:rPr>
              <w:t>Good</w:t>
            </w:r>
          </w:p>
          <w:p w14:paraId="4C8E4B92" w14:textId="77777777" w:rsidR="00521BD8" w:rsidRPr="00462C63" w:rsidRDefault="00521BD8" w:rsidP="00CC60E3">
            <w:pPr>
              <w:rPr>
                <w:rFonts w:asciiTheme="minorHAnsi" w:hAnsiTheme="minorHAnsi" w:cstheme="minorHAnsi"/>
                <w:sz w:val="20"/>
                <w:szCs w:val="20"/>
                <w:lang w:eastAsia="en-GB"/>
              </w:rPr>
            </w:pPr>
          </w:p>
        </w:tc>
        <w:tc>
          <w:tcPr>
            <w:tcW w:w="7553" w:type="dxa"/>
            <w:tcBorders>
              <w:top w:val="nil"/>
              <w:left w:val="nil"/>
              <w:bottom w:val="single" w:sz="8" w:space="0" w:color="auto"/>
              <w:right w:val="single" w:sz="8" w:space="0" w:color="auto"/>
            </w:tcBorders>
            <w:tcMar>
              <w:top w:w="0" w:type="dxa"/>
              <w:left w:w="108" w:type="dxa"/>
              <w:bottom w:w="0" w:type="dxa"/>
              <w:right w:w="108" w:type="dxa"/>
            </w:tcMar>
            <w:hideMark/>
          </w:tcPr>
          <w:p w14:paraId="09F5F1C5" w14:textId="77777777" w:rsidR="00521BD8" w:rsidRPr="00462C63" w:rsidRDefault="00521BD8" w:rsidP="00CC60E3">
            <w:pPr>
              <w:jc w:val="both"/>
              <w:rPr>
                <w:rFonts w:asciiTheme="minorHAnsi" w:hAnsiTheme="minorHAnsi" w:cstheme="minorHAnsi"/>
                <w:sz w:val="20"/>
                <w:szCs w:val="20"/>
                <w:lang w:eastAsia="en-GB"/>
              </w:rPr>
            </w:pPr>
            <w:r w:rsidRPr="00462C63">
              <w:rPr>
                <w:rFonts w:asciiTheme="minorHAnsi" w:hAnsiTheme="minorHAnsi" w:cstheme="minorHAnsi"/>
                <w:sz w:val="20"/>
                <w:szCs w:val="20"/>
                <w:lang w:eastAsia="en-GB"/>
              </w:rPr>
              <w:t>A good demonstration of the relevant ability, understanding, experience, skills, and resource and/or quality measures required to meet the requirements of the contract. A small number of omissions of minor importance are contained within the evidence that has been provided to support the response.</w:t>
            </w:r>
          </w:p>
        </w:tc>
      </w:tr>
      <w:tr w:rsidR="00521BD8" w:rsidRPr="00462C63" w14:paraId="529DF91D" w14:textId="77777777" w:rsidTr="00462C63">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A4CD6" w14:textId="77777777" w:rsidR="00521BD8" w:rsidRPr="00462C63" w:rsidRDefault="00521BD8" w:rsidP="00CC60E3">
            <w:pPr>
              <w:jc w:val="center"/>
              <w:rPr>
                <w:rFonts w:asciiTheme="minorHAnsi" w:hAnsiTheme="minorHAnsi" w:cstheme="minorHAnsi"/>
                <w:sz w:val="20"/>
                <w:szCs w:val="20"/>
                <w:lang w:eastAsia="en-GB"/>
              </w:rPr>
            </w:pPr>
            <w:r w:rsidRPr="00462C63">
              <w:rPr>
                <w:rFonts w:asciiTheme="minorHAnsi" w:hAnsiTheme="minorHAnsi" w:cstheme="minorHAnsi"/>
                <w:sz w:val="20"/>
                <w:szCs w:val="20"/>
                <w:lang w:eastAsia="en-GB"/>
              </w:rPr>
              <w:t>3</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4A329585" w14:textId="77777777" w:rsidR="00521BD8" w:rsidRPr="00462C63" w:rsidRDefault="00521BD8" w:rsidP="00CC60E3">
            <w:pPr>
              <w:rPr>
                <w:rFonts w:asciiTheme="minorHAnsi" w:hAnsiTheme="minorHAnsi" w:cstheme="minorHAnsi"/>
                <w:sz w:val="20"/>
                <w:szCs w:val="20"/>
                <w:lang w:eastAsia="en-GB"/>
              </w:rPr>
            </w:pPr>
            <w:r w:rsidRPr="00462C63">
              <w:rPr>
                <w:rFonts w:asciiTheme="minorHAnsi" w:hAnsiTheme="minorHAnsi" w:cstheme="minorHAnsi"/>
                <w:sz w:val="20"/>
                <w:szCs w:val="20"/>
                <w:lang w:eastAsia="en-GB"/>
              </w:rPr>
              <w:t>Acceptable</w:t>
            </w:r>
          </w:p>
          <w:p w14:paraId="119ED8D3" w14:textId="77777777" w:rsidR="00521BD8" w:rsidRPr="00462C63" w:rsidRDefault="00521BD8" w:rsidP="00CC60E3">
            <w:pPr>
              <w:rPr>
                <w:rFonts w:asciiTheme="minorHAnsi" w:hAnsiTheme="minorHAnsi" w:cstheme="minorHAnsi"/>
                <w:sz w:val="20"/>
                <w:szCs w:val="20"/>
                <w:lang w:eastAsia="en-GB"/>
              </w:rPr>
            </w:pPr>
          </w:p>
        </w:tc>
        <w:tc>
          <w:tcPr>
            <w:tcW w:w="7553" w:type="dxa"/>
            <w:tcBorders>
              <w:top w:val="nil"/>
              <w:left w:val="nil"/>
              <w:bottom w:val="single" w:sz="8" w:space="0" w:color="auto"/>
              <w:right w:val="single" w:sz="8" w:space="0" w:color="auto"/>
            </w:tcBorders>
            <w:tcMar>
              <w:top w:w="0" w:type="dxa"/>
              <w:left w:w="108" w:type="dxa"/>
              <w:bottom w:w="0" w:type="dxa"/>
              <w:right w:w="108" w:type="dxa"/>
            </w:tcMar>
            <w:hideMark/>
          </w:tcPr>
          <w:p w14:paraId="15F0D166" w14:textId="77777777" w:rsidR="00521BD8" w:rsidRPr="00462C63" w:rsidRDefault="00521BD8" w:rsidP="00CC60E3">
            <w:pPr>
              <w:jc w:val="both"/>
              <w:rPr>
                <w:rFonts w:asciiTheme="minorHAnsi" w:hAnsiTheme="minorHAnsi" w:cstheme="minorHAnsi"/>
                <w:sz w:val="20"/>
                <w:szCs w:val="20"/>
                <w:lang w:eastAsia="en-GB"/>
              </w:rPr>
            </w:pPr>
            <w:r w:rsidRPr="00462C63">
              <w:rPr>
                <w:rFonts w:asciiTheme="minorHAnsi" w:hAnsiTheme="minorHAnsi" w:cstheme="minorHAnsi"/>
                <w:sz w:val="20"/>
                <w:szCs w:val="20"/>
              </w:rPr>
              <w:t>An adequate demonstration of the relevant ability, understanding, experience, skills, resource, and / or quality measures required to meet the requirements of the contract. The evidence that has been provided to support the response is lacking in detail and contains a number of omissions of minor importance.</w:t>
            </w:r>
          </w:p>
        </w:tc>
      </w:tr>
      <w:tr w:rsidR="00521BD8" w:rsidRPr="00462C63" w14:paraId="66936473" w14:textId="77777777" w:rsidTr="00462C63">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ABD2E" w14:textId="77777777" w:rsidR="00521BD8" w:rsidRPr="00462C63" w:rsidRDefault="00521BD8" w:rsidP="00CC60E3">
            <w:pPr>
              <w:jc w:val="center"/>
              <w:rPr>
                <w:rFonts w:asciiTheme="minorHAnsi" w:hAnsiTheme="minorHAnsi" w:cstheme="minorHAnsi"/>
                <w:sz w:val="20"/>
                <w:szCs w:val="20"/>
                <w:lang w:eastAsia="en-GB"/>
              </w:rPr>
            </w:pPr>
            <w:r w:rsidRPr="00462C63">
              <w:rPr>
                <w:rFonts w:asciiTheme="minorHAnsi" w:hAnsiTheme="minorHAnsi" w:cstheme="minorHAnsi"/>
                <w:sz w:val="20"/>
                <w:szCs w:val="20"/>
                <w:lang w:eastAsia="en-GB"/>
              </w:rPr>
              <w:t>2</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46E859EA" w14:textId="77777777" w:rsidR="00521BD8" w:rsidRPr="00462C63" w:rsidRDefault="00521BD8" w:rsidP="00CC60E3">
            <w:pPr>
              <w:rPr>
                <w:rFonts w:asciiTheme="minorHAnsi" w:hAnsiTheme="minorHAnsi" w:cstheme="minorHAnsi"/>
                <w:sz w:val="20"/>
                <w:szCs w:val="20"/>
                <w:lang w:eastAsia="en-GB"/>
              </w:rPr>
            </w:pPr>
            <w:r w:rsidRPr="00462C63">
              <w:rPr>
                <w:rFonts w:asciiTheme="minorHAnsi" w:hAnsiTheme="minorHAnsi" w:cstheme="minorHAnsi"/>
                <w:sz w:val="20"/>
                <w:szCs w:val="20"/>
                <w:lang w:eastAsia="en-GB"/>
              </w:rPr>
              <w:t>Poor</w:t>
            </w:r>
          </w:p>
          <w:p w14:paraId="5ACE356E" w14:textId="77777777" w:rsidR="00521BD8" w:rsidRPr="00462C63" w:rsidRDefault="00521BD8" w:rsidP="00CC60E3">
            <w:pPr>
              <w:rPr>
                <w:rFonts w:asciiTheme="minorHAnsi" w:hAnsiTheme="minorHAnsi" w:cstheme="minorHAnsi"/>
                <w:sz w:val="20"/>
                <w:szCs w:val="20"/>
                <w:lang w:eastAsia="en-GB"/>
              </w:rPr>
            </w:pPr>
          </w:p>
        </w:tc>
        <w:tc>
          <w:tcPr>
            <w:tcW w:w="7553" w:type="dxa"/>
            <w:tcBorders>
              <w:top w:val="nil"/>
              <w:left w:val="nil"/>
              <w:bottom w:val="single" w:sz="8" w:space="0" w:color="auto"/>
              <w:right w:val="single" w:sz="8" w:space="0" w:color="auto"/>
            </w:tcBorders>
            <w:tcMar>
              <w:top w:w="0" w:type="dxa"/>
              <w:left w:w="108" w:type="dxa"/>
              <w:bottom w:w="0" w:type="dxa"/>
              <w:right w:w="108" w:type="dxa"/>
            </w:tcMar>
            <w:hideMark/>
          </w:tcPr>
          <w:p w14:paraId="33E4AB7B" w14:textId="77777777" w:rsidR="00521BD8" w:rsidRPr="00462C63" w:rsidRDefault="00521BD8" w:rsidP="00CC60E3">
            <w:pPr>
              <w:pStyle w:val="ListParagraph"/>
              <w:autoSpaceDE w:val="0"/>
              <w:autoSpaceDN w:val="0"/>
              <w:ind w:left="0"/>
              <w:contextualSpacing w:val="0"/>
              <w:jc w:val="both"/>
              <w:rPr>
                <w:rFonts w:asciiTheme="minorHAnsi" w:hAnsiTheme="minorHAnsi" w:cstheme="minorHAnsi"/>
                <w:sz w:val="20"/>
                <w:szCs w:val="20"/>
                <w:lang w:eastAsia="en-GB"/>
              </w:rPr>
            </w:pPr>
            <w:r w:rsidRPr="00462C63">
              <w:rPr>
                <w:rFonts w:asciiTheme="minorHAnsi" w:hAnsiTheme="minorHAnsi" w:cstheme="minorHAnsi"/>
                <w:sz w:val="20"/>
                <w:szCs w:val="20"/>
              </w:rPr>
              <w:t>Some minor reservations of the relevant ability, understanding, experience, skills, resource, and / or quality measures required to meet the requirements of the contract. The evidence that has been provided to support the response is lacking detail in at least one key area.</w:t>
            </w:r>
          </w:p>
        </w:tc>
      </w:tr>
      <w:tr w:rsidR="00521BD8" w:rsidRPr="00462C63" w14:paraId="5E8C7CE5" w14:textId="77777777" w:rsidTr="00462C63">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76A7" w14:textId="77777777" w:rsidR="00521BD8" w:rsidRPr="00462C63" w:rsidRDefault="00521BD8" w:rsidP="00CC60E3">
            <w:pPr>
              <w:jc w:val="center"/>
              <w:rPr>
                <w:rFonts w:asciiTheme="minorHAnsi" w:hAnsiTheme="minorHAnsi" w:cstheme="minorHAnsi"/>
                <w:sz w:val="20"/>
                <w:szCs w:val="20"/>
                <w:lang w:eastAsia="en-GB"/>
              </w:rPr>
            </w:pPr>
            <w:r w:rsidRPr="00462C63">
              <w:rPr>
                <w:rFonts w:asciiTheme="minorHAnsi" w:hAnsiTheme="minorHAnsi" w:cstheme="minorHAnsi"/>
                <w:sz w:val="20"/>
                <w:szCs w:val="20"/>
                <w:lang w:eastAsia="en-GB"/>
              </w:rPr>
              <w:lastRenderedPageBreak/>
              <w:t>1</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64B1CD91" w14:textId="77777777" w:rsidR="00521BD8" w:rsidRPr="00462C63" w:rsidRDefault="00521BD8" w:rsidP="00CC60E3">
            <w:pPr>
              <w:rPr>
                <w:rFonts w:asciiTheme="minorHAnsi" w:hAnsiTheme="minorHAnsi" w:cstheme="minorHAnsi"/>
                <w:sz w:val="20"/>
                <w:szCs w:val="20"/>
                <w:lang w:eastAsia="en-GB"/>
              </w:rPr>
            </w:pPr>
            <w:r w:rsidRPr="00462C63">
              <w:rPr>
                <w:rFonts w:asciiTheme="minorHAnsi" w:hAnsiTheme="minorHAnsi" w:cstheme="minorHAnsi"/>
                <w:sz w:val="20"/>
                <w:szCs w:val="20"/>
                <w:lang w:eastAsia="en-GB"/>
              </w:rPr>
              <w:t>Very Poor</w:t>
            </w:r>
          </w:p>
          <w:p w14:paraId="142818E8" w14:textId="77777777" w:rsidR="00521BD8" w:rsidRPr="00462C63" w:rsidRDefault="00521BD8" w:rsidP="00CC60E3">
            <w:pPr>
              <w:rPr>
                <w:rFonts w:asciiTheme="minorHAnsi" w:hAnsiTheme="minorHAnsi" w:cstheme="minorHAnsi"/>
                <w:sz w:val="20"/>
                <w:szCs w:val="20"/>
                <w:lang w:eastAsia="en-GB"/>
              </w:rPr>
            </w:pPr>
          </w:p>
        </w:tc>
        <w:tc>
          <w:tcPr>
            <w:tcW w:w="7553" w:type="dxa"/>
            <w:tcBorders>
              <w:top w:val="nil"/>
              <w:left w:val="nil"/>
              <w:bottom w:val="single" w:sz="8" w:space="0" w:color="auto"/>
              <w:right w:val="single" w:sz="8" w:space="0" w:color="auto"/>
            </w:tcBorders>
            <w:tcMar>
              <w:top w:w="0" w:type="dxa"/>
              <w:left w:w="108" w:type="dxa"/>
              <w:bottom w:w="0" w:type="dxa"/>
              <w:right w:w="108" w:type="dxa"/>
            </w:tcMar>
            <w:hideMark/>
          </w:tcPr>
          <w:p w14:paraId="61503EF7" w14:textId="77777777" w:rsidR="00521BD8" w:rsidRPr="00462C63" w:rsidRDefault="00521BD8" w:rsidP="00CC60E3">
            <w:pPr>
              <w:jc w:val="both"/>
              <w:rPr>
                <w:rFonts w:asciiTheme="minorHAnsi" w:hAnsiTheme="minorHAnsi" w:cstheme="minorHAnsi"/>
                <w:sz w:val="20"/>
                <w:szCs w:val="20"/>
                <w:lang w:eastAsia="en-GB"/>
              </w:rPr>
            </w:pPr>
            <w:r w:rsidRPr="00462C63">
              <w:rPr>
                <w:rFonts w:asciiTheme="minorHAnsi" w:hAnsiTheme="minorHAnsi" w:cstheme="minorHAnsi"/>
                <w:sz w:val="20"/>
                <w:szCs w:val="20"/>
              </w:rPr>
              <w:t>Considerable reservations of the relevant ability, understanding, experience, skills, resource, and/or quality measures required to meet the requirements of the contract. The information that has been provided to support the response is lacking evidence in one or more key areas.</w:t>
            </w:r>
          </w:p>
        </w:tc>
      </w:tr>
      <w:tr w:rsidR="00521BD8" w:rsidRPr="00462C63" w14:paraId="789DB1C3" w14:textId="77777777" w:rsidTr="00462C63">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03E00" w14:textId="77777777" w:rsidR="00521BD8" w:rsidRPr="00462C63" w:rsidRDefault="00521BD8" w:rsidP="00CC60E3">
            <w:pPr>
              <w:jc w:val="center"/>
              <w:rPr>
                <w:rFonts w:asciiTheme="minorHAnsi" w:hAnsiTheme="minorHAnsi" w:cstheme="minorHAnsi"/>
                <w:sz w:val="20"/>
                <w:szCs w:val="20"/>
                <w:lang w:eastAsia="en-GB"/>
              </w:rPr>
            </w:pPr>
            <w:bookmarkStart w:id="13" w:name="_Toc388694735"/>
            <w:r w:rsidRPr="00462C63">
              <w:rPr>
                <w:rFonts w:asciiTheme="minorHAnsi" w:hAnsiTheme="minorHAnsi" w:cstheme="minorHAnsi"/>
                <w:sz w:val="20"/>
                <w:szCs w:val="20"/>
                <w:lang w:eastAsia="en-GB"/>
              </w:rPr>
              <w:t>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477538C" w14:textId="77777777" w:rsidR="00521BD8" w:rsidRPr="00462C63" w:rsidRDefault="00521BD8" w:rsidP="00CC60E3">
            <w:pPr>
              <w:rPr>
                <w:rFonts w:asciiTheme="minorHAnsi" w:hAnsiTheme="minorHAnsi" w:cstheme="minorHAnsi"/>
                <w:sz w:val="20"/>
                <w:szCs w:val="20"/>
                <w:lang w:eastAsia="en-GB"/>
              </w:rPr>
            </w:pPr>
            <w:r w:rsidRPr="00462C63">
              <w:rPr>
                <w:rFonts w:asciiTheme="minorHAnsi" w:hAnsiTheme="minorHAnsi" w:cstheme="minorHAnsi"/>
                <w:sz w:val="20"/>
                <w:szCs w:val="20"/>
                <w:lang w:eastAsia="en-GB"/>
              </w:rPr>
              <w:t>Unacceptable</w:t>
            </w:r>
          </w:p>
        </w:tc>
        <w:tc>
          <w:tcPr>
            <w:tcW w:w="7553" w:type="dxa"/>
            <w:tcBorders>
              <w:top w:val="nil"/>
              <w:left w:val="nil"/>
              <w:bottom w:val="single" w:sz="8" w:space="0" w:color="auto"/>
              <w:right w:val="single" w:sz="8" w:space="0" w:color="auto"/>
            </w:tcBorders>
            <w:tcMar>
              <w:top w:w="0" w:type="dxa"/>
              <w:left w:w="108" w:type="dxa"/>
              <w:bottom w:w="0" w:type="dxa"/>
              <w:right w:w="108" w:type="dxa"/>
            </w:tcMar>
            <w:hideMark/>
          </w:tcPr>
          <w:p w14:paraId="20CD21FD" w14:textId="77777777" w:rsidR="00521BD8" w:rsidRPr="00462C63" w:rsidRDefault="00521BD8" w:rsidP="00CC60E3">
            <w:pPr>
              <w:jc w:val="both"/>
              <w:rPr>
                <w:rFonts w:asciiTheme="minorHAnsi" w:hAnsiTheme="minorHAnsi" w:cstheme="minorHAnsi"/>
                <w:sz w:val="20"/>
                <w:szCs w:val="20"/>
                <w:lang w:eastAsia="en-GB"/>
              </w:rPr>
            </w:pPr>
            <w:r w:rsidRPr="00462C63">
              <w:rPr>
                <w:rFonts w:asciiTheme="minorHAnsi" w:hAnsiTheme="minorHAnsi" w:cstheme="minorHAnsi"/>
                <w:sz w:val="20"/>
                <w:szCs w:val="20"/>
                <w:lang w:eastAsia="en-GB"/>
              </w:rPr>
              <w:t>An explanation is not provided and/or does not relate to the question asked.</w:t>
            </w:r>
          </w:p>
        </w:tc>
      </w:tr>
      <w:bookmarkEnd w:id="13"/>
    </w:tbl>
    <w:p w14:paraId="54B97149" w14:textId="77777777" w:rsidR="00521BD8" w:rsidRDefault="00521BD8" w:rsidP="00521BD8">
      <w:pPr>
        <w:spacing w:before="0" w:after="240"/>
        <w:rPr>
          <w:rFonts w:ascii="Calibri" w:hAnsi="Calibri" w:cs="Calibri"/>
          <w:color w:val="FF0000"/>
        </w:rPr>
      </w:pPr>
    </w:p>
    <w:p w14:paraId="422C8E51" w14:textId="3D280DF2" w:rsidR="00521BD8" w:rsidRPr="00F744FF" w:rsidRDefault="00521BD8" w:rsidP="00521BD8">
      <w:pPr>
        <w:pStyle w:val="ListParagraph"/>
        <w:numPr>
          <w:ilvl w:val="0"/>
          <w:numId w:val="31"/>
        </w:numPr>
        <w:spacing w:before="0" w:after="240"/>
        <w:ind w:left="426" w:hanging="426"/>
        <w:contextualSpacing w:val="0"/>
        <w:rPr>
          <w:rFonts w:ascii="Calibri" w:hAnsi="Calibri"/>
          <w:b/>
          <w:bCs/>
          <w:color w:val="4F6228" w:themeColor="accent3" w:themeShade="80"/>
          <w:sz w:val="28"/>
          <w:szCs w:val="28"/>
        </w:rPr>
      </w:pPr>
      <w:bookmarkStart w:id="14" w:name="_Toc92198428"/>
      <w:r w:rsidRPr="00E7321B">
        <w:rPr>
          <w:rStyle w:val="Heading1Char"/>
        </w:rPr>
        <w:t>Stage 3: Evaluation of Price</w:t>
      </w:r>
      <w:bookmarkEnd w:id="14"/>
      <w:r w:rsidRPr="00E7321B">
        <w:rPr>
          <w:rStyle w:val="Heading1Char"/>
        </w:rPr>
        <w:t xml:space="preserve"> </w:t>
      </w:r>
    </w:p>
    <w:p w14:paraId="425C8A80" w14:textId="316A1E88" w:rsidR="004A4243" w:rsidRPr="00DB2D7A" w:rsidRDefault="004A4243" w:rsidP="00462C63">
      <w:pPr>
        <w:pStyle w:val="ListParagraph"/>
        <w:numPr>
          <w:ilvl w:val="1"/>
          <w:numId w:val="31"/>
        </w:numPr>
        <w:spacing w:before="0" w:after="240"/>
        <w:ind w:left="851" w:hanging="851"/>
        <w:contextualSpacing w:val="0"/>
        <w:rPr>
          <w:rFonts w:ascii="Calibri" w:hAnsi="Calibri" w:cs="Calibri"/>
        </w:rPr>
      </w:pPr>
      <w:r>
        <w:rPr>
          <w:rFonts w:ascii="Calibri" w:hAnsi="Calibri" w:cs="Calibri"/>
        </w:rPr>
        <w:t xml:space="preserve">The maximum </w:t>
      </w:r>
      <w:r w:rsidR="008B6D94">
        <w:rPr>
          <w:rFonts w:ascii="Calibri" w:hAnsi="Calibri" w:cs="Calibri"/>
        </w:rPr>
        <w:t>Percentage</w:t>
      </w:r>
      <w:r>
        <w:rPr>
          <w:rFonts w:ascii="Calibri" w:hAnsi="Calibri" w:cs="Calibri"/>
        </w:rPr>
        <w:t xml:space="preserve"> available for price are </w:t>
      </w:r>
      <w:r w:rsidR="00DB2D7A" w:rsidRPr="00DB2D7A">
        <w:rPr>
          <w:rFonts w:ascii="Calibri" w:hAnsi="Calibri" w:cs="Calibri"/>
        </w:rPr>
        <w:t>30</w:t>
      </w:r>
      <w:r w:rsidRPr="00DB2D7A">
        <w:rPr>
          <w:rFonts w:ascii="Calibri" w:hAnsi="Calibri" w:cs="Calibri"/>
        </w:rPr>
        <w:t xml:space="preserve">% </w:t>
      </w:r>
    </w:p>
    <w:p w14:paraId="733A1881" w14:textId="77777777" w:rsidR="00695380" w:rsidRPr="00695380" w:rsidRDefault="00695380" w:rsidP="00695380">
      <w:pPr>
        <w:pStyle w:val="ListParagraph"/>
        <w:numPr>
          <w:ilvl w:val="1"/>
          <w:numId w:val="31"/>
        </w:numPr>
        <w:spacing w:before="0" w:after="240"/>
        <w:ind w:left="851" w:hanging="851"/>
        <w:contextualSpacing w:val="0"/>
        <w:rPr>
          <w:rFonts w:ascii="Calibri" w:hAnsi="Calibri" w:cs="Calibri"/>
        </w:rPr>
      </w:pPr>
      <w:r w:rsidRPr="00695380">
        <w:rPr>
          <w:rFonts w:ascii="Calibri" w:hAnsi="Calibri" w:cs="Calibri"/>
        </w:rPr>
        <w:t xml:space="preserve">Price will only be evaluated where tender submissions have met the required quality thresholds following the evaluation of the written quality responses. </w:t>
      </w:r>
    </w:p>
    <w:p w14:paraId="16CAFC0F" w14:textId="13AE3E76" w:rsidR="00E21BD8" w:rsidRPr="00795F64" w:rsidRDefault="00E21BD8" w:rsidP="00E21BD8">
      <w:pPr>
        <w:pStyle w:val="ListParagraph"/>
        <w:numPr>
          <w:ilvl w:val="1"/>
          <w:numId w:val="31"/>
        </w:numPr>
        <w:spacing w:before="0" w:after="240"/>
        <w:ind w:left="851" w:hanging="851"/>
        <w:contextualSpacing w:val="0"/>
        <w:rPr>
          <w:rFonts w:ascii="Calibri" w:hAnsi="Calibri" w:cs="Calibri"/>
        </w:rPr>
      </w:pPr>
      <w:r w:rsidRPr="00795F64">
        <w:rPr>
          <w:rFonts w:ascii="Calibri" w:hAnsi="Calibri" w:cs="Calibri"/>
        </w:rPr>
        <w:t xml:space="preserve">All prices, costs or rates must be quoted in </w:t>
      </w:r>
      <w:r w:rsidR="00462C63">
        <w:rPr>
          <w:rFonts w:ascii="Calibri" w:hAnsi="Calibri" w:cs="Calibri"/>
        </w:rPr>
        <w:t xml:space="preserve">Sterling. </w:t>
      </w:r>
    </w:p>
    <w:p w14:paraId="04349435" w14:textId="77777777" w:rsidR="00E21BD8" w:rsidRDefault="00E21BD8" w:rsidP="00E21BD8">
      <w:pPr>
        <w:pStyle w:val="ListParagraph"/>
        <w:numPr>
          <w:ilvl w:val="1"/>
          <w:numId w:val="31"/>
        </w:numPr>
        <w:spacing w:before="0" w:after="240"/>
        <w:ind w:left="851" w:hanging="851"/>
        <w:contextualSpacing w:val="0"/>
        <w:rPr>
          <w:rFonts w:ascii="Calibri" w:hAnsi="Calibri" w:cs="Calibri"/>
        </w:rPr>
      </w:pPr>
      <w:r w:rsidRPr="00795F64">
        <w:rPr>
          <w:rFonts w:ascii="Calibri" w:hAnsi="Calibri" w:cs="Calibri"/>
        </w:rPr>
        <w:t xml:space="preserve">All prices quoted </w:t>
      </w:r>
      <w:r w:rsidR="008472CA">
        <w:rPr>
          <w:rFonts w:ascii="Calibri" w:hAnsi="Calibri" w:cs="Calibri"/>
        </w:rPr>
        <w:t>must</w:t>
      </w:r>
      <w:r w:rsidRPr="00795F64">
        <w:rPr>
          <w:rFonts w:ascii="Calibri" w:hAnsi="Calibri" w:cs="Calibri"/>
        </w:rPr>
        <w:t xml:space="preserve"> be </w:t>
      </w:r>
      <w:r>
        <w:rPr>
          <w:rFonts w:ascii="Calibri" w:hAnsi="Calibri" w:cs="Calibri"/>
        </w:rPr>
        <w:t xml:space="preserve">inclusive of travel and subsistence and </w:t>
      </w:r>
      <w:r w:rsidRPr="00795F64">
        <w:rPr>
          <w:rFonts w:ascii="Calibri" w:hAnsi="Calibri" w:cs="Calibri"/>
        </w:rPr>
        <w:t>exclusive of VAT.</w:t>
      </w:r>
    </w:p>
    <w:p w14:paraId="7026770A" w14:textId="77777777" w:rsidR="00521BD8" w:rsidRPr="00F744FF" w:rsidRDefault="00521BD8" w:rsidP="00521BD8">
      <w:pPr>
        <w:pStyle w:val="ListParagraph"/>
        <w:numPr>
          <w:ilvl w:val="1"/>
          <w:numId w:val="31"/>
        </w:numPr>
        <w:spacing w:before="0" w:after="240"/>
        <w:ind w:left="851" w:hanging="851"/>
        <w:contextualSpacing w:val="0"/>
        <w:rPr>
          <w:rFonts w:ascii="Calibri" w:hAnsi="Calibri" w:cs="Calibri"/>
        </w:rPr>
      </w:pPr>
      <w:r w:rsidRPr="00F744FF">
        <w:rPr>
          <w:rFonts w:ascii="Calibri" w:hAnsi="Calibri" w:cs="Calibri"/>
        </w:rPr>
        <w:t xml:space="preserve">The </w:t>
      </w:r>
      <w:r>
        <w:rPr>
          <w:rFonts w:ascii="Calibri" w:hAnsi="Calibri" w:cs="Calibri"/>
        </w:rPr>
        <w:t>Tender</w:t>
      </w:r>
      <w:r w:rsidRPr="00F744FF">
        <w:rPr>
          <w:rFonts w:ascii="Calibri" w:hAnsi="Calibri" w:cs="Calibri"/>
        </w:rPr>
        <w:t xml:space="preserve"> with the lowest total price will achieve the highest score available</w:t>
      </w:r>
      <w:r>
        <w:rPr>
          <w:rFonts w:ascii="Calibri" w:hAnsi="Calibri" w:cs="Calibri"/>
        </w:rPr>
        <w:t xml:space="preserve">. All other Tenders will receive </w:t>
      </w:r>
      <w:r w:rsidRPr="00F744FF">
        <w:rPr>
          <w:rFonts w:ascii="Calibri" w:hAnsi="Calibri" w:cs="Calibri"/>
        </w:rPr>
        <w:t xml:space="preserve">a reduced score </w:t>
      </w:r>
      <w:r>
        <w:rPr>
          <w:rFonts w:ascii="Calibri" w:hAnsi="Calibri" w:cs="Calibri"/>
        </w:rPr>
        <w:t xml:space="preserve">in proportion to how much more expensive that Tender is. An example is provided below: </w:t>
      </w:r>
    </w:p>
    <w:p w14:paraId="0EB1A6E8" w14:textId="77A5B8E3" w:rsidR="00521BD8" w:rsidRDefault="00521BD8" w:rsidP="00521BD8">
      <w:pPr>
        <w:pStyle w:val="ListParagraph"/>
        <w:numPr>
          <w:ilvl w:val="2"/>
          <w:numId w:val="31"/>
        </w:numPr>
        <w:spacing w:before="0" w:after="240"/>
        <w:ind w:left="851" w:hanging="851"/>
        <w:contextualSpacing w:val="0"/>
        <w:rPr>
          <w:rFonts w:ascii="Calibri" w:hAnsi="Calibri" w:cs="Calibri"/>
        </w:rPr>
      </w:pPr>
      <w:r>
        <w:rPr>
          <w:rFonts w:ascii="Calibri" w:hAnsi="Calibri" w:cs="Calibri"/>
        </w:rPr>
        <w:t xml:space="preserve">If a </w:t>
      </w:r>
      <w:r w:rsidRPr="00353E35">
        <w:rPr>
          <w:rFonts w:ascii="Calibri" w:hAnsi="Calibri" w:cs="Calibri"/>
        </w:rPr>
        <w:t xml:space="preserve">maximum of 50 </w:t>
      </w:r>
      <w:r w:rsidR="008B6D94">
        <w:rPr>
          <w:rFonts w:ascii="Calibri" w:hAnsi="Calibri" w:cs="Calibri"/>
        </w:rPr>
        <w:t>Percentage</w:t>
      </w:r>
      <w:r w:rsidRPr="00353E35">
        <w:rPr>
          <w:rFonts w:ascii="Calibri" w:hAnsi="Calibri" w:cs="Calibri"/>
        </w:rPr>
        <w:t xml:space="preserve"> </w:t>
      </w:r>
      <w:r>
        <w:rPr>
          <w:rFonts w:ascii="Calibri" w:hAnsi="Calibri" w:cs="Calibri"/>
        </w:rPr>
        <w:t xml:space="preserve">is </w:t>
      </w:r>
      <w:r w:rsidRPr="00353E35">
        <w:rPr>
          <w:rFonts w:ascii="Calibri" w:hAnsi="Calibri" w:cs="Calibri"/>
        </w:rPr>
        <w:t>available for price</w:t>
      </w:r>
      <w:r>
        <w:rPr>
          <w:rFonts w:ascii="Calibri" w:hAnsi="Calibri" w:cs="Calibri"/>
        </w:rPr>
        <w:t xml:space="preserve"> and the </w:t>
      </w:r>
      <w:r w:rsidRPr="00353E35">
        <w:rPr>
          <w:rFonts w:ascii="Calibri" w:hAnsi="Calibri" w:cs="Calibri"/>
        </w:rPr>
        <w:t xml:space="preserve">lowest </w:t>
      </w:r>
      <w:r>
        <w:rPr>
          <w:rFonts w:ascii="Calibri" w:hAnsi="Calibri" w:cs="Calibri"/>
        </w:rPr>
        <w:t>Tender</w:t>
      </w:r>
      <w:r w:rsidRPr="00353E35">
        <w:rPr>
          <w:rFonts w:ascii="Calibri" w:hAnsi="Calibri" w:cs="Calibri"/>
        </w:rPr>
        <w:t xml:space="preserve"> is £100k</w:t>
      </w:r>
      <w:r>
        <w:rPr>
          <w:rFonts w:ascii="Calibri" w:hAnsi="Calibri" w:cs="Calibri"/>
        </w:rPr>
        <w:t>,</w:t>
      </w:r>
      <w:r w:rsidRPr="00353E35">
        <w:rPr>
          <w:rFonts w:ascii="Calibri" w:hAnsi="Calibri" w:cs="Calibri"/>
        </w:rPr>
        <w:t xml:space="preserve"> that submission </w:t>
      </w:r>
      <w:r w:rsidRPr="0076073F">
        <w:rPr>
          <w:rFonts w:ascii="Calibri" w:hAnsi="Calibri" w:cs="Calibri"/>
        </w:rPr>
        <w:t>receives the full 50</w:t>
      </w:r>
      <w:r w:rsidR="007A6141">
        <w:rPr>
          <w:rFonts w:ascii="Calibri" w:hAnsi="Calibri" w:cs="Calibri"/>
        </w:rPr>
        <w:t xml:space="preserve"> </w:t>
      </w:r>
      <w:r w:rsidR="008B6D94">
        <w:rPr>
          <w:rFonts w:ascii="Calibri" w:hAnsi="Calibri" w:cs="Calibri"/>
        </w:rPr>
        <w:t>Percentage</w:t>
      </w:r>
      <w:r w:rsidRPr="0076073F">
        <w:rPr>
          <w:rFonts w:ascii="Calibri" w:hAnsi="Calibri" w:cs="Calibri"/>
        </w:rPr>
        <w:t xml:space="preserve">.  </w:t>
      </w:r>
      <w:r w:rsidRPr="00353E35">
        <w:rPr>
          <w:rFonts w:ascii="Calibri" w:hAnsi="Calibri" w:cs="Calibri"/>
        </w:rPr>
        <w:t xml:space="preserve">If another </w:t>
      </w:r>
      <w:r>
        <w:rPr>
          <w:rFonts w:ascii="Calibri" w:hAnsi="Calibri" w:cs="Calibri"/>
        </w:rPr>
        <w:t>Tender</w:t>
      </w:r>
      <w:r w:rsidRPr="00353E35">
        <w:rPr>
          <w:rFonts w:ascii="Calibri" w:hAnsi="Calibri" w:cs="Calibri"/>
        </w:rPr>
        <w:t xml:space="preserve"> is £110k (10% more expensive)</w:t>
      </w:r>
      <w:r>
        <w:rPr>
          <w:rFonts w:ascii="Calibri" w:hAnsi="Calibri" w:cs="Calibri"/>
        </w:rPr>
        <w:t>,</w:t>
      </w:r>
      <w:r w:rsidRPr="00353E35">
        <w:rPr>
          <w:rFonts w:ascii="Calibri" w:hAnsi="Calibri" w:cs="Calibri"/>
        </w:rPr>
        <w:t xml:space="preserve"> 10% (</w:t>
      </w:r>
      <w:r>
        <w:rPr>
          <w:rFonts w:ascii="Calibri" w:hAnsi="Calibri" w:cs="Calibri"/>
        </w:rPr>
        <w:t>fi</w:t>
      </w:r>
      <w:r w:rsidR="005219F4">
        <w:rPr>
          <w:rFonts w:ascii="Calibri" w:hAnsi="Calibri" w:cs="Calibri"/>
        </w:rPr>
        <w:t>ve</w:t>
      </w:r>
      <w:r>
        <w:rPr>
          <w:rFonts w:ascii="Calibri" w:hAnsi="Calibri" w:cs="Calibri"/>
        </w:rPr>
        <w:t xml:space="preserve"> </w:t>
      </w:r>
      <w:r w:rsidR="008B6D94">
        <w:rPr>
          <w:rFonts w:ascii="Calibri" w:hAnsi="Calibri" w:cs="Calibri"/>
        </w:rPr>
        <w:t>Percentage</w:t>
      </w:r>
      <w:r w:rsidRPr="00353E35">
        <w:rPr>
          <w:rFonts w:ascii="Calibri" w:hAnsi="Calibri" w:cs="Calibri"/>
        </w:rPr>
        <w:t>) will be deducted</w:t>
      </w:r>
      <w:r>
        <w:rPr>
          <w:rFonts w:ascii="Calibri" w:hAnsi="Calibri" w:cs="Calibri"/>
        </w:rPr>
        <w:t xml:space="preserve"> from the maximum </w:t>
      </w:r>
      <w:r w:rsidR="008B6D94">
        <w:rPr>
          <w:rFonts w:ascii="Calibri" w:hAnsi="Calibri" w:cs="Calibri"/>
        </w:rPr>
        <w:t>Percentage</w:t>
      </w:r>
      <w:r>
        <w:rPr>
          <w:rFonts w:ascii="Calibri" w:hAnsi="Calibri" w:cs="Calibri"/>
        </w:rPr>
        <w:t xml:space="preserve"> available</w:t>
      </w:r>
      <w:r w:rsidRPr="00353E35">
        <w:rPr>
          <w:rFonts w:ascii="Calibri" w:hAnsi="Calibri" w:cs="Calibri"/>
        </w:rPr>
        <w:t xml:space="preserve">. </w:t>
      </w:r>
      <w:r>
        <w:rPr>
          <w:rFonts w:ascii="Calibri" w:hAnsi="Calibri" w:cs="Calibri"/>
        </w:rPr>
        <w:t xml:space="preserve"> </w:t>
      </w:r>
      <w:r w:rsidRPr="00353E35">
        <w:rPr>
          <w:rFonts w:ascii="Calibri" w:hAnsi="Calibri" w:cs="Calibri"/>
        </w:rPr>
        <w:t xml:space="preserve">If another </w:t>
      </w:r>
      <w:r>
        <w:rPr>
          <w:rFonts w:ascii="Calibri" w:hAnsi="Calibri" w:cs="Calibri"/>
        </w:rPr>
        <w:t>Tender</w:t>
      </w:r>
      <w:r w:rsidRPr="00353E35">
        <w:rPr>
          <w:rFonts w:ascii="Calibri" w:hAnsi="Calibri" w:cs="Calibri"/>
        </w:rPr>
        <w:t xml:space="preserve"> is £</w:t>
      </w:r>
      <w:r>
        <w:rPr>
          <w:rFonts w:ascii="Calibri" w:hAnsi="Calibri" w:cs="Calibri"/>
        </w:rPr>
        <w:t>200</w:t>
      </w:r>
      <w:r w:rsidRPr="00353E35">
        <w:rPr>
          <w:rFonts w:ascii="Calibri" w:hAnsi="Calibri" w:cs="Calibri"/>
        </w:rPr>
        <w:t>k (1</w:t>
      </w:r>
      <w:r>
        <w:rPr>
          <w:rFonts w:ascii="Calibri" w:hAnsi="Calibri" w:cs="Calibri"/>
        </w:rPr>
        <w:t>0</w:t>
      </w:r>
      <w:r w:rsidRPr="00353E35">
        <w:rPr>
          <w:rFonts w:ascii="Calibri" w:hAnsi="Calibri" w:cs="Calibri"/>
        </w:rPr>
        <w:t>0% more expensive)</w:t>
      </w:r>
      <w:r>
        <w:rPr>
          <w:rFonts w:ascii="Calibri" w:hAnsi="Calibri" w:cs="Calibri"/>
        </w:rPr>
        <w:t>,</w:t>
      </w:r>
      <w:r w:rsidRPr="00353E35">
        <w:rPr>
          <w:rFonts w:ascii="Calibri" w:hAnsi="Calibri" w:cs="Calibri"/>
        </w:rPr>
        <w:t xml:space="preserve"> 1</w:t>
      </w:r>
      <w:r>
        <w:rPr>
          <w:rFonts w:ascii="Calibri" w:hAnsi="Calibri" w:cs="Calibri"/>
        </w:rPr>
        <w:t>0</w:t>
      </w:r>
      <w:r w:rsidRPr="00353E35">
        <w:rPr>
          <w:rFonts w:ascii="Calibri" w:hAnsi="Calibri" w:cs="Calibri"/>
        </w:rPr>
        <w:t>0% will be deducted</w:t>
      </w:r>
      <w:r>
        <w:rPr>
          <w:rFonts w:ascii="Calibri" w:hAnsi="Calibri" w:cs="Calibri"/>
        </w:rPr>
        <w:t xml:space="preserve"> from the maximum </w:t>
      </w:r>
      <w:r w:rsidR="008B6D94">
        <w:rPr>
          <w:rFonts w:ascii="Calibri" w:hAnsi="Calibri" w:cs="Calibri"/>
        </w:rPr>
        <w:t>Percentage</w:t>
      </w:r>
      <w:r>
        <w:rPr>
          <w:rFonts w:ascii="Calibri" w:hAnsi="Calibri" w:cs="Calibri"/>
        </w:rPr>
        <w:t xml:space="preserve"> available as illustrated below.</w:t>
      </w:r>
    </w:p>
    <w:tbl>
      <w:tblPr>
        <w:tblStyle w:val="TableGrid"/>
        <w:tblW w:w="0" w:type="auto"/>
        <w:tblInd w:w="792" w:type="dxa"/>
        <w:tblLook w:val="04A0" w:firstRow="1" w:lastRow="0" w:firstColumn="1" w:lastColumn="0" w:noHBand="0" w:noVBand="1"/>
      </w:tblPr>
      <w:tblGrid>
        <w:gridCol w:w="4510"/>
        <w:gridCol w:w="3765"/>
      </w:tblGrid>
      <w:tr w:rsidR="00521BD8" w:rsidRPr="001C010C" w14:paraId="00FA25BD" w14:textId="77777777" w:rsidTr="00CC60E3">
        <w:tc>
          <w:tcPr>
            <w:tcW w:w="4510" w:type="dxa"/>
            <w:shd w:val="clear" w:color="auto" w:fill="C2D69B" w:themeFill="accent3" w:themeFillTint="99"/>
          </w:tcPr>
          <w:p w14:paraId="505CD7E4" w14:textId="77777777" w:rsidR="00521BD8" w:rsidRPr="00AF4EB7" w:rsidRDefault="00521BD8" w:rsidP="00CC60E3">
            <w:pPr>
              <w:spacing w:before="0"/>
              <w:rPr>
                <w:rFonts w:ascii="Calibri" w:hAnsi="Calibri" w:cs="Calibri"/>
              </w:rPr>
            </w:pPr>
            <w:r>
              <w:rPr>
                <w:rFonts w:ascii="Calibri" w:hAnsi="Calibri" w:cs="Calibri"/>
              </w:rPr>
              <w:t xml:space="preserve">Tendered Price </w:t>
            </w:r>
          </w:p>
        </w:tc>
        <w:tc>
          <w:tcPr>
            <w:tcW w:w="3765" w:type="dxa"/>
            <w:shd w:val="clear" w:color="auto" w:fill="C2D69B" w:themeFill="accent3" w:themeFillTint="99"/>
          </w:tcPr>
          <w:p w14:paraId="14D315DB" w14:textId="06AEAA8C" w:rsidR="00521BD8" w:rsidRPr="00AF4EB7" w:rsidRDefault="00521BD8" w:rsidP="00CC60E3">
            <w:pPr>
              <w:spacing w:before="0"/>
              <w:rPr>
                <w:rFonts w:ascii="Calibri" w:hAnsi="Calibri" w:cs="Calibri"/>
              </w:rPr>
            </w:pPr>
            <w:r>
              <w:rPr>
                <w:rFonts w:ascii="Calibri" w:hAnsi="Calibri" w:cs="Calibri"/>
              </w:rPr>
              <w:t xml:space="preserve">Price </w:t>
            </w:r>
            <w:r w:rsidR="008B6D94">
              <w:rPr>
                <w:rFonts w:ascii="Calibri" w:hAnsi="Calibri" w:cs="Calibri"/>
              </w:rPr>
              <w:t>Percentage</w:t>
            </w:r>
            <w:r>
              <w:rPr>
                <w:rFonts w:ascii="Calibri" w:hAnsi="Calibri" w:cs="Calibri"/>
              </w:rPr>
              <w:t xml:space="preserve"> Awarded </w:t>
            </w:r>
          </w:p>
        </w:tc>
      </w:tr>
      <w:tr w:rsidR="00521BD8" w:rsidRPr="001C010C" w14:paraId="0100CC78" w14:textId="77777777" w:rsidTr="00CC60E3">
        <w:tc>
          <w:tcPr>
            <w:tcW w:w="4510" w:type="dxa"/>
          </w:tcPr>
          <w:p w14:paraId="17867976" w14:textId="77777777" w:rsidR="00521BD8" w:rsidRPr="00AF4EB7" w:rsidRDefault="00521BD8" w:rsidP="00CC60E3">
            <w:pPr>
              <w:spacing w:before="0"/>
              <w:rPr>
                <w:rFonts w:ascii="Calibri" w:hAnsi="Calibri" w:cs="Calibri"/>
              </w:rPr>
            </w:pPr>
            <w:r>
              <w:rPr>
                <w:rFonts w:ascii="Calibri" w:hAnsi="Calibri" w:cs="Calibri"/>
              </w:rPr>
              <w:t>Tender</w:t>
            </w:r>
            <w:r w:rsidRPr="00AF4EB7">
              <w:rPr>
                <w:rFonts w:ascii="Calibri" w:hAnsi="Calibri" w:cs="Calibri"/>
              </w:rPr>
              <w:t xml:space="preserve"> 1 - £</w:t>
            </w:r>
            <w:r>
              <w:rPr>
                <w:rFonts w:ascii="Calibri" w:hAnsi="Calibri" w:cs="Calibri"/>
              </w:rPr>
              <w:t>20</w:t>
            </w:r>
            <w:r w:rsidRPr="00AF4EB7">
              <w:rPr>
                <w:rFonts w:ascii="Calibri" w:hAnsi="Calibri" w:cs="Calibri"/>
              </w:rPr>
              <w:t>0,000</w:t>
            </w:r>
          </w:p>
        </w:tc>
        <w:tc>
          <w:tcPr>
            <w:tcW w:w="3765" w:type="dxa"/>
          </w:tcPr>
          <w:p w14:paraId="1CEE6762" w14:textId="7D11D8F5" w:rsidR="00521BD8" w:rsidRPr="00AF4EB7" w:rsidRDefault="00521BD8" w:rsidP="00CC60E3">
            <w:pPr>
              <w:spacing w:before="0"/>
              <w:rPr>
                <w:rFonts w:ascii="Calibri" w:hAnsi="Calibri" w:cs="Calibri"/>
              </w:rPr>
            </w:pPr>
            <w:r w:rsidRPr="00AF4EB7">
              <w:rPr>
                <w:rFonts w:ascii="Calibri" w:hAnsi="Calibri" w:cs="Calibri"/>
              </w:rPr>
              <w:t xml:space="preserve">50 </w:t>
            </w:r>
            <w:r w:rsidR="008B6D94">
              <w:rPr>
                <w:rFonts w:ascii="Calibri" w:hAnsi="Calibri" w:cs="Calibri"/>
              </w:rPr>
              <w:t>Percentage</w:t>
            </w:r>
          </w:p>
        </w:tc>
      </w:tr>
      <w:tr w:rsidR="00521BD8" w:rsidRPr="001C010C" w14:paraId="3FC43122" w14:textId="77777777" w:rsidTr="00CC60E3">
        <w:tc>
          <w:tcPr>
            <w:tcW w:w="4510" w:type="dxa"/>
          </w:tcPr>
          <w:p w14:paraId="16B0D9B9" w14:textId="77777777" w:rsidR="00521BD8" w:rsidRPr="00AF4EB7" w:rsidRDefault="00521BD8" w:rsidP="00CC60E3">
            <w:pPr>
              <w:spacing w:before="0"/>
              <w:rPr>
                <w:rFonts w:ascii="Calibri" w:hAnsi="Calibri" w:cs="Calibri"/>
              </w:rPr>
            </w:pPr>
            <w:r>
              <w:rPr>
                <w:rFonts w:ascii="Calibri" w:hAnsi="Calibri" w:cs="Calibri"/>
              </w:rPr>
              <w:t>Tender</w:t>
            </w:r>
            <w:r w:rsidRPr="00AF4EB7">
              <w:rPr>
                <w:rFonts w:ascii="Calibri" w:hAnsi="Calibri" w:cs="Calibri"/>
              </w:rPr>
              <w:t xml:space="preserve"> 2 - £</w:t>
            </w:r>
            <w:r>
              <w:rPr>
                <w:rFonts w:ascii="Calibri" w:hAnsi="Calibri" w:cs="Calibri"/>
              </w:rPr>
              <w:t>22</w:t>
            </w:r>
            <w:r w:rsidRPr="00AF4EB7">
              <w:rPr>
                <w:rFonts w:ascii="Calibri" w:hAnsi="Calibri" w:cs="Calibri"/>
              </w:rPr>
              <w:t>0,000</w:t>
            </w:r>
          </w:p>
        </w:tc>
        <w:tc>
          <w:tcPr>
            <w:tcW w:w="3765" w:type="dxa"/>
          </w:tcPr>
          <w:p w14:paraId="199D39EE" w14:textId="62B7EDCB" w:rsidR="00521BD8" w:rsidRPr="00AF4EB7" w:rsidRDefault="00521BD8" w:rsidP="00CC60E3">
            <w:pPr>
              <w:spacing w:before="0"/>
              <w:rPr>
                <w:rFonts w:ascii="Calibri" w:hAnsi="Calibri" w:cs="Calibri"/>
              </w:rPr>
            </w:pPr>
            <w:r w:rsidRPr="00AF4EB7">
              <w:rPr>
                <w:rFonts w:ascii="Calibri" w:hAnsi="Calibri" w:cs="Calibri"/>
              </w:rPr>
              <w:t xml:space="preserve">45 </w:t>
            </w:r>
            <w:r w:rsidR="008B6D94">
              <w:rPr>
                <w:rFonts w:ascii="Calibri" w:hAnsi="Calibri" w:cs="Calibri"/>
              </w:rPr>
              <w:t>Percentage</w:t>
            </w:r>
          </w:p>
        </w:tc>
      </w:tr>
      <w:tr w:rsidR="00521BD8" w14:paraId="50BF5C00" w14:textId="77777777" w:rsidTr="00CC60E3">
        <w:tc>
          <w:tcPr>
            <w:tcW w:w="4510" w:type="dxa"/>
          </w:tcPr>
          <w:p w14:paraId="649DBEBD" w14:textId="77777777" w:rsidR="00521BD8" w:rsidRPr="00AF4EB7" w:rsidRDefault="00521BD8" w:rsidP="00CC60E3">
            <w:pPr>
              <w:spacing w:before="0"/>
              <w:rPr>
                <w:rFonts w:ascii="Calibri" w:hAnsi="Calibri" w:cs="Calibri"/>
              </w:rPr>
            </w:pPr>
            <w:r>
              <w:rPr>
                <w:rFonts w:ascii="Calibri" w:hAnsi="Calibri" w:cs="Calibri"/>
              </w:rPr>
              <w:t>Tender</w:t>
            </w:r>
            <w:r w:rsidRPr="00AF4EB7">
              <w:rPr>
                <w:rFonts w:ascii="Calibri" w:hAnsi="Calibri" w:cs="Calibri"/>
              </w:rPr>
              <w:t xml:space="preserve"> 3 - £</w:t>
            </w:r>
            <w:r>
              <w:rPr>
                <w:rFonts w:ascii="Calibri" w:hAnsi="Calibri" w:cs="Calibri"/>
              </w:rPr>
              <w:t>4</w:t>
            </w:r>
            <w:r w:rsidRPr="00AF4EB7">
              <w:rPr>
                <w:rFonts w:ascii="Calibri" w:hAnsi="Calibri" w:cs="Calibri"/>
              </w:rPr>
              <w:t>00,000</w:t>
            </w:r>
          </w:p>
        </w:tc>
        <w:tc>
          <w:tcPr>
            <w:tcW w:w="3765" w:type="dxa"/>
          </w:tcPr>
          <w:p w14:paraId="12AB4D40" w14:textId="0ADC5438" w:rsidR="00521BD8" w:rsidRPr="00AF4EB7" w:rsidRDefault="00521BD8" w:rsidP="00CC60E3">
            <w:pPr>
              <w:spacing w:before="0"/>
              <w:rPr>
                <w:rFonts w:ascii="Calibri" w:hAnsi="Calibri" w:cs="Calibri"/>
              </w:rPr>
            </w:pPr>
            <w:r w:rsidRPr="00AF4EB7">
              <w:rPr>
                <w:rFonts w:ascii="Calibri" w:hAnsi="Calibri" w:cs="Calibri"/>
              </w:rPr>
              <w:t xml:space="preserve">0 </w:t>
            </w:r>
            <w:r w:rsidR="008B6D94">
              <w:rPr>
                <w:rFonts w:ascii="Calibri" w:hAnsi="Calibri" w:cs="Calibri"/>
              </w:rPr>
              <w:t>Percentage</w:t>
            </w:r>
          </w:p>
        </w:tc>
      </w:tr>
    </w:tbl>
    <w:p w14:paraId="58395E57" w14:textId="77777777" w:rsidR="00521BD8" w:rsidRDefault="00521BD8" w:rsidP="00521BD8">
      <w:pPr>
        <w:pStyle w:val="ListParagraph"/>
        <w:spacing w:before="0" w:after="240"/>
        <w:ind w:left="792"/>
        <w:contextualSpacing w:val="0"/>
        <w:rPr>
          <w:rFonts w:ascii="Calibri" w:hAnsi="Calibri" w:cs="Calibri"/>
          <w:color w:val="FF0000"/>
        </w:rPr>
      </w:pPr>
    </w:p>
    <w:p w14:paraId="236CF775" w14:textId="77777777" w:rsidR="00521BD8" w:rsidRPr="004B530C" w:rsidRDefault="00521BD8" w:rsidP="00521BD8">
      <w:pPr>
        <w:pStyle w:val="ListParagraph"/>
        <w:numPr>
          <w:ilvl w:val="1"/>
          <w:numId w:val="31"/>
        </w:numPr>
        <w:spacing w:before="0" w:after="240"/>
        <w:ind w:left="851" w:hanging="851"/>
        <w:contextualSpacing w:val="0"/>
        <w:rPr>
          <w:rFonts w:ascii="Calibri" w:hAnsi="Calibri" w:cs="Calibri"/>
        </w:rPr>
      </w:pPr>
      <w:r w:rsidRPr="004B530C">
        <w:rPr>
          <w:rFonts w:ascii="Calibri" w:hAnsi="Calibri" w:cs="Calibri"/>
        </w:rPr>
        <w:t>Tenderers should be aware that in evaluating costs, the Authority will consider the credibility of the price submitted for the goods, works or services being procured. If officers believe the cost is abnormally low (e.g. unrealistically low prices for goods/works or resource commitments etc), the Authority will seek clarification from the Tenderer to understand further the basis of the price submitted. If the response is not satisfactory the Tender may be eliminated from the procurement process and not evaluated further. Tenderers should note that prices cannot be altered after final Tenders have been submitted.</w:t>
      </w:r>
    </w:p>
    <w:p w14:paraId="265DFCD3" w14:textId="77777777" w:rsidR="004B530C" w:rsidRPr="004B530C" w:rsidRDefault="00D272B8" w:rsidP="00521BD8">
      <w:pPr>
        <w:pStyle w:val="ListParagraph"/>
        <w:numPr>
          <w:ilvl w:val="0"/>
          <w:numId w:val="31"/>
        </w:numPr>
        <w:spacing w:before="0" w:after="240"/>
        <w:ind w:left="426" w:hanging="426"/>
        <w:contextualSpacing w:val="0"/>
        <w:rPr>
          <w:rStyle w:val="Heading1Char"/>
        </w:rPr>
      </w:pPr>
      <w:bookmarkStart w:id="15" w:name="_Toc92198429"/>
      <w:r w:rsidRPr="004B530C">
        <w:rPr>
          <w:rStyle w:val="Heading1Char"/>
        </w:rPr>
        <w:t>Award Process</w:t>
      </w:r>
      <w:bookmarkEnd w:id="12"/>
      <w:bookmarkEnd w:id="15"/>
    </w:p>
    <w:p w14:paraId="7EB902C4" w14:textId="77777777" w:rsidR="004B530C" w:rsidRPr="004B530C" w:rsidRDefault="004B530C" w:rsidP="004B530C">
      <w:pPr>
        <w:pStyle w:val="ListParagraph"/>
        <w:numPr>
          <w:ilvl w:val="1"/>
          <w:numId w:val="31"/>
        </w:numPr>
        <w:spacing w:before="0" w:after="240"/>
        <w:ind w:left="851" w:hanging="567"/>
        <w:contextualSpacing w:val="0"/>
        <w:rPr>
          <w:rFonts w:ascii="Calibri" w:hAnsi="Calibri" w:cs="Calibri"/>
        </w:rPr>
      </w:pPr>
      <w:r w:rsidRPr="004B530C">
        <w:rPr>
          <w:rFonts w:ascii="Calibri" w:hAnsi="Calibri" w:cs="Calibri"/>
        </w:rPr>
        <w:t xml:space="preserve">All Tenderers will be notified simultaneously of the decision made by the Authority.  </w:t>
      </w:r>
    </w:p>
    <w:p w14:paraId="1AAC0A6C" w14:textId="02958536" w:rsidR="004B530C" w:rsidRPr="004B530C" w:rsidRDefault="004B530C" w:rsidP="004B530C">
      <w:pPr>
        <w:pStyle w:val="ListParagraph"/>
        <w:numPr>
          <w:ilvl w:val="1"/>
          <w:numId w:val="31"/>
        </w:numPr>
        <w:spacing w:before="0" w:after="240"/>
        <w:ind w:left="851" w:hanging="567"/>
        <w:contextualSpacing w:val="0"/>
        <w:rPr>
          <w:rFonts w:ascii="Calibri" w:hAnsi="Calibri" w:cs="Calibri"/>
        </w:rPr>
      </w:pPr>
      <w:r w:rsidRPr="004B530C">
        <w:rPr>
          <w:rFonts w:ascii="Calibri" w:hAnsi="Calibri" w:cs="Calibri"/>
        </w:rPr>
        <w:t>The Public Contracts Regulations require or enable a ‘standstill period’ of at least 10 calendar days before a contract can be awarded, and within that period an unsuccessful tenderer can challenge the process if they believe it has not followed the requirements of the Regulations.  Th</w:t>
      </w:r>
      <w:r>
        <w:rPr>
          <w:rFonts w:ascii="Calibri" w:hAnsi="Calibri" w:cs="Calibri"/>
        </w:rPr>
        <w:t>is</w:t>
      </w:r>
      <w:r w:rsidRPr="004B530C">
        <w:rPr>
          <w:rFonts w:ascii="Calibri" w:hAnsi="Calibri" w:cs="Calibri"/>
        </w:rPr>
        <w:t xml:space="preserve"> process </w:t>
      </w:r>
      <w:r w:rsidRPr="004B530C">
        <w:rPr>
          <w:rFonts w:ascii="Calibri" w:hAnsi="Calibri" w:cs="Calibri"/>
        </w:rPr>
        <w:lastRenderedPageBreak/>
        <w:t xml:space="preserve">will be followed before the contract can be awarded and usually take 2-3 </w:t>
      </w:r>
      <w:r w:rsidR="00CB7F51" w:rsidRPr="004B530C">
        <w:rPr>
          <w:rFonts w:ascii="Calibri" w:hAnsi="Calibri" w:cs="Calibri"/>
        </w:rPr>
        <w:t>weeks but</w:t>
      </w:r>
      <w:r w:rsidRPr="004B530C">
        <w:rPr>
          <w:rFonts w:ascii="Calibri" w:hAnsi="Calibri" w:cs="Calibri"/>
        </w:rPr>
        <w:t xml:space="preserve"> may take longer in some circumstances.</w:t>
      </w:r>
    </w:p>
    <w:p w14:paraId="55189664" w14:textId="77777777" w:rsidR="004B530C" w:rsidRPr="004B530C" w:rsidRDefault="004B530C" w:rsidP="004B530C">
      <w:pPr>
        <w:pStyle w:val="ListParagraph"/>
        <w:numPr>
          <w:ilvl w:val="1"/>
          <w:numId w:val="31"/>
        </w:numPr>
        <w:spacing w:before="0" w:after="240"/>
        <w:ind w:left="851" w:hanging="567"/>
        <w:contextualSpacing w:val="0"/>
        <w:rPr>
          <w:rFonts w:ascii="Calibri" w:hAnsi="Calibri" w:cs="Calibri"/>
        </w:rPr>
      </w:pPr>
      <w:r w:rsidRPr="004B530C">
        <w:rPr>
          <w:rFonts w:ascii="Calibri" w:hAnsi="Calibri" w:cs="Calibri"/>
        </w:rPr>
        <w:t>Tenderers must not undertake work until written notification, that they have been awarded the contract and are required to start work, has been received.</w:t>
      </w:r>
    </w:p>
    <w:p w14:paraId="2B4E6D45" w14:textId="77777777" w:rsidR="004B530C" w:rsidRDefault="004B530C" w:rsidP="004B530C">
      <w:pPr>
        <w:pStyle w:val="ListParagraph"/>
        <w:numPr>
          <w:ilvl w:val="1"/>
          <w:numId w:val="31"/>
        </w:numPr>
        <w:spacing w:before="0" w:after="240"/>
        <w:ind w:left="851" w:hanging="567"/>
        <w:contextualSpacing w:val="0"/>
        <w:rPr>
          <w:rFonts w:ascii="Calibri" w:hAnsi="Calibri" w:cs="Calibri"/>
        </w:rPr>
      </w:pPr>
      <w:r w:rsidRPr="004B530C">
        <w:rPr>
          <w:rFonts w:ascii="Calibri" w:hAnsi="Calibri" w:cs="Calibri"/>
        </w:rPr>
        <w:t xml:space="preserve">Acceptance of the tender by the Authority shall be in writing and shall be communicated to the successful Tenderer. Upon such acceptance, the Contract shall be thereby constituted and become binding on both parties (subject to formalities detailed within the letter) and, notwithstanding that, the Tenderer shall upon request of the Authority execute a formal contract in the form contained in the contract documents. </w:t>
      </w:r>
    </w:p>
    <w:p w14:paraId="7AC2BBF7" w14:textId="77777777" w:rsidR="004B530C" w:rsidRPr="004B530C" w:rsidRDefault="00D272B8" w:rsidP="00521BD8">
      <w:pPr>
        <w:pStyle w:val="ListParagraph"/>
        <w:numPr>
          <w:ilvl w:val="0"/>
          <w:numId w:val="31"/>
        </w:numPr>
        <w:spacing w:before="0" w:after="240"/>
        <w:ind w:left="426" w:hanging="426"/>
        <w:contextualSpacing w:val="0"/>
        <w:rPr>
          <w:rStyle w:val="Heading1Char"/>
        </w:rPr>
      </w:pPr>
      <w:bookmarkStart w:id="16" w:name="_Toc531175133"/>
      <w:bookmarkStart w:id="17" w:name="_Toc92198430"/>
      <w:r w:rsidRPr="004B530C">
        <w:rPr>
          <w:rStyle w:val="Heading1Char"/>
        </w:rPr>
        <w:t xml:space="preserve">Freedom </w:t>
      </w:r>
      <w:r>
        <w:rPr>
          <w:rStyle w:val="Heading1Char"/>
        </w:rPr>
        <w:t>o</w:t>
      </w:r>
      <w:r w:rsidRPr="004B530C">
        <w:rPr>
          <w:rStyle w:val="Heading1Char"/>
        </w:rPr>
        <w:t xml:space="preserve">f Information Act </w:t>
      </w:r>
      <w:r w:rsidR="004B530C" w:rsidRPr="004B530C">
        <w:rPr>
          <w:rStyle w:val="Heading1Char"/>
        </w:rPr>
        <w:t>2000 (F</w:t>
      </w:r>
      <w:r>
        <w:rPr>
          <w:rStyle w:val="Heading1Char"/>
        </w:rPr>
        <w:t>o</w:t>
      </w:r>
      <w:r w:rsidR="004B530C" w:rsidRPr="004B530C">
        <w:rPr>
          <w:rStyle w:val="Heading1Char"/>
        </w:rPr>
        <w:t>IA)</w:t>
      </w:r>
      <w:bookmarkEnd w:id="16"/>
      <w:bookmarkEnd w:id="17"/>
      <w:r w:rsidR="004B530C" w:rsidRPr="004B530C">
        <w:rPr>
          <w:rStyle w:val="Heading1Char"/>
        </w:rPr>
        <w:t xml:space="preserve"> </w:t>
      </w:r>
    </w:p>
    <w:p w14:paraId="1BB1F303"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The Authority must follow the rules laid down in the Freedom of Information Act 2000. This Act gives anyone the right to ask for information held by the Authority (including tenders received). </w:t>
      </w:r>
    </w:p>
    <w:p w14:paraId="14C46C5F"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If the Authority does not consider it suitable to issue information, it can apply one or more of the exclusions under the Freedom of Information Act. Exclusions that are more likely to apply to contracts and the tendering process are those related to a company’s ‘commercial interests’ and ‘confidentiality’. </w:t>
      </w:r>
    </w:p>
    <w:p w14:paraId="4E7E276B"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The ‘confidentiality’ exclusions can only be used where there is a chance of legal challenge being taken against the Authority for breaking the company’s confidence.</w:t>
      </w:r>
    </w:p>
    <w:p w14:paraId="58BB0278"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If you consider that any of the information provided to the Authority should be excluded from disclosure under the Freedom of Information Act, you must complete the exclusions schedule as part of the tender process, indicating the sections of your tender you consider should be excluded, the clause to be applied and your reason why. This exempt information will then be held separately as Reserved Information. Information that is agreed by the Authority to be Reserved Information will be contained in a separate schedule to the Contract.</w:t>
      </w:r>
    </w:p>
    <w:p w14:paraId="195AA431" w14:textId="77777777" w:rsidR="004B530C" w:rsidRPr="009C67A9" w:rsidRDefault="004B530C" w:rsidP="00521BD8">
      <w:pPr>
        <w:pStyle w:val="ListParagraph"/>
        <w:numPr>
          <w:ilvl w:val="1"/>
          <w:numId w:val="31"/>
        </w:numPr>
        <w:spacing w:before="0" w:after="240"/>
        <w:ind w:left="851" w:hanging="567"/>
        <w:contextualSpacing w:val="0"/>
        <w:rPr>
          <w:rFonts w:ascii="Calibri" w:hAnsi="Calibri" w:cs="Calibri"/>
        </w:rPr>
      </w:pPr>
      <w:r w:rsidRPr="009C67A9">
        <w:rPr>
          <w:rFonts w:ascii="Calibri" w:hAnsi="Calibri" w:cs="Calibri"/>
        </w:rPr>
        <w:t xml:space="preserve">The exclusions schedule that should be completed can be found in Tender Document Part </w:t>
      </w:r>
      <w:r w:rsidR="008562E6" w:rsidRPr="009C67A9">
        <w:rPr>
          <w:rFonts w:ascii="Calibri" w:hAnsi="Calibri" w:cs="Calibri"/>
        </w:rPr>
        <w:t>5</w:t>
      </w:r>
      <w:r w:rsidRPr="009C67A9">
        <w:rPr>
          <w:rFonts w:ascii="Calibri" w:hAnsi="Calibri" w:cs="Calibri"/>
        </w:rPr>
        <w:t xml:space="preserve"> Declarations. </w:t>
      </w:r>
    </w:p>
    <w:p w14:paraId="4559A32C"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Tenderers should be aware that requests for information under the Freedom of Information Act are considered individually and that the decision as to whether requested information would be disclosed lies solely with the Authority.</w:t>
      </w:r>
    </w:p>
    <w:p w14:paraId="1AD5B1BE" w14:textId="77777777" w:rsidR="00521BD8" w:rsidRPr="00521BD8" w:rsidRDefault="00521BD8" w:rsidP="00521BD8">
      <w:pPr>
        <w:pStyle w:val="ListParagraph"/>
        <w:spacing w:before="0" w:after="200" w:line="276" w:lineRule="auto"/>
        <w:ind w:left="1134"/>
        <w:rPr>
          <w:rFonts w:eastAsiaTheme="majorEastAsia" w:cstheme="majorBidi"/>
          <w:b/>
          <w:bCs/>
          <w:color w:val="4F81BD" w:themeColor="accent1"/>
          <w:sz w:val="26"/>
          <w:szCs w:val="26"/>
        </w:rPr>
      </w:pPr>
    </w:p>
    <w:p w14:paraId="131088F0" w14:textId="77777777" w:rsidR="004B530C" w:rsidRPr="004B530C" w:rsidRDefault="00D272B8" w:rsidP="00521BD8">
      <w:pPr>
        <w:pStyle w:val="ListParagraph"/>
        <w:numPr>
          <w:ilvl w:val="0"/>
          <w:numId w:val="31"/>
        </w:numPr>
        <w:spacing w:before="0" w:after="240"/>
        <w:ind w:left="426" w:hanging="426"/>
        <w:contextualSpacing w:val="0"/>
        <w:rPr>
          <w:rStyle w:val="Heading1Char"/>
        </w:rPr>
      </w:pPr>
      <w:bookmarkStart w:id="18" w:name="_Toc531175134"/>
      <w:bookmarkStart w:id="19" w:name="_Toc92198431"/>
      <w:r w:rsidRPr="004B530C">
        <w:rPr>
          <w:rStyle w:val="Heading1Char"/>
        </w:rPr>
        <w:t>Confidentiality</w:t>
      </w:r>
      <w:bookmarkEnd w:id="18"/>
      <w:r>
        <w:rPr>
          <w:rStyle w:val="Heading1Char"/>
        </w:rPr>
        <w:t>, Canvassing and Collusion</w:t>
      </w:r>
      <w:bookmarkEnd w:id="19"/>
      <w:r>
        <w:rPr>
          <w:rStyle w:val="Heading1Char"/>
        </w:rPr>
        <w:t xml:space="preserve"> </w:t>
      </w:r>
    </w:p>
    <w:p w14:paraId="7C621A87"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The tender documentation received shall be treated as private and confidential. </w:t>
      </w:r>
    </w:p>
    <w:p w14:paraId="5AA0A7D9" w14:textId="2B654CC5"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Tenderers shall not disclose that they intend to submit a bid, or discuss the bid that they intend to make, or canvass for its acceptance other than with professional advisors who need to be consulted or any sub-Suppliers as appropriate. </w:t>
      </w:r>
      <w:r w:rsidR="00CB7F51" w:rsidRPr="00521BD8">
        <w:rPr>
          <w:rFonts w:ascii="Calibri" w:hAnsi="Calibri" w:cs="Calibri"/>
        </w:rPr>
        <w:t>Bids</w:t>
      </w:r>
      <w:r w:rsidRPr="00521BD8">
        <w:rPr>
          <w:rFonts w:ascii="Calibri" w:hAnsi="Calibri" w:cs="Calibri"/>
        </w:rPr>
        <w:t xml:space="preserve"> shall not be canvassed or discussed with any other Tenderer or member or officer of the Authority. </w:t>
      </w:r>
    </w:p>
    <w:p w14:paraId="605424F1"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Tenderers shall not at any time release any information concerning the Invitation to Tender or its documentation to the media.</w:t>
      </w:r>
    </w:p>
    <w:p w14:paraId="171A2E16"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lastRenderedPageBreak/>
        <w:t xml:space="preserve">Tenderers shall not enter into any inappropriate agreement with third party fixing or disclosing prices, agreeing to refrain from tendering or offering inducement. </w:t>
      </w:r>
    </w:p>
    <w:p w14:paraId="6266B11F"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Tenderers shall not commit any offence under the Prevention of Corruption Acts 1880 to 1916 or give any fee or reward, the receipt of which is an offence under Section 117 of the Local Government Act 1972. </w:t>
      </w:r>
    </w:p>
    <w:p w14:paraId="18A5D5C5"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If a Tenderer does not observe all confidentiality terms the Authority will reject the tender and may decide not to invite the Tenderer to tender for future work. </w:t>
      </w:r>
    </w:p>
    <w:p w14:paraId="2D06A270"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The Authority’s rejection of a tender will not prevent it from exercising appropriate civil remedies against a Tenderer nor will it prevent criminal proceedings by the appropriate authorities. </w:t>
      </w:r>
    </w:p>
    <w:p w14:paraId="72925B2E" w14:textId="77777777" w:rsidR="004B530C" w:rsidRDefault="004B530C" w:rsidP="004B530C">
      <w:pPr>
        <w:rPr>
          <w:rFonts w:eastAsiaTheme="majorEastAsia" w:cstheme="majorBidi"/>
          <w:b/>
          <w:bCs/>
          <w:color w:val="4F81BD" w:themeColor="accent1"/>
          <w:sz w:val="26"/>
          <w:szCs w:val="26"/>
        </w:rPr>
      </w:pPr>
    </w:p>
    <w:p w14:paraId="73C0F243" w14:textId="77777777" w:rsidR="004B530C" w:rsidRPr="004B530C" w:rsidRDefault="004B530C" w:rsidP="00521BD8">
      <w:pPr>
        <w:pStyle w:val="ListParagraph"/>
        <w:numPr>
          <w:ilvl w:val="0"/>
          <w:numId w:val="31"/>
        </w:numPr>
        <w:spacing w:before="0" w:after="240"/>
        <w:ind w:left="426" w:hanging="426"/>
        <w:contextualSpacing w:val="0"/>
        <w:rPr>
          <w:rStyle w:val="Heading1Char"/>
        </w:rPr>
      </w:pPr>
      <w:bookmarkStart w:id="20" w:name="_Toc531175135"/>
      <w:bookmarkStart w:id="21" w:name="_Toc92198432"/>
      <w:r w:rsidRPr="004B530C">
        <w:rPr>
          <w:rStyle w:val="Heading1Char"/>
        </w:rPr>
        <w:t>TENDERER’S INDIVIDUAL WARRANTIES</w:t>
      </w:r>
      <w:bookmarkEnd w:id="20"/>
      <w:bookmarkEnd w:id="21"/>
      <w:r w:rsidRPr="004B530C">
        <w:rPr>
          <w:rStyle w:val="Heading1Char"/>
        </w:rPr>
        <w:t xml:space="preserve"> </w:t>
      </w:r>
    </w:p>
    <w:p w14:paraId="4C1AEC99" w14:textId="77777777" w:rsidR="004B530C" w:rsidRPr="00D272B8" w:rsidRDefault="004B530C" w:rsidP="004B530C">
      <w:pPr>
        <w:rPr>
          <w:rFonts w:ascii="Calibri" w:hAnsi="Calibri" w:cs="Calibri"/>
        </w:rPr>
      </w:pPr>
      <w:r w:rsidRPr="00D272B8">
        <w:rPr>
          <w:rFonts w:ascii="Calibri" w:hAnsi="Calibri" w:cs="Calibri"/>
        </w:rPr>
        <w:t xml:space="preserve">In submitting, Tenderers warrant, represent and undertakes to the Authority that: </w:t>
      </w:r>
    </w:p>
    <w:p w14:paraId="3FF397F4"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All information, representations and other matters of fact are communicated (whether in writing or otherwise) to the Authority by the Tenderer, its staff or agents in connection with or arising out of the tender are true, complete and accurate in all respects, both as at the date communicated and as at the date of submission of the tender; </w:t>
      </w:r>
    </w:p>
    <w:p w14:paraId="7F193478"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It has made its own investigations and research and has satisfied itself in respect of all matters (whether actual or contingent) relating to the tender and that it has not submitted the tender and will not be entering into the Contract (if the same be awarded to the Tenderer by the Authority) in reliance upon any information, representation or assumption which may have been made by or on behalf of the Authority;</w:t>
      </w:r>
    </w:p>
    <w:p w14:paraId="04FECEB7" w14:textId="7981B226"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It has the power and authority to </w:t>
      </w:r>
      <w:r w:rsidR="00CB7F51" w:rsidRPr="00521BD8">
        <w:rPr>
          <w:rFonts w:ascii="Calibri" w:hAnsi="Calibri" w:cs="Calibri"/>
        </w:rPr>
        <w:t>enter</w:t>
      </w:r>
      <w:r w:rsidRPr="00521BD8">
        <w:rPr>
          <w:rFonts w:ascii="Calibri" w:hAnsi="Calibri" w:cs="Calibri"/>
        </w:rPr>
        <w:t xml:space="preserve"> the Contract and perform the obligations specified in the Contract documents and will if requested, produce evidence of such to the </w:t>
      </w:r>
      <w:r w:rsidR="00CB7F51" w:rsidRPr="00521BD8">
        <w:rPr>
          <w:rFonts w:ascii="Calibri" w:hAnsi="Calibri" w:cs="Calibri"/>
        </w:rPr>
        <w:t>Authority.</w:t>
      </w:r>
      <w:r w:rsidRPr="00521BD8">
        <w:rPr>
          <w:rFonts w:ascii="Calibri" w:hAnsi="Calibri" w:cs="Calibri"/>
        </w:rPr>
        <w:t xml:space="preserve"> </w:t>
      </w:r>
    </w:p>
    <w:p w14:paraId="3E4D0458" w14:textId="60BF3D5B"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It is of sound financial standing and has and will have sufficient working capital, skilled staff, </w:t>
      </w:r>
      <w:r w:rsidR="00CB7F51" w:rsidRPr="00521BD8">
        <w:rPr>
          <w:rFonts w:ascii="Calibri" w:hAnsi="Calibri" w:cs="Calibri"/>
        </w:rPr>
        <w:t>equipment,</w:t>
      </w:r>
      <w:r w:rsidRPr="00521BD8">
        <w:rPr>
          <w:rFonts w:ascii="Calibri" w:hAnsi="Calibri" w:cs="Calibri"/>
        </w:rPr>
        <w:t xml:space="preserve"> and other resources available to perform the obligations specified in the Contract documents; and</w:t>
      </w:r>
    </w:p>
    <w:p w14:paraId="2BAC70D9" w14:textId="77777777" w:rsidR="004B530C" w:rsidRPr="00D272B8" w:rsidRDefault="004B530C" w:rsidP="002B5212">
      <w:pPr>
        <w:pStyle w:val="ListParagraph"/>
        <w:numPr>
          <w:ilvl w:val="1"/>
          <w:numId w:val="31"/>
        </w:numPr>
        <w:spacing w:before="0" w:after="240"/>
        <w:ind w:left="851" w:hanging="567"/>
        <w:contextualSpacing w:val="0"/>
        <w:rPr>
          <w:rFonts w:ascii="Calibri" w:hAnsi="Calibri" w:cs="Calibri"/>
        </w:rPr>
      </w:pPr>
      <w:r w:rsidRPr="00F408BF">
        <w:rPr>
          <w:rFonts w:ascii="Calibri" w:hAnsi="Calibri" w:cs="Calibri"/>
        </w:rPr>
        <w:t>It will not at any time during its appointment under the Contract or at any time thereafter claim or seek to ensure for the purposes of this Contract any lien, charge or other encumbrance over property of whatever nature owned or controlled by the Authority and which is at the time being in possession of the Tenderer.</w:t>
      </w:r>
    </w:p>
    <w:p w14:paraId="1171F63F" w14:textId="1E9EDFE1" w:rsidR="004B530C" w:rsidRPr="004B530C" w:rsidRDefault="004B530C" w:rsidP="00462C63">
      <w:pPr>
        <w:spacing w:before="0" w:after="240"/>
        <w:rPr>
          <w:rStyle w:val="Heading1Char"/>
        </w:rPr>
      </w:pPr>
    </w:p>
    <w:sectPr w:rsidR="004B530C" w:rsidRPr="004B530C" w:rsidSect="00A56D49">
      <w:headerReference w:type="first" r:id="rId13"/>
      <w:pgSz w:w="11904" w:h="16836" w:code="9"/>
      <w:pgMar w:top="1440" w:right="1080" w:bottom="1440" w:left="1080" w:header="720" w:footer="5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30D39" w14:textId="77777777" w:rsidR="00FE30B3" w:rsidRDefault="00FE30B3">
      <w:r>
        <w:separator/>
      </w:r>
    </w:p>
  </w:endnote>
  <w:endnote w:type="continuationSeparator" w:id="0">
    <w:p w14:paraId="6B8CF41B" w14:textId="77777777" w:rsidR="00FE30B3" w:rsidRDefault="00FE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01D9" w14:textId="77777777" w:rsidR="00FE30B3" w:rsidRDefault="00FE30B3">
      <w:r>
        <w:separator/>
      </w:r>
    </w:p>
  </w:footnote>
  <w:footnote w:type="continuationSeparator" w:id="0">
    <w:p w14:paraId="7B6A7FCC" w14:textId="77777777" w:rsidR="00FE30B3" w:rsidRDefault="00FE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D291" w14:textId="77777777" w:rsidR="004B530C" w:rsidRPr="00ED2190" w:rsidRDefault="004B530C">
    <w:pPr>
      <w:pStyle w:val="Header"/>
      <w:rPr>
        <w:sz w:val="32"/>
        <w:szCs w:val="32"/>
      </w:rPr>
    </w:pPr>
    <w:r w:rsidRPr="00E7321B">
      <w:rPr>
        <w:rStyle w:val="Emphasis"/>
        <w:b/>
        <w:bCs/>
        <w:i w:val="0"/>
        <w:iCs w:val="0"/>
        <w:color w:val="76923C" w:themeColor="accent3" w:themeShade="BF"/>
        <w:sz w:val="28"/>
        <w:szCs w:val="28"/>
      </w:rPr>
      <w:t>Invitation to Tender</w:t>
    </w:r>
    <w:r>
      <w:rPr>
        <w:rStyle w:val="Emphasis"/>
        <w:b/>
        <w:bCs/>
        <w:i w:val="0"/>
        <w:iCs w:val="0"/>
        <w:color w:val="76923C" w:themeColor="accent3" w:themeShade="BF"/>
        <w:sz w:val="28"/>
        <w:szCs w:val="28"/>
      </w:rPr>
      <w:t xml:space="preserve">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B81"/>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5699"/>
    <w:multiLevelType w:val="hybridMultilevel"/>
    <w:tmpl w:val="C03E838A"/>
    <w:lvl w:ilvl="0" w:tplc="C91E3D4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A2D03"/>
    <w:multiLevelType w:val="hybridMultilevel"/>
    <w:tmpl w:val="FA622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B37AC"/>
    <w:multiLevelType w:val="multilevel"/>
    <w:tmpl w:val="0A12A0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5757C4"/>
    <w:multiLevelType w:val="hybridMultilevel"/>
    <w:tmpl w:val="6EEE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951B12"/>
    <w:multiLevelType w:val="hybridMultilevel"/>
    <w:tmpl w:val="E9F6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7858BA"/>
    <w:multiLevelType w:val="multilevel"/>
    <w:tmpl w:val="4B4876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F83524"/>
    <w:multiLevelType w:val="hybridMultilevel"/>
    <w:tmpl w:val="C1240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Level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1510D8"/>
    <w:multiLevelType w:val="hybridMultilevel"/>
    <w:tmpl w:val="C8FC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C334B9"/>
    <w:multiLevelType w:val="multilevel"/>
    <w:tmpl w:val="B54CB6F2"/>
    <w:lvl w:ilvl="0">
      <w:start w:val="1"/>
      <w:numFmt w:val="decimal"/>
      <w:pStyle w:val="Heading1"/>
      <w:lvlText w:val="%1."/>
      <w:lvlJc w:val="left"/>
      <w:pPr>
        <w:ind w:left="360" w:hanging="360"/>
      </w:pPr>
      <w:rPr>
        <w:color w:val="76923C" w:themeColor="accent3" w:themeShade="BF"/>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BF0294"/>
    <w:multiLevelType w:val="hybridMultilevel"/>
    <w:tmpl w:val="2D2AF7BE"/>
    <w:lvl w:ilvl="0" w:tplc="4DB6B5C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47FED"/>
    <w:multiLevelType w:val="hybridMultilevel"/>
    <w:tmpl w:val="DE1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81944"/>
    <w:multiLevelType w:val="hybridMultilevel"/>
    <w:tmpl w:val="06AC3F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3863DB"/>
    <w:multiLevelType w:val="hybridMultilevel"/>
    <w:tmpl w:val="177C6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8E53B4F"/>
    <w:multiLevelType w:val="hybridMultilevel"/>
    <w:tmpl w:val="0F523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8443B0"/>
    <w:multiLevelType w:val="multilevel"/>
    <w:tmpl w:val="8B6C3F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75751D"/>
    <w:multiLevelType w:val="hybridMultilevel"/>
    <w:tmpl w:val="9BEA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AD2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1053FC"/>
    <w:multiLevelType w:val="hybridMultilevel"/>
    <w:tmpl w:val="68842AF4"/>
    <w:lvl w:ilvl="0" w:tplc="4E00AEA4">
      <w:start w:val="1"/>
      <w:numFmt w:val="decimal"/>
      <w:lvlText w:val="%1"/>
      <w:lvlJc w:val="left"/>
      <w:pPr>
        <w:tabs>
          <w:tab w:val="num" w:pos="1080"/>
        </w:tabs>
        <w:ind w:left="1080" w:hanging="720"/>
      </w:pPr>
      <w:rPr>
        <w:rFonts w:hint="default"/>
      </w:rPr>
    </w:lvl>
    <w:lvl w:ilvl="1" w:tplc="7D4ADF2A">
      <w:numFmt w:val="none"/>
      <w:lvlText w:val=""/>
      <w:lvlJc w:val="left"/>
      <w:pPr>
        <w:tabs>
          <w:tab w:val="num" w:pos="360"/>
        </w:tabs>
      </w:pPr>
    </w:lvl>
    <w:lvl w:ilvl="2" w:tplc="01B24EE2">
      <w:numFmt w:val="none"/>
      <w:lvlText w:val=""/>
      <w:lvlJc w:val="left"/>
      <w:pPr>
        <w:tabs>
          <w:tab w:val="num" w:pos="360"/>
        </w:tabs>
      </w:pPr>
    </w:lvl>
    <w:lvl w:ilvl="3" w:tplc="875E9CBC">
      <w:numFmt w:val="none"/>
      <w:lvlText w:val=""/>
      <w:lvlJc w:val="left"/>
      <w:pPr>
        <w:tabs>
          <w:tab w:val="num" w:pos="360"/>
        </w:tabs>
      </w:pPr>
    </w:lvl>
    <w:lvl w:ilvl="4" w:tplc="745C7A2A">
      <w:numFmt w:val="none"/>
      <w:lvlText w:val=""/>
      <w:lvlJc w:val="left"/>
      <w:pPr>
        <w:tabs>
          <w:tab w:val="num" w:pos="360"/>
        </w:tabs>
      </w:pPr>
    </w:lvl>
    <w:lvl w:ilvl="5" w:tplc="38EC2872">
      <w:numFmt w:val="none"/>
      <w:lvlText w:val=""/>
      <w:lvlJc w:val="left"/>
      <w:pPr>
        <w:tabs>
          <w:tab w:val="num" w:pos="360"/>
        </w:tabs>
      </w:pPr>
    </w:lvl>
    <w:lvl w:ilvl="6" w:tplc="08169C9C">
      <w:numFmt w:val="none"/>
      <w:lvlText w:val=""/>
      <w:lvlJc w:val="left"/>
      <w:pPr>
        <w:tabs>
          <w:tab w:val="num" w:pos="360"/>
        </w:tabs>
      </w:pPr>
    </w:lvl>
    <w:lvl w:ilvl="7" w:tplc="AC8E558E">
      <w:numFmt w:val="none"/>
      <w:lvlText w:val=""/>
      <w:lvlJc w:val="left"/>
      <w:pPr>
        <w:tabs>
          <w:tab w:val="num" w:pos="360"/>
        </w:tabs>
      </w:pPr>
    </w:lvl>
    <w:lvl w:ilvl="8" w:tplc="80CC8AB0">
      <w:numFmt w:val="none"/>
      <w:lvlText w:val=""/>
      <w:lvlJc w:val="left"/>
      <w:pPr>
        <w:tabs>
          <w:tab w:val="num" w:pos="360"/>
        </w:tabs>
      </w:pPr>
    </w:lvl>
  </w:abstractNum>
  <w:abstractNum w:abstractNumId="19" w15:restartNumberingAfterBreak="0">
    <w:nsid w:val="2C795286"/>
    <w:multiLevelType w:val="hybridMultilevel"/>
    <w:tmpl w:val="D688D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97FB5"/>
    <w:multiLevelType w:val="hybridMultilevel"/>
    <w:tmpl w:val="38708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C00C13"/>
    <w:multiLevelType w:val="hybridMultilevel"/>
    <w:tmpl w:val="D918E5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6D3023"/>
    <w:multiLevelType w:val="hybridMultilevel"/>
    <w:tmpl w:val="88B40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95082"/>
    <w:multiLevelType w:val="hybridMultilevel"/>
    <w:tmpl w:val="A824F8D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10F2C18"/>
    <w:multiLevelType w:val="hybridMultilevel"/>
    <w:tmpl w:val="7E643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53C10"/>
    <w:multiLevelType w:val="hybridMultilevel"/>
    <w:tmpl w:val="D382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C73EA2"/>
    <w:multiLevelType w:val="multilevel"/>
    <w:tmpl w:val="0A12A0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7A7FC2"/>
    <w:multiLevelType w:val="hybridMultilevel"/>
    <w:tmpl w:val="6CEC297C"/>
    <w:lvl w:ilvl="0" w:tplc="FC088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23239"/>
    <w:multiLevelType w:val="hybridMultilevel"/>
    <w:tmpl w:val="DBAE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064552"/>
    <w:multiLevelType w:val="hybridMultilevel"/>
    <w:tmpl w:val="4A842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E41988"/>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113BE"/>
    <w:multiLevelType w:val="hybridMultilevel"/>
    <w:tmpl w:val="1D0A8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FE7220"/>
    <w:multiLevelType w:val="hybridMultilevel"/>
    <w:tmpl w:val="85162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30DF5"/>
    <w:multiLevelType w:val="hybridMultilevel"/>
    <w:tmpl w:val="57AA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53056"/>
    <w:multiLevelType w:val="hybridMultilevel"/>
    <w:tmpl w:val="DDE2BF54"/>
    <w:lvl w:ilvl="0" w:tplc="0809000F">
      <w:start w:val="1"/>
      <w:numFmt w:val="decimal"/>
      <w:lvlText w:val="%1."/>
      <w:lvlJc w:val="left"/>
      <w:pPr>
        <w:tabs>
          <w:tab w:val="num" w:pos="1074"/>
        </w:tabs>
        <w:ind w:left="1074" w:hanging="360"/>
      </w:pPr>
    </w:lvl>
    <w:lvl w:ilvl="1" w:tplc="08090001">
      <w:start w:val="1"/>
      <w:numFmt w:val="bullet"/>
      <w:lvlText w:val=""/>
      <w:lvlJc w:val="left"/>
      <w:pPr>
        <w:tabs>
          <w:tab w:val="num" w:pos="1794"/>
        </w:tabs>
        <w:ind w:left="1794" w:hanging="360"/>
      </w:pPr>
      <w:rPr>
        <w:rFonts w:ascii="Symbol" w:hAnsi="Symbol" w:hint="default"/>
      </w:rPr>
    </w:lvl>
    <w:lvl w:ilvl="2" w:tplc="0809001B">
      <w:start w:val="1"/>
      <w:numFmt w:val="decimal"/>
      <w:lvlText w:val="%3."/>
      <w:lvlJc w:val="left"/>
      <w:pPr>
        <w:tabs>
          <w:tab w:val="num" w:pos="2514"/>
        </w:tabs>
        <w:ind w:left="2514" w:hanging="360"/>
      </w:pPr>
    </w:lvl>
    <w:lvl w:ilvl="3" w:tplc="0809000F">
      <w:start w:val="1"/>
      <w:numFmt w:val="decimal"/>
      <w:lvlText w:val="%4."/>
      <w:lvlJc w:val="left"/>
      <w:pPr>
        <w:tabs>
          <w:tab w:val="num" w:pos="3234"/>
        </w:tabs>
        <w:ind w:left="3234" w:hanging="360"/>
      </w:pPr>
    </w:lvl>
    <w:lvl w:ilvl="4" w:tplc="08090019">
      <w:start w:val="1"/>
      <w:numFmt w:val="decimal"/>
      <w:lvlText w:val="%5."/>
      <w:lvlJc w:val="left"/>
      <w:pPr>
        <w:tabs>
          <w:tab w:val="num" w:pos="3954"/>
        </w:tabs>
        <w:ind w:left="3954" w:hanging="360"/>
      </w:pPr>
    </w:lvl>
    <w:lvl w:ilvl="5" w:tplc="0809001B">
      <w:start w:val="1"/>
      <w:numFmt w:val="decimal"/>
      <w:lvlText w:val="%6."/>
      <w:lvlJc w:val="left"/>
      <w:pPr>
        <w:tabs>
          <w:tab w:val="num" w:pos="4674"/>
        </w:tabs>
        <w:ind w:left="4674" w:hanging="360"/>
      </w:pPr>
    </w:lvl>
    <w:lvl w:ilvl="6" w:tplc="0809000F">
      <w:start w:val="1"/>
      <w:numFmt w:val="decimal"/>
      <w:lvlText w:val="%7."/>
      <w:lvlJc w:val="left"/>
      <w:pPr>
        <w:tabs>
          <w:tab w:val="num" w:pos="5394"/>
        </w:tabs>
        <w:ind w:left="5394" w:hanging="360"/>
      </w:pPr>
    </w:lvl>
    <w:lvl w:ilvl="7" w:tplc="08090019">
      <w:start w:val="1"/>
      <w:numFmt w:val="decimal"/>
      <w:lvlText w:val="%8."/>
      <w:lvlJc w:val="left"/>
      <w:pPr>
        <w:tabs>
          <w:tab w:val="num" w:pos="6114"/>
        </w:tabs>
        <w:ind w:left="6114" w:hanging="360"/>
      </w:pPr>
    </w:lvl>
    <w:lvl w:ilvl="8" w:tplc="0809001B">
      <w:start w:val="1"/>
      <w:numFmt w:val="decimal"/>
      <w:lvlText w:val="%9."/>
      <w:lvlJc w:val="left"/>
      <w:pPr>
        <w:tabs>
          <w:tab w:val="num" w:pos="6834"/>
        </w:tabs>
        <w:ind w:left="6834" w:hanging="360"/>
      </w:pPr>
    </w:lvl>
  </w:abstractNum>
  <w:abstractNum w:abstractNumId="35" w15:restartNumberingAfterBreak="0">
    <w:nsid w:val="68C8068E"/>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B3A8A"/>
    <w:multiLevelType w:val="hybridMultilevel"/>
    <w:tmpl w:val="E0F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C42A0"/>
    <w:multiLevelType w:val="hybridMultilevel"/>
    <w:tmpl w:val="50BE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6F5C3F"/>
    <w:multiLevelType w:val="hybridMultilevel"/>
    <w:tmpl w:val="574C6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85567D"/>
    <w:multiLevelType w:val="hybridMultilevel"/>
    <w:tmpl w:val="86A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14"/>
  </w:num>
  <w:num w:numId="7">
    <w:abstractNumId w:val="39"/>
  </w:num>
  <w:num w:numId="8">
    <w:abstractNumId w:val="28"/>
  </w:num>
  <w:num w:numId="9">
    <w:abstractNumId w:val="31"/>
  </w:num>
  <w:num w:numId="10">
    <w:abstractNumId w:val="8"/>
  </w:num>
  <w:num w:numId="11">
    <w:abstractNumId w:val="4"/>
  </w:num>
  <w:num w:numId="12">
    <w:abstractNumId w:val="32"/>
  </w:num>
  <w:num w:numId="13">
    <w:abstractNumId w:val="36"/>
  </w:num>
  <w:num w:numId="14">
    <w:abstractNumId w:val="24"/>
  </w:num>
  <w:num w:numId="15">
    <w:abstractNumId w:val="35"/>
  </w:num>
  <w:num w:numId="16">
    <w:abstractNumId w:val="19"/>
  </w:num>
  <w:num w:numId="17">
    <w:abstractNumId w:val="16"/>
  </w:num>
  <w:num w:numId="18">
    <w:abstractNumId w:val="29"/>
  </w:num>
  <w:num w:numId="19">
    <w:abstractNumId w:val="5"/>
  </w:num>
  <w:num w:numId="20">
    <w:abstractNumId w:val="21"/>
  </w:num>
  <w:num w:numId="21">
    <w:abstractNumId w:val="38"/>
  </w:num>
  <w:num w:numId="22">
    <w:abstractNumId w:val="12"/>
  </w:num>
  <w:num w:numId="23">
    <w:abstractNumId w:val="1"/>
  </w:num>
  <w:num w:numId="24">
    <w:abstractNumId w:val="30"/>
  </w:num>
  <w:num w:numId="25">
    <w:abstractNumId w:val="0"/>
  </w:num>
  <w:num w:numId="26">
    <w:abstractNumId w:val="18"/>
  </w:num>
  <w:num w:numId="27">
    <w:abstractNumId w:val="22"/>
  </w:num>
  <w:num w:numId="28">
    <w:abstractNumId w:val="20"/>
  </w:num>
  <w:num w:numId="29">
    <w:abstractNumId w:val="37"/>
  </w:num>
  <w:num w:numId="30">
    <w:abstractNumId w:val="11"/>
  </w:num>
  <w:num w:numId="31">
    <w:abstractNumId w:val="9"/>
  </w:num>
  <w:num w:numId="32">
    <w:abstractNumId w:val="6"/>
  </w:num>
  <w:num w:numId="33">
    <w:abstractNumId w:val="23"/>
  </w:num>
  <w:num w:numId="34">
    <w:abstractNumId w:val="17"/>
  </w:num>
  <w:num w:numId="35">
    <w:abstractNumId w:val="3"/>
  </w:num>
  <w:num w:numId="36">
    <w:abstractNumId w:val="26"/>
  </w:num>
  <w:num w:numId="37">
    <w:abstractNumId w:val="10"/>
  </w:num>
  <w:num w:numId="38">
    <w:abstractNumId w:val="2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91"/>
    <w:rsid w:val="00002D3C"/>
    <w:rsid w:val="00007420"/>
    <w:rsid w:val="00011060"/>
    <w:rsid w:val="000148B5"/>
    <w:rsid w:val="0002152B"/>
    <w:rsid w:val="00022D7D"/>
    <w:rsid w:val="00025C35"/>
    <w:rsid w:val="0003400D"/>
    <w:rsid w:val="00043604"/>
    <w:rsid w:val="00043E5E"/>
    <w:rsid w:val="00044860"/>
    <w:rsid w:val="0004784A"/>
    <w:rsid w:val="00047C33"/>
    <w:rsid w:val="000525D1"/>
    <w:rsid w:val="00053A28"/>
    <w:rsid w:val="000641B9"/>
    <w:rsid w:val="0006494A"/>
    <w:rsid w:val="000908FC"/>
    <w:rsid w:val="000A2073"/>
    <w:rsid w:val="000A56FC"/>
    <w:rsid w:val="000A60DB"/>
    <w:rsid w:val="000B15DA"/>
    <w:rsid w:val="000B178C"/>
    <w:rsid w:val="000B2C33"/>
    <w:rsid w:val="000E4CFF"/>
    <w:rsid w:val="000E6F50"/>
    <w:rsid w:val="000F31D3"/>
    <w:rsid w:val="000F42D3"/>
    <w:rsid w:val="000F4B6A"/>
    <w:rsid w:val="001020C2"/>
    <w:rsid w:val="00102847"/>
    <w:rsid w:val="00102ED1"/>
    <w:rsid w:val="00103D9A"/>
    <w:rsid w:val="00106D58"/>
    <w:rsid w:val="0012270F"/>
    <w:rsid w:val="00131529"/>
    <w:rsid w:val="0013359C"/>
    <w:rsid w:val="001407BC"/>
    <w:rsid w:val="001452A6"/>
    <w:rsid w:val="00154939"/>
    <w:rsid w:val="001623F9"/>
    <w:rsid w:val="00166C17"/>
    <w:rsid w:val="0017293D"/>
    <w:rsid w:val="0017527C"/>
    <w:rsid w:val="0017649A"/>
    <w:rsid w:val="00182124"/>
    <w:rsid w:val="001838F8"/>
    <w:rsid w:val="001844A7"/>
    <w:rsid w:val="0018763A"/>
    <w:rsid w:val="00193D4D"/>
    <w:rsid w:val="001A7259"/>
    <w:rsid w:val="001C010C"/>
    <w:rsid w:val="001C6A3D"/>
    <w:rsid w:val="001C7845"/>
    <w:rsid w:val="001F6B2D"/>
    <w:rsid w:val="001F7E1D"/>
    <w:rsid w:val="0020056F"/>
    <w:rsid w:val="002100B3"/>
    <w:rsid w:val="00211BC6"/>
    <w:rsid w:val="00213167"/>
    <w:rsid w:val="002170D9"/>
    <w:rsid w:val="00225262"/>
    <w:rsid w:val="002279FD"/>
    <w:rsid w:val="0023180C"/>
    <w:rsid w:val="002423DD"/>
    <w:rsid w:val="00243DBD"/>
    <w:rsid w:val="00247CF4"/>
    <w:rsid w:val="002616CA"/>
    <w:rsid w:val="00262C1A"/>
    <w:rsid w:val="00266EDF"/>
    <w:rsid w:val="0028000E"/>
    <w:rsid w:val="0028221D"/>
    <w:rsid w:val="00285EB6"/>
    <w:rsid w:val="00286185"/>
    <w:rsid w:val="00287D80"/>
    <w:rsid w:val="00292F0B"/>
    <w:rsid w:val="00293A4B"/>
    <w:rsid w:val="002957F3"/>
    <w:rsid w:val="002976E3"/>
    <w:rsid w:val="002979E2"/>
    <w:rsid w:val="002A797B"/>
    <w:rsid w:val="002B0FBB"/>
    <w:rsid w:val="002B1F5A"/>
    <w:rsid w:val="002B28EB"/>
    <w:rsid w:val="002B688B"/>
    <w:rsid w:val="002B7AFB"/>
    <w:rsid w:val="002C063E"/>
    <w:rsid w:val="002C145C"/>
    <w:rsid w:val="002C2758"/>
    <w:rsid w:val="002C5CD4"/>
    <w:rsid w:val="002D1115"/>
    <w:rsid w:val="002D1CE0"/>
    <w:rsid w:val="002D7A9F"/>
    <w:rsid w:val="002E0B8F"/>
    <w:rsid w:val="002E362C"/>
    <w:rsid w:val="002E372A"/>
    <w:rsid w:val="002E5041"/>
    <w:rsid w:val="002E6EF3"/>
    <w:rsid w:val="002F14ED"/>
    <w:rsid w:val="00303382"/>
    <w:rsid w:val="00303B8C"/>
    <w:rsid w:val="003121E9"/>
    <w:rsid w:val="00314442"/>
    <w:rsid w:val="00315C1A"/>
    <w:rsid w:val="00315C28"/>
    <w:rsid w:val="00320A9B"/>
    <w:rsid w:val="003233D6"/>
    <w:rsid w:val="00327CD0"/>
    <w:rsid w:val="00343346"/>
    <w:rsid w:val="00347896"/>
    <w:rsid w:val="00353E35"/>
    <w:rsid w:val="00357000"/>
    <w:rsid w:val="00363B8A"/>
    <w:rsid w:val="00366403"/>
    <w:rsid w:val="00386ED2"/>
    <w:rsid w:val="00387243"/>
    <w:rsid w:val="00396643"/>
    <w:rsid w:val="003A0036"/>
    <w:rsid w:val="003A424B"/>
    <w:rsid w:val="003B3CC0"/>
    <w:rsid w:val="003C77AD"/>
    <w:rsid w:val="003D1F26"/>
    <w:rsid w:val="003D38C8"/>
    <w:rsid w:val="003E7B98"/>
    <w:rsid w:val="003F32AE"/>
    <w:rsid w:val="0040134D"/>
    <w:rsid w:val="004034E3"/>
    <w:rsid w:val="00405AF1"/>
    <w:rsid w:val="00406722"/>
    <w:rsid w:val="00414C3B"/>
    <w:rsid w:val="004217DC"/>
    <w:rsid w:val="00421CA2"/>
    <w:rsid w:val="004234AB"/>
    <w:rsid w:val="00432FF8"/>
    <w:rsid w:val="0043753D"/>
    <w:rsid w:val="0043789C"/>
    <w:rsid w:val="00441948"/>
    <w:rsid w:val="004529DB"/>
    <w:rsid w:val="00461192"/>
    <w:rsid w:val="00462C63"/>
    <w:rsid w:val="00465B0E"/>
    <w:rsid w:val="004715D0"/>
    <w:rsid w:val="00482190"/>
    <w:rsid w:val="0049528A"/>
    <w:rsid w:val="00495D41"/>
    <w:rsid w:val="004964C0"/>
    <w:rsid w:val="00497CEE"/>
    <w:rsid w:val="004A4243"/>
    <w:rsid w:val="004A6A77"/>
    <w:rsid w:val="004B530C"/>
    <w:rsid w:val="004C385B"/>
    <w:rsid w:val="004C4999"/>
    <w:rsid w:val="004D0DB2"/>
    <w:rsid w:val="004D1208"/>
    <w:rsid w:val="004D5D24"/>
    <w:rsid w:val="004D5FFF"/>
    <w:rsid w:val="004E7AF5"/>
    <w:rsid w:val="004F1E5A"/>
    <w:rsid w:val="00500DAD"/>
    <w:rsid w:val="00513131"/>
    <w:rsid w:val="0051454C"/>
    <w:rsid w:val="00515296"/>
    <w:rsid w:val="005219F4"/>
    <w:rsid w:val="00521BD8"/>
    <w:rsid w:val="00532E48"/>
    <w:rsid w:val="00536BFD"/>
    <w:rsid w:val="005426C5"/>
    <w:rsid w:val="005448AD"/>
    <w:rsid w:val="00547C4A"/>
    <w:rsid w:val="005550A8"/>
    <w:rsid w:val="005572E2"/>
    <w:rsid w:val="005646C0"/>
    <w:rsid w:val="005806AB"/>
    <w:rsid w:val="00581FA5"/>
    <w:rsid w:val="00583A35"/>
    <w:rsid w:val="00584482"/>
    <w:rsid w:val="0059045E"/>
    <w:rsid w:val="00591970"/>
    <w:rsid w:val="005A4651"/>
    <w:rsid w:val="005A65ED"/>
    <w:rsid w:val="005A7466"/>
    <w:rsid w:val="005B2223"/>
    <w:rsid w:val="005B2C0D"/>
    <w:rsid w:val="005C4AFC"/>
    <w:rsid w:val="005C59C2"/>
    <w:rsid w:val="005D39C6"/>
    <w:rsid w:val="005D71E1"/>
    <w:rsid w:val="005E16E2"/>
    <w:rsid w:val="005E1886"/>
    <w:rsid w:val="005E29C3"/>
    <w:rsid w:val="005E317D"/>
    <w:rsid w:val="005E67E6"/>
    <w:rsid w:val="005E6A49"/>
    <w:rsid w:val="005F270D"/>
    <w:rsid w:val="005F2B93"/>
    <w:rsid w:val="00600DA8"/>
    <w:rsid w:val="00603EC3"/>
    <w:rsid w:val="00606C6D"/>
    <w:rsid w:val="006113AF"/>
    <w:rsid w:val="00616D79"/>
    <w:rsid w:val="00617031"/>
    <w:rsid w:val="0062127E"/>
    <w:rsid w:val="0063304B"/>
    <w:rsid w:val="0063595E"/>
    <w:rsid w:val="00635F3B"/>
    <w:rsid w:val="00637A3A"/>
    <w:rsid w:val="0064333E"/>
    <w:rsid w:val="00646F68"/>
    <w:rsid w:val="00650713"/>
    <w:rsid w:val="00656661"/>
    <w:rsid w:val="00667C33"/>
    <w:rsid w:val="006763C6"/>
    <w:rsid w:val="00685B49"/>
    <w:rsid w:val="00690627"/>
    <w:rsid w:val="00695380"/>
    <w:rsid w:val="006A5F24"/>
    <w:rsid w:val="006B0354"/>
    <w:rsid w:val="006B2797"/>
    <w:rsid w:val="006C00B9"/>
    <w:rsid w:val="006C344A"/>
    <w:rsid w:val="006C3C93"/>
    <w:rsid w:val="006D1DE2"/>
    <w:rsid w:val="006E4266"/>
    <w:rsid w:val="006E57F1"/>
    <w:rsid w:val="006E59DB"/>
    <w:rsid w:val="006E7DD5"/>
    <w:rsid w:val="006F538B"/>
    <w:rsid w:val="006F662B"/>
    <w:rsid w:val="00702EFF"/>
    <w:rsid w:val="00712A38"/>
    <w:rsid w:val="00720D5A"/>
    <w:rsid w:val="0072167C"/>
    <w:rsid w:val="00723123"/>
    <w:rsid w:val="00726282"/>
    <w:rsid w:val="007337BB"/>
    <w:rsid w:val="00741DD1"/>
    <w:rsid w:val="00743BB9"/>
    <w:rsid w:val="00743D1D"/>
    <w:rsid w:val="0076073F"/>
    <w:rsid w:val="00762BEB"/>
    <w:rsid w:val="00767C77"/>
    <w:rsid w:val="007700FE"/>
    <w:rsid w:val="007708AA"/>
    <w:rsid w:val="0077457A"/>
    <w:rsid w:val="007868CB"/>
    <w:rsid w:val="00790748"/>
    <w:rsid w:val="00794552"/>
    <w:rsid w:val="00795F64"/>
    <w:rsid w:val="007A07B1"/>
    <w:rsid w:val="007A3E10"/>
    <w:rsid w:val="007A4065"/>
    <w:rsid w:val="007A49CB"/>
    <w:rsid w:val="007A6141"/>
    <w:rsid w:val="007A7F60"/>
    <w:rsid w:val="007B1820"/>
    <w:rsid w:val="007B1D82"/>
    <w:rsid w:val="007C1AF4"/>
    <w:rsid w:val="007C1B65"/>
    <w:rsid w:val="007C2C51"/>
    <w:rsid w:val="007C7C68"/>
    <w:rsid w:val="007D1E37"/>
    <w:rsid w:val="007D3DFA"/>
    <w:rsid w:val="007E3187"/>
    <w:rsid w:val="007E539B"/>
    <w:rsid w:val="007F6AA5"/>
    <w:rsid w:val="007F7272"/>
    <w:rsid w:val="00800AB0"/>
    <w:rsid w:val="00801632"/>
    <w:rsid w:val="00802166"/>
    <w:rsid w:val="00805BBC"/>
    <w:rsid w:val="0081327C"/>
    <w:rsid w:val="0082039C"/>
    <w:rsid w:val="00821382"/>
    <w:rsid w:val="00824FEF"/>
    <w:rsid w:val="00827AF4"/>
    <w:rsid w:val="00831D75"/>
    <w:rsid w:val="00836898"/>
    <w:rsid w:val="00844D42"/>
    <w:rsid w:val="008472CA"/>
    <w:rsid w:val="008473B8"/>
    <w:rsid w:val="008509ED"/>
    <w:rsid w:val="00850B20"/>
    <w:rsid w:val="0085219E"/>
    <w:rsid w:val="008562E6"/>
    <w:rsid w:val="00860268"/>
    <w:rsid w:val="008621A6"/>
    <w:rsid w:val="0086460D"/>
    <w:rsid w:val="00871F10"/>
    <w:rsid w:val="00874525"/>
    <w:rsid w:val="00881C75"/>
    <w:rsid w:val="00891CB8"/>
    <w:rsid w:val="008930EB"/>
    <w:rsid w:val="00893E3B"/>
    <w:rsid w:val="008A21EE"/>
    <w:rsid w:val="008A2707"/>
    <w:rsid w:val="008A4678"/>
    <w:rsid w:val="008B1B16"/>
    <w:rsid w:val="008B5920"/>
    <w:rsid w:val="008B6D94"/>
    <w:rsid w:val="008B79FD"/>
    <w:rsid w:val="008D1D33"/>
    <w:rsid w:val="008D2D72"/>
    <w:rsid w:val="008D493F"/>
    <w:rsid w:val="008D5112"/>
    <w:rsid w:val="008F5F0B"/>
    <w:rsid w:val="009003C8"/>
    <w:rsid w:val="009129E0"/>
    <w:rsid w:val="0091320D"/>
    <w:rsid w:val="009219F9"/>
    <w:rsid w:val="0092434E"/>
    <w:rsid w:val="009249E9"/>
    <w:rsid w:val="00935505"/>
    <w:rsid w:val="009401C0"/>
    <w:rsid w:val="00941C27"/>
    <w:rsid w:val="00942051"/>
    <w:rsid w:val="00942D5D"/>
    <w:rsid w:val="00954D88"/>
    <w:rsid w:val="00961FEF"/>
    <w:rsid w:val="0096397B"/>
    <w:rsid w:val="00971197"/>
    <w:rsid w:val="00974068"/>
    <w:rsid w:val="00976881"/>
    <w:rsid w:val="00992B09"/>
    <w:rsid w:val="00992B71"/>
    <w:rsid w:val="00995794"/>
    <w:rsid w:val="009A0E0D"/>
    <w:rsid w:val="009A138E"/>
    <w:rsid w:val="009C3031"/>
    <w:rsid w:val="009C5AD7"/>
    <w:rsid w:val="009C67A9"/>
    <w:rsid w:val="009D5CC0"/>
    <w:rsid w:val="009D7D1F"/>
    <w:rsid w:val="009F3589"/>
    <w:rsid w:val="009F6686"/>
    <w:rsid w:val="00A00E88"/>
    <w:rsid w:val="00A07F67"/>
    <w:rsid w:val="00A11F3F"/>
    <w:rsid w:val="00A34D30"/>
    <w:rsid w:val="00A4050B"/>
    <w:rsid w:val="00A44C16"/>
    <w:rsid w:val="00A458E2"/>
    <w:rsid w:val="00A4590C"/>
    <w:rsid w:val="00A5577C"/>
    <w:rsid w:val="00A56D49"/>
    <w:rsid w:val="00A603E6"/>
    <w:rsid w:val="00A767EE"/>
    <w:rsid w:val="00A769F8"/>
    <w:rsid w:val="00A815FB"/>
    <w:rsid w:val="00A86049"/>
    <w:rsid w:val="00A9187D"/>
    <w:rsid w:val="00A946F1"/>
    <w:rsid w:val="00AB53F2"/>
    <w:rsid w:val="00AC1EA5"/>
    <w:rsid w:val="00AC2847"/>
    <w:rsid w:val="00AC34DA"/>
    <w:rsid w:val="00AC44E7"/>
    <w:rsid w:val="00AE01AE"/>
    <w:rsid w:val="00AE36D7"/>
    <w:rsid w:val="00AF0E7A"/>
    <w:rsid w:val="00AF4670"/>
    <w:rsid w:val="00AF4B75"/>
    <w:rsid w:val="00AF4EB7"/>
    <w:rsid w:val="00B03403"/>
    <w:rsid w:val="00B03B95"/>
    <w:rsid w:val="00B16210"/>
    <w:rsid w:val="00B22ED4"/>
    <w:rsid w:val="00B26EA8"/>
    <w:rsid w:val="00B304BE"/>
    <w:rsid w:val="00B32D9C"/>
    <w:rsid w:val="00B4244C"/>
    <w:rsid w:val="00B57FCB"/>
    <w:rsid w:val="00B60A9D"/>
    <w:rsid w:val="00B664AF"/>
    <w:rsid w:val="00B7197A"/>
    <w:rsid w:val="00B73033"/>
    <w:rsid w:val="00B84B33"/>
    <w:rsid w:val="00B85B68"/>
    <w:rsid w:val="00B876C6"/>
    <w:rsid w:val="00BA1691"/>
    <w:rsid w:val="00BA3CDA"/>
    <w:rsid w:val="00BC47B6"/>
    <w:rsid w:val="00BD1DBB"/>
    <w:rsid w:val="00BF0963"/>
    <w:rsid w:val="00BF7ADA"/>
    <w:rsid w:val="00BF7D5D"/>
    <w:rsid w:val="00BF7E5B"/>
    <w:rsid w:val="00C014F2"/>
    <w:rsid w:val="00C06F22"/>
    <w:rsid w:val="00C16642"/>
    <w:rsid w:val="00C24301"/>
    <w:rsid w:val="00C245B4"/>
    <w:rsid w:val="00C27FDC"/>
    <w:rsid w:val="00C33427"/>
    <w:rsid w:val="00C36201"/>
    <w:rsid w:val="00C40CAC"/>
    <w:rsid w:val="00C43877"/>
    <w:rsid w:val="00C46B63"/>
    <w:rsid w:val="00C620D5"/>
    <w:rsid w:val="00C639CF"/>
    <w:rsid w:val="00C641B4"/>
    <w:rsid w:val="00C6424C"/>
    <w:rsid w:val="00C73CAB"/>
    <w:rsid w:val="00C73F70"/>
    <w:rsid w:val="00C80E7A"/>
    <w:rsid w:val="00C93173"/>
    <w:rsid w:val="00C93E8C"/>
    <w:rsid w:val="00CA1B6A"/>
    <w:rsid w:val="00CA2D3F"/>
    <w:rsid w:val="00CA3114"/>
    <w:rsid w:val="00CA61F2"/>
    <w:rsid w:val="00CB1BFF"/>
    <w:rsid w:val="00CB7F51"/>
    <w:rsid w:val="00CC32D5"/>
    <w:rsid w:val="00CC3474"/>
    <w:rsid w:val="00CC6704"/>
    <w:rsid w:val="00CD016F"/>
    <w:rsid w:val="00CD1E3B"/>
    <w:rsid w:val="00CE405C"/>
    <w:rsid w:val="00CE411E"/>
    <w:rsid w:val="00CE43F5"/>
    <w:rsid w:val="00CF1622"/>
    <w:rsid w:val="00CF2481"/>
    <w:rsid w:val="00CF7F5C"/>
    <w:rsid w:val="00D013BA"/>
    <w:rsid w:val="00D03A4D"/>
    <w:rsid w:val="00D03BC6"/>
    <w:rsid w:val="00D119F8"/>
    <w:rsid w:val="00D272B8"/>
    <w:rsid w:val="00D30D0C"/>
    <w:rsid w:val="00D3207F"/>
    <w:rsid w:val="00D331AA"/>
    <w:rsid w:val="00D514A4"/>
    <w:rsid w:val="00D51CA3"/>
    <w:rsid w:val="00D61044"/>
    <w:rsid w:val="00D619CA"/>
    <w:rsid w:val="00D73A99"/>
    <w:rsid w:val="00D73F4F"/>
    <w:rsid w:val="00DA2919"/>
    <w:rsid w:val="00DA297B"/>
    <w:rsid w:val="00DA5429"/>
    <w:rsid w:val="00DB193E"/>
    <w:rsid w:val="00DB1A5C"/>
    <w:rsid w:val="00DB2764"/>
    <w:rsid w:val="00DB2D7A"/>
    <w:rsid w:val="00DB53E0"/>
    <w:rsid w:val="00DD0484"/>
    <w:rsid w:val="00DD06BD"/>
    <w:rsid w:val="00DD155B"/>
    <w:rsid w:val="00DD232B"/>
    <w:rsid w:val="00DD2CD6"/>
    <w:rsid w:val="00DF22D9"/>
    <w:rsid w:val="00E0737C"/>
    <w:rsid w:val="00E147BB"/>
    <w:rsid w:val="00E21BD8"/>
    <w:rsid w:val="00E238C1"/>
    <w:rsid w:val="00E25C98"/>
    <w:rsid w:val="00E30221"/>
    <w:rsid w:val="00E309DC"/>
    <w:rsid w:val="00E309F8"/>
    <w:rsid w:val="00E33836"/>
    <w:rsid w:val="00E3390B"/>
    <w:rsid w:val="00E368C2"/>
    <w:rsid w:val="00E42D00"/>
    <w:rsid w:val="00E46731"/>
    <w:rsid w:val="00E47CF2"/>
    <w:rsid w:val="00E507A3"/>
    <w:rsid w:val="00E561D3"/>
    <w:rsid w:val="00E61794"/>
    <w:rsid w:val="00E62708"/>
    <w:rsid w:val="00E63A33"/>
    <w:rsid w:val="00E66385"/>
    <w:rsid w:val="00E67AAA"/>
    <w:rsid w:val="00E72680"/>
    <w:rsid w:val="00E7321B"/>
    <w:rsid w:val="00E738C3"/>
    <w:rsid w:val="00E76F6C"/>
    <w:rsid w:val="00E80B3F"/>
    <w:rsid w:val="00E92F94"/>
    <w:rsid w:val="00E93684"/>
    <w:rsid w:val="00EB14A6"/>
    <w:rsid w:val="00EC0379"/>
    <w:rsid w:val="00EC0B34"/>
    <w:rsid w:val="00ED2190"/>
    <w:rsid w:val="00ED3B58"/>
    <w:rsid w:val="00ED4F3E"/>
    <w:rsid w:val="00ED51DB"/>
    <w:rsid w:val="00EE487E"/>
    <w:rsid w:val="00EF1F23"/>
    <w:rsid w:val="00F014D3"/>
    <w:rsid w:val="00F04C6A"/>
    <w:rsid w:val="00F07028"/>
    <w:rsid w:val="00F11591"/>
    <w:rsid w:val="00F12A31"/>
    <w:rsid w:val="00F12F13"/>
    <w:rsid w:val="00F149B8"/>
    <w:rsid w:val="00F30C63"/>
    <w:rsid w:val="00F408BF"/>
    <w:rsid w:val="00F44EFB"/>
    <w:rsid w:val="00F463CF"/>
    <w:rsid w:val="00F744FF"/>
    <w:rsid w:val="00F934DE"/>
    <w:rsid w:val="00FA3935"/>
    <w:rsid w:val="00FA3F24"/>
    <w:rsid w:val="00FA5B46"/>
    <w:rsid w:val="00FA5C38"/>
    <w:rsid w:val="00FA5FAF"/>
    <w:rsid w:val="00FB09D5"/>
    <w:rsid w:val="00FB09E5"/>
    <w:rsid w:val="00FB1F86"/>
    <w:rsid w:val="00FB50D4"/>
    <w:rsid w:val="00FB5D43"/>
    <w:rsid w:val="00FC0734"/>
    <w:rsid w:val="00FC0F11"/>
    <w:rsid w:val="00FD3BFE"/>
    <w:rsid w:val="00FD4903"/>
    <w:rsid w:val="00FD6224"/>
    <w:rsid w:val="00FD720E"/>
    <w:rsid w:val="00FE30B3"/>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034D43"/>
  <w15:docId w15:val="{4E0314AA-31B0-4D71-90E1-BDD6784E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243"/>
    <w:pPr>
      <w:spacing w:before="120" w:after="120"/>
    </w:pPr>
    <w:rPr>
      <w:rFonts w:ascii="Calibri Light" w:hAnsi="Calibri Light" w:cs="Arial"/>
      <w:sz w:val="22"/>
      <w:szCs w:val="24"/>
      <w:lang w:eastAsia="en-US"/>
    </w:rPr>
  </w:style>
  <w:style w:type="paragraph" w:styleId="Heading1">
    <w:name w:val="heading 1"/>
    <w:basedOn w:val="ListParagraph"/>
    <w:next w:val="Normal"/>
    <w:link w:val="Heading1Char"/>
    <w:qFormat/>
    <w:rsid w:val="00347896"/>
    <w:pPr>
      <w:numPr>
        <w:numId w:val="31"/>
      </w:numPr>
      <w:spacing w:before="0" w:after="240"/>
      <w:contextualSpacing w:val="0"/>
      <w:outlineLvl w:val="0"/>
    </w:pPr>
    <w:rPr>
      <w:rFonts w:ascii="Calibri" w:hAnsi="Calibri"/>
      <w:b/>
      <w:bCs/>
      <w:color w:val="76923C" w:themeColor="accent3" w:themeShade="BF"/>
      <w:sz w:val="28"/>
      <w:szCs w:val="28"/>
    </w:rPr>
  </w:style>
  <w:style w:type="paragraph" w:styleId="Heading2">
    <w:name w:val="heading 2"/>
    <w:aliases w:val="PARA2,Headline 2,nmhd2"/>
    <w:basedOn w:val="Normal"/>
    <w:next w:val="Normal"/>
    <w:link w:val="Heading2Char"/>
    <w:qFormat/>
    <w:rsid w:val="00C80E7A"/>
    <w:pPr>
      <w:keepNext/>
      <w:jc w:val="center"/>
      <w:outlineLvl w:val="1"/>
    </w:pPr>
    <w:rPr>
      <w:b/>
    </w:rPr>
  </w:style>
  <w:style w:type="paragraph" w:styleId="Heading3">
    <w:name w:val="heading 3"/>
    <w:basedOn w:val="Normal"/>
    <w:next w:val="Normal"/>
    <w:link w:val="Heading3Char"/>
    <w:unhideWhenUsed/>
    <w:qFormat/>
    <w:rsid w:val="00C639CF"/>
    <w:pPr>
      <w:keepNext/>
      <w:keepLines/>
      <w:spacing w:before="200"/>
      <w:outlineLvl w:val="2"/>
    </w:pPr>
    <w:rPr>
      <w:rFonts w:ascii="Arial" w:eastAsiaTheme="majorEastAsia" w:hAnsi="Arial" w:cstheme="majorBidi"/>
      <w:b/>
      <w:bCs/>
      <w:color w:val="336600"/>
    </w:rPr>
  </w:style>
  <w:style w:type="paragraph" w:styleId="Heading4">
    <w:name w:val="heading 4"/>
    <w:basedOn w:val="Normal"/>
    <w:next w:val="Normal"/>
    <w:link w:val="Heading4Char"/>
    <w:unhideWhenUsed/>
    <w:qFormat/>
    <w:rsid w:val="00C639CF"/>
    <w:pPr>
      <w:keepNext/>
      <w:spacing w:before="240"/>
      <w:outlineLvl w:val="3"/>
    </w:pPr>
    <w:rPr>
      <w:rFonts w:ascii="Arial" w:eastAsiaTheme="minorEastAsia" w:hAnsi="Arial" w:cstheme="minorBidi"/>
      <w:b/>
      <w:bCs/>
      <w:color w:val="336600"/>
      <w:szCs w:val="28"/>
    </w:rPr>
  </w:style>
  <w:style w:type="paragraph" w:styleId="Heading5">
    <w:name w:val="heading 5"/>
    <w:basedOn w:val="Normal"/>
    <w:next w:val="Normal"/>
    <w:link w:val="Heading5Char"/>
    <w:qFormat/>
    <w:rsid w:val="00C80E7A"/>
    <w:pPr>
      <w:ind w:left="720"/>
      <w:outlineLvl w:val="4"/>
    </w:pPr>
    <w:rPr>
      <w:b/>
    </w:rPr>
  </w:style>
  <w:style w:type="paragraph" w:styleId="Heading6">
    <w:name w:val="heading 6"/>
    <w:basedOn w:val="Normal"/>
    <w:next w:val="Normal"/>
    <w:link w:val="Heading6Char"/>
    <w:unhideWhenUsed/>
    <w:qFormat/>
    <w:rsid w:val="009129E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nhideWhenUsed/>
    <w:qFormat/>
    <w:rsid w:val="00266E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C80E7A"/>
    <w:pPr>
      <w:ind w:left="720"/>
      <w:outlineLvl w:val="7"/>
    </w:pPr>
    <w:rPr>
      <w:i/>
    </w:rPr>
  </w:style>
  <w:style w:type="paragraph" w:styleId="Heading9">
    <w:name w:val="heading 9"/>
    <w:basedOn w:val="Normal"/>
    <w:next w:val="Normal"/>
    <w:link w:val="Heading9Char"/>
    <w:qFormat/>
    <w:rsid w:val="00C80E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896"/>
    <w:rPr>
      <w:rFonts w:ascii="Calibri" w:hAnsi="Calibri" w:cs="Arial"/>
      <w:b/>
      <w:bCs/>
      <w:color w:val="76923C" w:themeColor="accent3" w:themeShade="BF"/>
      <w:sz w:val="28"/>
      <w:szCs w:val="28"/>
      <w:lang w:eastAsia="en-US"/>
    </w:rPr>
  </w:style>
  <w:style w:type="character" w:customStyle="1" w:styleId="Heading2Char">
    <w:name w:val="Heading 2 Char"/>
    <w:aliases w:val="PARA2 Char,Headline 2 Char,nmhd2 Char"/>
    <w:basedOn w:val="DefaultParagraphFont"/>
    <w:link w:val="Heading2"/>
    <w:uiPriority w:val="9"/>
    <w:semiHidden/>
    <w:rsid w:val="008B01A3"/>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8B01A3"/>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8B01A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B01A3"/>
    <w:rPr>
      <w:rFonts w:asciiTheme="majorHAnsi" w:eastAsiaTheme="majorEastAsia" w:hAnsiTheme="majorHAnsi" w:cstheme="majorBidi"/>
      <w:sz w:val="22"/>
      <w:szCs w:val="22"/>
      <w:lang w:eastAsia="en-US"/>
    </w:rPr>
  </w:style>
  <w:style w:type="paragraph" w:styleId="Footer">
    <w:name w:val="footer"/>
    <w:basedOn w:val="Normal"/>
    <w:link w:val="FooterChar"/>
    <w:uiPriority w:val="99"/>
    <w:rsid w:val="00C80E7A"/>
    <w:pPr>
      <w:tabs>
        <w:tab w:val="center" w:pos="4819"/>
        <w:tab w:val="right" w:pos="9071"/>
      </w:tabs>
    </w:pPr>
  </w:style>
  <w:style w:type="character" w:customStyle="1" w:styleId="FooterChar">
    <w:name w:val="Footer Char"/>
    <w:basedOn w:val="DefaultParagraphFont"/>
    <w:link w:val="Footer"/>
    <w:uiPriority w:val="99"/>
    <w:locked/>
    <w:rsid w:val="0059045E"/>
    <w:rPr>
      <w:rFonts w:ascii="CG Times" w:hAnsi="CG Times" w:cs="Times New Roman"/>
      <w:lang w:val="en-GB" w:eastAsia="en-US" w:bidi="ar-SA"/>
    </w:rPr>
  </w:style>
  <w:style w:type="paragraph" w:styleId="Header">
    <w:name w:val="header"/>
    <w:basedOn w:val="Normal"/>
    <w:link w:val="HeaderChar"/>
    <w:rsid w:val="00C80E7A"/>
    <w:pPr>
      <w:tabs>
        <w:tab w:val="center" w:pos="4819"/>
        <w:tab w:val="right" w:pos="9071"/>
      </w:tabs>
    </w:pPr>
  </w:style>
  <w:style w:type="character" w:customStyle="1" w:styleId="HeaderChar">
    <w:name w:val="Header Char"/>
    <w:basedOn w:val="DefaultParagraphFont"/>
    <w:link w:val="Header"/>
    <w:uiPriority w:val="99"/>
    <w:rsid w:val="008B01A3"/>
    <w:rPr>
      <w:rFonts w:ascii="Arial" w:hAnsi="Arial" w:cs="Arial"/>
      <w:sz w:val="24"/>
      <w:szCs w:val="24"/>
      <w:lang w:eastAsia="en-US"/>
    </w:rPr>
  </w:style>
  <w:style w:type="paragraph" w:styleId="BodyText2">
    <w:name w:val="Body Text 2"/>
    <w:basedOn w:val="Normal"/>
    <w:link w:val="BodyText2Char"/>
    <w:rsid w:val="00C80E7A"/>
    <w:pPr>
      <w:ind w:left="1418" w:hanging="698"/>
    </w:pPr>
    <w:rPr>
      <w:rFonts w:ascii="Times New Roman" w:hAnsi="Times New Roman"/>
    </w:rPr>
  </w:style>
  <w:style w:type="character" w:customStyle="1" w:styleId="BodyText2Char">
    <w:name w:val="Body Text 2 Char"/>
    <w:basedOn w:val="DefaultParagraphFont"/>
    <w:link w:val="BodyText2"/>
    <w:uiPriority w:val="99"/>
    <w:semiHidden/>
    <w:rsid w:val="008B01A3"/>
    <w:rPr>
      <w:rFonts w:ascii="Arial" w:hAnsi="Arial" w:cs="Arial"/>
      <w:sz w:val="24"/>
      <w:szCs w:val="24"/>
      <w:lang w:eastAsia="en-US"/>
    </w:rPr>
  </w:style>
  <w:style w:type="paragraph" w:styleId="BodyText">
    <w:name w:val="Body Text"/>
    <w:basedOn w:val="Normal"/>
    <w:link w:val="BodyTextChar"/>
    <w:rsid w:val="00C80E7A"/>
    <w:pPr>
      <w:jc w:val="both"/>
    </w:pPr>
    <w:rPr>
      <w:rFonts w:ascii="Times New Roman" w:hAnsi="Times New Roman"/>
    </w:rPr>
  </w:style>
  <w:style w:type="character" w:customStyle="1" w:styleId="BodyTextChar">
    <w:name w:val="Body Text Char"/>
    <w:basedOn w:val="DefaultParagraphFont"/>
    <w:link w:val="BodyText"/>
    <w:rsid w:val="008B01A3"/>
    <w:rPr>
      <w:rFonts w:ascii="Arial" w:hAnsi="Arial" w:cs="Arial"/>
      <w:sz w:val="24"/>
      <w:szCs w:val="24"/>
      <w:lang w:eastAsia="en-US"/>
    </w:rPr>
  </w:style>
  <w:style w:type="paragraph" w:styleId="BodyText3">
    <w:name w:val="Body Text 3"/>
    <w:basedOn w:val="Normal"/>
    <w:link w:val="BodyText3Char"/>
    <w:rsid w:val="00C80E7A"/>
    <w:pPr>
      <w:jc w:val="both"/>
    </w:pPr>
  </w:style>
  <w:style w:type="character" w:customStyle="1" w:styleId="BodyText3Char">
    <w:name w:val="Body Text 3 Char"/>
    <w:basedOn w:val="DefaultParagraphFont"/>
    <w:link w:val="BodyText3"/>
    <w:uiPriority w:val="99"/>
    <w:semiHidden/>
    <w:rsid w:val="008B01A3"/>
    <w:rPr>
      <w:rFonts w:ascii="Arial" w:hAnsi="Arial" w:cs="Arial"/>
      <w:sz w:val="16"/>
      <w:szCs w:val="16"/>
      <w:lang w:eastAsia="en-US"/>
    </w:rPr>
  </w:style>
  <w:style w:type="character" w:styleId="PageNumber">
    <w:name w:val="page number"/>
    <w:basedOn w:val="DefaultParagraphFont"/>
    <w:rsid w:val="00C80E7A"/>
    <w:rPr>
      <w:rFonts w:cs="Times New Roman"/>
    </w:rPr>
  </w:style>
  <w:style w:type="paragraph" w:styleId="BodyTextIndent">
    <w:name w:val="Body Text Indent"/>
    <w:basedOn w:val="Normal"/>
    <w:link w:val="BodyTextIndentChar"/>
    <w:rsid w:val="00C80E7A"/>
    <w:pPr>
      <w:ind w:left="2160" w:firstLine="720"/>
      <w:jc w:val="both"/>
    </w:pPr>
  </w:style>
  <w:style w:type="character" w:customStyle="1" w:styleId="BodyTextIndentChar">
    <w:name w:val="Body Text Indent Char"/>
    <w:basedOn w:val="DefaultParagraphFont"/>
    <w:link w:val="BodyTextIndent"/>
    <w:semiHidden/>
    <w:rsid w:val="008B01A3"/>
    <w:rPr>
      <w:rFonts w:ascii="Arial" w:hAnsi="Arial" w:cs="Arial"/>
      <w:sz w:val="24"/>
      <w:szCs w:val="24"/>
      <w:lang w:eastAsia="en-US"/>
    </w:rPr>
  </w:style>
  <w:style w:type="paragraph" w:styleId="BodyTextIndent2">
    <w:name w:val="Body Text Indent 2"/>
    <w:basedOn w:val="Normal"/>
    <w:link w:val="BodyTextIndent2Char"/>
    <w:rsid w:val="00C80E7A"/>
    <w:pPr>
      <w:ind w:left="1440" w:hanging="720"/>
      <w:jc w:val="both"/>
    </w:pPr>
  </w:style>
  <w:style w:type="character" w:customStyle="1" w:styleId="BodyTextIndent2Char">
    <w:name w:val="Body Text Indent 2 Char"/>
    <w:basedOn w:val="DefaultParagraphFont"/>
    <w:link w:val="BodyTextIndent2"/>
    <w:uiPriority w:val="99"/>
    <w:semiHidden/>
    <w:rsid w:val="008B01A3"/>
    <w:rPr>
      <w:rFonts w:ascii="Arial" w:hAnsi="Arial" w:cs="Arial"/>
      <w:sz w:val="24"/>
      <w:szCs w:val="24"/>
      <w:lang w:eastAsia="en-US"/>
    </w:rPr>
  </w:style>
  <w:style w:type="paragraph" w:styleId="BodyTextIndent3">
    <w:name w:val="Body Text Indent 3"/>
    <w:basedOn w:val="Normal"/>
    <w:link w:val="BodyTextIndent3Char"/>
    <w:rsid w:val="00C80E7A"/>
    <w:pPr>
      <w:ind w:left="1418" w:hanging="698"/>
      <w:jc w:val="both"/>
    </w:pPr>
  </w:style>
  <w:style w:type="character" w:customStyle="1" w:styleId="BodyTextIndent3Char">
    <w:name w:val="Body Text Indent 3 Char"/>
    <w:basedOn w:val="DefaultParagraphFont"/>
    <w:link w:val="BodyTextIndent3"/>
    <w:uiPriority w:val="99"/>
    <w:semiHidden/>
    <w:rsid w:val="008B01A3"/>
    <w:rPr>
      <w:rFonts w:ascii="Arial" w:hAnsi="Arial" w:cs="Arial"/>
      <w:sz w:val="16"/>
      <w:szCs w:val="16"/>
      <w:lang w:eastAsia="en-US"/>
    </w:rPr>
  </w:style>
  <w:style w:type="paragraph" w:customStyle="1" w:styleId="Style1">
    <w:name w:val="Style1"/>
    <w:basedOn w:val="Normal"/>
    <w:rsid w:val="0013359C"/>
  </w:style>
  <w:style w:type="character" w:styleId="Hyperlink">
    <w:name w:val="Hyperlink"/>
    <w:basedOn w:val="DefaultParagraphFont"/>
    <w:uiPriority w:val="99"/>
    <w:rsid w:val="005C4AFC"/>
    <w:rPr>
      <w:rFonts w:cs="Times New Roman"/>
      <w:color w:val="0000FF"/>
      <w:u w:val="single"/>
    </w:rPr>
  </w:style>
  <w:style w:type="paragraph" w:customStyle="1" w:styleId="Level1">
    <w:name w:val="Level 1"/>
    <w:basedOn w:val="Normal"/>
    <w:rsid w:val="000A60DB"/>
    <w:pPr>
      <w:widowControl w:val="0"/>
      <w:tabs>
        <w:tab w:val="num" w:pos="851"/>
      </w:tabs>
      <w:adjustRightInd w:val="0"/>
      <w:ind w:left="851" w:hanging="851"/>
      <w:textAlignment w:val="baseline"/>
      <w:outlineLvl w:val="0"/>
    </w:pPr>
    <w:rPr>
      <w:lang w:eastAsia="en-GB"/>
    </w:rPr>
  </w:style>
  <w:style w:type="character" w:styleId="FollowedHyperlink">
    <w:name w:val="FollowedHyperlink"/>
    <w:basedOn w:val="DefaultParagraphFont"/>
    <w:rsid w:val="000B2C33"/>
    <w:rPr>
      <w:rFonts w:cs="Times New Roman"/>
      <w:color w:val="800080"/>
      <w:u w:val="single"/>
    </w:rPr>
  </w:style>
  <w:style w:type="table" w:styleId="TableGrid">
    <w:name w:val="Table Grid"/>
    <w:basedOn w:val="TableNormal"/>
    <w:uiPriority w:val="59"/>
    <w:rsid w:val="0059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5E6A49"/>
    <w:rPr>
      <w:rFonts w:cs="Times New Roman"/>
      <w:vertAlign w:val="superscript"/>
    </w:rPr>
  </w:style>
  <w:style w:type="paragraph" w:styleId="FootnoteText">
    <w:name w:val="footnote text"/>
    <w:basedOn w:val="Normal"/>
    <w:link w:val="FootnoteTextChar"/>
    <w:uiPriority w:val="99"/>
    <w:semiHidden/>
    <w:rsid w:val="005E6A49"/>
    <w:rPr>
      <w:rFonts w:ascii="Times New Roman" w:hAnsi="Times New Roman"/>
      <w:lang w:eastAsia="en-GB"/>
    </w:rPr>
  </w:style>
  <w:style w:type="character" w:customStyle="1" w:styleId="FootnoteTextChar">
    <w:name w:val="Footnote Text Char"/>
    <w:basedOn w:val="DefaultParagraphFont"/>
    <w:link w:val="FootnoteText"/>
    <w:uiPriority w:val="99"/>
    <w:semiHidden/>
    <w:rsid w:val="008B01A3"/>
    <w:rPr>
      <w:rFonts w:ascii="Arial" w:hAnsi="Arial" w:cs="Arial"/>
      <w:lang w:eastAsia="en-US"/>
    </w:rPr>
  </w:style>
  <w:style w:type="character" w:styleId="Emphasis">
    <w:name w:val="Emphasis"/>
    <w:basedOn w:val="DefaultParagraphFont"/>
    <w:qFormat/>
    <w:rsid w:val="00386ED2"/>
    <w:rPr>
      <w:i/>
      <w:iCs/>
    </w:rPr>
  </w:style>
  <w:style w:type="paragraph" w:customStyle="1" w:styleId="Level2">
    <w:name w:val="Level 2"/>
    <w:basedOn w:val="Normal"/>
    <w:link w:val="Level2Char"/>
    <w:rsid w:val="00BA3CDA"/>
    <w:pPr>
      <w:widowControl w:val="0"/>
      <w:numPr>
        <w:ilvl w:val="1"/>
        <w:numId w:val="1"/>
      </w:numPr>
      <w:adjustRightInd w:val="0"/>
      <w:spacing w:after="240" w:line="312" w:lineRule="auto"/>
      <w:jc w:val="both"/>
      <w:textAlignment w:val="baseline"/>
      <w:outlineLvl w:val="1"/>
    </w:pPr>
    <w:rPr>
      <w:rFonts w:ascii="Verdana" w:hAnsi="Verdana" w:cs="Times New Roman"/>
      <w:sz w:val="20"/>
      <w:szCs w:val="20"/>
      <w:lang w:eastAsia="en-GB"/>
    </w:rPr>
  </w:style>
  <w:style w:type="character" w:customStyle="1" w:styleId="Level2Char">
    <w:name w:val="Level 2 Char"/>
    <w:link w:val="Level2"/>
    <w:rsid w:val="00BA3CDA"/>
    <w:rPr>
      <w:rFonts w:ascii="Verdana" w:hAnsi="Verdana"/>
    </w:rPr>
  </w:style>
  <w:style w:type="character" w:customStyle="1" w:styleId="Heading6Char">
    <w:name w:val="Heading 6 Char"/>
    <w:basedOn w:val="DefaultParagraphFont"/>
    <w:link w:val="Heading6"/>
    <w:semiHidden/>
    <w:rsid w:val="009129E0"/>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rsid w:val="00C639CF"/>
    <w:rPr>
      <w:rFonts w:ascii="Arial" w:eastAsiaTheme="minorEastAsia" w:hAnsi="Arial" w:cstheme="minorBidi"/>
      <w:b/>
      <w:bCs/>
      <w:color w:val="336600"/>
      <w:sz w:val="22"/>
      <w:szCs w:val="28"/>
      <w:lang w:eastAsia="en-US"/>
    </w:rPr>
  </w:style>
  <w:style w:type="character" w:customStyle="1" w:styleId="Heading7Char">
    <w:name w:val="Heading 7 Char"/>
    <w:basedOn w:val="DefaultParagraphFont"/>
    <w:link w:val="Heading7"/>
    <w:semiHidden/>
    <w:rsid w:val="00266EDF"/>
    <w:rPr>
      <w:rFonts w:asciiTheme="minorHAnsi" w:eastAsiaTheme="minorEastAsia" w:hAnsiTheme="minorHAnsi" w:cstheme="minorBidi"/>
      <w:sz w:val="24"/>
      <w:szCs w:val="24"/>
      <w:lang w:eastAsia="en-US"/>
    </w:rPr>
  </w:style>
  <w:style w:type="paragraph" w:styleId="Title">
    <w:name w:val="Title"/>
    <w:basedOn w:val="Normal"/>
    <w:link w:val="TitleChar"/>
    <w:qFormat/>
    <w:rsid w:val="00266EDF"/>
    <w:pPr>
      <w:jc w:val="center"/>
    </w:pPr>
    <w:rPr>
      <w:rFonts w:ascii="Univers" w:hAnsi="Univers" w:cs="Times New Roman"/>
      <w:b/>
      <w:sz w:val="32"/>
      <w:szCs w:val="20"/>
      <w:u w:val="single"/>
    </w:rPr>
  </w:style>
  <w:style w:type="character" w:customStyle="1" w:styleId="TitleChar">
    <w:name w:val="Title Char"/>
    <w:basedOn w:val="DefaultParagraphFont"/>
    <w:link w:val="Title"/>
    <w:rsid w:val="00266EDF"/>
    <w:rPr>
      <w:rFonts w:ascii="Univers" w:hAnsi="Univers"/>
      <w:b/>
      <w:sz w:val="32"/>
      <w:u w:val="single"/>
      <w:lang w:eastAsia="en-US"/>
    </w:rPr>
  </w:style>
  <w:style w:type="paragraph" w:styleId="BlockText">
    <w:name w:val="Block Text"/>
    <w:basedOn w:val="Normal"/>
    <w:rsid w:val="00266EDF"/>
    <w:pPr>
      <w:spacing w:line="360" w:lineRule="auto"/>
      <w:ind w:left="1985" w:right="-284" w:hanging="1134"/>
      <w:jc w:val="both"/>
    </w:pPr>
    <w:rPr>
      <w:rFonts w:ascii="Univers" w:hAnsi="Univers" w:cs="Times New Roman"/>
      <w:sz w:val="21"/>
      <w:szCs w:val="20"/>
    </w:rPr>
  </w:style>
  <w:style w:type="paragraph" w:styleId="EndnoteText">
    <w:name w:val="endnote text"/>
    <w:basedOn w:val="Normal"/>
    <w:link w:val="EndnoteTextChar"/>
    <w:rsid w:val="00266EDF"/>
    <w:rPr>
      <w:rFonts w:ascii="Times New Roman" w:hAnsi="Times New Roman" w:cs="Times New Roman"/>
      <w:sz w:val="20"/>
      <w:szCs w:val="20"/>
    </w:rPr>
  </w:style>
  <w:style w:type="character" w:customStyle="1" w:styleId="EndnoteTextChar">
    <w:name w:val="Endnote Text Char"/>
    <w:basedOn w:val="DefaultParagraphFont"/>
    <w:link w:val="EndnoteText"/>
    <w:rsid w:val="00266EDF"/>
    <w:rPr>
      <w:lang w:eastAsia="en-US"/>
    </w:rPr>
  </w:style>
  <w:style w:type="paragraph" w:styleId="BalloonText">
    <w:name w:val="Balloon Text"/>
    <w:basedOn w:val="Normal"/>
    <w:link w:val="BalloonTextChar"/>
    <w:rsid w:val="00961FEF"/>
    <w:rPr>
      <w:rFonts w:ascii="Tahoma" w:hAnsi="Tahoma" w:cs="Tahoma"/>
      <w:sz w:val="16"/>
      <w:szCs w:val="16"/>
    </w:rPr>
  </w:style>
  <w:style w:type="character" w:customStyle="1" w:styleId="BalloonTextChar">
    <w:name w:val="Balloon Text Char"/>
    <w:basedOn w:val="DefaultParagraphFont"/>
    <w:link w:val="BalloonText"/>
    <w:rsid w:val="00961FEF"/>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C59C2"/>
    <w:pPr>
      <w:ind w:left="720"/>
      <w:contextualSpacing/>
    </w:pPr>
  </w:style>
  <w:style w:type="paragraph" w:styleId="Revision">
    <w:name w:val="Revision"/>
    <w:hidden/>
    <w:uiPriority w:val="99"/>
    <w:semiHidden/>
    <w:rsid w:val="001C7845"/>
    <w:rPr>
      <w:rFonts w:ascii="Arial" w:hAnsi="Arial" w:cs="Arial"/>
      <w:sz w:val="24"/>
      <w:szCs w:val="24"/>
      <w:lang w:eastAsia="en-US"/>
    </w:rPr>
  </w:style>
  <w:style w:type="character" w:styleId="Strong">
    <w:name w:val="Strong"/>
    <w:basedOn w:val="DefaultParagraphFont"/>
    <w:qFormat/>
    <w:rsid w:val="000A2073"/>
    <w:rPr>
      <w:b/>
      <w:bCs/>
    </w:rPr>
  </w:style>
  <w:style w:type="paragraph" w:styleId="NormalWeb">
    <w:name w:val="Normal (Web)"/>
    <w:basedOn w:val="Normal"/>
    <w:uiPriority w:val="99"/>
    <w:unhideWhenUsed/>
    <w:rsid w:val="000A2073"/>
    <w:pPr>
      <w:spacing w:before="100" w:beforeAutospacing="1" w:after="150" w:line="384" w:lineRule="atLeast"/>
    </w:pPr>
    <w:rPr>
      <w:rFonts w:ascii="Times New Roman" w:hAnsi="Times New Roman" w:cs="Times New Roman"/>
      <w:color w:val="4A4A4A"/>
      <w:lang w:eastAsia="en-GB"/>
    </w:rPr>
  </w:style>
  <w:style w:type="paragraph" w:styleId="NoSpacing">
    <w:name w:val="No Spacing"/>
    <w:uiPriority w:val="1"/>
    <w:qFormat/>
    <w:rsid w:val="00E92F94"/>
    <w:rPr>
      <w:rFonts w:asciiTheme="minorHAnsi" w:eastAsiaTheme="minorHAnsi" w:hAnsiTheme="minorHAnsi" w:cstheme="minorBidi"/>
      <w:sz w:val="22"/>
      <w:szCs w:val="22"/>
      <w:lang w:eastAsia="en-US"/>
    </w:rPr>
  </w:style>
  <w:style w:type="paragraph" w:customStyle="1" w:styleId="Body">
    <w:name w:val="Body"/>
    <w:basedOn w:val="Normal"/>
    <w:rsid w:val="00E63A33"/>
    <w:pPr>
      <w:widowControl w:val="0"/>
      <w:tabs>
        <w:tab w:val="left" w:pos="851"/>
        <w:tab w:val="left" w:pos="1843"/>
        <w:tab w:val="left" w:pos="3119"/>
        <w:tab w:val="left" w:pos="4253"/>
      </w:tabs>
      <w:adjustRightInd w:val="0"/>
      <w:spacing w:after="240" w:line="312" w:lineRule="auto"/>
      <w:jc w:val="both"/>
      <w:textAlignment w:val="baseline"/>
    </w:pPr>
    <w:rPr>
      <w:rFonts w:cs="Times New Roman"/>
      <w:szCs w:val="20"/>
      <w:lang w:eastAsia="en-GB"/>
    </w:rPr>
  </w:style>
  <w:style w:type="paragraph" w:styleId="NormalIndent">
    <w:name w:val="Normal Indent"/>
    <w:basedOn w:val="Normal"/>
    <w:link w:val="NormalIndentChar"/>
    <w:rsid w:val="00AF4B75"/>
    <w:pPr>
      <w:spacing w:after="180"/>
      <w:ind w:left="709"/>
      <w:jc w:val="both"/>
    </w:pPr>
    <w:rPr>
      <w:rFonts w:ascii="Times New Roman" w:hAnsi="Times New Roman" w:cs="Times New Roman"/>
      <w:szCs w:val="20"/>
    </w:rPr>
  </w:style>
  <w:style w:type="character" w:customStyle="1" w:styleId="NormalIndentChar">
    <w:name w:val="Normal Indent Char"/>
    <w:link w:val="NormalIndent"/>
    <w:rsid w:val="00AF4B75"/>
    <w:rPr>
      <w:sz w:val="24"/>
      <w:lang w:eastAsia="en-US"/>
    </w:rPr>
  </w:style>
  <w:style w:type="character" w:customStyle="1" w:styleId="Heading3Char">
    <w:name w:val="Heading 3 Char"/>
    <w:basedOn w:val="DefaultParagraphFont"/>
    <w:link w:val="Heading3"/>
    <w:rsid w:val="00C639CF"/>
    <w:rPr>
      <w:rFonts w:ascii="Arial" w:eastAsiaTheme="majorEastAsia" w:hAnsi="Arial" w:cstheme="majorBidi"/>
      <w:b/>
      <w:bCs/>
      <w:color w:val="336600"/>
      <w:sz w:val="22"/>
      <w:szCs w:val="24"/>
      <w:lang w:eastAsia="en-US"/>
    </w:rPr>
  </w:style>
  <w:style w:type="character" w:styleId="IntenseEmphasis">
    <w:name w:val="Intense Emphasis"/>
    <w:basedOn w:val="DefaultParagraphFont"/>
    <w:uiPriority w:val="21"/>
    <w:qFormat/>
    <w:rsid w:val="00603EC3"/>
    <w:rPr>
      <w:b/>
      <w:bCs/>
      <w:i/>
      <w:iCs/>
      <w:color w:val="4F81BD" w:themeColor="accent1"/>
    </w:rPr>
  </w:style>
  <w:style w:type="paragraph" w:styleId="TOC1">
    <w:name w:val="toc 1"/>
    <w:basedOn w:val="Normal"/>
    <w:next w:val="TOC2"/>
    <w:uiPriority w:val="39"/>
    <w:rsid w:val="00790748"/>
    <w:rPr>
      <w:rFonts w:asciiTheme="minorHAnsi" w:hAnsiTheme="minorHAnsi" w:cstheme="minorHAnsi"/>
      <w:b/>
      <w:bCs/>
      <w:caps/>
      <w:sz w:val="20"/>
      <w:szCs w:val="20"/>
    </w:rPr>
  </w:style>
  <w:style w:type="paragraph" w:styleId="TOC2">
    <w:name w:val="toc 2"/>
    <w:basedOn w:val="Normal"/>
    <w:next w:val="Normal"/>
    <w:autoRedefine/>
    <w:uiPriority w:val="39"/>
    <w:rsid w:val="00790748"/>
    <w:pPr>
      <w:spacing w:before="0" w:after="0"/>
      <w:ind w:left="220"/>
    </w:pPr>
    <w:rPr>
      <w:rFonts w:asciiTheme="minorHAnsi" w:hAnsiTheme="minorHAnsi" w:cstheme="minorHAnsi"/>
      <w:smallCaps/>
      <w:sz w:val="20"/>
      <w:szCs w:val="20"/>
    </w:rPr>
  </w:style>
  <w:style w:type="paragraph" w:customStyle="1" w:styleId="TableSingle">
    <w:name w:val="Table Single"/>
    <w:basedOn w:val="Normal"/>
    <w:rsid w:val="00790748"/>
    <w:pPr>
      <w:pBdr>
        <w:bottom w:val="single" w:sz="6" w:space="1" w:color="auto"/>
        <w:between w:val="single" w:sz="6" w:space="1" w:color="auto"/>
      </w:pBdr>
      <w:spacing w:line="120" w:lineRule="exact"/>
      <w:jc w:val="both"/>
    </w:pPr>
    <w:rPr>
      <w:rFonts w:ascii="Times New Roman" w:hAnsi="Times New Roman" w:cs="Times New Roman"/>
      <w:szCs w:val="20"/>
    </w:rPr>
  </w:style>
  <w:style w:type="paragraph" w:styleId="Subtitle">
    <w:name w:val="Subtitle"/>
    <w:basedOn w:val="Normal"/>
    <w:link w:val="SubtitleChar"/>
    <w:qFormat/>
    <w:rsid w:val="00790748"/>
    <w:pPr>
      <w:jc w:val="center"/>
    </w:pPr>
    <w:rPr>
      <w:rFonts w:cs="Times New Roman"/>
      <w:b/>
      <w:szCs w:val="20"/>
      <w:u w:val="single"/>
    </w:rPr>
  </w:style>
  <w:style w:type="character" w:customStyle="1" w:styleId="SubtitleChar">
    <w:name w:val="Subtitle Char"/>
    <w:basedOn w:val="DefaultParagraphFont"/>
    <w:link w:val="Subtitle"/>
    <w:rsid w:val="00790748"/>
    <w:rPr>
      <w:rFonts w:ascii="Arial" w:hAnsi="Arial"/>
      <w:b/>
      <w:sz w:val="24"/>
      <w:u w:val="single"/>
      <w:lang w:eastAsia="en-US"/>
    </w:rPr>
  </w:style>
  <w:style w:type="paragraph" w:customStyle="1" w:styleId="Level3">
    <w:name w:val="Level 3"/>
    <w:basedOn w:val="Normal"/>
    <w:next w:val="Normal"/>
    <w:rsid w:val="00790748"/>
    <w:p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hAnsi="Times New Roman" w:cs="Times New Roman"/>
      <w:sz w:val="23"/>
      <w:szCs w:val="20"/>
    </w:rPr>
  </w:style>
  <w:style w:type="paragraph" w:customStyle="1" w:styleId="Level4">
    <w:name w:val="Level 4"/>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3"/>
    </w:pPr>
    <w:rPr>
      <w:rFonts w:ascii="Times New Roman" w:hAnsi="Times New Roman" w:cs="Times New Roman"/>
      <w:sz w:val="23"/>
      <w:szCs w:val="20"/>
    </w:rPr>
  </w:style>
  <w:style w:type="paragraph" w:customStyle="1" w:styleId="Level5">
    <w:name w:val="Level 5"/>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hAnsi="Times New Roman" w:cs="Times New Roman"/>
      <w:sz w:val="23"/>
      <w:szCs w:val="20"/>
    </w:rPr>
  </w:style>
  <w:style w:type="paragraph" w:customStyle="1" w:styleId="Level6">
    <w:name w:val="Level 6"/>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hAnsi="Times New Roman" w:cs="Times New Roman"/>
      <w:sz w:val="23"/>
      <w:szCs w:val="20"/>
    </w:rPr>
  </w:style>
  <w:style w:type="paragraph" w:customStyle="1" w:styleId="Level7">
    <w:name w:val="Level 7"/>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hAnsi="Times New Roman" w:cs="Times New Roman"/>
      <w:sz w:val="23"/>
      <w:szCs w:val="20"/>
    </w:rPr>
  </w:style>
  <w:style w:type="paragraph" w:customStyle="1" w:styleId="Level8">
    <w:name w:val="Level 8"/>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hAnsi="Times New Roman" w:cs="Times New Roman"/>
      <w:sz w:val="23"/>
      <w:szCs w:val="20"/>
    </w:rPr>
  </w:style>
  <w:style w:type="paragraph" w:customStyle="1" w:styleId="Body1">
    <w:name w:val="Body 1"/>
    <w:basedOn w:val="Body"/>
    <w:link w:val="Body1Char"/>
    <w:rsid w:val="00790748"/>
    <w:pPr>
      <w:tabs>
        <w:tab w:val="clear" w:pos="851"/>
        <w:tab w:val="clear" w:pos="1843"/>
        <w:tab w:val="clear" w:pos="3119"/>
        <w:tab w:val="clear" w:pos="4253"/>
      </w:tabs>
      <w:ind w:left="851"/>
    </w:pPr>
    <w:rPr>
      <w:rFonts w:ascii="Verdana" w:hAnsi="Verdana"/>
      <w:sz w:val="20"/>
    </w:rPr>
  </w:style>
  <w:style w:type="paragraph" w:customStyle="1" w:styleId="Body2">
    <w:name w:val="Body 2"/>
    <w:basedOn w:val="Body1"/>
    <w:rsid w:val="00790748"/>
  </w:style>
  <w:style w:type="character" w:customStyle="1" w:styleId="Body1Char">
    <w:name w:val="Body 1 Char"/>
    <w:link w:val="Body1"/>
    <w:rsid w:val="00790748"/>
    <w:rPr>
      <w:rFonts w:ascii="Verdana" w:hAnsi="Verdana"/>
    </w:rPr>
  </w:style>
  <w:style w:type="paragraph" w:styleId="DocumentMap">
    <w:name w:val="Document Map"/>
    <w:basedOn w:val="Normal"/>
    <w:link w:val="DocumentMapChar"/>
    <w:rsid w:val="00790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90748"/>
    <w:rPr>
      <w:rFonts w:ascii="Tahoma" w:hAnsi="Tahoma" w:cs="Tahoma"/>
      <w:shd w:val="clear" w:color="auto" w:fill="000080"/>
      <w:lang w:eastAsia="en-US"/>
    </w:rPr>
  </w:style>
  <w:style w:type="paragraph" w:customStyle="1" w:styleId="NumberedIndent">
    <w:name w:val="Numbered Indent"/>
    <w:basedOn w:val="Normal"/>
    <w:rsid w:val="00790748"/>
    <w:pPr>
      <w:tabs>
        <w:tab w:val="num" w:pos="1106"/>
      </w:tabs>
      <w:ind w:left="1106" w:hanging="680"/>
    </w:pPr>
    <w:rPr>
      <w:rFonts w:ascii="Times New Roman" w:hAnsi="Times New Roman" w:cs="Times New Roman"/>
    </w:rPr>
  </w:style>
  <w:style w:type="paragraph" w:customStyle="1" w:styleId="Default">
    <w:name w:val="Default"/>
    <w:basedOn w:val="Normal"/>
    <w:rsid w:val="00790748"/>
    <w:pPr>
      <w:autoSpaceDE w:val="0"/>
      <w:autoSpaceDN w:val="0"/>
    </w:pPr>
    <w:rPr>
      <w:rFonts w:ascii="Helvetica 45 Light" w:eastAsiaTheme="minorHAnsi" w:hAnsi="Helvetica 45 Light" w:cs="Times New Roman"/>
      <w:color w:val="000000"/>
    </w:rPr>
  </w:style>
  <w:style w:type="paragraph" w:styleId="PlainText">
    <w:name w:val="Plain Text"/>
    <w:basedOn w:val="Normal"/>
    <w:link w:val="PlainTextChar"/>
    <w:uiPriority w:val="99"/>
    <w:unhideWhenUsed/>
    <w:rsid w:val="00790748"/>
    <w:rPr>
      <w:rFonts w:ascii="Calibri" w:eastAsia="Calibri" w:hAnsi="Calibri" w:cs="Times New Roman"/>
      <w:szCs w:val="22"/>
    </w:rPr>
  </w:style>
  <w:style w:type="character" w:customStyle="1" w:styleId="PlainTextChar">
    <w:name w:val="Plain Text Char"/>
    <w:basedOn w:val="DefaultParagraphFont"/>
    <w:link w:val="PlainText"/>
    <w:uiPriority w:val="99"/>
    <w:rsid w:val="00790748"/>
    <w:rPr>
      <w:rFonts w:ascii="Calibri" w:eastAsia="Calibri" w:hAnsi="Calibri"/>
      <w:sz w:val="22"/>
      <w:szCs w:val="22"/>
      <w:lang w:eastAsia="en-US"/>
    </w:rPr>
  </w:style>
  <w:style w:type="paragraph" w:styleId="List4">
    <w:name w:val="List 4"/>
    <w:basedOn w:val="Normal"/>
    <w:rsid w:val="00790748"/>
    <w:pPr>
      <w:ind w:left="1132" w:hanging="283"/>
    </w:pPr>
    <w:rPr>
      <w:rFonts w:cs="Times New Roman"/>
      <w:szCs w:val="20"/>
    </w:rPr>
  </w:style>
  <w:style w:type="paragraph" w:styleId="CommentText">
    <w:name w:val="annotation text"/>
    <w:basedOn w:val="Normal"/>
    <w:link w:val="CommentTextChar"/>
    <w:uiPriority w:val="99"/>
    <w:unhideWhenUsed/>
    <w:rsid w:val="00D30D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0D0C"/>
    <w:rPr>
      <w:rFonts w:asciiTheme="minorHAnsi" w:eastAsiaTheme="minorHAnsi" w:hAnsiTheme="minorHAnsi" w:cstheme="minorBidi"/>
      <w:lang w:eastAsia="en-US"/>
    </w:rPr>
  </w:style>
  <w:style w:type="character" w:styleId="CommentReference">
    <w:name w:val="annotation reference"/>
    <w:basedOn w:val="DefaultParagraphFont"/>
    <w:rsid w:val="007B1820"/>
    <w:rPr>
      <w:sz w:val="16"/>
      <w:szCs w:val="16"/>
    </w:rPr>
  </w:style>
  <w:style w:type="paragraph" w:styleId="CommentSubject">
    <w:name w:val="annotation subject"/>
    <w:basedOn w:val="CommentText"/>
    <w:next w:val="CommentText"/>
    <w:link w:val="CommentSubjectChar"/>
    <w:rsid w:val="007B1820"/>
    <w:pPr>
      <w:spacing w:after="0"/>
    </w:pPr>
    <w:rPr>
      <w:rFonts w:ascii="Arial" w:eastAsia="Times New Roman" w:hAnsi="Arial" w:cs="Arial"/>
      <w:b/>
      <w:bCs/>
    </w:rPr>
  </w:style>
  <w:style w:type="character" w:customStyle="1" w:styleId="CommentSubjectChar">
    <w:name w:val="Comment Subject Char"/>
    <w:basedOn w:val="CommentTextChar"/>
    <w:link w:val="CommentSubject"/>
    <w:rsid w:val="007B1820"/>
    <w:rPr>
      <w:rFonts w:ascii="Arial" w:eastAsiaTheme="minorHAnsi" w:hAnsi="Arial" w:cs="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9003C8"/>
    <w:rPr>
      <w:rFonts w:ascii="Arial" w:hAnsi="Arial" w:cs="Arial"/>
      <w:sz w:val="24"/>
      <w:szCs w:val="24"/>
      <w:lang w:eastAsia="en-US"/>
    </w:rPr>
  </w:style>
  <w:style w:type="character" w:styleId="UnresolvedMention">
    <w:name w:val="Unresolved Mention"/>
    <w:basedOn w:val="DefaultParagraphFont"/>
    <w:uiPriority w:val="99"/>
    <w:semiHidden/>
    <w:unhideWhenUsed/>
    <w:rsid w:val="0091320D"/>
    <w:rPr>
      <w:color w:val="605E5C"/>
      <w:shd w:val="clear" w:color="auto" w:fill="E1DFDD"/>
    </w:rPr>
  </w:style>
  <w:style w:type="paragraph" w:styleId="TOCHeading">
    <w:name w:val="TOC Heading"/>
    <w:basedOn w:val="Heading1"/>
    <w:next w:val="Normal"/>
    <w:uiPriority w:val="39"/>
    <w:unhideWhenUsed/>
    <w:qFormat/>
    <w:rsid w:val="00AC34DA"/>
    <w:pPr>
      <w:keepLines/>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E7321B"/>
    <w:pPr>
      <w:spacing w:before="0" w:after="0"/>
      <w:ind w:left="440"/>
    </w:pPr>
    <w:rPr>
      <w:rFonts w:asciiTheme="minorHAnsi" w:hAnsiTheme="minorHAnsi" w:cstheme="minorHAnsi"/>
      <w:i/>
      <w:iCs/>
      <w:sz w:val="20"/>
      <w:szCs w:val="20"/>
    </w:rPr>
  </w:style>
  <w:style w:type="paragraph" w:styleId="TOC4">
    <w:name w:val="toc 4"/>
    <w:basedOn w:val="Normal"/>
    <w:next w:val="Normal"/>
    <w:autoRedefine/>
    <w:unhideWhenUsed/>
    <w:rsid w:val="00E7321B"/>
    <w:pPr>
      <w:spacing w:before="0" w:after="0"/>
      <w:ind w:left="660"/>
    </w:pPr>
    <w:rPr>
      <w:rFonts w:asciiTheme="minorHAnsi" w:hAnsiTheme="minorHAnsi" w:cstheme="minorHAnsi"/>
      <w:sz w:val="18"/>
      <w:szCs w:val="18"/>
    </w:rPr>
  </w:style>
  <w:style w:type="paragraph" w:styleId="TOC5">
    <w:name w:val="toc 5"/>
    <w:basedOn w:val="Normal"/>
    <w:next w:val="Normal"/>
    <w:autoRedefine/>
    <w:unhideWhenUsed/>
    <w:rsid w:val="00E7321B"/>
    <w:pPr>
      <w:spacing w:before="0" w:after="0"/>
      <w:ind w:left="880"/>
    </w:pPr>
    <w:rPr>
      <w:rFonts w:asciiTheme="minorHAnsi" w:hAnsiTheme="minorHAnsi" w:cstheme="minorHAnsi"/>
      <w:sz w:val="18"/>
      <w:szCs w:val="18"/>
    </w:rPr>
  </w:style>
  <w:style w:type="paragraph" w:styleId="TOC6">
    <w:name w:val="toc 6"/>
    <w:basedOn w:val="Normal"/>
    <w:next w:val="Normal"/>
    <w:autoRedefine/>
    <w:unhideWhenUsed/>
    <w:rsid w:val="00E7321B"/>
    <w:pPr>
      <w:spacing w:before="0" w:after="0"/>
      <w:ind w:left="1100"/>
    </w:pPr>
    <w:rPr>
      <w:rFonts w:asciiTheme="minorHAnsi" w:hAnsiTheme="minorHAnsi" w:cstheme="minorHAnsi"/>
      <w:sz w:val="18"/>
      <w:szCs w:val="18"/>
    </w:rPr>
  </w:style>
  <w:style w:type="paragraph" w:styleId="TOC7">
    <w:name w:val="toc 7"/>
    <w:basedOn w:val="Normal"/>
    <w:next w:val="Normal"/>
    <w:autoRedefine/>
    <w:unhideWhenUsed/>
    <w:rsid w:val="00E7321B"/>
    <w:pPr>
      <w:spacing w:before="0" w:after="0"/>
      <w:ind w:left="1320"/>
    </w:pPr>
    <w:rPr>
      <w:rFonts w:asciiTheme="minorHAnsi" w:hAnsiTheme="minorHAnsi" w:cstheme="minorHAnsi"/>
      <w:sz w:val="18"/>
      <w:szCs w:val="18"/>
    </w:rPr>
  </w:style>
  <w:style w:type="paragraph" w:styleId="TOC8">
    <w:name w:val="toc 8"/>
    <w:basedOn w:val="Normal"/>
    <w:next w:val="Normal"/>
    <w:autoRedefine/>
    <w:unhideWhenUsed/>
    <w:rsid w:val="00E7321B"/>
    <w:pPr>
      <w:spacing w:before="0" w:after="0"/>
      <w:ind w:left="1540"/>
    </w:pPr>
    <w:rPr>
      <w:rFonts w:asciiTheme="minorHAnsi" w:hAnsiTheme="minorHAnsi" w:cstheme="minorHAnsi"/>
      <w:sz w:val="18"/>
      <w:szCs w:val="18"/>
    </w:rPr>
  </w:style>
  <w:style w:type="paragraph" w:styleId="TOC9">
    <w:name w:val="toc 9"/>
    <w:basedOn w:val="Normal"/>
    <w:next w:val="Normal"/>
    <w:autoRedefine/>
    <w:unhideWhenUsed/>
    <w:rsid w:val="00E7321B"/>
    <w:pPr>
      <w:spacing w:before="0"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91766">
      <w:bodyDiv w:val="1"/>
      <w:marLeft w:val="0"/>
      <w:marRight w:val="0"/>
      <w:marTop w:val="0"/>
      <w:marBottom w:val="0"/>
      <w:divBdr>
        <w:top w:val="none" w:sz="0" w:space="0" w:color="auto"/>
        <w:left w:val="none" w:sz="0" w:space="0" w:color="auto"/>
        <w:bottom w:val="none" w:sz="0" w:space="0" w:color="auto"/>
        <w:right w:val="none" w:sz="0" w:space="0" w:color="auto"/>
      </w:divBdr>
    </w:div>
    <w:div w:id="619846016">
      <w:bodyDiv w:val="1"/>
      <w:marLeft w:val="0"/>
      <w:marRight w:val="0"/>
      <w:marTop w:val="0"/>
      <w:marBottom w:val="0"/>
      <w:divBdr>
        <w:top w:val="none" w:sz="0" w:space="0" w:color="auto"/>
        <w:left w:val="none" w:sz="0" w:space="0" w:color="auto"/>
        <w:bottom w:val="none" w:sz="0" w:space="0" w:color="auto"/>
        <w:right w:val="none" w:sz="0" w:space="0" w:color="auto"/>
      </w:divBdr>
    </w:div>
    <w:div w:id="671447755">
      <w:bodyDiv w:val="1"/>
      <w:marLeft w:val="0"/>
      <w:marRight w:val="0"/>
      <w:marTop w:val="0"/>
      <w:marBottom w:val="0"/>
      <w:divBdr>
        <w:top w:val="none" w:sz="0" w:space="0" w:color="auto"/>
        <w:left w:val="none" w:sz="0" w:space="0" w:color="auto"/>
        <w:bottom w:val="none" w:sz="0" w:space="0" w:color="auto"/>
        <w:right w:val="none" w:sz="0" w:space="0" w:color="auto"/>
      </w:divBdr>
    </w:div>
    <w:div w:id="805005602">
      <w:bodyDiv w:val="1"/>
      <w:marLeft w:val="0"/>
      <w:marRight w:val="0"/>
      <w:marTop w:val="0"/>
      <w:marBottom w:val="0"/>
      <w:divBdr>
        <w:top w:val="none" w:sz="0" w:space="0" w:color="auto"/>
        <w:left w:val="none" w:sz="0" w:space="0" w:color="auto"/>
        <w:bottom w:val="none" w:sz="0" w:space="0" w:color="auto"/>
        <w:right w:val="none" w:sz="0" w:space="0" w:color="auto"/>
      </w:divBdr>
    </w:div>
    <w:div w:id="1562787648">
      <w:bodyDiv w:val="1"/>
      <w:marLeft w:val="0"/>
      <w:marRight w:val="0"/>
      <w:marTop w:val="0"/>
      <w:marBottom w:val="0"/>
      <w:divBdr>
        <w:top w:val="none" w:sz="0" w:space="0" w:color="auto"/>
        <w:left w:val="none" w:sz="0" w:space="0" w:color="auto"/>
        <w:bottom w:val="none" w:sz="0" w:space="0" w:color="auto"/>
        <w:right w:val="none" w:sz="0" w:space="0" w:color="auto"/>
      </w:divBdr>
      <w:divsChild>
        <w:div w:id="236938363">
          <w:marLeft w:val="0"/>
          <w:marRight w:val="0"/>
          <w:marTop w:val="0"/>
          <w:marBottom w:val="0"/>
          <w:divBdr>
            <w:top w:val="none" w:sz="0" w:space="0" w:color="auto"/>
            <w:left w:val="none" w:sz="0" w:space="0" w:color="auto"/>
            <w:bottom w:val="none" w:sz="0" w:space="0" w:color="auto"/>
            <w:right w:val="none" w:sz="0" w:space="0" w:color="auto"/>
          </w:divBdr>
          <w:divsChild>
            <w:div w:id="667485271">
              <w:marLeft w:val="0"/>
              <w:marRight w:val="0"/>
              <w:marTop w:val="0"/>
              <w:marBottom w:val="0"/>
              <w:divBdr>
                <w:top w:val="none" w:sz="0" w:space="0" w:color="auto"/>
                <w:left w:val="none" w:sz="0" w:space="0" w:color="auto"/>
                <w:bottom w:val="none" w:sz="0" w:space="0" w:color="auto"/>
                <w:right w:val="none" w:sz="0" w:space="0" w:color="auto"/>
              </w:divBdr>
              <w:divsChild>
                <w:div w:id="1121147558">
                  <w:marLeft w:val="0"/>
                  <w:marRight w:val="0"/>
                  <w:marTop w:val="0"/>
                  <w:marBottom w:val="0"/>
                  <w:divBdr>
                    <w:top w:val="none" w:sz="0" w:space="0" w:color="auto"/>
                    <w:left w:val="none" w:sz="0" w:space="0" w:color="auto"/>
                    <w:bottom w:val="none" w:sz="0" w:space="0" w:color="auto"/>
                    <w:right w:val="none" w:sz="0" w:space="0" w:color="auto"/>
                  </w:divBdr>
                  <w:divsChild>
                    <w:div w:id="348411258">
                      <w:marLeft w:val="0"/>
                      <w:marRight w:val="0"/>
                      <w:marTop w:val="0"/>
                      <w:marBottom w:val="0"/>
                      <w:divBdr>
                        <w:top w:val="none" w:sz="0" w:space="0" w:color="auto"/>
                        <w:left w:val="none" w:sz="0" w:space="0" w:color="auto"/>
                        <w:bottom w:val="none" w:sz="0" w:space="0" w:color="auto"/>
                        <w:right w:val="none" w:sz="0" w:space="0" w:color="auto"/>
                      </w:divBdr>
                      <w:divsChild>
                        <w:div w:id="503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01916">
      <w:bodyDiv w:val="1"/>
      <w:marLeft w:val="0"/>
      <w:marRight w:val="0"/>
      <w:marTop w:val="0"/>
      <w:marBottom w:val="0"/>
      <w:divBdr>
        <w:top w:val="none" w:sz="0" w:space="0" w:color="auto"/>
        <w:left w:val="none" w:sz="0" w:space="0" w:color="auto"/>
        <w:bottom w:val="none" w:sz="0" w:space="0" w:color="auto"/>
        <w:right w:val="none" w:sz="0" w:space="0" w:color="auto"/>
      </w:divBdr>
    </w:div>
    <w:div w:id="1634746490">
      <w:bodyDiv w:val="1"/>
      <w:marLeft w:val="0"/>
      <w:marRight w:val="0"/>
      <w:marTop w:val="0"/>
      <w:marBottom w:val="0"/>
      <w:divBdr>
        <w:top w:val="none" w:sz="0" w:space="0" w:color="auto"/>
        <w:left w:val="none" w:sz="0" w:space="0" w:color="auto"/>
        <w:bottom w:val="none" w:sz="0" w:space="0" w:color="auto"/>
        <w:right w:val="none" w:sz="0" w:space="0" w:color="auto"/>
      </w:divBdr>
    </w:div>
    <w:div w:id="1664353280">
      <w:bodyDiv w:val="1"/>
      <w:marLeft w:val="0"/>
      <w:marRight w:val="0"/>
      <w:marTop w:val="0"/>
      <w:marBottom w:val="0"/>
      <w:divBdr>
        <w:top w:val="none" w:sz="0" w:space="0" w:color="auto"/>
        <w:left w:val="none" w:sz="0" w:space="0" w:color="auto"/>
        <w:bottom w:val="none" w:sz="0" w:space="0" w:color="auto"/>
        <w:right w:val="none" w:sz="0" w:space="0" w:color="auto"/>
      </w:divBdr>
      <w:divsChild>
        <w:div w:id="973564618">
          <w:marLeft w:val="0"/>
          <w:marRight w:val="0"/>
          <w:marTop w:val="0"/>
          <w:marBottom w:val="0"/>
          <w:divBdr>
            <w:top w:val="none" w:sz="0" w:space="0" w:color="auto"/>
            <w:left w:val="none" w:sz="0" w:space="0" w:color="auto"/>
            <w:bottom w:val="none" w:sz="0" w:space="0" w:color="auto"/>
            <w:right w:val="none" w:sz="0" w:space="0" w:color="auto"/>
          </w:divBdr>
          <w:divsChild>
            <w:div w:id="1656959014">
              <w:marLeft w:val="0"/>
              <w:marRight w:val="0"/>
              <w:marTop w:val="0"/>
              <w:marBottom w:val="0"/>
              <w:divBdr>
                <w:top w:val="none" w:sz="0" w:space="0" w:color="auto"/>
                <w:left w:val="none" w:sz="0" w:space="0" w:color="auto"/>
                <w:bottom w:val="none" w:sz="0" w:space="0" w:color="auto"/>
                <w:right w:val="none" w:sz="0" w:space="0" w:color="auto"/>
              </w:divBdr>
              <w:divsChild>
                <w:div w:id="1480145897">
                  <w:marLeft w:val="0"/>
                  <w:marRight w:val="0"/>
                  <w:marTop w:val="0"/>
                  <w:marBottom w:val="0"/>
                  <w:divBdr>
                    <w:top w:val="none" w:sz="0" w:space="0" w:color="auto"/>
                    <w:left w:val="none" w:sz="0" w:space="0" w:color="auto"/>
                    <w:bottom w:val="none" w:sz="0" w:space="0" w:color="auto"/>
                    <w:right w:val="none" w:sz="0" w:space="0" w:color="auto"/>
                  </w:divBdr>
                  <w:divsChild>
                    <w:div w:id="326052521">
                      <w:marLeft w:val="0"/>
                      <w:marRight w:val="0"/>
                      <w:marTop w:val="0"/>
                      <w:marBottom w:val="0"/>
                      <w:divBdr>
                        <w:top w:val="none" w:sz="0" w:space="0" w:color="auto"/>
                        <w:left w:val="none" w:sz="0" w:space="0" w:color="auto"/>
                        <w:bottom w:val="none" w:sz="0" w:space="0" w:color="auto"/>
                        <w:right w:val="none" w:sz="0" w:space="0" w:color="auto"/>
                      </w:divBdr>
                      <w:divsChild>
                        <w:div w:id="1010065745">
                          <w:marLeft w:val="0"/>
                          <w:marRight w:val="0"/>
                          <w:marTop w:val="0"/>
                          <w:marBottom w:val="0"/>
                          <w:divBdr>
                            <w:top w:val="none" w:sz="0" w:space="0" w:color="auto"/>
                            <w:left w:val="none" w:sz="0" w:space="0" w:color="auto"/>
                            <w:bottom w:val="none" w:sz="0" w:space="0" w:color="auto"/>
                            <w:right w:val="none" w:sz="0" w:space="0" w:color="auto"/>
                          </w:divBdr>
                          <w:divsChild>
                            <w:div w:id="1468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2">
                      <w:marLeft w:val="0"/>
                      <w:marRight w:val="0"/>
                      <w:marTop w:val="0"/>
                      <w:marBottom w:val="0"/>
                      <w:divBdr>
                        <w:top w:val="none" w:sz="0" w:space="0" w:color="auto"/>
                        <w:left w:val="none" w:sz="0" w:space="0" w:color="auto"/>
                        <w:bottom w:val="none" w:sz="0" w:space="0" w:color="auto"/>
                        <w:right w:val="none" w:sz="0" w:space="0" w:color="auto"/>
                      </w:divBdr>
                      <w:divsChild>
                        <w:div w:id="14458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9560">
      <w:bodyDiv w:val="1"/>
      <w:marLeft w:val="0"/>
      <w:marRight w:val="0"/>
      <w:marTop w:val="0"/>
      <w:marBottom w:val="0"/>
      <w:divBdr>
        <w:top w:val="none" w:sz="0" w:space="0" w:color="auto"/>
        <w:left w:val="none" w:sz="0" w:space="0" w:color="auto"/>
        <w:bottom w:val="none" w:sz="0" w:space="0" w:color="auto"/>
        <w:right w:val="none" w:sz="0" w:space="0" w:color="auto"/>
      </w:divBdr>
    </w:div>
    <w:div w:id="1756777796">
      <w:bodyDiv w:val="1"/>
      <w:marLeft w:val="0"/>
      <w:marRight w:val="0"/>
      <w:marTop w:val="0"/>
      <w:marBottom w:val="0"/>
      <w:divBdr>
        <w:top w:val="none" w:sz="0" w:space="0" w:color="auto"/>
        <w:left w:val="none" w:sz="0" w:space="0" w:color="auto"/>
        <w:bottom w:val="none" w:sz="0" w:space="0" w:color="auto"/>
        <w:right w:val="none" w:sz="0" w:space="0" w:color="auto"/>
      </w:divBdr>
    </w:div>
    <w:div w:id="2108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tende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effieldcityreg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ffieldcityregion.org.uk/" TargetMode="External"/><Relationship Id="rId4" Type="http://schemas.openxmlformats.org/officeDocument/2006/relationships/settings" Target="settings.xml"/><Relationship Id="rId9" Type="http://schemas.openxmlformats.org/officeDocument/2006/relationships/image" Target="cid:image001.png@01D7ED06.5D4F8C4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w\OneDrive%20-%20SYMCA\Documents\MW%20%20Sample%20Tender%20Documents\ITT_Part1_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310E-FDC3-4FA3-9503-85642298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ITT_Part1_Instructions</Template>
  <TotalTime>160</TotalTime>
  <Pages>11</Pages>
  <Words>3985</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Sheffield City Region</vt:lpstr>
    </vt:vector>
  </TitlesOfParts>
  <Company>Sheffield City Region</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City Region</dc:title>
  <dc:creator>Mark Wright</dc:creator>
  <cp:lastModifiedBy>Jill Smith</cp:lastModifiedBy>
  <cp:revision>83</cp:revision>
  <cp:lastPrinted>2019-03-25T09:41:00Z</cp:lastPrinted>
  <dcterms:created xsi:type="dcterms:W3CDTF">2021-12-10T14:50:00Z</dcterms:created>
  <dcterms:modified xsi:type="dcterms:W3CDTF">2022-01-06T17:56:00Z</dcterms:modified>
</cp:coreProperties>
</file>