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88" w:rsidRDefault="00936C6A" w:rsidP="00936C6A">
      <w:pPr>
        <w:spacing w:line="291" w:lineRule="exact"/>
        <w:ind w:right="648"/>
        <w:jc w:val="both"/>
        <w:textAlignment w:val="baseline"/>
        <w:rPr>
          <w:rFonts w:ascii="Calibri" w:eastAsia="Calibri" w:hAnsi="Calibri"/>
          <w:b/>
          <w:color w:val="000000"/>
        </w:rPr>
      </w:pPr>
      <w:r>
        <w:rPr>
          <w:rFonts w:ascii="Calibri" w:eastAsia="Calibri" w:hAnsi="Calibri"/>
          <w:b/>
          <w:color w:val="000000"/>
        </w:rPr>
        <w:t xml:space="preserve">ANNEX 2: INFORMATION FOR </w:t>
      </w:r>
      <w:r w:rsidR="005719C6">
        <w:rPr>
          <w:rFonts w:ascii="Calibri" w:eastAsia="Calibri" w:hAnsi="Calibri"/>
          <w:b/>
          <w:color w:val="000000"/>
        </w:rPr>
        <w:t>APPLICANTS</w:t>
      </w:r>
      <w:r>
        <w:rPr>
          <w:rFonts w:ascii="Calibri" w:eastAsia="Calibri" w:hAnsi="Calibri"/>
          <w:b/>
          <w:color w:val="000000"/>
        </w:rPr>
        <w:t xml:space="preserve"> </w:t>
      </w:r>
      <w:r w:rsidR="005719C6">
        <w:rPr>
          <w:rFonts w:ascii="Calibri" w:eastAsia="Calibri" w:hAnsi="Calibri"/>
          <w:b/>
          <w:color w:val="000000"/>
        </w:rPr>
        <w:t xml:space="preserve">to </w:t>
      </w:r>
      <w:r>
        <w:rPr>
          <w:rFonts w:ascii="Calibri" w:eastAsia="Calibri" w:hAnsi="Calibri"/>
          <w:b/>
          <w:color w:val="000000"/>
        </w:rPr>
        <w:t xml:space="preserve">the </w:t>
      </w:r>
      <w:r w:rsidR="005719C6">
        <w:rPr>
          <w:rFonts w:ascii="Calibri" w:eastAsia="Calibri" w:hAnsi="Calibri"/>
          <w:b/>
          <w:color w:val="000000"/>
        </w:rPr>
        <w:t xml:space="preserve">DPS for the </w:t>
      </w:r>
      <w:r>
        <w:rPr>
          <w:rFonts w:ascii="Calibri" w:eastAsia="Calibri" w:hAnsi="Calibri"/>
          <w:b/>
          <w:color w:val="000000"/>
        </w:rPr>
        <w:t>Provision of Accommodation and Support for Care Leavers</w:t>
      </w:r>
    </w:p>
    <w:p w:rsidR="005B2688" w:rsidRDefault="00936C6A" w:rsidP="00936C6A">
      <w:pPr>
        <w:spacing w:before="201" w:line="307" w:lineRule="exact"/>
        <w:ind w:right="792"/>
        <w:jc w:val="both"/>
        <w:textAlignment w:val="baseline"/>
        <w:rPr>
          <w:rFonts w:ascii="Calibri" w:eastAsia="Calibri" w:hAnsi="Calibri"/>
          <w:b/>
          <w:color w:val="000000"/>
        </w:rPr>
      </w:pPr>
      <w:r>
        <w:rPr>
          <w:rFonts w:ascii="Calibri" w:eastAsia="Calibri" w:hAnsi="Calibri"/>
          <w:b/>
          <w:color w:val="000000"/>
        </w:rPr>
        <w:t xml:space="preserve">This contains important information about the </w:t>
      </w:r>
      <w:r w:rsidR="005719C6">
        <w:rPr>
          <w:rFonts w:ascii="Calibri" w:eastAsia="Calibri" w:hAnsi="Calibri"/>
          <w:b/>
          <w:color w:val="000000"/>
        </w:rPr>
        <w:t xml:space="preserve">operation of the </w:t>
      </w:r>
      <w:r>
        <w:rPr>
          <w:rFonts w:ascii="Calibri" w:eastAsia="Calibri" w:hAnsi="Calibri"/>
          <w:b/>
          <w:color w:val="000000"/>
        </w:rPr>
        <w:t>DPS and must be read by all interested Providers.</w:t>
      </w:r>
    </w:p>
    <w:p w:rsidR="005B2688" w:rsidRDefault="00936C6A" w:rsidP="00936C6A">
      <w:pPr>
        <w:spacing w:before="283" w:line="226" w:lineRule="exact"/>
        <w:jc w:val="both"/>
        <w:textAlignment w:val="baseline"/>
        <w:rPr>
          <w:rFonts w:ascii="Calibri" w:eastAsia="Calibri" w:hAnsi="Calibri"/>
          <w:b/>
          <w:color w:val="000000"/>
        </w:rPr>
      </w:pPr>
      <w:r>
        <w:rPr>
          <w:rFonts w:ascii="Calibri" w:eastAsia="Calibri" w:hAnsi="Calibri"/>
          <w:b/>
          <w:color w:val="000000"/>
        </w:rPr>
        <w:t xml:space="preserve">DPS COMMENCEMENT DATE: </w:t>
      </w:r>
      <w:r>
        <w:rPr>
          <w:rFonts w:ascii="Calibri" w:eastAsia="Calibri" w:hAnsi="Calibri"/>
          <w:color w:val="000000"/>
        </w:rPr>
        <w:t>1 March 2018</w:t>
      </w:r>
    </w:p>
    <w:p w:rsidR="005B2688" w:rsidRDefault="005719C6" w:rsidP="00936C6A">
      <w:pPr>
        <w:spacing w:before="283" w:line="226" w:lineRule="exact"/>
        <w:jc w:val="both"/>
        <w:textAlignment w:val="baseline"/>
        <w:rPr>
          <w:rFonts w:ascii="Calibri" w:eastAsia="Calibri" w:hAnsi="Calibri"/>
          <w:b/>
          <w:color w:val="000000"/>
        </w:rPr>
      </w:pPr>
      <w:r>
        <w:rPr>
          <w:rFonts w:ascii="Calibri" w:eastAsia="Calibri" w:hAnsi="Calibri"/>
          <w:b/>
          <w:color w:val="000000"/>
        </w:rPr>
        <w:t xml:space="preserve">DPS </w:t>
      </w:r>
      <w:r w:rsidR="00936C6A">
        <w:rPr>
          <w:rFonts w:ascii="Calibri" w:eastAsia="Calibri" w:hAnsi="Calibri"/>
          <w:b/>
          <w:color w:val="000000"/>
        </w:rPr>
        <w:t xml:space="preserve">DURATION: </w:t>
      </w:r>
      <w:r w:rsidR="004F62A4">
        <w:rPr>
          <w:rFonts w:ascii="Calibri" w:eastAsia="Calibri" w:hAnsi="Calibri"/>
          <w:b/>
          <w:color w:val="000000"/>
        </w:rPr>
        <w:t xml:space="preserve"> </w:t>
      </w:r>
      <w:r w:rsidR="00936C6A">
        <w:rPr>
          <w:rFonts w:ascii="Calibri" w:eastAsia="Calibri" w:hAnsi="Calibri"/>
          <w:color w:val="000000"/>
        </w:rPr>
        <w:t>36 months with optional extension clause of up to 36 months.</w:t>
      </w:r>
    </w:p>
    <w:p w:rsidR="005B2688" w:rsidRDefault="00936C6A" w:rsidP="00936C6A">
      <w:pPr>
        <w:spacing w:before="283" w:line="226" w:lineRule="exact"/>
        <w:jc w:val="both"/>
        <w:textAlignment w:val="baseline"/>
        <w:rPr>
          <w:rFonts w:ascii="Calibri" w:eastAsia="Calibri" w:hAnsi="Calibri"/>
          <w:b/>
          <w:color w:val="000000"/>
        </w:rPr>
      </w:pPr>
      <w:r>
        <w:rPr>
          <w:rFonts w:ascii="Calibri" w:eastAsia="Calibri" w:hAnsi="Calibri"/>
          <w:b/>
          <w:color w:val="000000"/>
        </w:rPr>
        <w:t>AIMS of the DYNAMIC PURCHASING SYSTEM</w:t>
      </w:r>
    </w:p>
    <w:p w:rsidR="005B2688" w:rsidRDefault="00936C6A" w:rsidP="00936C6A">
      <w:pPr>
        <w:spacing w:line="309" w:lineRule="exact"/>
        <w:jc w:val="both"/>
        <w:textAlignment w:val="baseline"/>
        <w:rPr>
          <w:rFonts w:ascii="Calibri" w:eastAsia="Calibri" w:hAnsi="Calibri"/>
          <w:color w:val="000000"/>
        </w:rPr>
      </w:pPr>
      <w:r>
        <w:rPr>
          <w:rFonts w:ascii="Calibri" w:eastAsia="Calibri" w:hAnsi="Calibri"/>
          <w:color w:val="000000"/>
        </w:rPr>
        <w:t xml:space="preserve">The Council wants to achieve better outcomes for care leavers and all young people through having the right level of support and quality of placements available locally and </w:t>
      </w:r>
      <w:r w:rsidR="00E25CF7">
        <w:rPr>
          <w:rFonts w:ascii="Calibri" w:eastAsia="Calibri" w:hAnsi="Calibri"/>
          <w:color w:val="000000"/>
        </w:rPr>
        <w:t>out of</w:t>
      </w:r>
      <w:r>
        <w:rPr>
          <w:rFonts w:ascii="Calibri" w:eastAsia="Calibri" w:hAnsi="Calibri"/>
          <w:color w:val="000000"/>
        </w:rPr>
        <w:t xml:space="preserve"> area, if required, with support </w:t>
      </w:r>
      <w:r w:rsidR="00E25CF7">
        <w:rPr>
          <w:rFonts w:ascii="Calibri" w:eastAsia="Calibri" w:hAnsi="Calibri"/>
          <w:color w:val="000000"/>
        </w:rPr>
        <w:t>focused</w:t>
      </w:r>
      <w:r>
        <w:rPr>
          <w:rFonts w:ascii="Calibri" w:eastAsia="Calibri" w:hAnsi="Calibri"/>
          <w:color w:val="000000"/>
        </w:rPr>
        <w:t xml:space="preserve"> on outcomes which will enable young people to thrive.</w:t>
      </w:r>
    </w:p>
    <w:p w:rsidR="00505AEA" w:rsidRDefault="00936C6A" w:rsidP="00936C6A">
      <w:pPr>
        <w:spacing w:before="283" w:line="226" w:lineRule="exact"/>
        <w:jc w:val="both"/>
        <w:textAlignment w:val="baseline"/>
        <w:rPr>
          <w:rFonts w:ascii="Calibri" w:eastAsia="Calibri" w:hAnsi="Calibri"/>
          <w:b/>
          <w:color w:val="000000"/>
        </w:rPr>
      </w:pPr>
      <w:r>
        <w:rPr>
          <w:rFonts w:ascii="Calibri" w:eastAsia="Calibri" w:hAnsi="Calibri"/>
          <w:b/>
          <w:color w:val="000000"/>
        </w:rPr>
        <w:t>SERVICE CATEGORIES</w:t>
      </w:r>
    </w:p>
    <w:p w:rsidR="005B2688" w:rsidRDefault="00936C6A" w:rsidP="00936C6A">
      <w:pPr>
        <w:tabs>
          <w:tab w:val="left" w:pos="432"/>
        </w:tabs>
        <w:spacing w:line="308" w:lineRule="exact"/>
        <w:ind w:left="431" w:right="646" w:hanging="431"/>
        <w:jc w:val="both"/>
        <w:textAlignment w:val="baseline"/>
        <w:rPr>
          <w:rFonts w:ascii="Calibri" w:eastAsia="Calibri" w:hAnsi="Calibri"/>
          <w:color w:val="000000"/>
        </w:rPr>
      </w:pPr>
      <w:r>
        <w:rPr>
          <w:rFonts w:ascii="Calibri" w:eastAsia="Calibri" w:hAnsi="Calibri"/>
          <w:color w:val="000000"/>
        </w:rPr>
        <w:t>-</w:t>
      </w:r>
      <w:r>
        <w:rPr>
          <w:rFonts w:ascii="Calibri" w:eastAsia="Calibri" w:hAnsi="Calibri"/>
          <w:color w:val="000000"/>
        </w:rPr>
        <w:tab/>
        <w:t>Single-unit ‘Low Profile’ Support and Accommodation (24 hour support + on-site sleep-in provision)</w:t>
      </w:r>
    </w:p>
    <w:p w:rsidR="005B2688" w:rsidRDefault="00936C6A" w:rsidP="00936C6A">
      <w:pPr>
        <w:tabs>
          <w:tab w:val="left" w:pos="432"/>
        </w:tabs>
        <w:spacing w:before="81" w:line="226" w:lineRule="exact"/>
        <w:jc w:val="both"/>
        <w:textAlignment w:val="baseline"/>
        <w:rPr>
          <w:rFonts w:ascii="Calibri" w:eastAsia="Calibri" w:hAnsi="Calibri"/>
          <w:color w:val="000000"/>
          <w:spacing w:val="-1"/>
        </w:rPr>
      </w:pPr>
      <w:r>
        <w:rPr>
          <w:rFonts w:ascii="Calibri" w:eastAsia="Calibri" w:hAnsi="Calibri"/>
          <w:color w:val="000000"/>
          <w:spacing w:val="-1"/>
        </w:rPr>
        <w:t>-</w:t>
      </w:r>
      <w:r>
        <w:rPr>
          <w:rFonts w:ascii="Calibri" w:eastAsia="Calibri" w:hAnsi="Calibri"/>
          <w:color w:val="000000"/>
          <w:spacing w:val="-1"/>
        </w:rPr>
        <w:tab/>
        <w:t>Shared ‘Low Profile’ Support and Accommodation (24 hour support + on-site sleep-in provision)</w:t>
      </w:r>
    </w:p>
    <w:p w:rsidR="005B2688" w:rsidRDefault="00936C6A" w:rsidP="00936C6A">
      <w:pPr>
        <w:tabs>
          <w:tab w:val="left" w:pos="432"/>
        </w:tabs>
        <w:spacing w:before="5" w:line="307" w:lineRule="exact"/>
        <w:ind w:left="432" w:right="432" w:hanging="432"/>
        <w:jc w:val="both"/>
        <w:textAlignment w:val="baseline"/>
        <w:rPr>
          <w:rFonts w:ascii="Calibri" w:eastAsia="Calibri" w:hAnsi="Calibri"/>
          <w:color w:val="000000"/>
        </w:rPr>
      </w:pPr>
      <w:r>
        <w:rPr>
          <w:rFonts w:ascii="Calibri" w:eastAsia="Calibri" w:hAnsi="Calibri"/>
          <w:color w:val="000000"/>
        </w:rPr>
        <w:t>-</w:t>
      </w:r>
      <w:r>
        <w:rPr>
          <w:rFonts w:ascii="Calibri" w:eastAsia="Calibri" w:hAnsi="Calibri"/>
          <w:color w:val="000000"/>
        </w:rPr>
        <w:tab/>
        <w:t>‘Complex’ Support and Accommodation (24 hour support with on-site sleep-in support plus additional 1:1 key-working support based on need)</w:t>
      </w:r>
    </w:p>
    <w:p w:rsidR="005B2688" w:rsidRDefault="00936C6A" w:rsidP="00936C6A">
      <w:pPr>
        <w:tabs>
          <w:tab w:val="left" w:pos="432"/>
        </w:tabs>
        <w:spacing w:before="86" w:line="226" w:lineRule="exact"/>
        <w:jc w:val="both"/>
        <w:textAlignment w:val="baseline"/>
        <w:rPr>
          <w:rFonts w:ascii="Calibri" w:eastAsia="Calibri" w:hAnsi="Calibri"/>
          <w:color w:val="000000"/>
        </w:rPr>
      </w:pPr>
      <w:r>
        <w:rPr>
          <w:rFonts w:ascii="Calibri" w:eastAsia="Calibri" w:hAnsi="Calibri"/>
          <w:color w:val="000000"/>
        </w:rPr>
        <w:t>-</w:t>
      </w:r>
      <w:r>
        <w:rPr>
          <w:rFonts w:ascii="Calibri" w:eastAsia="Calibri" w:hAnsi="Calibri"/>
          <w:color w:val="000000"/>
        </w:rPr>
        <w:tab/>
        <w:t>Accommodation and Support for over 18’s (accommodation plus visiting support)</w:t>
      </w:r>
    </w:p>
    <w:p w:rsidR="00505AEA" w:rsidRDefault="005719C6" w:rsidP="00936C6A">
      <w:pPr>
        <w:spacing w:before="283" w:line="226" w:lineRule="exact"/>
        <w:jc w:val="both"/>
        <w:textAlignment w:val="baseline"/>
        <w:rPr>
          <w:rFonts w:ascii="Calibri" w:eastAsia="Calibri" w:hAnsi="Calibri"/>
          <w:b/>
          <w:color w:val="000000"/>
        </w:rPr>
      </w:pPr>
      <w:r>
        <w:rPr>
          <w:rFonts w:ascii="Calibri" w:eastAsia="Calibri" w:hAnsi="Calibri"/>
          <w:b/>
          <w:color w:val="000000"/>
        </w:rPr>
        <w:t xml:space="preserve">APPLICATION </w:t>
      </w:r>
      <w:r w:rsidR="00936C6A">
        <w:rPr>
          <w:rFonts w:ascii="Calibri" w:eastAsia="Calibri" w:hAnsi="Calibri"/>
          <w:b/>
          <w:color w:val="000000"/>
        </w:rPr>
        <w:t>SUBMISSION ARRANGEMENTS</w:t>
      </w:r>
    </w:p>
    <w:p w:rsidR="005719C6" w:rsidRDefault="005719C6" w:rsidP="005719C6">
      <w:pPr>
        <w:spacing w:line="312" w:lineRule="exact"/>
        <w:jc w:val="both"/>
        <w:textAlignment w:val="baseline"/>
        <w:rPr>
          <w:rFonts w:asciiTheme="minorHAnsi" w:eastAsiaTheme="minorHAnsi" w:hAnsiTheme="minorHAnsi" w:cstheme="minorBidi"/>
          <w:lang w:val="en-GB"/>
        </w:rPr>
      </w:pPr>
      <w:r>
        <w:rPr>
          <w:rFonts w:ascii="Calibri" w:eastAsia="Calibri" w:hAnsi="Calibri"/>
          <w:color w:val="000000"/>
        </w:rPr>
        <w:t xml:space="preserve">Applications to join the DPS can be submitted at any time, however, </w:t>
      </w:r>
      <w:r>
        <w:rPr>
          <w:rFonts w:asciiTheme="minorHAnsi" w:eastAsiaTheme="minorHAnsi" w:hAnsiTheme="minorHAnsi" w:cstheme="minorBidi"/>
          <w:lang w:val="en-GB"/>
        </w:rPr>
        <w:t>f</w:t>
      </w:r>
      <w:r w:rsidR="00E25CF7" w:rsidRPr="00E25CF7">
        <w:rPr>
          <w:rFonts w:asciiTheme="minorHAnsi" w:eastAsiaTheme="minorHAnsi" w:hAnsiTheme="minorHAnsi" w:cstheme="minorBidi"/>
          <w:lang w:val="en-GB"/>
        </w:rPr>
        <w:t xml:space="preserve">ollowing the </w:t>
      </w:r>
      <w:r>
        <w:rPr>
          <w:rFonts w:asciiTheme="minorHAnsi" w:eastAsiaTheme="minorHAnsi" w:hAnsiTheme="minorHAnsi" w:cstheme="minorBidi"/>
          <w:lang w:val="en-GB"/>
        </w:rPr>
        <w:t>success of the earlier Rounds</w:t>
      </w:r>
      <w:r w:rsidR="00E25CF7" w:rsidRPr="00E25CF7">
        <w:rPr>
          <w:rFonts w:asciiTheme="minorHAnsi" w:eastAsiaTheme="minorHAnsi" w:hAnsiTheme="minorHAnsi" w:cstheme="minorBidi"/>
          <w:lang w:val="en-GB"/>
        </w:rPr>
        <w:t xml:space="preserve"> (Round 1</w:t>
      </w:r>
      <w:r>
        <w:rPr>
          <w:rFonts w:asciiTheme="minorHAnsi" w:eastAsiaTheme="minorHAnsi" w:hAnsiTheme="minorHAnsi" w:cstheme="minorBidi"/>
          <w:lang w:val="en-GB"/>
        </w:rPr>
        <w:t xml:space="preserve"> – 13)</w:t>
      </w:r>
      <w:r w:rsidR="00E25CF7" w:rsidRPr="00E25CF7">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establishing a comprehensive list of Providers, from </w:t>
      </w:r>
      <w:r w:rsidR="00E25CF7">
        <w:rPr>
          <w:rFonts w:asciiTheme="minorHAnsi" w:eastAsiaTheme="minorHAnsi" w:hAnsiTheme="minorHAnsi" w:cstheme="minorBidi"/>
          <w:lang w:val="en-GB"/>
        </w:rPr>
        <w:t>October 201</w:t>
      </w:r>
      <w:r>
        <w:rPr>
          <w:rFonts w:asciiTheme="minorHAnsi" w:eastAsiaTheme="minorHAnsi" w:hAnsiTheme="minorHAnsi" w:cstheme="minorBidi"/>
          <w:lang w:val="en-GB"/>
        </w:rPr>
        <w:t xml:space="preserve">9 applications to join the DPS will be evaluated annually. </w:t>
      </w:r>
    </w:p>
    <w:p w:rsidR="005719C6" w:rsidRDefault="005719C6" w:rsidP="005719C6">
      <w:pPr>
        <w:spacing w:line="312" w:lineRule="exact"/>
        <w:jc w:val="both"/>
        <w:textAlignment w:val="baseline"/>
        <w:rPr>
          <w:rFonts w:asciiTheme="minorHAnsi" w:eastAsiaTheme="minorHAnsi" w:hAnsiTheme="minorHAnsi" w:cstheme="minorBidi"/>
          <w:b/>
          <w:lang w:val="en-GB"/>
        </w:rPr>
      </w:pPr>
    </w:p>
    <w:p w:rsidR="005719C6" w:rsidRDefault="005719C6" w:rsidP="005719C6">
      <w:pPr>
        <w:spacing w:line="312" w:lineRule="exact"/>
        <w:jc w:val="both"/>
        <w:textAlignment w:val="baseline"/>
        <w:rPr>
          <w:rFonts w:asciiTheme="minorHAnsi" w:eastAsiaTheme="minorHAnsi" w:hAnsiTheme="minorHAnsi" w:cstheme="minorBidi"/>
          <w:b/>
          <w:highlight w:val="yellow"/>
          <w:lang w:val="en-GB"/>
        </w:rPr>
      </w:pPr>
      <w:r w:rsidRPr="005719C6">
        <w:rPr>
          <w:rFonts w:asciiTheme="minorHAnsi" w:eastAsiaTheme="minorHAnsi" w:hAnsiTheme="minorHAnsi" w:cstheme="minorBidi"/>
          <w:b/>
          <w:highlight w:val="yellow"/>
          <w:lang w:val="en-GB"/>
        </w:rPr>
        <w:t xml:space="preserve">The current round (13) will end on </w:t>
      </w:r>
      <w:r w:rsidR="00592E3D">
        <w:rPr>
          <w:rFonts w:asciiTheme="minorHAnsi" w:eastAsiaTheme="minorHAnsi" w:hAnsiTheme="minorHAnsi" w:cstheme="minorBidi"/>
          <w:b/>
          <w:highlight w:val="yellow"/>
          <w:lang w:val="en-GB"/>
        </w:rPr>
        <w:t>1</w:t>
      </w:r>
      <w:r w:rsidR="00592E3D" w:rsidRPr="00592E3D">
        <w:rPr>
          <w:rFonts w:asciiTheme="minorHAnsi" w:eastAsiaTheme="minorHAnsi" w:hAnsiTheme="minorHAnsi" w:cstheme="minorBidi"/>
          <w:b/>
          <w:highlight w:val="yellow"/>
          <w:vertAlign w:val="superscript"/>
          <w:lang w:val="en-GB"/>
        </w:rPr>
        <w:t>st</w:t>
      </w:r>
      <w:r w:rsidR="00592E3D">
        <w:rPr>
          <w:rFonts w:asciiTheme="minorHAnsi" w:eastAsiaTheme="minorHAnsi" w:hAnsiTheme="minorHAnsi" w:cstheme="minorBidi"/>
          <w:b/>
          <w:highlight w:val="yellow"/>
          <w:lang w:val="en-GB"/>
        </w:rPr>
        <w:t xml:space="preserve"> October</w:t>
      </w:r>
      <w:r w:rsidRPr="005719C6">
        <w:rPr>
          <w:rFonts w:asciiTheme="minorHAnsi" w:eastAsiaTheme="minorHAnsi" w:hAnsiTheme="minorHAnsi" w:cstheme="minorBidi"/>
          <w:b/>
          <w:highlight w:val="yellow"/>
          <w:lang w:val="en-GB"/>
        </w:rPr>
        <w:t xml:space="preserve"> 2019 as advised previously.</w:t>
      </w:r>
      <w:r>
        <w:rPr>
          <w:rFonts w:asciiTheme="minorHAnsi" w:eastAsiaTheme="minorHAnsi" w:hAnsiTheme="minorHAnsi" w:cstheme="minorBidi"/>
          <w:b/>
          <w:highlight w:val="yellow"/>
          <w:lang w:val="en-GB"/>
        </w:rPr>
        <w:t xml:space="preserve"> </w:t>
      </w:r>
    </w:p>
    <w:p w:rsidR="005719C6" w:rsidRPr="005719C6" w:rsidRDefault="005719C6" w:rsidP="005719C6">
      <w:pPr>
        <w:spacing w:line="312" w:lineRule="exact"/>
        <w:jc w:val="both"/>
        <w:textAlignment w:val="baseline"/>
        <w:rPr>
          <w:rFonts w:asciiTheme="minorHAnsi" w:eastAsiaTheme="minorHAnsi" w:hAnsiTheme="minorHAnsi" w:cstheme="minorBidi"/>
          <w:b/>
          <w:highlight w:val="yellow"/>
          <w:lang w:val="en-GB"/>
        </w:rPr>
      </w:pPr>
      <w:r>
        <w:rPr>
          <w:rFonts w:asciiTheme="minorHAnsi" w:eastAsiaTheme="minorHAnsi" w:hAnsiTheme="minorHAnsi" w:cstheme="minorBidi"/>
          <w:b/>
          <w:highlight w:val="yellow"/>
          <w:lang w:val="en-GB"/>
        </w:rPr>
        <w:t>Applications for round 13 will be evaluated in October 2019.</w:t>
      </w:r>
    </w:p>
    <w:p w:rsidR="005719C6" w:rsidRPr="005719C6" w:rsidRDefault="005719C6" w:rsidP="005719C6">
      <w:pPr>
        <w:spacing w:line="312" w:lineRule="exact"/>
        <w:jc w:val="both"/>
        <w:textAlignment w:val="baseline"/>
        <w:rPr>
          <w:rFonts w:asciiTheme="minorHAnsi" w:eastAsiaTheme="minorHAnsi" w:hAnsiTheme="minorHAnsi" w:cstheme="minorBidi"/>
          <w:b/>
          <w:highlight w:val="yellow"/>
          <w:lang w:val="en-GB"/>
        </w:rPr>
      </w:pPr>
    </w:p>
    <w:p w:rsidR="005719C6" w:rsidRDefault="005719C6" w:rsidP="005719C6">
      <w:pPr>
        <w:spacing w:line="312" w:lineRule="exact"/>
        <w:jc w:val="both"/>
        <w:textAlignment w:val="baseline"/>
        <w:rPr>
          <w:rFonts w:asciiTheme="minorHAnsi" w:eastAsiaTheme="minorHAnsi" w:hAnsiTheme="minorHAnsi" w:cstheme="minorBidi"/>
          <w:b/>
          <w:lang w:val="en-GB"/>
        </w:rPr>
      </w:pPr>
      <w:r w:rsidRPr="005719C6">
        <w:rPr>
          <w:rFonts w:asciiTheme="minorHAnsi" w:eastAsiaTheme="minorHAnsi" w:hAnsiTheme="minorHAnsi" w:cstheme="minorBidi"/>
          <w:b/>
          <w:highlight w:val="yellow"/>
          <w:lang w:val="en-GB"/>
        </w:rPr>
        <w:t xml:space="preserve">The next round (14) will close </w:t>
      </w:r>
      <w:r w:rsidR="00592E3D">
        <w:rPr>
          <w:rFonts w:asciiTheme="minorHAnsi" w:eastAsiaTheme="minorHAnsi" w:hAnsiTheme="minorHAnsi" w:cstheme="minorBidi"/>
          <w:b/>
          <w:highlight w:val="yellow"/>
          <w:lang w:val="en-GB"/>
        </w:rPr>
        <w:t>on</w:t>
      </w:r>
      <w:r w:rsidRPr="005719C6">
        <w:rPr>
          <w:rFonts w:asciiTheme="minorHAnsi" w:eastAsiaTheme="minorHAnsi" w:hAnsiTheme="minorHAnsi" w:cstheme="minorBidi"/>
          <w:b/>
          <w:highlight w:val="yellow"/>
          <w:lang w:val="en-GB"/>
        </w:rPr>
        <w:t xml:space="preserve"> </w:t>
      </w:r>
      <w:r w:rsidR="00592E3D">
        <w:rPr>
          <w:rFonts w:asciiTheme="minorHAnsi" w:eastAsiaTheme="minorHAnsi" w:hAnsiTheme="minorHAnsi" w:cstheme="minorBidi"/>
          <w:b/>
          <w:highlight w:val="yellow"/>
          <w:lang w:val="en-GB"/>
        </w:rPr>
        <w:t>1</w:t>
      </w:r>
      <w:r w:rsidR="00592E3D" w:rsidRPr="00592E3D">
        <w:rPr>
          <w:rFonts w:asciiTheme="minorHAnsi" w:eastAsiaTheme="minorHAnsi" w:hAnsiTheme="minorHAnsi" w:cstheme="minorBidi"/>
          <w:b/>
          <w:highlight w:val="yellow"/>
          <w:vertAlign w:val="superscript"/>
          <w:lang w:val="en-GB"/>
        </w:rPr>
        <w:t>st</w:t>
      </w:r>
      <w:r w:rsidR="00592E3D">
        <w:rPr>
          <w:rFonts w:asciiTheme="minorHAnsi" w:eastAsiaTheme="minorHAnsi" w:hAnsiTheme="minorHAnsi" w:cstheme="minorBidi"/>
          <w:b/>
          <w:highlight w:val="yellow"/>
          <w:lang w:val="en-GB"/>
        </w:rPr>
        <w:t xml:space="preserve"> October</w:t>
      </w:r>
      <w:r w:rsidRPr="005719C6">
        <w:rPr>
          <w:rFonts w:asciiTheme="minorHAnsi" w:eastAsiaTheme="minorHAnsi" w:hAnsiTheme="minorHAnsi" w:cstheme="minorBidi"/>
          <w:b/>
          <w:highlight w:val="yellow"/>
          <w:lang w:val="en-GB"/>
        </w:rPr>
        <w:t xml:space="preserve"> 2020.</w:t>
      </w:r>
    </w:p>
    <w:p w:rsidR="00592E3D" w:rsidRPr="005719C6" w:rsidRDefault="00592E3D" w:rsidP="005719C6">
      <w:pPr>
        <w:spacing w:line="312" w:lineRule="exact"/>
        <w:jc w:val="both"/>
        <w:textAlignment w:val="baseline"/>
        <w:rPr>
          <w:rFonts w:asciiTheme="minorHAnsi" w:eastAsiaTheme="minorHAnsi" w:hAnsiTheme="minorHAnsi" w:cstheme="minorBidi"/>
          <w:b/>
          <w:lang w:val="en-GB"/>
        </w:rPr>
      </w:pPr>
      <w:r w:rsidRPr="00592E3D">
        <w:rPr>
          <w:rFonts w:asciiTheme="minorHAnsi" w:eastAsiaTheme="minorHAnsi" w:hAnsiTheme="minorHAnsi" w:cstheme="minorBidi"/>
          <w:b/>
          <w:highlight w:val="yellow"/>
          <w:lang w:val="en-GB"/>
        </w:rPr>
        <w:t>Applications for round 14 will be evaluated in October 2020.</w:t>
      </w:r>
    </w:p>
    <w:p w:rsidR="005719C6" w:rsidRDefault="005719C6" w:rsidP="005719C6">
      <w:pPr>
        <w:spacing w:line="312" w:lineRule="exact"/>
        <w:jc w:val="both"/>
        <w:textAlignment w:val="baseline"/>
        <w:rPr>
          <w:rFonts w:asciiTheme="minorHAnsi" w:eastAsiaTheme="minorHAnsi" w:hAnsiTheme="minorHAnsi" w:cstheme="minorBidi"/>
          <w:lang w:val="en-GB"/>
        </w:rPr>
      </w:pPr>
    </w:p>
    <w:p w:rsidR="00E25CF7" w:rsidRPr="005719C6" w:rsidRDefault="00592E3D" w:rsidP="005719C6">
      <w:pPr>
        <w:spacing w:line="312" w:lineRule="exact"/>
        <w:jc w:val="both"/>
        <w:textAlignment w:val="baseline"/>
        <w:rPr>
          <w:rFonts w:ascii="Calibri" w:eastAsia="Calibri" w:hAnsi="Calibri"/>
          <w:color w:val="000000"/>
        </w:rPr>
      </w:pPr>
      <w:r>
        <w:rPr>
          <w:rFonts w:asciiTheme="minorHAnsi" w:eastAsiaTheme="minorHAnsi" w:hAnsiTheme="minorHAnsi" w:cstheme="minorBidi"/>
          <w:lang w:val="en-GB"/>
        </w:rPr>
        <w:t>E</w:t>
      </w:r>
      <w:r w:rsidR="00E25CF7" w:rsidRPr="00E25CF7">
        <w:rPr>
          <w:rFonts w:asciiTheme="minorHAnsi" w:eastAsiaTheme="minorHAnsi" w:hAnsiTheme="minorHAnsi" w:cstheme="minorBidi"/>
          <w:lang w:val="en-GB"/>
        </w:rPr>
        <w:t xml:space="preserve">valuation of submissions will be undertaken, resulting in </w:t>
      </w:r>
    </w:p>
    <w:p w:rsidR="00E25CF7" w:rsidRPr="00E25CF7" w:rsidRDefault="00E25CF7" w:rsidP="00936C6A">
      <w:pPr>
        <w:numPr>
          <w:ilvl w:val="0"/>
          <w:numId w:val="1"/>
        </w:numPr>
        <w:spacing w:after="200" w:line="276" w:lineRule="auto"/>
        <w:contextualSpacing/>
        <w:jc w:val="both"/>
        <w:rPr>
          <w:rFonts w:asciiTheme="minorHAnsi" w:eastAsiaTheme="minorHAnsi" w:hAnsiTheme="minorHAnsi" w:cstheme="minorBidi"/>
          <w:lang w:val="en-GB"/>
        </w:rPr>
      </w:pPr>
      <w:r w:rsidRPr="00E25CF7">
        <w:rPr>
          <w:rFonts w:asciiTheme="minorHAnsi" w:eastAsiaTheme="minorHAnsi" w:hAnsiTheme="minorHAnsi" w:cstheme="minorBidi"/>
          <w:lang w:val="en-GB"/>
        </w:rPr>
        <w:t xml:space="preserve">Award of any contracts and inclusion on the DPS </w:t>
      </w:r>
      <w:r w:rsidRPr="00E25CF7">
        <w:rPr>
          <w:rFonts w:asciiTheme="minorHAnsi" w:eastAsiaTheme="minorHAnsi" w:hAnsiTheme="minorHAnsi" w:cstheme="minorBidi"/>
          <w:i/>
          <w:iCs/>
          <w:lang w:val="en-GB"/>
        </w:rPr>
        <w:t xml:space="preserve">or </w:t>
      </w:r>
    </w:p>
    <w:p w:rsidR="00592E3D" w:rsidRDefault="00E25CF7" w:rsidP="00592E3D">
      <w:pPr>
        <w:numPr>
          <w:ilvl w:val="0"/>
          <w:numId w:val="1"/>
        </w:numPr>
        <w:spacing w:after="200" w:line="276" w:lineRule="auto"/>
        <w:contextualSpacing/>
        <w:jc w:val="both"/>
        <w:rPr>
          <w:rFonts w:asciiTheme="minorHAnsi" w:eastAsiaTheme="minorHAnsi" w:hAnsiTheme="minorHAnsi" w:cstheme="minorBidi"/>
          <w:lang w:val="en-GB"/>
        </w:rPr>
      </w:pPr>
      <w:r w:rsidRPr="00E25CF7">
        <w:rPr>
          <w:rFonts w:asciiTheme="minorHAnsi" w:eastAsiaTheme="minorHAnsi" w:hAnsiTheme="minorHAnsi" w:cstheme="minorBidi"/>
          <w:lang w:val="en-GB"/>
        </w:rPr>
        <w:t>Feedback to providers whose submission does not meet th</w:t>
      </w:r>
      <w:r w:rsidR="00592E3D">
        <w:rPr>
          <w:rFonts w:asciiTheme="minorHAnsi" w:eastAsiaTheme="minorHAnsi" w:hAnsiTheme="minorHAnsi" w:cstheme="minorBidi"/>
          <w:lang w:val="en-GB"/>
        </w:rPr>
        <w:t>e minimum performance threshold.</w:t>
      </w:r>
    </w:p>
    <w:p w:rsidR="00592E3D" w:rsidRPr="00592E3D" w:rsidRDefault="00592E3D" w:rsidP="00592E3D">
      <w:pPr>
        <w:spacing w:after="200" w:line="276" w:lineRule="auto"/>
        <w:ind w:left="720"/>
        <w:contextualSpacing/>
        <w:jc w:val="both"/>
        <w:rPr>
          <w:rFonts w:asciiTheme="minorHAnsi" w:eastAsiaTheme="minorHAnsi" w:hAnsiTheme="minorHAnsi" w:cstheme="minorBidi"/>
          <w:lang w:val="en-GB"/>
        </w:rPr>
      </w:pPr>
    </w:p>
    <w:p w:rsidR="00505AEA" w:rsidRPr="00505AEA" w:rsidRDefault="00505AEA" w:rsidP="00936C6A">
      <w:pPr>
        <w:spacing w:after="200" w:line="276" w:lineRule="auto"/>
        <w:contextualSpacing/>
        <w:jc w:val="both"/>
        <w:rPr>
          <w:rFonts w:asciiTheme="minorHAnsi" w:eastAsiaTheme="minorHAnsi" w:hAnsiTheme="minorHAnsi" w:cstheme="minorBidi"/>
          <w:b/>
          <w:lang w:val="en-GB"/>
        </w:rPr>
      </w:pPr>
      <w:r w:rsidRPr="00505AEA">
        <w:rPr>
          <w:rFonts w:asciiTheme="minorHAnsi" w:eastAsiaTheme="minorHAnsi" w:hAnsiTheme="minorHAnsi" w:cstheme="minorBidi"/>
          <w:b/>
          <w:lang w:val="en-GB"/>
        </w:rPr>
        <w:t>NOTIFICATION</w:t>
      </w:r>
    </w:p>
    <w:p w:rsidR="00505AEA" w:rsidRPr="00505AEA" w:rsidRDefault="00505AEA" w:rsidP="00936C6A">
      <w:pPr>
        <w:spacing w:after="200" w:line="276" w:lineRule="auto"/>
        <w:contextualSpacing/>
        <w:jc w:val="both"/>
        <w:rPr>
          <w:rFonts w:asciiTheme="minorHAnsi" w:eastAsiaTheme="minorHAnsi" w:hAnsiTheme="minorHAnsi" w:cstheme="minorBidi"/>
          <w:lang w:val="en-GB"/>
        </w:rPr>
      </w:pPr>
      <w:r w:rsidRPr="00505AEA">
        <w:rPr>
          <w:rFonts w:asciiTheme="minorHAnsi" w:eastAsiaTheme="minorHAnsi" w:hAnsiTheme="minorHAnsi" w:cstheme="minorBidi"/>
          <w:lang w:val="en-GB"/>
        </w:rPr>
        <w:t>You will be notified of the outcome of your tender submission in writing as soon as is practicably possible following the evaluation process.</w:t>
      </w:r>
    </w:p>
    <w:p w:rsidR="00505AEA" w:rsidRDefault="00505AEA" w:rsidP="00936C6A">
      <w:pPr>
        <w:spacing w:after="200" w:line="276" w:lineRule="auto"/>
        <w:contextualSpacing/>
        <w:jc w:val="both"/>
        <w:rPr>
          <w:rFonts w:asciiTheme="minorHAnsi" w:eastAsiaTheme="minorHAnsi" w:hAnsiTheme="minorHAnsi" w:cstheme="minorBidi"/>
          <w:b/>
          <w:lang w:val="en-GB"/>
        </w:rPr>
      </w:pPr>
    </w:p>
    <w:p w:rsidR="00505AEA" w:rsidRPr="00505AEA" w:rsidRDefault="00505AEA" w:rsidP="00936C6A">
      <w:pPr>
        <w:spacing w:after="200" w:line="276" w:lineRule="auto"/>
        <w:contextualSpacing/>
        <w:jc w:val="both"/>
        <w:rPr>
          <w:rFonts w:asciiTheme="minorHAnsi" w:eastAsiaTheme="minorHAnsi" w:hAnsiTheme="minorHAnsi" w:cstheme="minorBidi"/>
          <w:b/>
          <w:lang w:val="en-GB"/>
        </w:rPr>
      </w:pPr>
      <w:r w:rsidRPr="00505AEA">
        <w:rPr>
          <w:rFonts w:asciiTheme="minorHAnsi" w:eastAsiaTheme="minorHAnsi" w:hAnsiTheme="minorHAnsi" w:cstheme="minorBidi"/>
          <w:b/>
          <w:lang w:val="en-GB"/>
        </w:rPr>
        <w:lastRenderedPageBreak/>
        <w:t>INDIVIDUAL CONTRACTS</w:t>
      </w:r>
    </w:p>
    <w:p w:rsidR="00505AEA" w:rsidRDefault="00505AEA" w:rsidP="00936C6A">
      <w:pPr>
        <w:spacing w:after="200" w:line="276" w:lineRule="auto"/>
        <w:contextualSpacing/>
        <w:jc w:val="both"/>
        <w:rPr>
          <w:rFonts w:asciiTheme="minorHAnsi" w:eastAsiaTheme="minorHAnsi" w:hAnsiTheme="minorHAnsi" w:cstheme="minorBidi"/>
          <w:lang w:val="en-GB"/>
        </w:rPr>
      </w:pPr>
      <w:r w:rsidRPr="00505AEA">
        <w:rPr>
          <w:rFonts w:asciiTheme="minorHAnsi" w:eastAsiaTheme="minorHAnsi" w:hAnsiTheme="minorHAnsi" w:cstheme="minorBidi"/>
          <w:lang w:val="en-GB"/>
        </w:rPr>
        <w:t>Once on the DPS, individual contracts will be arranged directly via an ‘Individual Placement Agreement’. (IPA) (Appendix 2)</w:t>
      </w:r>
      <w:r>
        <w:rPr>
          <w:rFonts w:asciiTheme="minorHAnsi" w:eastAsiaTheme="minorHAnsi" w:hAnsiTheme="minorHAnsi" w:cstheme="minorBidi"/>
          <w:lang w:val="en-GB"/>
        </w:rPr>
        <w:t xml:space="preserve"> </w:t>
      </w:r>
      <w:r w:rsidRPr="00505AEA">
        <w:rPr>
          <w:rFonts w:asciiTheme="minorHAnsi" w:eastAsiaTheme="minorHAnsi" w:hAnsiTheme="minorHAnsi" w:cstheme="minorBidi"/>
          <w:lang w:val="en-GB"/>
        </w:rPr>
        <w:t>Please see Annex 1 ‘How Services will be commissioned using the Dynamic Pu</w:t>
      </w:r>
      <w:r>
        <w:rPr>
          <w:rFonts w:asciiTheme="minorHAnsi" w:eastAsiaTheme="minorHAnsi" w:hAnsiTheme="minorHAnsi" w:cstheme="minorBidi"/>
          <w:lang w:val="en-GB"/>
        </w:rPr>
        <w:t>rchasing System</w:t>
      </w:r>
      <w:r w:rsidR="00936C6A">
        <w:rPr>
          <w:rFonts w:asciiTheme="minorHAnsi" w:eastAsiaTheme="minorHAnsi" w:hAnsiTheme="minorHAnsi" w:cstheme="minorBidi"/>
          <w:lang w:val="en-GB"/>
        </w:rPr>
        <w:t>.</w:t>
      </w:r>
    </w:p>
    <w:p w:rsidR="00936C6A" w:rsidRDefault="00936C6A" w:rsidP="00936C6A">
      <w:pPr>
        <w:spacing w:after="200" w:line="276" w:lineRule="auto"/>
        <w:contextualSpacing/>
        <w:jc w:val="both"/>
        <w:rPr>
          <w:rFonts w:asciiTheme="minorHAnsi" w:eastAsiaTheme="minorHAnsi" w:hAnsiTheme="minorHAnsi" w:cstheme="minorBidi"/>
          <w:lang w:val="en-GB"/>
        </w:rPr>
      </w:pPr>
    </w:p>
    <w:p w:rsidR="00505AEA" w:rsidRPr="00505AEA" w:rsidRDefault="00505AEA" w:rsidP="00936C6A">
      <w:pPr>
        <w:spacing w:after="200" w:line="276" w:lineRule="auto"/>
        <w:contextualSpacing/>
        <w:jc w:val="both"/>
        <w:rPr>
          <w:rFonts w:asciiTheme="minorHAnsi" w:eastAsiaTheme="minorHAnsi" w:hAnsiTheme="minorHAnsi" w:cstheme="minorBidi"/>
          <w:b/>
          <w:bCs/>
          <w:lang w:val="en-GB"/>
        </w:rPr>
      </w:pPr>
      <w:r w:rsidRPr="00505AEA">
        <w:rPr>
          <w:rFonts w:asciiTheme="minorHAnsi" w:eastAsiaTheme="minorHAnsi" w:hAnsiTheme="minorHAnsi" w:cstheme="minorBidi"/>
          <w:b/>
          <w:bCs/>
          <w:lang w:val="en-GB"/>
        </w:rPr>
        <w:t>EVALUATION DATES FOR APPLICATIONS FROM PROVIDERS for inclusion on the DPS for accommodation and support provision for care leavers</w:t>
      </w:r>
    </w:p>
    <w:p w:rsidR="00505AEA" w:rsidRDefault="00505AEA" w:rsidP="00936C6A">
      <w:pPr>
        <w:spacing w:after="200" w:line="276" w:lineRule="auto"/>
        <w:contextualSpacing/>
        <w:jc w:val="both"/>
        <w:rPr>
          <w:rFonts w:asciiTheme="minorHAnsi" w:eastAsiaTheme="minorHAnsi" w:hAnsiTheme="minorHAnsi" w:cstheme="minorBidi"/>
          <w:bCs/>
          <w:lang w:val="en-GB"/>
        </w:rPr>
      </w:pPr>
      <w:r w:rsidRPr="00505AEA">
        <w:rPr>
          <w:rFonts w:asciiTheme="minorHAnsi" w:eastAsiaTheme="minorHAnsi" w:hAnsiTheme="minorHAnsi" w:cstheme="minorBidi"/>
          <w:bCs/>
          <w:lang w:val="en-GB"/>
        </w:rPr>
        <w:t>The timetable below is indicative only and the Council reserves the right in its absolute discretion to amend any of the dates set out in the indicative timetable or elsewhere in these instructions to Tenderers.</w:t>
      </w:r>
      <w:r w:rsidR="004F62A4">
        <w:rPr>
          <w:rFonts w:asciiTheme="minorHAnsi" w:eastAsiaTheme="minorHAnsi" w:hAnsiTheme="minorHAnsi" w:cstheme="minorBidi"/>
          <w:bCs/>
          <w:lang w:val="en-GB"/>
        </w:rPr>
        <w:t xml:space="preserve"> *Each round will close </w:t>
      </w:r>
      <w:r w:rsidR="00592E3D">
        <w:rPr>
          <w:rFonts w:asciiTheme="minorHAnsi" w:eastAsiaTheme="minorHAnsi" w:hAnsiTheme="minorHAnsi" w:cstheme="minorBidi"/>
          <w:bCs/>
          <w:lang w:val="en-GB"/>
        </w:rPr>
        <w:t xml:space="preserve">annually </w:t>
      </w:r>
      <w:r w:rsidR="004F62A4">
        <w:rPr>
          <w:rFonts w:asciiTheme="minorHAnsi" w:eastAsiaTheme="minorHAnsi" w:hAnsiTheme="minorHAnsi" w:cstheme="minorBidi"/>
          <w:bCs/>
          <w:lang w:val="en-GB"/>
        </w:rPr>
        <w:t xml:space="preserve">on the first day of </w:t>
      </w:r>
      <w:r w:rsidR="00592E3D">
        <w:rPr>
          <w:rFonts w:asciiTheme="minorHAnsi" w:eastAsiaTheme="minorHAnsi" w:hAnsiTheme="minorHAnsi" w:cstheme="minorBidi"/>
          <w:bCs/>
          <w:lang w:val="en-GB"/>
        </w:rPr>
        <w:t>October</w:t>
      </w:r>
      <w:r w:rsidR="004F62A4">
        <w:rPr>
          <w:rFonts w:asciiTheme="minorHAnsi" w:eastAsiaTheme="minorHAnsi" w:hAnsiTheme="minorHAnsi" w:cstheme="minorBidi"/>
          <w:bCs/>
          <w:lang w:val="en-GB"/>
        </w:rPr>
        <w:t>; where this date falls on a non-working day, the round will close on the first working day following the first of the month.</w:t>
      </w:r>
      <w:bookmarkStart w:id="0" w:name="_GoBack"/>
      <w:bookmarkEnd w:id="0"/>
    </w:p>
    <w:p w:rsidR="00936C6A" w:rsidRPr="00505AEA" w:rsidRDefault="00936C6A" w:rsidP="00936C6A">
      <w:pPr>
        <w:spacing w:after="200" w:line="276" w:lineRule="auto"/>
        <w:contextualSpacing/>
        <w:jc w:val="both"/>
        <w:rPr>
          <w:rFonts w:asciiTheme="minorHAnsi" w:eastAsiaTheme="minorHAnsi" w:hAnsiTheme="minorHAnsi" w:cstheme="minorBidi"/>
          <w:bCs/>
          <w:lang w:val="en-GB"/>
        </w:rPr>
      </w:pPr>
    </w:p>
    <w:tbl>
      <w:tblPr>
        <w:tblStyle w:val="TableGrid"/>
        <w:tblW w:w="0" w:type="auto"/>
        <w:tblLook w:val="04A0" w:firstRow="1" w:lastRow="0" w:firstColumn="1" w:lastColumn="0" w:noHBand="0" w:noVBand="1"/>
      </w:tblPr>
      <w:tblGrid>
        <w:gridCol w:w="3078"/>
        <w:gridCol w:w="3079"/>
        <w:gridCol w:w="3079"/>
      </w:tblGrid>
      <w:tr w:rsidR="00505AEA" w:rsidRPr="00505AEA" w:rsidTr="00505AEA">
        <w:tc>
          <w:tcPr>
            <w:tcW w:w="3078" w:type="dxa"/>
          </w:tcPr>
          <w:p w:rsidR="00505AEA" w:rsidRPr="00505AEA" w:rsidRDefault="00505AEA" w:rsidP="00936C6A">
            <w:pPr>
              <w:spacing w:after="200" w:line="276" w:lineRule="auto"/>
              <w:contextualSpacing/>
              <w:jc w:val="both"/>
              <w:rPr>
                <w:b/>
                <w:bCs/>
              </w:rPr>
            </w:pPr>
            <w:r w:rsidRPr="00505AEA">
              <w:rPr>
                <w:b/>
                <w:bCs/>
              </w:rPr>
              <w:t>Dynamic Purchasing System Round</w:t>
            </w:r>
          </w:p>
        </w:tc>
        <w:tc>
          <w:tcPr>
            <w:tcW w:w="3079" w:type="dxa"/>
          </w:tcPr>
          <w:p w:rsidR="00505AEA" w:rsidRPr="00505AEA" w:rsidRDefault="004F62A4" w:rsidP="00936C6A">
            <w:pPr>
              <w:spacing w:after="200" w:line="276" w:lineRule="auto"/>
              <w:contextualSpacing/>
              <w:jc w:val="both"/>
              <w:rPr>
                <w:b/>
                <w:bCs/>
              </w:rPr>
            </w:pPr>
            <w:r>
              <w:rPr>
                <w:b/>
                <w:bCs/>
              </w:rPr>
              <w:t>Round closing date*</w:t>
            </w:r>
          </w:p>
        </w:tc>
        <w:tc>
          <w:tcPr>
            <w:tcW w:w="3079" w:type="dxa"/>
          </w:tcPr>
          <w:p w:rsidR="00505AEA" w:rsidRPr="00505AEA" w:rsidRDefault="00505AEA" w:rsidP="00936C6A">
            <w:pPr>
              <w:spacing w:after="200" w:line="276" w:lineRule="auto"/>
              <w:contextualSpacing/>
              <w:jc w:val="both"/>
              <w:rPr>
                <w:b/>
                <w:bCs/>
              </w:rPr>
            </w:pPr>
            <w:r w:rsidRPr="00505AEA">
              <w:rPr>
                <w:b/>
                <w:bCs/>
              </w:rPr>
              <w:t>Notification of results</w:t>
            </w:r>
          </w:p>
        </w:tc>
      </w:tr>
      <w:tr w:rsidR="00505AEA" w:rsidRPr="00505AEA" w:rsidTr="00505AEA">
        <w:tc>
          <w:tcPr>
            <w:tcW w:w="3078" w:type="dxa"/>
          </w:tcPr>
          <w:p w:rsidR="00505AEA" w:rsidRPr="00505AEA" w:rsidRDefault="00505AEA" w:rsidP="00592E3D">
            <w:pPr>
              <w:spacing w:after="200"/>
              <w:contextualSpacing/>
              <w:jc w:val="both"/>
            </w:pPr>
            <w:r w:rsidRPr="00505AEA">
              <w:t xml:space="preserve">Round </w:t>
            </w:r>
            <w:r w:rsidR="00592E3D">
              <w:t>13</w:t>
            </w:r>
            <w:r w:rsidRPr="00505AEA">
              <w:t xml:space="preserve"> </w:t>
            </w:r>
          </w:p>
        </w:tc>
        <w:tc>
          <w:tcPr>
            <w:tcW w:w="3079" w:type="dxa"/>
          </w:tcPr>
          <w:p w:rsidR="00505AEA" w:rsidRPr="00505AEA" w:rsidRDefault="00505AEA" w:rsidP="00936C6A">
            <w:pPr>
              <w:spacing w:after="200" w:line="276" w:lineRule="auto"/>
              <w:contextualSpacing/>
              <w:jc w:val="both"/>
            </w:pPr>
            <w:r>
              <w:t>01</w:t>
            </w:r>
            <w:r w:rsidRPr="00505AEA">
              <w:t>-10-1</w:t>
            </w:r>
            <w:r>
              <w:t>9</w:t>
            </w:r>
            <w:r w:rsidRPr="00505AEA">
              <w:t xml:space="preserve"> </w:t>
            </w:r>
          </w:p>
        </w:tc>
        <w:tc>
          <w:tcPr>
            <w:tcW w:w="3079" w:type="dxa"/>
          </w:tcPr>
          <w:p w:rsidR="00505AEA" w:rsidRPr="00505AEA" w:rsidRDefault="00505AEA" w:rsidP="00936C6A">
            <w:pPr>
              <w:spacing w:after="200" w:line="276" w:lineRule="auto"/>
              <w:contextualSpacing/>
              <w:jc w:val="both"/>
            </w:pPr>
            <w:r w:rsidRPr="00505AEA">
              <w:t>October 201</w:t>
            </w:r>
            <w:r>
              <w:t>9</w:t>
            </w:r>
            <w:r w:rsidRPr="00505AEA">
              <w:t xml:space="preserve"> </w:t>
            </w:r>
          </w:p>
        </w:tc>
      </w:tr>
      <w:tr w:rsidR="00505AEA" w:rsidRPr="00505AEA" w:rsidTr="00505AEA">
        <w:tc>
          <w:tcPr>
            <w:tcW w:w="3078" w:type="dxa"/>
          </w:tcPr>
          <w:p w:rsidR="00505AEA" w:rsidRPr="00505AEA" w:rsidRDefault="00505AEA" w:rsidP="00592E3D">
            <w:pPr>
              <w:spacing w:after="200"/>
              <w:contextualSpacing/>
              <w:jc w:val="both"/>
            </w:pPr>
            <w:r w:rsidRPr="00505AEA">
              <w:t xml:space="preserve">Round </w:t>
            </w:r>
            <w:r>
              <w:t>1</w:t>
            </w:r>
            <w:r w:rsidR="00592E3D">
              <w:t>4</w:t>
            </w:r>
            <w:r w:rsidRPr="00505AEA">
              <w:t xml:space="preserve"> </w:t>
            </w:r>
          </w:p>
        </w:tc>
        <w:tc>
          <w:tcPr>
            <w:tcW w:w="3079" w:type="dxa"/>
          </w:tcPr>
          <w:p w:rsidR="00505AEA" w:rsidRPr="00A44DFD" w:rsidRDefault="00505AEA" w:rsidP="00592E3D">
            <w:pPr>
              <w:jc w:val="both"/>
            </w:pPr>
            <w:r w:rsidRPr="00A44DFD">
              <w:t>01.</w:t>
            </w:r>
            <w:r w:rsidR="00592E3D">
              <w:t>10</w:t>
            </w:r>
            <w:r w:rsidRPr="00A44DFD">
              <w:t>.</w:t>
            </w:r>
            <w:r>
              <w:t>20</w:t>
            </w:r>
            <w:r w:rsidRPr="00A44DFD">
              <w:t xml:space="preserve"> </w:t>
            </w:r>
          </w:p>
        </w:tc>
        <w:tc>
          <w:tcPr>
            <w:tcW w:w="3079" w:type="dxa"/>
          </w:tcPr>
          <w:p w:rsidR="00505AEA" w:rsidRPr="00505AEA" w:rsidRDefault="00592E3D" w:rsidP="00936C6A">
            <w:pPr>
              <w:spacing w:after="200" w:line="276" w:lineRule="auto"/>
              <w:contextualSpacing/>
              <w:jc w:val="both"/>
            </w:pPr>
            <w:r>
              <w:t>October</w:t>
            </w:r>
            <w:r w:rsidR="00505AEA" w:rsidRPr="00505AEA">
              <w:t xml:space="preserve"> 20</w:t>
            </w:r>
            <w:r w:rsidR="00505AEA">
              <w:t>20</w:t>
            </w:r>
            <w:r w:rsidR="00505AEA" w:rsidRPr="00505AEA">
              <w:t xml:space="preserve"> </w:t>
            </w:r>
          </w:p>
        </w:tc>
      </w:tr>
      <w:tr w:rsidR="00505AEA" w:rsidRPr="00505AEA" w:rsidTr="00505AEA">
        <w:tc>
          <w:tcPr>
            <w:tcW w:w="3078" w:type="dxa"/>
          </w:tcPr>
          <w:p w:rsidR="00505AEA" w:rsidRPr="00505AEA" w:rsidRDefault="00505AEA" w:rsidP="00592E3D">
            <w:pPr>
              <w:spacing w:after="200"/>
              <w:contextualSpacing/>
              <w:jc w:val="both"/>
            </w:pPr>
            <w:r w:rsidRPr="00505AEA">
              <w:t xml:space="preserve">Round </w:t>
            </w:r>
            <w:r>
              <w:t>1</w:t>
            </w:r>
            <w:r w:rsidR="00592E3D">
              <w:t>5</w:t>
            </w:r>
            <w:r w:rsidRPr="00505AEA">
              <w:t xml:space="preserve"> </w:t>
            </w:r>
          </w:p>
        </w:tc>
        <w:tc>
          <w:tcPr>
            <w:tcW w:w="3079" w:type="dxa"/>
          </w:tcPr>
          <w:p w:rsidR="00505AEA" w:rsidRPr="00A44DFD" w:rsidRDefault="00505AEA" w:rsidP="00592E3D">
            <w:pPr>
              <w:jc w:val="both"/>
            </w:pPr>
            <w:r w:rsidRPr="00A44DFD">
              <w:t>01-</w:t>
            </w:r>
            <w:r w:rsidR="00592E3D">
              <w:t>10</w:t>
            </w:r>
            <w:r w:rsidRPr="00A44DFD">
              <w:t>-</w:t>
            </w:r>
            <w:r>
              <w:t>2</w:t>
            </w:r>
            <w:r w:rsidR="00592E3D">
              <w:t>1</w:t>
            </w:r>
            <w:r w:rsidRPr="00A44DFD">
              <w:t xml:space="preserve"> </w:t>
            </w:r>
          </w:p>
        </w:tc>
        <w:tc>
          <w:tcPr>
            <w:tcW w:w="3079" w:type="dxa"/>
          </w:tcPr>
          <w:p w:rsidR="00505AEA" w:rsidRPr="00505AEA" w:rsidRDefault="00592E3D" w:rsidP="00592E3D">
            <w:pPr>
              <w:spacing w:after="200" w:line="276" w:lineRule="auto"/>
              <w:contextualSpacing/>
              <w:jc w:val="both"/>
            </w:pPr>
            <w:r>
              <w:t>October</w:t>
            </w:r>
            <w:r w:rsidR="00505AEA" w:rsidRPr="00505AEA">
              <w:t xml:space="preserve"> 20</w:t>
            </w:r>
            <w:r w:rsidR="00505AEA">
              <w:t>2</w:t>
            </w:r>
            <w:r>
              <w:t>1</w:t>
            </w:r>
          </w:p>
        </w:tc>
      </w:tr>
      <w:tr w:rsidR="00505AEA" w:rsidRPr="00505AEA" w:rsidTr="00505AEA">
        <w:tc>
          <w:tcPr>
            <w:tcW w:w="3078" w:type="dxa"/>
          </w:tcPr>
          <w:p w:rsidR="00505AEA" w:rsidRPr="00505AEA" w:rsidRDefault="00505AEA" w:rsidP="00592E3D">
            <w:pPr>
              <w:spacing w:after="200"/>
              <w:contextualSpacing/>
              <w:jc w:val="both"/>
            </w:pPr>
            <w:r w:rsidRPr="00505AEA">
              <w:t xml:space="preserve">Round </w:t>
            </w:r>
            <w:r>
              <w:t>1</w:t>
            </w:r>
            <w:r w:rsidR="00592E3D">
              <w:t>6</w:t>
            </w:r>
            <w:r w:rsidRPr="00505AEA">
              <w:t xml:space="preserve"> </w:t>
            </w:r>
          </w:p>
        </w:tc>
        <w:tc>
          <w:tcPr>
            <w:tcW w:w="3079" w:type="dxa"/>
          </w:tcPr>
          <w:p w:rsidR="00505AEA" w:rsidRPr="00A44DFD" w:rsidRDefault="00505AEA" w:rsidP="00592E3D">
            <w:pPr>
              <w:jc w:val="both"/>
            </w:pPr>
            <w:r w:rsidRPr="00A44DFD">
              <w:t>01-</w:t>
            </w:r>
            <w:r w:rsidR="00592E3D">
              <w:t>10</w:t>
            </w:r>
            <w:r w:rsidRPr="00A44DFD">
              <w:t>-</w:t>
            </w:r>
            <w:r>
              <w:t>2</w:t>
            </w:r>
            <w:r w:rsidR="00592E3D">
              <w:t>2</w:t>
            </w:r>
          </w:p>
        </w:tc>
        <w:tc>
          <w:tcPr>
            <w:tcW w:w="3079" w:type="dxa"/>
          </w:tcPr>
          <w:p w:rsidR="00505AEA" w:rsidRPr="00505AEA" w:rsidRDefault="00592E3D" w:rsidP="00936C6A">
            <w:pPr>
              <w:spacing w:after="200" w:line="276" w:lineRule="auto"/>
              <w:contextualSpacing/>
              <w:jc w:val="both"/>
            </w:pPr>
            <w:r>
              <w:t>October 2022</w:t>
            </w:r>
          </w:p>
        </w:tc>
      </w:tr>
      <w:tr w:rsidR="00505AEA" w:rsidRPr="00505AEA" w:rsidTr="00505AEA">
        <w:tc>
          <w:tcPr>
            <w:tcW w:w="3078" w:type="dxa"/>
          </w:tcPr>
          <w:p w:rsidR="00505AEA" w:rsidRPr="00505AEA" w:rsidRDefault="00505AEA" w:rsidP="00592E3D">
            <w:pPr>
              <w:spacing w:after="200"/>
              <w:contextualSpacing/>
              <w:jc w:val="both"/>
            </w:pPr>
            <w:r w:rsidRPr="00505AEA">
              <w:t xml:space="preserve">Round </w:t>
            </w:r>
            <w:r>
              <w:t>1</w:t>
            </w:r>
            <w:r w:rsidR="00592E3D">
              <w:t>7</w:t>
            </w:r>
            <w:r w:rsidRPr="00505AEA">
              <w:t xml:space="preserve"> </w:t>
            </w:r>
          </w:p>
        </w:tc>
        <w:tc>
          <w:tcPr>
            <w:tcW w:w="3079" w:type="dxa"/>
          </w:tcPr>
          <w:p w:rsidR="00505AEA" w:rsidRDefault="00505AEA" w:rsidP="00592E3D">
            <w:pPr>
              <w:jc w:val="both"/>
            </w:pPr>
            <w:r w:rsidRPr="00A44DFD">
              <w:t>01-10-</w:t>
            </w:r>
            <w:r>
              <w:t>2</w:t>
            </w:r>
            <w:r w:rsidR="00592E3D">
              <w:t>3</w:t>
            </w:r>
            <w:r w:rsidRPr="00A44DFD">
              <w:t xml:space="preserve"> </w:t>
            </w:r>
          </w:p>
        </w:tc>
        <w:tc>
          <w:tcPr>
            <w:tcW w:w="3079" w:type="dxa"/>
          </w:tcPr>
          <w:p w:rsidR="00505AEA" w:rsidRPr="00505AEA" w:rsidRDefault="00505AEA" w:rsidP="00592E3D">
            <w:pPr>
              <w:spacing w:after="200" w:line="276" w:lineRule="auto"/>
              <w:contextualSpacing/>
              <w:jc w:val="both"/>
            </w:pPr>
            <w:r w:rsidRPr="00505AEA">
              <w:t>October 20</w:t>
            </w:r>
            <w:r>
              <w:t>2</w:t>
            </w:r>
            <w:r w:rsidR="00592E3D">
              <w:t>3</w:t>
            </w:r>
          </w:p>
        </w:tc>
      </w:tr>
      <w:tr w:rsidR="00936C6A" w:rsidRPr="00E25CF7" w:rsidTr="00B21814">
        <w:tc>
          <w:tcPr>
            <w:tcW w:w="9236" w:type="dxa"/>
            <w:gridSpan w:val="3"/>
          </w:tcPr>
          <w:p w:rsidR="00936C6A" w:rsidRPr="00E25CF7" w:rsidRDefault="00936C6A" w:rsidP="00936C6A">
            <w:pPr>
              <w:jc w:val="both"/>
            </w:pPr>
            <w:r w:rsidRPr="00E25CF7">
              <w:t>Subsequent rounds to be advised</w:t>
            </w:r>
          </w:p>
        </w:tc>
      </w:tr>
    </w:tbl>
    <w:p w:rsidR="00505AEA" w:rsidRDefault="00505AEA" w:rsidP="00936C6A">
      <w:pPr>
        <w:spacing w:before="194" w:line="311" w:lineRule="exact"/>
        <w:ind w:right="144"/>
        <w:jc w:val="both"/>
        <w:textAlignment w:val="baseline"/>
        <w:rPr>
          <w:rFonts w:ascii="Calibri" w:eastAsia="Calibri" w:hAnsi="Calibri"/>
          <w:b/>
          <w:color w:val="000000"/>
          <w:sz w:val="23"/>
        </w:rPr>
      </w:pPr>
    </w:p>
    <w:sectPr w:rsidR="00505AEA" w:rsidSect="00592E3D">
      <w:headerReference w:type="default" r:id="rId8"/>
      <w:pgSz w:w="11909" w:h="16838"/>
      <w:pgMar w:top="1340" w:right="1593" w:bottom="2694"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CF" w:rsidRDefault="004F5ECF" w:rsidP="004F5ECF">
      <w:r>
        <w:separator/>
      </w:r>
    </w:p>
  </w:endnote>
  <w:endnote w:type="continuationSeparator" w:id="0">
    <w:p w:rsidR="004F5ECF" w:rsidRDefault="004F5ECF" w:rsidP="004F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CF" w:rsidRDefault="004F5ECF" w:rsidP="004F5ECF">
      <w:r>
        <w:separator/>
      </w:r>
    </w:p>
  </w:footnote>
  <w:footnote w:type="continuationSeparator" w:id="0">
    <w:p w:rsidR="004F5ECF" w:rsidRDefault="004F5ECF" w:rsidP="004F5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C6" w:rsidRPr="005719C6" w:rsidRDefault="005719C6" w:rsidP="005719C6">
    <w:pPr>
      <w:pStyle w:val="Header"/>
      <w:jc w:val="right"/>
      <w:rPr>
        <w:rFonts w:ascii="Arial" w:hAnsi="Arial" w:cs="Arial"/>
        <w:sz w:val="20"/>
        <w:szCs w:val="20"/>
      </w:rPr>
    </w:pPr>
    <w:r w:rsidRPr="005719C6">
      <w:rPr>
        <w:rFonts w:ascii="Arial" w:hAnsi="Arial" w:cs="Arial"/>
        <w:sz w:val="20"/>
        <w:szCs w:val="20"/>
      </w:rPr>
      <w:t>Revised August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F32D5"/>
    <w:multiLevelType w:val="hybridMultilevel"/>
    <w:tmpl w:val="B784CE98"/>
    <w:lvl w:ilvl="0" w:tplc="A78A0586">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5B2688"/>
    <w:rsid w:val="001A2245"/>
    <w:rsid w:val="004F5ECF"/>
    <w:rsid w:val="004F62A4"/>
    <w:rsid w:val="00505AEA"/>
    <w:rsid w:val="005719C6"/>
    <w:rsid w:val="00592E3D"/>
    <w:rsid w:val="005B2688"/>
    <w:rsid w:val="00675B2A"/>
    <w:rsid w:val="00936C6A"/>
    <w:rsid w:val="00E2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CF7"/>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ECF"/>
    <w:pPr>
      <w:tabs>
        <w:tab w:val="center" w:pos="4513"/>
        <w:tab w:val="right" w:pos="9026"/>
      </w:tabs>
    </w:pPr>
  </w:style>
  <w:style w:type="character" w:customStyle="1" w:styleId="HeaderChar">
    <w:name w:val="Header Char"/>
    <w:basedOn w:val="DefaultParagraphFont"/>
    <w:link w:val="Header"/>
    <w:uiPriority w:val="99"/>
    <w:rsid w:val="004F5ECF"/>
  </w:style>
  <w:style w:type="paragraph" w:styleId="Footer">
    <w:name w:val="footer"/>
    <w:basedOn w:val="Normal"/>
    <w:link w:val="FooterChar"/>
    <w:uiPriority w:val="99"/>
    <w:unhideWhenUsed/>
    <w:rsid w:val="004F5ECF"/>
    <w:pPr>
      <w:tabs>
        <w:tab w:val="center" w:pos="4513"/>
        <w:tab w:val="right" w:pos="9026"/>
      </w:tabs>
    </w:pPr>
  </w:style>
  <w:style w:type="character" w:customStyle="1" w:styleId="FooterChar">
    <w:name w:val="Footer Char"/>
    <w:basedOn w:val="DefaultParagraphFont"/>
    <w:link w:val="Footer"/>
    <w:uiPriority w:val="99"/>
    <w:rsid w:val="004F5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CF7"/>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ECF"/>
    <w:pPr>
      <w:tabs>
        <w:tab w:val="center" w:pos="4513"/>
        <w:tab w:val="right" w:pos="9026"/>
      </w:tabs>
    </w:pPr>
  </w:style>
  <w:style w:type="character" w:customStyle="1" w:styleId="HeaderChar">
    <w:name w:val="Header Char"/>
    <w:basedOn w:val="DefaultParagraphFont"/>
    <w:link w:val="Header"/>
    <w:uiPriority w:val="99"/>
    <w:rsid w:val="004F5ECF"/>
  </w:style>
  <w:style w:type="paragraph" w:styleId="Footer">
    <w:name w:val="footer"/>
    <w:basedOn w:val="Normal"/>
    <w:link w:val="FooterChar"/>
    <w:uiPriority w:val="99"/>
    <w:unhideWhenUsed/>
    <w:rsid w:val="004F5ECF"/>
    <w:pPr>
      <w:tabs>
        <w:tab w:val="center" w:pos="4513"/>
        <w:tab w:val="right" w:pos="9026"/>
      </w:tabs>
    </w:pPr>
  </w:style>
  <w:style w:type="character" w:customStyle="1" w:styleId="FooterChar">
    <w:name w:val="Footer Char"/>
    <w:basedOn w:val="DefaultParagraphFont"/>
    <w:link w:val="Footer"/>
    <w:uiPriority w:val="99"/>
    <w:rsid w:val="004F5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Woof</dc:creator>
  <cp:lastModifiedBy>Emma Woof</cp:lastModifiedBy>
  <cp:revision>3</cp:revision>
  <dcterms:created xsi:type="dcterms:W3CDTF">2019-08-07T08:57:00Z</dcterms:created>
  <dcterms:modified xsi:type="dcterms:W3CDTF">2019-08-07T09:33:00Z</dcterms:modified>
</cp:coreProperties>
</file>