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3CF82121" w:rsidR="00EE16FA" w:rsidRPr="00DF1107" w:rsidRDefault="00D0772E" w:rsidP="00C178DF">
            <w:pPr>
              <w:pStyle w:val="Version"/>
            </w:pPr>
            <w:r>
              <w:rPr>
                <w:sz w:val="48"/>
                <w:szCs w:val="48"/>
              </w:rPr>
              <w:t>19/10/</w:t>
            </w:r>
            <w:r w:rsidR="00073291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3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3F5A0BC9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572B7517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6E3420">
              <w:rPr>
                <w:rFonts w:cs="Arial"/>
                <w:bCs/>
              </w:rPr>
              <w:t>19/10/2023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4C87EC3D" w14:textId="7C82F229" w:rsidR="00F77481" w:rsidRPr="00F77481" w:rsidRDefault="00EE16FA" w:rsidP="001F78FD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358EA0E3" w:rsidR="00C13EAF" w:rsidRPr="00F77481" w:rsidRDefault="00C13EAF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3BBF0712" w:rsidR="005D484F" w:rsidRPr="00F77481" w:rsidRDefault="005D484F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484191EE" w:rsidR="005D484F" w:rsidRDefault="005D484F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  <w:r w:rsidR="00C13EAF">
                    <w:rPr>
                      <w:rFonts w:cs="Arial"/>
                    </w:rPr>
                    <w:t xml:space="preserve"> – Self Build Plots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7BBFCAD8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07D5BC8E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243F23CF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2CCE8C2D" w:rsidR="00346D38" w:rsidRDefault="00770237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254D89D4" w:rsidR="00346D38" w:rsidRPr="00F77481" w:rsidRDefault="00346D38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2AAD4463" w:rsidR="00830581" w:rsidRPr="00F77481" w:rsidRDefault="00830581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830581" w:rsidRPr="00F77481" w14:paraId="5AA429C5" w14:textId="77777777" w:rsidTr="007E15BC">
              <w:tc>
                <w:tcPr>
                  <w:tcW w:w="2518" w:type="dxa"/>
                </w:tcPr>
                <w:p w14:paraId="52211556" w14:textId="40A9DD85" w:rsidR="00830581" w:rsidRPr="00F77481" w:rsidRDefault="00830581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Additional Considerations:</w:t>
                  </w:r>
                </w:p>
              </w:tc>
              <w:tc>
                <w:tcPr>
                  <w:tcW w:w="3969" w:type="dxa"/>
                </w:tcPr>
                <w:p w14:paraId="5A3C6965" w14:textId="5425508C" w:rsidR="00830581" w:rsidRPr="00770237" w:rsidRDefault="00830581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BA6D34" w:rsidRPr="00F77481" w14:paraId="6D2E44B3" w14:textId="77777777" w:rsidTr="007E15BC">
              <w:tc>
                <w:tcPr>
                  <w:tcW w:w="2518" w:type="dxa"/>
                </w:tcPr>
                <w:p w14:paraId="71BD7C53" w14:textId="7A5C0B56" w:rsidR="00BA6D34" w:rsidRPr="00F77481" w:rsidRDefault="00BA6D34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0D57679A" w14:textId="382BE119" w:rsidR="00BA6D34" w:rsidRPr="00F77481" w:rsidRDefault="00BA6D34" w:rsidP="00BC28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Initial Report + Monthly Progress Reports x </w:t>
                  </w:r>
                  <w:r w:rsidRPr="00770237">
                    <w:rPr>
                      <w:rFonts w:cs="Arial"/>
                      <w:b/>
                      <w:bCs/>
                    </w:rPr>
                    <w:t>5</w:t>
                  </w:r>
                  <w:r>
                    <w:rPr>
                      <w:rFonts w:cs="Arial"/>
                    </w:rPr>
                    <w:t xml:space="preserve"> (or until </w:t>
                  </w:r>
                  <w:r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A45D861" w14:textId="77777777" w:rsidR="00E9449A" w:rsidRDefault="00E9449A" w:rsidP="00CF269E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lang w:eastAsia="en-GB"/>
              </w:rPr>
            </w:pPr>
          </w:p>
          <w:p w14:paraId="0A3684EB" w14:textId="77777777" w:rsidR="00CF269E" w:rsidRPr="00CF269E" w:rsidRDefault="00CF269E" w:rsidP="00CF269E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59FD2C35" w14:textId="77777777" w:rsidR="00CF269E" w:rsidRDefault="00CF269E" w:rsidP="00EE16FA">
            <w:pPr>
              <w:rPr>
                <w:rFonts w:cs="Arial"/>
                <w:spacing w:val="-2"/>
                <w:lang w:eastAsia="en-GB"/>
              </w:rPr>
            </w:pPr>
          </w:p>
          <w:p w14:paraId="6F9E9762" w14:textId="77777777" w:rsidR="00CF269E" w:rsidRPr="00F77481" w:rsidRDefault="00CF269E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E03399A" w14:textId="77777777" w:rsidR="00CF269E" w:rsidRDefault="00CF269E" w:rsidP="00EE16FA">
            <w:pPr>
              <w:rPr>
                <w:rFonts w:cs="Arial"/>
                <w:bCs/>
                <w:iCs/>
              </w:rPr>
            </w:pPr>
          </w:p>
          <w:p w14:paraId="1949F96C" w14:textId="77777777" w:rsidR="00CF269E" w:rsidRDefault="00CF269E" w:rsidP="00EE16FA">
            <w:pPr>
              <w:rPr>
                <w:rFonts w:cs="Arial"/>
                <w:bCs/>
                <w:iCs/>
              </w:rPr>
            </w:pPr>
          </w:p>
          <w:p w14:paraId="7D74CEC7" w14:textId="77777777" w:rsidR="00CF269E" w:rsidRPr="00F77481" w:rsidRDefault="00CF269E" w:rsidP="00EE16FA">
            <w:pPr>
              <w:rPr>
                <w:rFonts w:cs="Arial"/>
                <w:bCs/>
                <w:iCs/>
              </w:rPr>
            </w:pP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008FB51B" w14:textId="6E8C159A" w:rsidR="0065273F" w:rsidRPr="001F78FD" w:rsidRDefault="004A0AB1" w:rsidP="001F78FD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65273F" w:rsidRPr="001F78FD">
              <w:rPr>
                <w:rFonts w:cs="Arial"/>
                <w:bCs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5CC59FD6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>
              <w:rPr>
                <w:rFonts w:cs="Arial"/>
                <w:b/>
                <w:bCs/>
                <w:iCs/>
              </w:rPr>
              <w:t>5</w:t>
            </w:r>
            <w:r w:rsidR="002A1C03">
              <w:rPr>
                <w:rFonts w:cs="Arial"/>
                <w:b/>
                <w:bCs/>
                <w:iCs/>
              </w:rPr>
              <w:t>.00</w:t>
            </w:r>
            <w:r w:rsidR="00F97D0A">
              <w:rPr>
                <w:rFonts w:cs="Arial"/>
                <w:b/>
                <w:bCs/>
                <w:iCs/>
              </w:rPr>
              <w:t xml:space="preserve"> 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BA6D34">
              <w:rPr>
                <w:rFonts w:cs="Arial"/>
                <w:b/>
                <w:bCs/>
                <w:iCs/>
              </w:rPr>
              <w:t>2</w:t>
            </w:r>
            <w:r w:rsidR="00826D20">
              <w:rPr>
                <w:rFonts w:cs="Arial"/>
                <w:b/>
                <w:bCs/>
                <w:iCs/>
              </w:rPr>
              <w:t>6</w:t>
            </w:r>
            <w:r w:rsidR="00BA6D34" w:rsidRPr="00BA6D34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BA6D34">
              <w:rPr>
                <w:rFonts w:cs="Arial"/>
                <w:b/>
                <w:bCs/>
                <w:iCs/>
              </w:rPr>
              <w:t xml:space="preserve"> October</w:t>
            </w:r>
            <w:r w:rsidR="002A1C03">
              <w:rPr>
                <w:rFonts w:cs="Arial"/>
                <w:b/>
                <w:bCs/>
                <w:iCs/>
              </w:rPr>
              <w:t xml:space="preserve"> </w:t>
            </w:r>
            <w:r w:rsidR="00E465C1">
              <w:rPr>
                <w:rFonts w:cs="Arial"/>
                <w:b/>
                <w:bCs/>
                <w:iCs/>
              </w:rPr>
              <w:t>2022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057E6950" w:rsidR="00CF269E" w:rsidRPr="00CF269E" w:rsidRDefault="00EE16FA" w:rsidP="00CF269E">
            <w:pPr>
              <w:pStyle w:val="Heading4"/>
              <w:numPr>
                <w:ilvl w:val="0"/>
                <w:numId w:val="30"/>
              </w:numPr>
              <w:rPr>
                <w:rFonts w:cs="Arial"/>
                <w:b/>
                <w:i w:val="0"/>
                <w:sz w:val="22"/>
              </w:rPr>
            </w:pPr>
            <w:r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BA6D34" w:rsidRPr="00BA6D34">
              <w:rPr>
                <w:rFonts w:cs="Arial"/>
                <w:b/>
                <w:i w:val="0"/>
                <w:sz w:val="22"/>
              </w:rPr>
              <w:t>5.00 pm, 2</w:t>
            </w:r>
            <w:r w:rsidR="00826D20">
              <w:rPr>
                <w:rFonts w:cs="Arial"/>
                <w:b/>
                <w:i w:val="0"/>
                <w:sz w:val="22"/>
              </w:rPr>
              <w:t>6</w:t>
            </w:r>
            <w:r w:rsidR="00BA6D34" w:rsidRPr="00BA6D34">
              <w:rPr>
                <w:rFonts w:cs="Arial"/>
                <w:b/>
                <w:i w:val="0"/>
                <w:sz w:val="22"/>
              </w:rPr>
              <w:t>th October 2022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34E84173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 xml:space="preserve">: </w:t>
            </w:r>
          </w:p>
          <w:p w14:paraId="3521DD02" w14:textId="0F25B6F3" w:rsidR="006A4DA6" w:rsidRP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B434" w14:textId="77777777" w:rsidR="0008410D" w:rsidRDefault="0008410D" w:rsidP="00F92391">
      <w:r>
        <w:separator/>
      </w:r>
    </w:p>
  </w:endnote>
  <w:endnote w:type="continuationSeparator" w:id="0">
    <w:p w14:paraId="2CE253C8" w14:textId="77777777" w:rsidR="0008410D" w:rsidRDefault="0008410D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EECA" w14:textId="77777777" w:rsidR="0008410D" w:rsidRPr="001C6B18" w:rsidRDefault="0008410D" w:rsidP="001C6B18">
      <w:pPr>
        <w:pStyle w:val="Footer"/>
      </w:pPr>
    </w:p>
  </w:footnote>
  <w:footnote w:type="continuationSeparator" w:id="0">
    <w:p w14:paraId="4AA5793D" w14:textId="77777777" w:rsidR="0008410D" w:rsidRPr="001C6B18" w:rsidRDefault="0008410D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57F6" w14:textId="77777777" w:rsidR="00830C49" w:rsidRDefault="0083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B7A92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4D030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67AE" w14:textId="77777777" w:rsidR="00830C49" w:rsidRDefault="00830C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112DD"/>
    <w:multiLevelType w:val="hybridMultilevel"/>
    <w:tmpl w:val="06E25B7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3"/>
  </w:num>
  <w:num w:numId="12" w16cid:durableId="16218377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1"/>
  </w:num>
  <w:num w:numId="15" w16cid:durableId="6864442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8"/>
  </w:num>
  <w:num w:numId="17" w16cid:durableId="148786267">
    <w:abstractNumId w:val="25"/>
  </w:num>
  <w:num w:numId="18" w16cid:durableId="1805808778">
    <w:abstractNumId w:val="22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7"/>
  </w:num>
  <w:num w:numId="22" w16cid:durableId="1545479110">
    <w:abstractNumId w:val="15"/>
  </w:num>
  <w:num w:numId="23" w16cid:durableId="1068990113">
    <w:abstractNumId w:val="26"/>
  </w:num>
  <w:num w:numId="24" w16cid:durableId="1963001478">
    <w:abstractNumId w:val="24"/>
  </w:num>
  <w:num w:numId="25" w16cid:durableId="876234465">
    <w:abstractNumId w:val="19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20"/>
  </w:num>
  <w:num w:numId="29" w16cid:durableId="977103811">
    <w:abstractNumId w:val="10"/>
  </w:num>
  <w:num w:numId="30" w16cid:durableId="7579437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37905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8410D"/>
    <w:rsid w:val="00091030"/>
    <w:rsid w:val="000B1FEF"/>
    <w:rsid w:val="000B6991"/>
    <w:rsid w:val="000D184D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1F78FD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0411E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7B5C"/>
    <w:rsid w:val="003728DB"/>
    <w:rsid w:val="00375F00"/>
    <w:rsid w:val="00394688"/>
    <w:rsid w:val="003C46E6"/>
    <w:rsid w:val="003C7E04"/>
    <w:rsid w:val="003D06DA"/>
    <w:rsid w:val="003F7E26"/>
    <w:rsid w:val="00401FD1"/>
    <w:rsid w:val="00420B23"/>
    <w:rsid w:val="004215A3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4069D"/>
    <w:rsid w:val="00551146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4EE4"/>
    <w:rsid w:val="006365E8"/>
    <w:rsid w:val="00645A97"/>
    <w:rsid w:val="0065273F"/>
    <w:rsid w:val="006753F6"/>
    <w:rsid w:val="00682AA2"/>
    <w:rsid w:val="00684FE5"/>
    <w:rsid w:val="00687951"/>
    <w:rsid w:val="00687DB8"/>
    <w:rsid w:val="00696C2B"/>
    <w:rsid w:val="006A4DA6"/>
    <w:rsid w:val="006B2F9B"/>
    <w:rsid w:val="006B4443"/>
    <w:rsid w:val="006C62C7"/>
    <w:rsid w:val="006D0B09"/>
    <w:rsid w:val="006D35C6"/>
    <w:rsid w:val="006E1046"/>
    <w:rsid w:val="006E3420"/>
    <w:rsid w:val="006E34B8"/>
    <w:rsid w:val="006E5873"/>
    <w:rsid w:val="006E7E14"/>
    <w:rsid w:val="006F4D63"/>
    <w:rsid w:val="00702B34"/>
    <w:rsid w:val="00725675"/>
    <w:rsid w:val="0073314B"/>
    <w:rsid w:val="0073486C"/>
    <w:rsid w:val="00735098"/>
    <w:rsid w:val="007360CE"/>
    <w:rsid w:val="007531CD"/>
    <w:rsid w:val="00766A7F"/>
    <w:rsid w:val="00770237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826D20"/>
    <w:rsid w:val="008270E0"/>
    <w:rsid w:val="00830581"/>
    <w:rsid w:val="00830735"/>
    <w:rsid w:val="00830C49"/>
    <w:rsid w:val="00832825"/>
    <w:rsid w:val="00835040"/>
    <w:rsid w:val="008428FE"/>
    <w:rsid w:val="00864275"/>
    <w:rsid w:val="00867D6F"/>
    <w:rsid w:val="00872492"/>
    <w:rsid w:val="0088042D"/>
    <w:rsid w:val="00883DF4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B61"/>
    <w:rsid w:val="009532F8"/>
    <w:rsid w:val="00954EA6"/>
    <w:rsid w:val="00973637"/>
    <w:rsid w:val="00974C1E"/>
    <w:rsid w:val="00976722"/>
    <w:rsid w:val="00982976"/>
    <w:rsid w:val="00983E06"/>
    <w:rsid w:val="00986C65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2A4B"/>
    <w:rsid w:val="00AA409C"/>
    <w:rsid w:val="00AB7BE3"/>
    <w:rsid w:val="00AD3B9C"/>
    <w:rsid w:val="00AE752E"/>
    <w:rsid w:val="00AF4EAB"/>
    <w:rsid w:val="00B11B30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7C7A"/>
    <w:rsid w:val="00BA2DB5"/>
    <w:rsid w:val="00BA6D34"/>
    <w:rsid w:val="00BB31FC"/>
    <w:rsid w:val="00BC11B7"/>
    <w:rsid w:val="00BC28D1"/>
    <w:rsid w:val="00BC41FD"/>
    <w:rsid w:val="00BC7066"/>
    <w:rsid w:val="00BD017A"/>
    <w:rsid w:val="00BD3901"/>
    <w:rsid w:val="00BE010C"/>
    <w:rsid w:val="00BE1A89"/>
    <w:rsid w:val="00BF2BB8"/>
    <w:rsid w:val="00C13EAF"/>
    <w:rsid w:val="00C178DF"/>
    <w:rsid w:val="00C34342"/>
    <w:rsid w:val="00C37C24"/>
    <w:rsid w:val="00C41384"/>
    <w:rsid w:val="00C54479"/>
    <w:rsid w:val="00C66DAC"/>
    <w:rsid w:val="00C8206D"/>
    <w:rsid w:val="00C83A91"/>
    <w:rsid w:val="00C93124"/>
    <w:rsid w:val="00CA3EA3"/>
    <w:rsid w:val="00CA5C7E"/>
    <w:rsid w:val="00CB2389"/>
    <w:rsid w:val="00CD26C3"/>
    <w:rsid w:val="00CD6B75"/>
    <w:rsid w:val="00CF269E"/>
    <w:rsid w:val="00CF5ED3"/>
    <w:rsid w:val="00D0772E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3C37"/>
    <w:rsid w:val="00DD7EE3"/>
    <w:rsid w:val="00DE31A9"/>
    <w:rsid w:val="00DE50D7"/>
    <w:rsid w:val="00DF1107"/>
    <w:rsid w:val="00DF5F9A"/>
    <w:rsid w:val="00DF65F5"/>
    <w:rsid w:val="00DF7315"/>
    <w:rsid w:val="00DF76DB"/>
    <w:rsid w:val="00E00345"/>
    <w:rsid w:val="00E308D0"/>
    <w:rsid w:val="00E31CA5"/>
    <w:rsid w:val="00E465C1"/>
    <w:rsid w:val="00E72825"/>
    <w:rsid w:val="00E737F6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2C9F"/>
    <w:rsid w:val="00F53783"/>
    <w:rsid w:val="00F53B0E"/>
    <w:rsid w:val="00F67B56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B448F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3</cp:revision>
  <cp:lastPrinted>2011-08-01T16:19:00Z</cp:lastPrinted>
  <dcterms:created xsi:type="dcterms:W3CDTF">2023-10-30T15:05:00Z</dcterms:created>
  <dcterms:modified xsi:type="dcterms:W3CDTF">2023-10-30T15:12:00Z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