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3796E" w14:textId="77777777" w:rsidR="004120BB" w:rsidRDefault="004120BB" w:rsidP="004120BB">
      <w:pPr>
        <w:pStyle w:val="Heading1"/>
        <w:numPr>
          <w:ilvl w:val="0"/>
          <w:numId w:val="0"/>
        </w:numPr>
        <w:rPr>
          <w:rFonts w:cs="Arial"/>
          <w:szCs w:val="22"/>
        </w:rPr>
      </w:pPr>
      <w:bookmarkStart w:id="0" w:name="_Toc55482070"/>
      <w:r>
        <w:rPr>
          <w:rFonts w:cs="Arial"/>
          <w:szCs w:val="22"/>
        </w:rPr>
        <w:t>Appendix B – SPECIFICATION</w:t>
      </w:r>
      <w:bookmarkEnd w:id="0"/>
      <w:r>
        <w:rPr>
          <w:rFonts w:cs="Arial"/>
          <w:szCs w:val="22"/>
        </w:rPr>
        <w:t xml:space="preserve"> </w:t>
      </w:r>
    </w:p>
    <w:p w14:paraId="5CF641E2" w14:textId="4BB26651" w:rsidR="004120BB" w:rsidRPr="009D2F15" w:rsidRDefault="000A3D9F" w:rsidP="004120BB">
      <w:pPr>
        <w:numPr>
          <w:ilvl w:val="0"/>
          <w:numId w:val="1"/>
        </w:numPr>
        <w:ind w:hanging="720"/>
        <w:jc w:val="both"/>
        <w:rPr>
          <w:rFonts w:eastAsia="Times New Roman" w:cs="Arial"/>
          <w:b/>
          <w:szCs w:val="22"/>
          <w:lang w:eastAsia="en-US"/>
        </w:rPr>
      </w:pPr>
      <w:r>
        <w:rPr>
          <w:rFonts w:eastAsia="Times New Roman" w:cs="Arial"/>
          <w:b/>
          <w:szCs w:val="22"/>
          <w:lang w:eastAsia="en-US"/>
        </w:rPr>
        <w:t>Current Situation</w:t>
      </w:r>
    </w:p>
    <w:p w14:paraId="6E4A5B88" w14:textId="77777777" w:rsidR="004120BB" w:rsidRPr="009D2F15" w:rsidRDefault="004120BB" w:rsidP="004120BB">
      <w:pPr>
        <w:jc w:val="both"/>
        <w:rPr>
          <w:rFonts w:eastAsia="Times New Roman" w:cs="Arial"/>
          <w:szCs w:val="22"/>
          <w:lang w:eastAsia="en-US"/>
        </w:rPr>
      </w:pPr>
    </w:p>
    <w:p w14:paraId="35A667D8" w14:textId="13592AE3" w:rsidR="004120BB" w:rsidRDefault="004120BB" w:rsidP="004120BB">
      <w:pPr>
        <w:numPr>
          <w:ilvl w:val="1"/>
          <w:numId w:val="1"/>
        </w:numPr>
        <w:spacing w:after="200"/>
        <w:ind w:left="709" w:hanging="709"/>
        <w:jc w:val="both"/>
        <w:rPr>
          <w:rFonts w:eastAsia="Times New Roman" w:cs="Arial"/>
          <w:szCs w:val="22"/>
          <w:lang w:eastAsia="en-US"/>
        </w:rPr>
      </w:pPr>
      <w:r w:rsidRPr="009D2F15">
        <w:rPr>
          <w:rFonts w:eastAsia="Times New Roman" w:cs="Arial"/>
          <w:szCs w:val="22"/>
          <w:lang w:eastAsia="en-US"/>
        </w:rPr>
        <w:t xml:space="preserve">Southend-on-Sea Borough Council (SBC) would like to appoint a </w:t>
      </w:r>
      <w:r w:rsidR="0003406F" w:rsidRPr="0003406F">
        <w:rPr>
          <w:rFonts w:eastAsia="Times New Roman" w:cs="Arial"/>
          <w:szCs w:val="22"/>
          <w:lang w:eastAsia="en-US"/>
        </w:rPr>
        <w:t xml:space="preserve">Cloud Service Partner (CSP) </w:t>
      </w:r>
      <w:r>
        <w:rPr>
          <w:rFonts w:eastAsia="Times New Roman" w:cs="Arial"/>
          <w:szCs w:val="22"/>
          <w:lang w:eastAsia="en-US"/>
        </w:rPr>
        <w:t>to execute a</w:t>
      </w:r>
      <w:r w:rsidR="00E6032E">
        <w:rPr>
          <w:rFonts w:eastAsia="Times New Roman" w:cs="Arial"/>
          <w:szCs w:val="22"/>
          <w:lang w:eastAsia="en-US"/>
        </w:rPr>
        <w:t>n</w:t>
      </w:r>
      <w:r w:rsidR="0000384D">
        <w:rPr>
          <w:rFonts w:eastAsia="Times New Roman" w:cs="Arial"/>
          <w:szCs w:val="22"/>
          <w:lang w:eastAsia="en-US"/>
        </w:rPr>
        <w:t xml:space="preserve"> </w:t>
      </w:r>
      <w:r w:rsidR="008B30AF">
        <w:rPr>
          <w:rFonts w:eastAsia="Times New Roman" w:cs="Arial"/>
          <w:szCs w:val="22"/>
          <w:lang w:eastAsia="en-US"/>
        </w:rPr>
        <w:t>infrastructure</w:t>
      </w:r>
      <w:r>
        <w:rPr>
          <w:rFonts w:eastAsia="Times New Roman" w:cs="Arial"/>
          <w:szCs w:val="22"/>
          <w:lang w:eastAsia="en-US"/>
        </w:rPr>
        <w:t xml:space="preserve"> transformation.</w:t>
      </w:r>
      <w:r w:rsidRPr="009D2F15">
        <w:rPr>
          <w:rFonts w:eastAsia="Times New Roman" w:cs="Arial"/>
          <w:szCs w:val="22"/>
          <w:lang w:eastAsia="en-US"/>
        </w:rPr>
        <w:t xml:space="preserve"> The </w:t>
      </w:r>
      <w:bookmarkStart w:id="1" w:name="_Hlk88665787"/>
      <w:r>
        <w:rPr>
          <w:rFonts w:eastAsia="Times New Roman" w:cs="Arial"/>
          <w:szCs w:val="22"/>
          <w:lang w:eastAsia="en-US"/>
        </w:rPr>
        <w:t>CSP</w:t>
      </w:r>
      <w:r w:rsidRPr="009D2F15">
        <w:rPr>
          <w:rFonts w:eastAsia="Times New Roman" w:cs="Arial"/>
          <w:szCs w:val="22"/>
          <w:lang w:eastAsia="en-US"/>
        </w:rPr>
        <w:t xml:space="preserve"> </w:t>
      </w:r>
      <w:bookmarkEnd w:id="1"/>
      <w:r w:rsidRPr="009D2F15">
        <w:rPr>
          <w:rFonts w:eastAsia="Times New Roman" w:cs="Arial"/>
          <w:szCs w:val="22"/>
          <w:lang w:eastAsia="en-US"/>
        </w:rPr>
        <w:t xml:space="preserve">will provide the technical expertise and services required to augment and support the ICT department in </w:t>
      </w:r>
      <w:r>
        <w:rPr>
          <w:rFonts w:eastAsia="Times New Roman" w:cs="Arial"/>
          <w:szCs w:val="22"/>
          <w:lang w:eastAsia="en-US"/>
        </w:rPr>
        <w:t xml:space="preserve">a </w:t>
      </w:r>
      <w:r w:rsidR="008B30AF">
        <w:rPr>
          <w:rFonts w:eastAsia="Times New Roman" w:cs="Arial"/>
          <w:szCs w:val="22"/>
          <w:lang w:eastAsia="en-US"/>
        </w:rPr>
        <w:t xml:space="preserve">cloud </w:t>
      </w:r>
      <w:r>
        <w:rPr>
          <w:rFonts w:eastAsia="Times New Roman" w:cs="Arial"/>
          <w:szCs w:val="22"/>
          <w:lang w:eastAsia="en-US"/>
        </w:rPr>
        <w:t>migration programme, tr</w:t>
      </w:r>
      <w:r w:rsidRPr="009D2F15">
        <w:rPr>
          <w:rFonts w:eastAsia="Times New Roman" w:cs="Arial"/>
          <w:szCs w:val="22"/>
          <w:lang w:eastAsia="en-US"/>
        </w:rPr>
        <w:t>ansforming th</w:t>
      </w:r>
      <w:r w:rsidR="00A35F45">
        <w:rPr>
          <w:rFonts w:eastAsia="Times New Roman" w:cs="Arial"/>
          <w:szCs w:val="22"/>
          <w:lang w:eastAsia="en-US"/>
        </w:rPr>
        <w:t xml:space="preserve">e </w:t>
      </w:r>
      <w:r w:rsidRPr="009D2F15">
        <w:rPr>
          <w:rFonts w:eastAsia="Times New Roman" w:cs="Arial"/>
          <w:szCs w:val="22"/>
          <w:lang w:eastAsia="en-US"/>
        </w:rPr>
        <w:t>estate to support the Authorities 2050 and business service ambitions.</w:t>
      </w:r>
    </w:p>
    <w:p w14:paraId="1E2C151A" w14:textId="5325C96B" w:rsidR="000A3D9F" w:rsidRDefault="000A3D9F" w:rsidP="004120BB">
      <w:pPr>
        <w:numPr>
          <w:ilvl w:val="1"/>
          <w:numId w:val="1"/>
        </w:numPr>
        <w:spacing w:after="200"/>
        <w:ind w:hanging="720"/>
        <w:jc w:val="both"/>
        <w:rPr>
          <w:rFonts w:eastAsia="Times New Roman" w:cs="Arial"/>
          <w:szCs w:val="22"/>
          <w:lang w:eastAsia="en-US"/>
        </w:rPr>
      </w:pPr>
      <w:r>
        <w:rPr>
          <w:rFonts w:eastAsia="Times New Roman" w:cs="Arial"/>
          <w:szCs w:val="22"/>
          <w:lang w:eastAsia="en-US"/>
        </w:rPr>
        <w:t>SBC are inviting partners to build on a</w:t>
      </w:r>
      <w:r w:rsidR="009800B2">
        <w:rPr>
          <w:rFonts w:eastAsia="Times New Roman" w:cs="Arial"/>
          <w:szCs w:val="22"/>
          <w:lang w:eastAsia="en-US"/>
        </w:rPr>
        <w:t xml:space="preserve">n existing </w:t>
      </w:r>
      <w:r>
        <w:rPr>
          <w:rFonts w:eastAsia="Times New Roman" w:cs="Arial"/>
          <w:szCs w:val="22"/>
          <w:lang w:eastAsia="en-US"/>
        </w:rPr>
        <w:t>Azure environment, commenced Q1 2021 and having now completed a first series of</w:t>
      </w:r>
      <w:r w:rsidR="009800B2">
        <w:rPr>
          <w:rFonts w:eastAsia="Times New Roman" w:cs="Arial"/>
          <w:szCs w:val="22"/>
          <w:lang w:eastAsia="en-US"/>
        </w:rPr>
        <w:t xml:space="preserve"> “lif</w:t>
      </w:r>
      <w:r w:rsidR="009B09C8">
        <w:rPr>
          <w:rFonts w:eastAsia="Times New Roman" w:cs="Arial"/>
          <w:szCs w:val="22"/>
          <w:lang w:eastAsia="en-US"/>
        </w:rPr>
        <w:t>t and shift” migrations</w:t>
      </w:r>
      <w:r w:rsidR="00A16285">
        <w:rPr>
          <w:rFonts w:eastAsia="Times New Roman" w:cs="Arial"/>
          <w:szCs w:val="22"/>
          <w:lang w:eastAsia="en-US"/>
        </w:rPr>
        <w:t xml:space="preserve">, </w:t>
      </w:r>
      <w:r w:rsidR="00B651E8">
        <w:rPr>
          <w:rFonts w:eastAsia="Times New Roman" w:cs="Arial"/>
          <w:szCs w:val="22"/>
          <w:lang w:eastAsia="en-US"/>
        </w:rPr>
        <w:t>approximately</w:t>
      </w:r>
      <w:r>
        <w:rPr>
          <w:rFonts w:eastAsia="Times New Roman" w:cs="Arial"/>
          <w:szCs w:val="22"/>
          <w:lang w:eastAsia="en-US"/>
        </w:rPr>
        <w:t xml:space="preserve">100 </w:t>
      </w:r>
      <w:r w:rsidR="009800B2">
        <w:rPr>
          <w:rFonts w:eastAsia="Times New Roman" w:cs="Arial"/>
          <w:szCs w:val="22"/>
          <w:lang w:eastAsia="en-US"/>
        </w:rPr>
        <w:t xml:space="preserve">workloads, </w:t>
      </w:r>
      <w:proofErr w:type="gramStart"/>
      <w:r w:rsidR="009800B2">
        <w:rPr>
          <w:rFonts w:eastAsia="Times New Roman" w:cs="Arial"/>
          <w:szCs w:val="22"/>
          <w:lang w:eastAsia="en-US"/>
        </w:rPr>
        <w:t>IaaS</w:t>
      </w:r>
      <w:proofErr w:type="gramEnd"/>
      <w:r w:rsidR="009800B2">
        <w:rPr>
          <w:rFonts w:eastAsia="Times New Roman" w:cs="Arial"/>
          <w:szCs w:val="22"/>
          <w:lang w:eastAsia="en-US"/>
        </w:rPr>
        <w:t xml:space="preserve"> and SQL Azure databases.</w:t>
      </w:r>
      <w:r w:rsidR="003A288E">
        <w:rPr>
          <w:rFonts w:eastAsia="Times New Roman" w:cs="Arial"/>
          <w:szCs w:val="22"/>
          <w:lang w:eastAsia="en-US"/>
        </w:rPr>
        <w:t xml:space="preserve"> </w:t>
      </w:r>
      <w:r w:rsidR="008B30AF">
        <w:rPr>
          <w:rFonts w:eastAsia="Times New Roman" w:cs="Arial"/>
          <w:szCs w:val="22"/>
          <w:lang w:eastAsia="en-US"/>
        </w:rPr>
        <w:t xml:space="preserve">The directive is to plan, manage and migrate the existing </w:t>
      </w:r>
      <w:r w:rsidR="00B651E8">
        <w:rPr>
          <w:rFonts w:eastAsia="Times New Roman" w:cs="Arial"/>
          <w:szCs w:val="22"/>
          <w:lang w:eastAsia="en-US"/>
        </w:rPr>
        <w:t xml:space="preserve">approximate </w:t>
      </w:r>
      <w:r w:rsidR="008B30AF">
        <w:rPr>
          <w:rFonts w:eastAsia="Times New Roman" w:cs="Arial"/>
          <w:szCs w:val="22"/>
          <w:lang w:eastAsia="en-US"/>
        </w:rPr>
        <w:t xml:space="preserve">300 </w:t>
      </w:r>
      <w:r w:rsidR="00A73C45">
        <w:rPr>
          <w:rFonts w:eastAsia="Times New Roman" w:cs="Arial"/>
          <w:szCs w:val="22"/>
          <w:lang w:eastAsia="en-US"/>
        </w:rPr>
        <w:t>on-prem workloads and services</w:t>
      </w:r>
    </w:p>
    <w:p w14:paraId="4BEA91A0" w14:textId="553C058B" w:rsidR="004120BB" w:rsidRPr="000D4A58" w:rsidRDefault="004120BB" w:rsidP="004120BB">
      <w:pPr>
        <w:numPr>
          <w:ilvl w:val="1"/>
          <w:numId w:val="1"/>
        </w:numPr>
        <w:spacing w:after="200"/>
        <w:ind w:hanging="720"/>
        <w:jc w:val="both"/>
        <w:rPr>
          <w:rFonts w:eastAsia="Times New Roman" w:cs="Arial"/>
          <w:b/>
          <w:bCs/>
          <w:szCs w:val="22"/>
          <w:lang w:eastAsia="en-US"/>
        </w:rPr>
      </w:pPr>
      <w:r w:rsidRPr="000D4A58">
        <w:rPr>
          <w:rFonts w:eastAsia="Times New Roman" w:cs="Arial"/>
          <w:b/>
          <w:bCs/>
          <w:szCs w:val="22"/>
          <w:lang w:eastAsia="en-US"/>
        </w:rPr>
        <w:t>Strategic Intent</w:t>
      </w:r>
    </w:p>
    <w:p w14:paraId="00E17DE5" w14:textId="37D7E3AB" w:rsidR="004120BB" w:rsidRPr="009D2F15" w:rsidRDefault="004120BB" w:rsidP="004120BB">
      <w:pPr>
        <w:spacing w:after="200"/>
        <w:ind w:left="720"/>
        <w:jc w:val="both"/>
        <w:rPr>
          <w:rFonts w:eastAsia="Times New Roman" w:cs="Arial"/>
          <w:szCs w:val="22"/>
          <w:lang w:eastAsia="en-US"/>
        </w:rPr>
      </w:pPr>
      <w:r w:rsidRPr="009D2F15">
        <w:rPr>
          <w:rFonts w:eastAsia="Times New Roman" w:cs="Arial"/>
          <w:szCs w:val="22"/>
          <w:lang w:eastAsia="en-US"/>
        </w:rPr>
        <w:t>Over the next</w:t>
      </w:r>
      <w:r w:rsidR="00B864B9">
        <w:rPr>
          <w:rFonts w:eastAsia="Times New Roman" w:cs="Arial"/>
          <w:szCs w:val="22"/>
          <w:lang w:eastAsia="en-US"/>
        </w:rPr>
        <w:t xml:space="preserve"> few </w:t>
      </w:r>
      <w:r w:rsidR="00AE536A">
        <w:rPr>
          <w:rFonts w:eastAsia="Times New Roman" w:cs="Arial"/>
          <w:szCs w:val="22"/>
          <w:lang w:eastAsia="en-US"/>
        </w:rPr>
        <w:t>years</w:t>
      </w:r>
      <w:r w:rsidRPr="009D2F15">
        <w:rPr>
          <w:rFonts w:eastAsia="Times New Roman" w:cs="Arial"/>
          <w:szCs w:val="22"/>
          <w:lang w:eastAsia="en-US"/>
        </w:rPr>
        <w:t xml:space="preserve"> SBC Technology will</w:t>
      </w:r>
      <w:r w:rsidR="00BB21EA">
        <w:rPr>
          <w:rFonts w:eastAsia="Times New Roman" w:cs="Arial"/>
          <w:szCs w:val="22"/>
          <w:lang w:eastAsia="en-US"/>
        </w:rPr>
        <w:t xml:space="preserve"> </w:t>
      </w:r>
      <w:r w:rsidRPr="009D2F15">
        <w:rPr>
          <w:rFonts w:eastAsia="Times New Roman" w:cs="Arial"/>
          <w:szCs w:val="22"/>
          <w:lang w:eastAsia="en-US"/>
        </w:rPr>
        <w:t>transfor</w:t>
      </w:r>
      <w:r w:rsidR="00BB21EA">
        <w:rPr>
          <w:rFonts w:eastAsia="Times New Roman" w:cs="Arial"/>
          <w:szCs w:val="22"/>
          <w:lang w:eastAsia="en-US"/>
        </w:rPr>
        <w:t xml:space="preserve">m </w:t>
      </w:r>
      <w:r w:rsidRPr="009D2F15">
        <w:rPr>
          <w:rFonts w:eastAsia="Times New Roman" w:cs="Arial"/>
          <w:szCs w:val="22"/>
          <w:lang w:eastAsia="en-US"/>
        </w:rPr>
        <w:t>th</w:t>
      </w:r>
      <w:r>
        <w:rPr>
          <w:rFonts w:eastAsia="Times New Roman" w:cs="Arial"/>
          <w:szCs w:val="22"/>
          <w:lang w:eastAsia="en-US"/>
        </w:rPr>
        <w:t xml:space="preserve">eir technology </w:t>
      </w:r>
      <w:r w:rsidRPr="009D2F15">
        <w:rPr>
          <w:rFonts w:eastAsia="Times New Roman" w:cs="Arial"/>
          <w:szCs w:val="22"/>
          <w:lang w:eastAsia="en-US"/>
        </w:rPr>
        <w:t xml:space="preserve">estate as progresses its Smart Strategy execution. This will result in significant </w:t>
      </w:r>
      <w:r>
        <w:rPr>
          <w:rFonts w:eastAsia="Times New Roman" w:cs="Arial"/>
          <w:szCs w:val="22"/>
          <w:lang w:eastAsia="en-US"/>
        </w:rPr>
        <w:t xml:space="preserve">technology transformation as </w:t>
      </w:r>
      <w:r w:rsidRPr="009D2F15">
        <w:rPr>
          <w:rFonts w:eastAsia="Times New Roman" w:cs="Arial"/>
          <w:szCs w:val="22"/>
          <w:lang w:eastAsia="en-US"/>
        </w:rPr>
        <w:t xml:space="preserve">new </w:t>
      </w:r>
      <w:r>
        <w:rPr>
          <w:rFonts w:eastAsia="Times New Roman" w:cs="Arial"/>
          <w:szCs w:val="22"/>
          <w:lang w:eastAsia="en-US"/>
        </w:rPr>
        <w:t xml:space="preserve">Cloud services are adopted and </w:t>
      </w:r>
      <w:r w:rsidRPr="009D2F15">
        <w:rPr>
          <w:rFonts w:eastAsia="Times New Roman" w:cs="Arial"/>
          <w:szCs w:val="22"/>
          <w:lang w:eastAsia="en-US"/>
        </w:rPr>
        <w:t>brought online.</w:t>
      </w:r>
    </w:p>
    <w:p w14:paraId="5FB1EB93" w14:textId="34464846" w:rsidR="004120BB" w:rsidRPr="009D2F15" w:rsidRDefault="004120BB" w:rsidP="004120BB">
      <w:pPr>
        <w:numPr>
          <w:ilvl w:val="1"/>
          <w:numId w:val="1"/>
        </w:numPr>
        <w:spacing w:after="200"/>
        <w:ind w:hanging="720"/>
        <w:jc w:val="both"/>
        <w:rPr>
          <w:rFonts w:eastAsia="Times New Roman" w:cs="Arial"/>
          <w:szCs w:val="22"/>
          <w:lang w:eastAsia="en-US"/>
        </w:rPr>
      </w:pPr>
      <w:r w:rsidRPr="009D2F15">
        <w:rPr>
          <w:rFonts w:eastAsia="Times New Roman" w:cs="Arial"/>
          <w:szCs w:val="22"/>
          <w:lang w:eastAsia="en-US"/>
        </w:rPr>
        <w:t>Th</w:t>
      </w:r>
      <w:r w:rsidR="006B77AA">
        <w:rPr>
          <w:rFonts w:eastAsia="Times New Roman" w:cs="Arial"/>
          <w:szCs w:val="22"/>
          <w:lang w:eastAsia="en-US"/>
        </w:rPr>
        <w:t>e first series of migrations hav</w:t>
      </w:r>
      <w:r w:rsidR="002E18DF">
        <w:rPr>
          <w:rFonts w:eastAsia="Times New Roman" w:cs="Arial"/>
          <w:szCs w:val="22"/>
          <w:lang w:eastAsia="en-US"/>
        </w:rPr>
        <w:t>e</w:t>
      </w:r>
      <w:r w:rsidR="006B77AA">
        <w:rPr>
          <w:rFonts w:eastAsia="Times New Roman" w:cs="Arial"/>
          <w:szCs w:val="22"/>
          <w:lang w:eastAsia="en-US"/>
        </w:rPr>
        <w:t xml:space="preserve"> now been completed </w:t>
      </w:r>
      <w:r w:rsidR="001522D4">
        <w:rPr>
          <w:rFonts w:eastAsia="Times New Roman" w:cs="Arial"/>
          <w:szCs w:val="22"/>
          <w:lang w:eastAsia="en-US"/>
        </w:rPr>
        <w:t>successfully</w:t>
      </w:r>
      <w:r w:rsidR="00BB21EA">
        <w:rPr>
          <w:rFonts w:eastAsia="Times New Roman" w:cs="Arial"/>
          <w:szCs w:val="22"/>
          <w:lang w:eastAsia="en-US"/>
        </w:rPr>
        <w:t>, pr</w:t>
      </w:r>
      <w:r w:rsidR="00E24C6D">
        <w:rPr>
          <w:rFonts w:eastAsia="Times New Roman" w:cs="Arial"/>
          <w:szCs w:val="22"/>
          <w:lang w:eastAsia="en-US"/>
        </w:rPr>
        <w:t xml:space="preserve">oviding </w:t>
      </w:r>
      <w:r w:rsidR="001522D4">
        <w:rPr>
          <w:rFonts w:eastAsia="Times New Roman" w:cs="Arial"/>
          <w:szCs w:val="22"/>
          <w:lang w:eastAsia="en-US"/>
        </w:rPr>
        <w:t xml:space="preserve">SBC with the foundation for a full cloud-based infrastructure. </w:t>
      </w:r>
      <w:r w:rsidR="00E24C6D">
        <w:rPr>
          <w:rFonts w:eastAsia="Times New Roman" w:cs="Arial"/>
          <w:szCs w:val="22"/>
          <w:lang w:eastAsia="en-US"/>
        </w:rPr>
        <w:t xml:space="preserve">The </w:t>
      </w:r>
      <w:r w:rsidR="000E4438">
        <w:rPr>
          <w:rFonts w:eastAsia="Times New Roman" w:cs="Arial"/>
          <w:szCs w:val="22"/>
          <w:lang w:eastAsia="en-US"/>
        </w:rPr>
        <w:t xml:space="preserve">CSP </w:t>
      </w:r>
      <w:r w:rsidR="00E24C6D">
        <w:rPr>
          <w:rFonts w:eastAsia="Times New Roman" w:cs="Arial"/>
          <w:szCs w:val="22"/>
          <w:lang w:eastAsia="en-US"/>
        </w:rPr>
        <w:t>directiv</w:t>
      </w:r>
      <w:r w:rsidR="002E18DF">
        <w:rPr>
          <w:rFonts w:eastAsia="Times New Roman" w:cs="Arial"/>
          <w:szCs w:val="22"/>
          <w:lang w:eastAsia="en-US"/>
        </w:rPr>
        <w:t>e is</w:t>
      </w:r>
      <w:r w:rsidR="00E24C6D">
        <w:rPr>
          <w:rFonts w:eastAsia="Times New Roman" w:cs="Arial"/>
          <w:szCs w:val="22"/>
          <w:lang w:eastAsia="en-US"/>
        </w:rPr>
        <w:t xml:space="preserve"> simple, </w:t>
      </w:r>
      <w:r w:rsidR="005E17BC">
        <w:rPr>
          <w:rFonts w:eastAsia="Times New Roman" w:cs="Arial"/>
          <w:szCs w:val="22"/>
          <w:lang w:eastAsia="en-US"/>
        </w:rPr>
        <w:t xml:space="preserve">plan, support, and execute the </w:t>
      </w:r>
      <w:r w:rsidR="00F45B0F">
        <w:rPr>
          <w:rFonts w:eastAsia="Times New Roman" w:cs="Arial"/>
          <w:szCs w:val="22"/>
          <w:lang w:eastAsia="en-US"/>
        </w:rPr>
        <w:t xml:space="preserve">remaining </w:t>
      </w:r>
      <w:r w:rsidR="005D1F6A">
        <w:rPr>
          <w:rFonts w:eastAsia="Times New Roman" w:cs="Arial"/>
          <w:szCs w:val="22"/>
          <w:lang w:eastAsia="en-US"/>
        </w:rPr>
        <w:t>on-premises</w:t>
      </w:r>
      <w:r w:rsidR="00F45B0F">
        <w:rPr>
          <w:rFonts w:eastAsia="Times New Roman" w:cs="Arial"/>
          <w:szCs w:val="22"/>
          <w:lang w:eastAsia="en-US"/>
        </w:rPr>
        <w:t xml:space="preserve"> services to </w:t>
      </w:r>
      <w:r w:rsidR="005D1F6A">
        <w:rPr>
          <w:rFonts w:eastAsia="Times New Roman" w:cs="Arial"/>
          <w:szCs w:val="22"/>
          <w:lang w:eastAsia="en-US"/>
        </w:rPr>
        <w:t xml:space="preserve">the </w:t>
      </w:r>
      <w:r w:rsidR="00F45B0F">
        <w:rPr>
          <w:rFonts w:eastAsia="Times New Roman" w:cs="Arial"/>
          <w:szCs w:val="22"/>
          <w:lang w:eastAsia="en-US"/>
        </w:rPr>
        <w:t>target hosted environment. This will require a</w:t>
      </w:r>
      <w:r w:rsidRPr="009D2F15">
        <w:rPr>
          <w:rFonts w:eastAsia="Times New Roman" w:cs="Arial"/>
          <w:szCs w:val="22"/>
          <w:lang w:eastAsia="en-US"/>
        </w:rPr>
        <w:t xml:space="preserve"> period of </w:t>
      </w:r>
      <w:r>
        <w:rPr>
          <w:rFonts w:eastAsia="Times New Roman" w:cs="Arial"/>
          <w:szCs w:val="22"/>
          <w:lang w:eastAsia="en-US"/>
        </w:rPr>
        <w:t>discovery, assessment and impact risk</w:t>
      </w:r>
      <w:r w:rsidRPr="009D2F15">
        <w:rPr>
          <w:rFonts w:eastAsia="Times New Roman" w:cs="Arial"/>
          <w:szCs w:val="22"/>
          <w:lang w:eastAsia="en-US"/>
        </w:rPr>
        <w:t xml:space="preserve"> for the department and the wider council. </w:t>
      </w:r>
    </w:p>
    <w:p w14:paraId="113D790F" w14:textId="77777777" w:rsidR="004120BB" w:rsidRPr="009D2F15" w:rsidRDefault="004120BB" w:rsidP="004120BB">
      <w:pPr>
        <w:numPr>
          <w:ilvl w:val="1"/>
          <w:numId w:val="1"/>
        </w:numPr>
        <w:spacing w:after="200"/>
        <w:ind w:hanging="720"/>
        <w:jc w:val="both"/>
        <w:rPr>
          <w:rFonts w:ascii="Calibri" w:eastAsia="Times New Roman" w:hAnsi="Calibri"/>
          <w:szCs w:val="22"/>
          <w:lang w:eastAsia="en-US"/>
        </w:rPr>
      </w:pPr>
      <w:r w:rsidRPr="009D2F15">
        <w:rPr>
          <w:rFonts w:eastAsia="Times New Roman" w:cs="Arial"/>
          <w:szCs w:val="22"/>
          <w:lang w:eastAsia="en-US"/>
        </w:rPr>
        <w:t xml:space="preserve">Our strategy is driven by the principle “cloud first”, aimed to reduce operational overheads whilst realise configuration and currency benefits from this type of offering. </w:t>
      </w:r>
    </w:p>
    <w:p w14:paraId="7E5A0059" w14:textId="78BFD579" w:rsidR="004120BB" w:rsidRPr="009D2F15" w:rsidRDefault="004120BB" w:rsidP="004120BB">
      <w:pPr>
        <w:numPr>
          <w:ilvl w:val="1"/>
          <w:numId w:val="1"/>
        </w:numPr>
        <w:spacing w:after="200"/>
        <w:ind w:left="709" w:hanging="709"/>
        <w:jc w:val="both"/>
        <w:rPr>
          <w:rFonts w:eastAsia="Times New Roman" w:cs="Arial"/>
          <w:szCs w:val="22"/>
          <w:lang w:eastAsia="en-US"/>
        </w:rPr>
      </w:pPr>
      <w:r w:rsidRPr="009D2F15">
        <w:rPr>
          <w:rFonts w:eastAsia="Times New Roman" w:cs="Arial"/>
          <w:szCs w:val="22"/>
          <w:lang w:eastAsia="en-US"/>
        </w:rPr>
        <w:t xml:space="preserve">The scope of the works has been defined into </w:t>
      </w:r>
      <w:r>
        <w:rPr>
          <w:rFonts w:eastAsia="Times New Roman" w:cs="Arial"/>
          <w:szCs w:val="22"/>
          <w:lang w:eastAsia="en-US"/>
        </w:rPr>
        <w:t>three</w:t>
      </w:r>
      <w:r w:rsidRPr="009D2F15">
        <w:rPr>
          <w:rFonts w:eastAsia="Times New Roman" w:cs="Arial"/>
          <w:szCs w:val="22"/>
          <w:lang w:eastAsia="en-US"/>
        </w:rPr>
        <w:t xml:space="preserve"> key </w:t>
      </w:r>
      <w:r w:rsidR="0088606C">
        <w:rPr>
          <w:rFonts w:eastAsia="Times New Roman" w:cs="Arial"/>
          <w:szCs w:val="22"/>
          <w:lang w:eastAsia="en-US"/>
        </w:rPr>
        <w:t>deliverables</w:t>
      </w:r>
      <w:r w:rsidRPr="009D2F15">
        <w:rPr>
          <w:rFonts w:eastAsia="Times New Roman" w:cs="Arial"/>
          <w:szCs w:val="22"/>
          <w:lang w:eastAsia="en-US"/>
        </w:rPr>
        <w:t>:</w:t>
      </w:r>
    </w:p>
    <w:p w14:paraId="5DCC569C" w14:textId="59668CEE" w:rsidR="004120BB" w:rsidRDefault="004120BB" w:rsidP="004120BB">
      <w:pPr>
        <w:numPr>
          <w:ilvl w:val="0"/>
          <w:numId w:val="4"/>
        </w:numPr>
        <w:ind w:left="993" w:hanging="426"/>
        <w:jc w:val="both"/>
        <w:rPr>
          <w:rFonts w:eastAsia="Times New Roman" w:cs="Arial"/>
          <w:szCs w:val="22"/>
          <w:lang w:eastAsia="en-US"/>
        </w:rPr>
      </w:pPr>
      <w:bookmarkStart w:id="2" w:name="_Hlk52551654"/>
      <w:r>
        <w:rPr>
          <w:rFonts w:eastAsia="Times New Roman" w:cs="Arial"/>
          <w:b/>
          <w:bCs/>
          <w:i/>
          <w:iCs/>
          <w:szCs w:val="22"/>
          <w:lang w:eastAsia="en-US"/>
        </w:rPr>
        <w:t>Discovery &amp; Analysis</w:t>
      </w:r>
      <w:r w:rsidRPr="009D2F15">
        <w:rPr>
          <w:rFonts w:eastAsia="Times New Roman" w:cs="Arial"/>
          <w:szCs w:val="22"/>
          <w:lang w:eastAsia="en-US"/>
        </w:rPr>
        <w:t xml:space="preserve"> – </w:t>
      </w:r>
      <w:r>
        <w:rPr>
          <w:rFonts w:eastAsia="Times New Roman" w:cs="Arial"/>
          <w:szCs w:val="22"/>
          <w:lang w:eastAsia="en-US"/>
        </w:rPr>
        <w:t xml:space="preserve">CSP will provide </w:t>
      </w:r>
      <w:r w:rsidRPr="009D2F15">
        <w:rPr>
          <w:rFonts w:eastAsia="Times New Roman" w:cs="Arial"/>
          <w:szCs w:val="22"/>
          <w:lang w:eastAsia="en-US"/>
        </w:rPr>
        <w:t>the required technical expertise to deliver</w:t>
      </w:r>
      <w:r>
        <w:rPr>
          <w:rFonts w:eastAsia="Times New Roman" w:cs="Arial"/>
          <w:szCs w:val="22"/>
          <w:lang w:eastAsia="en-US"/>
        </w:rPr>
        <w:t xml:space="preserve"> a full cloud discovery assessment. This assessment should be a comprehensive assessment across current state IT infrastructure. This should include all existing dependencies of systems, interdependencies between systems that will inform a full delivery of a detailed audit and cloud migration statement of work, the options for migration approaches and potential risks.</w:t>
      </w:r>
      <w:bookmarkStart w:id="3" w:name="_Hlk42448496"/>
    </w:p>
    <w:p w14:paraId="0D4D32A6" w14:textId="77777777" w:rsidR="00214583" w:rsidRPr="00EC7574" w:rsidRDefault="00214583" w:rsidP="00EC7574">
      <w:pPr>
        <w:ind w:left="993"/>
        <w:jc w:val="both"/>
        <w:rPr>
          <w:rFonts w:eastAsia="Times New Roman" w:cs="Arial"/>
          <w:szCs w:val="22"/>
          <w:lang w:eastAsia="en-US"/>
        </w:rPr>
      </w:pPr>
    </w:p>
    <w:p w14:paraId="39487F45" w14:textId="08ADC437" w:rsidR="00413B55" w:rsidRDefault="004120BB" w:rsidP="004120BB">
      <w:pPr>
        <w:numPr>
          <w:ilvl w:val="0"/>
          <w:numId w:val="4"/>
        </w:numPr>
        <w:ind w:left="993"/>
        <w:jc w:val="both"/>
        <w:rPr>
          <w:rFonts w:eastAsia="Times New Roman" w:cs="Arial"/>
          <w:szCs w:val="22"/>
          <w:lang w:eastAsia="en-US"/>
        </w:rPr>
      </w:pPr>
      <w:r w:rsidRPr="00D36A50">
        <w:rPr>
          <w:rFonts w:eastAsia="Times New Roman" w:cs="Arial"/>
          <w:b/>
          <w:bCs/>
          <w:i/>
          <w:iCs/>
          <w:szCs w:val="22"/>
          <w:lang w:eastAsia="en-US"/>
        </w:rPr>
        <w:t>Cloud Migration Statement of Work</w:t>
      </w:r>
      <w:r w:rsidRPr="00D36A50">
        <w:rPr>
          <w:rFonts w:eastAsia="Times New Roman" w:cs="Arial"/>
          <w:szCs w:val="22"/>
          <w:lang w:eastAsia="en-US"/>
        </w:rPr>
        <w:t xml:space="preserve"> </w:t>
      </w:r>
      <w:bookmarkEnd w:id="3"/>
      <w:r w:rsidRPr="00D36A50">
        <w:rPr>
          <w:rFonts w:eastAsia="Times New Roman" w:cs="Arial"/>
          <w:szCs w:val="22"/>
          <w:lang w:eastAsia="en-US"/>
        </w:rPr>
        <w:t>– Provide and publish a final and fully costed statement of work for any subsequent migration stages. This must include several key elements, including but not limited to</w:t>
      </w:r>
    </w:p>
    <w:p w14:paraId="01CEB09E" w14:textId="60DE02EB" w:rsidR="00413B55" w:rsidRPr="00EC7574" w:rsidRDefault="00413B55" w:rsidP="00EC7574">
      <w:pPr>
        <w:pStyle w:val="ListParagraph"/>
        <w:numPr>
          <w:ilvl w:val="1"/>
          <w:numId w:val="4"/>
        </w:numPr>
        <w:jc w:val="both"/>
        <w:rPr>
          <w:rFonts w:eastAsia="Times New Roman" w:cs="Arial"/>
          <w:szCs w:val="22"/>
          <w:lang w:eastAsia="en-US"/>
        </w:rPr>
      </w:pPr>
      <w:r w:rsidRPr="00EC7574">
        <w:rPr>
          <w:rFonts w:eastAsia="Times New Roman" w:cs="Arial"/>
          <w:szCs w:val="22"/>
          <w:lang w:eastAsia="en-US"/>
        </w:rPr>
        <w:t>a</w:t>
      </w:r>
      <w:r w:rsidR="004120BB" w:rsidRPr="000D4A58">
        <w:rPr>
          <w:rFonts w:eastAsia="Times New Roman" w:cs="Arial"/>
          <w:szCs w:val="22"/>
          <w:lang w:eastAsia="en-US"/>
        </w:rPr>
        <w:t>greement of which services are in scop</w:t>
      </w:r>
      <w:r w:rsidRPr="00EC7574">
        <w:rPr>
          <w:rFonts w:eastAsia="Times New Roman" w:cs="Arial"/>
          <w:szCs w:val="22"/>
          <w:lang w:eastAsia="en-US"/>
        </w:rPr>
        <w:t>e</w:t>
      </w:r>
    </w:p>
    <w:p w14:paraId="302BCA5C" w14:textId="4022DE64" w:rsidR="00413B55" w:rsidRDefault="004120BB" w:rsidP="00413B55">
      <w:pPr>
        <w:numPr>
          <w:ilvl w:val="1"/>
          <w:numId w:val="4"/>
        </w:numPr>
        <w:jc w:val="both"/>
        <w:rPr>
          <w:rFonts w:eastAsia="Times New Roman" w:cs="Arial"/>
          <w:szCs w:val="22"/>
          <w:lang w:eastAsia="en-US"/>
        </w:rPr>
      </w:pPr>
      <w:r w:rsidRPr="00D36A50">
        <w:rPr>
          <w:rFonts w:eastAsia="Times New Roman" w:cs="Arial"/>
          <w:szCs w:val="22"/>
          <w:lang w:eastAsia="en-US"/>
        </w:rPr>
        <w:t xml:space="preserve">detailed overview of the </w:t>
      </w:r>
      <w:r w:rsidR="00413B55">
        <w:rPr>
          <w:rFonts w:eastAsia="Times New Roman" w:cs="Arial"/>
          <w:szCs w:val="22"/>
          <w:lang w:eastAsia="en-US"/>
        </w:rPr>
        <w:t xml:space="preserve">planned </w:t>
      </w:r>
      <w:r w:rsidRPr="00D36A50">
        <w:rPr>
          <w:rFonts w:eastAsia="Times New Roman" w:cs="Arial"/>
          <w:szCs w:val="22"/>
          <w:lang w:eastAsia="en-US"/>
        </w:rPr>
        <w:t>migration</w:t>
      </w:r>
      <w:r w:rsidR="00413B55">
        <w:rPr>
          <w:rFonts w:eastAsia="Times New Roman" w:cs="Arial"/>
          <w:szCs w:val="22"/>
          <w:lang w:eastAsia="en-US"/>
        </w:rPr>
        <w:t>s</w:t>
      </w:r>
      <w:r w:rsidR="001621A0">
        <w:rPr>
          <w:rFonts w:eastAsia="Times New Roman" w:cs="Arial"/>
          <w:szCs w:val="22"/>
          <w:lang w:eastAsia="en-US"/>
        </w:rPr>
        <w:t xml:space="preserve"> </w:t>
      </w:r>
    </w:p>
    <w:p w14:paraId="601159DF" w14:textId="52E0DC48" w:rsidR="00413B55" w:rsidRDefault="004120BB" w:rsidP="00413B55">
      <w:pPr>
        <w:numPr>
          <w:ilvl w:val="1"/>
          <w:numId w:val="4"/>
        </w:numPr>
        <w:jc w:val="both"/>
        <w:rPr>
          <w:rFonts w:eastAsia="Times New Roman" w:cs="Arial"/>
          <w:szCs w:val="22"/>
          <w:lang w:eastAsia="en-US"/>
        </w:rPr>
      </w:pPr>
      <w:r w:rsidRPr="00D36A50">
        <w:rPr>
          <w:rFonts w:eastAsia="Times New Roman" w:cs="Arial"/>
          <w:szCs w:val="22"/>
          <w:lang w:eastAsia="en-US"/>
        </w:rPr>
        <w:t>service transition approach</w:t>
      </w:r>
    </w:p>
    <w:p w14:paraId="504D3899" w14:textId="176F9791" w:rsidR="00413B55" w:rsidRPr="00214583" w:rsidRDefault="004120BB" w:rsidP="00214583">
      <w:pPr>
        <w:numPr>
          <w:ilvl w:val="1"/>
          <w:numId w:val="4"/>
        </w:numPr>
        <w:jc w:val="both"/>
        <w:rPr>
          <w:rFonts w:eastAsia="Times New Roman" w:cs="Arial"/>
          <w:szCs w:val="22"/>
          <w:lang w:eastAsia="en-US"/>
        </w:rPr>
      </w:pPr>
      <w:r w:rsidRPr="00214583">
        <w:rPr>
          <w:rFonts w:eastAsia="Times New Roman" w:cs="Arial"/>
          <w:szCs w:val="22"/>
          <w:lang w:eastAsia="en-US"/>
        </w:rPr>
        <w:t xml:space="preserve">knowledge transfer. </w:t>
      </w:r>
    </w:p>
    <w:p w14:paraId="03237751" w14:textId="1EBE850D" w:rsidR="004120BB" w:rsidRDefault="004120BB" w:rsidP="00413B55">
      <w:pPr>
        <w:numPr>
          <w:ilvl w:val="0"/>
          <w:numId w:val="4"/>
        </w:numPr>
        <w:jc w:val="both"/>
        <w:rPr>
          <w:rFonts w:eastAsia="Times New Roman" w:cs="Arial"/>
          <w:szCs w:val="22"/>
          <w:lang w:eastAsia="en-US"/>
        </w:rPr>
      </w:pPr>
      <w:r w:rsidRPr="00D36A50">
        <w:rPr>
          <w:rFonts w:eastAsia="Times New Roman" w:cs="Arial"/>
          <w:szCs w:val="22"/>
          <w:lang w:eastAsia="en-US"/>
        </w:rPr>
        <w:t xml:space="preserve">The </w:t>
      </w:r>
      <w:r w:rsidR="0077513C">
        <w:rPr>
          <w:rFonts w:eastAsia="Times New Roman" w:cs="Arial"/>
          <w:szCs w:val="22"/>
          <w:lang w:eastAsia="en-US"/>
        </w:rPr>
        <w:t>statement of work</w:t>
      </w:r>
      <w:r w:rsidR="0077513C" w:rsidRPr="00D36A50">
        <w:rPr>
          <w:rFonts w:eastAsia="Times New Roman" w:cs="Arial"/>
          <w:szCs w:val="22"/>
          <w:lang w:eastAsia="en-US"/>
        </w:rPr>
        <w:t xml:space="preserve"> </w:t>
      </w:r>
      <w:r w:rsidRPr="00D36A50">
        <w:rPr>
          <w:rFonts w:eastAsia="Times New Roman" w:cs="Arial"/>
          <w:szCs w:val="22"/>
          <w:lang w:eastAsia="en-US"/>
        </w:rPr>
        <w:t xml:space="preserve">should be itemised </w:t>
      </w:r>
      <w:r w:rsidR="00E417DE">
        <w:rPr>
          <w:rFonts w:eastAsia="Times New Roman" w:cs="Arial"/>
          <w:szCs w:val="22"/>
          <w:lang w:eastAsia="en-US"/>
        </w:rPr>
        <w:t xml:space="preserve">and include </w:t>
      </w:r>
      <w:proofErr w:type="gramStart"/>
      <w:r w:rsidR="00E417DE">
        <w:rPr>
          <w:rFonts w:eastAsia="Times New Roman" w:cs="Arial"/>
          <w:szCs w:val="22"/>
          <w:lang w:eastAsia="en-US"/>
        </w:rPr>
        <w:t xml:space="preserve">a </w:t>
      </w:r>
      <w:r w:rsidR="00E417DE" w:rsidRPr="00D36A50">
        <w:rPr>
          <w:rFonts w:eastAsia="Times New Roman" w:cs="Arial"/>
          <w:szCs w:val="22"/>
          <w:lang w:eastAsia="en-US"/>
        </w:rPr>
        <w:t xml:space="preserve"> </w:t>
      </w:r>
      <w:r w:rsidRPr="00D36A50">
        <w:rPr>
          <w:rFonts w:eastAsia="Times New Roman" w:cs="Arial"/>
          <w:szCs w:val="22"/>
          <w:lang w:eastAsia="en-US"/>
        </w:rPr>
        <w:t>clear</w:t>
      </w:r>
      <w:proofErr w:type="gramEnd"/>
      <w:r w:rsidRPr="00D36A50">
        <w:rPr>
          <w:rFonts w:eastAsia="Times New Roman" w:cs="Arial"/>
          <w:szCs w:val="22"/>
          <w:lang w:eastAsia="en-US"/>
        </w:rPr>
        <w:t xml:space="preserve"> and </w:t>
      </w:r>
      <w:r w:rsidR="00527D17">
        <w:rPr>
          <w:rFonts w:eastAsia="Times New Roman" w:cs="Arial"/>
          <w:szCs w:val="22"/>
          <w:lang w:eastAsia="en-US"/>
        </w:rPr>
        <w:t>concise</w:t>
      </w:r>
      <w:r w:rsidR="00527D17" w:rsidRPr="00D36A50">
        <w:rPr>
          <w:rFonts w:eastAsia="Times New Roman" w:cs="Arial"/>
          <w:szCs w:val="22"/>
          <w:lang w:eastAsia="en-US"/>
        </w:rPr>
        <w:t xml:space="preserve"> </w:t>
      </w:r>
      <w:r w:rsidRPr="00D36A50">
        <w:rPr>
          <w:rFonts w:eastAsia="Times New Roman" w:cs="Arial"/>
          <w:szCs w:val="22"/>
          <w:lang w:eastAsia="en-US"/>
        </w:rPr>
        <w:t xml:space="preserve">tally </w:t>
      </w:r>
      <w:r w:rsidR="0077513C">
        <w:rPr>
          <w:rFonts w:eastAsia="Times New Roman" w:cs="Arial"/>
          <w:szCs w:val="22"/>
          <w:lang w:eastAsia="en-US"/>
        </w:rPr>
        <w:t>for all</w:t>
      </w:r>
      <w:r w:rsidR="0077513C" w:rsidRPr="00D36A50">
        <w:rPr>
          <w:rFonts w:eastAsia="Times New Roman" w:cs="Arial"/>
          <w:szCs w:val="22"/>
          <w:lang w:eastAsia="en-US"/>
        </w:rPr>
        <w:t xml:space="preserve"> </w:t>
      </w:r>
      <w:r w:rsidRPr="00D36A50">
        <w:rPr>
          <w:rFonts w:eastAsia="Times New Roman" w:cs="Arial"/>
          <w:szCs w:val="22"/>
          <w:lang w:eastAsia="en-US"/>
        </w:rPr>
        <w:t xml:space="preserve">the migration phases, how they will be performed and </w:t>
      </w:r>
      <w:r w:rsidR="00527D17">
        <w:rPr>
          <w:rFonts w:eastAsia="Times New Roman" w:cs="Arial"/>
          <w:szCs w:val="22"/>
          <w:lang w:eastAsia="en-US"/>
        </w:rPr>
        <w:t>includ</w:t>
      </w:r>
      <w:r w:rsidR="0075500C">
        <w:rPr>
          <w:rFonts w:eastAsia="Times New Roman" w:cs="Arial"/>
          <w:szCs w:val="22"/>
          <w:lang w:eastAsia="en-US"/>
        </w:rPr>
        <w:t>e</w:t>
      </w:r>
      <w:r w:rsidRPr="00D36A50">
        <w:rPr>
          <w:rFonts w:eastAsia="Times New Roman" w:cs="Arial"/>
          <w:szCs w:val="22"/>
          <w:lang w:eastAsia="en-US"/>
        </w:rPr>
        <w:t xml:space="preserve"> any peripheral services (e.g., Hypercare support pre and post)</w:t>
      </w:r>
      <w:r>
        <w:rPr>
          <w:rFonts w:eastAsia="Times New Roman" w:cs="Arial"/>
          <w:szCs w:val="22"/>
          <w:lang w:eastAsia="en-US"/>
        </w:rPr>
        <w:t xml:space="preserve">. </w:t>
      </w:r>
      <w:r w:rsidR="00B17C15">
        <w:rPr>
          <w:rFonts w:eastAsia="Times New Roman" w:cs="Arial"/>
          <w:szCs w:val="22"/>
          <w:lang w:eastAsia="en-US"/>
        </w:rPr>
        <w:t>There</w:t>
      </w:r>
      <w:r w:rsidR="00765357">
        <w:rPr>
          <w:rFonts w:eastAsia="Times New Roman" w:cs="Arial"/>
          <w:szCs w:val="22"/>
          <w:lang w:eastAsia="en-US"/>
        </w:rPr>
        <w:t xml:space="preserve"> needs to be </w:t>
      </w:r>
      <w:r w:rsidRPr="00D36A50">
        <w:rPr>
          <w:rFonts w:eastAsia="Times New Roman" w:cs="Arial"/>
          <w:szCs w:val="22"/>
          <w:lang w:eastAsia="en-US"/>
        </w:rPr>
        <w:t>flexibility to allow SBC to</w:t>
      </w:r>
      <w:r>
        <w:rPr>
          <w:rFonts w:eastAsia="Times New Roman" w:cs="Arial"/>
          <w:szCs w:val="22"/>
          <w:lang w:eastAsia="en-US"/>
        </w:rPr>
        <w:t xml:space="preserve"> consider </w:t>
      </w:r>
      <w:r w:rsidR="000E0453">
        <w:rPr>
          <w:rFonts w:eastAsia="Times New Roman" w:cs="Arial"/>
          <w:szCs w:val="22"/>
          <w:lang w:eastAsia="en-US"/>
        </w:rPr>
        <w:t>several</w:t>
      </w:r>
      <w:r>
        <w:rPr>
          <w:rFonts w:eastAsia="Times New Roman" w:cs="Arial"/>
          <w:szCs w:val="22"/>
          <w:lang w:eastAsia="en-US"/>
        </w:rPr>
        <w:t xml:space="preserve"> business factors around migration timings, while transitioning, allocation of business service to certain migration waves</w:t>
      </w:r>
    </w:p>
    <w:p w14:paraId="32ADA1DD" w14:textId="77777777" w:rsidR="00214583" w:rsidRPr="00D36A50" w:rsidRDefault="00214583" w:rsidP="000D4A58">
      <w:pPr>
        <w:ind w:left="1069"/>
        <w:jc w:val="both"/>
        <w:rPr>
          <w:rFonts w:eastAsia="Times New Roman" w:cs="Arial"/>
          <w:szCs w:val="22"/>
          <w:lang w:eastAsia="en-US"/>
        </w:rPr>
      </w:pPr>
    </w:p>
    <w:p w14:paraId="02A50D56" w14:textId="1E1C5D8B" w:rsidR="004120BB" w:rsidRPr="009D2F15" w:rsidRDefault="004120BB" w:rsidP="004120BB">
      <w:pPr>
        <w:numPr>
          <w:ilvl w:val="0"/>
          <w:numId w:val="4"/>
        </w:numPr>
        <w:ind w:left="993" w:hanging="284"/>
        <w:jc w:val="both"/>
        <w:rPr>
          <w:rFonts w:eastAsia="Times New Roman" w:cs="Arial"/>
          <w:szCs w:val="22"/>
          <w:lang w:eastAsia="en-US"/>
        </w:rPr>
      </w:pPr>
      <w:bookmarkStart w:id="4" w:name="_Hlk50976564"/>
      <w:r>
        <w:rPr>
          <w:rFonts w:eastAsia="Times New Roman" w:cs="Arial"/>
          <w:b/>
          <w:bCs/>
          <w:i/>
          <w:iCs/>
          <w:szCs w:val="22"/>
          <w:lang w:eastAsia="en-US"/>
        </w:rPr>
        <w:t>Migration (</w:t>
      </w:r>
      <w:r w:rsidR="00693BD9">
        <w:rPr>
          <w:rFonts w:eastAsia="Times New Roman" w:cs="Arial"/>
          <w:b/>
          <w:bCs/>
          <w:i/>
          <w:iCs/>
          <w:szCs w:val="22"/>
          <w:lang w:eastAsia="en-US"/>
        </w:rPr>
        <w:t xml:space="preserve">by the </w:t>
      </w:r>
      <w:r>
        <w:rPr>
          <w:rFonts w:eastAsia="Times New Roman" w:cs="Arial"/>
          <w:b/>
          <w:bCs/>
          <w:i/>
          <w:iCs/>
          <w:szCs w:val="22"/>
          <w:lang w:eastAsia="en-US"/>
        </w:rPr>
        <w:t xml:space="preserve">least number of </w:t>
      </w:r>
      <w:proofErr w:type="gramStart"/>
      <w:r>
        <w:rPr>
          <w:rFonts w:eastAsia="Times New Roman" w:cs="Arial"/>
          <w:b/>
          <w:bCs/>
          <w:i/>
          <w:iCs/>
          <w:szCs w:val="22"/>
          <w:lang w:eastAsia="en-US"/>
        </w:rPr>
        <w:t xml:space="preserve">steps) </w:t>
      </w:r>
      <w:r w:rsidRPr="009D2F15">
        <w:rPr>
          <w:rFonts w:eastAsia="Times New Roman" w:cs="Arial"/>
          <w:szCs w:val="22"/>
          <w:lang w:eastAsia="en-US"/>
        </w:rPr>
        <w:t xml:space="preserve"> </w:t>
      </w:r>
      <w:bookmarkEnd w:id="4"/>
      <w:r w:rsidRPr="009D2F15">
        <w:rPr>
          <w:rFonts w:eastAsia="Times New Roman" w:cs="Arial"/>
          <w:szCs w:val="22"/>
          <w:lang w:eastAsia="en-US"/>
        </w:rPr>
        <w:t>–</w:t>
      </w:r>
      <w:proofErr w:type="gramEnd"/>
      <w:r w:rsidRPr="009D2F15">
        <w:rPr>
          <w:rFonts w:eastAsia="Times New Roman" w:cs="Arial"/>
          <w:szCs w:val="22"/>
          <w:lang w:eastAsia="en-US"/>
        </w:rPr>
        <w:t xml:space="preserve"> </w:t>
      </w:r>
      <w:r w:rsidR="00276647">
        <w:rPr>
          <w:rFonts w:eastAsia="Times New Roman" w:cs="Arial"/>
          <w:szCs w:val="22"/>
          <w:lang w:eastAsia="en-US"/>
        </w:rPr>
        <w:t>Using</w:t>
      </w:r>
      <w:r w:rsidR="00DB75EC">
        <w:rPr>
          <w:rFonts w:eastAsia="Times New Roman" w:cs="Arial"/>
          <w:szCs w:val="22"/>
          <w:lang w:eastAsia="en-US"/>
        </w:rPr>
        <w:t xml:space="preserve"> the</w:t>
      </w:r>
      <w:r>
        <w:rPr>
          <w:rFonts w:eastAsia="Times New Roman" w:cs="Arial"/>
          <w:szCs w:val="22"/>
          <w:lang w:eastAsia="en-US"/>
        </w:rPr>
        <w:t xml:space="preserve"> best practices from the Microsoft Cloud adoption framework, the CSP will deliver</w:t>
      </w:r>
      <w:r w:rsidR="0050557D">
        <w:rPr>
          <w:rFonts w:eastAsia="Times New Roman" w:cs="Arial"/>
          <w:szCs w:val="22"/>
          <w:lang w:eastAsia="en-US"/>
        </w:rPr>
        <w:t>,</w:t>
      </w:r>
      <w:r>
        <w:rPr>
          <w:rFonts w:eastAsia="Times New Roman" w:cs="Arial"/>
          <w:szCs w:val="22"/>
          <w:lang w:eastAsia="en-US"/>
        </w:rPr>
        <w:t xml:space="preserve"> a full end to end migration</w:t>
      </w:r>
      <w:r w:rsidR="00CF07A7">
        <w:rPr>
          <w:rFonts w:eastAsia="Times New Roman" w:cs="Arial"/>
          <w:szCs w:val="22"/>
          <w:lang w:eastAsia="en-US"/>
        </w:rPr>
        <w:t xml:space="preserve"> as agreed in the </w:t>
      </w:r>
      <w:r w:rsidR="00592542">
        <w:rPr>
          <w:rFonts w:eastAsia="Times New Roman" w:cs="Arial"/>
          <w:szCs w:val="22"/>
          <w:lang w:eastAsia="en-US"/>
        </w:rPr>
        <w:t>c</w:t>
      </w:r>
      <w:r w:rsidR="00CF07A7">
        <w:rPr>
          <w:rFonts w:eastAsia="Times New Roman" w:cs="Arial"/>
          <w:szCs w:val="22"/>
          <w:lang w:eastAsia="en-US"/>
        </w:rPr>
        <w:t>loud migration state</w:t>
      </w:r>
      <w:r w:rsidR="001914DE">
        <w:rPr>
          <w:rFonts w:eastAsia="Times New Roman" w:cs="Arial"/>
          <w:szCs w:val="22"/>
          <w:lang w:eastAsia="en-US"/>
        </w:rPr>
        <w:t>ment of work</w:t>
      </w:r>
      <w:r>
        <w:rPr>
          <w:rFonts w:eastAsia="Times New Roman" w:cs="Arial"/>
          <w:szCs w:val="22"/>
          <w:lang w:eastAsia="en-US"/>
        </w:rPr>
        <w:t xml:space="preserve">. A consistent approach for </w:t>
      </w:r>
      <w:r>
        <w:rPr>
          <w:rFonts w:eastAsia="Times New Roman" w:cs="Arial"/>
          <w:szCs w:val="22"/>
          <w:lang w:eastAsia="en-US"/>
        </w:rPr>
        <w:lastRenderedPageBreak/>
        <w:t xml:space="preserve">migrating services, ensuring they are secure, governed and migrated with low impact to SBC. </w:t>
      </w:r>
    </w:p>
    <w:bookmarkEnd w:id="2"/>
    <w:p w14:paraId="10FD447C" w14:textId="77777777" w:rsidR="004120BB" w:rsidRPr="009D2F15" w:rsidRDefault="004120BB" w:rsidP="004120BB">
      <w:pPr>
        <w:ind w:left="720"/>
        <w:rPr>
          <w:rFonts w:eastAsia="Times New Roman" w:cs="Arial"/>
          <w:b/>
          <w:szCs w:val="22"/>
          <w:lang w:eastAsia="en-GB"/>
        </w:rPr>
      </w:pPr>
    </w:p>
    <w:p w14:paraId="5F3901E9" w14:textId="77777777" w:rsidR="004120BB" w:rsidRPr="009D2F15" w:rsidRDefault="004120BB" w:rsidP="004120BB">
      <w:pPr>
        <w:widowControl w:val="0"/>
        <w:adjustRightInd w:val="0"/>
        <w:ind w:left="709" w:right="26" w:hanging="709"/>
        <w:jc w:val="both"/>
        <w:textAlignment w:val="baseline"/>
        <w:rPr>
          <w:rFonts w:eastAsia="Times New Roman" w:cs="Arial"/>
          <w:b/>
          <w:szCs w:val="22"/>
          <w:lang w:eastAsia="en-GB"/>
        </w:rPr>
      </w:pPr>
      <w:r w:rsidRPr="009D2F15">
        <w:rPr>
          <w:rFonts w:eastAsia="Times New Roman" w:cs="Arial"/>
          <w:b/>
          <w:szCs w:val="22"/>
          <w:lang w:eastAsia="en-GB"/>
        </w:rPr>
        <w:t>2.</w:t>
      </w:r>
      <w:r w:rsidRPr="009D2F15">
        <w:rPr>
          <w:rFonts w:eastAsia="Times New Roman" w:cs="Arial"/>
          <w:b/>
          <w:szCs w:val="22"/>
          <w:lang w:eastAsia="en-GB"/>
        </w:rPr>
        <w:tab/>
        <w:t>Background</w:t>
      </w:r>
    </w:p>
    <w:p w14:paraId="290B3B0E" w14:textId="77777777" w:rsidR="004120BB" w:rsidRPr="009D2F15" w:rsidRDefault="004120BB" w:rsidP="004120BB">
      <w:pPr>
        <w:widowControl w:val="0"/>
        <w:adjustRightInd w:val="0"/>
        <w:ind w:right="26"/>
        <w:jc w:val="both"/>
        <w:textAlignment w:val="baseline"/>
        <w:rPr>
          <w:rFonts w:eastAsia="Times New Roman" w:cs="Arial"/>
          <w:b/>
          <w:szCs w:val="22"/>
          <w:lang w:eastAsia="en-GB"/>
        </w:rPr>
      </w:pPr>
    </w:p>
    <w:p w14:paraId="2EE54F92" w14:textId="2A0A05C3" w:rsidR="004120BB" w:rsidRPr="009D2F15" w:rsidRDefault="004120BB" w:rsidP="004120BB">
      <w:pPr>
        <w:spacing w:after="200"/>
        <w:ind w:left="709" w:hanging="709"/>
        <w:jc w:val="both"/>
        <w:rPr>
          <w:rFonts w:eastAsia="Times New Roman" w:cs="Arial"/>
          <w:szCs w:val="22"/>
          <w:lang w:eastAsia="en-US"/>
        </w:rPr>
      </w:pPr>
      <w:r w:rsidRPr="009D2F15">
        <w:rPr>
          <w:rFonts w:eastAsia="Times New Roman" w:cs="Arial"/>
          <w:szCs w:val="22"/>
          <w:lang w:eastAsia="en-US"/>
        </w:rPr>
        <w:t xml:space="preserve">2.1 </w:t>
      </w:r>
      <w:r w:rsidRPr="009D2F15">
        <w:rPr>
          <w:rFonts w:eastAsia="Times New Roman" w:cs="Arial"/>
          <w:szCs w:val="22"/>
          <w:lang w:eastAsia="en-US"/>
        </w:rPr>
        <w:tab/>
        <w:t>SBC is focused on improving outcomes and services for residents</w:t>
      </w:r>
      <w:r w:rsidR="005561D7">
        <w:rPr>
          <w:rFonts w:eastAsia="Times New Roman" w:cs="Arial"/>
          <w:szCs w:val="22"/>
          <w:lang w:eastAsia="en-US"/>
        </w:rPr>
        <w:t xml:space="preserve">, </w:t>
      </w:r>
      <w:r w:rsidRPr="009D2F15">
        <w:rPr>
          <w:rFonts w:eastAsia="Times New Roman" w:cs="Arial"/>
          <w:szCs w:val="22"/>
          <w:lang w:eastAsia="en-US"/>
        </w:rPr>
        <w:t xml:space="preserve">Technology is an essential element of the transformation. </w:t>
      </w:r>
      <w:r w:rsidR="005561D7">
        <w:t xml:space="preserve">Southend-on Sea Borough Council is a Unitary Local Authority located in Southend-On-Sea in Essex.  As the largest town in Essex (183,000 inhabitants), Southend lies 40 miles east of central London with direct rail and road links to the capital. Good transport links helped Southend to historically establish itself as a popular visitor destination, attracting </w:t>
      </w:r>
      <w:r w:rsidR="005561D7">
        <w:rPr>
          <w:color w:val="201F1E"/>
        </w:rPr>
        <w:t>approximately 6 million tourists over the summer months</w:t>
      </w:r>
      <w:r w:rsidR="005561D7">
        <w:t>.  The town lies within the Thames Gateway and in this context plays an important role in employment growth and new economic opportunities</w:t>
      </w:r>
    </w:p>
    <w:p w14:paraId="0D870784" w14:textId="35290608" w:rsidR="001621A0" w:rsidRDefault="004120BB" w:rsidP="00EC7574">
      <w:pPr>
        <w:spacing w:after="200"/>
        <w:ind w:left="709" w:hanging="709"/>
        <w:jc w:val="both"/>
        <w:rPr>
          <w:rFonts w:eastAsia="Times New Roman" w:cs="Arial"/>
          <w:b/>
          <w:bCs/>
          <w:color w:val="000000"/>
          <w:szCs w:val="22"/>
          <w:lang w:eastAsia="en-US"/>
        </w:rPr>
      </w:pPr>
      <w:r w:rsidRPr="009D2F15">
        <w:rPr>
          <w:rFonts w:eastAsia="Times New Roman" w:cs="Arial"/>
          <w:szCs w:val="22"/>
          <w:lang w:eastAsia="en-US"/>
        </w:rPr>
        <w:t>2.2</w:t>
      </w:r>
      <w:r w:rsidRPr="009D2F15">
        <w:rPr>
          <w:rFonts w:eastAsia="Times New Roman" w:cs="Arial"/>
          <w:szCs w:val="22"/>
          <w:lang w:eastAsia="en-US"/>
        </w:rPr>
        <w:tab/>
        <w:t xml:space="preserve">SBC Technology has restructured its department investing in resources and increased in-house capabilities and skills to support the council’s strategic aspirations - Southend </w:t>
      </w:r>
      <w:r w:rsidR="00E44856" w:rsidRPr="009D2F15">
        <w:rPr>
          <w:rFonts w:eastAsia="Times New Roman" w:cs="Arial"/>
          <w:szCs w:val="22"/>
          <w:lang w:eastAsia="en-US"/>
        </w:rPr>
        <w:t>2050 and</w:t>
      </w:r>
      <w:r w:rsidRPr="009D2F15">
        <w:rPr>
          <w:rFonts w:eastAsia="Times New Roman" w:cs="Arial"/>
          <w:szCs w:val="22"/>
          <w:lang w:eastAsia="en-US"/>
        </w:rPr>
        <w:t xml:space="preserve"> Transforming Together (organisational wide objectives are underpinned by technology which will be a key enabler to delivery). Covid-19 has brought significant change (remote working) and accelerated demands for technology.</w:t>
      </w:r>
    </w:p>
    <w:p w14:paraId="3E47D1FF" w14:textId="77777777" w:rsidR="001621A0" w:rsidRDefault="001621A0" w:rsidP="001621A0">
      <w:pPr>
        <w:spacing w:after="200"/>
        <w:jc w:val="both"/>
        <w:rPr>
          <w:rFonts w:eastAsia="Times New Roman" w:cs="Arial"/>
          <w:b/>
          <w:bCs/>
          <w:color w:val="000000"/>
          <w:szCs w:val="22"/>
          <w:lang w:eastAsia="en-US"/>
        </w:rPr>
      </w:pPr>
    </w:p>
    <w:p w14:paraId="48317EC8" w14:textId="734DF9E6" w:rsidR="004120BB" w:rsidRPr="000D4A58" w:rsidRDefault="004120BB" w:rsidP="00EC7574">
      <w:pPr>
        <w:pStyle w:val="ListParagraph"/>
        <w:numPr>
          <w:ilvl w:val="0"/>
          <w:numId w:val="2"/>
        </w:numPr>
        <w:spacing w:after="200"/>
        <w:ind w:hanging="720"/>
        <w:jc w:val="both"/>
        <w:rPr>
          <w:rFonts w:eastAsia="Times New Roman" w:cs="Arial"/>
          <w:b/>
          <w:bCs/>
          <w:color w:val="000000"/>
          <w:szCs w:val="22"/>
          <w:lang w:eastAsia="en-US"/>
        </w:rPr>
      </w:pPr>
      <w:r w:rsidRPr="000D4A58">
        <w:rPr>
          <w:rFonts w:eastAsia="Times New Roman" w:cs="Arial"/>
          <w:b/>
          <w:bCs/>
          <w:color w:val="000000"/>
          <w:szCs w:val="22"/>
          <w:lang w:eastAsia="en-US"/>
        </w:rPr>
        <w:t>Objectives</w:t>
      </w:r>
    </w:p>
    <w:p w14:paraId="110F428D" w14:textId="39648B03" w:rsidR="004120BB" w:rsidRPr="009D2F15" w:rsidRDefault="004120BB" w:rsidP="004120BB">
      <w:pPr>
        <w:numPr>
          <w:ilvl w:val="1"/>
          <w:numId w:val="2"/>
        </w:numPr>
        <w:spacing w:before="120" w:after="120" w:line="240" w:lineRule="atLeast"/>
        <w:ind w:hanging="720"/>
        <w:jc w:val="both"/>
        <w:rPr>
          <w:rFonts w:eastAsia="Calibri" w:cs="Arial"/>
          <w:szCs w:val="22"/>
          <w:lang w:eastAsia="en-US"/>
        </w:rPr>
      </w:pPr>
      <w:r w:rsidRPr="009D2F15">
        <w:rPr>
          <w:rFonts w:eastAsia="Calibri" w:cs="Arial"/>
          <w:szCs w:val="22"/>
          <w:lang w:eastAsia="en-US"/>
        </w:rPr>
        <w:t>SBC is looking to partner with a</w:t>
      </w:r>
      <w:r>
        <w:rPr>
          <w:rFonts w:eastAsia="Calibri" w:cs="Arial"/>
          <w:szCs w:val="22"/>
          <w:lang w:eastAsia="en-US"/>
        </w:rPr>
        <w:t xml:space="preserve"> </w:t>
      </w:r>
      <w:r w:rsidR="001B1E74">
        <w:rPr>
          <w:rFonts w:eastAsia="Calibri" w:cs="Arial"/>
          <w:szCs w:val="22"/>
          <w:lang w:eastAsia="en-US"/>
        </w:rPr>
        <w:t>CSP</w:t>
      </w:r>
      <w:r w:rsidRPr="009D2F15">
        <w:rPr>
          <w:rFonts w:eastAsia="Calibri" w:cs="Arial"/>
          <w:szCs w:val="22"/>
          <w:lang w:eastAsia="en-US"/>
        </w:rPr>
        <w:t xml:space="preserve"> who can deliver </w:t>
      </w:r>
      <w:r>
        <w:rPr>
          <w:rFonts w:eastAsia="Calibri" w:cs="Arial"/>
          <w:szCs w:val="22"/>
          <w:lang w:eastAsia="en-US"/>
        </w:rPr>
        <w:t xml:space="preserve">the required discovery and migration of its services to the cloud. </w:t>
      </w:r>
      <w:r w:rsidRPr="009D2F15">
        <w:rPr>
          <w:rFonts w:eastAsia="Calibri" w:cs="Arial"/>
          <w:szCs w:val="22"/>
          <w:lang w:eastAsia="en-US"/>
        </w:rPr>
        <w:t xml:space="preserve">The partner will be a Microsoft Azure Migration Partner (AMP) and Cisco Gold partner who can provide </w:t>
      </w:r>
      <w:r w:rsidR="00E07732">
        <w:rPr>
          <w:rFonts w:eastAsia="Calibri" w:cs="Arial"/>
          <w:szCs w:val="22"/>
          <w:lang w:eastAsia="en-US"/>
        </w:rPr>
        <w:t xml:space="preserve">project management and technical </w:t>
      </w:r>
      <w:r w:rsidRPr="009D2F15">
        <w:rPr>
          <w:rFonts w:eastAsia="Calibri" w:cs="Arial"/>
          <w:szCs w:val="22"/>
          <w:lang w:eastAsia="en-US"/>
        </w:rPr>
        <w:t>resource</w:t>
      </w:r>
      <w:r w:rsidR="00E07732">
        <w:rPr>
          <w:rFonts w:eastAsia="Calibri" w:cs="Arial"/>
          <w:szCs w:val="22"/>
          <w:lang w:eastAsia="en-US"/>
        </w:rPr>
        <w:t>s</w:t>
      </w:r>
      <w:r w:rsidRPr="009D2F15">
        <w:rPr>
          <w:rFonts w:eastAsia="Calibri" w:cs="Arial"/>
          <w:szCs w:val="22"/>
          <w:lang w:eastAsia="en-US"/>
        </w:rPr>
        <w:t xml:space="preserve"> to facilitate the accelerated move from the legacy technical estate.</w:t>
      </w:r>
      <w:r w:rsidR="00580435">
        <w:rPr>
          <w:rFonts w:eastAsia="Calibri" w:cs="Arial"/>
          <w:szCs w:val="22"/>
          <w:lang w:eastAsia="en-US"/>
        </w:rPr>
        <w:t xml:space="preserve"> The </w:t>
      </w:r>
      <w:r w:rsidR="00EB7659">
        <w:rPr>
          <w:rFonts w:eastAsia="Calibri" w:cs="Arial"/>
          <w:szCs w:val="22"/>
          <w:lang w:eastAsia="en-US"/>
        </w:rPr>
        <w:t xml:space="preserve">agreement will be between SBC and </w:t>
      </w:r>
      <w:r w:rsidR="00580435">
        <w:rPr>
          <w:rFonts w:eastAsia="Calibri" w:cs="Arial"/>
          <w:szCs w:val="22"/>
          <w:lang w:eastAsia="en-US"/>
        </w:rPr>
        <w:t xml:space="preserve">CSP </w:t>
      </w:r>
      <w:r w:rsidR="00AA26E5">
        <w:rPr>
          <w:rFonts w:eastAsia="Calibri" w:cs="Arial"/>
          <w:szCs w:val="22"/>
          <w:lang w:eastAsia="en-US"/>
        </w:rPr>
        <w:t xml:space="preserve">only, </w:t>
      </w:r>
      <w:r w:rsidR="00E07732">
        <w:rPr>
          <w:rFonts w:eastAsia="Calibri" w:cs="Arial"/>
          <w:szCs w:val="22"/>
          <w:lang w:eastAsia="en-US"/>
        </w:rPr>
        <w:t xml:space="preserve">the agreement </w:t>
      </w:r>
      <w:r w:rsidR="00AA26E5">
        <w:rPr>
          <w:rFonts w:eastAsia="Calibri" w:cs="Arial"/>
          <w:szCs w:val="22"/>
          <w:lang w:eastAsia="en-US"/>
        </w:rPr>
        <w:t>is for</w:t>
      </w:r>
      <w:r w:rsidR="00EB0764">
        <w:rPr>
          <w:rFonts w:eastAsia="Calibri" w:cs="Arial"/>
          <w:szCs w:val="22"/>
          <w:lang w:eastAsia="en-US"/>
        </w:rPr>
        <w:t xml:space="preserve"> a single supplier and SBC will not enter into any agreement where the CSP has enlisted services from a</w:t>
      </w:r>
      <w:r w:rsidR="00414AE3">
        <w:rPr>
          <w:rFonts w:eastAsia="Calibri" w:cs="Arial"/>
          <w:szCs w:val="22"/>
          <w:lang w:eastAsia="en-US"/>
        </w:rPr>
        <w:t xml:space="preserve">ny </w:t>
      </w:r>
      <w:r w:rsidR="00EB0764">
        <w:rPr>
          <w:rFonts w:eastAsia="Calibri" w:cs="Arial"/>
          <w:szCs w:val="22"/>
          <w:lang w:eastAsia="en-US"/>
        </w:rPr>
        <w:t xml:space="preserve">separate </w:t>
      </w:r>
      <w:r w:rsidR="0035436B">
        <w:rPr>
          <w:rFonts w:eastAsia="Calibri" w:cs="Arial"/>
          <w:szCs w:val="22"/>
          <w:lang w:eastAsia="en-US"/>
        </w:rPr>
        <w:t>third parties.</w:t>
      </w:r>
    </w:p>
    <w:p w14:paraId="1178DAB1" w14:textId="1796B11B" w:rsidR="004120BB" w:rsidRPr="009D2F15" w:rsidRDefault="004120BB" w:rsidP="004120BB">
      <w:pPr>
        <w:numPr>
          <w:ilvl w:val="1"/>
          <w:numId w:val="2"/>
        </w:numPr>
        <w:spacing w:before="120" w:after="120" w:line="240" w:lineRule="atLeast"/>
        <w:ind w:hanging="720"/>
        <w:jc w:val="both"/>
        <w:rPr>
          <w:rFonts w:eastAsia="Calibri" w:cs="Arial"/>
          <w:szCs w:val="22"/>
          <w:lang w:eastAsia="en-US"/>
        </w:rPr>
      </w:pPr>
      <w:r w:rsidRPr="009D2F15">
        <w:rPr>
          <w:rFonts w:eastAsia="Calibri" w:cs="Arial"/>
          <w:szCs w:val="22"/>
          <w:lang w:eastAsia="en-US"/>
        </w:rPr>
        <w:t xml:space="preserve">Transition legacy solutions from an </w:t>
      </w:r>
      <w:r w:rsidR="003C63C9">
        <w:rPr>
          <w:rFonts w:eastAsia="Calibri" w:cs="Arial"/>
          <w:szCs w:val="22"/>
          <w:lang w:eastAsia="en-US"/>
        </w:rPr>
        <w:t>‘</w:t>
      </w:r>
      <w:r w:rsidR="007F316F">
        <w:rPr>
          <w:rFonts w:eastAsia="Calibri" w:cs="Arial"/>
          <w:szCs w:val="22"/>
          <w:lang w:eastAsia="en-US"/>
        </w:rPr>
        <w:t>On-Premises</w:t>
      </w:r>
      <w:r w:rsidR="00E3196A">
        <w:rPr>
          <w:rFonts w:eastAsia="Calibri" w:cs="Arial"/>
          <w:szCs w:val="22"/>
          <w:lang w:eastAsia="en-US"/>
        </w:rPr>
        <w:t>’</w:t>
      </w:r>
      <w:r w:rsidRPr="009D2F15">
        <w:rPr>
          <w:rFonts w:eastAsia="Calibri" w:cs="Arial"/>
          <w:szCs w:val="22"/>
          <w:lang w:eastAsia="en-US"/>
        </w:rPr>
        <w:t xml:space="preserve"> environment to </w:t>
      </w:r>
      <w:r w:rsidR="00E3196A">
        <w:rPr>
          <w:rFonts w:eastAsia="Calibri" w:cs="Arial"/>
          <w:szCs w:val="22"/>
          <w:lang w:eastAsia="en-US"/>
        </w:rPr>
        <w:t xml:space="preserve">a </w:t>
      </w:r>
      <w:r w:rsidR="00982548">
        <w:rPr>
          <w:rFonts w:eastAsia="Calibri" w:cs="Arial"/>
          <w:szCs w:val="22"/>
          <w:lang w:eastAsia="en-US"/>
        </w:rPr>
        <w:t xml:space="preserve">Microsoft </w:t>
      </w:r>
      <w:r w:rsidR="00E3196A">
        <w:rPr>
          <w:rFonts w:eastAsia="Calibri" w:cs="Arial"/>
          <w:szCs w:val="22"/>
          <w:lang w:eastAsia="en-US"/>
        </w:rPr>
        <w:t>Azure</w:t>
      </w:r>
      <w:r w:rsidR="00982548">
        <w:rPr>
          <w:rFonts w:eastAsia="Calibri" w:cs="Arial"/>
          <w:szCs w:val="22"/>
          <w:lang w:eastAsia="en-US"/>
        </w:rPr>
        <w:t xml:space="preserve"> based</w:t>
      </w:r>
      <w:r w:rsidR="00E3196A" w:rsidRPr="009D2F15">
        <w:rPr>
          <w:rFonts w:eastAsia="Calibri" w:cs="Arial"/>
          <w:szCs w:val="22"/>
          <w:lang w:eastAsia="en-US"/>
        </w:rPr>
        <w:t xml:space="preserve"> </w:t>
      </w:r>
      <w:r w:rsidRPr="009D2F15">
        <w:rPr>
          <w:rFonts w:eastAsia="Calibri" w:cs="Arial"/>
          <w:szCs w:val="22"/>
          <w:lang w:eastAsia="en-US"/>
        </w:rPr>
        <w:t>cloud solution</w:t>
      </w:r>
    </w:p>
    <w:p w14:paraId="646A6601" w14:textId="77777777" w:rsidR="004120BB" w:rsidRPr="009D2F15" w:rsidRDefault="004120BB" w:rsidP="004120BB">
      <w:pPr>
        <w:numPr>
          <w:ilvl w:val="1"/>
          <w:numId w:val="2"/>
        </w:numPr>
        <w:spacing w:before="120" w:after="120" w:line="240" w:lineRule="atLeast"/>
        <w:ind w:hanging="720"/>
        <w:jc w:val="both"/>
        <w:rPr>
          <w:rFonts w:eastAsia="Calibri" w:cs="Arial"/>
          <w:szCs w:val="22"/>
          <w:lang w:eastAsia="en-US"/>
        </w:rPr>
      </w:pPr>
      <w:r w:rsidRPr="009D2F15">
        <w:rPr>
          <w:rFonts w:eastAsia="Calibri" w:cs="Arial"/>
          <w:szCs w:val="22"/>
          <w:lang w:eastAsia="en-US"/>
        </w:rPr>
        <w:t xml:space="preserve">As a Microsoft Gold Partner, the </w:t>
      </w:r>
      <w:r>
        <w:rPr>
          <w:rFonts w:eastAsia="Calibri" w:cs="Arial"/>
          <w:szCs w:val="22"/>
          <w:lang w:eastAsia="en-US"/>
        </w:rPr>
        <w:t xml:space="preserve">CSP </w:t>
      </w:r>
      <w:r w:rsidRPr="009D2F15">
        <w:rPr>
          <w:rFonts w:eastAsia="Calibri" w:cs="Arial"/>
          <w:szCs w:val="22"/>
          <w:lang w:eastAsia="en-US"/>
        </w:rPr>
        <w:t xml:space="preserve">will enable SBC Technology to gain access to available Microsoft funding to accelerate SBC’s journey to cloud.  This will require specific AMP accreditation. </w:t>
      </w:r>
    </w:p>
    <w:p w14:paraId="60D82CEC" w14:textId="139C5625" w:rsidR="004120BB" w:rsidRDefault="004120BB" w:rsidP="004120BB">
      <w:pPr>
        <w:numPr>
          <w:ilvl w:val="1"/>
          <w:numId w:val="2"/>
        </w:numPr>
        <w:spacing w:before="120" w:after="120" w:line="240" w:lineRule="atLeast"/>
        <w:ind w:hanging="720"/>
        <w:jc w:val="both"/>
        <w:rPr>
          <w:rFonts w:eastAsia="Calibri" w:cs="Arial"/>
          <w:szCs w:val="22"/>
          <w:lang w:eastAsia="en-US"/>
        </w:rPr>
      </w:pPr>
      <w:r w:rsidRPr="009D2F15">
        <w:rPr>
          <w:rFonts w:eastAsia="Calibri" w:cs="Arial"/>
          <w:szCs w:val="22"/>
          <w:lang w:eastAsia="en-US"/>
        </w:rPr>
        <w:t xml:space="preserve">The </w:t>
      </w:r>
      <w:r>
        <w:rPr>
          <w:rFonts w:eastAsia="Calibri" w:cs="Arial"/>
          <w:szCs w:val="22"/>
          <w:lang w:eastAsia="en-US"/>
        </w:rPr>
        <w:t>CSP</w:t>
      </w:r>
      <w:r w:rsidRPr="009D2F15">
        <w:rPr>
          <w:rFonts w:eastAsia="Calibri" w:cs="Arial"/>
          <w:szCs w:val="22"/>
          <w:lang w:eastAsia="en-US"/>
        </w:rPr>
        <w:t xml:space="preserve"> will provide the </w:t>
      </w:r>
      <w:r>
        <w:rPr>
          <w:rFonts w:eastAsia="Calibri" w:cs="Arial"/>
          <w:szCs w:val="22"/>
          <w:lang w:eastAsia="en-US"/>
        </w:rPr>
        <w:t xml:space="preserve">full </w:t>
      </w:r>
      <w:r w:rsidRPr="009D2F15">
        <w:rPr>
          <w:rFonts w:eastAsia="Calibri" w:cs="Arial"/>
          <w:szCs w:val="22"/>
          <w:lang w:eastAsia="en-US"/>
        </w:rPr>
        <w:t>complement</w:t>
      </w:r>
      <w:r>
        <w:rPr>
          <w:rFonts w:eastAsia="Calibri" w:cs="Arial"/>
          <w:szCs w:val="22"/>
          <w:lang w:eastAsia="en-US"/>
        </w:rPr>
        <w:t xml:space="preserve"> of </w:t>
      </w:r>
      <w:r w:rsidRPr="009D2F15">
        <w:rPr>
          <w:rFonts w:eastAsia="Calibri" w:cs="Arial"/>
          <w:szCs w:val="22"/>
          <w:lang w:eastAsia="en-US"/>
        </w:rPr>
        <w:t>skills and resource</w:t>
      </w:r>
      <w:r>
        <w:rPr>
          <w:rFonts w:eastAsia="Calibri" w:cs="Arial"/>
          <w:szCs w:val="22"/>
          <w:lang w:eastAsia="en-US"/>
        </w:rPr>
        <w:t>s</w:t>
      </w:r>
      <w:r w:rsidRPr="009D2F15">
        <w:rPr>
          <w:rFonts w:eastAsia="Calibri" w:cs="Arial"/>
          <w:szCs w:val="22"/>
          <w:lang w:eastAsia="en-US"/>
        </w:rPr>
        <w:t>, at the appropriate technical</w:t>
      </w:r>
      <w:r w:rsidR="0069632C">
        <w:rPr>
          <w:rFonts w:eastAsia="Calibri" w:cs="Arial"/>
          <w:szCs w:val="22"/>
          <w:lang w:eastAsia="en-US"/>
        </w:rPr>
        <w:t xml:space="preserve"> and management</w:t>
      </w:r>
      <w:r w:rsidRPr="009D2F15">
        <w:rPr>
          <w:rFonts w:eastAsia="Calibri" w:cs="Arial"/>
          <w:szCs w:val="22"/>
          <w:lang w:eastAsia="en-US"/>
        </w:rPr>
        <w:t xml:space="preserve"> level, </w:t>
      </w:r>
      <w:r>
        <w:rPr>
          <w:rFonts w:eastAsia="Calibri" w:cs="Arial"/>
          <w:szCs w:val="22"/>
          <w:lang w:eastAsia="en-US"/>
        </w:rPr>
        <w:t xml:space="preserve">to complete all stages of the migration </w:t>
      </w:r>
      <w:r w:rsidRPr="009D2F15">
        <w:rPr>
          <w:rFonts w:eastAsia="Calibri" w:cs="Arial"/>
          <w:szCs w:val="22"/>
          <w:lang w:eastAsia="en-US"/>
        </w:rPr>
        <w:t>journey</w:t>
      </w:r>
      <w:r w:rsidR="006D1FC3">
        <w:rPr>
          <w:rFonts w:eastAsia="Calibri" w:cs="Arial"/>
          <w:szCs w:val="22"/>
          <w:lang w:eastAsia="en-US"/>
        </w:rPr>
        <w:t xml:space="preserve">. </w:t>
      </w:r>
    </w:p>
    <w:p w14:paraId="7AC8415F" w14:textId="1ECFFF39" w:rsidR="00335DDC" w:rsidRPr="009D2F15" w:rsidRDefault="00C3449C" w:rsidP="004120BB">
      <w:pPr>
        <w:numPr>
          <w:ilvl w:val="1"/>
          <w:numId w:val="2"/>
        </w:numPr>
        <w:spacing w:before="120" w:after="120" w:line="240" w:lineRule="atLeast"/>
        <w:ind w:hanging="720"/>
        <w:jc w:val="both"/>
        <w:rPr>
          <w:rFonts w:eastAsia="Calibri" w:cs="Arial"/>
          <w:szCs w:val="22"/>
          <w:lang w:eastAsia="en-US"/>
        </w:rPr>
      </w:pPr>
      <w:r>
        <w:rPr>
          <w:rFonts w:eastAsia="Calibri" w:cs="Arial"/>
          <w:szCs w:val="22"/>
          <w:lang w:eastAsia="en-US"/>
        </w:rPr>
        <w:t xml:space="preserve">SBC will </w:t>
      </w:r>
      <w:r w:rsidR="0069632C">
        <w:rPr>
          <w:rFonts w:eastAsia="Calibri" w:cs="Arial"/>
          <w:szCs w:val="22"/>
          <w:lang w:eastAsia="en-US"/>
        </w:rPr>
        <w:t>provide</w:t>
      </w:r>
      <w:r>
        <w:rPr>
          <w:rFonts w:eastAsia="Calibri" w:cs="Arial"/>
          <w:szCs w:val="22"/>
          <w:lang w:eastAsia="en-US"/>
        </w:rPr>
        <w:t xml:space="preserve"> their own technical team to oversee the transformation, </w:t>
      </w:r>
      <w:r w:rsidR="0069632C">
        <w:rPr>
          <w:rFonts w:eastAsia="Calibri" w:cs="Arial"/>
          <w:szCs w:val="22"/>
          <w:lang w:eastAsia="en-US"/>
        </w:rPr>
        <w:t xml:space="preserve">including </w:t>
      </w:r>
      <w:r w:rsidR="00485838">
        <w:rPr>
          <w:rFonts w:eastAsia="Calibri" w:cs="Arial"/>
          <w:szCs w:val="22"/>
          <w:lang w:eastAsia="en-US"/>
        </w:rPr>
        <w:t xml:space="preserve">a </w:t>
      </w:r>
      <w:r w:rsidR="005A7EED">
        <w:rPr>
          <w:rFonts w:eastAsia="Calibri" w:cs="Arial"/>
          <w:szCs w:val="22"/>
          <w:lang w:eastAsia="en-US"/>
        </w:rPr>
        <w:t>technical</w:t>
      </w:r>
      <w:r w:rsidR="00485838">
        <w:rPr>
          <w:rFonts w:eastAsia="Calibri" w:cs="Arial"/>
          <w:szCs w:val="22"/>
          <w:lang w:eastAsia="en-US"/>
        </w:rPr>
        <w:t xml:space="preserve"> delivery manager </w:t>
      </w:r>
      <w:r w:rsidR="00E21A97">
        <w:rPr>
          <w:rFonts w:eastAsia="Calibri" w:cs="Arial"/>
          <w:szCs w:val="22"/>
          <w:lang w:eastAsia="en-US"/>
        </w:rPr>
        <w:t xml:space="preserve">(TDM) </w:t>
      </w:r>
      <w:r w:rsidR="00485838">
        <w:rPr>
          <w:rFonts w:eastAsia="Calibri" w:cs="Arial"/>
          <w:szCs w:val="22"/>
          <w:lang w:eastAsia="en-US"/>
        </w:rPr>
        <w:t xml:space="preserve">and </w:t>
      </w:r>
      <w:r w:rsidR="00485838" w:rsidRPr="00027770">
        <w:rPr>
          <w:rFonts w:eastAsia="Calibri" w:cs="Arial"/>
          <w:szCs w:val="22"/>
          <w:lang w:eastAsia="en-US"/>
        </w:rPr>
        <w:t>Steerco</w:t>
      </w:r>
      <w:r w:rsidR="00485838">
        <w:rPr>
          <w:rFonts w:eastAsia="Calibri" w:cs="Arial"/>
          <w:szCs w:val="22"/>
          <w:lang w:eastAsia="en-US"/>
        </w:rPr>
        <w:t xml:space="preserve"> where all works will be </w:t>
      </w:r>
      <w:r w:rsidR="001E7B4C">
        <w:rPr>
          <w:rFonts w:eastAsia="Calibri" w:cs="Arial"/>
          <w:szCs w:val="22"/>
          <w:lang w:eastAsia="en-US"/>
        </w:rPr>
        <w:t xml:space="preserve">reviewed </w:t>
      </w:r>
      <w:r w:rsidR="005A7EED">
        <w:rPr>
          <w:rFonts w:eastAsia="Calibri" w:cs="Arial"/>
          <w:szCs w:val="22"/>
          <w:lang w:eastAsia="en-US"/>
        </w:rPr>
        <w:t>against the criteria</w:t>
      </w:r>
      <w:r w:rsidR="001E7B4C">
        <w:rPr>
          <w:rFonts w:eastAsia="Calibri" w:cs="Arial"/>
          <w:szCs w:val="22"/>
          <w:lang w:eastAsia="en-US"/>
        </w:rPr>
        <w:t xml:space="preserve">, </w:t>
      </w:r>
      <w:r w:rsidR="00A74FD5">
        <w:rPr>
          <w:rFonts w:eastAsia="Calibri" w:cs="Arial"/>
          <w:szCs w:val="22"/>
          <w:lang w:eastAsia="en-US"/>
        </w:rPr>
        <w:t>using Steerco performance metric</w:t>
      </w:r>
      <w:r w:rsidR="00390BF0">
        <w:rPr>
          <w:rFonts w:eastAsia="Calibri" w:cs="Arial"/>
          <w:szCs w:val="22"/>
          <w:lang w:eastAsia="en-US"/>
        </w:rPr>
        <w:t>. A</w:t>
      </w:r>
      <w:r w:rsidR="00A74FD5">
        <w:rPr>
          <w:rFonts w:eastAsia="Calibri" w:cs="Arial"/>
          <w:szCs w:val="22"/>
          <w:lang w:eastAsia="en-US"/>
        </w:rPr>
        <w:t xml:space="preserve">ll </w:t>
      </w:r>
      <w:r w:rsidR="00E21A97">
        <w:rPr>
          <w:rFonts w:eastAsia="Calibri" w:cs="Arial"/>
          <w:szCs w:val="22"/>
          <w:lang w:eastAsia="en-US"/>
        </w:rPr>
        <w:t>final</w:t>
      </w:r>
      <w:r w:rsidR="00AE536A">
        <w:rPr>
          <w:rFonts w:eastAsia="Calibri" w:cs="Arial"/>
          <w:szCs w:val="22"/>
          <w:lang w:eastAsia="en-US"/>
        </w:rPr>
        <w:t xml:space="preserve"> approvals</w:t>
      </w:r>
      <w:r w:rsidR="00E21A97">
        <w:rPr>
          <w:rFonts w:eastAsia="Calibri" w:cs="Arial"/>
          <w:szCs w:val="22"/>
          <w:lang w:eastAsia="en-US"/>
        </w:rPr>
        <w:t xml:space="preserve">, subsequent change requests, business approvals will be managed by </w:t>
      </w:r>
      <w:r w:rsidR="00390BF0">
        <w:rPr>
          <w:rFonts w:eastAsia="Calibri" w:cs="Arial"/>
          <w:szCs w:val="22"/>
          <w:lang w:eastAsia="en-US"/>
        </w:rPr>
        <w:t xml:space="preserve">TDM, approved </w:t>
      </w:r>
      <w:r w:rsidR="00E21A97">
        <w:rPr>
          <w:rFonts w:eastAsia="Calibri" w:cs="Arial"/>
          <w:szCs w:val="22"/>
          <w:lang w:eastAsia="en-US"/>
        </w:rPr>
        <w:t>by Steerco</w:t>
      </w:r>
      <w:r w:rsidR="00390BF0">
        <w:rPr>
          <w:rFonts w:eastAsia="Calibri" w:cs="Arial"/>
          <w:szCs w:val="22"/>
          <w:lang w:eastAsia="en-US"/>
        </w:rPr>
        <w:t xml:space="preserve">. </w:t>
      </w:r>
    </w:p>
    <w:p w14:paraId="78AF75E9" w14:textId="0621BB20" w:rsidR="000E3C95" w:rsidRDefault="000E3C95" w:rsidP="000E3C95">
      <w:pPr>
        <w:spacing w:before="120" w:after="120" w:line="240" w:lineRule="atLeast"/>
        <w:jc w:val="both"/>
        <w:rPr>
          <w:rFonts w:eastAsia="Calibri" w:cs="Arial"/>
          <w:szCs w:val="22"/>
          <w:lang w:eastAsia="en-US"/>
        </w:rPr>
      </w:pPr>
    </w:p>
    <w:p w14:paraId="729295BF" w14:textId="4889C9FD" w:rsidR="004120BB" w:rsidRPr="00505D7D" w:rsidRDefault="001062CB" w:rsidP="000D4A58">
      <w:pPr>
        <w:pStyle w:val="ListParagraph"/>
        <w:numPr>
          <w:ilvl w:val="0"/>
          <w:numId w:val="2"/>
        </w:numPr>
        <w:ind w:hanging="720"/>
        <w:rPr>
          <w:b/>
          <w:lang w:eastAsia="en-US"/>
        </w:rPr>
      </w:pPr>
      <w:r>
        <w:rPr>
          <w:rFonts w:eastAsia="Times New Roman"/>
          <w:b/>
          <w:color w:val="000000"/>
          <w:spacing w:val="-3"/>
          <w:lang w:eastAsia="en-GB"/>
        </w:rPr>
        <w:t>Co</w:t>
      </w:r>
      <w:r w:rsidR="004120BB" w:rsidRPr="00505D7D">
        <w:rPr>
          <w:rFonts w:eastAsia="Times New Roman"/>
          <w:b/>
          <w:color w:val="000000"/>
          <w:spacing w:val="-3"/>
          <w:lang w:eastAsia="en-GB"/>
        </w:rPr>
        <w:t>ntract Period and Contract Management</w:t>
      </w:r>
    </w:p>
    <w:p w14:paraId="7C87C070" w14:textId="77777777" w:rsidR="004120BB" w:rsidRPr="00305DD9" w:rsidRDefault="004120BB" w:rsidP="004120BB">
      <w:pPr>
        <w:widowControl w:val="0"/>
        <w:tabs>
          <w:tab w:val="left" w:pos="0"/>
        </w:tabs>
        <w:suppressAutoHyphens/>
        <w:adjustRightInd w:val="0"/>
        <w:spacing w:line="240" w:lineRule="atLeast"/>
        <w:jc w:val="both"/>
        <w:textAlignment w:val="baseline"/>
        <w:rPr>
          <w:rFonts w:eastAsia="Times New Roman" w:cs="Arial"/>
          <w:b/>
          <w:color w:val="000000"/>
          <w:spacing w:val="-3"/>
          <w:szCs w:val="22"/>
          <w:lang w:eastAsia="en-GB"/>
        </w:rPr>
      </w:pPr>
    </w:p>
    <w:p w14:paraId="7EEE72DB" w14:textId="77777777" w:rsidR="004120BB" w:rsidRDefault="004120BB" w:rsidP="004120BB">
      <w:pPr>
        <w:widowControl w:val="0"/>
        <w:tabs>
          <w:tab w:val="left" w:pos="709"/>
        </w:tabs>
        <w:suppressAutoHyphens/>
        <w:adjustRightInd w:val="0"/>
        <w:spacing w:line="240" w:lineRule="atLeast"/>
        <w:ind w:left="709" w:hanging="709"/>
        <w:jc w:val="both"/>
        <w:textAlignment w:val="baseline"/>
        <w:rPr>
          <w:rFonts w:eastAsia="Times New Roman" w:cs="Arial"/>
          <w:color w:val="000000"/>
          <w:spacing w:val="-3"/>
          <w:szCs w:val="22"/>
          <w:lang w:eastAsia="en-GB"/>
        </w:rPr>
      </w:pPr>
    </w:p>
    <w:p w14:paraId="1CB94A99" w14:textId="5FDF085E" w:rsidR="004120BB" w:rsidRPr="00505D7D" w:rsidRDefault="004120BB" w:rsidP="004120BB">
      <w:pPr>
        <w:widowControl w:val="0"/>
        <w:tabs>
          <w:tab w:val="left" w:pos="709"/>
        </w:tabs>
        <w:suppressAutoHyphens/>
        <w:adjustRightInd w:val="0"/>
        <w:spacing w:line="240" w:lineRule="atLeast"/>
        <w:jc w:val="both"/>
        <w:textAlignment w:val="baseline"/>
        <w:rPr>
          <w:rFonts w:eastAsia="Times New Roman" w:cs="Arial"/>
          <w:color w:val="000000"/>
          <w:spacing w:val="-3"/>
          <w:szCs w:val="22"/>
          <w:lang w:eastAsia="en-GB"/>
        </w:rPr>
      </w:pPr>
      <w:r>
        <w:rPr>
          <w:rFonts w:eastAsia="Times New Roman" w:cs="Arial"/>
          <w:color w:val="000000"/>
          <w:spacing w:val="-3"/>
          <w:szCs w:val="22"/>
          <w:lang w:eastAsia="en-GB"/>
        </w:rPr>
        <w:t>4.1</w:t>
      </w:r>
      <w:r>
        <w:rPr>
          <w:rFonts w:eastAsia="Times New Roman" w:cs="Arial"/>
          <w:color w:val="000000"/>
          <w:spacing w:val="-3"/>
          <w:szCs w:val="22"/>
          <w:lang w:eastAsia="en-GB"/>
        </w:rPr>
        <w:tab/>
      </w:r>
      <w:r w:rsidRPr="00505D7D">
        <w:rPr>
          <w:rFonts w:eastAsia="Times New Roman" w:cs="Arial"/>
          <w:color w:val="000000"/>
          <w:spacing w:val="-3"/>
          <w:szCs w:val="22"/>
          <w:lang w:eastAsia="en-GB"/>
        </w:rPr>
        <w:t>The contract shall operate for a period of approximately 12</w:t>
      </w:r>
      <w:r w:rsidR="00027770">
        <w:rPr>
          <w:rFonts w:eastAsia="Times New Roman" w:cs="Arial"/>
          <w:color w:val="000000"/>
          <w:spacing w:val="-3"/>
          <w:szCs w:val="22"/>
          <w:lang w:eastAsia="en-GB"/>
        </w:rPr>
        <w:t xml:space="preserve"> </w:t>
      </w:r>
      <w:r w:rsidRPr="00505D7D">
        <w:rPr>
          <w:rFonts w:eastAsia="Times New Roman" w:cs="Arial"/>
          <w:color w:val="000000"/>
          <w:spacing w:val="-3"/>
          <w:szCs w:val="22"/>
          <w:lang w:eastAsia="en-GB"/>
        </w:rPr>
        <w:t xml:space="preserve">months </w:t>
      </w:r>
      <w:r w:rsidR="00AE54B4" w:rsidRPr="00505D7D">
        <w:rPr>
          <w:rFonts w:eastAsia="Times New Roman" w:cs="Arial"/>
          <w:color w:val="000000"/>
          <w:spacing w:val="-3"/>
          <w:szCs w:val="22"/>
          <w:lang w:eastAsia="en-GB"/>
        </w:rPr>
        <w:t>the</w:t>
      </w:r>
      <w:r w:rsidRPr="00505D7D">
        <w:rPr>
          <w:rFonts w:eastAsia="Times New Roman" w:cs="Arial"/>
          <w:color w:val="000000"/>
          <w:spacing w:val="-3"/>
          <w:szCs w:val="22"/>
          <w:lang w:eastAsia="en-GB"/>
        </w:rPr>
        <w:t xml:space="preserve"> anticipated commencement date on site of </w:t>
      </w:r>
      <w:r w:rsidR="00E67605">
        <w:rPr>
          <w:rFonts w:eastAsia="Times New Roman" w:cs="Arial"/>
          <w:color w:val="000000"/>
          <w:spacing w:val="-3"/>
          <w:szCs w:val="22"/>
          <w:lang w:eastAsia="en-GB"/>
        </w:rPr>
        <w:t>28 February 20</w:t>
      </w:r>
      <w:r w:rsidRPr="00505D7D">
        <w:rPr>
          <w:rFonts w:eastAsia="Times New Roman" w:cs="Arial"/>
          <w:color w:val="000000"/>
          <w:spacing w:val="-3"/>
          <w:szCs w:val="22"/>
          <w:lang w:eastAsia="en-GB"/>
        </w:rPr>
        <w:t>2</w:t>
      </w:r>
      <w:r>
        <w:rPr>
          <w:rFonts w:eastAsia="Times New Roman" w:cs="Arial"/>
          <w:color w:val="000000"/>
          <w:spacing w:val="-3"/>
          <w:szCs w:val="22"/>
          <w:lang w:eastAsia="en-GB"/>
        </w:rPr>
        <w:t>2</w:t>
      </w:r>
      <w:r w:rsidR="00E67605">
        <w:rPr>
          <w:rFonts w:eastAsia="Times New Roman" w:cs="Arial"/>
          <w:color w:val="000000"/>
          <w:spacing w:val="-3"/>
          <w:szCs w:val="22"/>
          <w:lang w:eastAsia="en-GB"/>
        </w:rPr>
        <w:t xml:space="preserve"> or sooner if possible.</w:t>
      </w:r>
    </w:p>
    <w:p w14:paraId="0B6F9FFC" w14:textId="77777777" w:rsidR="004120BB" w:rsidRPr="009D2F15" w:rsidRDefault="004120BB" w:rsidP="004120BB">
      <w:pPr>
        <w:widowControl w:val="0"/>
        <w:tabs>
          <w:tab w:val="left" w:pos="709"/>
        </w:tabs>
        <w:suppressAutoHyphens/>
        <w:adjustRightInd w:val="0"/>
        <w:spacing w:line="240" w:lineRule="atLeast"/>
        <w:ind w:left="709" w:hanging="709"/>
        <w:jc w:val="both"/>
        <w:textAlignment w:val="baseline"/>
        <w:rPr>
          <w:rFonts w:eastAsia="Times New Roman" w:cs="Arial"/>
          <w:color w:val="FF0000"/>
          <w:spacing w:val="-3"/>
          <w:szCs w:val="22"/>
          <w:lang w:eastAsia="en-GB"/>
        </w:rPr>
      </w:pPr>
    </w:p>
    <w:p w14:paraId="54593633" w14:textId="77777777" w:rsidR="004120BB" w:rsidRPr="009D2F15" w:rsidRDefault="004120BB" w:rsidP="004120BB">
      <w:pPr>
        <w:widowControl w:val="0"/>
        <w:tabs>
          <w:tab w:val="left" w:pos="0"/>
        </w:tabs>
        <w:suppressAutoHyphens/>
        <w:adjustRightInd w:val="0"/>
        <w:spacing w:line="240" w:lineRule="atLeast"/>
        <w:jc w:val="both"/>
        <w:textAlignment w:val="baseline"/>
        <w:rPr>
          <w:rFonts w:eastAsia="Times New Roman" w:cs="Arial"/>
          <w:color w:val="000000"/>
          <w:spacing w:val="-3"/>
          <w:szCs w:val="22"/>
          <w:lang w:eastAsia="en-GB"/>
        </w:rPr>
      </w:pPr>
      <w:r>
        <w:rPr>
          <w:rFonts w:eastAsia="Times New Roman" w:cs="Arial"/>
          <w:color w:val="000000"/>
          <w:spacing w:val="-3"/>
          <w:szCs w:val="22"/>
          <w:lang w:eastAsia="en-GB"/>
        </w:rPr>
        <w:t>4.2</w:t>
      </w:r>
      <w:r w:rsidRPr="009D2F15">
        <w:rPr>
          <w:rFonts w:eastAsia="Times New Roman" w:cs="Arial"/>
          <w:color w:val="000000"/>
          <w:spacing w:val="-3"/>
          <w:szCs w:val="22"/>
          <w:lang w:eastAsia="en-GB"/>
        </w:rPr>
        <w:tab/>
        <w:t>An indicative timescale is outlined below:</w:t>
      </w:r>
    </w:p>
    <w:p w14:paraId="7D813072" w14:textId="77777777" w:rsidR="004120BB" w:rsidRPr="009D2F15" w:rsidRDefault="004120BB" w:rsidP="004120BB">
      <w:pPr>
        <w:widowControl w:val="0"/>
        <w:tabs>
          <w:tab w:val="left" w:pos="0"/>
        </w:tabs>
        <w:suppressAutoHyphens/>
        <w:adjustRightInd w:val="0"/>
        <w:spacing w:line="240" w:lineRule="atLeast"/>
        <w:jc w:val="both"/>
        <w:textAlignment w:val="baseline"/>
        <w:rPr>
          <w:rFonts w:eastAsia="Times New Roman" w:cs="Arial"/>
          <w:b/>
          <w:color w:val="000000"/>
          <w:spacing w:val="-3"/>
          <w:szCs w:val="22"/>
          <w:lang w:eastAsia="en-GB"/>
        </w:rPr>
      </w:pPr>
    </w:p>
    <w:tbl>
      <w:tblPr>
        <w:tblStyle w:val="TableGrid2"/>
        <w:tblW w:w="0" w:type="auto"/>
        <w:tblInd w:w="1080" w:type="dxa"/>
        <w:tblLook w:val="04A0" w:firstRow="1" w:lastRow="0" w:firstColumn="1" w:lastColumn="0" w:noHBand="0" w:noVBand="1"/>
      </w:tblPr>
      <w:tblGrid>
        <w:gridCol w:w="2176"/>
        <w:gridCol w:w="5386"/>
      </w:tblGrid>
      <w:tr w:rsidR="004120BB" w:rsidRPr="009D2F15" w14:paraId="653FEF84" w14:textId="77777777" w:rsidTr="00CB2C09">
        <w:tc>
          <w:tcPr>
            <w:tcW w:w="2176" w:type="dxa"/>
          </w:tcPr>
          <w:p w14:paraId="602C7129" w14:textId="77777777" w:rsidR="004120BB" w:rsidRPr="009D2F15" w:rsidRDefault="004120BB" w:rsidP="00CB2C09">
            <w:pPr>
              <w:autoSpaceDE w:val="0"/>
              <w:autoSpaceDN w:val="0"/>
              <w:jc w:val="both"/>
              <w:rPr>
                <w:rFonts w:eastAsia="Times New Roman" w:cs="Arial"/>
                <w:color w:val="000000"/>
                <w:szCs w:val="22"/>
                <w:lang w:eastAsia="en-GB"/>
              </w:rPr>
            </w:pPr>
            <w:bookmarkStart w:id="5" w:name="_Hlk54821480"/>
            <w:r>
              <w:rPr>
                <w:rFonts w:eastAsia="Times New Roman" w:cs="Arial"/>
                <w:color w:val="000000"/>
                <w:szCs w:val="22"/>
                <w:lang w:eastAsia="en-GB"/>
              </w:rPr>
              <w:t>December 2021</w:t>
            </w:r>
          </w:p>
        </w:tc>
        <w:tc>
          <w:tcPr>
            <w:tcW w:w="5386" w:type="dxa"/>
          </w:tcPr>
          <w:p w14:paraId="23FE1387" w14:textId="77777777" w:rsidR="004120BB" w:rsidRPr="009D2F15" w:rsidRDefault="004120BB" w:rsidP="00CB2C09">
            <w:pPr>
              <w:autoSpaceDE w:val="0"/>
              <w:autoSpaceDN w:val="0"/>
              <w:jc w:val="both"/>
              <w:rPr>
                <w:rFonts w:eastAsia="Times New Roman" w:cs="Arial"/>
                <w:color w:val="000000"/>
                <w:szCs w:val="22"/>
                <w:lang w:eastAsia="en-GB"/>
              </w:rPr>
            </w:pPr>
            <w:r>
              <w:rPr>
                <w:rFonts w:eastAsia="Times New Roman" w:cs="Arial"/>
                <w:color w:val="000000"/>
                <w:szCs w:val="22"/>
                <w:lang w:eastAsia="en-GB"/>
              </w:rPr>
              <w:t>SBC to invite suppliers for ITT</w:t>
            </w:r>
          </w:p>
        </w:tc>
      </w:tr>
      <w:tr w:rsidR="004120BB" w:rsidRPr="009D2F15" w14:paraId="604C058E" w14:textId="77777777" w:rsidTr="00CB2C09">
        <w:tc>
          <w:tcPr>
            <w:tcW w:w="2176" w:type="dxa"/>
          </w:tcPr>
          <w:p w14:paraId="60D4941C" w14:textId="682444BB" w:rsidR="004120BB" w:rsidRPr="009D2F15" w:rsidRDefault="00E67605" w:rsidP="00CB2C09">
            <w:pPr>
              <w:autoSpaceDE w:val="0"/>
              <w:autoSpaceDN w:val="0"/>
              <w:jc w:val="both"/>
              <w:rPr>
                <w:rFonts w:eastAsia="Times New Roman" w:cs="Arial"/>
                <w:color w:val="000000"/>
                <w:szCs w:val="22"/>
                <w:lang w:eastAsia="en-GB"/>
              </w:rPr>
            </w:pPr>
            <w:r>
              <w:rPr>
                <w:rFonts w:eastAsia="Times New Roman" w:cs="Arial"/>
                <w:color w:val="000000"/>
                <w:szCs w:val="22"/>
                <w:lang w:eastAsia="en-GB"/>
              </w:rPr>
              <w:lastRenderedPageBreak/>
              <w:t>February</w:t>
            </w:r>
            <w:r>
              <w:rPr>
                <w:rFonts w:eastAsia="Times New Roman" w:cs="Arial"/>
                <w:color w:val="000000"/>
                <w:szCs w:val="22"/>
                <w:lang w:eastAsia="en-GB"/>
              </w:rPr>
              <w:t xml:space="preserve"> </w:t>
            </w:r>
            <w:r w:rsidR="004120BB">
              <w:rPr>
                <w:rFonts w:eastAsia="Times New Roman" w:cs="Arial"/>
                <w:color w:val="000000"/>
                <w:szCs w:val="22"/>
                <w:lang w:eastAsia="en-GB"/>
              </w:rPr>
              <w:t>2022</w:t>
            </w:r>
          </w:p>
        </w:tc>
        <w:tc>
          <w:tcPr>
            <w:tcW w:w="5386" w:type="dxa"/>
          </w:tcPr>
          <w:p w14:paraId="5642EB5C" w14:textId="77777777" w:rsidR="004120BB" w:rsidRPr="009D2F15" w:rsidRDefault="004120BB" w:rsidP="00CB2C09">
            <w:pPr>
              <w:autoSpaceDE w:val="0"/>
              <w:autoSpaceDN w:val="0"/>
              <w:jc w:val="both"/>
              <w:rPr>
                <w:rFonts w:eastAsia="Times New Roman" w:cs="Arial"/>
                <w:color w:val="000000"/>
                <w:szCs w:val="22"/>
                <w:lang w:eastAsia="en-GB"/>
              </w:rPr>
            </w:pPr>
            <w:r>
              <w:rPr>
                <w:rFonts w:eastAsia="Times New Roman" w:cs="Arial"/>
                <w:color w:val="000000"/>
                <w:szCs w:val="22"/>
                <w:lang w:eastAsia="en-GB"/>
              </w:rPr>
              <w:t>Appointed CSP</w:t>
            </w:r>
            <w:r w:rsidRPr="009D2F15">
              <w:rPr>
                <w:rFonts w:eastAsia="Times New Roman" w:cs="Arial"/>
                <w:color w:val="000000"/>
                <w:szCs w:val="22"/>
                <w:lang w:eastAsia="en-GB"/>
              </w:rPr>
              <w:t xml:space="preserve"> to review and ratify the scope of the </w:t>
            </w:r>
            <w:r>
              <w:rPr>
                <w:rFonts w:eastAsia="Times New Roman" w:cs="Arial"/>
                <w:color w:val="000000"/>
                <w:szCs w:val="22"/>
                <w:lang w:eastAsia="en-GB"/>
              </w:rPr>
              <w:t>initial phase and scope of work</w:t>
            </w:r>
            <w:r w:rsidRPr="009D2F15">
              <w:rPr>
                <w:rFonts w:eastAsia="Times New Roman" w:cs="Arial"/>
                <w:color w:val="000000"/>
                <w:szCs w:val="22"/>
                <w:lang w:eastAsia="en-GB"/>
              </w:rPr>
              <w:t xml:space="preserve">, </w:t>
            </w:r>
            <w:r>
              <w:rPr>
                <w:rFonts w:eastAsia="Times New Roman" w:cs="Arial"/>
                <w:color w:val="000000"/>
                <w:szCs w:val="22"/>
                <w:lang w:eastAsia="en-GB"/>
              </w:rPr>
              <w:t>a</w:t>
            </w:r>
            <w:r w:rsidRPr="009D2F15">
              <w:rPr>
                <w:rFonts w:eastAsia="Times New Roman" w:cs="Arial"/>
                <w:color w:val="000000"/>
                <w:szCs w:val="22"/>
                <w:lang w:eastAsia="en-GB"/>
              </w:rPr>
              <w:t xml:space="preserve">gree with SBC the </w:t>
            </w:r>
            <w:r>
              <w:rPr>
                <w:rFonts w:eastAsia="Times New Roman" w:cs="Arial"/>
                <w:color w:val="000000"/>
                <w:szCs w:val="22"/>
                <w:lang w:eastAsia="en-GB"/>
              </w:rPr>
              <w:t>commencement</w:t>
            </w:r>
            <w:r w:rsidRPr="009D2F15">
              <w:rPr>
                <w:rFonts w:eastAsia="Times New Roman" w:cs="Arial"/>
                <w:color w:val="000000"/>
                <w:szCs w:val="22"/>
                <w:lang w:eastAsia="en-GB"/>
              </w:rPr>
              <w:t xml:space="preserve">, and confirm </w:t>
            </w:r>
            <w:r>
              <w:rPr>
                <w:rFonts w:eastAsia="Times New Roman" w:cs="Arial"/>
                <w:color w:val="000000"/>
                <w:szCs w:val="22"/>
                <w:lang w:eastAsia="en-GB"/>
              </w:rPr>
              <w:t xml:space="preserve">final </w:t>
            </w:r>
            <w:r w:rsidRPr="009D2F15">
              <w:rPr>
                <w:rFonts w:eastAsia="Times New Roman" w:cs="Arial"/>
                <w:color w:val="000000"/>
                <w:szCs w:val="22"/>
                <w:lang w:eastAsia="en-GB"/>
              </w:rPr>
              <w:t>pricing</w:t>
            </w:r>
          </w:p>
        </w:tc>
      </w:tr>
      <w:tr w:rsidR="004120BB" w:rsidRPr="009D2F15" w14:paraId="2BC467D5" w14:textId="77777777" w:rsidTr="00CB2C09">
        <w:tc>
          <w:tcPr>
            <w:tcW w:w="2176" w:type="dxa"/>
          </w:tcPr>
          <w:p w14:paraId="5F7E1052" w14:textId="526DBAA9" w:rsidR="004120BB" w:rsidRPr="009D2F15" w:rsidRDefault="00E67605" w:rsidP="00CB2C09">
            <w:pPr>
              <w:autoSpaceDE w:val="0"/>
              <w:autoSpaceDN w:val="0"/>
              <w:jc w:val="both"/>
              <w:rPr>
                <w:rFonts w:eastAsia="Times New Roman" w:cs="Arial"/>
                <w:color w:val="000000"/>
                <w:szCs w:val="22"/>
                <w:lang w:eastAsia="en-GB"/>
              </w:rPr>
            </w:pPr>
            <w:r>
              <w:rPr>
                <w:rFonts w:eastAsia="Times New Roman" w:cs="Arial"/>
                <w:color w:val="000000"/>
                <w:szCs w:val="22"/>
                <w:lang w:eastAsia="en-GB"/>
              </w:rPr>
              <w:t xml:space="preserve">February </w:t>
            </w:r>
            <w:r w:rsidR="004120BB">
              <w:rPr>
                <w:rFonts w:eastAsia="Times New Roman" w:cs="Arial"/>
                <w:color w:val="000000"/>
                <w:szCs w:val="22"/>
                <w:lang w:eastAsia="en-GB"/>
              </w:rPr>
              <w:t>2022</w:t>
            </w:r>
          </w:p>
        </w:tc>
        <w:tc>
          <w:tcPr>
            <w:tcW w:w="5386" w:type="dxa"/>
          </w:tcPr>
          <w:p w14:paraId="0244FDAC" w14:textId="77777777" w:rsidR="004120BB" w:rsidRPr="009D2F15" w:rsidRDefault="004120BB" w:rsidP="00CB2C09">
            <w:pPr>
              <w:autoSpaceDE w:val="0"/>
              <w:autoSpaceDN w:val="0"/>
              <w:jc w:val="both"/>
              <w:rPr>
                <w:rFonts w:eastAsia="Times New Roman" w:cs="Arial"/>
                <w:color w:val="000000"/>
                <w:szCs w:val="22"/>
                <w:lang w:eastAsia="en-GB"/>
              </w:rPr>
            </w:pPr>
            <w:r w:rsidRPr="009D2F15">
              <w:rPr>
                <w:rFonts w:eastAsia="Times New Roman" w:cs="Arial"/>
                <w:color w:val="000000"/>
                <w:szCs w:val="22"/>
                <w:lang w:eastAsia="en-GB"/>
              </w:rPr>
              <w:t>Commen</w:t>
            </w:r>
            <w:r>
              <w:rPr>
                <w:rFonts w:eastAsia="Times New Roman" w:cs="Arial"/>
                <w:color w:val="000000"/>
                <w:szCs w:val="22"/>
                <w:lang w:eastAsia="en-GB"/>
              </w:rPr>
              <w:t>cing initial phase “</w:t>
            </w:r>
            <w:r>
              <w:rPr>
                <w:rFonts w:eastAsia="Times New Roman" w:cs="Arial"/>
                <w:i/>
                <w:iCs/>
                <w:color w:val="000000"/>
                <w:szCs w:val="22"/>
                <w:lang w:eastAsia="en-GB"/>
              </w:rPr>
              <w:t>Discovery &amp; Analysis”</w:t>
            </w:r>
          </w:p>
        </w:tc>
      </w:tr>
      <w:tr w:rsidR="004120BB" w:rsidRPr="009D2F15" w14:paraId="10E82FE3" w14:textId="77777777" w:rsidTr="00CB2C09">
        <w:tc>
          <w:tcPr>
            <w:tcW w:w="2176" w:type="dxa"/>
          </w:tcPr>
          <w:p w14:paraId="28D020A3" w14:textId="569EC17B" w:rsidR="004120BB" w:rsidRPr="009D2F15" w:rsidRDefault="004120BB" w:rsidP="00CB2C09">
            <w:pPr>
              <w:autoSpaceDE w:val="0"/>
              <w:autoSpaceDN w:val="0"/>
              <w:jc w:val="both"/>
              <w:rPr>
                <w:rFonts w:eastAsia="Times New Roman" w:cs="Arial"/>
                <w:color w:val="000000"/>
                <w:szCs w:val="22"/>
                <w:lang w:eastAsia="en-GB"/>
              </w:rPr>
            </w:pPr>
            <w:r>
              <w:rPr>
                <w:rFonts w:eastAsia="Times New Roman" w:cs="Arial"/>
                <w:color w:val="000000"/>
                <w:szCs w:val="22"/>
                <w:lang w:eastAsia="en-GB"/>
              </w:rPr>
              <w:t>March 2022</w:t>
            </w:r>
          </w:p>
        </w:tc>
        <w:tc>
          <w:tcPr>
            <w:tcW w:w="5386" w:type="dxa"/>
          </w:tcPr>
          <w:p w14:paraId="5380D7EB" w14:textId="77777777" w:rsidR="004120BB" w:rsidRPr="009D2F15" w:rsidRDefault="004120BB" w:rsidP="00CB2C09">
            <w:pPr>
              <w:autoSpaceDE w:val="0"/>
              <w:autoSpaceDN w:val="0"/>
              <w:jc w:val="both"/>
              <w:rPr>
                <w:rFonts w:eastAsia="Times New Roman" w:cs="Arial"/>
                <w:color w:val="000000"/>
                <w:szCs w:val="22"/>
                <w:lang w:eastAsia="en-GB"/>
              </w:rPr>
            </w:pPr>
            <w:r>
              <w:rPr>
                <w:rFonts w:eastAsia="Times New Roman" w:cs="Arial"/>
                <w:color w:val="000000"/>
                <w:szCs w:val="22"/>
                <w:lang w:eastAsia="en-GB"/>
              </w:rPr>
              <w:t>Completed Review of “</w:t>
            </w:r>
            <w:r>
              <w:rPr>
                <w:rFonts w:eastAsia="Times New Roman" w:cs="Arial"/>
                <w:i/>
                <w:iCs/>
                <w:color w:val="000000"/>
                <w:szCs w:val="22"/>
                <w:lang w:eastAsia="en-GB"/>
              </w:rPr>
              <w:t>Cloud Migration Statement of Work</w:t>
            </w:r>
            <w:proofErr w:type="gramStart"/>
            <w:r>
              <w:rPr>
                <w:rFonts w:eastAsia="Times New Roman" w:cs="Arial"/>
                <w:i/>
                <w:iCs/>
                <w:color w:val="000000"/>
                <w:szCs w:val="22"/>
                <w:lang w:eastAsia="en-GB"/>
              </w:rPr>
              <w:t xml:space="preserve">” </w:t>
            </w:r>
            <w:r w:rsidRPr="009D2F15">
              <w:rPr>
                <w:rFonts w:eastAsia="Times New Roman" w:cs="Arial"/>
                <w:color w:val="000000"/>
                <w:szCs w:val="22"/>
                <w:lang w:eastAsia="en-GB"/>
              </w:rPr>
              <w:t>,</w:t>
            </w:r>
            <w:proofErr w:type="gramEnd"/>
            <w:r w:rsidRPr="009D2F15">
              <w:rPr>
                <w:rFonts w:eastAsia="Times New Roman" w:cs="Arial"/>
                <w:color w:val="000000"/>
                <w:szCs w:val="22"/>
                <w:lang w:eastAsia="en-GB"/>
              </w:rPr>
              <w:t xml:space="preserve"> </w:t>
            </w:r>
            <w:r>
              <w:rPr>
                <w:rFonts w:eastAsia="Times New Roman" w:cs="Arial"/>
                <w:color w:val="000000"/>
                <w:szCs w:val="22"/>
                <w:lang w:eastAsia="en-GB"/>
              </w:rPr>
              <w:t xml:space="preserve">agree with SBC outputs and finalisation of </w:t>
            </w:r>
            <w:r w:rsidRPr="009D2F15">
              <w:rPr>
                <w:rFonts w:eastAsia="Times New Roman" w:cs="Arial"/>
                <w:color w:val="000000"/>
                <w:szCs w:val="22"/>
                <w:lang w:eastAsia="en-GB"/>
              </w:rPr>
              <w:t>which will input into the transition plan</w:t>
            </w:r>
            <w:r>
              <w:rPr>
                <w:rFonts w:eastAsia="Times New Roman" w:cs="Arial"/>
                <w:color w:val="000000"/>
                <w:szCs w:val="22"/>
                <w:lang w:eastAsia="en-GB"/>
              </w:rPr>
              <w:t>.</w:t>
            </w:r>
          </w:p>
        </w:tc>
      </w:tr>
      <w:tr w:rsidR="004120BB" w:rsidRPr="009D2F15" w14:paraId="275DA298" w14:textId="77777777" w:rsidTr="00CB2C09">
        <w:tc>
          <w:tcPr>
            <w:tcW w:w="2176" w:type="dxa"/>
          </w:tcPr>
          <w:p w14:paraId="3681BEF4" w14:textId="23716E97" w:rsidR="004120BB" w:rsidRPr="009D2F15" w:rsidRDefault="00E67605" w:rsidP="00CB2C09">
            <w:pPr>
              <w:autoSpaceDE w:val="0"/>
              <w:autoSpaceDN w:val="0"/>
              <w:jc w:val="both"/>
              <w:rPr>
                <w:rFonts w:eastAsia="Times New Roman" w:cs="Arial"/>
                <w:color w:val="000000"/>
                <w:szCs w:val="22"/>
                <w:lang w:eastAsia="en-GB"/>
              </w:rPr>
            </w:pPr>
            <w:r>
              <w:rPr>
                <w:rFonts w:eastAsia="Times New Roman" w:cs="Arial"/>
                <w:color w:val="000000"/>
                <w:szCs w:val="22"/>
                <w:lang w:eastAsia="en-GB"/>
              </w:rPr>
              <w:t>March</w:t>
            </w:r>
            <w:r w:rsidR="004120BB">
              <w:rPr>
                <w:rFonts w:eastAsia="Times New Roman" w:cs="Arial"/>
                <w:color w:val="000000"/>
                <w:szCs w:val="22"/>
                <w:lang w:eastAsia="en-GB"/>
              </w:rPr>
              <w:t>-December 2022</w:t>
            </w:r>
          </w:p>
        </w:tc>
        <w:tc>
          <w:tcPr>
            <w:tcW w:w="5386" w:type="dxa"/>
          </w:tcPr>
          <w:p w14:paraId="2A8765EB" w14:textId="1611EC9B" w:rsidR="004120BB" w:rsidRPr="009D2F15" w:rsidRDefault="004120BB" w:rsidP="00CB2C09">
            <w:pPr>
              <w:autoSpaceDE w:val="0"/>
              <w:autoSpaceDN w:val="0"/>
              <w:jc w:val="both"/>
              <w:rPr>
                <w:rFonts w:eastAsia="Times New Roman" w:cs="Arial"/>
                <w:color w:val="000000"/>
                <w:szCs w:val="22"/>
                <w:lang w:eastAsia="en-GB"/>
              </w:rPr>
            </w:pPr>
            <w:r>
              <w:rPr>
                <w:rFonts w:eastAsia="Times New Roman" w:cs="Arial"/>
                <w:color w:val="000000"/>
                <w:szCs w:val="22"/>
                <w:lang w:eastAsia="en-GB"/>
              </w:rPr>
              <w:t xml:space="preserve">“Migration” migrating the services approved in the SoW to Azure and providing all-inclusive services of </w:t>
            </w:r>
            <w:r w:rsidR="00984CDD">
              <w:rPr>
                <w:rFonts w:eastAsia="Times New Roman" w:cs="Arial"/>
                <w:color w:val="000000"/>
                <w:szCs w:val="22"/>
                <w:lang w:eastAsia="en-GB"/>
              </w:rPr>
              <w:t>end-to-end</w:t>
            </w:r>
            <w:r>
              <w:rPr>
                <w:rFonts w:eastAsia="Times New Roman" w:cs="Arial"/>
                <w:color w:val="000000"/>
                <w:szCs w:val="22"/>
                <w:lang w:eastAsia="en-GB"/>
              </w:rPr>
              <w:t xml:space="preserve"> migration and management</w:t>
            </w:r>
          </w:p>
        </w:tc>
      </w:tr>
      <w:tr w:rsidR="004120BB" w:rsidRPr="00305DD9" w14:paraId="05720117" w14:textId="77777777" w:rsidTr="00CB2C09">
        <w:tc>
          <w:tcPr>
            <w:tcW w:w="2176" w:type="dxa"/>
          </w:tcPr>
          <w:p w14:paraId="4E3359DD" w14:textId="77777777" w:rsidR="004120BB" w:rsidRPr="00305DD9" w:rsidRDefault="004120BB" w:rsidP="00CB2C09">
            <w:pPr>
              <w:autoSpaceDE w:val="0"/>
              <w:autoSpaceDN w:val="0"/>
              <w:jc w:val="both"/>
              <w:rPr>
                <w:rFonts w:eastAsia="Times New Roman" w:cs="Arial"/>
                <w:color w:val="000000"/>
                <w:szCs w:val="22"/>
                <w:lang w:eastAsia="en-GB"/>
              </w:rPr>
            </w:pPr>
            <w:r w:rsidRPr="00305DD9">
              <w:rPr>
                <w:rFonts w:eastAsia="Times New Roman" w:cs="Arial"/>
                <w:color w:val="000000"/>
                <w:szCs w:val="22"/>
                <w:lang w:eastAsia="en-GB"/>
              </w:rPr>
              <w:t>T.B.C</w:t>
            </w:r>
          </w:p>
        </w:tc>
        <w:tc>
          <w:tcPr>
            <w:tcW w:w="5386" w:type="dxa"/>
          </w:tcPr>
          <w:p w14:paraId="230B596A" w14:textId="77777777" w:rsidR="004120BB" w:rsidRPr="00305DD9" w:rsidRDefault="004120BB" w:rsidP="00CB2C09">
            <w:pPr>
              <w:autoSpaceDE w:val="0"/>
              <w:autoSpaceDN w:val="0"/>
              <w:jc w:val="both"/>
              <w:rPr>
                <w:rFonts w:eastAsia="Times New Roman" w:cs="Arial"/>
                <w:color w:val="000000"/>
                <w:szCs w:val="22"/>
                <w:lang w:eastAsia="en-GB"/>
              </w:rPr>
            </w:pPr>
            <w:r w:rsidRPr="00305DD9">
              <w:rPr>
                <w:rFonts w:eastAsia="Times New Roman" w:cs="Arial"/>
                <w:color w:val="000000"/>
                <w:szCs w:val="22"/>
                <w:lang w:eastAsia="en-GB"/>
              </w:rPr>
              <w:t>Further phasing to be agreed as part of the transformation programme</w:t>
            </w:r>
          </w:p>
        </w:tc>
      </w:tr>
      <w:bookmarkEnd w:id="5"/>
    </w:tbl>
    <w:p w14:paraId="01A09112" w14:textId="77777777" w:rsidR="004120BB" w:rsidRPr="00305DD9" w:rsidRDefault="004120BB" w:rsidP="004120BB">
      <w:pPr>
        <w:autoSpaceDE w:val="0"/>
        <w:autoSpaceDN w:val="0"/>
        <w:adjustRightInd w:val="0"/>
        <w:ind w:left="1080"/>
        <w:jc w:val="both"/>
        <w:rPr>
          <w:rFonts w:eastAsia="Times New Roman" w:cs="Arial"/>
          <w:color w:val="000000"/>
          <w:szCs w:val="22"/>
          <w:lang w:eastAsia="en-GB"/>
        </w:rPr>
      </w:pPr>
    </w:p>
    <w:p w14:paraId="07EA1E7C" w14:textId="77777777" w:rsidR="004120BB" w:rsidRPr="00305DD9" w:rsidRDefault="004120BB" w:rsidP="004120BB">
      <w:pPr>
        <w:autoSpaceDE w:val="0"/>
        <w:autoSpaceDN w:val="0"/>
        <w:adjustRightInd w:val="0"/>
        <w:ind w:left="1080"/>
        <w:jc w:val="both"/>
        <w:rPr>
          <w:rFonts w:ascii="Calibri" w:eastAsia="Calibri" w:hAnsi="Calibri" w:cs="Calibri"/>
          <w:szCs w:val="22"/>
          <w:lang w:eastAsia="en-GB"/>
        </w:rPr>
      </w:pPr>
    </w:p>
    <w:p w14:paraId="3BA01E57" w14:textId="77777777" w:rsidR="004120BB" w:rsidRDefault="004120BB" w:rsidP="004120BB">
      <w:pPr>
        <w:autoSpaceDE w:val="0"/>
        <w:autoSpaceDN w:val="0"/>
        <w:adjustRightInd w:val="0"/>
        <w:ind w:left="1069"/>
        <w:jc w:val="both"/>
        <w:rPr>
          <w:rFonts w:eastAsia="Times New Roman" w:cs="Arial"/>
          <w:color w:val="000000"/>
          <w:szCs w:val="22"/>
          <w:lang w:eastAsia="en-GB"/>
        </w:rPr>
      </w:pPr>
    </w:p>
    <w:p w14:paraId="4FFB5E92" w14:textId="77777777" w:rsidR="004120BB" w:rsidRPr="009D2F15" w:rsidRDefault="004120BB" w:rsidP="004120BB">
      <w:pPr>
        <w:numPr>
          <w:ilvl w:val="0"/>
          <w:numId w:val="3"/>
        </w:numPr>
        <w:spacing w:after="200" w:line="276" w:lineRule="auto"/>
        <w:ind w:hanging="720"/>
        <w:jc w:val="both"/>
        <w:rPr>
          <w:rFonts w:eastAsia="Times New Roman" w:cs="Arial"/>
          <w:b/>
          <w:szCs w:val="22"/>
          <w:lang w:eastAsia="en-GB"/>
        </w:rPr>
      </w:pPr>
      <w:r w:rsidRPr="009D2F15">
        <w:rPr>
          <w:rFonts w:eastAsia="Times New Roman" w:cs="Arial"/>
          <w:b/>
          <w:szCs w:val="22"/>
          <w:lang w:eastAsia="en-GB"/>
        </w:rPr>
        <w:t xml:space="preserve">Personnel Requirements </w:t>
      </w:r>
    </w:p>
    <w:p w14:paraId="7967F64E" w14:textId="77777777" w:rsidR="004120BB" w:rsidRPr="009D2F15" w:rsidRDefault="004120BB" w:rsidP="004120BB">
      <w:pPr>
        <w:numPr>
          <w:ilvl w:val="1"/>
          <w:numId w:val="3"/>
        </w:numPr>
        <w:tabs>
          <w:tab w:val="left" w:pos="1134"/>
        </w:tabs>
        <w:spacing w:after="200" w:line="276" w:lineRule="auto"/>
        <w:ind w:hanging="780"/>
        <w:jc w:val="both"/>
        <w:rPr>
          <w:rFonts w:eastAsia="Times New Roman" w:cs="Arial"/>
          <w:szCs w:val="22"/>
          <w:lang w:eastAsia="en-GB"/>
        </w:rPr>
      </w:pPr>
      <w:r w:rsidRPr="009D2F15">
        <w:rPr>
          <w:rFonts w:eastAsia="Times New Roman" w:cs="Arial"/>
          <w:szCs w:val="22"/>
          <w:lang w:eastAsia="en-GB"/>
        </w:rPr>
        <w:t>Microsoft (AMP) and Cisco Gold partner who can provide technical</w:t>
      </w:r>
      <w:r>
        <w:rPr>
          <w:rFonts w:eastAsia="Times New Roman" w:cs="Arial"/>
          <w:szCs w:val="22"/>
          <w:lang w:eastAsia="en-GB"/>
        </w:rPr>
        <w:t xml:space="preserve"> expertise to complete the project end to end</w:t>
      </w:r>
    </w:p>
    <w:p w14:paraId="2461046D" w14:textId="77777777" w:rsidR="004120BB" w:rsidRPr="009D2F15" w:rsidRDefault="004120BB" w:rsidP="004120BB">
      <w:pPr>
        <w:numPr>
          <w:ilvl w:val="1"/>
          <w:numId w:val="3"/>
        </w:numPr>
        <w:tabs>
          <w:tab w:val="left" w:pos="1134"/>
        </w:tabs>
        <w:spacing w:after="200" w:line="276" w:lineRule="auto"/>
        <w:ind w:hanging="780"/>
        <w:jc w:val="both"/>
        <w:rPr>
          <w:rFonts w:eastAsia="Times New Roman" w:cs="Arial"/>
          <w:szCs w:val="22"/>
          <w:lang w:eastAsia="en-GB"/>
        </w:rPr>
      </w:pPr>
      <w:r w:rsidRPr="009D2F15">
        <w:rPr>
          <w:rFonts w:eastAsia="Times New Roman" w:cs="Arial"/>
          <w:szCs w:val="22"/>
          <w:lang w:eastAsia="en-GB"/>
        </w:rPr>
        <w:t>Azure Migration Specialist (AMP), recognised by Microsoft and able to gain access to available Microsoft funding to accelerate SBC’s journey to cloud</w:t>
      </w:r>
    </w:p>
    <w:p w14:paraId="38F38744" w14:textId="77777777" w:rsidR="004120BB" w:rsidRPr="009D2F15" w:rsidRDefault="004120BB" w:rsidP="004120BB">
      <w:pPr>
        <w:numPr>
          <w:ilvl w:val="1"/>
          <w:numId w:val="3"/>
        </w:numPr>
        <w:tabs>
          <w:tab w:val="left" w:pos="1134"/>
        </w:tabs>
        <w:spacing w:after="200" w:line="276" w:lineRule="auto"/>
        <w:ind w:hanging="780"/>
        <w:jc w:val="both"/>
        <w:rPr>
          <w:rFonts w:eastAsia="Times New Roman" w:cs="Arial"/>
          <w:szCs w:val="22"/>
          <w:lang w:eastAsia="en-GB"/>
        </w:rPr>
      </w:pPr>
      <w:r w:rsidRPr="009D2F15">
        <w:rPr>
          <w:rFonts w:eastAsia="Times New Roman" w:cs="Arial"/>
          <w:szCs w:val="22"/>
          <w:lang w:eastAsia="en-GB"/>
        </w:rPr>
        <w:t xml:space="preserve">Access to available resources as detailed within </w:t>
      </w:r>
      <w:r>
        <w:rPr>
          <w:rFonts w:eastAsia="Times New Roman" w:cs="Arial"/>
          <w:szCs w:val="22"/>
          <w:lang w:eastAsia="en-GB"/>
        </w:rPr>
        <w:t>CSP</w:t>
      </w:r>
      <w:r w:rsidRPr="009D2F15">
        <w:rPr>
          <w:rFonts w:eastAsia="Times New Roman" w:cs="Arial"/>
          <w:szCs w:val="22"/>
          <w:lang w:eastAsia="en-GB"/>
        </w:rPr>
        <w:t xml:space="preserve"> capacity</w:t>
      </w:r>
      <w:r>
        <w:rPr>
          <w:rFonts w:eastAsia="Times New Roman" w:cs="Arial"/>
          <w:szCs w:val="22"/>
          <w:lang w:eastAsia="en-GB"/>
        </w:rPr>
        <w:t xml:space="preserve"> to</w:t>
      </w:r>
      <w:r w:rsidRPr="009D2F15">
        <w:rPr>
          <w:rFonts w:eastAsia="Times New Roman" w:cs="Arial"/>
          <w:szCs w:val="22"/>
          <w:lang w:eastAsia="en-GB"/>
        </w:rPr>
        <w:t xml:space="preserve"> the required technical expertise to deliver on required </w:t>
      </w:r>
      <w:r>
        <w:rPr>
          <w:rFonts w:eastAsia="Times New Roman" w:cs="Arial"/>
          <w:szCs w:val="22"/>
          <w:lang w:eastAsia="en-GB"/>
        </w:rPr>
        <w:t xml:space="preserve">technical </w:t>
      </w:r>
      <w:r w:rsidRPr="009D2F15">
        <w:rPr>
          <w:rFonts w:eastAsia="Times New Roman" w:cs="Arial"/>
          <w:szCs w:val="22"/>
          <w:lang w:eastAsia="en-GB"/>
        </w:rPr>
        <w:t>outcomes.</w:t>
      </w:r>
    </w:p>
    <w:p w14:paraId="719901FC" w14:textId="611E98C5" w:rsidR="004120BB" w:rsidRDefault="004120BB" w:rsidP="004120BB">
      <w:pPr>
        <w:numPr>
          <w:ilvl w:val="1"/>
          <w:numId w:val="3"/>
        </w:numPr>
        <w:tabs>
          <w:tab w:val="left" w:pos="1134"/>
        </w:tabs>
        <w:spacing w:after="200" w:line="276" w:lineRule="auto"/>
        <w:ind w:hanging="780"/>
        <w:jc w:val="both"/>
        <w:rPr>
          <w:rFonts w:eastAsia="Times New Roman" w:cs="Arial"/>
          <w:szCs w:val="22"/>
          <w:lang w:eastAsia="en-GB"/>
        </w:rPr>
      </w:pPr>
      <w:r w:rsidRPr="00781E69">
        <w:rPr>
          <w:rFonts w:eastAsia="Times New Roman" w:cs="Arial"/>
          <w:szCs w:val="22"/>
          <w:lang w:eastAsia="en-GB"/>
        </w:rPr>
        <w:t>Full Project management</w:t>
      </w:r>
      <w:r>
        <w:rPr>
          <w:rFonts w:eastAsia="Times New Roman" w:cs="Arial"/>
          <w:szCs w:val="22"/>
          <w:lang w:eastAsia="en-GB"/>
        </w:rPr>
        <w:t xml:space="preserve"> capabilities and wrapping of the services for simplification of reporting on progress, impact, negotiation, and planning to SBC Technology Management.</w:t>
      </w:r>
      <w:r w:rsidR="000D4A58">
        <w:rPr>
          <w:rFonts w:eastAsia="Times New Roman" w:cs="Arial"/>
          <w:szCs w:val="22"/>
          <w:lang w:eastAsia="en-GB"/>
        </w:rPr>
        <w:t xml:space="preserve"> </w:t>
      </w:r>
    </w:p>
    <w:p w14:paraId="15EE08ED" w14:textId="77777777" w:rsidR="004120BB" w:rsidRDefault="004120BB" w:rsidP="004120BB">
      <w:pPr>
        <w:tabs>
          <w:tab w:val="left" w:pos="1134"/>
        </w:tabs>
        <w:spacing w:after="200" w:line="276" w:lineRule="auto"/>
        <w:jc w:val="both"/>
        <w:rPr>
          <w:rFonts w:eastAsia="Times New Roman" w:cs="Arial"/>
          <w:szCs w:val="22"/>
          <w:lang w:eastAsia="en-GB"/>
        </w:rPr>
      </w:pPr>
    </w:p>
    <w:p w14:paraId="67D9209F" w14:textId="77777777" w:rsidR="004120BB" w:rsidRDefault="004120BB" w:rsidP="004120BB">
      <w:pPr>
        <w:tabs>
          <w:tab w:val="left" w:pos="1134"/>
        </w:tabs>
        <w:spacing w:after="200" w:line="276" w:lineRule="auto"/>
        <w:jc w:val="both"/>
        <w:rPr>
          <w:rFonts w:eastAsia="Times New Roman" w:cs="Arial"/>
          <w:szCs w:val="22"/>
          <w:lang w:eastAsia="en-GB"/>
        </w:rPr>
      </w:pPr>
    </w:p>
    <w:p w14:paraId="0FC55A44" w14:textId="77777777" w:rsidR="004120BB" w:rsidRDefault="004120BB" w:rsidP="004120BB">
      <w:pPr>
        <w:tabs>
          <w:tab w:val="left" w:pos="1134"/>
        </w:tabs>
        <w:spacing w:after="200" w:line="276" w:lineRule="auto"/>
        <w:jc w:val="both"/>
        <w:rPr>
          <w:rFonts w:eastAsia="Times New Roman" w:cs="Arial"/>
          <w:szCs w:val="22"/>
          <w:lang w:eastAsia="en-GB"/>
        </w:rPr>
      </w:pPr>
    </w:p>
    <w:p w14:paraId="2124A8C3" w14:textId="77777777" w:rsidR="004120BB" w:rsidRDefault="004120BB" w:rsidP="004120BB">
      <w:pPr>
        <w:tabs>
          <w:tab w:val="left" w:pos="1134"/>
        </w:tabs>
        <w:spacing w:after="200" w:line="276" w:lineRule="auto"/>
        <w:jc w:val="both"/>
        <w:rPr>
          <w:rFonts w:eastAsia="Times New Roman" w:cs="Arial"/>
          <w:szCs w:val="22"/>
          <w:lang w:eastAsia="en-GB"/>
        </w:rPr>
      </w:pPr>
    </w:p>
    <w:p w14:paraId="166B1450" w14:textId="77777777" w:rsidR="004120BB" w:rsidRDefault="004120BB" w:rsidP="004120BB">
      <w:pPr>
        <w:tabs>
          <w:tab w:val="left" w:pos="1134"/>
        </w:tabs>
        <w:spacing w:after="200" w:line="276" w:lineRule="auto"/>
        <w:jc w:val="both"/>
        <w:rPr>
          <w:rFonts w:eastAsia="Times New Roman" w:cs="Arial"/>
          <w:szCs w:val="22"/>
          <w:lang w:eastAsia="en-GB"/>
        </w:rPr>
      </w:pPr>
    </w:p>
    <w:p w14:paraId="2F499DAB" w14:textId="77777777" w:rsidR="00EC3847" w:rsidRDefault="007A3275"/>
    <w:sectPr w:rsidR="00EC384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8B9E7" w14:textId="77777777" w:rsidR="00EF5732" w:rsidRDefault="00EF5732" w:rsidP="00EF5732">
      <w:r>
        <w:separator/>
      </w:r>
    </w:p>
  </w:endnote>
  <w:endnote w:type="continuationSeparator" w:id="0">
    <w:p w14:paraId="039760E3" w14:textId="77777777" w:rsidR="00EF5732" w:rsidRDefault="00EF5732" w:rsidP="00EF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0FAF" w14:textId="77777777" w:rsidR="00EF5732" w:rsidRDefault="00EF5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00C2" w14:textId="77777777" w:rsidR="00EF5732" w:rsidRDefault="00EF5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1D1C" w14:textId="77777777" w:rsidR="00EF5732" w:rsidRDefault="00EF5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A006A" w14:textId="77777777" w:rsidR="00EF5732" w:rsidRDefault="00EF5732" w:rsidP="00EF5732">
      <w:r>
        <w:separator/>
      </w:r>
    </w:p>
  </w:footnote>
  <w:footnote w:type="continuationSeparator" w:id="0">
    <w:p w14:paraId="523C40AC" w14:textId="77777777" w:rsidR="00EF5732" w:rsidRDefault="00EF5732" w:rsidP="00EF5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D06F" w14:textId="69D7EB73" w:rsidR="00EF5732" w:rsidRDefault="007A3275">
    <w:pPr>
      <w:pStyle w:val="Header"/>
    </w:pPr>
    <w:r>
      <w:rPr>
        <w:noProof/>
      </w:rPr>
      <w:pict w14:anchorId="0AB557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434016"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47192" w14:textId="7F65EADF" w:rsidR="00EF5732" w:rsidRDefault="007A3275">
    <w:pPr>
      <w:pStyle w:val="Header"/>
    </w:pPr>
    <w:r>
      <w:rPr>
        <w:noProof/>
      </w:rPr>
      <w:pict w14:anchorId="07D13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434017"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1DE7" w14:textId="274FA729" w:rsidR="00EF5732" w:rsidRDefault="007A3275">
    <w:pPr>
      <w:pStyle w:val="Header"/>
    </w:pPr>
    <w:r>
      <w:rPr>
        <w:noProof/>
      </w:rPr>
      <w:pict w14:anchorId="1722A6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434015"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01AD"/>
    <w:multiLevelType w:val="hybridMultilevel"/>
    <w:tmpl w:val="163AF3FC"/>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15F800BE"/>
    <w:multiLevelType w:val="hybridMultilevel"/>
    <w:tmpl w:val="2C6EE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1422F2"/>
    <w:multiLevelType w:val="multilevel"/>
    <w:tmpl w:val="531A66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27B3BF6"/>
    <w:multiLevelType w:val="multilevel"/>
    <w:tmpl w:val="2E54BAF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1200365"/>
    <w:multiLevelType w:val="multilevel"/>
    <w:tmpl w:val="113C73C2"/>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b w:val="0"/>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5" w15:restartNumberingAfterBreak="0">
    <w:nsid w:val="74010DD2"/>
    <w:multiLevelType w:val="multilevel"/>
    <w:tmpl w:val="6D5A6D3A"/>
    <w:lvl w:ilvl="0">
      <w:start w:val="5"/>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BB"/>
    <w:rsid w:val="0000384D"/>
    <w:rsid w:val="00011807"/>
    <w:rsid w:val="00027770"/>
    <w:rsid w:val="0003406F"/>
    <w:rsid w:val="00045113"/>
    <w:rsid w:val="00067A6F"/>
    <w:rsid w:val="00070A2A"/>
    <w:rsid w:val="000A3D9F"/>
    <w:rsid w:val="000C6727"/>
    <w:rsid w:val="000D4A58"/>
    <w:rsid w:val="000E0453"/>
    <w:rsid w:val="000E3C95"/>
    <w:rsid w:val="000E4438"/>
    <w:rsid w:val="001062CB"/>
    <w:rsid w:val="001522D4"/>
    <w:rsid w:val="001621A0"/>
    <w:rsid w:val="00183106"/>
    <w:rsid w:val="001914DE"/>
    <w:rsid w:val="001B1E74"/>
    <w:rsid w:val="001B70A1"/>
    <w:rsid w:val="001C5D97"/>
    <w:rsid w:val="001E7B4C"/>
    <w:rsid w:val="00214583"/>
    <w:rsid w:val="002273C2"/>
    <w:rsid w:val="00276647"/>
    <w:rsid w:val="002E18DF"/>
    <w:rsid w:val="0032004C"/>
    <w:rsid w:val="00335DDC"/>
    <w:rsid w:val="0035436B"/>
    <w:rsid w:val="00373B13"/>
    <w:rsid w:val="00390BF0"/>
    <w:rsid w:val="003A288E"/>
    <w:rsid w:val="003B3F46"/>
    <w:rsid w:val="003C63C9"/>
    <w:rsid w:val="004120BB"/>
    <w:rsid w:val="004121C6"/>
    <w:rsid w:val="00413B55"/>
    <w:rsid w:val="00414AE3"/>
    <w:rsid w:val="00471E26"/>
    <w:rsid w:val="00485838"/>
    <w:rsid w:val="004860C2"/>
    <w:rsid w:val="00492AEB"/>
    <w:rsid w:val="004F245F"/>
    <w:rsid w:val="0050557D"/>
    <w:rsid w:val="0052039A"/>
    <w:rsid w:val="0052462D"/>
    <w:rsid w:val="00527D17"/>
    <w:rsid w:val="005561D7"/>
    <w:rsid w:val="00580435"/>
    <w:rsid w:val="00592542"/>
    <w:rsid w:val="00595D52"/>
    <w:rsid w:val="005A7EED"/>
    <w:rsid w:val="005D1F6A"/>
    <w:rsid w:val="005D3C1D"/>
    <w:rsid w:val="005E17BC"/>
    <w:rsid w:val="00651A31"/>
    <w:rsid w:val="006612B2"/>
    <w:rsid w:val="00677653"/>
    <w:rsid w:val="00693BD9"/>
    <w:rsid w:val="0069632C"/>
    <w:rsid w:val="00697EE8"/>
    <w:rsid w:val="006B77AA"/>
    <w:rsid w:val="006D1FC3"/>
    <w:rsid w:val="0071235B"/>
    <w:rsid w:val="00742C67"/>
    <w:rsid w:val="0075500C"/>
    <w:rsid w:val="00756419"/>
    <w:rsid w:val="00765357"/>
    <w:rsid w:val="0077513C"/>
    <w:rsid w:val="007A3275"/>
    <w:rsid w:val="007F316F"/>
    <w:rsid w:val="00800AE0"/>
    <w:rsid w:val="00844363"/>
    <w:rsid w:val="00851A1A"/>
    <w:rsid w:val="0088606C"/>
    <w:rsid w:val="008B30AF"/>
    <w:rsid w:val="00936BBD"/>
    <w:rsid w:val="0094224C"/>
    <w:rsid w:val="009800B2"/>
    <w:rsid w:val="00982548"/>
    <w:rsid w:val="0098388A"/>
    <w:rsid w:val="00984CDD"/>
    <w:rsid w:val="00992C9E"/>
    <w:rsid w:val="009B09C8"/>
    <w:rsid w:val="009D4F98"/>
    <w:rsid w:val="009F6B31"/>
    <w:rsid w:val="00A16285"/>
    <w:rsid w:val="00A25C64"/>
    <w:rsid w:val="00A35F45"/>
    <w:rsid w:val="00A40EB2"/>
    <w:rsid w:val="00A73C45"/>
    <w:rsid w:val="00A74FD5"/>
    <w:rsid w:val="00A90015"/>
    <w:rsid w:val="00AA26E5"/>
    <w:rsid w:val="00AA5A21"/>
    <w:rsid w:val="00AB43E3"/>
    <w:rsid w:val="00AB6085"/>
    <w:rsid w:val="00AE536A"/>
    <w:rsid w:val="00AE54B4"/>
    <w:rsid w:val="00B17C15"/>
    <w:rsid w:val="00B244AD"/>
    <w:rsid w:val="00B512B7"/>
    <w:rsid w:val="00B651E8"/>
    <w:rsid w:val="00B864B9"/>
    <w:rsid w:val="00BB21EA"/>
    <w:rsid w:val="00C2340D"/>
    <w:rsid w:val="00C2372A"/>
    <w:rsid w:val="00C3449C"/>
    <w:rsid w:val="00C743AF"/>
    <w:rsid w:val="00C74B07"/>
    <w:rsid w:val="00CD2CAC"/>
    <w:rsid w:val="00CF07A7"/>
    <w:rsid w:val="00CF2BBF"/>
    <w:rsid w:val="00D3297A"/>
    <w:rsid w:val="00D33950"/>
    <w:rsid w:val="00D91CF7"/>
    <w:rsid w:val="00DB75EC"/>
    <w:rsid w:val="00DE78EF"/>
    <w:rsid w:val="00E07732"/>
    <w:rsid w:val="00E21A97"/>
    <w:rsid w:val="00E2216F"/>
    <w:rsid w:val="00E24C6D"/>
    <w:rsid w:val="00E3196A"/>
    <w:rsid w:val="00E4169D"/>
    <w:rsid w:val="00E417DE"/>
    <w:rsid w:val="00E44856"/>
    <w:rsid w:val="00E53725"/>
    <w:rsid w:val="00E6032E"/>
    <w:rsid w:val="00E67605"/>
    <w:rsid w:val="00E91984"/>
    <w:rsid w:val="00EA0779"/>
    <w:rsid w:val="00EB0764"/>
    <w:rsid w:val="00EB50DF"/>
    <w:rsid w:val="00EB7659"/>
    <w:rsid w:val="00EC7574"/>
    <w:rsid w:val="00ED5E72"/>
    <w:rsid w:val="00EE2690"/>
    <w:rsid w:val="00EF5732"/>
    <w:rsid w:val="00F275FF"/>
    <w:rsid w:val="00F43924"/>
    <w:rsid w:val="00F45B0F"/>
    <w:rsid w:val="00F53749"/>
    <w:rsid w:val="00F729D5"/>
    <w:rsid w:val="00F810E6"/>
    <w:rsid w:val="00F973C5"/>
    <w:rsid w:val="00F9758D"/>
    <w:rsid w:val="00FB12AC"/>
    <w:rsid w:val="00FC2926"/>
    <w:rsid w:val="00FD3C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B518A2"/>
  <w15:chartTrackingRefBased/>
  <w15:docId w15:val="{AB4BF03A-353C-414F-8A38-9D3334D8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0BB"/>
    <w:pPr>
      <w:spacing w:after="0" w:line="240" w:lineRule="auto"/>
    </w:pPr>
    <w:rPr>
      <w:rFonts w:ascii="Arial" w:eastAsia="SimSun" w:hAnsi="Arial" w:cs="Times New Roman"/>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qFormat/>
    <w:rsid w:val="004120BB"/>
    <w:pPr>
      <w:keepNext/>
      <w:numPr>
        <w:numId w:val="5"/>
      </w:numPr>
      <w:adjustRightInd w:val="0"/>
      <w:spacing w:after="240"/>
      <w:jc w:val="both"/>
      <w:outlineLvl w:val="0"/>
    </w:pPr>
    <w:rPr>
      <w:rFonts w:eastAsia="STZhongsong"/>
      <w:b/>
      <w:caps/>
      <w:szCs w:val="20"/>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qFormat/>
    <w:rsid w:val="004120BB"/>
    <w:pPr>
      <w:numPr>
        <w:ilvl w:val="1"/>
        <w:numId w:val="5"/>
      </w:numPr>
      <w:adjustRightInd w:val="0"/>
      <w:spacing w:after="240"/>
      <w:jc w:val="both"/>
      <w:outlineLvl w:val="1"/>
    </w:pPr>
    <w:rPr>
      <w:rFonts w:eastAsia="STZhongsong"/>
      <w:szCs w:val="20"/>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qFormat/>
    <w:rsid w:val="004120BB"/>
    <w:pPr>
      <w:numPr>
        <w:ilvl w:val="2"/>
        <w:numId w:val="5"/>
      </w:numPr>
      <w:adjustRightInd w:val="0"/>
      <w:spacing w:after="240"/>
      <w:jc w:val="both"/>
      <w:outlineLvl w:val="2"/>
    </w:pPr>
    <w:rPr>
      <w:rFonts w:eastAsia="STZhongsong"/>
      <w:szCs w:val="20"/>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qFormat/>
    <w:rsid w:val="004120BB"/>
    <w:pPr>
      <w:numPr>
        <w:ilvl w:val="3"/>
        <w:numId w:val="5"/>
      </w:numPr>
      <w:adjustRightInd w:val="0"/>
      <w:spacing w:after="240"/>
      <w:jc w:val="both"/>
      <w:outlineLvl w:val="3"/>
    </w:pPr>
    <w:rPr>
      <w:rFonts w:eastAsia="STZhongsong"/>
      <w:szCs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4120BB"/>
    <w:pPr>
      <w:numPr>
        <w:ilvl w:val="4"/>
        <w:numId w:val="5"/>
      </w:numPr>
      <w:adjustRightInd w:val="0"/>
      <w:spacing w:after="240"/>
      <w:jc w:val="both"/>
      <w:outlineLvl w:val="4"/>
    </w:pPr>
    <w:rPr>
      <w:rFonts w:eastAsia="STZhongsong"/>
      <w:szCs w:val="20"/>
    </w:rPr>
  </w:style>
  <w:style w:type="paragraph" w:styleId="Heading6">
    <w:name w:val="heading 6"/>
    <w:aliases w:val="Heading 6 (Do Not Use),Heading 6(unused),Legal Level 1.,L1 PIP,Heading 6  Appendix Y &amp; Z,Lev 6,H6 DO NOT USE,Bullet list,PA Appendix,H6,H61,PR14"/>
    <w:basedOn w:val="Normal"/>
    <w:link w:val="Heading6Char"/>
    <w:qFormat/>
    <w:rsid w:val="004120BB"/>
    <w:pPr>
      <w:numPr>
        <w:ilvl w:val="5"/>
        <w:numId w:val="5"/>
      </w:numPr>
      <w:adjustRightInd w:val="0"/>
      <w:spacing w:after="240"/>
      <w:jc w:val="both"/>
      <w:outlineLvl w:val="5"/>
    </w:pPr>
    <w:rPr>
      <w:rFonts w:eastAsia="STZhongsong"/>
      <w:szCs w:val="20"/>
    </w:rPr>
  </w:style>
  <w:style w:type="paragraph" w:styleId="Heading7">
    <w:name w:val="heading 7"/>
    <w:aliases w:val="Heading 7 (Do Not Use),Heading 7(unused),Legal Level 1.1.,L2 PIP,Lev 7,H7DO NOT USE,PA Appendix Major"/>
    <w:basedOn w:val="Normal"/>
    <w:link w:val="Heading7Char"/>
    <w:qFormat/>
    <w:rsid w:val="004120BB"/>
    <w:pPr>
      <w:numPr>
        <w:ilvl w:val="6"/>
        <w:numId w:val="5"/>
      </w:numPr>
      <w:adjustRightInd w:val="0"/>
      <w:spacing w:after="240"/>
      <w:jc w:val="both"/>
      <w:outlineLvl w:val="6"/>
    </w:pPr>
    <w:rPr>
      <w:rFonts w:eastAsia="STZhongsong"/>
      <w:szCs w:val="20"/>
    </w:rPr>
  </w:style>
  <w:style w:type="paragraph" w:styleId="Heading8">
    <w:name w:val="heading 8"/>
    <w:aliases w:val="Heading 8 (Do Not Use),Legal Level 1.1.1.,Lev 8,h8 DO NOT USE,PA Appendix Minor"/>
    <w:basedOn w:val="Normal"/>
    <w:link w:val="Heading8Char"/>
    <w:qFormat/>
    <w:rsid w:val="004120BB"/>
    <w:pPr>
      <w:numPr>
        <w:ilvl w:val="7"/>
        <w:numId w:val="5"/>
      </w:numPr>
      <w:adjustRightInd w:val="0"/>
      <w:spacing w:after="240"/>
      <w:jc w:val="both"/>
      <w:outlineLvl w:val="7"/>
    </w:pPr>
    <w:rPr>
      <w:rFonts w:eastAsia="STZhongsong"/>
      <w:szCs w:val="20"/>
    </w:rPr>
  </w:style>
  <w:style w:type="paragraph" w:styleId="Heading9">
    <w:name w:val="heading 9"/>
    <w:aliases w:val="Heading 9 (Do Not Use),Heading 9 (defunct),Legal Level 1.1.1.1.,Lev 9,h9 DO NOT USE,App Heading,Titre 10,App1"/>
    <w:basedOn w:val="Normal"/>
    <w:link w:val="Heading9Char"/>
    <w:qFormat/>
    <w:rsid w:val="004120BB"/>
    <w:pPr>
      <w:numPr>
        <w:ilvl w:val="8"/>
        <w:numId w:val="5"/>
      </w:numPr>
      <w:adjustRightInd w:val="0"/>
      <w:spacing w:after="240"/>
      <w:jc w:val="both"/>
      <w:outlineLvl w:val="8"/>
    </w:pPr>
    <w:rPr>
      <w:rFonts w:eastAsia="STZhongsong"/>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4120BB"/>
    <w:rPr>
      <w:rFonts w:ascii="Arial" w:eastAsia="STZhongsong" w:hAnsi="Arial" w:cs="Times New Roman"/>
      <w:b/>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4120BB"/>
    <w:rPr>
      <w:rFonts w:ascii="Arial" w:eastAsia="STZhongsong" w:hAnsi="Arial" w:cs="Times New Roman"/>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4120BB"/>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4120BB"/>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4120BB"/>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4120BB"/>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4120BB"/>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rsid w:val="004120BB"/>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rsid w:val="004120BB"/>
    <w:rPr>
      <w:rFonts w:ascii="Arial" w:eastAsia="STZhongsong" w:hAnsi="Arial" w:cs="Times New Roman"/>
      <w:szCs w:val="20"/>
      <w:lang w:eastAsia="zh-CN"/>
    </w:rPr>
  </w:style>
  <w:style w:type="table" w:customStyle="1" w:styleId="TableGrid2">
    <w:name w:val="Table Grid2"/>
    <w:basedOn w:val="TableNormal"/>
    <w:next w:val="TableGrid"/>
    <w:uiPriority w:val="59"/>
    <w:rsid w:val="00412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12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406F"/>
    <w:pPr>
      <w:spacing w:after="0" w:line="240" w:lineRule="auto"/>
    </w:pPr>
    <w:rPr>
      <w:rFonts w:ascii="Arial" w:eastAsia="SimSun" w:hAnsi="Arial" w:cs="Times New Roman"/>
      <w:szCs w:val="24"/>
      <w:lang w:eastAsia="zh-CN"/>
    </w:rPr>
  </w:style>
  <w:style w:type="character" w:styleId="CommentReference">
    <w:name w:val="annotation reference"/>
    <w:basedOn w:val="DefaultParagraphFont"/>
    <w:uiPriority w:val="99"/>
    <w:semiHidden/>
    <w:unhideWhenUsed/>
    <w:rsid w:val="00AB43E3"/>
    <w:rPr>
      <w:sz w:val="16"/>
      <w:szCs w:val="16"/>
    </w:rPr>
  </w:style>
  <w:style w:type="paragraph" w:styleId="CommentText">
    <w:name w:val="annotation text"/>
    <w:basedOn w:val="Normal"/>
    <w:link w:val="CommentTextChar"/>
    <w:uiPriority w:val="99"/>
    <w:unhideWhenUsed/>
    <w:rsid w:val="00AB43E3"/>
    <w:rPr>
      <w:sz w:val="20"/>
      <w:szCs w:val="20"/>
    </w:rPr>
  </w:style>
  <w:style w:type="character" w:customStyle="1" w:styleId="CommentTextChar">
    <w:name w:val="Comment Text Char"/>
    <w:basedOn w:val="DefaultParagraphFont"/>
    <w:link w:val="CommentText"/>
    <w:uiPriority w:val="99"/>
    <w:rsid w:val="00AB43E3"/>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AB43E3"/>
    <w:rPr>
      <w:b/>
      <w:bCs/>
    </w:rPr>
  </w:style>
  <w:style w:type="character" w:customStyle="1" w:styleId="CommentSubjectChar">
    <w:name w:val="Comment Subject Char"/>
    <w:basedOn w:val="CommentTextChar"/>
    <w:link w:val="CommentSubject"/>
    <w:uiPriority w:val="99"/>
    <w:semiHidden/>
    <w:rsid w:val="00AB43E3"/>
    <w:rPr>
      <w:rFonts w:ascii="Arial" w:eastAsia="SimSun" w:hAnsi="Arial" w:cs="Times New Roman"/>
      <w:b/>
      <w:bCs/>
      <w:sz w:val="20"/>
      <w:szCs w:val="20"/>
      <w:lang w:eastAsia="zh-CN"/>
    </w:rPr>
  </w:style>
  <w:style w:type="paragraph" w:styleId="ListParagraph">
    <w:name w:val="List Paragraph"/>
    <w:basedOn w:val="Normal"/>
    <w:uiPriority w:val="34"/>
    <w:qFormat/>
    <w:rsid w:val="001621A0"/>
    <w:pPr>
      <w:ind w:left="720"/>
      <w:contextualSpacing/>
    </w:pPr>
  </w:style>
  <w:style w:type="paragraph" w:styleId="Header">
    <w:name w:val="header"/>
    <w:basedOn w:val="Normal"/>
    <w:link w:val="HeaderChar"/>
    <w:uiPriority w:val="99"/>
    <w:unhideWhenUsed/>
    <w:rsid w:val="00EF5732"/>
    <w:pPr>
      <w:tabs>
        <w:tab w:val="center" w:pos="4513"/>
        <w:tab w:val="right" w:pos="9026"/>
      </w:tabs>
    </w:pPr>
  </w:style>
  <w:style w:type="character" w:customStyle="1" w:styleId="HeaderChar">
    <w:name w:val="Header Char"/>
    <w:basedOn w:val="DefaultParagraphFont"/>
    <w:link w:val="Header"/>
    <w:uiPriority w:val="99"/>
    <w:rsid w:val="00EF5732"/>
    <w:rPr>
      <w:rFonts w:ascii="Arial" w:eastAsia="SimSun" w:hAnsi="Arial" w:cs="Times New Roman"/>
      <w:szCs w:val="24"/>
      <w:lang w:eastAsia="zh-CN"/>
    </w:rPr>
  </w:style>
  <w:style w:type="paragraph" w:styleId="Footer">
    <w:name w:val="footer"/>
    <w:basedOn w:val="Normal"/>
    <w:link w:val="FooterChar"/>
    <w:uiPriority w:val="99"/>
    <w:unhideWhenUsed/>
    <w:rsid w:val="00EF5732"/>
    <w:pPr>
      <w:tabs>
        <w:tab w:val="center" w:pos="4513"/>
        <w:tab w:val="right" w:pos="9026"/>
      </w:tabs>
    </w:pPr>
  </w:style>
  <w:style w:type="character" w:customStyle="1" w:styleId="FooterChar">
    <w:name w:val="Footer Char"/>
    <w:basedOn w:val="DefaultParagraphFont"/>
    <w:link w:val="Footer"/>
    <w:uiPriority w:val="99"/>
    <w:rsid w:val="00EF5732"/>
    <w:rPr>
      <w:rFonts w:ascii="Arial" w:eastAsia="SimSun" w:hAnsi="Arial"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540f85-6941-40f2-a9f7-287b4932d206">
      <UserInfo>
        <DisplayName>Gillian Shine</DisplayName>
        <AccountId>290</AccountId>
        <AccountType/>
      </UserInfo>
      <UserInfo>
        <DisplayName>Ian Andrews</DisplayName>
        <AccountId>453</AccountId>
        <AccountType/>
      </UserInfo>
      <UserInfo>
        <DisplayName>Niki Mistry</DisplayName>
        <AccountId>298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05EDAE862BA24C8AC585E2FFADCFDE" ma:contentTypeVersion="13" ma:contentTypeDescription="Create a new document." ma:contentTypeScope="" ma:versionID="689bb343e65e344d949bf158f84e144c">
  <xsd:schema xmlns:xsd="http://www.w3.org/2001/XMLSchema" xmlns:xs="http://www.w3.org/2001/XMLSchema" xmlns:p="http://schemas.microsoft.com/office/2006/metadata/properties" xmlns:ns2="1cdbd89b-7ba7-4731-9774-19e9d929b447" xmlns:ns3="ac540f85-6941-40f2-a9f7-287b4932d206" targetNamespace="http://schemas.microsoft.com/office/2006/metadata/properties" ma:root="true" ma:fieldsID="ba09966564caf88053c8d9ff40f74b29" ns2:_="" ns3:_="">
    <xsd:import namespace="1cdbd89b-7ba7-4731-9774-19e9d929b447"/>
    <xsd:import namespace="ac540f85-6941-40f2-a9f7-287b4932d2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bd89b-7ba7-4731-9774-19e9d929b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540f85-6941-40f2-a9f7-287b4932d2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464C12-3F18-4176-A69E-F6B182D69575}">
  <ds:schemaRefs>
    <ds:schemaRef ds:uri="ac540f85-6941-40f2-a9f7-287b4932d206"/>
    <ds:schemaRef ds:uri="http://schemas.microsoft.com/office/2006/metadata/properties"/>
    <ds:schemaRef ds:uri="http://purl.org/dc/terms/"/>
    <ds:schemaRef ds:uri="http://purl.org/dc/dcmitype/"/>
    <ds:schemaRef ds:uri="1cdbd89b-7ba7-4731-9774-19e9d929b447"/>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9AFD706-A046-4E8A-96D9-841729C5CC29}">
  <ds:schemaRefs>
    <ds:schemaRef ds:uri="http://schemas.microsoft.com/sharepoint/v3/contenttype/forms"/>
  </ds:schemaRefs>
</ds:datastoreItem>
</file>

<file path=customXml/itemProps3.xml><?xml version="1.0" encoding="utf-8"?>
<ds:datastoreItem xmlns:ds="http://schemas.openxmlformats.org/officeDocument/2006/customXml" ds:itemID="{BAA82818-34BB-4619-A231-3BDC55270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bd89b-7ba7-4731-9774-19e9d929b447"/>
    <ds:schemaRef ds:uri="ac540f85-6941-40f2-a9f7-287b4932d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1060</Words>
  <Characters>6045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Brown</dc:creator>
  <cp:keywords/>
  <dc:description/>
  <cp:lastModifiedBy>Gillian Shine</cp:lastModifiedBy>
  <cp:revision>2</cp:revision>
  <dcterms:created xsi:type="dcterms:W3CDTF">2021-11-30T12:18:00Z</dcterms:created>
  <dcterms:modified xsi:type="dcterms:W3CDTF">2021-11-30T12:18:00Z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0x0101002805EDAE862BA24C8AC585E2FFADCFDE</vt:lpwstr>
  </property>
</Properties>
</file>