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Pricing Schedule - Medical Advisory Service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spacing w:before="302.816162109375" w:line="264.3591785430908" w:lineRule="auto"/>
        <w:ind w:left="-141.73228346456688" w:right="848.14208984375" w:firstLine="0"/>
        <w:jc w:val="both"/>
        <w:rPr/>
      </w:pPr>
      <w:r w:rsidDel="00000000" w:rsidR="00000000" w:rsidRPr="00000000">
        <w:rPr>
          <w:rtl w:val="0"/>
        </w:rPr>
        <w:t xml:space="preserve">The Council requires the Supplier to deliver up to 520 units (1 unit = 1 case) of advice/reports per annum. Each unit requires the full completion of one Medical Assessment Form. Any further requirements over and above the 520 units will be paid on an activity driven basis in arrears according to usage. </w:t>
      </w:r>
    </w:p>
    <w:p w:rsidR="00000000" w:rsidDel="00000000" w:rsidP="00000000" w:rsidRDefault="00000000" w:rsidRPr="00000000" w14:paraId="00000004">
      <w:pPr>
        <w:widowControl w:val="0"/>
        <w:spacing w:before="328.01025390625" w:line="240" w:lineRule="auto"/>
        <w:ind w:left="-141.73228346456688" w:firstLine="0"/>
        <w:rPr>
          <w:b w:val="1"/>
          <w:sz w:val="24"/>
          <w:szCs w:val="24"/>
        </w:rPr>
      </w:pPr>
      <w:r w:rsidDel="00000000" w:rsidR="00000000" w:rsidRPr="00000000">
        <w:rPr>
          <w:b w:val="1"/>
          <w:sz w:val="24"/>
          <w:szCs w:val="24"/>
          <w:rtl w:val="0"/>
        </w:rPr>
        <w:t xml:space="preserve">Table 1: Price submission </w:t>
      </w:r>
    </w:p>
    <w:p w:rsidR="00000000" w:rsidDel="00000000" w:rsidP="00000000" w:rsidRDefault="00000000" w:rsidRPr="00000000" w14:paraId="00000005">
      <w:pPr>
        <w:widowControl w:val="0"/>
        <w:spacing w:before="227.60498046875" w:line="240" w:lineRule="auto"/>
        <w:ind w:left="0" w:firstLine="0"/>
        <w:rPr>
          <w:b w:val="1"/>
        </w:rPr>
      </w:pPr>
      <w:r w:rsidDel="00000000" w:rsidR="00000000" w:rsidRPr="00000000">
        <w:rPr>
          <w:b w:val="1"/>
          <w:rtl w:val="0"/>
        </w:rPr>
        <w:t xml:space="preserve">Medical Adviser Service: Price Matrix </w:t>
      </w:r>
    </w:p>
    <w:tbl>
      <w:tblPr>
        <w:tblStyle w:val="Table1"/>
        <w:tblW w:w="9750.0" w:type="dxa"/>
        <w:jc w:val="left"/>
        <w:tblInd w:w="-17.31998443603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0"/>
        <w:gridCol w:w="1800"/>
        <w:tblGridChange w:id="0">
          <w:tblGrid>
            <w:gridCol w:w="7950"/>
            <w:gridCol w:w="1800"/>
          </w:tblGrid>
        </w:tblGridChange>
      </w:tblGrid>
      <w:tr>
        <w:trPr>
          <w:cantSplit w:val="0"/>
          <w:trHeight w:val="3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ind w:left="-1700.7874015748032" w:hanging="1695.0000000000002"/>
              <w:rPr>
                <w:b w:val="1"/>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right="162.9766845703125"/>
              <w:jc w:val="right"/>
              <w:rPr>
                <w:b w:val="1"/>
              </w:rPr>
            </w:pPr>
            <w:r w:rsidDel="00000000" w:rsidR="00000000" w:rsidRPr="00000000">
              <w:rPr>
                <w:b w:val="1"/>
                <w:rtl w:val="0"/>
              </w:rPr>
              <w:t xml:space="preserve">Item 1 - Up to </w:t>
            </w:r>
          </w:p>
          <w:p w:rsidR="00000000" w:rsidDel="00000000" w:rsidP="00000000" w:rsidRDefault="00000000" w:rsidRPr="00000000" w14:paraId="00000009">
            <w:pPr>
              <w:widowControl w:val="0"/>
              <w:spacing w:before="34.237060546875" w:line="240" w:lineRule="auto"/>
              <w:ind w:right="126.4794921875"/>
              <w:jc w:val="right"/>
              <w:rPr>
                <w:b w:val="1"/>
              </w:rPr>
            </w:pPr>
            <w:r w:rsidDel="00000000" w:rsidR="00000000" w:rsidRPr="00000000">
              <w:rPr>
                <w:b w:val="1"/>
                <w:rtl w:val="0"/>
              </w:rPr>
              <w:t xml:space="preserve">and including </w:t>
            </w:r>
          </w:p>
          <w:p w:rsidR="00000000" w:rsidDel="00000000" w:rsidP="00000000" w:rsidRDefault="00000000" w:rsidRPr="00000000" w14:paraId="0000000A">
            <w:pPr>
              <w:widowControl w:val="0"/>
              <w:spacing w:before="34.197998046875" w:line="240" w:lineRule="auto"/>
              <w:ind w:right="657.4920654296875"/>
              <w:jc w:val="right"/>
              <w:rPr>
                <w:b w:val="1"/>
              </w:rPr>
            </w:pPr>
            <w:r w:rsidDel="00000000" w:rsidR="00000000" w:rsidRPr="00000000">
              <w:rPr>
                <w:b w:val="1"/>
                <w:rtl w:val="0"/>
              </w:rPr>
              <w:t xml:space="preserve">520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79.959716796875" w:firstLine="0"/>
              <w:rPr>
                <w:b w:val="1"/>
              </w:rPr>
            </w:pPr>
            <w:r w:rsidDel="00000000" w:rsidR="00000000" w:rsidRPr="00000000">
              <w:rPr>
                <w:b w:val="1"/>
                <w:rtl w:val="0"/>
              </w:rPr>
              <w:t xml:space="preserve">Item 2 - 521 </w:t>
            </w:r>
          </w:p>
          <w:p w:rsidR="00000000" w:rsidDel="00000000" w:rsidP="00000000" w:rsidRDefault="00000000" w:rsidRPr="00000000" w14:paraId="0000000C">
            <w:pPr>
              <w:widowControl w:val="0"/>
              <w:spacing w:before="34.237060546875" w:line="240" w:lineRule="auto"/>
              <w:ind w:left="80.1800537109375" w:firstLine="0"/>
              <w:rPr>
                <w:b w:val="1"/>
              </w:rPr>
            </w:pPr>
            <w:r w:rsidDel="00000000" w:rsidR="00000000" w:rsidRPr="00000000">
              <w:rPr>
                <w:b w:val="1"/>
                <w:rtl w:val="0"/>
              </w:rPr>
              <w:t xml:space="preserve">units and over</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71.06002807617188" w:firstLine="0"/>
              <w:rPr>
                <w:b w:val="1"/>
              </w:rPr>
            </w:pPr>
            <w:r w:rsidDel="00000000" w:rsidR="00000000" w:rsidRPr="00000000">
              <w:rPr>
                <w:b w:val="1"/>
                <w:rtl w:val="0"/>
              </w:rPr>
              <w:t xml:space="preserve">Bidder's Prices (excl VAT)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w:t>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59.62005615234375" w:firstLine="0"/>
              <w:rPr>
                <w:b w:val="1"/>
              </w:rPr>
            </w:pPr>
            <w:r w:rsidDel="00000000" w:rsidR="00000000" w:rsidRPr="00000000">
              <w:rPr>
                <w:b w:val="1"/>
                <w:rtl w:val="0"/>
              </w:rPr>
              <w:t xml:space="preserve">Total Indicative Tender Price: Below and </w:t>
            </w:r>
          </w:p>
          <w:p w:rsidR="00000000" w:rsidDel="00000000" w:rsidP="00000000" w:rsidRDefault="00000000" w:rsidRPr="00000000" w14:paraId="00000010">
            <w:pPr>
              <w:widowControl w:val="0"/>
              <w:spacing w:before="34.1973876953125" w:line="240" w:lineRule="auto"/>
              <w:ind w:left="62.920074462890625" w:firstLine="0"/>
              <w:rPr>
                <w:b w:val="1"/>
              </w:rPr>
            </w:pPr>
            <w:r w:rsidDel="00000000" w:rsidR="00000000" w:rsidRPr="00000000">
              <w:rPr>
                <w:b w:val="1"/>
                <w:rtl w:val="0"/>
              </w:rPr>
              <w:t xml:space="preserve">above 520 units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rtl w:val="0"/>
              </w:rPr>
            </w:r>
          </w:p>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w:t>
            </w:r>
          </w:p>
        </w:tc>
      </w:tr>
      <w:tr>
        <w:trPr>
          <w:cantSplit w:val="0"/>
          <w:trHeight w:val="3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b w:val="1"/>
              </w:rPr>
            </w:pPr>
            <w:r w:rsidDel="00000000" w:rsidR="00000000" w:rsidRPr="00000000">
              <w:rPr>
                <w:rtl w:val="0"/>
              </w:rPr>
            </w:r>
          </w:p>
        </w:tc>
      </w:tr>
      <w:tr>
        <w:trPr>
          <w:cantSplit w:val="0"/>
          <w:trHeight w:val="3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59.62005615234375" w:firstLine="0"/>
              <w:rPr>
                <w:b w:val="1"/>
              </w:rPr>
            </w:pPr>
            <w:r w:rsidDel="00000000" w:rsidR="00000000" w:rsidRPr="00000000">
              <w:rPr>
                <w:b w:val="1"/>
                <w:rtl w:val="0"/>
              </w:rPr>
              <w:t xml:space="preserve">Total Indicative Tender Price per annum                                £</w:t>
            </w:r>
          </w:p>
        </w:tc>
      </w:tr>
    </w:tbl>
    <w:p w:rsidR="00000000" w:rsidDel="00000000" w:rsidP="00000000" w:rsidRDefault="00000000" w:rsidRPr="00000000" w14:paraId="00000017">
      <w:pPr>
        <w:widowControl w:val="0"/>
        <w:rPr/>
      </w:pPr>
      <w:r w:rsidDel="00000000" w:rsidR="00000000" w:rsidRPr="00000000">
        <w:rPr>
          <w:rtl w:val="0"/>
        </w:rPr>
      </w:r>
    </w:p>
    <w:sectPr>
      <w:pgSz w:h="16834" w:w="11909" w:orient="portrait"/>
      <w:pgMar w:bottom="1440" w:top="1440" w:left="1440" w:right="54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