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153B5" w14:textId="288417AC" w:rsidR="0097002C" w:rsidRPr="00022733" w:rsidRDefault="00121D9C" w:rsidP="000A5A33">
      <w:pPr>
        <w:spacing w:after="0"/>
        <w:rPr>
          <w:rFonts w:ascii="Arial" w:hAnsi="Arial" w:cs="Arial"/>
        </w:rPr>
      </w:pPr>
      <w:r w:rsidRPr="00022733">
        <w:rPr>
          <w:rFonts w:ascii="Arial" w:hAnsi="Arial" w:cs="Arial"/>
        </w:rPr>
        <w:t>Service Spec</w:t>
      </w:r>
      <w:r w:rsidR="000A5A33" w:rsidRPr="00022733">
        <w:rPr>
          <w:rFonts w:ascii="Arial" w:hAnsi="Arial" w:cs="Arial"/>
        </w:rPr>
        <w:t>ification</w:t>
      </w:r>
      <w:r w:rsidRPr="00022733">
        <w:rPr>
          <w:rFonts w:ascii="Arial" w:hAnsi="Arial" w:cs="Arial"/>
        </w:rPr>
        <w:t xml:space="preserve"> </w:t>
      </w:r>
    </w:p>
    <w:p w14:paraId="1865EB90" w14:textId="77777777" w:rsidR="0097002C" w:rsidRPr="00022733" w:rsidRDefault="0097002C" w:rsidP="000A5A33">
      <w:pPr>
        <w:spacing w:after="0"/>
        <w:rPr>
          <w:rFonts w:ascii="Arial" w:hAnsi="Arial" w:cs="Arial"/>
          <w:b/>
          <w:bCs/>
        </w:rPr>
      </w:pPr>
    </w:p>
    <w:p w14:paraId="116BCA52" w14:textId="28B08EE0" w:rsidR="00B156EB" w:rsidRPr="00022733" w:rsidRDefault="0097002C" w:rsidP="000A5A33">
      <w:pPr>
        <w:spacing w:after="0"/>
        <w:rPr>
          <w:rFonts w:ascii="Arial" w:hAnsi="Arial" w:cs="Arial"/>
          <w:b/>
          <w:bCs/>
        </w:rPr>
      </w:pPr>
      <w:r w:rsidRPr="00022733">
        <w:rPr>
          <w:rFonts w:ascii="Arial" w:hAnsi="Arial" w:cs="Arial"/>
          <w:b/>
          <w:bCs/>
        </w:rPr>
        <w:t>F</w:t>
      </w:r>
      <w:r w:rsidR="00636B1E" w:rsidRPr="00022733">
        <w:rPr>
          <w:rFonts w:ascii="Arial" w:hAnsi="Arial" w:cs="Arial"/>
          <w:b/>
          <w:bCs/>
        </w:rPr>
        <w:t>or young people who require small, registered children’s homes</w:t>
      </w:r>
    </w:p>
    <w:p w14:paraId="26424500" w14:textId="77777777" w:rsidR="00022733" w:rsidRPr="00022733" w:rsidRDefault="00022733" w:rsidP="000A5A33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0"/>
        <w:gridCol w:w="6982"/>
      </w:tblGrid>
      <w:tr w:rsidR="000A5A33" w:rsidRPr="00022733" w14:paraId="2BA95BD5" w14:textId="77777777" w:rsidTr="000A5A33">
        <w:tc>
          <w:tcPr>
            <w:tcW w:w="2802" w:type="dxa"/>
            <w:shd w:val="clear" w:color="auto" w:fill="F2F2F2" w:themeFill="background1" w:themeFillShade="F2"/>
          </w:tcPr>
          <w:p w14:paraId="2397E73E" w14:textId="344A8DA4" w:rsidR="000A5A33" w:rsidRPr="00022733" w:rsidRDefault="000A5A33" w:rsidP="000A5A33">
            <w:pPr>
              <w:rPr>
                <w:rFonts w:ascii="Arial" w:hAnsi="Arial" w:cs="Arial"/>
                <w:b/>
                <w:bCs/>
              </w:rPr>
            </w:pPr>
            <w:r w:rsidRPr="00022733">
              <w:rPr>
                <w:rFonts w:ascii="Arial" w:hAnsi="Arial" w:cs="Arial"/>
                <w:b/>
                <w:bCs/>
              </w:rPr>
              <w:t>Age</w:t>
            </w:r>
          </w:p>
        </w:tc>
        <w:tc>
          <w:tcPr>
            <w:tcW w:w="7160" w:type="dxa"/>
          </w:tcPr>
          <w:p w14:paraId="158F0B18" w14:textId="2665FA7F" w:rsidR="000A5A33" w:rsidRPr="00022733" w:rsidRDefault="009750E7" w:rsidP="000A5A33">
            <w:pPr>
              <w:rPr>
                <w:rFonts w:ascii="Arial" w:hAnsi="Arial" w:cs="Arial"/>
              </w:rPr>
            </w:pPr>
            <w:r w:rsidRPr="00022733">
              <w:rPr>
                <w:rFonts w:ascii="Arial" w:hAnsi="Arial" w:cs="Arial"/>
              </w:rPr>
              <w:t>14</w:t>
            </w:r>
          </w:p>
        </w:tc>
      </w:tr>
      <w:tr w:rsidR="000A5A33" w:rsidRPr="00022733" w14:paraId="219E5098" w14:textId="77777777" w:rsidTr="000A5A33">
        <w:tc>
          <w:tcPr>
            <w:tcW w:w="2802" w:type="dxa"/>
            <w:shd w:val="clear" w:color="auto" w:fill="F2F2F2" w:themeFill="background1" w:themeFillShade="F2"/>
          </w:tcPr>
          <w:p w14:paraId="1B34B221" w14:textId="2B28A7FE" w:rsidR="000A5A33" w:rsidRPr="00022733" w:rsidRDefault="000A5A33" w:rsidP="000A5A33">
            <w:pPr>
              <w:rPr>
                <w:rFonts w:ascii="Arial" w:hAnsi="Arial" w:cs="Arial"/>
                <w:b/>
                <w:bCs/>
              </w:rPr>
            </w:pPr>
            <w:r w:rsidRPr="00022733">
              <w:rPr>
                <w:rFonts w:ascii="Arial" w:hAnsi="Arial" w:cs="Arial"/>
                <w:b/>
                <w:bCs/>
              </w:rPr>
              <w:t>Gender</w:t>
            </w:r>
          </w:p>
        </w:tc>
        <w:tc>
          <w:tcPr>
            <w:tcW w:w="7160" w:type="dxa"/>
          </w:tcPr>
          <w:p w14:paraId="4FA254DC" w14:textId="761AA32F" w:rsidR="000A5A33" w:rsidRPr="00022733" w:rsidRDefault="009750E7" w:rsidP="000A5A33">
            <w:pPr>
              <w:rPr>
                <w:rFonts w:ascii="Arial" w:hAnsi="Arial" w:cs="Arial"/>
              </w:rPr>
            </w:pPr>
            <w:r w:rsidRPr="00022733">
              <w:rPr>
                <w:rFonts w:ascii="Arial" w:hAnsi="Arial" w:cs="Arial"/>
              </w:rPr>
              <w:t xml:space="preserve">Female </w:t>
            </w:r>
          </w:p>
        </w:tc>
      </w:tr>
      <w:tr w:rsidR="000A5A33" w:rsidRPr="00022733" w14:paraId="216CA26C" w14:textId="77777777" w:rsidTr="000A5A33">
        <w:tc>
          <w:tcPr>
            <w:tcW w:w="2802" w:type="dxa"/>
            <w:shd w:val="clear" w:color="auto" w:fill="F2F2F2" w:themeFill="background1" w:themeFillShade="F2"/>
          </w:tcPr>
          <w:p w14:paraId="5186946F" w14:textId="51C185D4" w:rsidR="000A5A33" w:rsidRPr="00022733" w:rsidRDefault="000A5A33" w:rsidP="000A5A33">
            <w:pPr>
              <w:rPr>
                <w:rFonts w:ascii="Arial" w:hAnsi="Arial" w:cs="Arial"/>
                <w:b/>
                <w:bCs/>
              </w:rPr>
            </w:pPr>
            <w:r w:rsidRPr="00022733">
              <w:rPr>
                <w:rFonts w:ascii="Arial" w:hAnsi="Arial" w:cs="Arial"/>
                <w:b/>
                <w:bCs/>
              </w:rPr>
              <w:t>Current Placement</w:t>
            </w:r>
          </w:p>
        </w:tc>
        <w:tc>
          <w:tcPr>
            <w:tcW w:w="7160" w:type="dxa"/>
          </w:tcPr>
          <w:p w14:paraId="32F94F86" w14:textId="3ECC3A60" w:rsidR="000A5A33" w:rsidRPr="00022733" w:rsidRDefault="009750E7" w:rsidP="000A5A33">
            <w:pPr>
              <w:rPr>
                <w:rFonts w:ascii="Arial" w:hAnsi="Arial" w:cs="Arial"/>
              </w:rPr>
            </w:pPr>
            <w:r w:rsidRPr="00022733">
              <w:rPr>
                <w:rFonts w:ascii="Arial" w:hAnsi="Arial" w:cs="Arial"/>
              </w:rPr>
              <w:t xml:space="preserve">Secure Accommodation </w:t>
            </w:r>
          </w:p>
        </w:tc>
      </w:tr>
      <w:tr w:rsidR="000A5A33" w:rsidRPr="00022733" w14:paraId="4304D8F0" w14:textId="77777777" w:rsidTr="000A5A33">
        <w:tc>
          <w:tcPr>
            <w:tcW w:w="2802" w:type="dxa"/>
            <w:shd w:val="clear" w:color="auto" w:fill="F2F2F2" w:themeFill="background1" w:themeFillShade="F2"/>
          </w:tcPr>
          <w:p w14:paraId="2D20E969" w14:textId="0837E598" w:rsidR="000A5A33" w:rsidRPr="00022733" w:rsidRDefault="000A5A33" w:rsidP="000A5A33">
            <w:pPr>
              <w:rPr>
                <w:rFonts w:ascii="Arial" w:hAnsi="Arial" w:cs="Arial"/>
                <w:b/>
                <w:bCs/>
              </w:rPr>
            </w:pPr>
            <w:r w:rsidRPr="00022733">
              <w:rPr>
                <w:rFonts w:ascii="Arial" w:hAnsi="Arial" w:cs="Arial"/>
                <w:b/>
                <w:bCs/>
              </w:rPr>
              <w:t>Geographical location required</w:t>
            </w:r>
          </w:p>
        </w:tc>
        <w:tc>
          <w:tcPr>
            <w:tcW w:w="7160" w:type="dxa"/>
          </w:tcPr>
          <w:p w14:paraId="62A730B7" w14:textId="4AEA7610" w:rsidR="000A5A33" w:rsidRPr="00022733" w:rsidRDefault="009750E7" w:rsidP="000A5A33">
            <w:pPr>
              <w:rPr>
                <w:rFonts w:ascii="Arial" w:hAnsi="Arial" w:cs="Arial"/>
              </w:rPr>
            </w:pPr>
            <w:r w:rsidRPr="00022733">
              <w:rPr>
                <w:rFonts w:ascii="Arial" w:hAnsi="Arial" w:cs="Arial"/>
              </w:rPr>
              <w:t>County Durham</w:t>
            </w:r>
          </w:p>
        </w:tc>
      </w:tr>
      <w:tr w:rsidR="000A5A33" w:rsidRPr="00022733" w14:paraId="5FAF0DA1" w14:textId="77777777" w:rsidTr="000A5A33">
        <w:tc>
          <w:tcPr>
            <w:tcW w:w="2802" w:type="dxa"/>
            <w:shd w:val="clear" w:color="auto" w:fill="F2F2F2" w:themeFill="background1" w:themeFillShade="F2"/>
          </w:tcPr>
          <w:p w14:paraId="607744DD" w14:textId="77777777" w:rsidR="000A5A33" w:rsidRPr="00022733" w:rsidRDefault="000A5A33" w:rsidP="000A5A33">
            <w:pPr>
              <w:rPr>
                <w:rFonts w:ascii="Arial" w:hAnsi="Arial" w:cs="Arial"/>
                <w:b/>
                <w:bCs/>
              </w:rPr>
            </w:pPr>
            <w:r w:rsidRPr="00022733">
              <w:rPr>
                <w:rFonts w:ascii="Arial" w:hAnsi="Arial" w:cs="Arial"/>
                <w:b/>
                <w:bCs/>
              </w:rPr>
              <w:t>Needs and presentation</w:t>
            </w:r>
          </w:p>
          <w:p w14:paraId="5F9FBB6F" w14:textId="77777777" w:rsidR="000A5A33" w:rsidRPr="00022733" w:rsidRDefault="000A5A33" w:rsidP="000A5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0" w:type="dxa"/>
          </w:tcPr>
          <w:p w14:paraId="39BF5E3D" w14:textId="345D342A" w:rsidR="009750E7" w:rsidRPr="00022733" w:rsidRDefault="004447F6" w:rsidP="009750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2733">
              <w:rPr>
                <w:rFonts w:ascii="Arial" w:hAnsi="Arial" w:cs="Arial"/>
              </w:rPr>
              <w:t xml:space="preserve">An </w:t>
            </w:r>
            <w:r w:rsidR="009750E7" w:rsidRPr="00022733">
              <w:rPr>
                <w:rFonts w:ascii="Arial" w:hAnsi="Arial" w:cs="Arial"/>
              </w:rPr>
              <w:t xml:space="preserve">Interim Care Order was granted </w:t>
            </w:r>
            <w:r w:rsidR="00F90250" w:rsidRPr="00022733">
              <w:rPr>
                <w:rFonts w:ascii="Arial" w:hAnsi="Arial" w:cs="Arial"/>
              </w:rPr>
              <w:t xml:space="preserve">for YP on 29.07.21 </w:t>
            </w:r>
            <w:r w:rsidR="009750E7" w:rsidRPr="00022733">
              <w:rPr>
                <w:rFonts w:ascii="Arial" w:hAnsi="Arial" w:cs="Arial"/>
              </w:rPr>
              <w:t>alongside a s25 Secure Order due to YP posing a high risk to herself and others whilst placed in residential care under a s20 arrangement.</w:t>
            </w:r>
            <w:r w:rsidRPr="00022733">
              <w:rPr>
                <w:rFonts w:ascii="Arial" w:hAnsi="Arial" w:cs="Arial"/>
              </w:rPr>
              <w:t xml:space="preserve"> Long standing issues relate to YP being out of parental control and a victim of Child Sexual Exploitation </w:t>
            </w:r>
          </w:p>
          <w:p w14:paraId="799BD0F7" w14:textId="77777777" w:rsidR="00F90250" w:rsidRPr="00022733" w:rsidRDefault="00F90250" w:rsidP="009750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92B113C" w14:textId="4D8AE3CD" w:rsidR="009750E7" w:rsidRPr="00022733" w:rsidRDefault="009750E7" w:rsidP="009750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2733">
              <w:rPr>
                <w:rFonts w:ascii="Arial" w:hAnsi="Arial" w:cs="Arial"/>
              </w:rPr>
              <w:t>YP was made subject to a S38 Interim Care Order and S25 Secure Order on 29/07/2021, which was</w:t>
            </w:r>
            <w:r w:rsidR="00F90250" w:rsidRPr="00022733">
              <w:rPr>
                <w:rFonts w:ascii="Arial" w:hAnsi="Arial" w:cs="Arial"/>
              </w:rPr>
              <w:t xml:space="preserve"> </w:t>
            </w:r>
            <w:r w:rsidRPr="00022733">
              <w:rPr>
                <w:rFonts w:ascii="Arial" w:hAnsi="Arial" w:cs="Arial"/>
              </w:rPr>
              <w:t xml:space="preserve">granted on a </w:t>
            </w:r>
            <w:r w:rsidR="00022733" w:rsidRPr="00022733">
              <w:rPr>
                <w:rFonts w:ascii="Arial" w:hAnsi="Arial" w:cs="Arial"/>
              </w:rPr>
              <w:t>3-month</w:t>
            </w:r>
            <w:r w:rsidRPr="00022733">
              <w:rPr>
                <w:rFonts w:ascii="Arial" w:hAnsi="Arial" w:cs="Arial"/>
              </w:rPr>
              <w:t xml:space="preserve"> basis and is due to end on 23.11.21.</w:t>
            </w:r>
          </w:p>
          <w:p w14:paraId="38617820" w14:textId="77777777" w:rsidR="00F90250" w:rsidRPr="00022733" w:rsidRDefault="00F90250" w:rsidP="009750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3326FB6" w14:textId="6CCD843F" w:rsidR="009750E7" w:rsidRPr="00022733" w:rsidRDefault="009750E7" w:rsidP="009750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2733">
              <w:rPr>
                <w:rFonts w:ascii="Arial" w:hAnsi="Arial" w:cs="Arial"/>
              </w:rPr>
              <w:t>YP has remained resident at Aycliffe Secure Centre since the date of the Secure Order on</w:t>
            </w:r>
            <w:r w:rsidR="00F90250" w:rsidRPr="00022733">
              <w:rPr>
                <w:rFonts w:ascii="Arial" w:hAnsi="Arial" w:cs="Arial"/>
              </w:rPr>
              <w:t xml:space="preserve"> </w:t>
            </w:r>
            <w:r w:rsidRPr="00022733">
              <w:rPr>
                <w:rFonts w:ascii="Arial" w:hAnsi="Arial" w:cs="Arial"/>
              </w:rPr>
              <w:t>29/07/2021. Following being placed in Aycliffe Secure YP spent 5 days in isolation due to the centre's policy</w:t>
            </w:r>
          </w:p>
          <w:p w14:paraId="7FFE024B" w14:textId="77777777" w:rsidR="004447F6" w:rsidRPr="00022733" w:rsidRDefault="009750E7" w:rsidP="009750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2733">
              <w:rPr>
                <w:rFonts w:ascii="Arial" w:hAnsi="Arial" w:cs="Arial"/>
              </w:rPr>
              <w:t>around Covid19 and there were initially significant issues with YP's behaviours reported, including</w:t>
            </w:r>
            <w:r w:rsidR="00F90250" w:rsidRPr="00022733">
              <w:rPr>
                <w:rFonts w:ascii="Arial" w:hAnsi="Arial" w:cs="Arial"/>
              </w:rPr>
              <w:t xml:space="preserve"> </w:t>
            </w:r>
            <w:r w:rsidRPr="00022733">
              <w:rPr>
                <w:rFonts w:ascii="Arial" w:hAnsi="Arial" w:cs="Arial"/>
              </w:rPr>
              <w:t xml:space="preserve">disclosures of taking overdoses and violence towards key workers, hospital staff and police. </w:t>
            </w:r>
          </w:p>
          <w:p w14:paraId="123F6D5E" w14:textId="77777777" w:rsidR="004447F6" w:rsidRPr="00022733" w:rsidRDefault="004447F6" w:rsidP="009750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31FDBF2" w14:textId="4EAB072F" w:rsidR="009750E7" w:rsidRPr="00022733" w:rsidRDefault="009750E7" w:rsidP="009750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022733">
              <w:rPr>
                <w:rFonts w:ascii="Arial" w:hAnsi="Arial" w:cs="Arial"/>
              </w:rPr>
              <w:t>Aycliffe Secure</w:t>
            </w:r>
            <w:r w:rsidR="00F90250" w:rsidRPr="00022733">
              <w:rPr>
                <w:rFonts w:ascii="Arial" w:hAnsi="Arial" w:cs="Arial"/>
              </w:rPr>
              <w:t xml:space="preserve"> </w:t>
            </w:r>
            <w:r w:rsidRPr="00022733">
              <w:rPr>
                <w:rFonts w:ascii="Arial" w:hAnsi="Arial" w:cs="Arial"/>
              </w:rPr>
              <w:t xml:space="preserve">Centre reports that </w:t>
            </w:r>
            <w:r w:rsidRPr="00022733">
              <w:rPr>
                <w:rFonts w:ascii="Arial" w:hAnsi="Arial" w:cs="Arial"/>
                <w:i/>
                <w:iCs/>
              </w:rPr>
              <w:t>'YP attended hospital on two occasions to be checked over and have her bloods taken</w:t>
            </w:r>
            <w:r w:rsidR="00F90250" w:rsidRPr="00022733">
              <w:rPr>
                <w:rFonts w:ascii="Arial" w:hAnsi="Arial" w:cs="Arial"/>
                <w:i/>
                <w:iCs/>
              </w:rPr>
              <w:t xml:space="preserve"> </w:t>
            </w:r>
            <w:r w:rsidRPr="00022733">
              <w:rPr>
                <w:rFonts w:ascii="Arial" w:hAnsi="Arial" w:cs="Arial"/>
                <w:i/>
                <w:iCs/>
              </w:rPr>
              <w:t>to ensure she was safe and well. On both occasions there was no evidence that any substances had been</w:t>
            </w:r>
            <w:r w:rsidR="00F90250" w:rsidRPr="00022733">
              <w:rPr>
                <w:rFonts w:ascii="Arial" w:hAnsi="Arial" w:cs="Arial"/>
                <w:i/>
                <w:iCs/>
              </w:rPr>
              <w:t xml:space="preserve"> </w:t>
            </w:r>
            <w:r w:rsidRPr="00022733">
              <w:rPr>
                <w:rFonts w:ascii="Arial" w:hAnsi="Arial" w:cs="Arial"/>
                <w:i/>
                <w:iCs/>
              </w:rPr>
              <w:t>taken however whilst at hospital YP showed high levels of aggression and assaulted numerous hospital</w:t>
            </w:r>
            <w:r w:rsidR="00F90250" w:rsidRPr="00022733">
              <w:rPr>
                <w:rFonts w:ascii="Arial" w:hAnsi="Arial" w:cs="Arial"/>
                <w:i/>
                <w:iCs/>
              </w:rPr>
              <w:t xml:space="preserve"> </w:t>
            </w:r>
            <w:r w:rsidRPr="00022733">
              <w:rPr>
                <w:rFonts w:ascii="Arial" w:hAnsi="Arial" w:cs="Arial"/>
                <w:i/>
                <w:iCs/>
              </w:rPr>
              <w:t>staff, damaged property and assaulted staff from Aycliffe which led to the use of physical intervention.'</w:t>
            </w:r>
          </w:p>
          <w:p w14:paraId="01FEAD90" w14:textId="77777777" w:rsidR="00F90250" w:rsidRPr="00022733" w:rsidRDefault="00F90250" w:rsidP="009750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43B3A8C7" w14:textId="1F82A954" w:rsidR="009750E7" w:rsidRPr="00022733" w:rsidRDefault="009750E7" w:rsidP="009750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2733">
              <w:rPr>
                <w:rFonts w:ascii="Arial" w:hAnsi="Arial" w:cs="Arial"/>
              </w:rPr>
              <w:t>Following this initial period YP is reported to have settled in well and there has been good progress in</w:t>
            </w:r>
            <w:r w:rsidR="00F90250" w:rsidRPr="00022733">
              <w:rPr>
                <w:rFonts w:ascii="Arial" w:hAnsi="Arial" w:cs="Arial"/>
              </w:rPr>
              <w:t xml:space="preserve"> </w:t>
            </w:r>
            <w:r w:rsidRPr="00022733">
              <w:rPr>
                <w:rFonts w:ascii="Arial" w:hAnsi="Arial" w:cs="Arial"/>
              </w:rPr>
              <w:t>respect of her interactions with staff and behaviours when clear routines and boundaries are in place. YP</w:t>
            </w:r>
          </w:p>
          <w:p w14:paraId="0C6D7F7B" w14:textId="3C4CFBF0" w:rsidR="009750E7" w:rsidRPr="00022733" w:rsidRDefault="009750E7" w:rsidP="009750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022733">
              <w:rPr>
                <w:rFonts w:ascii="Arial" w:hAnsi="Arial" w:cs="Arial"/>
              </w:rPr>
              <w:t>has achieved "Platinum" status for compliance and behaviour. Aycliffe Secure Centre have however highlighted</w:t>
            </w:r>
            <w:r w:rsidR="00F90250" w:rsidRPr="00022733">
              <w:rPr>
                <w:rFonts w:ascii="Arial" w:hAnsi="Arial" w:cs="Arial"/>
              </w:rPr>
              <w:t xml:space="preserve"> </w:t>
            </w:r>
            <w:r w:rsidRPr="00022733">
              <w:rPr>
                <w:rFonts w:ascii="Arial" w:hAnsi="Arial" w:cs="Arial"/>
              </w:rPr>
              <w:t>that there ha</w:t>
            </w:r>
            <w:r w:rsidR="004447F6" w:rsidRPr="00022733">
              <w:rPr>
                <w:rFonts w:ascii="Arial" w:hAnsi="Arial" w:cs="Arial"/>
              </w:rPr>
              <w:t>s</w:t>
            </w:r>
            <w:r w:rsidRPr="00022733">
              <w:rPr>
                <w:rFonts w:ascii="Arial" w:hAnsi="Arial" w:cs="Arial"/>
              </w:rPr>
              <w:t xml:space="preserve"> been </w:t>
            </w:r>
            <w:r w:rsidR="004447F6" w:rsidRPr="00022733">
              <w:rPr>
                <w:rFonts w:ascii="Arial" w:hAnsi="Arial" w:cs="Arial"/>
              </w:rPr>
              <w:t xml:space="preserve">a </w:t>
            </w:r>
            <w:r w:rsidRPr="00022733">
              <w:rPr>
                <w:rFonts w:ascii="Arial" w:hAnsi="Arial" w:cs="Arial"/>
              </w:rPr>
              <w:t>further incident</w:t>
            </w:r>
            <w:r w:rsidR="00F90250" w:rsidRPr="00022733">
              <w:rPr>
                <w:rFonts w:ascii="Arial" w:hAnsi="Arial" w:cs="Arial"/>
              </w:rPr>
              <w:t xml:space="preserve"> in November</w:t>
            </w:r>
            <w:r w:rsidRPr="00022733">
              <w:rPr>
                <w:rFonts w:ascii="Arial" w:hAnsi="Arial" w:cs="Arial"/>
              </w:rPr>
              <w:t xml:space="preserve"> where ' </w:t>
            </w:r>
            <w:r w:rsidRPr="00022733">
              <w:rPr>
                <w:rFonts w:ascii="Arial" w:hAnsi="Arial" w:cs="Arial"/>
                <w:i/>
                <w:iCs/>
              </w:rPr>
              <w:t>YP has tied clothing around her neck as a ligature, and then</w:t>
            </w:r>
            <w:r w:rsidR="00F90250" w:rsidRPr="00022733">
              <w:rPr>
                <w:rFonts w:ascii="Arial" w:hAnsi="Arial" w:cs="Arial"/>
                <w:i/>
                <w:iCs/>
              </w:rPr>
              <w:t xml:space="preserve"> </w:t>
            </w:r>
            <w:r w:rsidRPr="00022733">
              <w:rPr>
                <w:rFonts w:ascii="Arial" w:hAnsi="Arial" w:cs="Arial"/>
                <w:i/>
                <w:iCs/>
              </w:rPr>
              <w:t xml:space="preserve">assaulted staff as they have tried to remove this. She has been able to reflect on these behaviours </w:t>
            </w:r>
            <w:proofErr w:type="gramStart"/>
            <w:r w:rsidRPr="00022733">
              <w:rPr>
                <w:rFonts w:ascii="Arial" w:hAnsi="Arial" w:cs="Arial"/>
                <w:i/>
                <w:iCs/>
              </w:rPr>
              <w:t>at a later</w:t>
            </w:r>
            <w:r w:rsidR="00F90250" w:rsidRPr="00022733">
              <w:rPr>
                <w:rFonts w:ascii="Arial" w:hAnsi="Arial" w:cs="Arial"/>
                <w:i/>
                <w:iCs/>
              </w:rPr>
              <w:t xml:space="preserve"> </w:t>
            </w:r>
            <w:r w:rsidR="00022733" w:rsidRPr="00022733">
              <w:rPr>
                <w:rFonts w:ascii="Arial" w:hAnsi="Arial" w:cs="Arial"/>
                <w:i/>
                <w:iCs/>
              </w:rPr>
              <w:t>date</w:t>
            </w:r>
            <w:proofErr w:type="gramEnd"/>
            <w:r w:rsidR="00022733" w:rsidRPr="00022733">
              <w:rPr>
                <w:rFonts w:ascii="Arial" w:hAnsi="Arial" w:cs="Arial"/>
                <w:i/>
                <w:iCs/>
              </w:rPr>
              <w:t xml:space="preserve"> and</w:t>
            </w:r>
            <w:r w:rsidRPr="00022733">
              <w:rPr>
                <w:rFonts w:ascii="Arial" w:hAnsi="Arial" w:cs="Arial"/>
                <w:i/>
                <w:iCs/>
              </w:rPr>
              <w:t xml:space="preserve"> has recognised them as self-sabotaging in order to gain staff support.'</w:t>
            </w:r>
          </w:p>
          <w:p w14:paraId="57D3973B" w14:textId="6B5DA825" w:rsidR="00F90250" w:rsidRPr="00022733" w:rsidRDefault="00F90250" w:rsidP="009750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03087AFF" w14:textId="0B43A007" w:rsidR="00F90250" w:rsidRPr="00022733" w:rsidRDefault="00F90250" w:rsidP="009750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2733">
              <w:rPr>
                <w:rFonts w:ascii="Arial" w:hAnsi="Arial" w:cs="Arial"/>
              </w:rPr>
              <w:t xml:space="preserve">There have been no further significant behavioural concerns since November ad YP’s mobility programme in Aycliffe Secure is progressing well which has included time with family in the community.  </w:t>
            </w:r>
          </w:p>
          <w:p w14:paraId="3533F424" w14:textId="77777777" w:rsidR="00F90250" w:rsidRPr="00022733" w:rsidRDefault="00F90250" w:rsidP="009750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7E8F3D10" w14:textId="008087E6" w:rsidR="009750E7" w:rsidRPr="00022733" w:rsidRDefault="009750E7" w:rsidP="009750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2733">
              <w:rPr>
                <w:rFonts w:ascii="Arial" w:hAnsi="Arial" w:cs="Arial"/>
              </w:rPr>
              <w:t>A Court directed Independent psychological assessment has been completed Dr Shashi Kiran on</w:t>
            </w:r>
            <w:r w:rsidR="00F90250" w:rsidRPr="00022733">
              <w:rPr>
                <w:rFonts w:ascii="Arial" w:hAnsi="Arial" w:cs="Arial"/>
              </w:rPr>
              <w:t xml:space="preserve"> </w:t>
            </w:r>
            <w:r w:rsidRPr="00022733">
              <w:rPr>
                <w:rFonts w:ascii="Arial" w:hAnsi="Arial" w:cs="Arial"/>
              </w:rPr>
              <w:t>18.10.21 which has identified areas of further assessment and support have been identified for YP in</w:t>
            </w:r>
            <w:r w:rsidR="00F90250" w:rsidRPr="00022733">
              <w:rPr>
                <w:rFonts w:ascii="Arial" w:hAnsi="Arial" w:cs="Arial"/>
              </w:rPr>
              <w:t xml:space="preserve"> </w:t>
            </w:r>
            <w:r w:rsidRPr="00022733">
              <w:rPr>
                <w:rFonts w:ascii="Arial" w:hAnsi="Arial" w:cs="Arial"/>
              </w:rPr>
              <w:t>respect of suspected Attention Deficit Hyperactive Disorder (ADHD), Oppositional Defiant Disorder (ODD) and</w:t>
            </w:r>
            <w:r w:rsidR="00F90250" w:rsidRPr="00022733">
              <w:rPr>
                <w:rFonts w:ascii="Arial" w:hAnsi="Arial" w:cs="Arial"/>
              </w:rPr>
              <w:t xml:space="preserve"> </w:t>
            </w:r>
            <w:r w:rsidRPr="00022733">
              <w:rPr>
                <w:rFonts w:ascii="Arial" w:hAnsi="Arial" w:cs="Arial"/>
              </w:rPr>
              <w:t>Attachment issues, it was recommended that CAMHS could support and assess further in these areas as</w:t>
            </w:r>
            <w:r w:rsidR="00F90250" w:rsidRPr="00022733">
              <w:rPr>
                <w:rFonts w:ascii="Arial" w:hAnsi="Arial" w:cs="Arial"/>
              </w:rPr>
              <w:t xml:space="preserve"> </w:t>
            </w:r>
            <w:r w:rsidRPr="00022733">
              <w:rPr>
                <w:rFonts w:ascii="Arial" w:hAnsi="Arial" w:cs="Arial"/>
              </w:rPr>
              <w:t>follows:</w:t>
            </w:r>
          </w:p>
          <w:p w14:paraId="5DEA228C" w14:textId="77777777" w:rsidR="00F90250" w:rsidRPr="00022733" w:rsidRDefault="00F90250" w:rsidP="009750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C1E9CF0" w14:textId="2C573D84" w:rsidR="009750E7" w:rsidRPr="00022733" w:rsidRDefault="009750E7" w:rsidP="009750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022733">
              <w:rPr>
                <w:rFonts w:ascii="Arial" w:hAnsi="Arial" w:cs="Arial"/>
                <w:i/>
                <w:iCs/>
              </w:rPr>
              <w:t>'My assessment shows YP having high levels of impulsiveness, attention deficits, poor frustration tolerance,</w:t>
            </w:r>
            <w:r w:rsidR="00F90250" w:rsidRPr="00022733">
              <w:rPr>
                <w:rFonts w:ascii="Arial" w:hAnsi="Arial" w:cs="Arial"/>
                <w:i/>
                <w:iCs/>
              </w:rPr>
              <w:t xml:space="preserve"> </w:t>
            </w:r>
            <w:r w:rsidRPr="00022733">
              <w:rPr>
                <w:rFonts w:ascii="Arial" w:hAnsi="Arial" w:cs="Arial"/>
                <w:i/>
                <w:iCs/>
              </w:rPr>
              <w:t>argumentativeness, difficulty accepting blame for her actions, lack of remorse when she was aggressive and</w:t>
            </w:r>
            <w:r w:rsidR="00F90250" w:rsidRPr="00022733">
              <w:rPr>
                <w:rFonts w:ascii="Arial" w:hAnsi="Arial" w:cs="Arial"/>
                <w:i/>
                <w:iCs/>
              </w:rPr>
              <w:t xml:space="preserve"> </w:t>
            </w:r>
            <w:r w:rsidRPr="00022733">
              <w:rPr>
                <w:rFonts w:ascii="Arial" w:hAnsi="Arial" w:cs="Arial"/>
                <w:i/>
                <w:iCs/>
              </w:rPr>
              <w:t>defiance of instructions. These difficulties are reported as being pervasively present and interfere in her</w:t>
            </w:r>
            <w:r w:rsidR="00F90250" w:rsidRPr="00022733">
              <w:rPr>
                <w:rFonts w:ascii="Arial" w:hAnsi="Arial" w:cs="Arial"/>
                <w:i/>
                <w:iCs/>
              </w:rPr>
              <w:t xml:space="preserve"> </w:t>
            </w:r>
            <w:r w:rsidRPr="00022733">
              <w:rPr>
                <w:rFonts w:ascii="Arial" w:hAnsi="Arial" w:cs="Arial"/>
                <w:i/>
                <w:iCs/>
              </w:rPr>
              <w:t>interpersonal and social functioning as well as impede her scholastic attainments. Further there is also report of</w:t>
            </w:r>
            <w:r w:rsidR="00F90250" w:rsidRPr="00022733">
              <w:rPr>
                <w:rFonts w:ascii="Arial" w:hAnsi="Arial" w:cs="Arial"/>
                <w:i/>
                <w:iCs/>
              </w:rPr>
              <w:t xml:space="preserve"> </w:t>
            </w:r>
            <w:r w:rsidRPr="00022733">
              <w:rPr>
                <w:rFonts w:ascii="Arial" w:hAnsi="Arial" w:cs="Arial"/>
                <w:i/>
                <w:iCs/>
              </w:rPr>
              <w:t>what appears to be situation and context specific lying/ fabrication of experiences, aggression with no remorse</w:t>
            </w:r>
            <w:r w:rsidR="00F90250" w:rsidRPr="00022733">
              <w:rPr>
                <w:rFonts w:ascii="Arial" w:hAnsi="Arial" w:cs="Arial"/>
                <w:i/>
                <w:iCs/>
              </w:rPr>
              <w:t xml:space="preserve"> </w:t>
            </w:r>
            <w:r w:rsidRPr="00022733">
              <w:rPr>
                <w:rFonts w:ascii="Arial" w:hAnsi="Arial" w:cs="Arial"/>
                <w:i/>
                <w:iCs/>
              </w:rPr>
              <w:t>and poor sensitivity to depictions of distress in others. This presentation is highly suggestive of the presence of</w:t>
            </w:r>
            <w:r w:rsidR="00F90250" w:rsidRPr="00022733">
              <w:rPr>
                <w:rFonts w:ascii="Arial" w:hAnsi="Arial" w:cs="Arial"/>
                <w:i/>
                <w:iCs/>
              </w:rPr>
              <w:t xml:space="preserve"> </w:t>
            </w:r>
            <w:r w:rsidRPr="00022733">
              <w:rPr>
                <w:rFonts w:ascii="Arial" w:hAnsi="Arial" w:cs="Arial"/>
                <w:i/>
                <w:iCs/>
              </w:rPr>
              <w:t>Disruptive Behaviour Disorders such as Attention Deficit Hyperactivity Disorder (ADHD) and Oppositional</w:t>
            </w:r>
            <w:r w:rsidR="00F90250" w:rsidRPr="00022733">
              <w:rPr>
                <w:rFonts w:ascii="Arial" w:hAnsi="Arial" w:cs="Arial"/>
                <w:i/>
                <w:iCs/>
              </w:rPr>
              <w:t xml:space="preserve"> </w:t>
            </w:r>
            <w:r w:rsidRPr="00022733">
              <w:rPr>
                <w:rFonts w:ascii="Arial" w:hAnsi="Arial" w:cs="Arial"/>
                <w:i/>
                <w:iCs/>
              </w:rPr>
              <w:t>Defiant Disorder. The situation and context specific difficulties could be indicative of emerging Conduct</w:t>
            </w:r>
            <w:r w:rsidR="00F90250" w:rsidRPr="00022733">
              <w:rPr>
                <w:rFonts w:ascii="Arial" w:hAnsi="Arial" w:cs="Arial"/>
                <w:i/>
                <w:iCs/>
              </w:rPr>
              <w:t xml:space="preserve"> </w:t>
            </w:r>
            <w:r w:rsidRPr="00022733">
              <w:rPr>
                <w:rFonts w:ascii="Arial" w:hAnsi="Arial" w:cs="Arial"/>
                <w:i/>
                <w:iCs/>
              </w:rPr>
              <w:t>Disorder.</w:t>
            </w:r>
          </w:p>
          <w:p w14:paraId="29DFC88C" w14:textId="77777777" w:rsidR="00F90250" w:rsidRPr="00022733" w:rsidRDefault="00F90250" w:rsidP="009750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5194A828" w14:textId="3762E69B" w:rsidR="00F90250" w:rsidRPr="00022733" w:rsidRDefault="009750E7" w:rsidP="009750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2733">
              <w:rPr>
                <w:rFonts w:ascii="Arial" w:hAnsi="Arial" w:cs="Arial"/>
              </w:rPr>
              <w:t>In respect of YP's Placement, Dr Kirin recommends that</w:t>
            </w:r>
            <w:r w:rsidR="00F90250" w:rsidRPr="00022733">
              <w:rPr>
                <w:rFonts w:ascii="Arial" w:hAnsi="Arial" w:cs="Arial"/>
              </w:rPr>
              <w:t>:</w:t>
            </w:r>
          </w:p>
          <w:p w14:paraId="64729AC8" w14:textId="77777777" w:rsidR="00F90250" w:rsidRPr="00022733" w:rsidRDefault="00F90250" w:rsidP="009750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28B72D9" w14:textId="255FDA1E" w:rsidR="009750E7" w:rsidRPr="00022733" w:rsidRDefault="009750E7" w:rsidP="009750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022733">
              <w:rPr>
                <w:rFonts w:ascii="Arial" w:hAnsi="Arial" w:cs="Arial"/>
              </w:rPr>
              <w:t>'</w:t>
            </w:r>
            <w:r w:rsidRPr="00022733">
              <w:rPr>
                <w:rFonts w:ascii="Arial" w:hAnsi="Arial" w:cs="Arial"/>
                <w:i/>
                <w:iCs/>
              </w:rPr>
              <w:t>It would be beneficial for YP to remain at</w:t>
            </w:r>
            <w:r w:rsidR="00F90250" w:rsidRPr="00022733">
              <w:rPr>
                <w:rFonts w:ascii="Arial" w:hAnsi="Arial" w:cs="Arial"/>
                <w:i/>
                <w:iCs/>
              </w:rPr>
              <w:t xml:space="preserve"> </w:t>
            </w:r>
            <w:r w:rsidRPr="00022733">
              <w:rPr>
                <w:rFonts w:ascii="Arial" w:hAnsi="Arial" w:cs="Arial"/>
                <w:i/>
                <w:iCs/>
              </w:rPr>
              <w:t>the Aycliffe Secure Unit until an alternate residential arrangement has been made to provide YP with similar</w:t>
            </w:r>
            <w:r w:rsidR="00F90250" w:rsidRPr="00022733">
              <w:rPr>
                <w:rFonts w:ascii="Arial" w:hAnsi="Arial" w:cs="Arial"/>
                <w:i/>
                <w:iCs/>
              </w:rPr>
              <w:t xml:space="preserve"> </w:t>
            </w:r>
            <w:r w:rsidRPr="00022733">
              <w:rPr>
                <w:rFonts w:ascii="Arial" w:hAnsi="Arial" w:cs="Arial"/>
                <w:i/>
                <w:iCs/>
              </w:rPr>
              <w:t>levels of consistency and containment of difficulties.'</w:t>
            </w:r>
          </w:p>
          <w:p w14:paraId="5033263B" w14:textId="77777777" w:rsidR="004447F6" w:rsidRPr="00022733" w:rsidRDefault="004447F6" w:rsidP="009750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C84A8DF" w14:textId="41B4583D" w:rsidR="000A5A33" w:rsidRPr="00022733" w:rsidRDefault="009750E7" w:rsidP="00F902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2733">
              <w:rPr>
                <w:rFonts w:ascii="Arial" w:hAnsi="Arial" w:cs="Arial"/>
              </w:rPr>
              <w:t xml:space="preserve">When making a recommendation regarding future placement Dr Kirin states that; </w:t>
            </w:r>
            <w:r w:rsidRPr="00022733">
              <w:rPr>
                <w:rFonts w:ascii="Arial" w:hAnsi="Arial" w:cs="Arial"/>
                <w:i/>
                <w:iCs/>
              </w:rPr>
              <w:t>Any exploration of</w:t>
            </w:r>
            <w:r w:rsidR="00F90250" w:rsidRPr="00022733">
              <w:rPr>
                <w:rFonts w:ascii="Arial" w:hAnsi="Arial" w:cs="Arial"/>
                <w:i/>
                <w:iCs/>
              </w:rPr>
              <w:t xml:space="preserve"> </w:t>
            </w:r>
            <w:r w:rsidRPr="00022733">
              <w:rPr>
                <w:rFonts w:ascii="Arial" w:hAnsi="Arial" w:cs="Arial"/>
                <w:i/>
                <w:iCs/>
              </w:rPr>
              <w:t>residential placement for YP would need to consider settings that would be able to provide consistency in</w:t>
            </w:r>
            <w:r w:rsidR="00F90250" w:rsidRPr="00022733">
              <w:rPr>
                <w:rFonts w:ascii="Arial" w:hAnsi="Arial" w:cs="Arial"/>
                <w:i/>
                <w:iCs/>
              </w:rPr>
              <w:t xml:space="preserve"> </w:t>
            </w:r>
            <w:r w:rsidRPr="00022733">
              <w:rPr>
                <w:rFonts w:ascii="Arial" w:hAnsi="Arial" w:cs="Arial"/>
                <w:i/>
                <w:iCs/>
              </w:rPr>
              <w:t xml:space="preserve">interactions, predictability in expectations, strict boundaries, friendly </w:t>
            </w:r>
            <w:proofErr w:type="gramStart"/>
            <w:r w:rsidRPr="00022733">
              <w:rPr>
                <w:rFonts w:ascii="Arial" w:hAnsi="Arial" w:cs="Arial"/>
                <w:i/>
                <w:iCs/>
              </w:rPr>
              <w:t>approach</w:t>
            </w:r>
            <w:proofErr w:type="gramEnd"/>
            <w:r w:rsidRPr="00022733">
              <w:rPr>
                <w:rFonts w:ascii="Arial" w:hAnsi="Arial" w:cs="Arial"/>
                <w:i/>
                <w:iCs/>
              </w:rPr>
              <w:t xml:space="preserve"> and minimal distractions which</w:t>
            </w:r>
            <w:r w:rsidR="00F90250" w:rsidRPr="00022733">
              <w:rPr>
                <w:rFonts w:ascii="Arial" w:hAnsi="Arial" w:cs="Arial"/>
                <w:i/>
                <w:iCs/>
              </w:rPr>
              <w:t xml:space="preserve"> </w:t>
            </w:r>
            <w:r w:rsidRPr="00022733">
              <w:rPr>
                <w:rFonts w:ascii="Arial" w:hAnsi="Arial" w:cs="Arial"/>
                <w:i/>
                <w:iCs/>
              </w:rPr>
              <w:t>seem to have a containing effect on YP's difficulties. Staff of any residential placement unit will need to be</w:t>
            </w:r>
            <w:r w:rsidR="00F90250" w:rsidRPr="00022733">
              <w:rPr>
                <w:rFonts w:ascii="Arial" w:hAnsi="Arial" w:cs="Arial"/>
                <w:i/>
                <w:iCs/>
              </w:rPr>
              <w:t xml:space="preserve"> </w:t>
            </w:r>
            <w:r w:rsidRPr="00022733">
              <w:rPr>
                <w:rFonts w:ascii="Arial" w:hAnsi="Arial" w:cs="Arial"/>
                <w:i/>
                <w:iCs/>
              </w:rPr>
              <w:t>completely aware of YP's needs and the resources that will need to be in place to support YP and to</w:t>
            </w:r>
            <w:r w:rsidR="004447F6" w:rsidRPr="00022733">
              <w:rPr>
                <w:rFonts w:ascii="Arial" w:hAnsi="Arial" w:cs="Arial"/>
                <w:i/>
                <w:iCs/>
              </w:rPr>
              <w:t xml:space="preserve"> </w:t>
            </w:r>
            <w:r w:rsidRPr="00022733">
              <w:rPr>
                <w:rFonts w:ascii="Arial" w:hAnsi="Arial" w:cs="Arial"/>
                <w:i/>
                <w:iCs/>
              </w:rPr>
              <w:t>manage her difficulties. The multi-agency support system should be structured to support the residential setting</w:t>
            </w:r>
            <w:r w:rsidR="00F90250" w:rsidRPr="00022733">
              <w:rPr>
                <w:rFonts w:ascii="Arial" w:hAnsi="Arial" w:cs="Arial"/>
                <w:i/>
                <w:iCs/>
              </w:rPr>
              <w:t xml:space="preserve"> </w:t>
            </w:r>
            <w:r w:rsidRPr="00022733">
              <w:rPr>
                <w:rFonts w:ascii="Arial" w:hAnsi="Arial" w:cs="Arial"/>
                <w:i/>
                <w:iCs/>
              </w:rPr>
              <w:t>in supporting YP. Any further breakdowns in residential placement can only serve to enhance YP's</w:t>
            </w:r>
            <w:r w:rsidR="00F90250" w:rsidRPr="00022733">
              <w:rPr>
                <w:rFonts w:ascii="Arial" w:hAnsi="Arial" w:cs="Arial"/>
                <w:i/>
                <w:iCs/>
              </w:rPr>
              <w:t xml:space="preserve"> </w:t>
            </w:r>
            <w:r w:rsidRPr="00022733">
              <w:rPr>
                <w:rFonts w:ascii="Arial" w:hAnsi="Arial" w:cs="Arial"/>
                <w:i/>
                <w:iCs/>
              </w:rPr>
              <w:t>perception of inconsistency and deepen the ambivalent attachment patterns that sees carers as unreliable.</w:t>
            </w:r>
          </w:p>
          <w:p w14:paraId="0DE685FE" w14:textId="5EFA0351" w:rsidR="000A5A33" w:rsidRPr="00022733" w:rsidRDefault="000A5A33" w:rsidP="000A5A33">
            <w:pPr>
              <w:rPr>
                <w:rFonts w:ascii="Arial" w:hAnsi="Arial" w:cs="Arial"/>
              </w:rPr>
            </w:pPr>
          </w:p>
        </w:tc>
      </w:tr>
    </w:tbl>
    <w:p w14:paraId="51D4FFF4" w14:textId="77777777" w:rsidR="000A5A33" w:rsidRPr="00022733" w:rsidRDefault="000A5A33" w:rsidP="000A5A33">
      <w:pPr>
        <w:spacing w:after="0"/>
        <w:rPr>
          <w:rFonts w:ascii="Arial" w:hAnsi="Arial" w:cs="Arial"/>
        </w:rPr>
      </w:pPr>
    </w:p>
    <w:p w14:paraId="219694EB" w14:textId="221384E9" w:rsidR="00121D9C" w:rsidRPr="00022733" w:rsidRDefault="00121D9C" w:rsidP="000A5A33">
      <w:pPr>
        <w:spacing w:after="120"/>
        <w:rPr>
          <w:rFonts w:ascii="Arial" w:hAnsi="Arial" w:cs="Arial"/>
          <w:b/>
          <w:bCs/>
        </w:rPr>
      </w:pPr>
      <w:r w:rsidRPr="00022733">
        <w:rPr>
          <w:rFonts w:ascii="Arial" w:hAnsi="Arial" w:cs="Arial"/>
          <w:b/>
          <w:bCs/>
        </w:rPr>
        <w:t xml:space="preserve">What we require? </w:t>
      </w:r>
    </w:p>
    <w:p w14:paraId="29966482" w14:textId="3A9CFCD4" w:rsidR="00121D9C" w:rsidRPr="00022733" w:rsidRDefault="00121D9C" w:rsidP="000A5A3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22733">
        <w:rPr>
          <w:rFonts w:ascii="Arial" w:hAnsi="Arial" w:cs="Arial"/>
        </w:rPr>
        <w:t xml:space="preserve">To </w:t>
      </w:r>
      <w:proofErr w:type="gramStart"/>
      <w:r w:rsidRPr="00022733">
        <w:rPr>
          <w:rFonts w:ascii="Arial" w:hAnsi="Arial" w:cs="Arial"/>
        </w:rPr>
        <w:t>open up</w:t>
      </w:r>
      <w:proofErr w:type="gramEnd"/>
      <w:r w:rsidRPr="00022733">
        <w:rPr>
          <w:rFonts w:ascii="Arial" w:hAnsi="Arial" w:cs="Arial"/>
        </w:rPr>
        <w:t xml:space="preserve"> discussion with providers about the development of ‘new’ registered children’s home provision in County Durham or in the surrounding area to meet the specific needs of the young person. </w:t>
      </w:r>
    </w:p>
    <w:p w14:paraId="339C1EF1" w14:textId="18D44C73" w:rsidR="00636B1E" w:rsidRPr="00022733" w:rsidRDefault="00636B1E" w:rsidP="000A5A3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22733">
        <w:rPr>
          <w:rFonts w:ascii="Arial" w:hAnsi="Arial" w:cs="Arial"/>
        </w:rPr>
        <w:t xml:space="preserve">The home is for one young person initially, with the flexibility to move in a second young person </w:t>
      </w:r>
      <w:proofErr w:type="gramStart"/>
      <w:r w:rsidRPr="00022733">
        <w:rPr>
          <w:rFonts w:ascii="Arial" w:hAnsi="Arial" w:cs="Arial"/>
        </w:rPr>
        <w:t>at a later date</w:t>
      </w:r>
      <w:proofErr w:type="gramEnd"/>
      <w:r w:rsidRPr="00022733">
        <w:rPr>
          <w:rFonts w:ascii="Arial" w:hAnsi="Arial" w:cs="Arial"/>
        </w:rPr>
        <w:t>, subject to a positive matching exercise</w:t>
      </w:r>
      <w:r w:rsidR="00022733">
        <w:rPr>
          <w:rFonts w:ascii="Arial" w:hAnsi="Arial" w:cs="Arial"/>
        </w:rPr>
        <w:t>.</w:t>
      </w:r>
    </w:p>
    <w:p w14:paraId="7A73A2DD" w14:textId="5C6D1F77" w:rsidR="003370EC" w:rsidRPr="00022733" w:rsidRDefault="003370EC" w:rsidP="000A5A3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22733">
        <w:rPr>
          <w:rFonts w:ascii="Arial" w:hAnsi="Arial" w:cs="Arial"/>
        </w:rPr>
        <w:t xml:space="preserve">A provider </w:t>
      </w:r>
      <w:r w:rsidR="00636B1E" w:rsidRPr="00022733">
        <w:rPr>
          <w:rFonts w:ascii="Arial" w:hAnsi="Arial" w:cs="Arial"/>
        </w:rPr>
        <w:t xml:space="preserve">may already have a registered children’s home with a highly experienced registered manager and are able to develop a smaller satellite home. </w:t>
      </w:r>
    </w:p>
    <w:p w14:paraId="0595349C" w14:textId="7725C349" w:rsidR="00121D9C" w:rsidRPr="00022733" w:rsidRDefault="00121D9C" w:rsidP="000A5A3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22733">
        <w:rPr>
          <w:rFonts w:ascii="Arial" w:hAnsi="Arial" w:cs="Arial"/>
        </w:rPr>
        <w:t>Provider’s that have knowledge and experience of working with children with complex needs and within Ofsted’s Regulatory Framework.</w:t>
      </w:r>
    </w:p>
    <w:p w14:paraId="4B09A086" w14:textId="23858B68" w:rsidR="000439E3" w:rsidRPr="00022733" w:rsidRDefault="00121D9C" w:rsidP="000A5A3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22733">
        <w:rPr>
          <w:rFonts w:ascii="Arial" w:hAnsi="Arial" w:cs="Arial"/>
        </w:rPr>
        <w:t>Providers that have a track record of achieving positive outcomes for children / young people, who provide consistent good quality care and who demonstrate stickability</w:t>
      </w:r>
      <w:r w:rsidR="00022733">
        <w:rPr>
          <w:rFonts w:ascii="Arial" w:hAnsi="Arial" w:cs="Arial"/>
        </w:rPr>
        <w:t>.</w:t>
      </w:r>
    </w:p>
    <w:p w14:paraId="5E7A079D" w14:textId="77777777" w:rsidR="000A5A33" w:rsidRPr="00022733" w:rsidRDefault="000A5A33" w:rsidP="00022733">
      <w:pPr>
        <w:spacing w:after="0"/>
        <w:rPr>
          <w:rFonts w:ascii="Arial" w:hAnsi="Arial" w:cs="Arial"/>
        </w:rPr>
      </w:pPr>
    </w:p>
    <w:p w14:paraId="114AB8B3" w14:textId="1A47D46E" w:rsidR="000439E3" w:rsidRPr="00022733" w:rsidRDefault="000439E3" w:rsidP="000A5A33">
      <w:pPr>
        <w:spacing w:after="120"/>
        <w:rPr>
          <w:rFonts w:ascii="Arial" w:hAnsi="Arial" w:cs="Arial"/>
          <w:b/>
          <w:bCs/>
        </w:rPr>
      </w:pPr>
      <w:r w:rsidRPr="00022733">
        <w:rPr>
          <w:rFonts w:ascii="Arial" w:hAnsi="Arial" w:cs="Arial"/>
          <w:b/>
          <w:bCs/>
        </w:rPr>
        <w:t>What we will offer as a Local Authority:</w:t>
      </w:r>
    </w:p>
    <w:p w14:paraId="7EC1C53F" w14:textId="5541CE07" w:rsidR="00121D9C" w:rsidRPr="00022733" w:rsidRDefault="000439E3" w:rsidP="000A5A3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022733">
        <w:rPr>
          <w:rFonts w:ascii="Arial" w:hAnsi="Arial" w:cs="Arial"/>
        </w:rPr>
        <w:t xml:space="preserve">Tailored multi-agency </w:t>
      </w:r>
      <w:r w:rsidR="00636B1E" w:rsidRPr="00022733">
        <w:rPr>
          <w:rFonts w:ascii="Arial" w:hAnsi="Arial" w:cs="Arial"/>
        </w:rPr>
        <w:t xml:space="preserve">planning </w:t>
      </w:r>
      <w:r w:rsidRPr="00022733">
        <w:rPr>
          <w:rFonts w:ascii="Arial" w:hAnsi="Arial" w:cs="Arial"/>
        </w:rPr>
        <w:t>about the additional support and resources that can be offered in line with the needs of the child</w:t>
      </w:r>
      <w:r w:rsidR="00022733">
        <w:rPr>
          <w:rFonts w:ascii="Arial" w:hAnsi="Arial" w:cs="Arial"/>
        </w:rPr>
        <w:t>.</w:t>
      </w:r>
    </w:p>
    <w:p w14:paraId="6E649CEC" w14:textId="0A3C21FF" w:rsidR="000439E3" w:rsidRPr="00022733" w:rsidRDefault="000439E3" w:rsidP="000A5A3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022733">
        <w:rPr>
          <w:rFonts w:ascii="Arial" w:hAnsi="Arial" w:cs="Arial"/>
        </w:rPr>
        <w:t>A dedicated point of contact for advice when setting up a home in Durham</w:t>
      </w:r>
      <w:r w:rsidR="00022733">
        <w:rPr>
          <w:rFonts w:ascii="Arial" w:hAnsi="Arial" w:cs="Arial"/>
        </w:rPr>
        <w:t>.</w:t>
      </w:r>
    </w:p>
    <w:p w14:paraId="5CBBAC08" w14:textId="3FF0F1E7" w:rsidR="0050673D" w:rsidRPr="00022733" w:rsidRDefault="0050673D" w:rsidP="000A5A3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022733">
        <w:rPr>
          <w:rFonts w:ascii="Arial" w:hAnsi="Arial" w:cs="Arial"/>
        </w:rPr>
        <w:lastRenderedPageBreak/>
        <w:t>A letter of support for the change of use planning process</w:t>
      </w:r>
      <w:r w:rsidR="00022733">
        <w:rPr>
          <w:rFonts w:ascii="Arial" w:hAnsi="Arial" w:cs="Arial"/>
        </w:rPr>
        <w:t>.</w:t>
      </w:r>
    </w:p>
    <w:p w14:paraId="7D9E6A83" w14:textId="7E44845D" w:rsidR="000439E3" w:rsidRPr="00022733" w:rsidRDefault="000439E3" w:rsidP="000A5A3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022733">
        <w:rPr>
          <w:rFonts w:ascii="Arial" w:hAnsi="Arial" w:cs="Arial"/>
        </w:rPr>
        <w:t>A dedicated point of contact when the home is operational</w:t>
      </w:r>
      <w:r w:rsidR="00022733">
        <w:rPr>
          <w:rFonts w:ascii="Arial" w:hAnsi="Arial" w:cs="Arial"/>
        </w:rPr>
        <w:t>.</w:t>
      </w:r>
      <w:r w:rsidRPr="00022733">
        <w:rPr>
          <w:rFonts w:ascii="Arial" w:hAnsi="Arial" w:cs="Arial"/>
        </w:rPr>
        <w:t xml:space="preserve"> </w:t>
      </w:r>
    </w:p>
    <w:p w14:paraId="7F0DF478" w14:textId="2596CD83" w:rsidR="00636B1E" w:rsidRPr="00022733" w:rsidRDefault="00416B05" w:rsidP="000A5A3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022733">
        <w:rPr>
          <w:rFonts w:ascii="Arial" w:hAnsi="Arial" w:cs="Arial"/>
        </w:rPr>
        <w:t xml:space="preserve">Linkages with the virtual school to ensure that children </w:t>
      </w:r>
      <w:proofErr w:type="gramStart"/>
      <w:r w:rsidRPr="00022733">
        <w:rPr>
          <w:rFonts w:ascii="Arial" w:hAnsi="Arial" w:cs="Arial"/>
        </w:rPr>
        <w:t>are able to</w:t>
      </w:r>
      <w:proofErr w:type="gramEnd"/>
      <w:r w:rsidRPr="00022733">
        <w:rPr>
          <w:rFonts w:ascii="Arial" w:hAnsi="Arial" w:cs="Arial"/>
        </w:rPr>
        <w:t xml:space="preserve"> access suitable education provision in line with their individual needs</w:t>
      </w:r>
      <w:r w:rsidR="00022733">
        <w:rPr>
          <w:rFonts w:ascii="Arial" w:hAnsi="Arial" w:cs="Arial"/>
        </w:rPr>
        <w:t>.</w:t>
      </w:r>
    </w:p>
    <w:p w14:paraId="44808E13" w14:textId="2556D975" w:rsidR="00416B05" w:rsidRPr="00022733" w:rsidRDefault="00416B05" w:rsidP="000A5A3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022733">
        <w:rPr>
          <w:rFonts w:ascii="Arial" w:hAnsi="Arial" w:cs="Arial"/>
        </w:rPr>
        <w:t>Access to an advocacy and independent visitor service</w:t>
      </w:r>
      <w:r w:rsidR="00022733">
        <w:rPr>
          <w:rFonts w:ascii="Arial" w:hAnsi="Arial" w:cs="Arial"/>
        </w:rPr>
        <w:t>.</w:t>
      </w:r>
    </w:p>
    <w:p w14:paraId="5DF56684" w14:textId="77777777" w:rsidR="00416B05" w:rsidRPr="00022733" w:rsidRDefault="00416B05" w:rsidP="000A5A33">
      <w:pPr>
        <w:pStyle w:val="ListParagraph"/>
        <w:spacing w:after="0"/>
        <w:ind w:left="0"/>
        <w:rPr>
          <w:rFonts w:ascii="Arial" w:hAnsi="Arial" w:cs="Arial"/>
        </w:rPr>
      </w:pPr>
    </w:p>
    <w:p w14:paraId="2FCB3EAB" w14:textId="384761A3" w:rsidR="000439E3" w:rsidRPr="00022733" w:rsidRDefault="0050673D" w:rsidP="000A5A33">
      <w:pPr>
        <w:spacing w:after="0"/>
        <w:rPr>
          <w:rFonts w:ascii="Arial" w:hAnsi="Arial" w:cs="Arial"/>
        </w:rPr>
      </w:pPr>
      <w:r w:rsidRPr="00022733">
        <w:rPr>
          <w:rFonts w:ascii="Arial" w:hAnsi="Arial" w:cs="Arial"/>
        </w:rPr>
        <w:t xml:space="preserve"> </w:t>
      </w:r>
    </w:p>
    <w:sectPr w:rsidR="000439E3" w:rsidRPr="00022733" w:rsidSect="00022733">
      <w:headerReference w:type="default" r:id="rId7"/>
      <w:pgSz w:w="11906" w:h="16838"/>
      <w:pgMar w:top="85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E3F45" w14:textId="77777777" w:rsidR="007C6B76" w:rsidRDefault="007C6B76" w:rsidP="000A5A33">
      <w:pPr>
        <w:spacing w:after="0" w:line="240" w:lineRule="auto"/>
      </w:pPr>
      <w:r>
        <w:separator/>
      </w:r>
    </w:p>
  </w:endnote>
  <w:endnote w:type="continuationSeparator" w:id="0">
    <w:p w14:paraId="18796B41" w14:textId="77777777" w:rsidR="007C6B76" w:rsidRDefault="007C6B76" w:rsidP="000A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39F02" w14:textId="77777777" w:rsidR="007C6B76" w:rsidRDefault="007C6B76" w:rsidP="000A5A33">
      <w:pPr>
        <w:spacing w:after="0" w:line="240" w:lineRule="auto"/>
      </w:pPr>
      <w:r>
        <w:separator/>
      </w:r>
    </w:p>
  </w:footnote>
  <w:footnote w:type="continuationSeparator" w:id="0">
    <w:p w14:paraId="2B1B40FB" w14:textId="77777777" w:rsidR="007C6B76" w:rsidRDefault="007C6B76" w:rsidP="000A5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A492A" w14:textId="575DE585" w:rsidR="000A5A33" w:rsidRDefault="000A5A33">
    <w:pPr>
      <w:pStyle w:val="Header"/>
    </w:pPr>
    <w:r w:rsidRPr="004D14F6">
      <w:rPr>
        <w:rFonts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0" allowOverlap="1" wp14:anchorId="4E845DA6" wp14:editId="3D83F1EC">
          <wp:simplePos x="0" y="0"/>
          <wp:positionH relativeFrom="column">
            <wp:posOffset>5313045</wp:posOffset>
          </wp:positionH>
          <wp:positionV relativeFrom="paragraph">
            <wp:posOffset>-168274</wp:posOffset>
          </wp:positionV>
          <wp:extent cx="1130300" cy="482040"/>
          <wp:effectExtent l="0" t="0" r="0" b="0"/>
          <wp:wrapNone/>
          <wp:docPr id="2" name="Picture 2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039" cy="4853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7BE2"/>
    <w:multiLevelType w:val="hybridMultilevel"/>
    <w:tmpl w:val="CBCCE1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9B5EBB"/>
    <w:multiLevelType w:val="hybridMultilevel"/>
    <w:tmpl w:val="FAF63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18"/>
    <w:rsid w:val="00022733"/>
    <w:rsid w:val="000439E3"/>
    <w:rsid w:val="000A5A33"/>
    <w:rsid w:val="00121D9C"/>
    <w:rsid w:val="003370EC"/>
    <w:rsid w:val="003C2118"/>
    <w:rsid w:val="00416B05"/>
    <w:rsid w:val="004447F6"/>
    <w:rsid w:val="0050673D"/>
    <w:rsid w:val="00636B1E"/>
    <w:rsid w:val="007C6B76"/>
    <w:rsid w:val="0097002C"/>
    <w:rsid w:val="009750E7"/>
    <w:rsid w:val="00B156EB"/>
    <w:rsid w:val="00B96785"/>
    <w:rsid w:val="00F9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09BD1"/>
  <w15:chartTrackingRefBased/>
  <w15:docId w15:val="{2580F411-80B4-4248-8832-32BF85DD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D9C"/>
    <w:pPr>
      <w:ind w:left="720"/>
      <w:contextualSpacing/>
    </w:pPr>
  </w:style>
  <w:style w:type="table" w:styleId="TableGrid">
    <w:name w:val="Table Grid"/>
    <w:basedOn w:val="TableNormal"/>
    <w:uiPriority w:val="59"/>
    <w:rsid w:val="000A5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5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A33"/>
  </w:style>
  <w:style w:type="paragraph" w:styleId="Footer">
    <w:name w:val="footer"/>
    <w:basedOn w:val="Normal"/>
    <w:link w:val="FooterChar"/>
    <w:uiPriority w:val="99"/>
    <w:unhideWhenUsed/>
    <w:rsid w:val="000A5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Herring</dc:creator>
  <cp:keywords/>
  <dc:description/>
  <cp:lastModifiedBy>Lisa Noble</cp:lastModifiedBy>
  <cp:revision>2</cp:revision>
  <dcterms:created xsi:type="dcterms:W3CDTF">2021-12-21T13:43:00Z</dcterms:created>
  <dcterms:modified xsi:type="dcterms:W3CDTF">2021-12-21T13:43:00Z</dcterms:modified>
</cp:coreProperties>
</file>