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32F4" w14:textId="271889A4" w:rsidR="00A6637B" w:rsidRPr="00556AF8" w:rsidRDefault="00A6637B" w:rsidP="00A6637B">
      <w:pPr>
        <w:rPr>
          <w:rFonts w:ascii="Arial" w:hAnsi="Arial" w:cs="Arial"/>
          <w:sz w:val="24"/>
          <w:szCs w:val="24"/>
        </w:rPr>
      </w:pPr>
    </w:p>
    <w:p w14:paraId="48C3850B" w14:textId="77777777" w:rsidR="00A6637B" w:rsidRPr="00552E0D" w:rsidRDefault="00A6637B" w:rsidP="00A6637B">
      <w:pPr>
        <w:jc w:val="right"/>
        <w:rPr>
          <w:rFonts w:ascii="Arial" w:hAnsi="Arial" w:cs="Arial"/>
        </w:rPr>
      </w:pPr>
      <w:r w:rsidRPr="00552E0D">
        <w:rPr>
          <w:rFonts w:ascii="Arial" w:eastAsia="Times New Roman" w:hAnsi="Arial" w:cs="Arial"/>
          <w:noProof/>
        </w:rPr>
        <w:drawing>
          <wp:inline distT="0" distB="0" distL="0" distR="0" wp14:anchorId="2D1B4EC0" wp14:editId="0BA8F7C5">
            <wp:extent cx="1911927" cy="57099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22" cy="57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EBAF9" w14:textId="77777777" w:rsidR="00A6637B" w:rsidRPr="00F474CE" w:rsidRDefault="00A6637B" w:rsidP="00A663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Arial" w:eastAsia="Times New Roman" w:hAnsi="Arial" w:cs="Arial"/>
          <w:b/>
          <w:caps/>
          <w:kern w:val="32"/>
          <w:sz w:val="28"/>
          <w:szCs w:val="28"/>
        </w:rPr>
      </w:pPr>
      <w:r w:rsidRPr="00F474CE">
        <w:rPr>
          <w:rFonts w:ascii="Arial" w:eastAsia="Times New Roman" w:hAnsi="Arial" w:cs="Arial"/>
          <w:b/>
          <w:caps/>
          <w:kern w:val="32"/>
          <w:sz w:val="28"/>
          <w:szCs w:val="28"/>
        </w:rPr>
        <w:t>FREEDOM OF INFORMATION ACT</w:t>
      </w:r>
      <w:r w:rsidR="00D36D01" w:rsidRPr="00F474CE">
        <w:rPr>
          <w:rFonts w:ascii="Arial" w:eastAsia="Times New Roman" w:hAnsi="Arial" w:cs="Arial"/>
          <w:b/>
          <w:caps/>
          <w:kern w:val="32"/>
          <w:sz w:val="28"/>
          <w:szCs w:val="28"/>
        </w:rPr>
        <w:t xml:space="preserve"> &amp; Environmental INFORMATION REGULATIONS</w:t>
      </w:r>
    </w:p>
    <w:p w14:paraId="0BF7B03C" w14:textId="77777777" w:rsidR="00A6637B" w:rsidRPr="00556AF8" w:rsidRDefault="00A6637B" w:rsidP="00A6637B">
      <w:pPr>
        <w:numPr>
          <w:ilvl w:val="1"/>
          <w:numId w:val="0"/>
        </w:numPr>
        <w:tabs>
          <w:tab w:val="num" w:pos="709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556AF8">
        <w:rPr>
          <w:rFonts w:ascii="Arial" w:eastAsia="Times New Roman" w:hAnsi="Arial" w:cs="Arial"/>
          <w:sz w:val="24"/>
          <w:szCs w:val="24"/>
        </w:rPr>
        <w:t>The Council is committed to meeting its responsibilities under the Freedom of Information Act 2000 (FOIA)</w:t>
      </w:r>
      <w:r w:rsidR="003505E3" w:rsidRPr="00556AF8">
        <w:rPr>
          <w:rFonts w:ascii="Arial" w:eastAsia="Times New Roman" w:hAnsi="Arial" w:cs="Arial"/>
          <w:sz w:val="24"/>
          <w:szCs w:val="24"/>
        </w:rPr>
        <w:t xml:space="preserve"> and Environmental Information Regulations 2004 (EIR)</w:t>
      </w:r>
      <w:r w:rsidRPr="00556AF8">
        <w:rPr>
          <w:rFonts w:ascii="Arial" w:eastAsia="Times New Roman" w:hAnsi="Arial" w:cs="Arial"/>
          <w:sz w:val="24"/>
          <w:szCs w:val="24"/>
        </w:rPr>
        <w:t xml:space="preserve">. All information submitted to the authority may be subject to disclosure to a third party in response to a request for information under </w:t>
      </w:r>
      <w:r w:rsidR="003505E3" w:rsidRPr="00556AF8">
        <w:rPr>
          <w:rFonts w:ascii="Arial" w:eastAsia="Times New Roman" w:hAnsi="Arial" w:cs="Arial"/>
          <w:sz w:val="24"/>
          <w:szCs w:val="24"/>
        </w:rPr>
        <w:t>FOIA or EIR</w:t>
      </w:r>
      <w:r w:rsidRPr="00556AF8">
        <w:rPr>
          <w:rFonts w:ascii="Arial" w:eastAsia="Times New Roman" w:hAnsi="Arial" w:cs="Arial"/>
          <w:sz w:val="24"/>
          <w:szCs w:val="24"/>
        </w:rPr>
        <w:t xml:space="preserve">. The authority may also decide to include certain information in the publication scheme that we maintain under the </w:t>
      </w:r>
      <w:r w:rsidR="003505E3" w:rsidRPr="00556AF8">
        <w:rPr>
          <w:rFonts w:ascii="Arial" w:eastAsia="Times New Roman" w:hAnsi="Arial" w:cs="Arial"/>
          <w:sz w:val="24"/>
          <w:szCs w:val="24"/>
        </w:rPr>
        <w:t>FOIA</w:t>
      </w:r>
      <w:r w:rsidRPr="00556AF8">
        <w:rPr>
          <w:rFonts w:ascii="Arial" w:eastAsia="Times New Roman" w:hAnsi="Arial" w:cs="Arial"/>
          <w:sz w:val="24"/>
          <w:szCs w:val="24"/>
        </w:rPr>
        <w:t xml:space="preserve">. Tenderers are accordingly required to complete and return </w:t>
      </w:r>
      <w:r w:rsidR="003505E3" w:rsidRPr="00556AF8">
        <w:rPr>
          <w:rFonts w:ascii="Arial" w:eastAsia="Times New Roman" w:hAnsi="Arial" w:cs="Arial"/>
          <w:sz w:val="24"/>
          <w:szCs w:val="24"/>
        </w:rPr>
        <w:t xml:space="preserve">this </w:t>
      </w:r>
      <w:r w:rsidRPr="00556AF8">
        <w:rPr>
          <w:rFonts w:ascii="Arial" w:eastAsia="Times New Roman" w:hAnsi="Arial" w:cs="Arial"/>
          <w:sz w:val="24"/>
          <w:szCs w:val="24"/>
        </w:rPr>
        <w:t>Schedule with</w:t>
      </w:r>
      <w:r w:rsidR="005C5535" w:rsidRPr="00556AF8">
        <w:rPr>
          <w:rFonts w:ascii="Arial" w:eastAsia="Times New Roman" w:hAnsi="Arial" w:cs="Arial"/>
          <w:sz w:val="24"/>
          <w:szCs w:val="24"/>
        </w:rPr>
        <w:t xml:space="preserve"> </w:t>
      </w:r>
      <w:r w:rsidRPr="00556AF8">
        <w:rPr>
          <w:rFonts w:ascii="Arial" w:eastAsia="Times New Roman" w:hAnsi="Arial" w:cs="Arial"/>
          <w:sz w:val="24"/>
          <w:szCs w:val="24"/>
        </w:rPr>
        <w:t xml:space="preserve">their Tender for the purpose of identifying any information included in their submissions that they consider exempt from disclosure under the </w:t>
      </w:r>
      <w:r w:rsidR="003505E3" w:rsidRPr="00556AF8">
        <w:rPr>
          <w:rFonts w:ascii="Arial" w:eastAsia="Times New Roman" w:hAnsi="Arial" w:cs="Arial"/>
          <w:sz w:val="24"/>
          <w:szCs w:val="24"/>
        </w:rPr>
        <w:t>FOIA or EIR</w:t>
      </w:r>
      <w:r w:rsidRPr="00556AF8">
        <w:rPr>
          <w:rFonts w:ascii="Arial" w:eastAsia="Times New Roman" w:hAnsi="Arial" w:cs="Arial"/>
          <w:sz w:val="24"/>
          <w:szCs w:val="24"/>
        </w:rPr>
        <w:t xml:space="preserve">. </w:t>
      </w:r>
      <w:r w:rsidR="00FA5C1C" w:rsidRPr="00556AF8">
        <w:rPr>
          <w:rFonts w:ascii="Arial" w:eastAsia="Times New Roman" w:hAnsi="Arial" w:cs="Arial"/>
          <w:sz w:val="24"/>
          <w:szCs w:val="24"/>
        </w:rPr>
        <w:t>Tenderers should note that inclusion in this Schedule does not preclude disclosure in response</w:t>
      </w:r>
      <w:r w:rsidR="003505E3" w:rsidRPr="00556AF8">
        <w:rPr>
          <w:rFonts w:ascii="Arial" w:eastAsia="Times New Roman" w:hAnsi="Arial" w:cs="Arial"/>
          <w:sz w:val="24"/>
          <w:szCs w:val="24"/>
        </w:rPr>
        <w:t xml:space="preserve"> to an FOIA or EIR request, which remains at the authority’s absolute and sole discretion. </w:t>
      </w:r>
    </w:p>
    <w:tbl>
      <w:tblPr>
        <w:tblpPr w:leftFromText="180" w:rightFromText="180" w:vertAnchor="text" w:horzAnchor="margin" w:tblpXSpec="center" w:tblpY="34"/>
        <w:tblW w:w="903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1399"/>
        <w:gridCol w:w="5365"/>
        <w:gridCol w:w="2275"/>
      </w:tblGrid>
      <w:tr w:rsidR="00A6637B" w:rsidRPr="00556AF8" w14:paraId="36B02A56" w14:textId="77777777" w:rsidTr="00881C17">
        <w:trPr>
          <w:trHeight w:val="477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830B61A" w14:textId="77777777" w:rsidR="00A6637B" w:rsidRPr="00556AF8" w:rsidRDefault="00A6637B" w:rsidP="00881C17">
            <w:pPr>
              <w:tabs>
                <w:tab w:val="left" w:pos="141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19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56AF8">
              <w:rPr>
                <w:rFonts w:ascii="Arial" w:eastAsia="Times New Roman" w:hAnsi="Arial" w:cs="Arial"/>
                <w:sz w:val="24"/>
                <w:szCs w:val="24"/>
              </w:rPr>
              <w:t>Section of Tender Document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FC6E826" w14:textId="77777777" w:rsidR="00A6637B" w:rsidRPr="00556AF8" w:rsidRDefault="00A6637B" w:rsidP="00881C17">
            <w:pPr>
              <w:overflowPunct w:val="0"/>
              <w:autoSpaceDE w:val="0"/>
              <w:autoSpaceDN w:val="0"/>
              <w:adjustRightInd w:val="0"/>
              <w:spacing w:before="120" w:after="19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56AF8">
              <w:rPr>
                <w:rFonts w:ascii="Arial" w:eastAsia="Times New Roman" w:hAnsi="Arial" w:cs="Arial"/>
                <w:sz w:val="24"/>
                <w:szCs w:val="24"/>
              </w:rPr>
              <w:t>Area to be considered exempt from disclosure (including the applicable exemption &amp; reason given for its application)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CC4D870" w14:textId="77777777" w:rsidR="00A6637B" w:rsidRPr="00556AF8" w:rsidRDefault="00A6637B" w:rsidP="00881C17">
            <w:pPr>
              <w:overflowPunct w:val="0"/>
              <w:autoSpaceDE w:val="0"/>
              <w:autoSpaceDN w:val="0"/>
              <w:adjustRightInd w:val="0"/>
              <w:spacing w:before="120" w:after="19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56AF8">
              <w:rPr>
                <w:rFonts w:ascii="Arial" w:eastAsia="Times New Roman" w:hAnsi="Arial" w:cs="Arial"/>
                <w:sz w:val="24"/>
                <w:szCs w:val="24"/>
              </w:rPr>
              <w:t>How long exemption is considered to apply</w:t>
            </w:r>
          </w:p>
        </w:tc>
      </w:tr>
      <w:tr w:rsidR="00A6637B" w:rsidRPr="00556AF8" w14:paraId="52A7F5E9" w14:textId="77777777" w:rsidTr="00881C17">
        <w:trPr>
          <w:trHeight w:val="2566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5036E" w14:textId="77777777" w:rsidR="00A6637B" w:rsidRPr="00556AF8" w:rsidRDefault="00A6637B" w:rsidP="00881C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120" w:line="-67" w:lineRule="auto"/>
              <w:ind w:left="851" w:hanging="851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7152CD" w14:textId="77777777" w:rsidR="00A6637B" w:rsidRPr="00556AF8" w:rsidRDefault="00A6637B" w:rsidP="00881C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19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5305" w14:textId="77777777" w:rsidR="00A6637B" w:rsidRPr="00556AF8" w:rsidRDefault="00A6637B" w:rsidP="00881C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ind w:left="851" w:hanging="851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B7CAC5" w14:textId="77777777" w:rsidR="00A6637B" w:rsidRPr="00556AF8" w:rsidRDefault="00A6637B" w:rsidP="00881C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ind w:left="851" w:hanging="851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EACD3E" w14:textId="77777777" w:rsidR="00A6637B" w:rsidRPr="00556AF8" w:rsidRDefault="00A6637B" w:rsidP="00881C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ind w:left="851" w:hanging="851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D0B004" w14:textId="77777777" w:rsidR="00A6637B" w:rsidRPr="00556AF8" w:rsidRDefault="00A6637B" w:rsidP="00881C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ind w:left="851" w:hanging="851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FD8A41" w14:textId="77777777" w:rsidR="00A6637B" w:rsidRPr="00556AF8" w:rsidRDefault="00A6637B" w:rsidP="00881C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ind w:left="851" w:hanging="851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ADC2AC" w14:textId="77777777" w:rsidR="00A6637B" w:rsidRPr="00556AF8" w:rsidRDefault="00A6637B" w:rsidP="00B45123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11F90F" w14:textId="77777777" w:rsidR="00A6637B" w:rsidRPr="00556AF8" w:rsidRDefault="00A6637B" w:rsidP="00881C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ind w:left="851" w:hanging="851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8C6D40" w14:textId="77777777" w:rsidR="00985FAB" w:rsidRPr="00556AF8" w:rsidRDefault="00985FAB" w:rsidP="00985FAB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47D797" w14:textId="77777777" w:rsidR="00A6637B" w:rsidRDefault="00A6637B" w:rsidP="00881C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ind w:left="851" w:hanging="851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267D31" w14:textId="77777777" w:rsidR="00985FAB" w:rsidRDefault="00985FAB" w:rsidP="00881C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ind w:left="851" w:hanging="851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9DA9A0" w14:textId="77777777" w:rsidR="00985FAB" w:rsidRDefault="00985FAB" w:rsidP="00881C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ind w:left="851" w:hanging="851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813D62" w14:textId="77777777" w:rsidR="00985FAB" w:rsidRDefault="00985FAB" w:rsidP="00881C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ind w:left="851" w:hanging="851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1CC5C6" w14:textId="77777777" w:rsidR="00985FAB" w:rsidRDefault="00985FAB" w:rsidP="00881C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ind w:left="851" w:hanging="851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DC095C" w14:textId="77777777" w:rsidR="00985FAB" w:rsidRDefault="00985FAB" w:rsidP="00881C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ind w:left="851" w:hanging="851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30D41F" w14:textId="77777777" w:rsidR="005C5535" w:rsidRPr="00556AF8" w:rsidRDefault="005C5535" w:rsidP="00881C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ind w:left="851" w:hanging="851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468127" w14:textId="77777777" w:rsidR="005C5535" w:rsidRPr="00556AF8" w:rsidRDefault="005C5535" w:rsidP="00B45123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D5917A" w14:textId="77777777" w:rsidR="00A6637B" w:rsidRPr="00556AF8" w:rsidRDefault="00A6637B" w:rsidP="00B45123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AED22" w14:textId="77777777" w:rsidR="00A6637B" w:rsidRPr="00556AF8" w:rsidRDefault="00A6637B" w:rsidP="00881C17">
            <w:pPr>
              <w:tabs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120" w:after="24" w:line="-120" w:lineRule="auto"/>
              <w:ind w:left="851" w:hanging="851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091CD34" w14:textId="77777777" w:rsidR="00A6637B" w:rsidRDefault="00A6637B" w:rsidP="00DA5C0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808"/>
      </w:tblGrid>
      <w:tr w:rsidR="00985FAB" w14:paraId="060213F1" w14:textId="77777777" w:rsidTr="00985FAB">
        <w:tc>
          <w:tcPr>
            <w:tcW w:w="2235" w:type="dxa"/>
          </w:tcPr>
          <w:p w14:paraId="447A0A66" w14:textId="77777777" w:rsidR="00985FAB" w:rsidRDefault="00985FAB" w:rsidP="00DA5C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FAB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  <w:p w14:paraId="18EDC1F9" w14:textId="77777777" w:rsidR="00985FAB" w:rsidRPr="00985FAB" w:rsidRDefault="00985FAB" w:rsidP="00DA5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14:paraId="74373BE7" w14:textId="77777777" w:rsidR="00985FAB" w:rsidRDefault="00985FAB" w:rsidP="00DA5C01">
            <w:pPr>
              <w:rPr>
                <w:rFonts w:ascii="Arial" w:hAnsi="Arial" w:cs="Arial"/>
              </w:rPr>
            </w:pPr>
          </w:p>
        </w:tc>
      </w:tr>
      <w:tr w:rsidR="00985FAB" w14:paraId="586DACFD" w14:textId="77777777" w:rsidTr="00985FAB">
        <w:tc>
          <w:tcPr>
            <w:tcW w:w="2235" w:type="dxa"/>
          </w:tcPr>
          <w:p w14:paraId="18C3C451" w14:textId="77777777" w:rsidR="00985FAB" w:rsidRDefault="00985FAB" w:rsidP="00DA5C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FAB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  <w:p w14:paraId="294F2102" w14:textId="77777777" w:rsidR="00985FAB" w:rsidRPr="00985FAB" w:rsidRDefault="00985FAB" w:rsidP="00DA5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14:paraId="5BB20B70" w14:textId="77777777" w:rsidR="00985FAB" w:rsidRDefault="00985FAB" w:rsidP="00DA5C01">
            <w:pPr>
              <w:rPr>
                <w:rFonts w:ascii="Arial" w:hAnsi="Arial" w:cs="Arial"/>
              </w:rPr>
            </w:pPr>
          </w:p>
        </w:tc>
      </w:tr>
      <w:tr w:rsidR="00985FAB" w14:paraId="00534D60" w14:textId="77777777" w:rsidTr="00985FAB">
        <w:tc>
          <w:tcPr>
            <w:tcW w:w="2235" w:type="dxa"/>
          </w:tcPr>
          <w:p w14:paraId="029255EF" w14:textId="77777777" w:rsidR="00985FAB" w:rsidRDefault="00985FAB" w:rsidP="00DA5C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FAB">
              <w:rPr>
                <w:rFonts w:ascii="Arial" w:hAnsi="Arial" w:cs="Arial"/>
                <w:b/>
                <w:sz w:val="24"/>
                <w:szCs w:val="24"/>
              </w:rPr>
              <w:t>Dated</w:t>
            </w:r>
          </w:p>
          <w:p w14:paraId="42F75424" w14:textId="77777777" w:rsidR="00985FAB" w:rsidRPr="00985FAB" w:rsidRDefault="00985FAB" w:rsidP="00DA5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14:paraId="2563CA44" w14:textId="77777777" w:rsidR="00985FAB" w:rsidRDefault="00985FAB" w:rsidP="00DA5C01">
            <w:pPr>
              <w:rPr>
                <w:rFonts w:ascii="Arial" w:hAnsi="Arial" w:cs="Arial"/>
              </w:rPr>
            </w:pPr>
          </w:p>
        </w:tc>
      </w:tr>
      <w:tr w:rsidR="00985FAB" w14:paraId="10C50EE6" w14:textId="77777777" w:rsidTr="00985FAB">
        <w:tc>
          <w:tcPr>
            <w:tcW w:w="2235" w:type="dxa"/>
          </w:tcPr>
          <w:p w14:paraId="16CC17F8" w14:textId="77777777" w:rsidR="00985FAB" w:rsidRDefault="00985FAB" w:rsidP="00DA5C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FAB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  <w:p w14:paraId="2EC0527F" w14:textId="77777777" w:rsidR="00985FAB" w:rsidRPr="00985FAB" w:rsidRDefault="00985FAB" w:rsidP="00DA5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14:paraId="2329AC55" w14:textId="77777777" w:rsidR="00985FAB" w:rsidRDefault="00985FAB" w:rsidP="00DA5C01">
            <w:pPr>
              <w:rPr>
                <w:rFonts w:ascii="Arial" w:hAnsi="Arial" w:cs="Arial"/>
              </w:rPr>
            </w:pPr>
          </w:p>
        </w:tc>
      </w:tr>
      <w:tr w:rsidR="00985FAB" w14:paraId="3CBB76D7" w14:textId="77777777" w:rsidTr="00985FAB">
        <w:tc>
          <w:tcPr>
            <w:tcW w:w="2235" w:type="dxa"/>
          </w:tcPr>
          <w:p w14:paraId="72D9551C" w14:textId="77777777" w:rsidR="00985FAB" w:rsidRDefault="00985FAB" w:rsidP="00DA5C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FAB">
              <w:rPr>
                <w:rFonts w:ascii="Arial" w:hAnsi="Arial" w:cs="Arial"/>
                <w:b/>
                <w:sz w:val="24"/>
                <w:szCs w:val="24"/>
              </w:rPr>
              <w:t>Company Name</w:t>
            </w:r>
          </w:p>
          <w:p w14:paraId="16A2FEEC" w14:textId="77777777" w:rsidR="00985FAB" w:rsidRPr="00985FAB" w:rsidRDefault="00985FAB" w:rsidP="00DA5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14:paraId="061A5F02" w14:textId="77777777" w:rsidR="00985FAB" w:rsidRDefault="00985FAB" w:rsidP="00DA5C01">
            <w:pPr>
              <w:rPr>
                <w:rFonts w:ascii="Arial" w:hAnsi="Arial" w:cs="Arial"/>
              </w:rPr>
            </w:pPr>
          </w:p>
        </w:tc>
      </w:tr>
    </w:tbl>
    <w:p w14:paraId="334D2155" w14:textId="77777777" w:rsidR="00D07359" w:rsidRDefault="00D07359" w:rsidP="00DA5C01">
      <w:pPr>
        <w:rPr>
          <w:rFonts w:ascii="Arial" w:hAnsi="Arial" w:cs="Arial"/>
        </w:rPr>
      </w:pPr>
    </w:p>
    <w:sectPr w:rsidR="00D07359" w:rsidSect="00556AF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B2D"/>
    <w:multiLevelType w:val="hybridMultilevel"/>
    <w:tmpl w:val="78526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B60"/>
    <w:multiLevelType w:val="hybridMultilevel"/>
    <w:tmpl w:val="99E2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976"/>
    <w:multiLevelType w:val="hybridMultilevel"/>
    <w:tmpl w:val="30B4D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22BA"/>
    <w:multiLevelType w:val="multilevel"/>
    <w:tmpl w:val="FFB0A30C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cs="Arial" w:hint="default"/>
        <w:b/>
        <w:bCs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307"/>
        </w:tabs>
        <w:ind w:left="1307" w:hanging="992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701" w:hanging="70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lowerRoman"/>
      <w:lvlText w:val="%5"/>
      <w:lvlJc w:val="left"/>
      <w:pPr>
        <w:tabs>
          <w:tab w:val="num" w:pos="1701"/>
        </w:tabs>
        <w:ind w:left="1701" w:hanging="709"/>
      </w:pPr>
      <w:rPr>
        <w:rFonts w:ascii="Arial" w:hAnsi="Arial" w:cs="Arial"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709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"/>
      <w:lvlJc w:val="left"/>
      <w:pPr>
        <w:tabs>
          <w:tab w:val="num" w:pos="1701"/>
        </w:tabs>
        <w:ind w:left="1701" w:hanging="709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none"/>
      <w:lvlText w:val="(not defined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none"/>
      <w:lvlText w:val="(not defined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4" w15:restartNumberingAfterBreak="0">
    <w:nsid w:val="2E3C6604"/>
    <w:multiLevelType w:val="hybridMultilevel"/>
    <w:tmpl w:val="C728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14A7A"/>
    <w:multiLevelType w:val="hybridMultilevel"/>
    <w:tmpl w:val="EBB0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84614"/>
    <w:multiLevelType w:val="hybridMultilevel"/>
    <w:tmpl w:val="86FA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56782"/>
    <w:multiLevelType w:val="hybridMultilevel"/>
    <w:tmpl w:val="49629446"/>
    <w:lvl w:ilvl="0" w:tplc="A78A05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5A8F"/>
    <w:multiLevelType w:val="hybridMultilevel"/>
    <w:tmpl w:val="E022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23F35"/>
    <w:multiLevelType w:val="hybridMultilevel"/>
    <w:tmpl w:val="1A381D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52"/>
    <w:rsid w:val="000031FA"/>
    <w:rsid w:val="00031F7B"/>
    <w:rsid w:val="000A7CBA"/>
    <w:rsid w:val="000B2E07"/>
    <w:rsid w:val="000C44F7"/>
    <w:rsid w:val="000E22AB"/>
    <w:rsid w:val="001F0152"/>
    <w:rsid w:val="00266C0C"/>
    <w:rsid w:val="00302AAD"/>
    <w:rsid w:val="003505E3"/>
    <w:rsid w:val="0038273A"/>
    <w:rsid w:val="00387182"/>
    <w:rsid w:val="00492503"/>
    <w:rsid w:val="004B33E4"/>
    <w:rsid w:val="004E7810"/>
    <w:rsid w:val="00537CCF"/>
    <w:rsid w:val="00556AF8"/>
    <w:rsid w:val="00561C8F"/>
    <w:rsid w:val="005C5535"/>
    <w:rsid w:val="006856CC"/>
    <w:rsid w:val="006A095A"/>
    <w:rsid w:val="006E0E5B"/>
    <w:rsid w:val="0070398E"/>
    <w:rsid w:val="007549C9"/>
    <w:rsid w:val="0077734F"/>
    <w:rsid w:val="00796965"/>
    <w:rsid w:val="00881C17"/>
    <w:rsid w:val="008C61FC"/>
    <w:rsid w:val="00915169"/>
    <w:rsid w:val="00985FAB"/>
    <w:rsid w:val="009B1BF6"/>
    <w:rsid w:val="00A57C11"/>
    <w:rsid w:val="00A6637B"/>
    <w:rsid w:val="00A704EA"/>
    <w:rsid w:val="00A81F75"/>
    <w:rsid w:val="00AA0D88"/>
    <w:rsid w:val="00AD5FA2"/>
    <w:rsid w:val="00B32CC6"/>
    <w:rsid w:val="00B45123"/>
    <w:rsid w:val="00BB146C"/>
    <w:rsid w:val="00BC246E"/>
    <w:rsid w:val="00C32460"/>
    <w:rsid w:val="00C75BEA"/>
    <w:rsid w:val="00D07359"/>
    <w:rsid w:val="00D36D01"/>
    <w:rsid w:val="00DA5C01"/>
    <w:rsid w:val="00DC407B"/>
    <w:rsid w:val="00E13479"/>
    <w:rsid w:val="00EE6862"/>
    <w:rsid w:val="00F43E4A"/>
    <w:rsid w:val="00F474CE"/>
    <w:rsid w:val="00F702F7"/>
    <w:rsid w:val="00FA3A64"/>
    <w:rsid w:val="00FA5C1C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03DE"/>
  <w15:docId w15:val="{12ABEDE3-05FD-4FCC-A5FA-BBF52ABB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37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637B"/>
    <w:pPr>
      <w:ind w:left="720"/>
      <w:contextualSpacing/>
    </w:pPr>
  </w:style>
  <w:style w:type="character" w:styleId="Hyperlink">
    <w:name w:val="Hyperlink"/>
    <w:basedOn w:val="DefaultParagraphFont"/>
    <w:unhideWhenUsed/>
    <w:rsid w:val="00A6637B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A6637B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7B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81C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4F7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4F7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Borough Council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Michelle McMenemy</cp:lastModifiedBy>
  <cp:revision>3</cp:revision>
  <dcterms:created xsi:type="dcterms:W3CDTF">2022-01-12T11:37:00Z</dcterms:created>
  <dcterms:modified xsi:type="dcterms:W3CDTF">2022-01-12T11:40:00Z</dcterms:modified>
</cp:coreProperties>
</file>