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F6ADE" w14:textId="0ABCB940" w:rsidR="00527F5D" w:rsidRPr="009A7878" w:rsidRDefault="009A7878" w:rsidP="009A7878">
      <w:pPr>
        <w:tabs>
          <w:tab w:val="left" w:pos="8789"/>
        </w:tabs>
        <w:spacing w:after="0" w:line="240" w:lineRule="auto"/>
        <w:jc w:val="center"/>
        <w:rPr>
          <w:rFonts w:cs="Arial"/>
          <w:b/>
          <w:sz w:val="24"/>
          <w:szCs w:val="24"/>
        </w:rPr>
      </w:pPr>
      <w:r w:rsidRPr="009A7878">
        <w:rPr>
          <w:rFonts w:cs="Arial"/>
          <w:b/>
          <w:sz w:val="24"/>
          <w:szCs w:val="24"/>
        </w:rPr>
        <w:t xml:space="preserve">DETAILS OF QUESTIONS/ANSWERS RAISED AT THE </w:t>
      </w:r>
      <w:r w:rsidR="006E00F8" w:rsidRPr="009A7878">
        <w:rPr>
          <w:rFonts w:cs="Arial"/>
          <w:b/>
          <w:sz w:val="24"/>
          <w:szCs w:val="24"/>
        </w:rPr>
        <w:t>SPECIALIST PPE</w:t>
      </w:r>
      <w:r w:rsidRPr="009A7878">
        <w:rPr>
          <w:rFonts w:cs="Arial"/>
          <w:b/>
          <w:sz w:val="24"/>
          <w:szCs w:val="24"/>
        </w:rPr>
        <w:t xml:space="preserve"> CLOTHING – EARLY ENGAGEMENT EVENT – 15</w:t>
      </w:r>
      <w:r w:rsidRPr="009A7878">
        <w:rPr>
          <w:rFonts w:cs="Arial"/>
          <w:b/>
          <w:sz w:val="24"/>
          <w:szCs w:val="24"/>
          <w:vertAlign w:val="superscript"/>
        </w:rPr>
        <w:t>TH</w:t>
      </w:r>
      <w:r w:rsidRPr="009A7878">
        <w:rPr>
          <w:rFonts w:cs="Arial"/>
          <w:b/>
          <w:sz w:val="24"/>
          <w:szCs w:val="24"/>
        </w:rPr>
        <w:t xml:space="preserve"> FEBRUARY 2019</w:t>
      </w:r>
    </w:p>
    <w:p w14:paraId="04F3BC37" w14:textId="77777777" w:rsidR="00527F5D" w:rsidRDefault="00527F5D" w:rsidP="000B2A56">
      <w:pPr>
        <w:spacing w:after="0" w:line="240" w:lineRule="auto"/>
        <w:rPr>
          <w:rFonts w:cs="Arial"/>
          <w:highlight w:val="yellow"/>
        </w:rPr>
      </w:pPr>
    </w:p>
    <w:p w14:paraId="15883D4F" w14:textId="77777777" w:rsidR="00527F5D" w:rsidRDefault="00527F5D" w:rsidP="000B2A56">
      <w:pPr>
        <w:spacing w:after="0" w:line="240" w:lineRule="auto"/>
        <w:rPr>
          <w:rFonts w:cs="Arial"/>
          <w:highlight w:val="yellow"/>
        </w:rPr>
      </w:pPr>
    </w:p>
    <w:tbl>
      <w:tblPr>
        <w:tblStyle w:val="TableGrid"/>
        <w:tblW w:w="0" w:type="auto"/>
        <w:tblLook w:val="04A0" w:firstRow="1" w:lastRow="0" w:firstColumn="1" w:lastColumn="0" w:noHBand="0" w:noVBand="1"/>
      </w:tblPr>
      <w:tblGrid>
        <w:gridCol w:w="4508"/>
        <w:gridCol w:w="5835"/>
      </w:tblGrid>
      <w:tr w:rsidR="00527F5D" w:rsidRPr="003E6E32" w14:paraId="4EB0367B" w14:textId="77777777" w:rsidTr="009A7878">
        <w:tc>
          <w:tcPr>
            <w:tcW w:w="4508" w:type="dxa"/>
            <w:shd w:val="clear" w:color="auto" w:fill="B6DDE8" w:themeFill="accent5" w:themeFillTint="66"/>
          </w:tcPr>
          <w:p w14:paraId="26A4C370" w14:textId="77777777" w:rsidR="00527F5D" w:rsidRPr="000B2A56" w:rsidRDefault="00527F5D" w:rsidP="000B2A56">
            <w:pPr>
              <w:jc w:val="center"/>
              <w:rPr>
                <w:rFonts w:cs="Arial"/>
                <w:b/>
              </w:rPr>
            </w:pPr>
            <w:r w:rsidRPr="000B2A56">
              <w:rPr>
                <w:rFonts w:cs="Arial"/>
                <w:b/>
              </w:rPr>
              <w:t>Question</w:t>
            </w:r>
          </w:p>
        </w:tc>
        <w:tc>
          <w:tcPr>
            <w:tcW w:w="5835" w:type="dxa"/>
            <w:shd w:val="clear" w:color="auto" w:fill="B6DDE8" w:themeFill="accent5" w:themeFillTint="66"/>
          </w:tcPr>
          <w:p w14:paraId="19EA5AF5" w14:textId="77777777" w:rsidR="00527F5D" w:rsidRPr="000B2A56" w:rsidRDefault="00527F5D" w:rsidP="000B2A56">
            <w:pPr>
              <w:jc w:val="center"/>
              <w:rPr>
                <w:rFonts w:cs="Arial"/>
                <w:b/>
              </w:rPr>
            </w:pPr>
            <w:r w:rsidRPr="000B2A56">
              <w:rPr>
                <w:rFonts w:cs="Arial"/>
                <w:b/>
              </w:rPr>
              <w:t>Answer</w:t>
            </w:r>
          </w:p>
        </w:tc>
      </w:tr>
      <w:tr w:rsidR="00527F5D" w:rsidRPr="003E6E32" w14:paraId="0A74F929" w14:textId="77777777" w:rsidTr="009A7878">
        <w:tc>
          <w:tcPr>
            <w:tcW w:w="4508" w:type="dxa"/>
          </w:tcPr>
          <w:p w14:paraId="5926DF7A" w14:textId="6F399CCA" w:rsidR="00527F5D" w:rsidRPr="000B2A56" w:rsidRDefault="00527F5D" w:rsidP="000B2A56">
            <w:pPr>
              <w:pStyle w:val="ListParagraph"/>
              <w:numPr>
                <w:ilvl w:val="0"/>
                <w:numId w:val="3"/>
              </w:numPr>
              <w:rPr>
                <w:rFonts w:ascii="Arial" w:hAnsi="Arial" w:cs="Arial"/>
              </w:rPr>
            </w:pPr>
            <w:r w:rsidRPr="000B2A56">
              <w:rPr>
                <w:rFonts w:ascii="Arial" w:hAnsi="Arial" w:cs="Arial"/>
              </w:rPr>
              <w:t>As part of the Marauding Terrorist Firearm Attack (MTFA) Lot will there also be a requirement for firefighting PPE?</w:t>
            </w:r>
          </w:p>
          <w:p w14:paraId="43584082" w14:textId="77777777" w:rsidR="00527F5D" w:rsidRPr="003E6E32" w:rsidRDefault="00527F5D" w:rsidP="009B52A8">
            <w:pPr>
              <w:rPr>
                <w:rFonts w:cs="Arial"/>
              </w:rPr>
            </w:pPr>
          </w:p>
        </w:tc>
        <w:tc>
          <w:tcPr>
            <w:tcW w:w="5835" w:type="dxa"/>
          </w:tcPr>
          <w:p w14:paraId="1FD8EE48" w14:textId="77777777" w:rsidR="00527F5D" w:rsidRDefault="00527F5D" w:rsidP="009B52A8">
            <w:pPr>
              <w:rPr>
                <w:rFonts w:cs="Arial"/>
              </w:rPr>
            </w:pPr>
            <w:r w:rsidRPr="003E6E32">
              <w:rPr>
                <w:rFonts w:cs="Arial"/>
              </w:rPr>
              <w:t>Over the top of this MTFA kit we will need oversized Firefighting suits in certain circumstances without hi viz markings. We would need to explore existing contractual arrangements further</w:t>
            </w:r>
            <w:r>
              <w:rPr>
                <w:rFonts w:cs="Arial"/>
              </w:rPr>
              <w:t xml:space="preserve"> in order to determine whether they are suitable or not.</w:t>
            </w:r>
          </w:p>
          <w:p w14:paraId="2BAF985D" w14:textId="77777777" w:rsidR="00527F5D" w:rsidRPr="003E6E32" w:rsidRDefault="00527F5D" w:rsidP="009B52A8">
            <w:pPr>
              <w:rPr>
                <w:rFonts w:cs="Arial"/>
              </w:rPr>
            </w:pPr>
          </w:p>
        </w:tc>
      </w:tr>
      <w:tr w:rsidR="00527F5D" w:rsidRPr="003E6E32" w14:paraId="5482F1A0" w14:textId="77777777" w:rsidTr="009A7878">
        <w:tc>
          <w:tcPr>
            <w:tcW w:w="4508" w:type="dxa"/>
          </w:tcPr>
          <w:p w14:paraId="44875769" w14:textId="487D01D5" w:rsidR="00527F5D" w:rsidRPr="000B2A56" w:rsidRDefault="00527F5D" w:rsidP="000B2A56">
            <w:pPr>
              <w:pStyle w:val="ListParagraph"/>
              <w:numPr>
                <w:ilvl w:val="0"/>
                <w:numId w:val="3"/>
              </w:numPr>
              <w:rPr>
                <w:rFonts w:ascii="Arial" w:hAnsi="Arial" w:cs="Arial"/>
              </w:rPr>
            </w:pPr>
            <w:r w:rsidRPr="000B2A56">
              <w:rPr>
                <w:rFonts w:ascii="Arial" w:hAnsi="Arial" w:cs="Arial"/>
              </w:rPr>
              <w:t>The Urban Search And Rescue (USAR) Lot does not detail Technical Rescue (TR) suits.  Where will this be covered?</w:t>
            </w:r>
          </w:p>
          <w:p w14:paraId="173135DB" w14:textId="77777777" w:rsidR="00527F5D" w:rsidRPr="003E6E32" w:rsidRDefault="00527F5D" w:rsidP="009B52A8">
            <w:pPr>
              <w:rPr>
                <w:rFonts w:cs="Arial"/>
              </w:rPr>
            </w:pPr>
          </w:p>
        </w:tc>
        <w:tc>
          <w:tcPr>
            <w:tcW w:w="5835" w:type="dxa"/>
          </w:tcPr>
          <w:p w14:paraId="55EBDCD0" w14:textId="77777777" w:rsidR="00527F5D" w:rsidRPr="003E6E32" w:rsidRDefault="00527F5D" w:rsidP="009B52A8">
            <w:pPr>
              <w:rPr>
                <w:rFonts w:cs="Arial"/>
              </w:rPr>
            </w:pPr>
            <w:r w:rsidRPr="003E6E32">
              <w:rPr>
                <w:rFonts w:cs="Arial"/>
              </w:rPr>
              <w:t>This may be covered under the Generic Lot</w:t>
            </w:r>
            <w:r>
              <w:rPr>
                <w:rFonts w:cs="Arial"/>
              </w:rPr>
              <w:t>.</w:t>
            </w:r>
          </w:p>
        </w:tc>
      </w:tr>
      <w:tr w:rsidR="00527F5D" w:rsidRPr="003E6E32" w14:paraId="1F1E5B39" w14:textId="77777777" w:rsidTr="009A7878">
        <w:tc>
          <w:tcPr>
            <w:tcW w:w="4508" w:type="dxa"/>
          </w:tcPr>
          <w:p w14:paraId="3E7C6DB4" w14:textId="67BF75F0" w:rsidR="00527F5D" w:rsidRPr="000B2A56" w:rsidRDefault="00527F5D" w:rsidP="000B2A56">
            <w:pPr>
              <w:pStyle w:val="ListParagraph"/>
              <w:numPr>
                <w:ilvl w:val="0"/>
                <w:numId w:val="3"/>
              </w:numPr>
              <w:rPr>
                <w:rFonts w:ascii="Arial" w:hAnsi="Arial" w:cs="Arial"/>
              </w:rPr>
            </w:pPr>
            <w:r w:rsidRPr="000B2A56">
              <w:rPr>
                <w:rFonts w:ascii="Arial" w:hAnsi="Arial" w:cs="Arial"/>
              </w:rPr>
              <w:t>Will Fire Investigation Rescue Technician (FIRT) suits be included in this procurement?</w:t>
            </w:r>
          </w:p>
        </w:tc>
        <w:tc>
          <w:tcPr>
            <w:tcW w:w="5835" w:type="dxa"/>
          </w:tcPr>
          <w:p w14:paraId="603A00E5" w14:textId="3D3C263D" w:rsidR="00527F5D" w:rsidRDefault="00527F5D" w:rsidP="009B52A8">
            <w:pPr>
              <w:rPr>
                <w:rFonts w:cs="Arial"/>
              </w:rPr>
            </w:pPr>
            <w:r>
              <w:rPr>
                <w:rFonts w:cs="Arial"/>
              </w:rPr>
              <w:t>I</w:t>
            </w:r>
            <w:r w:rsidRPr="003E6E32">
              <w:rPr>
                <w:rFonts w:cs="Arial"/>
              </w:rPr>
              <w:t xml:space="preserve">f it crosses a number of environmental specifications and </w:t>
            </w:r>
            <w:r>
              <w:rPr>
                <w:rFonts w:cs="Arial"/>
              </w:rPr>
              <w:t xml:space="preserve">can </w:t>
            </w:r>
            <w:r w:rsidRPr="003E6E32">
              <w:rPr>
                <w:rFonts w:cs="Arial"/>
              </w:rPr>
              <w:t xml:space="preserve">be done as a one item coverall, then it may be </w:t>
            </w:r>
            <w:r w:rsidR="000B2A56">
              <w:rPr>
                <w:rFonts w:cs="Arial"/>
              </w:rPr>
              <w:t>included</w:t>
            </w:r>
            <w:r>
              <w:rPr>
                <w:rFonts w:cs="Arial"/>
              </w:rPr>
              <w:t xml:space="preserve"> within the</w:t>
            </w:r>
            <w:r w:rsidRPr="003E6E32">
              <w:rPr>
                <w:rFonts w:cs="Arial"/>
              </w:rPr>
              <w:t xml:space="preserve"> generic specification.</w:t>
            </w:r>
          </w:p>
          <w:p w14:paraId="46895F6B" w14:textId="77777777" w:rsidR="00527F5D" w:rsidRPr="003E6E32" w:rsidRDefault="00527F5D" w:rsidP="009B52A8">
            <w:pPr>
              <w:rPr>
                <w:rFonts w:cs="Arial"/>
              </w:rPr>
            </w:pPr>
          </w:p>
        </w:tc>
      </w:tr>
      <w:tr w:rsidR="00527F5D" w:rsidRPr="003E6E32" w14:paraId="3EF92F98" w14:textId="77777777" w:rsidTr="009A7878">
        <w:tc>
          <w:tcPr>
            <w:tcW w:w="4508" w:type="dxa"/>
          </w:tcPr>
          <w:p w14:paraId="6A9E5AE4" w14:textId="4218FEC5" w:rsidR="00527F5D" w:rsidRPr="000B2A56" w:rsidRDefault="00527F5D" w:rsidP="000B2A56">
            <w:pPr>
              <w:pStyle w:val="ListParagraph"/>
              <w:numPr>
                <w:ilvl w:val="0"/>
                <w:numId w:val="3"/>
              </w:numPr>
              <w:rPr>
                <w:rFonts w:ascii="Arial" w:hAnsi="Arial" w:cs="Arial"/>
              </w:rPr>
            </w:pPr>
            <w:r w:rsidRPr="000B2A56">
              <w:rPr>
                <w:rFonts w:ascii="Arial" w:hAnsi="Arial" w:cs="Arial"/>
              </w:rPr>
              <w:t>Performance related products – how are you going to define this?</w:t>
            </w:r>
          </w:p>
          <w:p w14:paraId="5811DE14" w14:textId="77777777" w:rsidR="00527F5D" w:rsidRPr="003E6E32" w:rsidRDefault="00527F5D" w:rsidP="009B52A8">
            <w:pPr>
              <w:rPr>
                <w:rFonts w:cs="Arial"/>
              </w:rPr>
            </w:pPr>
          </w:p>
        </w:tc>
        <w:tc>
          <w:tcPr>
            <w:tcW w:w="5835" w:type="dxa"/>
          </w:tcPr>
          <w:p w14:paraId="40818BC5" w14:textId="717EAE99" w:rsidR="00527F5D" w:rsidRPr="003E6E32" w:rsidRDefault="00527F5D" w:rsidP="009B52A8">
            <w:pPr>
              <w:rPr>
                <w:rFonts w:cs="Arial"/>
              </w:rPr>
            </w:pPr>
            <w:r w:rsidRPr="003E6E32">
              <w:rPr>
                <w:rFonts w:cs="Arial"/>
              </w:rPr>
              <w:t>We have not decided what this is yet. We w</w:t>
            </w:r>
            <w:r>
              <w:rPr>
                <w:rFonts w:cs="Arial"/>
              </w:rPr>
              <w:t xml:space="preserve">ill need to </w:t>
            </w:r>
            <w:r w:rsidRPr="003E6E32">
              <w:rPr>
                <w:rFonts w:cs="Arial"/>
              </w:rPr>
              <w:t xml:space="preserve">consider what we need the kit to do and what standard is applicable to making the accessory on the kit. </w:t>
            </w:r>
            <w:r>
              <w:rPr>
                <w:rFonts w:cs="Arial"/>
              </w:rPr>
              <w:t>We</w:t>
            </w:r>
            <w:r w:rsidRPr="003E6E32">
              <w:rPr>
                <w:rFonts w:cs="Arial"/>
              </w:rPr>
              <w:t xml:space="preserve"> will need to engage with and understand stakeholders’ requirements more fully </w:t>
            </w:r>
            <w:r>
              <w:rPr>
                <w:rFonts w:cs="Arial"/>
              </w:rPr>
              <w:t>to inform any decision</w:t>
            </w:r>
            <w:r w:rsidRPr="003E6E32">
              <w:rPr>
                <w:rFonts w:cs="Arial"/>
              </w:rPr>
              <w:t>.</w:t>
            </w:r>
          </w:p>
          <w:p w14:paraId="44DBCAA0" w14:textId="77777777" w:rsidR="00527F5D" w:rsidRPr="003E6E32" w:rsidRDefault="00527F5D" w:rsidP="009B52A8">
            <w:pPr>
              <w:rPr>
                <w:rFonts w:cs="Arial"/>
              </w:rPr>
            </w:pPr>
          </w:p>
        </w:tc>
      </w:tr>
      <w:tr w:rsidR="00527F5D" w:rsidRPr="003E6E32" w14:paraId="7D783BFB" w14:textId="77777777" w:rsidTr="009A7878">
        <w:tc>
          <w:tcPr>
            <w:tcW w:w="4508" w:type="dxa"/>
          </w:tcPr>
          <w:p w14:paraId="78A3C164" w14:textId="6E36612E" w:rsidR="00527F5D" w:rsidRPr="000B2A56" w:rsidRDefault="00527F5D" w:rsidP="000B2A56">
            <w:pPr>
              <w:pStyle w:val="ListParagraph"/>
              <w:numPr>
                <w:ilvl w:val="0"/>
                <w:numId w:val="3"/>
              </w:numPr>
              <w:rPr>
                <w:rFonts w:ascii="Arial" w:hAnsi="Arial" w:cs="Arial"/>
              </w:rPr>
            </w:pPr>
            <w:r w:rsidRPr="000B2A56">
              <w:rPr>
                <w:rFonts w:ascii="Arial" w:hAnsi="Arial" w:cs="Arial"/>
              </w:rPr>
              <w:t>Will there be a requirement in the specifications for the winning bidders to maintain a record of wearers and trace and track assets?</w:t>
            </w:r>
          </w:p>
          <w:p w14:paraId="3D3F1E1A" w14:textId="77777777" w:rsidR="00527F5D" w:rsidRPr="003E6E32" w:rsidRDefault="00527F5D" w:rsidP="009B52A8">
            <w:pPr>
              <w:rPr>
                <w:rFonts w:cs="Arial"/>
              </w:rPr>
            </w:pPr>
          </w:p>
        </w:tc>
        <w:tc>
          <w:tcPr>
            <w:tcW w:w="5835" w:type="dxa"/>
          </w:tcPr>
          <w:p w14:paraId="2C4128A2" w14:textId="027B82E7" w:rsidR="00527F5D" w:rsidRDefault="00527F5D" w:rsidP="009B52A8">
            <w:pPr>
              <w:rPr>
                <w:rFonts w:cs="Arial"/>
              </w:rPr>
            </w:pPr>
            <w:r w:rsidRPr="003E6E32">
              <w:rPr>
                <w:rFonts w:cs="Arial"/>
              </w:rPr>
              <w:t>This is a crucial part of the regulations; Some Authorities may manage this themselves</w:t>
            </w:r>
            <w:r w:rsidR="000B2A56">
              <w:rPr>
                <w:rFonts w:cs="Arial"/>
              </w:rPr>
              <w:t>,</w:t>
            </w:r>
            <w:r w:rsidRPr="003E6E32">
              <w:rPr>
                <w:rFonts w:cs="Arial"/>
              </w:rPr>
              <w:t xml:space="preserve"> others may need suppliers.  We shall seek feedbac</w:t>
            </w:r>
            <w:r w:rsidR="000B2A56">
              <w:rPr>
                <w:rFonts w:cs="Arial"/>
              </w:rPr>
              <w:t>k from Stakeholders as to what/</w:t>
            </w:r>
            <w:r w:rsidRPr="003E6E32">
              <w:rPr>
                <w:rFonts w:cs="Arial"/>
              </w:rPr>
              <w:t>how we track these items over their service life then add a shelf life to this, and include details within Specifications if appropriate.</w:t>
            </w:r>
          </w:p>
          <w:p w14:paraId="3972A031" w14:textId="77777777" w:rsidR="00527F5D" w:rsidRPr="003E6E32" w:rsidRDefault="00527F5D" w:rsidP="009B52A8">
            <w:pPr>
              <w:rPr>
                <w:rFonts w:cs="Arial"/>
              </w:rPr>
            </w:pPr>
          </w:p>
        </w:tc>
      </w:tr>
      <w:tr w:rsidR="00527F5D" w:rsidRPr="003E6E32" w14:paraId="0A574914" w14:textId="77777777" w:rsidTr="009A7878">
        <w:tc>
          <w:tcPr>
            <w:tcW w:w="4508" w:type="dxa"/>
          </w:tcPr>
          <w:p w14:paraId="7B1E2FB0" w14:textId="77777777" w:rsidR="00527F5D" w:rsidRDefault="00527F5D" w:rsidP="000B2A56">
            <w:pPr>
              <w:pStyle w:val="ListParagraph"/>
              <w:numPr>
                <w:ilvl w:val="0"/>
                <w:numId w:val="3"/>
              </w:numPr>
              <w:rPr>
                <w:rFonts w:ascii="Arial" w:hAnsi="Arial" w:cs="Arial"/>
              </w:rPr>
            </w:pPr>
            <w:r w:rsidRPr="000B2A56">
              <w:rPr>
                <w:rFonts w:ascii="Arial" w:hAnsi="Arial" w:cs="Arial"/>
              </w:rPr>
              <w:t>With regards to the proposed generic Lot and holding mini competitions, would that impact compatibility between garments offered by having multiple suppliers per sub-lot?</w:t>
            </w:r>
          </w:p>
          <w:p w14:paraId="08A217A1" w14:textId="01A2A797" w:rsidR="009A7878" w:rsidRPr="000B2A56" w:rsidRDefault="009A7878" w:rsidP="009A7878">
            <w:pPr>
              <w:pStyle w:val="ListParagraph"/>
              <w:ind w:left="389"/>
              <w:rPr>
                <w:rFonts w:ascii="Arial" w:hAnsi="Arial" w:cs="Arial"/>
              </w:rPr>
            </w:pPr>
          </w:p>
        </w:tc>
        <w:tc>
          <w:tcPr>
            <w:tcW w:w="5835" w:type="dxa"/>
          </w:tcPr>
          <w:p w14:paraId="5AC0A7B7" w14:textId="77777777" w:rsidR="00527F5D" w:rsidRDefault="00527F5D" w:rsidP="009B52A8">
            <w:pPr>
              <w:rPr>
                <w:rFonts w:cs="Arial"/>
              </w:rPr>
            </w:pPr>
            <w:r w:rsidRPr="003E6E32">
              <w:rPr>
                <w:rFonts w:cs="Arial"/>
              </w:rPr>
              <w:t>We would need to consider this more thoroughly when finalising proposed procurement strategies for each Lot and   test the compatibility issue with stakeholders.</w:t>
            </w:r>
          </w:p>
          <w:p w14:paraId="4D713050" w14:textId="77777777" w:rsidR="00527F5D" w:rsidRPr="003E6E32" w:rsidRDefault="00527F5D" w:rsidP="009B52A8">
            <w:pPr>
              <w:rPr>
                <w:rFonts w:cs="Arial"/>
              </w:rPr>
            </w:pPr>
          </w:p>
        </w:tc>
      </w:tr>
      <w:tr w:rsidR="00527F5D" w:rsidRPr="003E6E32" w14:paraId="5D502BFE" w14:textId="77777777" w:rsidTr="009A7878">
        <w:tc>
          <w:tcPr>
            <w:tcW w:w="4508" w:type="dxa"/>
          </w:tcPr>
          <w:p w14:paraId="50186919" w14:textId="77777777" w:rsidR="00527F5D" w:rsidRDefault="00527F5D" w:rsidP="000B2A56">
            <w:pPr>
              <w:pStyle w:val="ListParagraph"/>
              <w:numPr>
                <w:ilvl w:val="0"/>
                <w:numId w:val="3"/>
              </w:numPr>
              <w:rPr>
                <w:rFonts w:ascii="Arial" w:hAnsi="Arial" w:cs="Arial"/>
              </w:rPr>
            </w:pPr>
            <w:r w:rsidRPr="000B2A56">
              <w:rPr>
                <w:rFonts w:ascii="Arial" w:hAnsi="Arial" w:cs="Arial"/>
              </w:rPr>
              <w:t>Would you also consider adding a sub-lot to each Lot that provided an ensemble solution?</w:t>
            </w:r>
          </w:p>
          <w:p w14:paraId="519B39D7" w14:textId="026407C9" w:rsidR="009A7878" w:rsidRPr="000B2A56" w:rsidRDefault="009A7878" w:rsidP="009A7878">
            <w:pPr>
              <w:pStyle w:val="ListParagraph"/>
              <w:ind w:left="389"/>
              <w:rPr>
                <w:rFonts w:ascii="Arial" w:hAnsi="Arial" w:cs="Arial"/>
              </w:rPr>
            </w:pPr>
          </w:p>
        </w:tc>
        <w:tc>
          <w:tcPr>
            <w:tcW w:w="5835" w:type="dxa"/>
          </w:tcPr>
          <w:p w14:paraId="4B06C213" w14:textId="77777777" w:rsidR="00527F5D" w:rsidRPr="003E6E32" w:rsidRDefault="00527F5D" w:rsidP="009B52A8">
            <w:pPr>
              <w:rPr>
                <w:rFonts w:cs="Arial"/>
              </w:rPr>
            </w:pPr>
            <w:r w:rsidRPr="003E6E32">
              <w:rPr>
                <w:rFonts w:cs="Arial"/>
              </w:rPr>
              <w:t>It is something we would consider.</w:t>
            </w:r>
          </w:p>
        </w:tc>
      </w:tr>
      <w:tr w:rsidR="00527F5D" w:rsidRPr="003E6E32" w14:paraId="74964BE9" w14:textId="77777777" w:rsidTr="009A7878">
        <w:tc>
          <w:tcPr>
            <w:tcW w:w="4508" w:type="dxa"/>
          </w:tcPr>
          <w:p w14:paraId="67B487FD" w14:textId="412E1D0D" w:rsidR="00527F5D" w:rsidRPr="000B2A56" w:rsidRDefault="00527F5D" w:rsidP="000B2A56">
            <w:pPr>
              <w:pStyle w:val="ListParagraph"/>
              <w:numPr>
                <w:ilvl w:val="0"/>
                <w:numId w:val="3"/>
              </w:numPr>
              <w:rPr>
                <w:rFonts w:ascii="Arial" w:hAnsi="Arial" w:cs="Arial"/>
              </w:rPr>
            </w:pPr>
            <w:r w:rsidRPr="000B2A56">
              <w:rPr>
                <w:rFonts w:ascii="Arial" w:hAnsi="Arial" w:cs="Arial"/>
              </w:rPr>
              <w:t>How would you handle innovation when evaluating bids? If a company develops something that is patented they may have a garment that gives them an innovation advantage.</w:t>
            </w:r>
          </w:p>
        </w:tc>
        <w:tc>
          <w:tcPr>
            <w:tcW w:w="5835" w:type="dxa"/>
          </w:tcPr>
          <w:p w14:paraId="13D1D126" w14:textId="77777777" w:rsidR="00527F5D" w:rsidRDefault="00527F5D" w:rsidP="009B52A8">
            <w:pPr>
              <w:rPr>
                <w:rFonts w:cs="Arial"/>
              </w:rPr>
            </w:pPr>
            <w:r w:rsidRPr="003E6E32">
              <w:rPr>
                <w:rFonts w:cs="Arial"/>
              </w:rPr>
              <w:t>We would need to ensure that outputs against specifications clearly define the needs, not the wants of users, and try to avoid situations whereby innovation offered unfairly prejudices other bidders or leads to a monopolistic supplier situation. We are happy to encourage innovation as long as it meets the needs of the services</w:t>
            </w:r>
            <w:r>
              <w:rPr>
                <w:rFonts w:cs="Arial"/>
              </w:rPr>
              <w:t>.</w:t>
            </w:r>
          </w:p>
          <w:p w14:paraId="2BEF01A8" w14:textId="77777777" w:rsidR="00527F5D" w:rsidRPr="003E6E32" w:rsidRDefault="00527F5D" w:rsidP="009B52A8">
            <w:pPr>
              <w:rPr>
                <w:rFonts w:cs="Arial"/>
              </w:rPr>
            </w:pPr>
          </w:p>
          <w:p w14:paraId="73516948" w14:textId="77777777" w:rsidR="00527F5D" w:rsidRDefault="00527F5D" w:rsidP="009B52A8">
            <w:pPr>
              <w:rPr>
                <w:rFonts w:cs="Arial"/>
              </w:rPr>
            </w:pPr>
            <w:r w:rsidRPr="003E6E32">
              <w:rPr>
                <w:rFonts w:cs="Arial"/>
              </w:rPr>
              <w:t xml:space="preserve">Technical refresh within the final contract may also allow for innovation provided it remains within the original scope of the requirement. </w:t>
            </w:r>
          </w:p>
          <w:p w14:paraId="1540DE21" w14:textId="77777777" w:rsidR="00527F5D" w:rsidRPr="003E6E32" w:rsidRDefault="00527F5D" w:rsidP="009B52A8">
            <w:pPr>
              <w:rPr>
                <w:rFonts w:cs="Arial"/>
              </w:rPr>
            </w:pPr>
          </w:p>
        </w:tc>
      </w:tr>
      <w:tr w:rsidR="009A7878" w:rsidRPr="003E6E32" w14:paraId="756FB2AA" w14:textId="77777777" w:rsidTr="009A7878">
        <w:tc>
          <w:tcPr>
            <w:tcW w:w="4508" w:type="dxa"/>
            <w:shd w:val="clear" w:color="auto" w:fill="B6DDE8" w:themeFill="accent5" w:themeFillTint="66"/>
          </w:tcPr>
          <w:p w14:paraId="7E59F7D1" w14:textId="44536C95" w:rsidR="009A7878" w:rsidRPr="009A7878" w:rsidRDefault="009A7878" w:rsidP="009A7878">
            <w:pPr>
              <w:pStyle w:val="ListParagraph"/>
              <w:ind w:left="389"/>
              <w:jc w:val="center"/>
              <w:rPr>
                <w:rFonts w:ascii="Arial" w:hAnsi="Arial" w:cs="Arial"/>
              </w:rPr>
            </w:pPr>
            <w:r w:rsidRPr="009A7878">
              <w:rPr>
                <w:rFonts w:ascii="Arial" w:hAnsi="Arial" w:cs="Arial"/>
                <w:b/>
              </w:rPr>
              <w:lastRenderedPageBreak/>
              <w:t>Question</w:t>
            </w:r>
          </w:p>
        </w:tc>
        <w:tc>
          <w:tcPr>
            <w:tcW w:w="5835" w:type="dxa"/>
            <w:shd w:val="clear" w:color="auto" w:fill="B6DDE8" w:themeFill="accent5" w:themeFillTint="66"/>
          </w:tcPr>
          <w:p w14:paraId="5C850077" w14:textId="4F797728" w:rsidR="009A7878" w:rsidRPr="009A7878" w:rsidRDefault="009A7878" w:rsidP="009A7878">
            <w:pPr>
              <w:jc w:val="center"/>
              <w:rPr>
                <w:rFonts w:cs="Arial"/>
              </w:rPr>
            </w:pPr>
            <w:r w:rsidRPr="009A7878">
              <w:rPr>
                <w:rFonts w:cs="Arial"/>
                <w:b/>
              </w:rPr>
              <w:t>Answer</w:t>
            </w:r>
          </w:p>
        </w:tc>
      </w:tr>
      <w:tr w:rsidR="00527F5D" w:rsidRPr="003E6E32" w14:paraId="4189D810" w14:textId="77777777" w:rsidTr="009A7878">
        <w:tc>
          <w:tcPr>
            <w:tcW w:w="4508" w:type="dxa"/>
          </w:tcPr>
          <w:p w14:paraId="44EB2520" w14:textId="0B1F4C45" w:rsidR="00527F5D" w:rsidRPr="000B2A56" w:rsidRDefault="00527F5D" w:rsidP="000B2A56">
            <w:pPr>
              <w:pStyle w:val="ListParagraph"/>
              <w:numPr>
                <w:ilvl w:val="0"/>
                <w:numId w:val="3"/>
              </w:numPr>
              <w:rPr>
                <w:rFonts w:ascii="Arial" w:hAnsi="Arial" w:cs="Arial"/>
              </w:rPr>
            </w:pPr>
            <w:r w:rsidRPr="000B2A56">
              <w:rPr>
                <w:rFonts w:ascii="Arial" w:hAnsi="Arial" w:cs="Arial"/>
              </w:rPr>
              <w:t>Regarding the CBRN Lot, will you be looking at feedback as to whether limited life or continued life suits will be required and how will you choose which option is best?</w:t>
            </w:r>
          </w:p>
        </w:tc>
        <w:tc>
          <w:tcPr>
            <w:tcW w:w="5835" w:type="dxa"/>
          </w:tcPr>
          <w:p w14:paraId="0BFC23A8" w14:textId="77777777" w:rsidR="00527F5D" w:rsidRPr="003E6E32" w:rsidRDefault="00527F5D" w:rsidP="009B52A8">
            <w:pPr>
              <w:rPr>
                <w:rFonts w:cs="Arial"/>
              </w:rPr>
            </w:pPr>
            <w:r w:rsidRPr="003E6E32">
              <w:rPr>
                <w:rFonts w:cs="Arial"/>
              </w:rPr>
              <w:t>We will engage with the relevant sector about their usage of current provision and how cost effective this is, and discuss whether a single use or multi use suit better meets their requirements. We would refer to National Operational Guidance (NOG) and seek stakeholder feedback. If the suppliers have thoughts on this please let us know.</w:t>
            </w:r>
          </w:p>
          <w:p w14:paraId="62F08E24" w14:textId="77777777" w:rsidR="00527F5D" w:rsidRPr="003E6E32" w:rsidRDefault="00527F5D" w:rsidP="009B52A8">
            <w:pPr>
              <w:rPr>
                <w:rFonts w:cs="Arial"/>
              </w:rPr>
            </w:pPr>
          </w:p>
        </w:tc>
      </w:tr>
      <w:tr w:rsidR="00527F5D" w:rsidRPr="003E6E32" w14:paraId="586C24B4" w14:textId="77777777" w:rsidTr="009A7878">
        <w:tc>
          <w:tcPr>
            <w:tcW w:w="4508" w:type="dxa"/>
          </w:tcPr>
          <w:p w14:paraId="2B2A4257" w14:textId="77777777" w:rsidR="00527F5D" w:rsidRDefault="00527F5D" w:rsidP="000B2A56">
            <w:pPr>
              <w:pStyle w:val="ListParagraph"/>
              <w:numPr>
                <w:ilvl w:val="0"/>
                <w:numId w:val="3"/>
              </w:numPr>
              <w:rPr>
                <w:rFonts w:ascii="Arial" w:hAnsi="Arial" w:cs="Arial"/>
              </w:rPr>
            </w:pPr>
            <w:r w:rsidRPr="000B2A56">
              <w:rPr>
                <w:rFonts w:ascii="Arial" w:hAnsi="Arial" w:cs="Arial"/>
              </w:rPr>
              <w:t>The CBRN Framework with Crown Commercial Services (CCS) comes to an end shortly. Further Frameworks are being set up that could allow Blue light services to establish 3 years of further contracts. Would this impact on this project?</w:t>
            </w:r>
          </w:p>
          <w:p w14:paraId="6032C79C" w14:textId="309D03DB" w:rsidR="00454F2D" w:rsidRPr="000B2A56" w:rsidRDefault="00454F2D" w:rsidP="00454F2D">
            <w:pPr>
              <w:pStyle w:val="ListParagraph"/>
              <w:ind w:left="389"/>
              <w:rPr>
                <w:rFonts w:ascii="Arial" w:hAnsi="Arial" w:cs="Arial"/>
              </w:rPr>
            </w:pPr>
            <w:bookmarkStart w:id="0" w:name="_GoBack"/>
            <w:bookmarkEnd w:id="0"/>
          </w:p>
        </w:tc>
        <w:tc>
          <w:tcPr>
            <w:tcW w:w="5835" w:type="dxa"/>
          </w:tcPr>
          <w:p w14:paraId="4ABDBC6C" w14:textId="77777777" w:rsidR="00527F5D" w:rsidRDefault="00527F5D" w:rsidP="009B52A8">
            <w:pPr>
              <w:rPr>
                <w:rFonts w:cs="Arial"/>
              </w:rPr>
            </w:pPr>
            <w:r w:rsidRPr="003E6E32">
              <w:rPr>
                <w:rFonts w:cs="Arial"/>
              </w:rPr>
              <w:t xml:space="preserve">Although there are other frameworks being set up for items within this Lot by other Departments (such as the Home Office, West Midland’s Police Authority) these have had limited engagement with the Fire sector to ascertain whether items offered under these framework fully meets their requirements. </w:t>
            </w:r>
          </w:p>
          <w:p w14:paraId="172097CC" w14:textId="6BF24E67" w:rsidR="00527F5D" w:rsidRPr="003E6E32" w:rsidRDefault="00527F5D" w:rsidP="009B52A8">
            <w:pPr>
              <w:rPr>
                <w:rFonts w:cs="Arial"/>
              </w:rPr>
            </w:pPr>
            <w:r w:rsidRPr="003E6E32">
              <w:rPr>
                <w:rFonts w:cs="Arial"/>
              </w:rPr>
              <w:t xml:space="preserve"> </w:t>
            </w:r>
          </w:p>
        </w:tc>
      </w:tr>
      <w:tr w:rsidR="00527F5D" w:rsidRPr="003E6E32" w14:paraId="22C649AF" w14:textId="77777777" w:rsidTr="009A7878">
        <w:tc>
          <w:tcPr>
            <w:tcW w:w="4508" w:type="dxa"/>
          </w:tcPr>
          <w:p w14:paraId="47C9050D" w14:textId="062D10C6" w:rsidR="00527F5D" w:rsidRPr="000B2A56" w:rsidRDefault="00527F5D" w:rsidP="000B2A56">
            <w:pPr>
              <w:pStyle w:val="ListParagraph"/>
              <w:numPr>
                <w:ilvl w:val="0"/>
                <w:numId w:val="3"/>
              </w:numPr>
              <w:rPr>
                <w:rFonts w:ascii="Arial" w:hAnsi="Arial" w:cs="Arial"/>
              </w:rPr>
            </w:pPr>
            <w:r w:rsidRPr="000B2A56">
              <w:rPr>
                <w:rFonts w:ascii="Arial" w:hAnsi="Arial" w:cs="Arial"/>
              </w:rPr>
              <w:t>Is decontamination of CRBN garments included within the CBRN Lot?</w:t>
            </w:r>
          </w:p>
        </w:tc>
        <w:tc>
          <w:tcPr>
            <w:tcW w:w="5835" w:type="dxa"/>
          </w:tcPr>
          <w:p w14:paraId="49B6B715" w14:textId="77777777" w:rsidR="00527F5D" w:rsidRDefault="00527F5D" w:rsidP="009B52A8">
            <w:pPr>
              <w:rPr>
                <w:rFonts w:cs="Arial"/>
              </w:rPr>
            </w:pPr>
            <w:r w:rsidRPr="003E6E32">
              <w:rPr>
                <w:rFonts w:cs="Arial"/>
              </w:rPr>
              <w:t>If we decide to purchase reusable suits, then this service may be required if not already d</w:t>
            </w:r>
            <w:r>
              <w:rPr>
                <w:rFonts w:cs="Arial"/>
              </w:rPr>
              <w:t>elivered</w:t>
            </w:r>
            <w:r w:rsidRPr="003E6E32">
              <w:rPr>
                <w:rFonts w:cs="Arial"/>
              </w:rPr>
              <w:t xml:space="preserve"> in</w:t>
            </w:r>
            <w:r>
              <w:rPr>
                <w:rFonts w:cs="Arial"/>
              </w:rPr>
              <w:t>-</w:t>
            </w:r>
            <w:r w:rsidRPr="003E6E32">
              <w:rPr>
                <w:rFonts w:cs="Arial"/>
              </w:rPr>
              <w:t>house.</w:t>
            </w:r>
          </w:p>
          <w:p w14:paraId="05D3A0A3" w14:textId="77777777" w:rsidR="00527F5D" w:rsidRPr="003E6E32" w:rsidRDefault="00527F5D" w:rsidP="009B52A8">
            <w:pPr>
              <w:rPr>
                <w:rFonts w:cs="Arial"/>
              </w:rPr>
            </w:pPr>
          </w:p>
        </w:tc>
      </w:tr>
      <w:tr w:rsidR="00527F5D" w:rsidRPr="003E6E32" w14:paraId="103F5F64" w14:textId="77777777" w:rsidTr="009A7878">
        <w:tc>
          <w:tcPr>
            <w:tcW w:w="4508" w:type="dxa"/>
          </w:tcPr>
          <w:p w14:paraId="2C058874" w14:textId="3CA7E90F" w:rsidR="00527F5D" w:rsidRPr="000B2A56" w:rsidRDefault="00527F5D" w:rsidP="000B2A56">
            <w:pPr>
              <w:pStyle w:val="ListParagraph"/>
              <w:numPr>
                <w:ilvl w:val="0"/>
                <w:numId w:val="3"/>
              </w:numPr>
              <w:rPr>
                <w:rFonts w:ascii="Arial" w:hAnsi="Arial" w:cs="Arial"/>
              </w:rPr>
            </w:pPr>
            <w:r w:rsidRPr="000B2A56">
              <w:rPr>
                <w:rFonts w:ascii="Arial" w:hAnsi="Arial" w:cs="Arial"/>
              </w:rPr>
              <w:t>What happens if Authorities do not wish to collaborate with this Project?</w:t>
            </w:r>
          </w:p>
        </w:tc>
        <w:tc>
          <w:tcPr>
            <w:tcW w:w="5835" w:type="dxa"/>
          </w:tcPr>
          <w:p w14:paraId="2FBD0BB4" w14:textId="35562F4B" w:rsidR="00527F5D" w:rsidRDefault="00527F5D" w:rsidP="009B52A8">
            <w:pPr>
              <w:rPr>
                <w:rFonts w:cs="Arial"/>
              </w:rPr>
            </w:pPr>
            <w:r w:rsidRPr="003E6E32">
              <w:rPr>
                <w:rFonts w:cs="Arial"/>
              </w:rPr>
              <w:t xml:space="preserve">The Fire sector may have different requirements to other </w:t>
            </w:r>
            <w:r w:rsidR="000B2A56">
              <w:rPr>
                <w:rFonts w:cs="Arial"/>
              </w:rPr>
              <w:t>b</w:t>
            </w:r>
            <w:r w:rsidRPr="003E6E32">
              <w:rPr>
                <w:rFonts w:cs="Arial"/>
              </w:rPr>
              <w:t>lue</w:t>
            </w:r>
            <w:r w:rsidR="000B2A56">
              <w:rPr>
                <w:rFonts w:cs="Arial"/>
              </w:rPr>
              <w:t xml:space="preserve"> </w:t>
            </w:r>
            <w:r w:rsidRPr="003E6E32">
              <w:rPr>
                <w:rFonts w:cs="Arial"/>
              </w:rPr>
              <w:t xml:space="preserve">light services, so we need to be conscious of that. Ideally it would be great to use a singular product, but this may not be possible </w:t>
            </w:r>
            <w:r>
              <w:rPr>
                <w:rFonts w:cs="Arial"/>
              </w:rPr>
              <w:t>a</w:t>
            </w:r>
            <w:r w:rsidRPr="003E6E32">
              <w:rPr>
                <w:rFonts w:cs="Arial"/>
              </w:rPr>
              <w:t>cross sector</w:t>
            </w:r>
            <w:r>
              <w:rPr>
                <w:rFonts w:cs="Arial"/>
              </w:rPr>
              <w:t>s</w:t>
            </w:r>
            <w:r w:rsidRPr="003E6E32">
              <w:rPr>
                <w:rFonts w:cs="Arial"/>
              </w:rPr>
              <w:t>. However, there will be a standard requirement in Fire sector. We want to be a better customer to suppliers, and the NFCC are keen to encourage collaboration between FRSs. Kent lead in the clothing sector under the NFCC</w:t>
            </w:r>
            <w:r>
              <w:rPr>
                <w:rFonts w:cs="Arial"/>
              </w:rPr>
              <w:t xml:space="preserve"> Fire Commercial</w:t>
            </w:r>
            <w:r w:rsidRPr="003E6E32">
              <w:rPr>
                <w:rFonts w:cs="Arial"/>
              </w:rPr>
              <w:t xml:space="preserve"> Transformation programme. We can only encourage Authorities to participate in the framework by highlighting the benefits of doing so.  Authorities may still set up their own frameworks and contracts, but will need to justify their reasons for doing so. We will be reviewing lessons learned with regards to previous and current frameworks to understand why these were not fully utilised to their full advantage, by engagement with framework users and suppliers.</w:t>
            </w:r>
          </w:p>
          <w:p w14:paraId="6B50A7B9" w14:textId="77777777" w:rsidR="00527F5D" w:rsidRPr="003E6E32" w:rsidRDefault="00527F5D" w:rsidP="009B52A8">
            <w:pPr>
              <w:rPr>
                <w:rFonts w:cs="Arial"/>
              </w:rPr>
            </w:pPr>
          </w:p>
        </w:tc>
      </w:tr>
      <w:tr w:rsidR="00527F5D" w:rsidRPr="009B52A8" w14:paraId="7F6E3C10" w14:textId="77777777" w:rsidTr="009A7878">
        <w:tc>
          <w:tcPr>
            <w:tcW w:w="4508" w:type="dxa"/>
          </w:tcPr>
          <w:p w14:paraId="1F5AB8D3" w14:textId="77777777" w:rsidR="00527F5D" w:rsidRDefault="00527F5D" w:rsidP="000B2A56">
            <w:pPr>
              <w:pStyle w:val="ListParagraph"/>
              <w:numPr>
                <w:ilvl w:val="0"/>
                <w:numId w:val="3"/>
              </w:numPr>
              <w:rPr>
                <w:rFonts w:ascii="Arial" w:hAnsi="Arial" w:cs="Arial"/>
              </w:rPr>
            </w:pPr>
            <w:r w:rsidRPr="000B2A56">
              <w:rPr>
                <w:rFonts w:ascii="Arial" w:hAnsi="Arial" w:cs="Arial"/>
              </w:rPr>
              <w:t>Will CBRN suits, including those for Detection, Identification and Monitoring (DIM) and Counter Terrorism (CT) work be conscious of the latest DSTL threat model?</w:t>
            </w:r>
          </w:p>
          <w:p w14:paraId="6A3B4A7B" w14:textId="3575278A" w:rsidR="009A7878" w:rsidRPr="000B2A56" w:rsidRDefault="009A7878" w:rsidP="009A7878">
            <w:pPr>
              <w:pStyle w:val="ListParagraph"/>
              <w:ind w:left="389"/>
              <w:rPr>
                <w:rFonts w:ascii="Arial" w:hAnsi="Arial" w:cs="Arial"/>
              </w:rPr>
            </w:pPr>
          </w:p>
        </w:tc>
        <w:tc>
          <w:tcPr>
            <w:tcW w:w="5835" w:type="dxa"/>
          </w:tcPr>
          <w:p w14:paraId="7FA531A3" w14:textId="16E09374" w:rsidR="00527F5D" w:rsidRPr="009B52A8" w:rsidRDefault="00527F5D" w:rsidP="000B2A56">
            <w:pPr>
              <w:rPr>
                <w:rFonts w:cs="Arial"/>
              </w:rPr>
            </w:pPr>
            <w:r w:rsidRPr="009B52A8">
              <w:rPr>
                <w:rFonts w:cs="Arial"/>
              </w:rPr>
              <w:t xml:space="preserve">We will be ensuring that we speak with National Fire Resilience to ensure our CBRN </w:t>
            </w:r>
            <w:r w:rsidR="000B2A56">
              <w:rPr>
                <w:rFonts w:cs="Arial"/>
              </w:rPr>
              <w:t>subject matter experts</w:t>
            </w:r>
            <w:r w:rsidRPr="009B52A8">
              <w:rPr>
                <w:rFonts w:cs="Arial"/>
              </w:rPr>
              <w:t xml:space="preserve"> have the most appropriate and up to date information.</w:t>
            </w:r>
          </w:p>
        </w:tc>
      </w:tr>
      <w:tr w:rsidR="00527F5D" w:rsidRPr="009B52A8" w14:paraId="6BBF8593" w14:textId="77777777" w:rsidTr="009A7878">
        <w:tc>
          <w:tcPr>
            <w:tcW w:w="4508" w:type="dxa"/>
          </w:tcPr>
          <w:p w14:paraId="430329C6" w14:textId="2F652794" w:rsidR="00527F5D" w:rsidRPr="000B2A56" w:rsidRDefault="00527F5D" w:rsidP="000B2A56">
            <w:pPr>
              <w:pStyle w:val="ListParagraph"/>
              <w:numPr>
                <w:ilvl w:val="0"/>
                <w:numId w:val="3"/>
              </w:numPr>
              <w:rPr>
                <w:rFonts w:ascii="Arial" w:hAnsi="Arial" w:cs="Arial"/>
              </w:rPr>
            </w:pPr>
            <w:r w:rsidRPr="000B2A56">
              <w:rPr>
                <w:rFonts w:ascii="Arial" w:hAnsi="Arial" w:cs="Arial"/>
              </w:rPr>
              <w:t>It may be worth speaking with the militaries Tactical Response Force (TRF) to learn experiences from recent high profile incidents.</w:t>
            </w:r>
          </w:p>
        </w:tc>
        <w:tc>
          <w:tcPr>
            <w:tcW w:w="5835" w:type="dxa"/>
          </w:tcPr>
          <w:p w14:paraId="6B66636C" w14:textId="77777777" w:rsidR="00527F5D" w:rsidRPr="009B52A8" w:rsidRDefault="00527F5D" w:rsidP="009B52A8">
            <w:pPr>
              <w:rPr>
                <w:rFonts w:cs="Arial"/>
              </w:rPr>
            </w:pPr>
            <w:r w:rsidRPr="009B52A8">
              <w:rPr>
                <w:rFonts w:cs="Arial"/>
              </w:rPr>
              <w:t>We have links into TRF through National Fire Resilience and ensure we follow this up.</w:t>
            </w:r>
          </w:p>
          <w:p w14:paraId="520125E9" w14:textId="77777777" w:rsidR="00527F5D" w:rsidRPr="009B52A8" w:rsidRDefault="00527F5D" w:rsidP="009B52A8">
            <w:pPr>
              <w:rPr>
                <w:rFonts w:cs="Arial"/>
              </w:rPr>
            </w:pPr>
          </w:p>
          <w:p w14:paraId="62E5A794" w14:textId="77777777" w:rsidR="00527F5D" w:rsidRDefault="00527F5D" w:rsidP="000B2A56">
            <w:pPr>
              <w:rPr>
                <w:rFonts w:cs="Arial"/>
              </w:rPr>
            </w:pPr>
            <w:r w:rsidRPr="009B52A8">
              <w:rPr>
                <w:rFonts w:cs="Arial"/>
              </w:rPr>
              <w:t>We recognise that the require</w:t>
            </w:r>
            <w:r w:rsidR="000B2A56">
              <w:rPr>
                <w:rFonts w:cs="Arial"/>
              </w:rPr>
              <w:t>ments</w:t>
            </w:r>
            <w:r w:rsidRPr="009B52A8">
              <w:rPr>
                <w:rFonts w:cs="Arial"/>
              </w:rPr>
              <w:t xml:space="preserve"> for CBRN are distinctly different to those of Gas Tight and Chemical Protection suits.  We will ensure through National Fire Resilience that we engage with the relevant stakeholders.</w:t>
            </w:r>
          </w:p>
          <w:p w14:paraId="11184945" w14:textId="5E7A4F01" w:rsidR="009A7878" w:rsidRPr="009B52A8" w:rsidRDefault="009A7878" w:rsidP="000B2A56">
            <w:pPr>
              <w:rPr>
                <w:rFonts w:cs="Arial"/>
              </w:rPr>
            </w:pPr>
          </w:p>
        </w:tc>
      </w:tr>
    </w:tbl>
    <w:p w14:paraId="09BE1E6B" w14:textId="77777777" w:rsidR="00E23A66" w:rsidRPr="003E6E32" w:rsidRDefault="00E23A66" w:rsidP="000B2A56">
      <w:pPr>
        <w:spacing w:after="0" w:line="240" w:lineRule="auto"/>
        <w:rPr>
          <w:rFonts w:cs="Arial"/>
        </w:rPr>
      </w:pPr>
    </w:p>
    <w:sectPr w:rsidR="00E23A66" w:rsidRPr="003E6E32" w:rsidSect="009A7878">
      <w:headerReference w:type="even" r:id="rId13"/>
      <w:headerReference w:type="default" r:id="rId14"/>
      <w:footerReference w:type="even" r:id="rId15"/>
      <w:footerReference w:type="default" r:id="rId16"/>
      <w:headerReference w:type="first" r:id="rId17"/>
      <w:footerReference w:type="first" r:id="rId18"/>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E5650" w14:textId="77777777" w:rsidR="00E95536" w:rsidRDefault="00E95536" w:rsidP="00CE6622">
      <w:pPr>
        <w:spacing w:after="0" w:line="240" w:lineRule="auto"/>
      </w:pPr>
      <w:r>
        <w:separator/>
      </w:r>
    </w:p>
  </w:endnote>
  <w:endnote w:type="continuationSeparator" w:id="0">
    <w:p w14:paraId="37A8DF1A" w14:textId="77777777" w:rsidR="00E95536" w:rsidRDefault="00E95536" w:rsidP="00CE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E2C41" w14:textId="77777777" w:rsidR="00CE6622" w:rsidRDefault="00CE6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CA97" w14:textId="77777777" w:rsidR="00CE6622" w:rsidRDefault="00CE66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6CFA" w14:textId="77777777" w:rsidR="00CE6622" w:rsidRDefault="00CE6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BC146" w14:textId="77777777" w:rsidR="00E95536" w:rsidRDefault="00E95536" w:rsidP="00CE6622">
      <w:pPr>
        <w:spacing w:after="0" w:line="240" w:lineRule="auto"/>
      </w:pPr>
      <w:r>
        <w:separator/>
      </w:r>
    </w:p>
  </w:footnote>
  <w:footnote w:type="continuationSeparator" w:id="0">
    <w:p w14:paraId="51FDEE6B" w14:textId="77777777" w:rsidR="00E95536" w:rsidRDefault="00E95536" w:rsidP="00CE6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4D9FF" w14:textId="77777777" w:rsidR="00CE6622" w:rsidRDefault="00CE66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07A1" w14:textId="77777777" w:rsidR="00CE6622" w:rsidRDefault="00CE66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8A04F" w14:textId="77777777" w:rsidR="00CE6622" w:rsidRDefault="00CE6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026E8"/>
    <w:multiLevelType w:val="hybridMultilevel"/>
    <w:tmpl w:val="51662834"/>
    <w:lvl w:ilvl="0" w:tplc="0C6E33B6">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 w15:restartNumberingAfterBreak="0">
    <w:nsid w:val="3EBC6728"/>
    <w:multiLevelType w:val="hybridMultilevel"/>
    <w:tmpl w:val="89CCC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31FCD"/>
    <w:multiLevelType w:val="hybridMultilevel"/>
    <w:tmpl w:val="7C0094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66"/>
    <w:rsid w:val="0000562F"/>
    <w:rsid w:val="0002508F"/>
    <w:rsid w:val="000B149A"/>
    <w:rsid w:val="000B2A56"/>
    <w:rsid w:val="000D1498"/>
    <w:rsid w:val="001E5BD5"/>
    <w:rsid w:val="00274CEB"/>
    <w:rsid w:val="003D69C9"/>
    <w:rsid w:val="003E6E32"/>
    <w:rsid w:val="003F07AD"/>
    <w:rsid w:val="00454F2D"/>
    <w:rsid w:val="00470CD0"/>
    <w:rsid w:val="00476ACB"/>
    <w:rsid w:val="00527F5D"/>
    <w:rsid w:val="00567761"/>
    <w:rsid w:val="005A2D70"/>
    <w:rsid w:val="0069514E"/>
    <w:rsid w:val="006A778B"/>
    <w:rsid w:val="006E00F8"/>
    <w:rsid w:val="0079057C"/>
    <w:rsid w:val="0079686F"/>
    <w:rsid w:val="008366F5"/>
    <w:rsid w:val="00853F9E"/>
    <w:rsid w:val="0085547B"/>
    <w:rsid w:val="00886AC9"/>
    <w:rsid w:val="008C49F7"/>
    <w:rsid w:val="009007DC"/>
    <w:rsid w:val="00903B7F"/>
    <w:rsid w:val="00991D79"/>
    <w:rsid w:val="009A7878"/>
    <w:rsid w:val="009B651B"/>
    <w:rsid w:val="009C71A9"/>
    <w:rsid w:val="00A86F1E"/>
    <w:rsid w:val="00A94BCE"/>
    <w:rsid w:val="00B01C9B"/>
    <w:rsid w:val="00B7261E"/>
    <w:rsid w:val="00B94B28"/>
    <w:rsid w:val="00B95398"/>
    <w:rsid w:val="00BE4A86"/>
    <w:rsid w:val="00C9372E"/>
    <w:rsid w:val="00CB1ED7"/>
    <w:rsid w:val="00CE6622"/>
    <w:rsid w:val="00D51D3D"/>
    <w:rsid w:val="00D701FC"/>
    <w:rsid w:val="00DB5AEA"/>
    <w:rsid w:val="00DC1F32"/>
    <w:rsid w:val="00E23A66"/>
    <w:rsid w:val="00E95536"/>
    <w:rsid w:val="00F0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EBE03"/>
  <w15:chartTrackingRefBased/>
  <w15:docId w15:val="{F0382BCE-57AA-472E-9D61-76DFE3FF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72E"/>
    <w:rPr>
      <w:rFonts w:ascii="Arial" w:hAnsi="Arial"/>
    </w:rPr>
  </w:style>
  <w:style w:type="paragraph" w:styleId="Heading1">
    <w:name w:val="heading 1"/>
    <w:basedOn w:val="Normal"/>
    <w:next w:val="Normal"/>
    <w:link w:val="Heading1Char"/>
    <w:uiPriority w:val="9"/>
    <w:qFormat/>
    <w:rsid w:val="00C9372E"/>
    <w:pPr>
      <w:keepNext/>
      <w:keepLines/>
      <w:spacing w:before="480" w:after="0"/>
      <w:outlineLvl w:val="0"/>
    </w:pPr>
    <w:rPr>
      <w:rFonts w:eastAsiaTheme="majorEastAsia" w:cstheme="majorBidi"/>
      <w:b/>
      <w:bCs/>
      <w:sz w:val="34"/>
      <w:szCs w:val="28"/>
    </w:rPr>
  </w:style>
  <w:style w:type="paragraph" w:styleId="Heading2">
    <w:name w:val="heading 2"/>
    <w:basedOn w:val="Normal"/>
    <w:next w:val="Normal"/>
    <w:link w:val="Heading2Char"/>
    <w:uiPriority w:val="9"/>
    <w:qFormat/>
    <w:rsid w:val="00C9372E"/>
    <w:pPr>
      <w:keepNext/>
      <w:keepLines/>
      <w:spacing w:before="200" w:after="0"/>
      <w:outlineLvl w:val="1"/>
    </w:pPr>
    <w:rPr>
      <w:rFonts w:eastAsiaTheme="majorEastAsia" w:cstheme="majorBidi"/>
      <w:b/>
      <w:bCs/>
      <w:sz w:val="30"/>
      <w:szCs w:val="26"/>
    </w:rPr>
  </w:style>
  <w:style w:type="paragraph" w:styleId="Heading3">
    <w:name w:val="heading 3"/>
    <w:basedOn w:val="Normal"/>
    <w:next w:val="Normal"/>
    <w:link w:val="Heading3Char"/>
    <w:uiPriority w:val="9"/>
    <w:qFormat/>
    <w:rsid w:val="00C9372E"/>
    <w:pPr>
      <w:keepNext/>
      <w:keepLines/>
      <w:spacing w:before="200" w:after="0"/>
      <w:outlineLvl w:val="2"/>
    </w:pPr>
    <w:rPr>
      <w:rFonts w:eastAsiaTheme="majorEastAsia" w:cstheme="majorBidi"/>
      <w:b/>
      <w:bCs/>
      <w:sz w:val="26"/>
    </w:rPr>
  </w:style>
  <w:style w:type="paragraph" w:styleId="Heading4">
    <w:name w:val="heading 4"/>
    <w:basedOn w:val="Normal"/>
    <w:next w:val="Normal"/>
    <w:link w:val="Heading4Char"/>
    <w:uiPriority w:val="9"/>
    <w:qFormat/>
    <w:rsid w:val="00C9372E"/>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72E"/>
    <w:rPr>
      <w:rFonts w:ascii="Arial" w:eastAsiaTheme="majorEastAsia" w:hAnsi="Arial" w:cstheme="majorBidi"/>
      <w:b/>
      <w:bCs/>
      <w:sz w:val="34"/>
      <w:szCs w:val="28"/>
    </w:rPr>
  </w:style>
  <w:style w:type="character" w:customStyle="1" w:styleId="Heading2Char">
    <w:name w:val="Heading 2 Char"/>
    <w:basedOn w:val="DefaultParagraphFont"/>
    <w:link w:val="Heading2"/>
    <w:uiPriority w:val="9"/>
    <w:rsid w:val="00C9372E"/>
    <w:rPr>
      <w:rFonts w:ascii="Arial" w:eastAsiaTheme="majorEastAsia" w:hAnsi="Arial" w:cstheme="majorBidi"/>
      <w:b/>
      <w:bCs/>
      <w:sz w:val="30"/>
      <w:szCs w:val="26"/>
    </w:rPr>
  </w:style>
  <w:style w:type="character" w:customStyle="1" w:styleId="Heading3Char">
    <w:name w:val="Heading 3 Char"/>
    <w:basedOn w:val="DefaultParagraphFont"/>
    <w:link w:val="Heading3"/>
    <w:uiPriority w:val="9"/>
    <w:rsid w:val="00C9372E"/>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C9372E"/>
    <w:rPr>
      <w:rFonts w:ascii="Arial" w:eastAsiaTheme="majorEastAsia" w:hAnsi="Arial" w:cstheme="majorBidi"/>
      <w:b/>
      <w:bCs/>
      <w:iCs/>
    </w:rPr>
  </w:style>
  <w:style w:type="paragraph" w:styleId="Header">
    <w:name w:val="header"/>
    <w:basedOn w:val="Normal"/>
    <w:link w:val="HeaderChar"/>
    <w:uiPriority w:val="99"/>
    <w:unhideWhenUsed/>
    <w:rsid w:val="00CE6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622"/>
    <w:rPr>
      <w:rFonts w:ascii="Arial" w:hAnsi="Arial"/>
    </w:rPr>
  </w:style>
  <w:style w:type="paragraph" w:styleId="Footer">
    <w:name w:val="footer"/>
    <w:basedOn w:val="Normal"/>
    <w:link w:val="FooterChar"/>
    <w:uiPriority w:val="99"/>
    <w:unhideWhenUsed/>
    <w:rsid w:val="00CE6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622"/>
    <w:rPr>
      <w:rFonts w:ascii="Arial" w:hAnsi="Arial"/>
    </w:rPr>
  </w:style>
  <w:style w:type="table" w:styleId="TableGrid">
    <w:name w:val="Table Grid"/>
    <w:basedOn w:val="TableNormal"/>
    <w:uiPriority w:val="59"/>
    <w:rsid w:val="00E2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A66"/>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DB5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EA"/>
    <w:rPr>
      <w:rFonts w:ascii="Segoe UI" w:hAnsi="Segoe UI" w:cs="Segoe UI"/>
      <w:sz w:val="18"/>
      <w:szCs w:val="18"/>
    </w:rPr>
  </w:style>
  <w:style w:type="character" w:styleId="CommentReference">
    <w:name w:val="annotation reference"/>
    <w:basedOn w:val="DefaultParagraphFont"/>
    <w:uiPriority w:val="99"/>
    <w:semiHidden/>
    <w:unhideWhenUsed/>
    <w:rsid w:val="006A778B"/>
    <w:rPr>
      <w:sz w:val="16"/>
      <w:szCs w:val="16"/>
    </w:rPr>
  </w:style>
  <w:style w:type="paragraph" w:styleId="CommentText">
    <w:name w:val="annotation text"/>
    <w:basedOn w:val="Normal"/>
    <w:link w:val="CommentTextChar"/>
    <w:uiPriority w:val="99"/>
    <w:semiHidden/>
    <w:unhideWhenUsed/>
    <w:rsid w:val="006A778B"/>
    <w:pPr>
      <w:spacing w:line="240" w:lineRule="auto"/>
    </w:pPr>
    <w:rPr>
      <w:sz w:val="20"/>
      <w:szCs w:val="20"/>
    </w:rPr>
  </w:style>
  <w:style w:type="character" w:customStyle="1" w:styleId="CommentTextChar">
    <w:name w:val="Comment Text Char"/>
    <w:basedOn w:val="DefaultParagraphFont"/>
    <w:link w:val="CommentText"/>
    <w:uiPriority w:val="99"/>
    <w:semiHidden/>
    <w:rsid w:val="006A77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778B"/>
    <w:rPr>
      <w:b/>
      <w:bCs/>
    </w:rPr>
  </w:style>
  <w:style w:type="character" w:customStyle="1" w:styleId="CommentSubjectChar">
    <w:name w:val="Comment Subject Char"/>
    <w:basedOn w:val="CommentTextChar"/>
    <w:link w:val="CommentSubject"/>
    <w:uiPriority w:val="99"/>
    <w:semiHidden/>
    <w:rsid w:val="006A778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2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4d91d33-31c7-47f0-b1df-d1d10c89ca61" ContentTypeId="0x010100FE94CFB41684894692346E5346348F26" PreviousValue="false"/>
</file>

<file path=customXml/item2.xml><?xml version="1.0" encoding="utf-8"?>
<?mso-contentType ?>
<spe:Receivers xmlns:spe="http://schemas.microsoft.com/sharepoint/events">
  <Receiver>
    <Name>Working Document Item Added</Name>
    <Synchronization>Synchronous</Synchronization>
    <Type>10001</Type>
    <SequenceNumber>151</SequenceNumber>
    <Assembly>KFRS.SP.Farm, Version=1.0.0.0, Culture=neutral, PublicKeyToken=1f2406fe6720bd28</Assembly>
    <Class>KFRS.SP.Farm.CorporateDocumentEventReceiver.CorporateDocumentEventReceiver</Class>
    <Data/>
    <Filter/>
  </Receiver>
  <Receiver>
    <Name>Working Document Item Updated</Name>
    <Synchronization>Synchronous</Synchronization>
    <Type>10002</Type>
    <SequenceNumber>152</SequenceNumber>
    <Assembly>KFRS.SP.Farm, Version=1.0.0.0, Culture=neutral, PublicKeyToken=1f2406fe6720bd28</Assembly>
    <Class>KFRS.SP.Farm.CorporateDocumentEventReceiver.CorporateDocumentEventReceiver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ce665fbcacd47b7b31789e6c76bda74 xmlns="e08506e8-2065-4d07-abf9-a3248805d099">
      <Terms xmlns="http://schemas.microsoft.com/office/infopath/2007/PartnerControls"/>
    </mce665fbcacd47b7b31789e6c76bda74>
    <j556699d64e4483c88acb74b40141d29 xmlns="e08506e8-2065-4d07-abf9-a3248805d099">
      <Terms xmlns="http://schemas.microsoft.com/office/infopath/2007/PartnerControls"/>
    </j556699d64e4483c88acb74b40141d29>
    <d0e2fa0f973b4d65963f97c343839189 xmlns="e08506e8-2065-4d07-abf9-a3248805d099">
      <Terms xmlns="http://schemas.microsoft.com/office/infopath/2007/PartnerControls"/>
    </d0e2fa0f973b4d65963f97c343839189>
    <TaxCatchAll xmlns="e08506e8-2065-4d07-abf9-a3248805d099"/>
    <Disposal_x0020_Date xmlns="e08506e8-2065-4d07-abf9-a3248805d099" xsi:nil="true"/>
    <Current_x0020_Version xmlns="e08506e8-2065-4d07-abf9-a3248805d0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king Document" ma:contentTypeID="0x010100FE94CFB41684894692346E5346348F2600AF920E7BF1A64C4C833DE4DDF3977729" ma:contentTypeVersion="7" ma:contentTypeDescription="Deleted 18 months after last edit." ma:contentTypeScope="" ma:versionID="8dc376e83c6d1806b990cfcbe839f4da">
  <xsd:schema xmlns:xsd="http://www.w3.org/2001/XMLSchema" xmlns:xs="http://www.w3.org/2001/XMLSchema" xmlns:p="http://schemas.microsoft.com/office/2006/metadata/properties" xmlns:ns2="e08506e8-2065-4d07-abf9-a3248805d099" targetNamespace="http://schemas.microsoft.com/office/2006/metadata/properties" ma:root="true" ma:fieldsID="faa9f87efc08db94e2d810ab6bd1b8f8" ns2:_="">
    <xsd:import namespace="e08506e8-2065-4d07-abf9-a3248805d099"/>
    <xsd:element name="properties">
      <xsd:complexType>
        <xsd:sequence>
          <xsd:element name="documentManagement">
            <xsd:complexType>
              <xsd:all>
                <xsd:element ref="ns2:Current_x0020_Version" minOccurs="0"/>
                <xsd:element ref="ns2:Disposal_x0020_Date" minOccurs="0"/>
                <xsd:element ref="ns2:mce665fbcacd47b7b31789e6c76bda74" minOccurs="0"/>
                <xsd:element ref="ns2:TaxCatchAll" minOccurs="0"/>
                <xsd:element ref="ns2:TaxCatchAllLabel" minOccurs="0"/>
                <xsd:element ref="ns2:d0e2fa0f973b4d65963f97c343839189" minOccurs="0"/>
                <xsd:element ref="ns2:j556699d64e4483c88acb74b40141d29" minOccurs="0"/>
                <xsd:element ref="ns2:kfrsCurrentVersion" minOccurs="0"/>
                <xsd:element ref="ns2:kfrsDispos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506e8-2065-4d07-abf9-a3248805d099" elementFormDefault="qualified">
    <xsd:import namespace="http://schemas.microsoft.com/office/2006/documentManagement/types"/>
    <xsd:import namespace="http://schemas.microsoft.com/office/infopath/2007/PartnerControls"/>
    <xsd:element name="Current_x0020_Version" ma:index="5" nillable="true" ma:displayName="_OLD_CurrentVersion" ma:description="**** REPLACED BY Current Version ****" ma:hidden="true" ma:internalName="Current_x0020_Version" ma:readOnly="false">
      <xsd:simpleType>
        <xsd:restriction base="dms:Text">
          <xsd:maxLength value="255"/>
        </xsd:restriction>
      </xsd:simpleType>
    </xsd:element>
    <xsd:element name="Disposal_x0020_Date" ma:index="6" nillable="true" ma:displayName="_OLD_DisposalDate" ma:description="**** REPLACED BY Disposal Date ****" ma:format="DateOnly" ma:hidden="true" ma:internalName="Disposal_x0020_Date" ma:readOnly="false">
      <xsd:simpleType>
        <xsd:restriction base="dms:DateTime"/>
      </xsd:simpleType>
    </xsd:element>
    <xsd:element name="mce665fbcacd47b7b31789e6c76bda74" ma:index="8" nillable="true" ma:taxonomy="true" ma:internalName="mce665fbcacd47b7b31789e6c76bda74" ma:taxonomyFieldName="DocumentType" ma:displayName="DocumentType" ma:indexed="true" ma:default="" ma:fieldId="{6ce665fb-cacd-47b7-b317-89e6c76bda74}" ma:sspId="b4d91d33-31c7-47f0-b1df-d1d10c89ca61" ma:termSetId="876672e5-7801-41e6-9b1c-4b1b7dc67ea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bb7efb7-9c51-498b-a66a-55b278a56e11}" ma:internalName="TaxCatchAll" ma:showField="CatchAllData"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bb7efb7-9c51-498b-a66a-55b278a56e11}" ma:internalName="TaxCatchAllLabel" ma:readOnly="true" ma:showField="CatchAllDataLabel" ma:web="f3515164-2405-4dd2-8245-20134d129663">
      <xsd:complexType>
        <xsd:complexContent>
          <xsd:extension base="dms:MultiChoiceLookup">
            <xsd:sequence>
              <xsd:element name="Value" type="dms:Lookup" maxOccurs="unbounded" minOccurs="0" nillable="true"/>
            </xsd:sequence>
          </xsd:extension>
        </xsd:complexContent>
      </xsd:complexType>
    </xsd:element>
    <xsd:element name="d0e2fa0f973b4d65963f97c343839189" ma:index="12" nillable="true" ma:taxonomy="true" ma:internalName="d0e2fa0f973b4d65963f97c343839189" ma:taxonomyFieldName="Topic" ma:displayName="Topic" ma:indexed="true" ma:default="" ma:fieldId="{d0e2fa0f-973b-4d65-963f-97c343839189}"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j556699d64e4483c88acb74b40141d29" ma:index="16" nillable="true" ma:taxonomy="true" ma:internalName="j556699d64e4483c88acb74b40141d29" ma:taxonomyFieldName="RelatedTopics" ma:displayName="RelatedTopics" ma:default="" ma:fieldId="{3556699d-64e4-483c-88ac-b74b40141d29}" ma:taxonomyMulti="true" ma:sspId="b4d91d33-31c7-47f0-b1df-d1d10c89ca61" ma:termSetId="7dd3e761-923b-47fc-9eff-d3d1c4ad3dbe" ma:anchorId="00000000-0000-0000-0000-000000000000" ma:open="false" ma:isKeyword="false">
      <xsd:complexType>
        <xsd:sequence>
          <xsd:element ref="pc:Terms" minOccurs="0" maxOccurs="1"/>
        </xsd:sequence>
      </xsd:complexType>
    </xsd:element>
    <xsd:element name="kfrsCurrentVersion" ma:index="18" nillable="true" ma:displayName="Current Version" ma:description="The current version number of the file in SharePoint." ma:internalName="kfrsCurrentVersion" ma:readOnly="true">
      <xsd:simpleType>
        <xsd:restriction base="dms:Text">
          <xsd:maxLength value="255"/>
        </xsd:restriction>
      </xsd:simpleType>
    </xsd:element>
    <xsd:element name="kfrsDisposalDate" ma:index="19" nillable="true" ma:displayName="Disposal Date" ma:description="The date of final and permanent disposal." ma:format="DateOnly" ma:internalName="kfrsDisposal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27FF49F-DFE8-45FB-BA9F-7BF89F0BB578}">
  <ds:schemaRefs>
    <ds:schemaRef ds:uri="Microsoft.SharePoint.Taxonomy.ContentTypeSync"/>
  </ds:schemaRefs>
</ds:datastoreItem>
</file>

<file path=customXml/itemProps2.xml><?xml version="1.0" encoding="utf-8"?>
<ds:datastoreItem xmlns:ds="http://schemas.openxmlformats.org/officeDocument/2006/customXml" ds:itemID="{8AD7E38A-4438-4C5C-9B17-CC3B73504F3F}">
  <ds:schemaRefs>
    <ds:schemaRef ds:uri="http://schemas.microsoft.com/sharepoint/events"/>
  </ds:schemaRefs>
</ds:datastoreItem>
</file>

<file path=customXml/itemProps3.xml><?xml version="1.0" encoding="utf-8"?>
<ds:datastoreItem xmlns:ds="http://schemas.openxmlformats.org/officeDocument/2006/customXml" ds:itemID="{D7D57F57-371F-4247-8248-4F4016EE2EF3}">
  <ds:schemaRefs>
    <ds:schemaRef ds:uri="http://schemas.microsoft.com/office/2006/metadata/properties"/>
    <ds:schemaRef ds:uri="http://schemas.microsoft.com/office/infopath/2007/PartnerControls"/>
    <ds:schemaRef ds:uri="e08506e8-2065-4d07-abf9-a3248805d099"/>
  </ds:schemaRefs>
</ds:datastoreItem>
</file>

<file path=customXml/itemProps4.xml><?xml version="1.0" encoding="utf-8"?>
<ds:datastoreItem xmlns:ds="http://schemas.openxmlformats.org/officeDocument/2006/customXml" ds:itemID="{47A82EE5-0B39-48AC-8BBB-C7B6DA454840}">
  <ds:schemaRefs>
    <ds:schemaRef ds:uri="http://schemas.microsoft.com/sharepoint/v3/contenttype/forms"/>
  </ds:schemaRefs>
</ds:datastoreItem>
</file>

<file path=customXml/itemProps5.xml><?xml version="1.0" encoding="utf-8"?>
<ds:datastoreItem xmlns:ds="http://schemas.openxmlformats.org/officeDocument/2006/customXml" ds:itemID="{7BC5A1DA-483C-4A87-A3A9-7B6DAFAE3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506e8-2065-4d07-abf9-a3248805d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7E1A11-7D11-4740-9F5B-48CAB15934F2}">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Fire and Rescue Service</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David (Procurement)</dc:creator>
  <cp:keywords/>
  <dc:description/>
  <cp:lastModifiedBy>Smith, David (Procurement)</cp:lastModifiedBy>
  <cp:revision>4</cp:revision>
  <dcterms:created xsi:type="dcterms:W3CDTF">2019-02-21T10:14:00Z</dcterms:created>
  <dcterms:modified xsi:type="dcterms:W3CDTF">2019-02-21T10:26:00Z</dcterms:modified>
</cp:coreProperties>
</file>